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AD6BF" w14:textId="77777777" w:rsidR="00ED65EE" w:rsidRDefault="00ED65EE" w:rsidP="00ED65EE"/>
    <w:tbl>
      <w:tblPr>
        <w:tblW w:w="8931" w:type="dxa"/>
        <w:tblLayout w:type="fixed"/>
        <w:tblCellMar>
          <w:left w:w="0" w:type="dxa"/>
          <w:right w:w="0" w:type="dxa"/>
        </w:tblCellMar>
        <w:tblLook w:val="0000" w:firstRow="0" w:lastRow="0" w:firstColumn="0" w:lastColumn="0" w:noHBand="0" w:noVBand="0"/>
      </w:tblPr>
      <w:tblGrid>
        <w:gridCol w:w="4253"/>
        <w:gridCol w:w="4678"/>
      </w:tblGrid>
      <w:tr w:rsidR="00ED65EE" w:rsidRPr="00183E4D" w14:paraId="36519E4F" w14:textId="77777777" w:rsidTr="001229D7">
        <w:trPr>
          <w:cantSplit/>
          <w:trHeight w:hRule="exact" w:val="4820"/>
        </w:trPr>
        <w:tc>
          <w:tcPr>
            <w:tcW w:w="4253" w:type="dxa"/>
            <w:shd w:val="clear" w:color="auto" w:fill="auto"/>
            <w:vAlign w:val="bottom"/>
          </w:tcPr>
          <w:p w14:paraId="24BD3C19" w14:textId="77777777" w:rsidR="00ED65EE" w:rsidRPr="00183E4D" w:rsidRDefault="00ED65EE" w:rsidP="001229D7">
            <w:pPr>
              <w:pStyle w:val="TOC9"/>
            </w:pPr>
          </w:p>
        </w:tc>
        <w:tc>
          <w:tcPr>
            <w:tcW w:w="4678" w:type="dxa"/>
            <w:shd w:val="clear" w:color="auto" w:fill="auto"/>
            <w:vAlign w:val="bottom"/>
          </w:tcPr>
          <w:p w14:paraId="0AB75557" w14:textId="77777777" w:rsidR="00ED65EE" w:rsidRPr="00183E4D" w:rsidRDefault="007547FB" w:rsidP="00E66384">
            <w:pPr>
              <w:pStyle w:val="PublicationTitle"/>
              <w:ind w:left="-142"/>
              <w:rPr>
                <w:szCs w:val="44"/>
              </w:rPr>
            </w:pPr>
            <w:r>
              <w:rPr>
                <w:szCs w:val="44"/>
              </w:rPr>
              <w:t>A</w:t>
            </w:r>
            <w:r w:rsidR="00F5453C">
              <w:rPr>
                <w:szCs w:val="44"/>
              </w:rPr>
              <w:t>ntibody testing for neuromyelitis optica spectrum dis</w:t>
            </w:r>
            <w:r w:rsidR="00E66384">
              <w:rPr>
                <w:szCs w:val="44"/>
              </w:rPr>
              <w:t>order</w:t>
            </w:r>
          </w:p>
        </w:tc>
      </w:tr>
      <w:tr w:rsidR="00ED65EE" w:rsidRPr="00183E4D" w14:paraId="289356F3" w14:textId="77777777" w:rsidTr="001229D7">
        <w:trPr>
          <w:cantSplit/>
          <w:trHeight w:hRule="exact" w:val="2137"/>
        </w:trPr>
        <w:tc>
          <w:tcPr>
            <w:tcW w:w="4253" w:type="dxa"/>
            <w:shd w:val="clear" w:color="auto" w:fill="auto"/>
            <w:vAlign w:val="bottom"/>
          </w:tcPr>
          <w:p w14:paraId="7432FCE9" w14:textId="77777777" w:rsidR="00ED65EE" w:rsidRPr="00183E4D" w:rsidRDefault="00ED65EE" w:rsidP="001229D7"/>
        </w:tc>
        <w:tc>
          <w:tcPr>
            <w:tcW w:w="4678" w:type="dxa"/>
            <w:shd w:val="clear" w:color="auto" w:fill="auto"/>
            <w:vAlign w:val="bottom"/>
          </w:tcPr>
          <w:p w14:paraId="631D6A08" w14:textId="77777777" w:rsidR="00ED65EE" w:rsidRPr="00183E4D" w:rsidRDefault="00ED65EE" w:rsidP="001229D7">
            <w:pPr>
              <w:pStyle w:val="Heading1"/>
              <w:jc w:val="both"/>
            </w:pPr>
          </w:p>
          <w:p w14:paraId="7A79AA9E" w14:textId="77777777" w:rsidR="00ED65EE" w:rsidRPr="00183E4D" w:rsidRDefault="00ED65EE" w:rsidP="001229D7"/>
        </w:tc>
      </w:tr>
      <w:tr w:rsidR="00ED65EE" w:rsidRPr="00183E4D" w14:paraId="44BD396E" w14:textId="77777777" w:rsidTr="001229D7">
        <w:trPr>
          <w:cantSplit/>
          <w:trHeight w:hRule="exact" w:val="1265"/>
          <w:hidden/>
        </w:trPr>
        <w:tc>
          <w:tcPr>
            <w:tcW w:w="4253" w:type="dxa"/>
            <w:shd w:val="clear" w:color="auto" w:fill="auto"/>
            <w:vAlign w:val="center"/>
          </w:tcPr>
          <w:p w14:paraId="377B8351" w14:textId="77777777" w:rsidR="00ED65EE" w:rsidRPr="001B004D" w:rsidRDefault="00ED65EE" w:rsidP="001229D7">
            <w:pPr>
              <w:pStyle w:val="Date"/>
              <w:jc w:val="both"/>
              <w:rPr>
                <w:rFonts w:ascii="Calibri" w:hAnsi="Calibri"/>
                <w:b w:val="0"/>
                <w:vanish/>
                <w:color w:val="C00000"/>
                <w:sz w:val="22"/>
              </w:rPr>
            </w:pPr>
          </w:p>
        </w:tc>
        <w:tc>
          <w:tcPr>
            <w:tcW w:w="4678" w:type="dxa"/>
            <w:shd w:val="clear" w:color="auto" w:fill="auto"/>
            <w:vAlign w:val="center"/>
          </w:tcPr>
          <w:p w14:paraId="18698881" w14:textId="3BF30EDF" w:rsidR="00ED65EE" w:rsidRDefault="00F5453C" w:rsidP="00F5453C">
            <w:pPr>
              <w:pStyle w:val="Date"/>
            </w:pPr>
            <w:r>
              <w:t>Ma</w:t>
            </w:r>
            <w:r w:rsidR="00E46070">
              <w:t>y</w:t>
            </w:r>
            <w:r w:rsidR="00ED65EE" w:rsidRPr="00183E4D">
              <w:t xml:space="preserve"> </w:t>
            </w:r>
            <w:r>
              <w:t>2020</w:t>
            </w:r>
            <w:r w:rsidR="00ED65EE" w:rsidRPr="00183E4D">
              <w:t xml:space="preserve"> </w:t>
            </w:r>
          </w:p>
          <w:p w14:paraId="23A67AAE" w14:textId="77777777" w:rsidR="00ED65EE" w:rsidRPr="001B004D" w:rsidRDefault="00ED65EE" w:rsidP="00F5453C">
            <w:pPr>
              <w:jc w:val="right"/>
              <w:rPr>
                <w:vanish/>
                <w:color w:val="FF0000"/>
              </w:rPr>
            </w:pPr>
          </w:p>
        </w:tc>
      </w:tr>
      <w:tr w:rsidR="00ED65EE" w:rsidRPr="00183E4D" w14:paraId="237D1FA6" w14:textId="77777777" w:rsidTr="001229D7">
        <w:trPr>
          <w:cantSplit/>
          <w:trHeight w:hRule="exact" w:val="998"/>
          <w:hidden/>
        </w:trPr>
        <w:tc>
          <w:tcPr>
            <w:tcW w:w="4253" w:type="dxa"/>
            <w:shd w:val="clear" w:color="auto" w:fill="auto"/>
          </w:tcPr>
          <w:p w14:paraId="2A511118" w14:textId="77777777" w:rsidR="00ED65EE" w:rsidRPr="001B004D" w:rsidRDefault="00ED65EE" w:rsidP="001229D7">
            <w:pPr>
              <w:rPr>
                <w:vanish/>
                <w:color w:val="C00000"/>
              </w:rPr>
            </w:pPr>
          </w:p>
        </w:tc>
        <w:tc>
          <w:tcPr>
            <w:tcW w:w="4678" w:type="dxa"/>
            <w:shd w:val="clear" w:color="auto" w:fill="auto"/>
          </w:tcPr>
          <w:p w14:paraId="0309A149" w14:textId="77777777" w:rsidR="00ED65EE" w:rsidRPr="00183E4D" w:rsidRDefault="00ED65EE" w:rsidP="00F5453C">
            <w:pPr>
              <w:jc w:val="right"/>
              <w:rPr>
                <w:highlight w:val="yellow"/>
              </w:rPr>
            </w:pPr>
          </w:p>
        </w:tc>
      </w:tr>
      <w:tr w:rsidR="00ED65EE" w:rsidRPr="00183E4D" w14:paraId="4044AFC0" w14:textId="77777777" w:rsidTr="001229D7">
        <w:trPr>
          <w:cantSplit/>
          <w:trHeight w:hRule="exact" w:val="3094"/>
        </w:trPr>
        <w:tc>
          <w:tcPr>
            <w:tcW w:w="4253" w:type="dxa"/>
            <w:shd w:val="clear" w:color="auto" w:fill="auto"/>
          </w:tcPr>
          <w:p w14:paraId="1233EAA4" w14:textId="77777777" w:rsidR="00ED65EE" w:rsidRPr="00183E4D" w:rsidRDefault="00ED65EE" w:rsidP="001229D7">
            <w:pPr>
              <w:pStyle w:val="Sub-title"/>
              <w:jc w:val="both"/>
            </w:pPr>
          </w:p>
        </w:tc>
        <w:tc>
          <w:tcPr>
            <w:tcW w:w="4678" w:type="dxa"/>
            <w:shd w:val="clear" w:color="auto" w:fill="auto"/>
          </w:tcPr>
          <w:p w14:paraId="6CBD5D0F" w14:textId="77777777" w:rsidR="00ED65EE" w:rsidRPr="00337B19" w:rsidRDefault="00ED65EE" w:rsidP="00F5453C">
            <w:pPr>
              <w:pStyle w:val="Sub-title"/>
            </w:pPr>
            <w:r w:rsidRPr="00183E4D">
              <w:t xml:space="preserve">MSAC application no. </w:t>
            </w:r>
            <w:r w:rsidR="00F5453C">
              <w:t>1582</w:t>
            </w:r>
          </w:p>
          <w:p w14:paraId="37A7ED3B" w14:textId="77777777" w:rsidR="00ED65EE" w:rsidRPr="00183E4D" w:rsidRDefault="00ED65EE" w:rsidP="00F5453C">
            <w:pPr>
              <w:pStyle w:val="Sub-title"/>
              <w:rPr>
                <w:i/>
              </w:rPr>
            </w:pPr>
            <w:r w:rsidRPr="00183E4D">
              <w:br/>
            </w:r>
            <w:r w:rsidR="00F5453C">
              <w:t xml:space="preserve">Department Contracted </w:t>
            </w:r>
            <w:r w:rsidRPr="00183E4D">
              <w:t xml:space="preserve">Assessment </w:t>
            </w:r>
            <w:r w:rsidR="00F5453C">
              <w:t>R</w:t>
            </w:r>
            <w:r w:rsidRPr="00183E4D">
              <w:t>eport</w:t>
            </w:r>
          </w:p>
        </w:tc>
      </w:tr>
    </w:tbl>
    <w:p w14:paraId="26171EE3" w14:textId="77777777" w:rsidR="00ED65EE" w:rsidRPr="00183E4D" w:rsidRDefault="00ED65EE" w:rsidP="00ED65EE">
      <w:pPr>
        <w:autoSpaceDE w:val="0"/>
        <w:autoSpaceDN w:val="0"/>
        <w:adjustRightInd w:val="0"/>
        <w:spacing w:after="0"/>
      </w:pPr>
    </w:p>
    <w:p w14:paraId="60089E8A" w14:textId="77777777" w:rsidR="00ED65EE" w:rsidRPr="00183E4D" w:rsidRDefault="00ED65EE" w:rsidP="00ED65EE">
      <w:pPr>
        <w:autoSpaceDE w:val="0"/>
        <w:autoSpaceDN w:val="0"/>
        <w:adjustRightInd w:val="0"/>
        <w:spacing w:after="0"/>
      </w:pPr>
    </w:p>
    <w:p w14:paraId="45B6F730" w14:textId="77777777" w:rsidR="00ED65EE" w:rsidRPr="00183E4D" w:rsidRDefault="00ED65EE" w:rsidP="00ED65EE">
      <w:pPr>
        <w:spacing w:after="0" w:line="240" w:lineRule="auto"/>
      </w:pPr>
      <w:r w:rsidRPr="00183E4D">
        <w:br w:type="page"/>
      </w:r>
    </w:p>
    <w:p w14:paraId="1735CB39" w14:textId="77777777" w:rsidR="00ED65EE" w:rsidRPr="00FC79BA" w:rsidRDefault="00ED65EE" w:rsidP="009717EB">
      <w:pPr>
        <w:autoSpaceDE w:val="0"/>
        <w:autoSpaceDN w:val="0"/>
        <w:adjustRightInd w:val="0"/>
        <w:spacing w:after="0"/>
        <w:rPr>
          <w:b/>
          <w:bCs/>
          <w:color w:val="000000"/>
          <w:sz w:val="20"/>
          <w:szCs w:val="20"/>
          <w:lang w:eastAsia="zh-TW"/>
        </w:rPr>
      </w:pPr>
      <w:bookmarkStart w:id="0" w:name="_Toc192054741"/>
      <w:bookmarkStart w:id="1" w:name="_Toc206489930"/>
      <w:bookmarkStart w:id="2" w:name="_Toc206494639"/>
      <w:bookmarkStart w:id="3" w:name="_Toc214339152"/>
      <w:bookmarkStart w:id="4" w:name="_Toc237759553"/>
      <w:bookmarkStart w:id="5" w:name="_Toc356462688"/>
      <w:bookmarkStart w:id="6" w:name="_Toc356462742"/>
      <w:bookmarkStart w:id="7" w:name="_Toc356462997"/>
      <w:bookmarkStart w:id="8" w:name="_Ref360694627"/>
      <w:bookmarkStart w:id="9" w:name="_Toc379117342"/>
      <w:bookmarkStart w:id="10" w:name="_Toc379118055"/>
      <w:bookmarkStart w:id="11" w:name="_Toc379118243"/>
      <w:bookmarkStart w:id="12" w:name="_Toc381796424"/>
      <w:r>
        <w:rPr>
          <w:b/>
          <w:bCs/>
          <w:color w:val="000000"/>
          <w:sz w:val="20"/>
          <w:szCs w:val="20"/>
          <w:lang w:eastAsia="zh-TW"/>
        </w:rPr>
        <w:lastRenderedPageBreak/>
        <w:t>&lt;</w:t>
      </w:r>
      <w:r w:rsidRPr="00FC79BA">
        <w:rPr>
          <w:b/>
          <w:bCs/>
          <w:color w:val="000000"/>
          <w:sz w:val="20"/>
          <w:szCs w:val="20"/>
          <w:lang w:eastAsia="zh-TW"/>
        </w:rPr>
        <w:t>© Commonwealth of Australia 20</w:t>
      </w:r>
      <w:r w:rsidR="007547FB">
        <w:rPr>
          <w:b/>
          <w:bCs/>
          <w:color w:val="000000"/>
          <w:sz w:val="20"/>
          <w:szCs w:val="20"/>
          <w:lang w:eastAsia="zh-TW"/>
        </w:rPr>
        <w:t>20</w:t>
      </w:r>
    </w:p>
    <w:p w14:paraId="05C21AEF" w14:textId="77777777" w:rsidR="00ED65EE" w:rsidRDefault="00ED65EE" w:rsidP="009717EB">
      <w:pPr>
        <w:autoSpaceDE w:val="0"/>
        <w:autoSpaceDN w:val="0"/>
        <w:adjustRightInd w:val="0"/>
        <w:spacing w:after="0" w:line="240" w:lineRule="auto"/>
        <w:rPr>
          <w:b/>
          <w:bCs/>
          <w:color w:val="000000"/>
          <w:sz w:val="20"/>
          <w:szCs w:val="20"/>
          <w:lang w:eastAsia="zh-TW"/>
        </w:rPr>
      </w:pPr>
    </w:p>
    <w:p w14:paraId="028FF268" w14:textId="77777777" w:rsidR="00E6217C" w:rsidRPr="00FC79BA" w:rsidRDefault="00E6217C" w:rsidP="009717EB">
      <w:pPr>
        <w:autoSpaceDE w:val="0"/>
        <w:autoSpaceDN w:val="0"/>
        <w:adjustRightInd w:val="0"/>
        <w:spacing w:after="0" w:line="240" w:lineRule="auto"/>
        <w:rPr>
          <w:b/>
          <w:bCs/>
          <w:color w:val="000000"/>
          <w:sz w:val="20"/>
          <w:szCs w:val="20"/>
          <w:lang w:eastAsia="zh-TW"/>
        </w:rPr>
      </w:pPr>
    </w:p>
    <w:p w14:paraId="6753405E" w14:textId="77777777" w:rsidR="00ED65EE" w:rsidRPr="00FC79BA" w:rsidRDefault="00ED65EE" w:rsidP="009717EB">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ISSN (Online) 1443-7139</w:t>
      </w:r>
    </w:p>
    <w:p w14:paraId="7FD94604" w14:textId="77777777" w:rsidR="00ED65EE" w:rsidRPr="00FC79BA" w:rsidRDefault="00ED65EE" w:rsidP="009717EB">
      <w:pPr>
        <w:autoSpaceDE w:val="0"/>
        <w:autoSpaceDN w:val="0"/>
        <w:adjustRightInd w:val="0"/>
        <w:spacing w:after="0" w:line="240" w:lineRule="auto"/>
        <w:rPr>
          <w:b/>
          <w:bCs/>
          <w:color w:val="000000"/>
          <w:sz w:val="20"/>
          <w:szCs w:val="20"/>
          <w:lang w:eastAsia="zh-TW"/>
        </w:rPr>
      </w:pPr>
    </w:p>
    <w:p w14:paraId="4D5FFF90" w14:textId="77777777" w:rsidR="00ED65EE" w:rsidRPr="00FC79BA" w:rsidRDefault="00ED65EE" w:rsidP="009717EB">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 xml:space="preserve">Internet site </w:t>
      </w:r>
      <w:hyperlink r:id="rId8" w:history="1">
        <w:r w:rsidRPr="00FC79BA">
          <w:rPr>
            <w:color w:val="0000FF"/>
            <w:sz w:val="20"/>
            <w:szCs w:val="20"/>
            <w:u w:val="single"/>
            <w:lang w:eastAsia="zh-TW"/>
          </w:rPr>
          <w:t>http://www.msac.gov.au/</w:t>
        </w:r>
      </w:hyperlink>
    </w:p>
    <w:p w14:paraId="76DC17BE" w14:textId="77777777" w:rsidR="00ED65EE" w:rsidRPr="00FC79BA" w:rsidRDefault="00ED65EE" w:rsidP="009717EB">
      <w:pPr>
        <w:autoSpaceDE w:val="0"/>
        <w:autoSpaceDN w:val="0"/>
        <w:adjustRightInd w:val="0"/>
        <w:spacing w:after="0" w:line="240" w:lineRule="auto"/>
        <w:rPr>
          <w:b/>
          <w:bCs/>
          <w:color w:val="000000"/>
          <w:sz w:val="20"/>
          <w:szCs w:val="20"/>
          <w:lang w:eastAsia="zh-TW"/>
        </w:rPr>
      </w:pPr>
    </w:p>
    <w:p w14:paraId="7487CB75" w14:textId="77777777" w:rsidR="00ED65EE" w:rsidRPr="00FC79BA" w:rsidRDefault="00ED65EE" w:rsidP="009717EB">
      <w:pPr>
        <w:autoSpaceDE w:val="0"/>
        <w:autoSpaceDN w:val="0"/>
        <w:adjustRightInd w:val="0"/>
        <w:spacing w:after="0" w:line="240" w:lineRule="auto"/>
        <w:rPr>
          <w:color w:val="000000"/>
          <w:sz w:val="20"/>
          <w:szCs w:val="20"/>
        </w:rPr>
      </w:pPr>
      <w:r w:rsidRPr="00FC79B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w:t>
      </w:r>
      <w:r w:rsidR="00113215">
        <w:rPr>
          <w:color w:val="000000"/>
          <w:sz w:val="20"/>
          <w:szCs w:val="20"/>
        </w:rPr>
        <w:t xml:space="preserve">and </w:t>
      </w:r>
      <w:r w:rsidRPr="00FC79BA">
        <w:rPr>
          <w:color w:val="000000"/>
          <w:sz w:val="20"/>
          <w:szCs w:val="20"/>
        </w:rPr>
        <w:t xml:space="preserve">Barton ACT 2600 or posted at </w:t>
      </w:r>
      <w:hyperlink r:id="rId9" w:history="1">
        <w:r w:rsidRPr="00FC79BA">
          <w:rPr>
            <w:color w:val="0000FF"/>
            <w:sz w:val="20"/>
            <w:szCs w:val="20"/>
            <w:u w:val="single"/>
            <w:lang w:eastAsia="zh-TW"/>
          </w:rPr>
          <w:t>http://www.ag.gov.au/</w:t>
        </w:r>
      </w:hyperlink>
      <w:r w:rsidRPr="00FC79BA">
        <w:rPr>
          <w:color w:val="0000FF"/>
          <w:sz w:val="20"/>
          <w:szCs w:val="20"/>
          <w:lang w:eastAsia="zh-TW"/>
        </w:rPr>
        <w:t>.</w:t>
      </w:r>
    </w:p>
    <w:p w14:paraId="18953607" w14:textId="77777777" w:rsidR="00ED65EE" w:rsidRPr="00FC79BA" w:rsidRDefault="00ED65EE" w:rsidP="009717EB">
      <w:pPr>
        <w:autoSpaceDE w:val="0"/>
        <w:autoSpaceDN w:val="0"/>
        <w:adjustRightInd w:val="0"/>
        <w:spacing w:after="0" w:line="240" w:lineRule="auto"/>
        <w:rPr>
          <w:color w:val="000000"/>
          <w:sz w:val="20"/>
          <w:szCs w:val="20"/>
        </w:rPr>
      </w:pPr>
    </w:p>
    <w:p w14:paraId="2F465B06" w14:textId="77777777" w:rsidR="00ED65EE" w:rsidRPr="00FC79BA" w:rsidRDefault="00ED65EE" w:rsidP="009717EB">
      <w:pPr>
        <w:autoSpaceDE w:val="0"/>
        <w:autoSpaceDN w:val="0"/>
        <w:adjustRightInd w:val="0"/>
        <w:spacing w:after="0" w:line="240" w:lineRule="auto"/>
        <w:rPr>
          <w:color w:val="000000"/>
          <w:sz w:val="20"/>
          <w:szCs w:val="20"/>
          <w:lang w:eastAsia="zh-TW"/>
        </w:rPr>
      </w:pPr>
    </w:p>
    <w:p w14:paraId="391EBCA9" w14:textId="77777777" w:rsidR="00ED65EE" w:rsidRPr="00FC79BA" w:rsidRDefault="00ED65EE" w:rsidP="009717EB">
      <w:pPr>
        <w:autoSpaceDE w:val="0"/>
        <w:autoSpaceDN w:val="0"/>
        <w:adjustRightInd w:val="0"/>
        <w:spacing w:after="0" w:line="240" w:lineRule="auto"/>
        <w:rPr>
          <w:color w:val="1B1B1B"/>
          <w:sz w:val="20"/>
          <w:szCs w:val="20"/>
        </w:rPr>
      </w:pPr>
      <w:r w:rsidRPr="00FC79BA">
        <w:rPr>
          <w:color w:val="000000"/>
          <w:sz w:val="20"/>
          <w:szCs w:val="20"/>
          <w:lang w:eastAsia="zh-TW"/>
        </w:rPr>
        <w:t>Electronic copies of the report can be obtained from the Medical Service Advisory Committee’s Internet site at</w:t>
      </w:r>
      <w:r w:rsidRPr="00FC79BA">
        <w:rPr>
          <w:sz w:val="20"/>
          <w:szCs w:val="20"/>
          <w:lang w:eastAsia="zh-TW"/>
        </w:rPr>
        <w:t xml:space="preserve"> </w:t>
      </w:r>
      <w:hyperlink r:id="rId10" w:history="1">
        <w:r w:rsidRPr="00FC79BA">
          <w:rPr>
            <w:color w:val="0000FF"/>
            <w:sz w:val="20"/>
            <w:szCs w:val="20"/>
            <w:u w:val="single"/>
            <w:lang w:eastAsia="zh-TW"/>
          </w:rPr>
          <w:t>http://www.msac.gov.au/</w:t>
        </w:r>
      </w:hyperlink>
    </w:p>
    <w:p w14:paraId="6B38842C" w14:textId="77777777" w:rsidR="00ED65EE" w:rsidRPr="00FC79BA" w:rsidRDefault="00ED65EE" w:rsidP="009717EB">
      <w:pPr>
        <w:autoSpaceDE w:val="0"/>
        <w:autoSpaceDN w:val="0"/>
        <w:adjustRightInd w:val="0"/>
        <w:spacing w:after="0" w:line="240" w:lineRule="auto"/>
        <w:rPr>
          <w:color w:val="1B1B1B"/>
          <w:sz w:val="20"/>
          <w:szCs w:val="20"/>
          <w:lang w:eastAsia="zh-TW"/>
        </w:rPr>
      </w:pPr>
    </w:p>
    <w:p w14:paraId="72337196" w14:textId="77777777" w:rsidR="00ED65EE" w:rsidRPr="00FC79BA" w:rsidRDefault="00ED65EE" w:rsidP="009717EB">
      <w:pPr>
        <w:autoSpaceDE w:val="0"/>
        <w:autoSpaceDN w:val="0"/>
        <w:adjustRightInd w:val="0"/>
        <w:spacing w:after="0" w:line="240" w:lineRule="auto"/>
        <w:rPr>
          <w:color w:val="000000"/>
          <w:sz w:val="20"/>
          <w:szCs w:val="20"/>
        </w:rPr>
      </w:pPr>
      <w:r w:rsidRPr="00FC79BA">
        <w:rPr>
          <w:color w:val="000000"/>
          <w:sz w:val="20"/>
          <w:szCs w:val="20"/>
        </w:rPr>
        <w:t xml:space="preserve">Enquiries about the content of the report should be emailed to </w:t>
      </w:r>
      <w:hyperlink r:id="rId11" w:history="1">
        <w:r w:rsidRPr="00FC79BA">
          <w:rPr>
            <w:color w:val="0000FF"/>
            <w:sz w:val="20"/>
            <w:szCs w:val="20"/>
            <w:u w:val="single"/>
          </w:rPr>
          <w:t>hta@health.gov.au</w:t>
        </w:r>
      </w:hyperlink>
      <w:r w:rsidRPr="00FC79BA">
        <w:rPr>
          <w:color w:val="000000"/>
          <w:sz w:val="20"/>
          <w:szCs w:val="20"/>
        </w:rPr>
        <w:t>.</w:t>
      </w:r>
    </w:p>
    <w:p w14:paraId="3A996D05" w14:textId="77777777" w:rsidR="00ED65EE" w:rsidRPr="00FC79BA" w:rsidRDefault="00ED65EE" w:rsidP="009717EB">
      <w:pPr>
        <w:autoSpaceDE w:val="0"/>
        <w:autoSpaceDN w:val="0"/>
        <w:adjustRightInd w:val="0"/>
        <w:spacing w:after="0" w:line="240" w:lineRule="auto"/>
        <w:rPr>
          <w:color w:val="1B1B1B"/>
          <w:sz w:val="20"/>
          <w:szCs w:val="20"/>
          <w:lang w:eastAsia="zh-TW"/>
        </w:rPr>
      </w:pPr>
    </w:p>
    <w:p w14:paraId="2AF83774" w14:textId="77777777" w:rsidR="00ED65EE" w:rsidRPr="00FC79BA" w:rsidRDefault="00ED65EE" w:rsidP="009717EB">
      <w:pPr>
        <w:autoSpaceDE w:val="0"/>
        <w:autoSpaceDN w:val="0"/>
        <w:adjustRightInd w:val="0"/>
        <w:spacing w:after="0" w:line="240" w:lineRule="auto"/>
        <w:rPr>
          <w:color w:val="1B1B1B"/>
          <w:sz w:val="20"/>
          <w:szCs w:val="20"/>
          <w:lang w:eastAsia="zh-TW"/>
        </w:rPr>
      </w:pPr>
    </w:p>
    <w:p w14:paraId="0F74206E" w14:textId="77777777" w:rsidR="00ED65EE" w:rsidRPr="00FC79BA" w:rsidRDefault="00ED65EE" w:rsidP="009717EB">
      <w:pPr>
        <w:autoSpaceDE w:val="0"/>
        <w:autoSpaceDN w:val="0"/>
        <w:adjustRightInd w:val="0"/>
        <w:spacing w:after="0" w:line="240" w:lineRule="auto"/>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750CD3C8" w14:textId="77777777" w:rsidR="00ED65EE" w:rsidRPr="00FC79BA" w:rsidRDefault="00ED65EE" w:rsidP="009717EB">
      <w:pPr>
        <w:autoSpaceDE w:val="0"/>
        <w:autoSpaceDN w:val="0"/>
        <w:adjustRightInd w:val="0"/>
        <w:spacing w:after="0" w:line="240" w:lineRule="auto"/>
        <w:rPr>
          <w:color w:val="000000"/>
          <w:sz w:val="20"/>
          <w:szCs w:val="20"/>
          <w:lang w:eastAsia="zh-TW"/>
        </w:rPr>
      </w:pPr>
    </w:p>
    <w:p w14:paraId="082585DD" w14:textId="77777777" w:rsidR="00ED65EE" w:rsidRPr="00FC79BA" w:rsidRDefault="00ED65EE" w:rsidP="009717EB">
      <w:pPr>
        <w:autoSpaceDE w:val="0"/>
        <w:autoSpaceDN w:val="0"/>
        <w:adjustRightInd w:val="0"/>
        <w:spacing w:after="0" w:line="240" w:lineRule="auto"/>
        <w:rPr>
          <w:color w:val="000000"/>
          <w:sz w:val="20"/>
          <w:szCs w:val="20"/>
          <w:lang w:eastAsia="zh-TW"/>
        </w:rPr>
      </w:pPr>
    </w:p>
    <w:p w14:paraId="228D1979" w14:textId="77777777" w:rsidR="00ED65EE" w:rsidRPr="00FC79BA" w:rsidRDefault="00ED65EE" w:rsidP="009717EB">
      <w:pPr>
        <w:autoSpaceDE w:val="0"/>
        <w:autoSpaceDN w:val="0"/>
        <w:adjustRightInd w:val="0"/>
        <w:spacing w:after="0" w:line="240" w:lineRule="auto"/>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participated in the MSAC evaluation.</w:t>
      </w:r>
    </w:p>
    <w:p w14:paraId="1A16F48D" w14:textId="77777777" w:rsidR="00ED65EE" w:rsidRPr="00FC79BA" w:rsidRDefault="00ED65EE" w:rsidP="009717EB">
      <w:pPr>
        <w:autoSpaceDE w:val="0"/>
        <w:autoSpaceDN w:val="0"/>
        <w:adjustRightInd w:val="0"/>
        <w:spacing w:after="0" w:line="240" w:lineRule="auto"/>
        <w:rPr>
          <w:color w:val="000000"/>
          <w:sz w:val="20"/>
          <w:szCs w:val="20"/>
          <w:lang w:eastAsia="zh-TW"/>
        </w:rPr>
      </w:pPr>
    </w:p>
    <w:p w14:paraId="7DB08489" w14:textId="77777777" w:rsidR="00ED65EE" w:rsidRPr="00FC79BA" w:rsidRDefault="00ED65EE" w:rsidP="009717EB">
      <w:pPr>
        <w:autoSpaceDE w:val="0"/>
        <w:autoSpaceDN w:val="0"/>
        <w:adjustRightInd w:val="0"/>
        <w:spacing w:after="0" w:line="240" w:lineRule="auto"/>
        <w:rPr>
          <w:color w:val="000000"/>
          <w:sz w:val="20"/>
          <w:szCs w:val="20"/>
          <w:lang w:eastAsia="zh-TW"/>
        </w:rPr>
      </w:pPr>
    </w:p>
    <w:p w14:paraId="77D96843" w14:textId="77777777" w:rsidR="00ED65EE" w:rsidRPr="00FC79BA" w:rsidRDefault="00ED65EE" w:rsidP="009717EB">
      <w:pPr>
        <w:autoSpaceDE w:val="0"/>
        <w:autoSpaceDN w:val="0"/>
        <w:adjustRightInd w:val="0"/>
        <w:spacing w:after="0" w:line="240" w:lineRule="auto"/>
        <w:rPr>
          <w:sz w:val="20"/>
          <w:szCs w:val="20"/>
        </w:rPr>
      </w:pPr>
      <w:r w:rsidRPr="00FC79BA">
        <w:rPr>
          <w:sz w:val="20"/>
          <w:szCs w:val="20"/>
        </w:rPr>
        <w:t xml:space="preserve">This report was prepared by </w:t>
      </w:r>
      <w:r w:rsidR="00E6217C">
        <w:rPr>
          <w:sz w:val="20"/>
          <w:szCs w:val="20"/>
        </w:rPr>
        <w:t xml:space="preserve">Joanne Milverton, Ruchi Mittal, </w:t>
      </w:r>
      <w:r w:rsidR="003C623D">
        <w:rPr>
          <w:sz w:val="20"/>
          <w:szCs w:val="20"/>
        </w:rPr>
        <w:t xml:space="preserve">Susan Bellman, </w:t>
      </w:r>
      <w:r w:rsidR="00E6217C">
        <w:rPr>
          <w:sz w:val="20"/>
          <w:szCs w:val="20"/>
        </w:rPr>
        <w:t>Ja</w:t>
      </w:r>
      <w:r w:rsidR="00644D84">
        <w:rPr>
          <w:sz w:val="20"/>
          <w:szCs w:val="20"/>
        </w:rPr>
        <w:t>queline</w:t>
      </w:r>
      <w:r w:rsidR="00E6217C">
        <w:rPr>
          <w:sz w:val="20"/>
          <w:szCs w:val="20"/>
        </w:rPr>
        <w:t xml:space="preserve"> Parsons, and Camille Schubert</w:t>
      </w:r>
      <w:r w:rsidRPr="00FC79BA">
        <w:rPr>
          <w:sz w:val="20"/>
          <w:szCs w:val="20"/>
        </w:rPr>
        <w:t xml:space="preserve"> from </w:t>
      </w:r>
      <w:r w:rsidR="00E6217C">
        <w:rPr>
          <w:sz w:val="20"/>
          <w:szCs w:val="20"/>
        </w:rPr>
        <w:t xml:space="preserve">Adelaide Health </w:t>
      </w:r>
      <w:r w:rsidR="00644D84">
        <w:rPr>
          <w:sz w:val="20"/>
          <w:szCs w:val="20"/>
        </w:rPr>
        <w:t>Technology</w:t>
      </w:r>
      <w:r w:rsidR="00E6217C">
        <w:rPr>
          <w:sz w:val="20"/>
          <w:szCs w:val="20"/>
        </w:rPr>
        <w:t xml:space="preserve"> Assessment (AHTA)</w:t>
      </w:r>
      <w:r w:rsidRPr="00FC79BA">
        <w:rPr>
          <w:sz w:val="20"/>
          <w:szCs w:val="20"/>
        </w:rPr>
        <w:t xml:space="preserve">. The report was commissioned by the Australian Government Department of Health. </w:t>
      </w:r>
    </w:p>
    <w:p w14:paraId="6A81D324" w14:textId="77777777" w:rsidR="00ED65EE" w:rsidRPr="00FC79BA" w:rsidRDefault="00ED65EE" w:rsidP="009717EB">
      <w:pPr>
        <w:autoSpaceDE w:val="0"/>
        <w:autoSpaceDN w:val="0"/>
        <w:adjustRightInd w:val="0"/>
        <w:spacing w:after="0" w:line="240" w:lineRule="auto"/>
        <w:rPr>
          <w:sz w:val="20"/>
          <w:szCs w:val="20"/>
        </w:rPr>
      </w:pPr>
    </w:p>
    <w:p w14:paraId="118DEF36" w14:textId="77777777" w:rsidR="00ED65EE" w:rsidRPr="00FC79BA" w:rsidRDefault="00ED65EE" w:rsidP="009717EB">
      <w:pPr>
        <w:autoSpaceDE w:val="0"/>
        <w:autoSpaceDN w:val="0"/>
        <w:adjustRightInd w:val="0"/>
        <w:spacing w:after="0" w:line="240" w:lineRule="auto"/>
        <w:rPr>
          <w:rFonts w:cs="Humanist521BT-Roman"/>
          <w:color w:val="231F20"/>
          <w:sz w:val="20"/>
          <w:szCs w:val="20"/>
        </w:rPr>
      </w:pPr>
      <w:r w:rsidRPr="00FC79BA">
        <w:rPr>
          <w:rFonts w:cs="Humanist521BT-Roman"/>
          <w:color w:val="231F20"/>
          <w:sz w:val="20"/>
          <w:szCs w:val="20"/>
        </w:rPr>
        <w:t>The suggested citation for this document is:</w:t>
      </w:r>
    </w:p>
    <w:p w14:paraId="0D1EAA03" w14:textId="77777777" w:rsidR="00ED65EE" w:rsidRPr="00FC79BA" w:rsidRDefault="00ED65EE" w:rsidP="009717EB">
      <w:pPr>
        <w:autoSpaceDE w:val="0"/>
        <w:autoSpaceDN w:val="0"/>
        <w:adjustRightInd w:val="0"/>
        <w:spacing w:after="0" w:line="240" w:lineRule="auto"/>
        <w:rPr>
          <w:rFonts w:cs="Humanist521BT-Roman"/>
          <w:color w:val="231F20"/>
          <w:sz w:val="20"/>
          <w:szCs w:val="20"/>
        </w:rPr>
      </w:pPr>
    </w:p>
    <w:p w14:paraId="6C6CDBD3" w14:textId="77777777" w:rsidR="00ED65EE" w:rsidRPr="00FC79BA" w:rsidRDefault="00E6217C" w:rsidP="009717EB">
      <w:pPr>
        <w:autoSpaceDE w:val="0"/>
        <w:autoSpaceDN w:val="0"/>
        <w:adjustRightInd w:val="0"/>
        <w:spacing w:after="0" w:line="240" w:lineRule="auto"/>
        <w:rPr>
          <w:sz w:val="20"/>
          <w:szCs w:val="20"/>
        </w:rPr>
      </w:pPr>
      <w:r w:rsidRPr="00E6217C">
        <w:rPr>
          <w:sz w:val="20"/>
          <w:szCs w:val="20"/>
        </w:rPr>
        <w:t>Milverton J</w:t>
      </w:r>
      <w:r w:rsidR="00ED65EE" w:rsidRPr="00E6217C">
        <w:rPr>
          <w:sz w:val="20"/>
          <w:szCs w:val="20"/>
        </w:rPr>
        <w:t xml:space="preserve">, </w:t>
      </w:r>
      <w:r w:rsidR="003C623D">
        <w:rPr>
          <w:sz w:val="20"/>
          <w:szCs w:val="20"/>
        </w:rPr>
        <w:t xml:space="preserve">Mittal R, </w:t>
      </w:r>
      <w:r w:rsidRPr="00E6217C">
        <w:rPr>
          <w:sz w:val="20"/>
          <w:szCs w:val="20"/>
        </w:rPr>
        <w:t>Bellman S</w:t>
      </w:r>
      <w:r w:rsidR="00ED65EE" w:rsidRPr="00E6217C">
        <w:rPr>
          <w:sz w:val="20"/>
          <w:szCs w:val="20"/>
        </w:rPr>
        <w:t xml:space="preserve">, </w:t>
      </w:r>
      <w:r>
        <w:rPr>
          <w:sz w:val="20"/>
          <w:szCs w:val="20"/>
        </w:rPr>
        <w:t>Parsons J, Schubert C</w:t>
      </w:r>
      <w:r w:rsidR="00ED65EE" w:rsidRPr="00FC79BA">
        <w:rPr>
          <w:sz w:val="20"/>
          <w:szCs w:val="20"/>
        </w:rPr>
        <w:t>. (20</w:t>
      </w:r>
      <w:r>
        <w:rPr>
          <w:sz w:val="20"/>
          <w:szCs w:val="20"/>
        </w:rPr>
        <w:t>20</w:t>
      </w:r>
      <w:r w:rsidR="00ED65EE" w:rsidRPr="00FC79BA">
        <w:rPr>
          <w:sz w:val="20"/>
          <w:szCs w:val="20"/>
        </w:rPr>
        <w:t xml:space="preserve">). </w:t>
      </w:r>
      <w:r w:rsidRPr="00E6217C">
        <w:rPr>
          <w:i/>
          <w:sz w:val="20"/>
          <w:szCs w:val="20"/>
        </w:rPr>
        <w:t>Antibody testing for neuromyelitis optica spectrum disorder</w:t>
      </w:r>
      <w:r w:rsidR="00ED65EE" w:rsidRPr="00E6217C">
        <w:rPr>
          <w:sz w:val="20"/>
          <w:szCs w:val="20"/>
        </w:rPr>
        <w:t xml:space="preserve">. MSAC Application </w:t>
      </w:r>
      <w:r w:rsidRPr="00E6217C">
        <w:rPr>
          <w:sz w:val="20"/>
          <w:szCs w:val="20"/>
        </w:rPr>
        <w:t>1582</w:t>
      </w:r>
      <w:r w:rsidR="00ED65EE" w:rsidRPr="00E6217C">
        <w:rPr>
          <w:sz w:val="20"/>
          <w:szCs w:val="20"/>
        </w:rPr>
        <w:t>, Assessment Report. Commonwealth of Australia, Canberra, ACT.</w:t>
      </w:r>
    </w:p>
    <w:p w14:paraId="273A2A56" w14:textId="77777777" w:rsidR="00ED65EE" w:rsidRDefault="00ED65EE" w:rsidP="009717EB">
      <w:pPr>
        <w:autoSpaceDE w:val="0"/>
        <w:autoSpaceDN w:val="0"/>
        <w:adjustRightInd w:val="0"/>
        <w:spacing w:after="0" w:line="240" w:lineRule="auto"/>
        <w:rPr>
          <w:rFonts w:cs="Humanist521BT-Roman"/>
          <w:color w:val="231F20"/>
          <w:sz w:val="20"/>
          <w:szCs w:val="20"/>
        </w:rPr>
      </w:pPr>
    </w:p>
    <w:p w14:paraId="7D76E24E" w14:textId="77777777" w:rsidR="007547FB" w:rsidRPr="00FC79BA" w:rsidRDefault="007547FB" w:rsidP="009717EB">
      <w:pPr>
        <w:autoSpaceDE w:val="0"/>
        <w:autoSpaceDN w:val="0"/>
        <w:adjustRightInd w:val="0"/>
        <w:spacing w:after="0" w:line="240" w:lineRule="auto"/>
        <w:rPr>
          <w:rFonts w:cs="Humanist521BT-Roman"/>
          <w:color w:val="231F20"/>
          <w:sz w:val="20"/>
          <w:szCs w:val="20"/>
        </w:rPr>
      </w:pPr>
    </w:p>
    <w:p w14:paraId="54D4CBF6" w14:textId="77777777" w:rsidR="00ED65EE" w:rsidRDefault="007547FB" w:rsidP="00ED65EE">
      <w:pPr>
        <w:rPr>
          <w:sz w:val="20"/>
          <w:szCs w:val="20"/>
        </w:rPr>
      </w:pPr>
      <w:r>
        <w:rPr>
          <w:noProof/>
          <w:sz w:val="20"/>
          <w:szCs w:val="20"/>
        </w:rPr>
        <w:drawing>
          <wp:inline distT="0" distB="0" distL="0" distR="0" wp14:anchorId="3A440FBD" wp14:editId="5441E76F">
            <wp:extent cx="2200910" cy="1402080"/>
            <wp:effectExtent l="0" t="0" r="8890" b="7620"/>
            <wp:docPr id="17" name="Picture 17" descr="This is a HTA report, based on INAHTA standards" title="IP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910" cy="1402080"/>
                    </a:xfrm>
                    <a:prstGeom prst="rect">
                      <a:avLst/>
                    </a:prstGeom>
                    <a:noFill/>
                  </pic:spPr>
                </pic:pic>
              </a:graphicData>
            </a:graphic>
          </wp:inline>
        </w:drawing>
      </w:r>
    </w:p>
    <w:p w14:paraId="02A17F80" w14:textId="77777777" w:rsidR="007547FB" w:rsidRPr="00183E4D" w:rsidRDefault="007547FB" w:rsidP="00ED65EE">
      <w:pPr>
        <w:rPr>
          <w:sz w:val="20"/>
          <w:szCs w:val="20"/>
        </w:rPr>
      </w:pPr>
    </w:p>
    <w:p w14:paraId="08A510E5" w14:textId="77777777" w:rsidR="00ED65EE" w:rsidRPr="00183E4D" w:rsidRDefault="00ED65EE" w:rsidP="00ED65EE">
      <w:pPr>
        <w:sectPr w:rsidR="00ED65EE" w:rsidRPr="00183E4D" w:rsidSect="00ED65EE">
          <w:headerReference w:type="default" r:id="rId13"/>
          <w:headerReference w:type="first" r:id="rId14"/>
          <w:pgSz w:w="11907" w:h="16840" w:code="9"/>
          <w:pgMar w:top="1440" w:right="1440" w:bottom="1440" w:left="1440" w:header="578" w:footer="578" w:gutter="0"/>
          <w:pgNumType w:fmt="lowerRoman" w:start="1"/>
          <w:cols w:space="720"/>
          <w:noEndnote/>
          <w:titlePg/>
        </w:sectPr>
      </w:pPr>
    </w:p>
    <w:p w14:paraId="3F85C7EF" w14:textId="77777777" w:rsidR="00ED65EE" w:rsidRPr="00183E4D" w:rsidRDefault="00ED65EE" w:rsidP="00ED65EE">
      <w:pPr>
        <w:pStyle w:val="Heading1"/>
        <w:jc w:val="both"/>
      </w:pPr>
      <w:bookmarkStart w:id="13" w:name="_Toc395200735"/>
      <w:bookmarkStart w:id="14" w:name="_Toc399247190"/>
      <w:bookmarkStart w:id="15" w:name="_Toc39588241"/>
      <w:r w:rsidRPr="00183E4D">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183E4D">
        <w:tab/>
      </w:r>
    </w:p>
    <w:sdt>
      <w:sdtPr>
        <w:rPr>
          <w:b w:val="0"/>
          <w:noProof w:val="0"/>
        </w:rPr>
        <w:id w:val="-1664701443"/>
        <w:docPartObj>
          <w:docPartGallery w:val="Table of Contents"/>
          <w:docPartUnique/>
        </w:docPartObj>
      </w:sdtPr>
      <w:sdtEndPr>
        <w:rPr>
          <w:bCs/>
        </w:rPr>
      </w:sdtEndPr>
      <w:sdtContent>
        <w:p w14:paraId="2495AAD6" w14:textId="781CF8B6" w:rsidR="00DA54CB" w:rsidRDefault="00ED65EE">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39588241" w:history="1">
            <w:r w:rsidR="00DA54CB" w:rsidRPr="006C77C5">
              <w:rPr>
                <w:rStyle w:val="Hyperlink"/>
              </w:rPr>
              <w:t>Contents</w:t>
            </w:r>
            <w:r w:rsidR="00DA54CB">
              <w:rPr>
                <w:webHidden/>
              </w:rPr>
              <w:tab/>
            </w:r>
            <w:r w:rsidR="00DA54CB">
              <w:rPr>
                <w:webHidden/>
              </w:rPr>
              <w:tab/>
            </w:r>
            <w:r w:rsidR="00DA54CB">
              <w:rPr>
                <w:webHidden/>
              </w:rPr>
              <w:fldChar w:fldCharType="begin"/>
            </w:r>
            <w:r w:rsidR="00DA54CB">
              <w:rPr>
                <w:webHidden/>
              </w:rPr>
              <w:instrText xml:space="preserve"> PAGEREF _Toc39588241 \h </w:instrText>
            </w:r>
            <w:r w:rsidR="00DA54CB">
              <w:rPr>
                <w:webHidden/>
              </w:rPr>
            </w:r>
            <w:r w:rsidR="00DA54CB">
              <w:rPr>
                <w:webHidden/>
              </w:rPr>
              <w:fldChar w:fldCharType="separate"/>
            </w:r>
            <w:r w:rsidR="004B4461">
              <w:rPr>
                <w:webHidden/>
              </w:rPr>
              <w:t>iii</w:t>
            </w:r>
            <w:r w:rsidR="00DA54CB">
              <w:rPr>
                <w:webHidden/>
              </w:rPr>
              <w:fldChar w:fldCharType="end"/>
            </w:r>
          </w:hyperlink>
        </w:p>
        <w:p w14:paraId="1CC7A5CB" w14:textId="2CB50B6B" w:rsidR="00DA54CB" w:rsidRDefault="004B21EF">
          <w:pPr>
            <w:pStyle w:val="TOC2"/>
            <w:rPr>
              <w:rFonts w:asciiTheme="minorHAnsi" w:eastAsiaTheme="minorEastAsia" w:hAnsiTheme="minorHAnsi" w:cstheme="minorBidi"/>
            </w:rPr>
          </w:pPr>
          <w:hyperlink w:anchor="_Toc39588242" w:history="1">
            <w:r w:rsidR="00DA54CB" w:rsidRPr="006C77C5">
              <w:rPr>
                <w:rStyle w:val="Hyperlink"/>
              </w:rPr>
              <w:t>Tables</w:t>
            </w:r>
            <w:r w:rsidR="00DA54CB">
              <w:rPr>
                <w:webHidden/>
              </w:rPr>
              <w:tab/>
            </w:r>
            <w:r w:rsidR="00DA54CB">
              <w:rPr>
                <w:webHidden/>
              </w:rPr>
              <w:fldChar w:fldCharType="begin"/>
            </w:r>
            <w:r w:rsidR="00DA54CB">
              <w:rPr>
                <w:webHidden/>
              </w:rPr>
              <w:instrText xml:space="preserve"> PAGEREF _Toc39588242 \h </w:instrText>
            </w:r>
            <w:r w:rsidR="00DA54CB">
              <w:rPr>
                <w:webHidden/>
              </w:rPr>
            </w:r>
            <w:r w:rsidR="00DA54CB">
              <w:rPr>
                <w:webHidden/>
              </w:rPr>
              <w:fldChar w:fldCharType="separate"/>
            </w:r>
            <w:r w:rsidR="004B4461">
              <w:rPr>
                <w:webHidden/>
              </w:rPr>
              <w:t>viii</w:t>
            </w:r>
            <w:r w:rsidR="00DA54CB">
              <w:rPr>
                <w:webHidden/>
              </w:rPr>
              <w:fldChar w:fldCharType="end"/>
            </w:r>
          </w:hyperlink>
        </w:p>
        <w:p w14:paraId="32300C40" w14:textId="15D90DDD" w:rsidR="00DA54CB" w:rsidRDefault="004B21EF">
          <w:pPr>
            <w:pStyle w:val="TOC2"/>
            <w:rPr>
              <w:rFonts w:asciiTheme="minorHAnsi" w:eastAsiaTheme="minorEastAsia" w:hAnsiTheme="minorHAnsi" w:cstheme="minorBidi"/>
            </w:rPr>
          </w:pPr>
          <w:hyperlink w:anchor="_Toc39588243" w:history="1">
            <w:r w:rsidR="00DA54CB" w:rsidRPr="006C77C5">
              <w:rPr>
                <w:rStyle w:val="Hyperlink"/>
              </w:rPr>
              <w:t>Boxes</w:t>
            </w:r>
            <w:r w:rsidR="00DA54CB">
              <w:rPr>
                <w:webHidden/>
              </w:rPr>
              <w:tab/>
            </w:r>
            <w:r w:rsidR="00DA54CB">
              <w:rPr>
                <w:webHidden/>
              </w:rPr>
              <w:fldChar w:fldCharType="begin"/>
            </w:r>
            <w:r w:rsidR="00DA54CB">
              <w:rPr>
                <w:webHidden/>
              </w:rPr>
              <w:instrText xml:space="preserve"> PAGEREF _Toc39588243 \h </w:instrText>
            </w:r>
            <w:r w:rsidR="00DA54CB">
              <w:rPr>
                <w:webHidden/>
              </w:rPr>
            </w:r>
            <w:r w:rsidR="00DA54CB">
              <w:rPr>
                <w:webHidden/>
              </w:rPr>
              <w:fldChar w:fldCharType="separate"/>
            </w:r>
            <w:r w:rsidR="004B4461">
              <w:rPr>
                <w:webHidden/>
              </w:rPr>
              <w:t>xii</w:t>
            </w:r>
            <w:r w:rsidR="00DA54CB">
              <w:rPr>
                <w:webHidden/>
              </w:rPr>
              <w:fldChar w:fldCharType="end"/>
            </w:r>
          </w:hyperlink>
        </w:p>
        <w:p w14:paraId="7852D33B" w14:textId="21C98169" w:rsidR="00DA54CB" w:rsidRDefault="004B21EF">
          <w:pPr>
            <w:pStyle w:val="TOC2"/>
            <w:rPr>
              <w:rFonts w:asciiTheme="minorHAnsi" w:eastAsiaTheme="minorEastAsia" w:hAnsiTheme="minorHAnsi" w:cstheme="minorBidi"/>
            </w:rPr>
          </w:pPr>
          <w:hyperlink w:anchor="_Toc39588244" w:history="1">
            <w:r w:rsidR="00DA54CB" w:rsidRPr="006C77C5">
              <w:rPr>
                <w:rStyle w:val="Hyperlink"/>
              </w:rPr>
              <w:t>Figures</w:t>
            </w:r>
            <w:r w:rsidR="00DA54CB">
              <w:rPr>
                <w:webHidden/>
              </w:rPr>
              <w:tab/>
            </w:r>
            <w:r w:rsidR="00DA54CB">
              <w:rPr>
                <w:webHidden/>
              </w:rPr>
              <w:fldChar w:fldCharType="begin"/>
            </w:r>
            <w:r w:rsidR="00DA54CB">
              <w:rPr>
                <w:webHidden/>
              </w:rPr>
              <w:instrText xml:space="preserve"> PAGEREF _Toc39588244 \h </w:instrText>
            </w:r>
            <w:r w:rsidR="00DA54CB">
              <w:rPr>
                <w:webHidden/>
              </w:rPr>
            </w:r>
            <w:r w:rsidR="00DA54CB">
              <w:rPr>
                <w:webHidden/>
              </w:rPr>
              <w:fldChar w:fldCharType="separate"/>
            </w:r>
            <w:r w:rsidR="004B4461">
              <w:rPr>
                <w:webHidden/>
              </w:rPr>
              <w:t>xiii</w:t>
            </w:r>
            <w:r w:rsidR="00DA54CB">
              <w:rPr>
                <w:webHidden/>
              </w:rPr>
              <w:fldChar w:fldCharType="end"/>
            </w:r>
          </w:hyperlink>
        </w:p>
        <w:p w14:paraId="1C7E726D" w14:textId="1F9F67CA" w:rsidR="00DA54CB" w:rsidRDefault="004B21EF">
          <w:pPr>
            <w:pStyle w:val="TOC1"/>
            <w:rPr>
              <w:rFonts w:asciiTheme="minorHAnsi" w:eastAsiaTheme="minorEastAsia" w:hAnsiTheme="minorHAnsi" w:cstheme="minorBidi"/>
              <w:b w:val="0"/>
            </w:rPr>
          </w:pPr>
          <w:hyperlink w:anchor="_Toc39588245" w:history="1">
            <w:r w:rsidR="00DA54CB" w:rsidRPr="006C77C5">
              <w:rPr>
                <w:rStyle w:val="Hyperlink"/>
              </w:rPr>
              <w:t>Executive Summary</w:t>
            </w:r>
            <w:r w:rsidR="00DA54CB">
              <w:rPr>
                <w:webHidden/>
              </w:rPr>
              <w:tab/>
            </w:r>
            <w:r w:rsidR="00DA54CB">
              <w:rPr>
                <w:webHidden/>
              </w:rPr>
              <w:fldChar w:fldCharType="begin"/>
            </w:r>
            <w:r w:rsidR="00DA54CB">
              <w:rPr>
                <w:webHidden/>
              </w:rPr>
              <w:instrText xml:space="preserve"> PAGEREF _Toc39588245 \h </w:instrText>
            </w:r>
            <w:r w:rsidR="00DA54CB">
              <w:rPr>
                <w:webHidden/>
              </w:rPr>
            </w:r>
            <w:r w:rsidR="00DA54CB">
              <w:rPr>
                <w:webHidden/>
              </w:rPr>
              <w:fldChar w:fldCharType="separate"/>
            </w:r>
            <w:r w:rsidR="004B4461">
              <w:rPr>
                <w:webHidden/>
              </w:rPr>
              <w:t>15</w:t>
            </w:r>
            <w:r w:rsidR="00DA54CB">
              <w:rPr>
                <w:webHidden/>
              </w:rPr>
              <w:fldChar w:fldCharType="end"/>
            </w:r>
          </w:hyperlink>
        </w:p>
        <w:p w14:paraId="39F879F8" w14:textId="1B4B3EE0" w:rsidR="00DA54CB" w:rsidRDefault="004B21EF">
          <w:pPr>
            <w:pStyle w:val="TOC2"/>
            <w:rPr>
              <w:rFonts w:asciiTheme="minorHAnsi" w:eastAsiaTheme="minorEastAsia" w:hAnsiTheme="minorHAnsi" w:cstheme="minorBidi"/>
            </w:rPr>
          </w:pPr>
          <w:hyperlink w:anchor="_Toc39588246" w:history="1">
            <w:r w:rsidR="00DA54CB" w:rsidRPr="006C77C5">
              <w:rPr>
                <w:rStyle w:val="Hyperlink"/>
              </w:rPr>
              <w:t>Antibody testing for Neuromyelitis Optica Spectrum Disorders</w:t>
            </w:r>
            <w:r w:rsidR="00DA54CB">
              <w:rPr>
                <w:webHidden/>
              </w:rPr>
              <w:tab/>
            </w:r>
            <w:r w:rsidR="00DA54CB">
              <w:rPr>
                <w:webHidden/>
              </w:rPr>
              <w:fldChar w:fldCharType="begin"/>
            </w:r>
            <w:r w:rsidR="00DA54CB">
              <w:rPr>
                <w:webHidden/>
              </w:rPr>
              <w:instrText xml:space="preserve"> PAGEREF _Toc39588246 \h </w:instrText>
            </w:r>
            <w:r w:rsidR="00DA54CB">
              <w:rPr>
                <w:webHidden/>
              </w:rPr>
            </w:r>
            <w:r w:rsidR="00DA54CB">
              <w:rPr>
                <w:webHidden/>
              </w:rPr>
              <w:fldChar w:fldCharType="separate"/>
            </w:r>
            <w:r w:rsidR="004B4461">
              <w:rPr>
                <w:webHidden/>
              </w:rPr>
              <w:t>15</w:t>
            </w:r>
            <w:r w:rsidR="00DA54CB">
              <w:rPr>
                <w:webHidden/>
              </w:rPr>
              <w:fldChar w:fldCharType="end"/>
            </w:r>
          </w:hyperlink>
        </w:p>
        <w:p w14:paraId="0C6BE5AE" w14:textId="2A1AC654" w:rsidR="00DA54CB" w:rsidRDefault="004B21EF">
          <w:pPr>
            <w:pStyle w:val="TOC3"/>
            <w:rPr>
              <w:rFonts w:asciiTheme="minorHAnsi" w:eastAsiaTheme="minorEastAsia" w:hAnsiTheme="minorHAnsi" w:cstheme="minorBidi"/>
            </w:rPr>
          </w:pPr>
          <w:hyperlink w:anchor="_Toc39588247" w:history="1">
            <w:r w:rsidR="00DA54CB" w:rsidRPr="006C77C5">
              <w:rPr>
                <w:rStyle w:val="Hyperlink"/>
              </w:rPr>
              <w:t>Alignment with agreed PICO Confirmation</w:t>
            </w:r>
            <w:r w:rsidR="00DA54CB">
              <w:rPr>
                <w:webHidden/>
              </w:rPr>
              <w:tab/>
            </w:r>
            <w:r w:rsidR="00DA54CB">
              <w:rPr>
                <w:webHidden/>
              </w:rPr>
              <w:fldChar w:fldCharType="begin"/>
            </w:r>
            <w:r w:rsidR="00DA54CB">
              <w:rPr>
                <w:webHidden/>
              </w:rPr>
              <w:instrText xml:space="preserve"> PAGEREF _Toc39588247 \h </w:instrText>
            </w:r>
            <w:r w:rsidR="00DA54CB">
              <w:rPr>
                <w:webHidden/>
              </w:rPr>
            </w:r>
            <w:r w:rsidR="00DA54CB">
              <w:rPr>
                <w:webHidden/>
              </w:rPr>
              <w:fldChar w:fldCharType="separate"/>
            </w:r>
            <w:r w:rsidR="004B4461">
              <w:rPr>
                <w:webHidden/>
              </w:rPr>
              <w:t>16</w:t>
            </w:r>
            <w:r w:rsidR="00DA54CB">
              <w:rPr>
                <w:webHidden/>
              </w:rPr>
              <w:fldChar w:fldCharType="end"/>
            </w:r>
          </w:hyperlink>
        </w:p>
        <w:p w14:paraId="2256FBBC" w14:textId="7B5D2FAA" w:rsidR="00DA54CB" w:rsidRDefault="004B21EF">
          <w:pPr>
            <w:pStyle w:val="TOC3"/>
            <w:rPr>
              <w:rFonts w:asciiTheme="minorHAnsi" w:eastAsiaTheme="minorEastAsia" w:hAnsiTheme="minorHAnsi" w:cstheme="minorBidi"/>
            </w:rPr>
          </w:pPr>
          <w:hyperlink w:anchor="_Toc39588248" w:history="1">
            <w:r w:rsidR="00DA54CB" w:rsidRPr="006C77C5">
              <w:rPr>
                <w:rStyle w:val="Hyperlink"/>
              </w:rPr>
              <w:t>Proposed Medical Service</w:t>
            </w:r>
            <w:r w:rsidR="00DA54CB">
              <w:rPr>
                <w:webHidden/>
              </w:rPr>
              <w:tab/>
            </w:r>
            <w:r w:rsidR="00DA54CB">
              <w:rPr>
                <w:webHidden/>
              </w:rPr>
              <w:fldChar w:fldCharType="begin"/>
            </w:r>
            <w:r w:rsidR="00DA54CB">
              <w:rPr>
                <w:webHidden/>
              </w:rPr>
              <w:instrText xml:space="preserve"> PAGEREF _Toc39588248 \h </w:instrText>
            </w:r>
            <w:r w:rsidR="00DA54CB">
              <w:rPr>
                <w:webHidden/>
              </w:rPr>
            </w:r>
            <w:r w:rsidR="00DA54CB">
              <w:rPr>
                <w:webHidden/>
              </w:rPr>
              <w:fldChar w:fldCharType="separate"/>
            </w:r>
            <w:r w:rsidR="004B4461">
              <w:rPr>
                <w:webHidden/>
              </w:rPr>
              <w:t>17</w:t>
            </w:r>
            <w:r w:rsidR="00DA54CB">
              <w:rPr>
                <w:webHidden/>
              </w:rPr>
              <w:fldChar w:fldCharType="end"/>
            </w:r>
          </w:hyperlink>
        </w:p>
        <w:p w14:paraId="7E04259F" w14:textId="7B5F92A4" w:rsidR="00DA54CB" w:rsidRDefault="004B21EF">
          <w:pPr>
            <w:pStyle w:val="TOC3"/>
            <w:rPr>
              <w:rFonts w:asciiTheme="minorHAnsi" w:eastAsiaTheme="minorEastAsia" w:hAnsiTheme="minorHAnsi" w:cstheme="minorBidi"/>
            </w:rPr>
          </w:pPr>
          <w:hyperlink w:anchor="_Toc39588249" w:history="1">
            <w:r w:rsidR="00DA54CB" w:rsidRPr="006C77C5">
              <w:rPr>
                <w:rStyle w:val="Hyperlink"/>
              </w:rPr>
              <w:t>Proposal for Public Funding</w:t>
            </w:r>
            <w:r w:rsidR="00DA54CB">
              <w:rPr>
                <w:webHidden/>
              </w:rPr>
              <w:tab/>
            </w:r>
            <w:r w:rsidR="00DA54CB">
              <w:rPr>
                <w:webHidden/>
              </w:rPr>
              <w:fldChar w:fldCharType="begin"/>
            </w:r>
            <w:r w:rsidR="00DA54CB">
              <w:rPr>
                <w:webHidden/>
              </w:rPr>
              <w:instrText xml:space="preserve"> PAGEREF _Toc39588249 \h </w:instrText>
            </w:r>
            <w:r w:rsidR="00DA54CB">
              <w:rPr>
                <w:webHidden/>
              </w:rPr>
            </w:r>
            <w:r w:rsidR="00DA54CB">
              <w:rPr>
                <w:webHidden/>
              </w:rPr>
              <w:fldChar w:fldCharType="separate"/>
            </w:r>
            <w:r w:rsidR="004B4461">
              <w:rPr>
                <w:webHidden/>
              </w:rPr>
              <w:t>17</w:t>
            </w:r>
            <w:r w:rsidR="00DA54CB">
              <w:rPr>
                <w:webHidden/>
              </w:rPr>
              <w:fldChar w:fldCharType="end"/>
            </w:r>
          </w:hyperlink>
        </w:p>
        <w:p w14:paraId="00244C29" w14:textId="63D95F7E" w:rsidR="00DA54CB" w:rsidRDefault="004B21EF">
          <w:pPr>
            <w:pStyle w:val="TOC3"/>
            <w:rPr>
              <w:rFonts w:asciiTheme="minorHAnsi" w:eastAsiaTheme="minorEastAsia" w:hAnsiTheme="minorHAnsi" w:cstheme="minorBidi"/>
            </w:rPr>
          </w:pPr>
          <w:hyperlink w:anchor="_Toc39588250" w:history="1">
            <w:r w:rsidR="00DA54CB" w:rsidRPr="006C77C5">
              <w:rPr>
                <w:rStyle w:val="Hyperlink"/>
              </w:rPr>
              <w:t>Population</w:t>
            </w:r>
            <w:r w:rsidR="00DA54CB">
              <w:rPr>
                <w:webHidden/>
              </w:rPr>
              <w:tab/>
            </w:r>
            <w:r w:rsidR="00DA54CB">
              <w:rPr>
                <w:webHidden/>
              </w:rPr>
              <w:fldChar w:fldCharType="begin"/>
            </w:r>
            <w:r w:rsidR="00DA54CB">
              <w:rPr>
                <w:webHidden/>
              </w:rPr>
              <w:instrText xml:space="preserve"> PAGEREF _Toc39588250 \h </w:instrText>
            </w:r>
            <w:r w:rsidR="00DA54CB">
              <w:rPr>
                <w:webHidden/>
              </w:rPr>
            </w:r>
            <w:r w:rsidR="00DA54CB">
              <w:rPr>
                <w:webHidden/>
              </w:rPr>
              <w:fldChar w:fldCharType="separate"/>
            </w:r>
            <w:r w:rsidR="004B4461">
              <w:rPr>
                <w:webHidden/>
              </w:rPr>
              <w:t>18</w:t>
            </w:r>
            <w:r w:rsidR="00DA54CB">
              <w:rPr>
                <w:webHidden/>
              </w:rPr>
              <w:fldChar w:fldCharType="end"/>
            </w:r>
          </w:hyperlink>
        </w:p>
        <w:p w14:paraId="0B8A7D11" w14:textId="612E95B9" w:rsidR="00DA54CB" w:rsidRDefault="004B21EF">
          <w:pPr>
            <w:pStyle w:val="TOC3"/>
            <w:rPr>
              <w:rFonts w:asciiTheme="minorHAnsi" w:eastAsiaTheme="minorEastAsia" w:hAnsiTheme="minorHAnsi" w:cstheme="minorBidi"/>
            </w:rPr>
          </w:pPr>
          <w:hyperlink w:anchor="_Toc39588251" w:history="1">
            <w:r w:rsidR="00DA54CB" w:rsidRPr="006C77C5">
              <w:rPr>
                <w:rStyle w:val="Hyperlink"/>
              </w:rPr>
              <w:t>Comparator Details</w:t>
            </w:r>
            <w:r w:rsidR="00DA54CB">
              <w:rPr>
                <w:webHidden/>
              </w:rPr>
              <w:tab/>
            </w:r>
            <w:r w:rsidR="00DA54CB">
              <w:rPr>
                <w:webHidden/>
              </w:rPr>
              <w:fldChar w:fldCharType="begin"/>
            </w:r>
            <w:r w:rsidR="00DA54CB">
              <w:rPr>
                <w:webHidden/>
              </w:rPr>
              <w:instrText xml:space="preserve"> PAGEREF _Toc39588251 \h </w:instrText>
            </w:r>
            <w:r w:rsidR="00DA54CB">
              <w:rPr>
                <w:webHidden/>
              </w:rPr>
            </w:r>
            <w:r w:rsidR="00DA54CB">
              <w:rPr>
                <w:webHidden/>
              </w:rPr>
              <w:fldChar w:fldCharType="separate"/>
            </w:r>
            <w:r w:rsidR="004B4461">
              <w:rPr>
                <w:webHidden/>
              </w:rPr>
              <w:t>19</w:t>
            </w:r>
            <w:r w:rsidR="00DA54CB">
              <w:rPr>
                <w:webHidden/>
              </w:rPr>
              <w:fldChar w:fldCharType="end"/>
            </w:r>
          </w:hyperlink>
        </w:p>
        <w:p w14:paraId="5AECA32F" w14:textId="2478C3F5" w:rsidR="00DA54CB" w:rsidRDefault="004B21EF">
          <w:pPr>
            <w:pStyle w:val="TOC3"/>
            <w:rPr>
              <w:rFonts w:asciiTheme="minorHAnsi" w:eastAsiaTheme="minorEastAsia" w:hAnsiTheme="minorHAnsi" w:cstheme="minorBidi"/>
            </w:rPr>
          </w:pPr>
          <w:hyperlink w:anchor="_Toc39588252" w:history="1">
            <w:r w:rsidR="00DA54CB" w:rsidRPr="006C77C5">
              <w:rPr>
                <w:rStyle w:val="Hyperlink"/>
              </w:rPr>
              <w:t>Clinical management algorithm(s)</w:t>
            </w:r>
            <w:r w:rsidR="00DA54CB">
              <w:rPr>
                <w:webHidden/>
              </w:rPr>
              <w:tab/>
            </w:r>
            <w:r w:rsidR="00DA54CB">
              <w:rPr>
                <w:webHidden/>
              </w:rPr>
              <w:fldChar w:fldCharType="begin"/>
            </w:r>
            <w:r w:rsidR="00DA54CB">
              <w:rPr>
                <w:webHidden/>
              </w:rPr>
              <w:instrText xml:space="preserve"> PAGEREF _Toc39588252 \h </w:instrText>
            </w:r>
            <w:r w:rsidR="00DA54CB">
              <w:rPr>
                <w:webHidden/>
              </w:rPr>
            </w:r>
            <w:r w:rsidR="00DA54CB">
              <w:rPr>
                <w:webHidden/>
              </w:rPr>
              <w:fldChar w:fldCharType="separate"/>
            </w:r>
            <w:r w:rsidR="004B4461">
              <w:rPr>
                <w:webHidden/>
              </w:rPr>
              <w:t>20</w:t>
            </w:r>
            <w:r w:rsidR="00DA54CB">
              <w:rPr>
                <w:webHidden/>
              </w:rPr>
              <w:fldChar w:fldCharType="end"/>
            </w:r>
          </w:hyperlink>
        </w:p>
        <w:p w14:paraId="433D1828" w14:textId="72D89CAF" w:rsidR="00DA54CB" w:rsidRDefault="004B21EF">
          <w:pPr>
            <w:pStyle w:val="TOC3"/>
            <w:rPr>
              <w:rFonts w:asciiTheme="minorHAnsi" w:eastAsiaTheme="minorEastAsia" w:hAnsiTheme="minorHAnsi" w:cstheme="minorBidi"/>
            </w:rPr>
          </w:pPr>
          <w:hyperlink w:anchor="_Toc39588253" w:history="1">
            <w:r w:rsidR="00DA54CB" w:rsidRPr="006C77C5">
              <w:rPr>
                <w:rStyle w:val="Hyperlink"/>
              </w:rPr>
              <w:t>Key Differences in the Delivery of the Proposed Medical Service and the Main Comparator</w:t>
            </w:r>
            <w:r w:rsidR="00DA54CB">
              <w:rPr>
                <w:webHidden/>
              </w:rPr>
              <w:tab/>
            </w:r>
            <w:r w:rsidR="00DA54CB">
              <w:rPr>
                <w:webHidden/>
              </w:rPr>
              <w:fldChar w:fldCharType="begin"/>
            </w:r>
            <w:r w:rsidR="00DA54CB">
              <w:rPr>
                <w:webHidden/>
              </w:rPr>
              <w:instrText xml:space="preserve"> PAGEREF _Toc39588253 \h </w:instrText>
            </w:r>
            <w:r w:rsidR="00DA54CB">
              <w:rPr>
                <w:webHidden/>
              </w:rPr>
            </w:r>
            <w:r w:rsidR="00DA54CB">
              <w:rPr>
                <w:webHidden/>
              </w:rPr>
              <w:fldChar w:fldCharType="separate"/>
            </w:r>
            <w:r w:rsidR="004B4461">
              <w:rPr>
                <w:webHidden/>
              </w:rPr>
              <w:t>20</w:t>
            </w:r>
            <w:r w:rsidR="00DA54CB">
              <w:rPr>
                <w:webHidden/>
              </w:rPr>
              <w:fldChar w:fldCharType="end"/>
            </w:r>
          </w:hyperlink>
        </w:p>
        <w:p w14:paraId="19D49C23" w14:textId="1A131032" w:rsidR="00DA54CB" w:rsidRDefault="004B21EF">
          <w:pPr>
            <w:pStyle w:val="TOC3"/>
            <w:rPr>
              <w:rFonts w:asciiTheme="minorHAnsi" w:eastAsiaTheme="minorEastAsia" w:hAnsiTheme="minorHAnsi" w:cstheme="minorBidi"/>
            </w:rPr>
          </w:pPr>
          <w:hyperlink w:anchor="_Toc39588254" w:history="1">
            <w:r w:rsidR="00DA54CB" w:rsidRPr="006C77C5">
              <w:rPr>
                <w:rStyle w:val="Hyperlink"/>
              </w:rPr>
              <w:t>Clinical Claim</w:t>
            </w:r>
            <w:r w:rsidR="00DA54CB">
              <w:rPr>
                <w:webHidden/>
              </w:rPr>
              <w:tab/>
            </w:r>
            <w:r w:rsidR="00DA54CB">
              <w:rPr>
                <w:webHidden/>
              </w:rPr>
              <w:fldChar w:fldCharType="begin"/>
            </w:r>
            <w:r w:rsidR="00DA54CB">
              <w:rPr>
                <w:webHidden/>
              </w:rPr>
              <w:instrText xml:space="preserve"> PAGEREF _Toc39588254 \h </w:instrText>
            </w:r>
            <w:r w:rsidR="00DA54CB">
              <w:rPr>
                <w:webHidden/>
              </w:rPr>
            </w:r>
            <w:r w:rsidR="00DA54CB">
              <w:rPr>
                <w:webHidden/>
              </w:rPr>
              <w:fldChar w:fldCharType="separate"/>
            </w:r>
            <w:r w:rsidR="004B4461">
              <w:rPr>
                <w:webHidden/>
              </w:rPr>
              <w:t>20</w:t>
            </w:r>
            <w:r w:rsidR="00DA54CB">
              <w:rPr>
                <w:webHidden/>
              </w:rPr>
              <w:fldChar w:fldCharType="end"/>
            </w:r>
          </w:hyperlink>
        </w:p>
        <w:p w14:paraId="0C76A9E2" w14:textId="2A63110F" w:rsidR="00DA54CB" w:rsidRDefault="004B21EF">
          <w:pPr>
            <w:pStyle w:val="TOC3"/>
            <w:rPr>
              <w:rFonts w:asciiTheme="minorHAnsi" w:eastAsiaTheme="minorEastAsia" w:hAnsiTheme="minorHAnsi" w:cstheme="minorBidi"/>
            </w:rPr>
          </w:pPr>
          <w:hyperlink w:anchor="_Toc39588255" w:history="1">
            <w:r w:rsidR="00DA54CB" w:rsidRPr="006C77C5">
              <w:rPr>
                <w:rStyle w:val="Hyperlink"/>
              </w:rPr>
              <w:t>Approach Taken to the Evidence Assessment</w:t>
            </w:r>
            <w:r w:rsidR="00DA54CB">
              <w:rPr>
                <w:webHidden/>
              </w:rPr>
              <w:tab/>
            </w:r>
            <w:r w:rsidR="00DA54CB">
              <w:rPr>
                <w:webHidden/>
              </w:rPr>
              <w:fldChar w:fldCharType="begin"/>
            </w:r>
            <w:r w:rsidR="00DA54CB">
              <w:rPr>
                <w:webHidden/>
              </w:rPr>
              <w:instrText xml:space="preserve"> PAGEREF _Toc39588255 \h </w:instrText>
            </w:r>
            <w:r w:rsidR="00DA54CB">
              <w:rPr>
                <w:webHidden/>
              </w:rPr>
            </w:r>
            <w:r w:rsidR="00DA54CB">
              <w:rPr>
                <w:webHidden/>
              </w:rPr>
              <w:fldChar w:fldCharType="separate"/>
            </w:r>
            <w:r w:rsidR="004B4461">
              <w:rPr>
                <w:webHidden/>
              </w:rPr>
              <w:t>21</w:t>
            </w:r>
            <w:r w:rsidR="00DA54CB">
              <w:rPr>
                <w:webHidden/>
              </w:rPr>
              <w:fldChar w:fldCharType="end"/>
            </w:r>
          </w:hyperlink>
        </w:p>
        <w:p w14:paraId="3F5FFB4C" w14:textId="3714CA0A" w:rsidR="00DA54CB" w:rsidRDefault="004B21EF">
          <w:pPr>
            <w:pStyle w:val="TOC3"/>
            <w:rPr>
              <w:rFonts w:asciiTheme="minorHAnsi" w:eastAsiaTheme="minorEastAsia" w:hAnsiTheme="minorHAnsi" w:cstheme="minorBidi"/>
            </w:rPr>
          </w:pPr>
          <w:hyperlink w:anchor="_Toc39588256" w:history="1">
            <w:r w:rsidR="00DA54CB" w:rsidRPr="006C77C5">
              <w:rPr>
                <w:rStyle w:val="Hyperlink"/>
              </w:rPr>
              <w:t>Characteristics of the Evidence Base</w:t>
            </w:r>
            <w:r w:rsidR="00DA54CB">
              <w:rPr>
                <w:webHidden/>
              </w:rPr>
              <w:tab/>
            </w:r>
            <w:r w:rsidR="00DA54CB">
              <w:rPr>
                <w:webHidden/>
              </w:rPr>
              <w:fldChar w:fldCharType="begin"/>
            </w:r>
            <w:r w:rsidR="00DA54CB">
              <w:rPr>
                <w:webHidden/>
              </w:rPr>
              <w:instrText xml:space="preserve"> PAGEREF _Toc39588256 \h </w:instrText>
            </w:r>
            <w:r w:rsidR="00DA54CB">
              <w:rPr>
                <w:webHidden/>
              </w:rPr>
            </w:r>
            <w:r w:rsidR="00DA54CB">
              <w:rPr>
                <w:webHidden/>
              </w:rPr>
              <w:fldChar w:fldCharType="separate"/>
            </w:r>
            <w:r w:rsidR="004B4461">
              <w:rPr>
                <w:webHidden/>
              </w:rPr>
              <w:t>21</w:t>
            </w:r>
            <w:r w:rsidR="00DA54CB">
              <w:rPr>
                <w:webHidden/>
              </w:rPr>
              <w:fldChar w:fldCharType="end"/>
            </w:r>
          </w:hyperlink>
        </w:p>
        <w:p w14:paraId="6038754A" w14:textId="06820E23" w:rsidR="00DA54CB" w:rsidRDefault="004B21EF">
          <w:pPr>
            <w:pStyle w:val="TOC3"/>
            <w:rPr>
              <w:rFonts w:asciiTheme="minorHAnsi" w:eastAsiaTheme="minorEastAsia" w:hAnsiTheme="minorHAnsi" w:cstheme="minorBidi"/>
            </w:rPr>
          </w:pPr>
          <w:hyperlink w:anchor="_Toc39588257" w:history="1">
            <w:r w:rsidR="00DA54CB" w:rsidRPr="006C77C5">
              <w:rPr>
                <w:rStyle w:val="Hyperlink"/>
              </w:rPr>
              <w:t>Results</w:t>
            </w:r>
            <w:r w:rsidR="00DA54CB">
              <w:rPr>
                <w:webHidden/>
              </w:rPr>
              <w:tab/>
            </w:r>
            <w:r w:rsidR="00DA54CB">
              <w:rPr>
                <w:webHidden/>
              </w:rPr>
              <w:fldChar w:fldCharType="begin"/>
            </w:r>
            <w:r w:rsidR="00DA54CB">
              <w:rPr>
                <w:webHidden/>
              </w:rPr>
              <w:instrText xml:space="preserve"> PAGEREF _Toc39588257 \h </w:instrText>
            </w:r>
            <w:r w:rsidR="00DA54CB">
              <w:rPr>
                <w:webHidden/>
              </w:rPr>
            </w:r>
            <w:r w:rsidR="00DA54CB">
              <w:rPr>
                <w:webHidden/>
              </w:rPr>
              <w:fldChar w:fldCharType="separate"/>
            </w:r>
            <w:r w:rsidR="004B4461">
              <w:rPr>
                <w:webHidden/>
              </w:rPr>
              <w:t>22</w:t>
            </w:r>
            <w:r w:rsidR="00DA54CB">
              <w:rPr>
                <w:webHidden/>
              </w:rPr>
              <w:fldChar w:fldCharType="end"/>
            </w:r>
          </w:hyperlink>
        </w:p>
        <w:p w14:paraId="70F87A30" w14:textId="45E846A0" w:rsidR="00DA54CB" w:rsidRDefault="004B21EF">
          <w:pPr>
            <w:pStyle w:val="TOC3"/>
            <w:rPr>
              <w:rFonts w:asciiTheme="minorHAnsi" w:eastAsiaTheme="minorEastAsia" w:hAnsiTheme="minorHAnsi" w:cstheme="minorBidi"/>
            </w:rPr>
          </w:pPr>
          <w:hyperlink w:anchor="_Toc39588258" w:history="1">
            <w:r w:rsidR="00DA54CB" w:rsidRPr="006C77C5">
              <w:rPr>
                <w:rStyle w:val="Hyperlink"/>
              </w:rPr>
              <w:t>Translation Issues</w:t>
            </w:r>
            <w:r w:rsidR="00DA54CB">
              <w:rPr>
                <w:webHidden/>
              </w:rPr>
              <w:tab/>
            </w:r>
            <w:r w:rsidR="00DA54CB">
              <w:rPr>
                <w:webHidden/>
              </w:rPr>
              <w:fldChar w:fldCharType="begin"/>
            </w:r>
            <w:r w:rsidR="00DA54CB">
              <w:rPr>
                <w:webHidden/>
              </w:rPr>
              <w:instrText xml:space="preserve"> PAGEREF _Toc39588258 \h </w:instrText>
            </w:r>
            <w:r w:rsidR="00DA54CB">
              <w:rPr>
                <w:webHidden/>
              </w:rPr>
            </w:r>
            <w:r w:rsidR="00DA54CB">
              <w:rPr>
                <w:webHidden/>
              </w:rPr>
              <w:fldChar w:fldCharType="separate"/>
            </w:r>
            <w:r w:rsidR="004B4461">
              <w:rPr>
                <w:webHidden/>
              </w:rPr>
              <w:t>28</w:t>
            </w:r>
            <w:r w:rsidR="00DA54CB">
              <w:rPr>
                <w:webHidden/>
              </w:rPr>
              <w:fldChar w:fldCharType="end"/>
            </w:r>
          </w:hyperlink>
        </w:p>
        <w:p w14:paraId="07746945" w14:textId="27A9F53D" w:rsidR="00DA54CB" w:rsidRDefault="004B21EF">
          <w:pPr>
            <w:pStyle w:val="TOC3"/>
            <w:rPr>
              <w:rFonts w:asciiTheme="minorHAnsi" w:eastAsiaTheme="minorEastAsia" w:hAnsiTheme="minorHAnsi" w:cstheme="minorBidi"/>
            </w:rPr>
          </w:pPr>
          <w:hyperlink w:anchor="_Toc39588259" w:history="1">
            <w:r w:rsidR="00DA54CB" w:rsidRPr="006C77C5">
              <w:rPr>
                <w:rStyle w:val="Hyperlink"/>
              </w:rPr>
              <w:t>Economic Evaluation</w:t>
            </w:r>
            <w:r w:rsidR="00DA54CB">
              <w:rPr>
                <w:webHidden/>
              </w:rPr>
              <w:tab/>
            </w:r>
            <w:r w:rsidR="00DA54CB">
              <w:rPr>
                <w:webHidden/>
              </w:rPr>
              <w:fldChar w:fldCharType="begin"/>
            </w:r>
            <w:r w:rsidR="00DA54CB">
              <w:rPr>
                <w:webHidden/>
              </w:rPr>
              <w:instrText xml:space="preserve"> PAGEREF _Toc39588259 \h </w:instrText>
            </w:r>
            <w:r w:rsidR="00DA54CB">
              <w:rPr>
                <w:webHidden/>
              </w:rPr>
            </w:r>
            <w:r w:rsidR="00DA54CB">
              <w:rPr>
                <w:webHidden/>
              </w:rPr>
              <w:fldChar w:fldCharType="separate"/>
            </w:r>
            <w:r w:rsidR="004B4461">
              <w:rPr>
                <w:webHidden/>
              </w:rPr>
              <w:t>28</w:t>
            </w:r>
            <w:r w:rsidR="00DA54CB">
              <w:rPr>
                <w:webHidden/>
              </w:rPr>
              <w:fldChar w:fldCharType="end"/>
            </w:r>
          </w:hyperlink>
        </w:p>
        <w:p w14:paraId="17F729DA" w14:textId="4BB73272" w:rsidR="00DA54CB" w:rsidRDefault="004B21EF">
          <w:pPr>
            <w:pStyle w:val="TOC3"/>
            <w:rPr>
              <w:rFonts w:asciiTheme="minorHAnsi" w:eastAsiaTheme="minorEastAsia" w:hAnsiTheme="minorHAnsi" w:cstheme="minorBidi"/>
            </w:rPr>
          </w:pPr>
          <w:hyperlink w:anchor="_Toc39588260" w:history="1">
            <w:r w:rsidR="00DA54CB" w:rsidRPr="006C77C5">
              <w:rPr>
                <w:rStyle w:val="Hyperlink"/>
              </w:rPr>
              <w:t>Estimated Extent of Use and Financial Implications</w:t>
            </w:r>
            <w:r w:rsidR="00DA54CB">
              <w:rPr>
                <w:webHidden/>
              </w:rPr>
              <w:tab/>
            </w:r>
            <w:r w:rsidR="00DA54CB">
              <w:rPr>
                <w:webHidden/>
              </w:rPr>
              <w:fldChar w:fldCharType="begin"/>
            </w:r>
            <w:r w:rsidR="00DA54CB">
              <w:rPr>
                <w:webHidden/>
              </w:rPr>
              <w:instrText xml:space="preserve"> PAGEREF _Toc39588260 \h </w:instrText>
            </w:r>
            <w:r w:rsidR="00DA54CB">
              <w:rPr>
                <w:webHidden/>
              </w:rPr>
            </w:r>
            <w:r w:rsidR="00DA54CB">
              <w:rPr>
                <w:webHidden/>
              </w:rPr>
              <w:fldChar w:fldCharType="separate"/>
            </w:r>
            <w:r w:rsidR="004B4461">
              <w:rPr>
                <w:webHidden/>
              </w:rPr>
              <w:t>31</w:t>
            </w:r>
            <w:r w:rsidR="00DA54CB">
              <w:rPr>
                <w:webHidden/>
              </w:rPr>
              <w:fldChar w:fldCharType="end"/>
            </w:r>
          </w:hyperlink>
        </w:p>
        <w:p w14:paraId="000D4300" w14:textId="74F8F9C3" w:rsidR="00DA54CB" w:rsidRDefault="004B21EF">
          <w:pPr>
            <w:pStyle w:val="TOC3"/>
            <w:rPr>
              <w:rFonts w:asciiTheme="minorHAnsi" w:eastAsiaTheme="minorEastAsia" w:hAnsiTheme="minorHAnsi" w:cstheme="minorBidi"/>
            </w:rPr>
          </w:pPr>
          <w:hyperlink w:anchor="_Toc39588261" w:history="1">
            <w:r w:rsidR="00DA54CB" w:rsidRPr="006C77C5">
              <w:rPr>
                <w:rStyle w:val="Hyperlink"/>
              </w:rPr>
              <w:t>Stakeholder impact summary</w:t>
            </w:r>
            <w:r w:rsidR="00DA54CB">
              <w:rPr>
                <w:webHidden/>
              </w:rPr>
              <w:tab/>
            </w:r>
            <w:r w:rsidR="00DA54CB">
              <w:rPr>
                <w:webHidden/>
              </w:rPr>
              <w:fldChar w:fldCharType="begin"/>
            </w:r>
            <w:r w:rsidR="00DA54CB">
              <w:rPr>
                <w:webHidden/>
              </w:rPr>
              <w:instrText xml:space="preserve"> PAGEREF _Toc39588261 \h </w:instrText>
            </w:r>
            <w:r w:rsidR="00DA54CB">
              <w:rPr>
                <w:webHidden/>
              </w:rPr>
            </w:r>
            <w:r w:rsidR="00DA54CB">
              <w:rPr>
                <w:webHidden/>
              </w:rPr>
              <w:fldChar w:fldCharType="separate"/>
            </w:r>
            <w:r w:rsidR="004B4461">
              <w:rPr>
                <w:webHidden/>
              </w:rPr>
              <w:t>31</w:t>
            </w:r>
            <w:r w:rsidR="00DA54CB">
              <w:rPr>
                <w:webHidden/>
              </w:rPr>
              <w:fldChar w:fldCharType="end"/>
            </w:r>
          </w:hyperlink>
        </w:p>
        <w:p w14:paraId="17D01053" w14:textId="6FEEA86A" w:rsidR="00DA54CB" w:rsidRDefault="004B21EF">
          <w:pPr>
            <w:pStyle w:val="TOC1"/>
            <w:rPr>
              <w:rFonts w:asciiTheme="minorHAnsi" w:eastAsiaTheme="minorEastAsia" w:hAnsiTheme="minorHAnsi" w:cstheme="minorBidi"/>
              <w:b w:val="0"/>
            </w:rPr>
          </w:pPr>
          <w:hyperlink w:anchor="_Toc39588262" w:history="1">
            <w:r w:rsidR="00DA54CB" w:rsidRPr="006C77C5">
              <w:rPr>
                <w:rStyle w:val="Hyperlink"/>
              </w:rPr>
              <w:t>Acronyms and Abbreviations</w:t>
            </w:r>
            <w:r w:rsidR="00DA54CB">
              <w:rPr>
                <w:webHidden/>
              </w:rPr>
              <w:tab/>
            </w:r>
            <w:r w:rsidR="00DA54CB">
              <w:rPr>
                <w:webHidden/>
              </w:rPr>
              <w:fldChar w:fldCharType="begin"/>
            </w:r>
            <w:r w:rsidR="00DA54CB">
              <w:rPr>
                <w:webHidden/>
              </w:rPr>
              <w:instrText xml:space="preserve"> PAGEREF _Toc39588262 \h </w:instrText>
            </w:r>
            <w:r w:rsidR="00DA54CB">
              <w:rPr>
                <w:webHidden/>
              </w:rPr>
            </w:r>
            <w:r w:rsidR="00DA54CB">
              <w:rPr>
                <w:webHidden/>
              </w:rPr>
              <w:fldChar w:fldCharType="separate"/>
            </w:r>
            <w:r w:rsidR="004B4461">
              <w:rPr>
                <w:webHidden/>
              </w:rPr>
              <w:t>32</w:t>
            </w:r>
            <w:r w:rsidR="00DA54CB">
              <w:rPr>
                <w:webHidden/>
              </w:rPr>
              <w:fldChar w:fldCharType="end"/>
            </w:r>
          </w:hyperlink>
        </w:p>
        <w:p w14:paraId="240EF1E8" w14:textId="366DF579" w:rsidR="00DA54CB" w:rsidRDefault="004B21EF">
          <w:pPr>
            <w:pStyle w:val="TOC1"/>
            <w:rPr>
              <w:rFonts w:asciiTheme="minorHAnsi" w:eastAsiaTheme="minorEastAsia" w:hAnsiTheme="minorHAnsi" w:cstheme="minorBidi"/>
              <w:b w:val="0"/>
            </w:rPr>
          </w:pPr>
          <w:hyperlink w:anchor="_Toc39588263" w:history="1">
            <w:r w:rsidR="00DA54CB" w:rsidRPr="006C77C5">
              <w:rPr>
                <w:rStyle w:val="Hyperlink"/>
              </w:rPr>
              <w:t>Section A</w:t>
            </w:r>
            <w:r w:rsidR="00DA54CB">
              <w:rPr>
                <w:rFonts w:asciiTheme="minorHAnsi" w:eastAsiaTheme="minorEastAsia" w:hAnsiTheme="minorHAnsi" w:cstheme="minorBidi"/>
                <w:b w:val="0"/>
              </w:rPr>
              <w:tab/>
            </w:r>
            <w:r w:rsidR="00DA54CB" w:rsidRPr="006C77C5">
              <w:rPr>
                <w:rStyle w:val="Hyperlink"/>
              </w:rPr>
              <w:t>Context</w:t>
            </w:r>
            <w:r w:rsidR="00DA54CB">
              <w:rPr>
                <w:webHidden/>
              </w:rPr>
              <w:tab/>
            </w:r>
            <w:r w:rsidR="00DA54CB">
              <w:rPr>
                <w:webHidden/>
              </w:rPr>
              <w:fldChar w:fldCharType="begin"/>
            </w:r>
            <w:r w:rsidR="00DA54CB">
              <w:rPr>
                <w:webHidden/>
              </w:rPr>
              <w:instrText xml:space="preserve"> PAGEREF _Toc39588263 \h </w:instrText>
            </w:r>
            <w:r w:rsidR="00DA54CB">
              <w:rPr>
                <w:webHidden/>
              </w:rPr>
            </w:r>
            <w:r w:rsidR="00DA54CB">
              <w:rPr>
                <w:webHidden/>
              </w:rPr>
              <w:fldChar w:fldCharType="separate"/>
            </w:r>
            <w:r w:rsidR="004B4461">
              <w:rPr>
                <w:webHidden/>
              </w:rPr>
              <w:t>34</w:t>
            </w:r>
            <w:r w:rsidR="00DA54CB">
              <w:rPr>
                <w:webHidden/>
              </w:rPr>
              <w:fldChar w:fldCharType="end"/>
            </w:r>
          </w:hyperlink>
        </w:p>
        <w:p w14:paraId="6C6329CA" w14:textId="4684513D" w:rsidR="00DA54CB" w:rsidRDefault="004B21EF">
          <w:pPr>
            <w:pStyle w:val="TOC2"/>
            <w:tabs>
              <w:tab w:val="left" w:pos="1418"/>
            </w:tabs>
            <w:rPr>
              <w:rFonts w:asciiTheme="minorHAnsi" w:eastAsiaTheme="minorEastAsia" w:hAnsiTheme="minorHAnsi" w:cstheme="minorBidi"/>
            </w:rPr>
          </w:pPr>
          <w:hyperlink w:anchor="_Toc39588264" w:history="1">
            <w:r w:rsidR="00DA54CB" w:rsidRPr="006C77C5">
              <w:rPr>
                <w:rStyle w:val="Hyperlink"/>
              </w:rPr>
              <w:t>A1</w:t>
            </w:r>
            <w:r w:rsidR="00DA54CB">
              <w:rPr>
                <w:rFonts w:asciiTheme="minorHAnsi" w:eastAsiaTheme="minorEastAsia" w:hAnsiTheme="minorHAnsi" w:cstheme="minorBidi"/>
              </w:rPr>
              <w:tab/>
            </w:r>
            <w:r w:rsidR="00DA54CB" w:rsidRPr="006C77C5">
              <w:rPr>
                <w:rStyle w:val="Hyperlink"/>
              </w:rPr>
              <w:t>Items in the agreed PICO Confirmation</w:t>
            </w:r>
            <w:r w:rsidR="00DA54CB">
              <w:rPr>
                <w:webHidden/>
              </w:rPr>
              <w:tab/>
            </w:r>
            <w:r w:rsidR="00DA54CB">
              <w:rPr>
                <w:webHidden/>
              </w:rPr>
              <w:fldChar w:fldCharType="begin"/>
            </w:r>
            <w:r w:rsidR="00DA54CB">
              <w:rPr>
                <w:webHidden/>
              </w:rPr>
              <w:instrText xml:space="preserve"> PAGEREF _Toc39588264 \h </w:instrText>
            </w:r>
            <w:r w:rsidR="00DA54CB">
              <w:rPr>
                <w:webHidden/>
              </w:rPr>
            </w:r>
            <w:r w:rsidR="00DA54CB">
              <w:rPr>
                <w:webHidden/>
              </w:rPr>
              <w:fldChar w:fldCharType="separate"/>
            </w:r>
            <w:r w:rsidR="004B4461">
              <w:rPr>
                <w:webHidden/>
              </w:rPr>
              <w:t>34</w:t>
            </w:r>
            <w:r w:rsidR="00DA54CB">
              <w:rPr>
                <w:webHidden/>
              </w:rPr>
              <w:fldChar w:fldCharType="end"/>
            </w:r>
          </w:hyperlink>
        </w:p>
        <w:p w14:paraId="33471036" w14:textId="268E07C3" w:rsidR="00DA54CB" w:rsidRDefault="004B21EF">
          <w:pPr>
            <w:pStyle w:val="TOC2"/>
            <w:tabs>
              <w:tab w:val="left" w:pos="1418"/>
            </w:tabs>
            <w:rPr>
              <w:rFonts w:asciiTheme="minorHAnsi" w:eastAsiaTheme="minorEastAsia" w:hAnsiTheme="minorHAnsi" w:cstheme="minorBidi"/>
            </w:rPr>
          </w:pPr>
          <w:hyperlink w:anchor="_Toc39588265" w:history="1">
            <w:r w:rsidR="00DA54CB" w:rsidRPr="006C77C5">
              <w:rPr>
                <w:rStyle w:val="Hyperlink"/>
              </w:rPr>
              <w:t>A2</w:t>
            </w:r>
            <w:r w:rsidR="00DA54CB">
              <w:rPr>
                <w:rFonts w:asciiTheme="minorHAnsi" w:eastAsiaTheme="minorEastAsia" w:hAnsiTheme="minorHAnsi" w:cstheme="minorBidi"/>
              </w:rPr>
              <w:tab/>
            </w:r>
            <w:r w:rsidR="00DA54CB" w:rsidRPr="006C77C5">
              <w:rPr>
                <w:rStyle w:val="Hyperlink"/>
              </w:rPr>
              <w:t>Proposed Medical Service</w:t>
            </w:r>
            <w:r w:rsidR="00DA54CB">
              <w:rPr>
                <w:webHidden/>
              </w:rPr>
              <w:tab/>
            </w:r>
            <w:r w:rsidR="00DA54CB">
              <w:rPr>
                <w:webHidden/>
              </w:rPr>
              <w:fldChar w:fldCharType="begin"/>
            </w:r>
            <w:r w:rsidR="00DA54CB">
              <w:rPr>
                <w:webHidden/>
              </w:rPr>
              <w:instrText xml:space="preserve"> PAGEREF _Toc39588265 \h </w:instrText>
            </w:r>
            <w:r w:rsidR="00DA54CB">
              <w:rPr>
                <w:webHidden/>
              </w:rPr>
            </w:r>
            <w:r w:rsidR="00DA54CB">
              <w:rPr>
                <w:webHidden/>
              </w:rPr>
              <w:fldChar w:fldCharType="separate"/>
            </w:r>
            <w:r w:rsidR="004B4461">
              <w:rPr>
                <w:webHidden/>
              </w:rPr>
              <w:t>35</w:t>
            </w:r>
            <w:r w:rsidR="00DA54CB">
              <w:rPr>
                <w:webHidden/>
              </w:rPr>
              <w:fldChar w:fldCharType="end"/>
            </w:r>
          </w:hyperlink>
        </w:p>
        <w:p w14:paraId="4845BBC3" w14:textId="4A40D2E3" w:rsidR="00DA54CB" w:rsidRDefault="004B21EF">
          <w:pPr>
            <w:pStyle w:val="TOC2"/>
            <w:tabs>
              <w:tab w:val="left" w:pos="1418"/>
            </w:tabs>
            <w:rPr>
              <w:rFonts w:asciiTheme="minorHAnsi" w:eastAsiaTheme="minorEastAsia" w:hAnsiTheme="minorHAnsi" w:cstheme="minorBidi"/>
            </w:rPr>
          </w:pPr>
          <w:hyperlink w:anchor="_Toc39588266" w:history="1">
            <w:r w:rsidR="00DA54CB" w:rsidRPr="006C77C5">
              <w:rPr>
                <w:rStyle w:val="Hyperlink"/>
              </w:rPr>
              <w:t>A3</w:t>
            </w:r>
            <w:r w:rsidR="00DA54CB">
              <w:rPr>
                <w:rFonts w:asciiTheme="minorHAnsi" w:eastAsiaTheme="minorEastAsia" w:hAnsiTheme="minorHAnsi" w:cstheme="minorBidi"/>
              </w:rPr>
              <w:tab/>
            </w:r>
            <w:r w:rsidR="00DA54CB" w:rsidRPr="006C77C5">
              <w:rPr>
                <w:rStyle w:val="Hyperlink"/>
              </w:rPr>
              <w:t>Proposal for Public Funding</w:t>
            </w:r>
            <w:r w:rsidR="00DA54CB">
              <w:rPr>
                <w:webHidden/>
              </w:rPr>
              <w:tab/>
            </w:r>
            <w:r w:rsidR="00DA54CB">
              <w:rPr>
                <w:webHidden/>
              </w:rPr>
              <w:fldChar w:fldCharType="begin"/>
            </w:r>
            <w:r w:rsidR="00DA54CB">
              <w:rPr>
                <w:webHidden/>
              </w:rPr>
              <w:instrText xml:space="preserve"> PAGEREF _Toc39588266 \h </w:instrText>
            </w:r>
            <w:r w:rsidR="00DA54CB">
              <w:rPr>
                <w:webHidden/>
              </w:rPr>
            </w:r>
            <w:r w:rsidR="00DA54CB">
              <w:rPr>
                <w:webHidden/>
              </w:rPr>
              <w:fldChar w:fldCharType="separate"/>
            </w:r>
            <w:r w:rsidR="004B4461">
              <w:rPr>
                <w:webHidden/>
              </w:rPr>
              <w:t>37</w:t>
            </w:r>
            <w:r w:rsidR="00DA54CB">
              <w:rPr>
                <w:webHidden/>
              </w:rPr>
              <w:fldChar w:fldCharType="end"/>
            </w:r>
          </w:hyperlink>
        </w:p>
        <w:p w14:paraId="36410101" w14:textId="76CD0F19" w:rsidR="00DA54CB" w:rsidRDefault="004B21EF">
          <w:pPr>
            <w:pStyle w:val="TOC2"/>
            <w:tabs>
              <w:tab w:val="left" w:pos="1418"/>
            </w:tabs>
            <w:rPr>
              <w:rFonts w:asciiTheme="minorHAnsi" w:eastAsiaTheme="minorEastAsia" w:hAnsiTheme="minorHAnsi" w:cstheme="minorBidi"/>
            </w:rPr>
          </w:pPr>
          <w:hyperlink w:anchor="_Toc39588267" w:history="1">
            <w:r w:rsidR="00DA54CB" w:rsidRPr="006C77C5">
              <w:rPr>
                <w:rStyle w:val="Hyperlink"/>
              </w:rPr>
              <w:t>A4</w:t>
            </w:r>
            <w:r w:rsidR="00DA54CB">
              <w:rPr>
                <w:rFonts w:asciiTheme="minorHAnsi" w:eastAsiaTheme="minorEastAsia" w:hAnsiTheme="minorHAnsi" w:cstheme="minorBidi"/>
              </w:rPr>
              <w:tab/>
            </w:r>
            <w:r w:rsidR="00DA54CB" w:rsidRPr="006C77C5">
              <w:rPr>
                <w:rStyle w:val="Hyperlink"/>
              </w:rPr>
              <w:t>Proposed Population</w:t>
            </w:r>
            <w:r w:rsidR="00DA54CB">
              <w:rPr>
                <w:webHidden/>
              </w:rPr>
              <w:tab/>
            </w:r>
            <w:r w:rsidR="00DA54CB">
              <w:rPr>
                <w:webHidden/>
              </w:rPr>
              <w:fldChar w:fldCharType="begin"/>
            </w:r>
            <w:r w:rsidR="00DA54CB">
              <w:rPr>
                <w:webHidden/>
              </w:rPr>
              <w:instrText xml:space="preserve"> PAGEREF _Toc39588267 \h </w:instrText>
            </w:r>
            <w:r w:rsidR="00DA54CB">
              <w:rPr>
                <w:webHidden/>
              </w:rPr>
            </w:r>
            <w:r w:rsidR="00DA54CB">
              <w:rPr>
                <w:webHidden/>
              </w:rPr>
              <w:fldChar w:fldCharType="separate"/>
            </w:r>
            <w:r w:rsidR="004B4461">
              <w:rPr>
                <w:webHidden/>
              </w:rPr>
              <w:t>38</w:t>
            </w:r>
            <w:r w:rsidR="00DA54CB">
              <w:rPr>
                <w:webHidden/>
              </w:rPr>
              <w:fldChar w:fldCharType="end"/>
            </w:r>
          </w:hyperlink>
        </w:p>
        <w:p w14:paraId="76D0630B" w14:textId="536412ED" w:rsidR="00DA54CB" w:rsidRDefault="004B21EF">
          <w:pPr>
            <w:pStyle w:val="TOC3"/>
            <w:rPr>
              <w:rFonts w:asciiTheme="minorHAnsi" w:eastAsiaTheme="minorEastAsia" w:hAnsiTheme="minorHAnsi" w:cstheme="minorBidi"/>
            </w:rPr>
          </w:pPr>
          <w:hyperlink w:anchor="_Toc39588268" w:history="1">
            <w:r w:rsidR="00DA54CB" w:rsidRPr="006C77C5">
              <w:rPr>
                <w:rStyle w:val="Hyperlink"/>
              </w:rPr>
              <w:t>AQP4 and MOG testing in the Australian setting</w:t>
            </w:r>
            <w:r w:rsidR="00DA54CB">
              <w:rPr>
                <w:webHidden/>
              </w:rPr>
              <w:tab/>
            </w:r>
            <w:r w:rsidR="00DA54CB">
              <w:rPr>
                <w:webHidden/>
              </w:rPr>
              <w:fldChar w:fldCharType="begin"/>
            </w:r>
            <w:r w:rsidR="00DA54CB">
              <w:rPr>
                <w:webHidden/>
              </w:rPr>
              <w:instrText xml:space="preserve"> PAGEREF _Toc39588268 \h </w:instrText>
            </w:r>
            <w:r w:rsidR="00DA54CB">
              <w:rPr>
                <w:webHidden/>
              </w:rPr>
            </w:r>
            <w:r w:rsidR="00DA54CB">
              <w:rPr>
                <w:webHidden/>
              </w:rPr>
              <w:fldChar w:fldCharType="separate"/>
            </w:r>
            <w:r w:rsidR="004B4461">
              <w:rPr>
                <w:webHidden/>
              </w:rPr>
              <w:t>39</w:t>
            </w:r>
            <w:r w:rsidR="00DA54CB">
              <w:rPr>
                <w:webHidden/>
              </w:rPr>
              <w:fldChar w:fldCharType="end"/>
            </w:r>
          </w:hyperlink>
        </w:p>
        <w:p w14:paraId="33749B7A" w14:textId="3CE7B0AB" w:rsidR="00DA54CB" w:rsidRDefault="004B21EF">
          <w:pPr>
            <w:pStyle w:val="TOC2"/>
            <w:tabs>
              <w:tab w:val="left" w:pos="1418"/>
            </w:tabs>
            <w:rPr>
              <w:rFonts w:asciiTheme="minorHAnsi" w:eastAsiaTheme="minorEastAsia" w:hAnsiTheme="minorHAnsi" w:cstheme="minorBidi"/>
            </w:rPr>
          </w:pPr>
          <w:hyperlink w:anchor="_Toc39588269" w:history="1">
            <w:r w:rsidR="00DA54CB" w:rsidRPr="006C77C5">
              <w:rPr>
                <w:rStyle w:val="Hyperlink"/>
              </w:rPr>
              <w:t>A5</w:t>
            </w:r>
            <w:r w:rsidR="00DA54CB">
              <w:rPr>
                <w:rFonts w:asciiTheme="minorHAnsi" w:eastAsiaTheme="minorEastAsia" w:hAnsiTheme="minorHAnsi" w:cstheme="minorBidi"/>
              </w:rPr>
              <w:tab/>
            </w:r>
            <w:r w:rsidR="00DA54CB" w:rsidRPr="006C77C5">
              <w:rPr>
                <w:rStyle w:val="Hyperlink"/>
              </w:rPr>
              <w:t>Comparator Details</w:t>
            </w:r>
            <w:r w:rsidR="00DA54CB">
              <w:rPr>
                <w:webHidden/>
              </w:rPr>
              <w:tab/>
            </w:r>
            <w:r w:rsidR="00DA54CB">
              <w:rPr>
                <w:webHidden/>
              </w:rPr>
              <w:fldChar w:fldCharType="begin"/>
            </w:r>
            <w:r w:rsidR="00DA54CB">
              <w:rPr>
                <w:webHidden/>
              </w:rPr>
              <w:instrText xml:space="preserve"> PAGEREF _Toc39588269 \h </w:instrText>
            </w:r>
            <w:r w:rsidR="00DA54CB">
              <w:rPr>
                <w:webHidden/>
              </w:rPr>
            </w:r>
            <w:r w:rsidR="00DA54CB">
              <w:rPr>
                <w:webHidden/>
              </w:rPr>
              <w:fldChar w:fldCharType="separate"/>
            </w:r>
            <w:r w:rsidR="004B4461">
              <w:rPr>
                <w:webHidden/>
              </w:rPr>
              <w:t>42</w:t>
            </w:r>
            <w:r w:rsidR="00DA54CB">
              <w:rPr>
                <w:webHidden/>
              </w:rPr>
              <w:fldChar w:fldCharType="end"/>
            </w:r>
          </w:hyperlink>
        </w:p>
        <w:p w14:paraId="1B7D622D" w14:textId="45248B95" w:rsidR="00DA54CB" w:rsidRDefault="004B21EF">
          <w:pPr>
            <w:pStyle w:val="TOC2"/>
            <w:tabs>
              <w:tab w:val="left" w:pos="1418"/>
            </w:tabs>
            <w:rPr>
              <w:rFonts w:asciiTheme="minorHAnsi" w:eastAsiaTheme="minorEastAsia" w:hAnsiTheme="minorHAnsi" w:cstheme="minorBidi"/>
            </w:rPr>
          </w:pPr>
          <w:hyperlink w:anchor="_Toc39588270" w:history="1">
            <w:r w:rsidR="00DA54CB" w:rsidRPr="006C77C5">
              <w:rPr>
                <w:rStyle w:val="Hyperlink"/>
              </w:rPr>
              <w:t>A6</w:t>
            </w:r>
            <w:r w:rsidR="00DA54CB">
              <w:rPr>
                <w:rFonts w:asciiTheme="minorHAnsi" w:eastAsiaTheme="minorEastAsia" w:hAnsiTheme="minorHAnsi" w:cstheme="minorBidi"/>
              </w:rPr>
              <w:tab/>
            </w:r>
            <w:r w:rsidR="00DA54CB" w:rsidRPr="006C77C5">
              <w:rPr>
                <w:rStyle w:val="Hyperlink"/>
              </w:rPr>
              <w:t>Clinical Management Algorithm(s)</w:t>
            </w:r>
            <w:r w:rsidR="00DA54CB">
              <w:rPr>
                <w:webHidden/>
              </w:rPr>
              <w:tab/>
            </w:r>
            <w:r w:rsidR="00DA54CB">
              <w:rPr>
                <w:webHidden/>
              </w:rPr>
              <w:fldChar w:fldCharType="begin"/>
            </w:r>
            <w:r w:rsidR="00DA54CB">
              <w:rPr>
                <w:webHidden/>
              </w:rPr>
              <w:instrText xml:space="preserve"> PAGEREF _Toc39588270 \h </w:instrText>
            </w:r>
            <w:r w:rsidR="00DA54CB">
              <w:rPr>
                <w:webHidden/>
              </w:rPr>
            </w:r>
            <w:r w:rsidR="00DA54CB">
              <w:rPr>
                <w:webHidden/>
              </w:rPr>
              <w:fldChar w:fldCharType="separate"/>
            </w:r>
            <w:r w:rsidR="004B4461">
              <w:rPr>
                <w:webHidden/>
              </w:rPr>
              <w:t>43</w:t>
            </w:r>
            <w:r w:rsidR="00DA54CB">
              <w:rPr>
                <w:webHidden/>
              </w:rPr>
              <w:fldChar w:fldCharType="end"/>
            </w:r>
          </w:hyperlink>
        </w:p>
        <w:p w14:paraId="342C1D6F" w14:textId="4668075C" w:rsidR="00DA54CB" w:rsidRDefault="004B21EF">
          <w:pPr>
            <w:pStyle w:val="TOC3"/>
            <w:rPr>
              <w:rFonts w:asciiTheme="minorHAnsi" w:eastAsiaTheme="minorEastAsia" w:hAnsiTheme="minorHAnsi" w:cstheme="minorBidi"/>
            </w:rPr>
          </w:pPr>
          <w:hyperlink w:anchor="_Toc39588271" w:history="1">
            <w:r w:rsidR="00DA54CB" w:rsidRPr="006C77C5">
              <w:rPr>
                <w:rStyle w:val="Hyperlink"/>
              </w:rPr>
              <w:t>Historical clinical management for the identified population (comparative situation)</w:t>
            </w:r>
            <w:r w:rsidR="00DA54CB">
              <w:rPr>
                <w:webHidden/>
              </w:rPr>
              <w:tab/>
            </w:r>
            <w:r w:rsidR="00DA54CB">
              <w:rPr>
                <w:webHidden/>
              </w:rPr>
              <w:fldChar w:fldCharType="begin"/>
            </w:r>
            <w:r w:rsidR="00DA54CB">
              <w:rPr>
                <w:webHidden/>
              </w:rPr>
              <w:instrText xml:space="preserve"> PAGEREF _Toc39588271 \h </w:instrText>
            </w:r>
            <w:r w:rsidR="00DA54CB">
              <w:rPr>
                <w:webHidden/>
              </w:rPr>
            </w:r>
            <w:r w:rsidR="00DA54CB">
              <w:rPr>
                <w:webHidden/>
              </w:rPr>
              <w:fldChar w:fldCharType="separate"/>
            </w:r>
            <w:r w:rsidR="004B4461">
              <w:rPr>
                <w:webHidden/>
              </w:rPr>
              <w:t>43</w:t>
            </w:r>
            <w:r w:rsidR="00DA54CB">
              <w:rPr>
                <w:webHidden/>
              </w:rPr>
              <w:fldChar w:fldCharType="end"/>
            </w:r>
          </w:hyperlink>
        </w:p>
        <w:p w14:paraId="1B71F0EF" w14:textId="50861C44" w:rsidR="00DA54CB" w:rsidRDefault="004B21EF">
          <w:pPr>
            <w:pStyle w:val="TOC3"/>
            <w:rPr>
              <w:rFonts w:asciiTheme="minorHAnsi" w:eastAsiaTheme="minorEastAsia" w:hAnsiTheme="minorHAnsi" w:cstheme="minorBidi"/>
            </w:rPr>
          </w:pPr>
          <w:hyperlink w:anchor="_Toc39588272" w:history="1">
            <w:r w:rsidR="00DA54CB" w:rsidRPr="006C77C5">
              <w:rPr>
                <w:rStyle w:val="Hyperlink"/>
              </w:rPr>
              <w:t>Current clinical management for the proposed identified population</w:t>
            </w:r>
            <w:r w:rsidR="00DA54CB">
              <w:rPr>
                <w:webHidden/>
              </w:rPr>
              <w:tab/>
            </w:r>
            <w:r w:rsidR="00DA54CB">
              <w:rPr>
                <w:webHidden/>
              </w:rPr>
              <w:fldChar w:fldCharType="begin"/>
            </w:r>
            <w:r w:rsidR="00DA54CB">
              <w:rPr>
                <w:webHidden/>
              </w:rPr>
              <w:instrText xml:space="preserve"> PAGEREF _Toc39588272 \h </w:instrText>
            </w:r>
            <w:r w:rsidR="00DA54CB">
              <w:rPr>
                <w:webHidden/>
              </w:rPr>
            </w:r>
            <w:r w:rsidR="00DA54CB">
              <w:rPr>
                <w:webHidden/>
              </w:rPr>
              <w:fldChar w:fldCharType="separate"/>
            </w:r>
            <w:r w:rsidR="004B4461">
              <w:rPr>
                <w:webHidden/>
              </w:rPr>
              <w:t>44</w:t>
            </w:r>
            <w:r w:rsidR="00DA54CB">
              <w:rPr>
                <w:webHidden/>
              </w:rPr>
              <w:fldChar w:fldCharType="end"/>
            </w:r>
          </w:hyperlink>
        </w:p>
        <w:p w14:paraId="7D34D0D8" w14:textId="4C3AF6DE" w:rsidR="00DA54CB" w:rsidRDefault="004B21EF">
          <w:pPr>
            <w:pStyle w:val="TOC3"/>
            <w:rPr>
              <w:rFonts w:asciiTheme="minorHAnsi" w:eastAsiaTheme="minorEastAsia" w:hAnsiTheme="minorHAnsi" w:cstheme="minorBidi"/>
            </w:rPr>
          </w:pPr>
          <w:hyperlink w:anchor="_Toc39588273" w:history="1">
            <w:r w:rsidR="00DA54CB" w:rsidRPr="006C77C5">
              <w:rPr>
                <w:rStyle w:val="Hyperlink"/>
              </w:rPr>
              <w:t>Clinical management after diagnosis in the identified population</w:t>
            </w:r>
            <w:r w:rsidR="00DA54CB">
              <w:rPr>
                <w:webHidden/>
              </w:rPr>
              <w:tab/>
            </w:r>
            <w:r w:rsidR="00DA54CB">
              <w:rPr>
                <w:webHidden/>
              </w:rPr>
              <w:fldChar w:fldCharType="begin"/>
            </w:r>
            <w:r w:rsidR="00DA54CB">
              <w:rPr>
                <w:webHidden/>
              </w:rPr>
              <w:instrText xml:space="preserve"> PAGEREF _Toc39588273 \h </w:instrText>
            </w:r>
            <w:r w:rsidR="00DA54CB">
              <w:rPr>
                <w:webHidden/>
              </w:rPr>
            </w:r>
            <w:r w:rsidR="00DA54CB">
              <w:rPr>
                <w:webHidden/>
              </w:rPr>
              <w:fldChar w:fldCharType="separate"/>
            </w:r>
            <w:r w:rsidR="004B4461">
              <w:rPr>
                <w:webHidden/>
              </w:rPr>
              <w:t>45</w:t>
            </w:r>
            <w:r w:rsidR="00DA54CB">
              <w:rPr>
                <w:webHidden/>
              </w:rPr>
              <w:fldChar w:fldCharType="end"/>
            </w:r>
          </w:hyperlink>
        </w:p>
        <w:p w14:paraId="6E3CEE5E" w14:textId="63F71647" w:rsidR="00DA54CB" w:rsidRDefault="004B21EF">
          <w:pPr>
            <w:pStyle w:val="TOC2"/>
            <w:tabs>
              <w:tab w:val="left" w:pos="1418"/>
            </w:tabs>
            <w:rPr>
              <w:rFonts w:asciiTheme="minorHAnsi" w:eastAsiaTheme="minorEastAsia" w:hAnsiTheme="minorHAnsi" w:cstheme="minorBidi"/>
            </w:rPr>
          </w:pPr>
          <w:hyperlink w:anchor="_Toc39588274" w:history="1">
            <w:r w:rsidR="00DA54CB" w:rsidRPr="006C77C5">
              <w:rPr>
                <w:rStyle w:val="Hyperlink"/>
              </w:rPr>
              <w:t>A7</w:t>
            </w:r>
            <w:r w:rsidR="00DA54CB">
              <w:rPr>
                <w:rFonts w:asciiTheme="minorHAnsi" w:eastAsiaTheme="minorEastAsia" w:hAnsiTheme="minorHAnsi" w:cstheme="minorBidi"/>
              </w:rPr>
              <w:tab/>
            </w:r>
            <w:r w:rsidR="00DA54CB" w:rsidRPr="006C77C5">
              <w:rPr>
                <w:rStyle w:val="Hyperlink"/>
              </w:rPr>
              <w:t>Key Differences in the Proposed Medical Service and the Main Comparator</w:t>
            </w:r>
            <w:r w:rsidR="00DA54CB">
              <w:rPr>
                <w:webHidden/>
              </w:rPr>
              <w:tab/>
            </w:r>
            <w:r w:rsidR="00DA54CB">
              <w:rPr>
                <w:webHidden/>
              </w:rPr>
              <w:fldChar w:fldCharType="begin"/>
            </w:r>
            <w:r w:rsidR="00DA54CB">
              <w:rPr>
                <w:webHidden/>
              </w:rPr>
              <w:instrText xml:space="preserve"> PAGEREF _Toc39588274 \h </w:instrText>
            </w:r>
            <w:r w:rsidR="00DA54CB">
              <w:rPr>
                <w:webHidden/>
              </w:rPr>
            </w:r>
            <w:r w:rsidR="00DA54CB">
              <w:rPr>
                <w:webHidden/>
              </w:rPr>
              <w:fldChar w:fldCharType="separate"/>
            </w:r>
            <w:r w:rsidR="004B4461">
              <w:rPr>
                <w:webHidden/>
              </w:rPr>
              <w:t>47</w:t>
            </w:r>
            <w:r w:rsidR="00DA54CB">
              <w:rPr>
                <w:webHidden/>
              </w:rPr>
              <w:fldChar w:fldCharType="end"/>
            </w:r>
          </w:hyperlink>
        </w:p>
        <w:p w14:paraId="32918EC0" w14:textId="6FB11747" w:rsidR="00DA54CB" w:rsidRDefault="004B21EF">
          <w:pPr>
            <w:pStyle w:val="TOC2"/>
            <w:tabs>
              <w:tab w:val="left" w:pos="1418"/>
            </w:tabs>
            <w:rPr>
              <w:rFonts w:asciiTheme="minorHAnsi" w:eastAsiaTheme="minorEastAsia" w:hAnsiTheme="minorHAnsi" w:cstheme="minorBidi"/>
            </w:rPr>
          </w:pPr>
          <w:hyperlink w:anchor="_Toc39588275" w:history="1">
            <w:r w:rsidR="00DA54CB" w:rsidRPr="006C77C5">
              <w:rPr>
                <w:rStyle w:val="Hyperlink"/>
              </w:rPr>
              <w:t>A8</w:t>
            </w:r>
            <w:r w:rsidR="00DA54CB">
              <w:rPr>
                <w:rFonts w:asciiTheme="minorHAnsi" w:eastAsiaTheme="minorEastAsia" w:hAnsiTheme="minorHAnsi" w:cstheme="minorBidi"/>
              </w:rPr>
              <w:tab/>
            </w:r>
            <w:r w:rsidR="00DA54CB" w:rsidRPr="006C77C5">
              <w:rPr>
                <w:rStyle w:val="Hyperlink"/>
              </w:rPr>
              <w:t>Clinical Claim</w:t>
            </w:r>
            <w:r w:rsidR="00DA54CB">
              <w:rPr>
                <w:webHidden/>
              </w:rPr>
              <w:tab/>
            </w:r>
            <w:r w:rsidR="00DA54CB">
              <w:rPr>
                <w:webHidden/>
              </w:rPr>
              <w:fldChar w:fldCharType="begin"/>
            </w:r>
            <w:r w:rsidR="00DA54CB">
              <w:rPr>
                <w:webHidden/>
              </w:rPr>
              <w:instrText xml:space="preserve"> PAGEREF _Toc39588275 \h </w:instrText>
            </w:r>
            <w:r w:rsidR="00DA54CB">
              <w:rPr>
                <w:webHidden/>
              </w:rPr>
            </w:r>
            <w:r w:rsidR="00DA54CB">
              <w:rPr>
                <w:webHidden/>
              </w:rPr>
              <w:fldChar w:fldCharType="separate"/>
            </w:r>
            <w:r w:rsidR="004B4461">
              <w:rPr>
                <w:webHidden/>
              </w:rPr>
              <w:t>48</w:t>
            </w:r>
            <w:r w:rsidR="00DA54CB">
              <w:rPr>
                <w:webHidden/>
              </w:rPr>
              <w:fldChar w:fldCharType="end"/>
            </w:r>
          </w:hyperlink>
        </w:p>
        <w:p w14:paraId="151E264E" w14:textId="5BCB8FFE" w:rsidR="00DA54CB" w:rsidRDefault="004B21EF">
          <w:pPr>
            <w:pStyle w:val="TOC2"/>
            <w:tabs>
              <w:tab w:val="left" w:pos="1418"/>
            </w:tabs>
            <w:rPr>
              <w:rFonts w:asciiTheme="minorHAnsi" w:eastAsiaTheme="minorEastAsia" w:hAnsiTheme="minorHAnsi" w:cstheme="minorBidi"/>
            </w:rPr>
          </w:pPr>
          <w:hyperlink w:anchor="_Toc39588276" w:history="1">
            <w:r w:rsidR="00DA54CB" w:rsidRPr="006C77C5">
              <w:rPr>
                <w:rStyle w:val="Hyperlink"/>
              </w:rPr>
              <w:t>A9</w:t>
            </w:r>
            <w:r w:rsidR="00DA54CB">
              <w:rPr>
                <w:rFonts w:asciiTheme="minorHAnsi" w:eastAsiaTheme="minorEastAsia" w:hAnsiTheme="minorHAnsi" w:cstheme="minorBidi"/>
              </w:rPr>
              <w:tab/>
            </w:r>
            <w:r w:rsidR="00DA54CB" w:rsidRPr="006C77C5">
              <w:rPr>
                <w:rStyle w:val="Hyperlink"/>
              </w:rPr>
              <w:t>Summary of the PICO</w:t>
            </w:r>
            <w:r w:rsidR="00DA54CB">
              <w:rPr>
                <w:webHidden/>
              </w:rPr>
              <w:tab/>
            </w:r>
            <w:r w:rsidR="00DA54CB">
              <w:rPr>
                <w:webHidden/>
              </w:rPr>
              <w:fldChar w:fldCharType="begin"/>
            </w:r>
            <w:r w:rsidR="00DA54CB">
              <w:rPr>
                <w:webHidden/>
              </w:rPr>
              <w:instrText xml:space="preserve"> PAGEREF _Toc39588276 \h </w:instrText>
            </w:r>
            <w:r w:rsidR="00DA54CB">
              <w:rPr>
                <w:webHidden/>
              </w:rPr>
            </w:r>
            <w:r w:rsidR="00DA54CB">
              <w:rPr>
                <w:webHidden/>
              </w:rPr>
              <w:fldChar w:fldCharType="separate"/>
            </w:r>
            <w:r w:rsidR="004B4461">
              <w:rPr>
                <w:webHidden/>
              </w:rPr>
              <w:t>48</w:t>
            </w:r>
            <w:r w:rsidR="00DA54CB">
              <w:rPr>
                <w:webHidden/>
              </w:rPr>
              <w:fldChar w:fldCharType="end"/>
            </w:r>
          </w:hyperlink>
        </w:p>
        <w:p w14:paraId="40B04DE9" w14:textId="4F74D649" w:rsidR="00DA54CB" w:rsidRDefault="004B21EF">
          <w:pPr>
            <w:pStyle w:val="TOC2"/>
            <w:tabs>
              <w:tab w:val="left" w:pos="1540"/>
            </w:tabs>
            <w:rPr>
              <w:rFonts w:asciiTheme="minorHAnsi" w:eastAsiaTheme="minorEastAsia" w:hAnsiTheme="minorHAnsi" w:cstheme="minorBidi"/>
            </w:rPr>
          </w:pPr>
          <w:hyperlink w:anchor="_Toc39588277" w:history="1">
            <w:r w:rsidR="00DA54CB" w:rsidRPr="006C77C5">
              <w:rPr>
                <w:rStyle w:val="Hyperlink"/>
              </w:rPr>
              <w:t>A10</w:t>
            </w:r>
            <w:r w:rsidR="00DA54CB">
              <w:rPr>
                <w:rFonts w:asciiTheme="minorHAnsi" w:eastAsiaTheme="minorEastAsia" w:hAnsiTheme="minorHAnsi" w:cstheme="minorBidi"/>
              </w:rPr>
              <w:tab/>
            </w:r>
            <w:r w:rsidR="00DA54CB" w:rsidRPr="006C77C5">
              <w:rPr>
                <w:rStyle w:val="Hyperlink"/>
              </w:rPr>
              <w:t>Stakeholder impact</w:t>
            </w:r>
            <w:r w:rsidR="00DA54CB">
              <w:rPr>
                <w:webHidden/>
              </w:rPr>
              <w:tab/>
            </w:r>
            <w:r w:rsidR="00DA54CB">
              <w:rPr>
                <w:webHidden/>
              </w:rPr>
              <w:fldChar w:fldCharType="begin"/>
            </w:r>
            <w:r w:rsidR="00DA54CB">
              <w:rPr>
                <w:webHidden/>
              </w:rPr>
              <w:instrText xml:space="preserve"> PAGEREF _Toc39588277 \h </w:instrText>
            </w:r>
            <w:r w:rsidR="00DA54CB">
              <w:rPr>
                <w:webHidden/>
              </w:rPr>
            </w:r>
            <w:r w:rsidR="00DA54CB">
              <w:rPr>
                <w:webHidden/>
              </w:rPr>
              <w:fldChar w:fldCharType="separate"/>
            </w:r>
            <w:r w:rsidR="004B4461">
              <w:rPr>
                <w:webHidden/>
              </w:rPr>
              <w:t>49</w:t>
            </w:r>
            <w:r w:rsidR="00DA54CB">
              <w:rPr>
                <w:webHidden/>
              </w:rPr>
              <w:fldChar w:fldCharType="end"/>
            </w:r>
          </w:hyperlink>
        </w:p>
        <w:p w14:paraId="46A9B9BD" w14:textId="6DC5C344" w:rsidR="00DA54CB" w:rsidRDefault="004B21EF">
          <w:pPr>
            <w:pStyle w:val="TOC1"/>
            <w:rPr>
              <w:rFonts w:asciiTheme="minorHAnsi" w:eastAsiaTheme="minorEastAsia" w:hAnsiTheme="minorHAnsi" w:cstheme="minorBidi"/>
              <w:b w:val="0"/>
            </w:rPr>
          </w:pPr>
          <w:hyperlink w:anchor="_Toc39588278" w:history="1">
            <w:r w:rsidR="00DA54CB" w:rsidRPr="006C77C5">
              <w:rPr>
                <w:rStyle w:val="Hyperlink"/>
              </w:rPr>
              <w:t>Section B</w:t>
            </w:r>
            <w:r w:rsidR="00DA54CB">
              <w:rPr>
                <w:rFonts w:asciiTheme="minorHAnsi" w:eastAsiaTheme="minorEastAsia" w:hAnsiTheme="minorHAnsi" w:cstheme="minorBidi"/>
                <w:b w:val="0"/>
              </w:rPr>
              <w:tab/>
            </w:r>
            <w:r w:rsidR="00DA54CB" w:rsidRPr="006C77C5">
              <w:rPr>
                <w:rStyle w:val="Hyperlink"/>
              </w:rPr>
              <w:t>Clinical Evaluation</w:t>
            </w:r>
            <w:r w:rsidR="00DA54CB">
              <w:rPr>
                <w:webHidden/>
              </w:rPr>
              <w:tab/>
            </w:r>
            <w:r w:rsidR="00DA54CB">
              <w:rPr>
                <w:webHidden/>
              </w:rPr>
              <w:fldChar w:fldCharType="begin"/>
            </w:r>
            <w:r w:rsidR="00DA54CB">
              <w:rPr>
                <w:webHidden/>
              </w:rPr>
              <w:instrText xml:space="preserve"> PAGEREF _Toc39588278 \h </w:instrText>
            </w:r>
            <w:r w:rsidR="00DA54CB">
              <w:rPr>
                <w:webHidden/>
              </w:rPr>
            </w:r>
            <w:r w:rsidR="00DA54CB">
              <w:rPr>
                <w:webHidden/>
              </w:rPr>
              <w:fldChar w:fldCharType="separate"/>
            </w:r>
            <w:r w:rsidR="004B4461">
              <w:rPr>
                <w:webHidden/>
              </w:rPr>
              <w:t>51</w:t>
            </w:r>
            <w:r w:rsidR="00DA54CB">
              <w:rPr>
                <w:webHidden/>
              </w:rPr>
              <w:fldChar w:fldCharType="end"/>
            </w:r>
          </w:hyperlink>
        </w:p>
        <w:p w14:paraId="7847562F" w14:textId="23C80780" w:rsidR="00DA54CB" w:rsidRDefault="004B21EF">
          <w:pPr>
            <w:pStyle w:val="TOC1"/>
            <w:rPr>
              <w:rFonts w:asciiTheme="minorHAnsi" w:eastAsiaTheme="minorEastAsia" w:hAnsiTheme="minorHAnsi" w:cstheme="minorBidi"/>
              <w:b w:val="0"/>
            </w:rPr>
          </w:pPr>
          <w:hyperlink w:anchor="_Toc39588279" w:history="1">
            <w:r w:rsidR="00DA54CB" w:rsidRPr="006C77C5">
              <w:rPr>
                <w:rStyle w:val="Hyperlink"/>
              </w:rPr>
              <w:t>B1</w:t>
            </w:r>
            <w:r w:rsidR="00DA54CB">
              <w:rPr>
                <w:rFonts w:asciiTheme="minorHAnsi" w:eastAsiaTheme="minorEastAsia" w:hAnsiTheme="minorHAnsi" w:cstheme="minorBidi"/>
                <w:b w:val="0"/>
              </w:rPr>
              <w:tab/>
            </w:r>
            <w:r w:rsidR="00DA54CB" w:rsidRPr="006C77C5">
              <w:rPr>
                <w:rStyle w:val="Hyperlink"/>
              </w:rPr>
              <w:t>Direct Evidence</w:t>
            </w:r>
            <w:r w:rsidR="00DA54CB">
              <w:rPr>
                <w:webHidden/>
              </w:rPr>
              <w:tab/>
            </w:r>
            <w:r w:rsidR="00DA54CB">
              <w:rPr>
                <w:webHidden/>
              </w:rPr>
              <w:fldChar w:fldCharType="begin"/>
            </w:r>
            <w:r w:rsidR="00DA54CB">
              <w:rPr>
                <w:webHidden/>
              </w:rPr>
              <w:instrText xml:space="preserve"> PAGEREF _Toc39588279 \h </w:instrText>
            </w:r>
            <w:r w:rsidR="00DA54CB">
              <w:rPr>
                <w:webHidden/>
              </w:rPr>
            </w:r>
            <w:r w:rsidR="00DA54CB">
              <w:rPr>
                <w:webHidden/>
              </w:rPr>
              <w:fldChar w:fldCharType="separate"/>
            </w:r>
            <w:r w:rsidR="004B4461">
              <w:rPr>
                <w:webHidden/>
              </w:rPr>
              <w:t>52</w:t>
            </w:r>
            <w:r w:rsidR="00DA54CB">
              <w:rPr>
                <w:webHidden/>
              </w:rPr>
              <w:fldChar w:fldCharType="end"/>
            </w:r>
          </w:hyperlink>
        </w:p>
        <w:p w14:paraId="63C230B3" w14:textId="03C19ED5" w:rsidR="00DA54CB" w:rsidRDefault="004B21EF">
          <w:pPr>
            <w:pStyle w:val="TOC2"/>
            <w:tabs>
              <w:tab w:val="left" w:pos="1540"/>
            </w:tabs>
            <w:rPr>
              <w:rFonts w:asciiTheme="minorHAnsi" w:eastAsiaTheme="minorEastAsia" w:hAnsiTheme="minorHAnsi" w:cstheme="minorBidi"/>
            </w:rPr>
          </w:pPr>
          <w:hyperlink w:anchor="_Toc39588280" w:history="1">
            <w:r w:rsidR="00DA54CB" w:rsidRPr="006C77C5">
              <w:rPr>
                <w:rStyle w:val="Hyperlink"/>
              </w:rPr>
              <w:t>B1.1</w:t>
            </w:r>
            <w:r w:rsidR="00DA54CB">
              <w:rPr>
                <w:rFonts w:asciiTheme="minorHAnsi" w:eastAsiaTheme="minorEastAsia" w:hAnsiTheme="minorHAnsi" w:cstheme="minorBidi"/>
              </w:rPr>
              <w:tab/>
            </w:r>
            <w:r w:rsidR="00DA54CB" w:rsidRPr="006C77C5">
              <w:rPr>
                <w:rStyle w:val="Hyperlink"/>
              </w:rPr>
              <w:t>Literature Sources and Search Strategies</w:t>
            </w:r>
            <w:r w:rsidR="00DA54CB">
              <w:rPr>
                <w:webHidden/>
              </w:rPr>
              <w:tab/>
            </w:r>
            <w:r w:rsidR="00DA54CB">
              <w:rPr>
                <w:webHidden/>
              </w:rPr>
              <w:fldChar w:fldCharType="begin"/>
            </w:r>
            <w:r w:rsidR="00DA54CB">
              <w:rPr>
                <w:webHidden/>
              </w:rPr>
              <w:instrText xml:space="preserve"> PAGEREF _Toc39588280 \h </w:instrText>
            </w:r>
            <w:r w:rsidR="00DA54CB">
              <w:rPr>
                <w:webHidden/>
              </w:rPr>
            </w:r>
            <w:r w:rsidR="00DA54CB">
              <w:rPr>
                <w:webHidden/>
              </w:rPr>
              <w:fldChar w:fldCharType="separate"/>
            </w:r>
            <w:r w:rsidR="004B4461">
              <w:rPr>
                <w:webHidden/>
              </w:rPr>
              <w:t>52</w:t>
            </w:r>
            <w:r w:rsidR="00DA54CB">
              <w:rPr>
                <w:webHidden/>
              </w:rPr>
              <w:fldChar w:fldCharType="end"/>
            </w:r>
          </w:hyperlink>
        </w:p>
        <w:p w14:paraId="2BD324F6" w14:textId="37450D0C" w:rsidR="00DA54CB" w:rsidRDefault="004B21EF">
          <w:pPr>
            <w:pStyle w:val="TOC2"/>
            <w:tabs>
              <w:tab w:val="left" w:pos="1540"/>
            </w:tabs>
            <w:rPr>
              <w:rFonts w:asciiTheme="minorHAnsi" w:eastAsiaTheme="minorEastAsia" w:hAnsiTheme="minorHAnsi" w:cstheme="minorBidi"/>
            </w:rPr>
          </w:pPr>
          <w:hyperlink w:anchor="_Toc39588281" w:history="1">
            <w:r w:rsidR="00DA54CB" w:rsidRPr="006C77C5">
              <w:rPr>
                <w:rStyle w:val="Hyperlink"/>
              </w:rPr>
              <w:t>B1.2</w:t>
            </w:r>
            <w:r w:rsidR="00DA54CB">
              <w:rPr>
                <w:rFonts w:asciiTheme="minorHAnsi" w:eastAsiaTheme="minorEastAsia" w:hAnsiTheme="minorHAnsi" w:cstheme="minorBidi"/>
              </w:rPr>
              <w:tab/>
            </w:r>
            <w:r w:rsidR="00DA54CB" w:rsidRPr="006C77C5">
              <w:rPr>
                <w:rStyle w:val="Hyperlink"/>
              </w:rPr>
              <w:t>Results of Literature Search</w:t>
            </w:r>
            <w:r w:rsidR="00DA54CB">
              <w:rPr>
                <w:webHidden/>
              </w:rPr>
              <w:tab/>
            </w:r>
            <w:r w:rsidR="00DA54CB">
              <w:rPr>
                <w:webHidden/>
              </w:rPr>
              <w:fldChar w:fldCharType="begin"/>
            </w:r>
            <w:r w:rsidR="00DA54CB">
              <w:rPr>
                <w:webHidden/>
              </w:rPr>
              <w:instrText xml:space="preserve"> PAGEREF _Toc39588281 \h </w:instrText>
            </w:r>
            <w:r w:rsidR="00DA54CB">
              <w:rPr>
                <w:webHidden/>
              </w:rPr>
            </w:r>
            <w:r w:rsidR="00DA54CB">
              <w:rPr>
                <w:webHidden/>
              </w:rPr>
              <w:fldChar w:fldCharType="separate"/>
            </w:r>
            <w:r w:rsidR="004B4461">
              <w:rPr>
                <w:webHidden/>
              </w:rPr>
              <w:t>52</w:t>
            </w:r>
            <w:r w:rsidR="00DA54CB">
              <w:rPr>
                <w:webHidden/>
              </w:rPr>
              <w:fldChar w:fldCharType="end"/>
            </w:r>
          </w:hyperlink>
        </w:p>
        <w:p w14:paraId="5E3DB45A" w14:textId="36FF3433" w:rsidR="00DA54CB" w:rsidRDefault="004B21EF">
          <w:pPr>
            <w:pStyle w:val="TOC2"/>
            <w:rPr>
              <w:rFonts w:asciiTheme="minorHAnsi" w:eastAsiaTheme="minorEastAsia" w:hAnsiTheme="minorHAnsi" w:cstheme="minorBidi"/>
            </w:rPr>
          </w:pPr>
          <w:hyperlink w:anchor="_Toc39588282" w:history="1">
            <w:r w:rsidR="00DA54CB" w:rsidRPr="006C77C5">
              <w:rPr>
                <w:rStyle w:val="Hyperlink"/>
              </w:rPr>
              <w:t>Appraisal of the evidence</w:t>
            </w:r>
            <w:r w:rsidR="00DA54CB">
              <w:rPr>
                <w:webHidden/>
              </w:rPr>
              <w:tab/>
            </w:r>
            <w:r w:rsidR="00DA54CB">
              <w:rPr>
                <w:webHidden/>
              </w:rPr>
              <w:fldChar w:fldCharType="begin"/>
            </w:r>
            <w:r w:rsidR="00DA54CB">
              <w:rPr>
                <w:webHidden/>
              </w:rPr>
              <w:instrText xml:space="preserve"> PAGEREF _Toc39588282 \h </w:instrText>
            </w:r>
            <w:r w:rsidR="00DA54CB">
              <w:rPr>
                <w:webHidden/>
              </w:rPr>
            </w:r>
            <w:r w:rsidR="00DA54CB">
              <w:rPr>
                <w:webHidden/>
              </w:rPr>
              <w:fldChar w:fldCharType="separate"/>
            </w:r>
            <w:r w:rsidR="004B4461">
              <w:rPr>
                <w:webHidden/>
              </w:rPr>
              <w:t>53</w:t>
            </w:r>
            <w:r w:rsidR="00DA54CB">
              <w:rPr>
                <w:webHidden/>
              </w:rPr>
              <w:fldChar w:fldCharType="end"/>
            </w:r>
          </w:hyperlink>
        </w:p>
        <w:p w14:paraId="003CC960" w14:textId="53DDB6FA" w:rsidR="00DA54CB" w:rsidRDefault="004B21EF">
          <w:pPr>
            <w:pStyle w:val="TOC2"/>
            <w:tabs>
              <w:tab w:val="left" w:pos="1540"/>
            </w:tabs>
            <w:rPr>
              <w:rFonts w:asciiTheme="minorHAnsi" w:eastAsiaTheme="minorEastAsia" w:hAnsiTheme="minorHAnsi" w:cstheme="minorBidi"/>
            </w:rPr>
          </w:pPr>
          <w:hyperlink w:anchor="_Toc39588283" w:history="1">
            <w:r w:rsidR="00DA54CB" w:rsidRPr="006C77C5">
              <w:rPr>
                <w:rStyle w:val="Hyperlink"/>
              </w:rPr>
              <w:t>B1.3</w:t>
            </w:r>
            <w:r w:rsidR="00DA54CB">
              <w:rPr>
                <w:rFonts w:asciiTheme="minorHAnsi" w:eastAsiaTheme="minorEastAsia" w:hAnsiTheme="minorHAnsi" w:cstheme="minorBidi"/>
              </w:rPr>
              <w:tab/>
            </w:r>
            <w:r w:rsidR="00DA54CB" w:rsidRPr="006C77C5">
              <w:rPr>
                <w:rStyle w:val="Hyperlink"/>
              </w:rPr>
              <w:t>Risk of Bias Assessment</w:t>
            </w:r>
            <w:r w:rsidR="00DA54CB">
              <w:rPr>
                <w:webHidden/>
              </w:rPr>
              <w:tab/>
            </w:r>
            <w:r w:rsidR="00DA54CB">
              <w:rPr>
                <w:webHidden/>
              </w:rPr>
              <w:fldChar w:fldCharType="begin"/>
            </w:r>
            <w:r w:rsidR="00DA54CB">
              <w:rPr>
                <w:webHidden/>
              </w:rPr>
              <w:instrText xml:space="preserve"> PAGEREF _Toc39588283 \h </w:instrText>
            </w:r>
            <w:r w:rsidR="00DA54CB">
              <w:rPr>
                <w:webHidden/>
              </w:rPr>
            </w:r>
            <w:r w:rsidR="00DA54CB">
              <w:rPr>
                <w:webHidden/>
              </w:rPr>
              <w:fldChar w:fldCharType="separate"/>
            </w:r>
            <w:r w:rsidR="004B4461">
              <w:rPr>
                <w:webHidden/>
              </w:rPr>
              <w:t>54</w:t>
            </w:r>
            <w:r w:rsidR="00DA54CB">
              <w:rPr>
                <w:webHidden/>
              </w:rPr>
              <w:fldChar w:fldCharType="end"/>
            </w:r>
          </w:hyperlink>
        </w:p>
        <w:p w14:paraId="370611D6" w14:textId="79769096" w:rsidR="00DA54CB" w:rsidRDefault="004B21EF">
          <w:pPr>
            <w:pStyle w:val="TOC2"/>
            <w:tabs>
              <w:tab w:val="left" w:pos="1540"/>
            </w:tabs>
            <w:rPr>
              <w:rFonts w:asciiTheme="minorHAnsi" w:eastAsiaTheme="minorEastAsia" w:hAnsiTheme="minorHAnsi" w:cstheme="minorBidi"/>
            </w:rPr>
          </w:pPr>
          <w:hyperlink w:anchor="_Toc39588284" w:history="1">
            <w:r w:rsidR="00DA54CB" w:rsidRPr="006C77C5">
              <w:rPr>
                <w:rStyle w:val="Hyperlink"/>
              </w:rPr>
              <w:t>B1.4</w:t>
            </w:r>
            <w:r w:rsidR="00DA54CB">
              <w:rPr>
                <w:rFonts w:asciiTheme="minorHAnsi" w:eastAsiaTheme="minorEastAsia" w:hAnsiTheme="minorHAnsi" w:cstheme="minorBidi"/>
              </w:rPr>
              <w:tab/>
            </w:r>
            <w:r w:rsidR="00DA54CB" w:rsidRPr="006C77C5">
              <w:rPr>
                <w:rStyle w:val="Hyperlink"/>
              </w:rPr>
              <w:t>Characteristics of the Evidence Base</w:t>
            </w:r>
            <w:r w:rsidR="00DA54CB">
              <w:rPr>
                <w:webHidden/>
              </w:rPr>
              <w:tab/>
            </w:r>
            <w:r w:rsidR="00DA54CB">
              <w:rPr>
                <w:webHidden/>
              </w:rPr>
              <w:fldChar w:fldCharType="begin"/>
            </w:r>
            <w:r w:rsidR="00DA54CB">
              <w:rPr>
                <w:webHidden/>
              </w:rPr>
              <w:instrText xml:space="preserve"> PAGEREF _Toc39588284 \h </w:instrText>
            </w:r>
            <w:r w:rsidR="00DA54CB">
              <w:rPr>
                <w:webHidden/>
              </w:rPr>
            </w:r>
            <w:r w:rsidR="00DA54CB">
              <w:rPr>
                <w:webHidden/>
              </w:rPr>
              <w:fldChar w:fldCharType="separate"/>
            </w:r>
            <w:r w:rsidR="004B4461">
              <w:rPr>
                <w:webHidden/>
              </w:rPr>
              <w:t>56</w:t>
            </w:r>
            <w:r w:rsidR="00DA54CB">
              <w:rPr>
                <w:webHidden/>
              </w:rPr>
              <w:fldChar w:fldCharType="end"/>
            </w:r>
          </w:hyperlink>
        </w:p>
        <w:p w14:paraId="7EE70DCA" w14:textId="6389CAEB" w:rsidR="00DA54CB" w:rsidRDefault="004B21EF">
          <w:pPr>
            <w:pStyle w:val="TOC2"/>
            <w:tabs>
              <w:tab w:val="left" w:pos="1540"/>
            </w:tabs>
            <w:rPr>
              <w:rFonts w:asciiTheme="minorHAnsi" w:eastAsiaTheme="minorEastAsia" w:hAnsiTheme="minorHAnsi" w:cstheme="minorBidi"/>
            </w:rPr>
          </w:pPr>
          <w:hyperlink w:anchor="_Toc39588285" w:history="1">
            <w:r w:rsidR="00DA54CB" w:rsidRPr="006C77C5">
              <w:rPr>
                <w:rStyle w:val="Hyperlink"/>
              </w:rPr>
              <w:t>B1.5</w:t>
            </w:r>
            <w:r w:rsidR="00DA54CB">
              <w:rPr>
                <w:rFonts w:asciiTheme="minorHAnsi" w:eastAsiaTheme="minorEastAsia" w:hAnsiTheme="minorHAnsi" w:cstheme="minorBidi"/>
              </w:rPr>
              <w:tab/>
            </w:r>
            <w:r w:rsidR="00DA54CB" w:rsidRPr="006C77C5">
              <w:rPr>
                <w:rStyle w:val="Hyperlink"/>
              </w:rPr>
              <w:t>Outcome Measures and Analysis</w:t>
            </w:r>
            <w:r w:rsidR="00DA54CB">
              <w:rPr>
                <w:webHidden/>
              </w:rPr>
              <w:tab/>
            </w:r>
            <w:r w:rsidR="00DA54CB">
              <w:rPr>
                <w:webHidden/>
              </w:rPr>
              <w:fldChar w:fldCharType="begin"/>
            </w:r>
            <w:r w:rsidR="00DA54CB">
              <w:rPr>
                <w:webHidden/>
              </w:rPr>
              <w:instrText xml:space="preserve"> PAGEREF _Toc39588285 \h </w:instrText>
            </w:r>
            <w:r w:rsidR="00DA54CB">
              <w:rPr>
                <w:webHidden/>
              </w:rPr>
            </w:r>
            <w:r w:rsidR="00DA54CB">
              <w:rPr>
                <w:webHidden/>
              </w:rPr>
              <w:fldChar w:fldCharType="separate"/>
            </w:r>
            <w:r w:rsidR="004B4461">
              <w:rPr>
                <w:webHidden/>
              </w:rPr>
              <w:t>56</w:t>
            </w:r>
            <w:r w:rsidR="00DA54CB">
              <w:rPr>
                <w:webHidden/>
              </w:rPr>
              <w:fldChar w:fldCharType="end"/>
            </w:r>
          </w:hyperlink>
        </w:p>
        <w:p w14:paraId="0108FED0" w14:textId="4721B400" w:rsidR="00DA54CB" w:rsidRDefault="004B21EF">
          <w:pPr>
            <w:pStyle w:val="TOC2"/>
            <w:tabs>
              <w:tab w:val="left" w:pos="1540"/>
            </w:tabs>
            <w:rPr>
              <w:rFonts w:asciiTheme="minorHAnsi" w:eastAsiaTheme="minorEastAsia" w:hAnsiTheme="minorHAnsi" w:cstheme="minorBidi"/>
            </w:rPr>
          </w:pPr>
          <w:hyperlink w:anchor="_Toc39588286" w:history="1">
            <w:r w:rsidR="00DA54CB" w:rsidRPr="006C77C5">
              <w:rPr>
                <w:rStyle w:val="Hyperlink"/>
              </w:rPr>
              <w:t>B1.6</w:t>
            </w:r>
            <w:r w:rsidR="00DA54CB">
              <w:rPr>
                <w:rFonts w:asciiTheme="minorHAnsi" w:eastAsiaTheme="minorEastAsia" w:hAnsiTheme="minorHAnsi" w:cstheme="minorBidi"/>
              </w:rPr>
              <w:tab/>
            </w:r>
            <w:r w:rsidR="00DA54CB" w:rsidRPr="006C77C5">
              <w:rPr>
                <w:rStyle w:val="Hyperlink"/>
              </w:rPr>
              <w:t>Results of the Systematic Literature review</w:t>
            </w:r>
            <w:r w:rsidR="00DA54CB">
              <w:rPr>
                <w:webHidden/>
              </w:rPr>
              <w:tab/>
            </w:r>
            <w:r w:rsidR="00DA54CB">
              <w:rPr>
                <w:webHidden/>
              </w:rPr>
              <w:fldChar w:fldCharType="begin"/>
            </w:r>
            <w:r w:rsidR="00DA54CB">
              <w:rPr>
                <w:webHidden/>
              </w:rPr>
              <w:instrText xml:space="preserve"> PAGEREF _Toc39588286 \h </w:instrText>
            </w:r>
            <w:r w:rsidR="00DA54CB">
              <w:rPr>
                <w:webHidden/>
              </w:rPr>
            </w:r>
            <w:r w:rsidR="00DA54CB">
              <w:rPr>
                <w:webHidden/>
              </w:rPr>
              <w:fldChar w:fldCharType="separate"/>
            </w:r>
            <w:r w:rsidR="004B4461">
              <w:rPr>
                <w:webHidden/>
              </w:rPr>
              <w:t>59</w:t>
            </w:r>
            <w:r w:rsidR="00DA54CB">
              <w:rPr>
                <w:webHidden/>
              </w:rPr>
              <w:fldChar w:fldCharType="end"/>
            </w:r>
          </w:hyperlink>
        </w:p>
        <w:p w14:paraId="512431ED" w14:textId="25764B4E" w:rsidR="00DA54CB" w:rsidRDefault="004B21EF">
          <w:pPr>
            <w:pStyle w:val="TOC2"/>
            <w:rPr>
              <w:rFonts w:asciiTheme="minorHAnsi" w:eastAsiaTheme="minorEastAsia" w:hAnsiTheme="minorHAnsi" w:cstheme="minorBidi"/>
            </w:rPr>
          </w:pPr>
          <w:hyperlink w:anchor="_Toc39588287" w:history="1">
            <w:r w:rsidR="00DA54CB" w:rsidRPr="006C77C5">
              <w:rPr>
                <w:rStyle w:val="Hyperlink"/>
              </w:rPr>
              <w:t>Is it safe?</w:t>
            </w:r>
            <w:r w:rsidR="00DA54CB">
              <w:rPr>
                <w:webHidden/>
              </w:rPr>
              <w:tab/>
            </w:r>
            <w:r w:rsidR="00DA54CB">
              <w:rPr>
                <w:webHidden/>
              </w:rPr>
              <w:fldChar w:fldCharType="begin"/>
            </w:r>
            <w:r w:rsidR="00DA54CB">
              <w:rPr>
                <w:webHidden/>
              </w:rPr>
              <w:instrText xml:space="preserve"> PAGEREF _Toc39588287 \h </w:instrText>
            </w:r>
            <w:r w:rsidR="00DA54CB">
              <w:rPr>
                <w:webHidden/>
              </w:rPr>
            </w:r>
            <w:r w:rsidR="00DA54CB">
              <w:rPr>
                <w:webHidden/>
              </w:rPr>
              <w:fldChar w:fldCharType="separate"/>
            </w:r>
            <w:r w:rsidR="004B4461">
              <w:rPr>
                <w:webHidden/>
              </w:rPr>
              <w:t>59</w:t>
            </w:r>
            <w:r w:rsidR="00DA54CB">
              <w:rPr>
                <w:webHidden/>
              </w:rPr>
              <w:fldChar w:fldCharType="end"/>
            </w:r>
          </w:hyperlink>
        </w:p>
        <w:p w14:paraId="749C2C0F" w14:textId="57A460B4" w:rsidR="00DA54CB" w:rsidRDefault="004B21EF">
          <w:pPr>
            <w:pStyle w:val="TOC2"/>
            <w:rPr>
              <w:rFonts w:asciiTheme="minorHAnsi" w:eastAsiaTheme="minorEastAsia" w:hAnsiTheme="minorHAnsi" w:cstheme="minorBidi"/>
            </w:rPr>
          </w:pPr>
          <w:hyperlink w:anchor="_Toc39588288" w:history="1">
            <w:r w:rsidR="00DA54CB" w:rsidRPr="006C77C5">
              <w:rPr>
                <w:rStyle w:val="Hyperlink"/>
              </w:rPr>
              <w:t>Is it effective?</w:t>
            </w:r>
            <w:r w:rsidR="00DA54CB">
              <w:rPr>
                <w:webHidden/>
              </w:rPr>
              <w:tab/>
            </w:r>
            <w:r w:rsidR="00DA54CB">
              <w:rPr>
                <w:webHidden/>
              </w:rPr>
              <w:fldChar w:fldCharType="begin"/>
            </w:r>
            <w:r w:rsidR="00DA54CB">
              <w:rPr>
                <w:webHidden/>
              </w:rPr>
              <w:instrText xml:space="preserve"> PAGEREF _Toc39588288 \h </w:instrText>
            </w:r>
            <w:r w:rsidR="00DA54CB">
              <w:rPr>
                <w:webHidden/>
              </w:rPr>
            </w:r>
            <w:r w:rsidR="00DA54CB">
              <w:rPr>
                <w:webHidden/>
              </w:rPr>
              <w:fldChar w:fldCharType="separate"/>
            </w:r>
            <w:r w:rsidR="004B4461">
              <w:rPr>
                <w:webHidden/>
              </w:rPr>
              <w:t>59</w:t>
            </w:r>
            <w:r w:rsidR="00DA54CB">
              <w:rPr>
                <w:webHidden/>
              </w:rPr>
              <w:fldChar w:fldCharType="end"/>
            </w:r>
          </w:hyperlink>
        </w:p>
        <w:p w14:paraId="26533463" w14:textId="720BE0BE" w:rsidR="00DA54CB" w:rsidRDefault="004B21EF">
          <w:pPr>
            <w:pStyle w:val="TOC1"/>
            <w:rPr>
              <w:rFonts w:asciiTheme="minorHAnsi" w:eastAsiaTheme="minorEastAsia" w:hAnsiTheme="minorHAnsi" w:cstheme="minorBidi"/>
              <w:b w:val="0"/>
            </w:rPr>
          </w:pPr>
          <w:hyperlink w:anchor="_Toc39588289" w:history="1">
            <w:r w:rsidR="00DA54CB" w:rsidRPr="006C77C5">
              <w:rPr>
                <w:rStyle w:val="Hyperlink"/>
              </w:rPr>
              <w:t xml:space="preserve">B2 </w:t>
            </w:r>
            <w:r w:rsidR="00DA54CB">
              <w:rPr>
                <w:rFonts w:asciiTheme="minorHAnsi" w:eastAsiaTheme="minorEastAsia" w:hAnsiTheme="minorHAnsi" w:cstheme="minorBidi"/>
                <w:b w:val="0"/>
              </w:rPr>
              <w:tab/>
            </w:r>
            <w:r w:rsidR="00DA54CB" w:rsidRPr="006C77C5">
              <w:rPr>
                <w:rStyle w:val="Hyperlink"/>
              </w:rPr>
              <w:t>Linked evidence approach</w:t>
            </w:r>
            <w:r w:rsidR="00DA54CB">
              <w:rPr>
                <w:webHidden/>
              </w:rPr>
              <w:tab/>
            </w:r>
            <w:r w:rsidR="00DA54CB">
              <w:rPr>
                <w:webHidden/>
              </w:rPr>
              <w:fldChar w:fldCharType="begin"/>
            </w:r>
            <w:r w:rsidR="00DA54CB">
              <w:rPr>
                <w:webHidden/>
              </w:rPr>
              <w:instrText xml:space="preserve"> PAGEREF _Toc39588289 \h </w:instrText>
            </w:r>
            <w:r w:rsidR="00DA54CB">
              <w:rPr>
                <w:webHidden/>
              </w:rPr>
            </w:r>
            <w:r w:rsidR="00DA54CB">
              <w:rPr>
                <w:webHidden/>
              </w:rPr>
              <w:fldChar w:fldCharType="separate"/>
            </w:r>
            <w:r w:rsidR="004B4461">
              <w:rPr>
                <w:webHidden/>
              </w:rPr>
              <w:t>60</w:t>
            </w:r>
            <w:r w:rsidR="00DA54CB">
              <w:rPr>
                <w:webHidden/>
              </w:rPr>
              <w:fldChar w:fldCharType="end"/>
            </w:r>
          </w:hyperlink>
        </w:p>
        <w:p w14:paraId="610D7408" w14:textId="6E53A9BF" w:rsidR="00DA54CB" w:rsidRDefault="004B21EF">
          <w:pPr>
            <w:pStyle w:val="TOC2"/>
            <w:tabs>
              <w:tab w:val="left" w:pos="1540"/>
            </w:tabs>
            <w:rPr>
              <w:rFonts w:asciiTheme="minorHAnsi" w:eastAsiaTheme="minorEastAsia" w:hAnsiTheme="minorHAnsi" w:cstheme="minorBidi"/>
            </w:rPr>
          </w:pPr>
          <w:hyperlink w:anchor="_Toc39588290" w:history="1">
            <w:r w:rsidR="00DA54CB" w:rsidRPr="006C77C5">
              <w:rPr>
                <w:rStyle w:val="Hyperlink"/>
              </w:rPr>
              <w:t>B2.1</w:t>
            </w:r>
            <w:r w:rsidR="00DA54CB">
              <w:rPr>
                <w:rFonts w:asciiTheme="minorHAnsi" w:eastAsiaTheme="minorEastAsia" w:hAnsiTheme="minorHAnsi" w:cstheme="minorBidi"/>
              </w:rPr>
              <w:tab/>
            </w:r>
            <w:r w:rsidR="00DA54CB" w:rsidRPr="006C77C5">
              <w:rPr>
                <w:rStyle w:val="Hyperlink"/>
              </w:rPr>
              <w:t>Basis for linked evidence</w:t>
            </w:r>
            <w:r w:rsidR="00DA54CB">
              <w:rPr>
                <w:webHidden/>
              </w:rPr>
              <w:tab/>
            </w:r>
            <w:r w:rsidR="00DA54CB">
              <w:rPr>
                <w:webHidden/>
              </w:rPr>
              <w:fldChar w:fldCharType="begin"/>
            </w:r>
            <w:r w:rsidR="00DA54CB">
              <w:rPr>
                <w:webHidden/>
              </w:rPr>
              <w:instrText xml:space="preserve"> PAGEREF _Toc39588290 \h </w:instrText>
            </w:r>
            <w:r w:rsidR="00DA54CB">
              <w:rPr>
                <w:webHidden/>
              </w:rPr>
            </w:r>
            <w:r w:rsidR="00DA54CB">
              <w:rPr>
                <w:webHidden/>
              </w:rPr>
              <w:fldChar w:fldCharType="separate"/>
            </w:r>
            <w:r w:rsidR="004B4461">
              <w:rPr>
                <w:webHidden/>
              </w:rPr>
              <w:t>60</w:t>
            </w:r>
            <w:r w:rsidR="00DA54CB">
              <w:rPr>
                <w:webHidden/>
              </w:rPr>
              <w:fldChar w:fldCharType="end"/>
            </w:r>
          </w:hyperlink>
        </w:p>
        <w:p w14:paraId="5C294E57" w14:textId="789EF455" w:rsidR="00DA54CB" w:rsidRDefault="004B21EF">
          <w:pPr>
            <w:pStyle w:val="TOC2"/>
            <w:tabs>
              <w:tab w:val="left" w:pos="1540"/>
            </w:tabs>
            <w:rPr>
              <w:rFonts w:asciiTheme="minorHAnsi" w:eastAsiaTheme="minorEastAsia" w:hAnsiTheme="minorHAnsi" w:cstheme="minorBidi"/>
            </w:rPr>
          </w:pPr>
          <w:hyperlink w:anchor="_Toc39588291" w:history="1">
            <w:r w:rsidR="00DA54CB" w:rsidRPr="006C77C5">
              <w:rPr>
                <w:rStyle w:val="Hyperlink"/>
              </w:rPr>
              <w:t>B2.2</w:t>
            </w:r>
            <w:r w:rsidR="00DA54CB">
              <w:rPr>
                <w:rFonts w:asciiTheme="minorHAnsi" w:eastAsiaTheme="minorEastAsia" w:hAnsiTheme="minorHAnsi" w:cstheme="minorBidi"/>
              </w:rPr>
              <w:tab/>
            </w:r>
            <w:r w:rsidR="00DA54CB" w:rsidRPr="006C77C5">
              <w:rPr>
                <w:rStyle w:val="Hyperlink"/>
              </w:rPr>
              <w:t>Steps for linked analysis</w:t>
            </w:r>
            <w:r w:rsidR="00DA54CB">
              <w:rPr>
                <w:webHidden/>
              </w:rPr>
              <w:tab/>
            </w:r>
            <w:r w:rsidR="00DA54CB">
              <w:rPr>
                <w:webHidden/>
              </w:rPr>
              <w:fldChar w:fldCharType="begin"/>
            </w:r>
            <w:r w:rsidR="00DA54CB">
              <w:rPr>
                <w:webHidden/>
              </w:rPr>
              <w:instrText xml:space="preserve"> PAGEREF _Toc39588291 \h </w:instrText>
            </w:r>
            <w:r w:rsidR="00DA54CB">
              <w:rPr>
                <w:webHidden/>
              </w:rPr>
            </w:r>
            <w:r w:rsidR="00DA54CB">
              <w:rPr>
                <w:webHidden/>
              </w:rPr>
              <w:fldChar w:fldCharType="separate"/>
            </w:r>
            <w:r w:rsidR="004B4461">
              <w:rPr>
                <w:webHidden/>
              </w:rPr>
              <w:t>60</w:t>
            </w:r>
            <w:r w:rsidR="00DA54CB">
              <w:rPr>
                <w:webHidden/>
              </w:rPr>
              <w:fldChar w:fldCharType="end"/>
            </w:r>
          </w:hyperlink>
        </w:p>
        <w:p w14:paraId="37AF4DFA" w14:textId="0E09845B" w:rsidR="00DA54CB" w:rsidRDefault="004B21EF">
          <w:pPr>
            <w:pStyle w:val="TOC1"/>
            <w:rPr>
              <w:rFonts w:asciiTheme="minorHAnsi" w:eastAsiaTheme="minorEastAsia" w:hAnsiTheme="minorHAnsi" w:cstheme="minorBidi"/>
              <w:b w:val="0"/>
            </w:rPr>
          </w:pPr>
          <w:hyperlink w:anchor="_Toc39588292" w:history="1">
            <w:r w:rsidR="00DA54CB" w:rsidRPr="006C77C5">
              <w:rPr>
                <w:rStyle w:val="Hyperlink"/>
              </w:rPr>
              <w:t>B3</w:t>
            </w:r>
            <w:r w:rsidR="00DA54CB">
              <w:rPr>
                <w:rFonts w:asciiTheme="minorHAnsi" w:eastAsiaTheme="minorEastAsia" w:hAnsiTheme="minorHAnsi" w:cstheme="minorBidi"/>
                <w:b w:val="0"/>
              </w:rPr>
              <w:tab/>
            </w:r>
            <w:r w:rsidR="00DA54CB" w:rsidRPr="006C77C5">
              <w:rPr>
                <w:rStyle w:val="Hyperlink"/>
              </w:rPr>
              <w:t>Diagnostic performance</w:t>
            </w:r>
            <w:r w:rsidR="00DA54CB">
              <w:rPr>
                <w:webHidden/>
              </w:rPr>
              <w:tab/>
            </w:r>
            <w:r w:rsidR="00DA54CB">
              <w:rPr>
                <w:webHidden/>
              </w:rPr>
              <w:fldChar w:fldCharType="begin"/>
            </w:r>
            <w:r w:rsidR="00DA54CB">
              <w:rPr>
                <w:webHidden/>
              </w:rPr>
              <w:instrText xml:space="preserve"> PAGEREF _Toc39588292 \h </w:instrText>
            </w:r>
            <w:r w:rsidR="00DA54CB">
              <w:rPr>
                <w:webHidden/>
              </w:rPr>
            </w:r>
            <w:r w:rsidR="00DA54CB">
              <w:rPr>
                <w:webHidden/>
              </w:rPr>
              <w:fldChar w:fldCharType="separate"/>
            </w:r>
            <w:r w:rsidR="004B4461">
              <w:rPr>
                <w:webHidden/>
              </w:rPr>
              <w:t>61</w:t>
            </w:r>
            <w:r w:rsidR="00DA54CB">
              <w:rPr>
                <w:webHidden/>
              </w:rPr>
              <w:fldChar w:fldCharType="end"/>
            </w:r>
          </w:hyperlink>
        </w:p>
        <w:p w14:paraId="5B4F38A6" w14:textId="7CC8BC0A" w:rsidR="00DA54CB" w:rsidRDefault="004B21EF">
          <w:pPr>
            <w:pStyle w:val="TOC2"/>
            <w:tabs>
              <w:tab w:val="left" w:pos="1540"/>
            </w:tabs>
            <w:rPr>
              <w:rFonts w:asciiTheme="minorHAnsi" w:eastAsiaTheme="minorEastAsia" w:hAnsiTheme="minorHAnsi" w:cstheme="minorBidi"/>
            </w:rPr>
          </w:pPr>
          <w:hyperlink w:anchor="_Toc39588293" w:history="1">
            <w:r w:rsidR="00DA54CB" w:rsidRPr="006C77C5">
              <w:rPr>
                <w:rStyle w:val="Hyperlink"/>
              </w:rPr>
              <w:t>B3.1</w:t>
            </w:r>
            <w:r w:rsidR="00DA54CB">
              <w:rPr>
                <w:rFonts w:asciiTheme="minorHAnsi" w:eastAsiaTheme="minorEastAsia" w:hAnsiTheme="minorHAnsi" w:cstheme="minorBidi"/>
              </w:rPr>
              <w:tab/>
            </w:r>
            <w:r w:rsidR="00DA54CB" w:rsidRPr="006C77C5">
              <w:rPr>
                <w:rStyle w:val="Hyperlink"/>
              </w:rPr>
              <w:t>Reference standard</w:t>
            </w:r>
            <w:r w:rsidR="00DA54CB">
              <w:rPr>
                <w:webHidden/>
              </w:rPr>
              <w:tab/>
            </w:r>
            <w:r w:rsidR="00DA54CB">
              <w:rPr>
                <w:webHidden/>
              </w:rPr>
              <w:fldChar w:fldCharType="begin"/>
            </w:r>
            <w:r w:rsidR="00DA54CB">
              <w:rPr>
                <w:webHidden/>
              </w:rPr>
              <w:instrText xml:space="preserve"> PAGEREF _Toc39588293 \h </w:instrText>
            </w:r>
            <w:r w:rsidR="00DA54CB">
              <w:rPr>
                <w:webHidden/>
              </w:rPr>
            </w:r>
            <w:r w:rsidR="00DA54CB">
              <w:rPr>
                <w:webHidden/>
              </w:rPr>
              <w:fldChar w:fldCharType="separate"/>
            </w:r>
            <w:r w:rsidR="004B4461">
              <w:rPr>
                <w:webHidden/>
              </w:rPr>
              <w:t>61</w:t>
            </w:r>
            <w:r w:rsidR="00DA54CB">
              <w:rPr>
                <w:webHidden/>
              </w:rPr>
              <w:fldChar w:fldCharType="end"/>
            </w:r>
          </w:hyperlink>
        </w:p>
        <w:p w14:paraId="093D276D" w14:textId="1A183F8F" w:rsidR="00DA54CB" w:rsidRDefault="004B21EF">
          <w:pPr>
            <w:pStyle w:val="TOC2"/>
            <w:tabs>
              <w:tab w:val="left" w:pos="1540"/>
            </w:tabs>
            <w:rPr>
              <w:rFonts w:asciiTheme="minorHAnsi" w:eastAsiaTheme="minorEastAsia" w:hAnsiTheme="minorHAnsi" w:cstheme="minorBidi"/>
            </w:rPr>
          </w:pPr>
          <w:hyperlink w:anchor="_Toc39588294" w:history="1">
            <w:r w:rsidR="00DA54CB" w:rsidRPr="006C77C5">
              <w:rPr>
                <w:rStyle w:val="Hyperlink"/>
              </w:rPr>
              <w:t>B3.2</w:t>
            </w:r>
            <w:r w:rsidR="00DA54CB">
              <w:rPr>
                <w:rFonts w:asciiTheme="minorHAnsi" w:eastAsiaTheme="minorEastAsia" w:hAnsiTheme="minorHAnsi" w:cstheme="minorBidi"/>
              </w:rPr>
              <w:tab/>
            </w:r>
            <w:r w:rsidR="00DA54CB" w:rsidRPr="006C77C5">
              <w:rPr>
                <w:rStyle w:val="Hyperlink"/>
              </w:rPr>
              <w:t>Risk of Bias Assessment</w:t>
            </w:r>
            <w:r w:rsidR="00DA54CB">
              <w:rPr>
                <w:webHidden/>
              </w:rPr>
              <w:tab/>
            </w:r>
            <w:r w:rsidR="00DA54CB">
              <w:rPr>
                <w:webHidden/>
              </w:rPr>
              <w:fldChar w:fldCharType="begin"/>
            </w:r>
            <w:r w:rsidR="00DA54CB">
              <w:rPr>
                <w:webHidden/>
              </w:rPr>
              <w:instrText xml:space="preserve"> PAGEREF _Toc39588294 \h </w:instrText>
            </w:r>
            <w:r w:rsidR="00DA54CB">
              <w:rPr>
                <w:webHidden/>
              </w:rPr>
            </w:r>
            <w:r w:rsidR="00DA54CB">
              <w:rPr>
                <w:webHidden/>
              </w:rPr>
              <w:fldChar w:fldCharType="separate"/>
            </w:r>
            <w:r w:rsidR="004B4461">
              <w:rPr>
                <w:webHidden/>
              </w:rPr>
              <w:t>61</w:t>
            </w:r>
            <w:r w:rsidR="00DA54CB">
              <w:rPr>
                <w:webHidden/>
              </w:rPr>
              <w:fldChar w:fldCharType="end"/>
            </w:r>
          </w:hyperlink>
        </w:p>
        <w:p w14:paraId="0A1E4263" w14:textId="772F040E" w:rsidR="00DA54CB" w:rsidRDefault="004B21EF">
          <w:pPr>
            <w:pStyle w:val="TOC2"/>
            <w:tabs>
              <w:tab w:val="left" w:pos="1540"/>
            </w:tabs>
            <w:rPr>
              <w:rFonts w:asciiTheme="minorHAnsi" w:eastAsiaTheme="minorEastAsia" w:hAnsiTheme="minorHAnsi" w:cstheme="minorBidi"/>
            </w:rPr>
          </w:pPr>
          <w:hyperlink w:anchor="_Toc39588295" w:history="1">
            <w:r w:rsidR="00DA54CB" w:rsidRPr="006C77C5">
              <w:rPr>
                <w:rStyle w:val="Hyperlink"/>
              </w:rPr>
              <w:t>B3.3</w:t>
            </w:r>
            <w:r w:rsidR="00DA54CB">
              <w:rPr>
                <w:rFonts w:asciiTheme="minorHAnsi" w:eastAsiaTheme="minorEastAsia" w:hAnsiTheme="minorHAnsi" w:cstheme="minorBidi"/>
              </w:rPr>
              <w:tab/>
            </w:r>
            <w:r w:rsidR="00DA54CB" w:rsidRPr="006C77C5">
              <w:rPr>
                <w:rStyle w:val="Hyperlink"/>
              </w:rPr>
              <w:t>Characteristics of the Evidence Base</w:t>
            </w:r>
            <w:r w:rsidR="00DA54CB">
              <w:rPr>
                <w:webHidden/>
              </w:rPr>
              <w:tab/>
            </w:r>
            <w:r w:rsidR="00DA54CB">
              <w:rPr>
                <w:webHidden/>
              </w:rPr>
              <w:fldChar w:fldCharType="begin"/>
            </w:r>
            <w:r w:rsidR="00DA54CB">
              <w:rPr>
                <w:webHidden/>
              </w:rPr>
              <w:instrText xml:space="preserve"> PAGEREF _Toc39588295 \h </w:instrText>
            </w:r>
            <w:r w:rsidR="00DA54CB">
              <w:rPr>
                <w:webHidden/>
              </w:rPr>
            </w:r>
            <w:r w:rsidR="00DA54CB">
              <w:rPr>
                <w:webHidden/>
              </w:rPr>
              <w:fldChar w:fldCharType="separate"/>
            </w:r>
            <w:r w:rsidR="004B4461">
              <w:rPr>
                <w:webHidden/>
              </w:rPr>
              <w:t>61</w:t>
            </w:r>
            <w:r w:rsidR="00DA54CB">
              <w:rPr>
                <w:webHidden/>
              </w:rPr>
              <w:fldChar w:fldCharType="end"/>
            </w:r>
          </w:hyperlink>
        </w:p>
        <w:p w14:paraId="45E595DF" w14:textId="5FEA51A7" w:rsidR="00DA54CB" w:rsidRDefault="004B21EF">
          <w:pPr>
            <w:pStyle w:val="TOC2"/>
            <w:tabs>
              <w:tab w:val="left" w:pos="1540"/>
            </w:tabs>
            <w:rPr>
              <w:rFonts w:asciiTheme="minorHAnsi" w:eastAsiaTheme="minorEastAsia" w:hAnsiTheme="minorHAnsi" w:cstheme="minorBidi"/>
            </w:rPr>
          </w:pPr>
          <w:hyperlink w:anchor="_Toc39588296" w:history="1">
            <w:r w:rsidR="00DA54CB" w:rsidRPr="006C77C5">
              <w:rPr>
                <w:rStyle w:val="Hyperlink"/>
              </w:rPr>
              <w:t>B3.4</w:t>
            </w:r>
            <w:r w:rsidR="00DA54CB">
              <w:rPr>
                <w:rFonts w:asciiTheme="minorHAnsi" w:eastAsiaTheme="minorEastAsia" w:hAnsiTheme="minorHAnsi" w:cstheme="minorBidi"/>
              </w:rPr>
              <w:tab/>
            </w:r>
            <w:r w:rsidR="00DA54CB" w:rsidRPr="006C77C5">
              <w:rPr>
                <w:rStyle w:val="Hyperlink"/>
              </w:rPr>
              <w:t>Outcome Measures and Analysis</w:t>
            </w:r>
            <w:r w:rsidR="00DA54CB">
              <w:rPr>
                <w:webHidden/>
              </w:rPr>
              <w:tab/>
            </w:r>
            <w:r w:rsidR="00DA54CB">
              <w:rPr>
                <w:webHidden/>
              </w:rPr>
              <w:fldChar w:fldCharType="begin"/>
            </w:r>
            <w:r w:rsidR="00DA54CB">
              <w:rPr>
                <w:webHidden/>
              </w:rPr>
              <w:instrText xml:space="preserve"> PAGEREF _Toc39588296 \h </w:instrText>
            </w:r>
            <w:r w:rsidR="00DA54CB">
              <w:rPr>
                <w:webHidden/>
              </w:rPr>
            </w:r>
            <w:r w:rsidR="00DA54CB">
              <w:rPr>
                <w:webHidden/>
              </w:rPr>
              <w:fldChar w:fldCharType="separate"/>
            </w:r>
            <w:r w:rsidR="004B4461">
              <w:rPr>
                <w:webHidden/>
              </w:rPr>
              <w:t>62</w:t>
            </w:r>
            <w:r w:rsidR="00DA54CB">
              <w:rPr>
                <w:webHidden/>
              </w:rPr>
              <w:fldChar w:fldCharType="end"/>
            </w:r>
          </w:hyperlink>
        </w:p>
        <w:p w14:paraId="13B377E9" w14:textId="3E158BC5" w:rsidR="00DA54CB" w:rsidRDefault="004B21EF">
          <w:pPr>
            <w:pStyle w:val="TOC2"/>
            <w:tabs>
              <w:tab w:val="left" w:pos="1540"/>
            </w:tabs>
            <w:rPr>
              <w:rFonts w:asciiTheme="minorHAnsi" w:eastAsiaTheme="minorEastAsia" w:hAnsiTheme="minorHAnsi" w:cstheme="minorBidi"/>
            </w:rPr>
          </w:pPr>
          <w:hyperlink w:anchor="_Toc39588297" w:history="1">
            <w:r w:rsidR="00DA54CB" w:rsidRPr="006C77C5">
              <w:rPr>
                <w:rStyle w:val="Hyperlink"/>
              </w:rPr>
              <w:t>B3.5</w:t>
            </w:r>
            <w:r w:rsidR="00DA54CB">
              <w:rPr>
                <w:rFonts w:asciiTheme="minorHAnsi" w:eastAsiaTheme="minorEastAsia" w:hAnsiTheme="minorHAnsi" w:cstheme="minorBidi"/>
              </w:rPr>
              <w:tab/>
            </w:r>
            <w:r w:rsidR="00DA54CB" w:rsidRPr="006C77C5">
              <w:rPr>
                <w:rStyle w:val="Hyperlink"/>
              </w:rPr>
              <w:t>Results of the Systematic Literature review</w:t>
            </w:r>
            <w:r w:rsidR="00DA54CB">
              <w:rPr>
                <w:webHidden/>
              </w:rPr>
              <w:tab/>
            </w:r>
            <w:r w:rsidR="00DA54CB">
              <w:rPr>
                <w:webHidden/>
              </w:rPr>
              <w:fldChar w:fldCharType="begin"/>
            </w:r>
            <w:r w:rsidR="00DA54CB">
              <w:rPr>
                <w:webHidden/>
              </w:rPr>
              <w:instrText xml:space="preserve"> PAGEREF _Toc39588297 \h </w:instrText>
            </w:r>
            <w:r w:rsidR="00DA54CB">
              <w:rPr>
                <w:webHidden/>
              </w:rPr>
            </w:r>
            <w:r w:rsidR="00DA54CB">
              <w:rPr>
                <w:webHidden/>
              </w:rPr>
              <w:fldChar w:fldCharType="separate"/>
            </w:r>
            <w:r w:rsidR="004B4461">
              <w:rPr>
                <w:webHidden/>
              </w:rPr>
              <w:t>63</w:t>
            </w:r>
            <w:r w:rsidR="00DA54CB">
              <w:rPr>
                <w:webHidden/>
              </w:rPr>
              <w:fldChar w:fldCharType="end"/>
            </w:r>
          </w:hyperlink>
        </w:p>
        <w:p w14:paraId="670BEEB3" w14:textId="4D9A5089" w:rsidR="00DA54CB" w:rsidRDefault="004B21EF">
          <w:pPr>
            <w:pStyle w:val="TOC3"/>
            <w:rPr>
              <w:rFonts w:asciiTheme="minorHAnsi" w:eastAsiaTheme="minorEastAsia" w:hAnsiTheme="minorHAnsi" w:cstheme="minorBidi"/>
            </w:rPr>
          </w:pPr>
          <w:hyperlink w:anchor="_Toc39588298" w:history="1">
            <w:r w:rsidR="00DA54CB" w:rsidRPr="006C77C5">
              <w:rPr>
                <w:rStyle w:val="Hyperlink"/>
              </w:rPr>
              <w:t>Is it accurate?</w:t>
            </w:r>
            <w:r w:rsidR="00DA54CB">
              <w:rPr>
                <w:webHidden/>
              </w:rPr>
              <w:tab/>
            </w:r>
            <w:r w:rsidR="00DA54CB">
              <w:rPr>
                <w:webHidden/>
              </w:rPr>
              <w:fldChar w:fldCharType="begin"/>
            </w:r>
            <w:r w:rsidR="00DA54CB">
              <w:rPr>
                <w:webHidden/>
              </w:rPr>
              <w:instrText xml:space="preserve"> PAGEREF _Toc39588298 \h </w:instrText>
            </w:r>
            <w:r w:rsidR="00DA54CB">
              <w:rPr>
                <w:webHidden/>
              </w:rPr>
            </w:r>
            <w:r w:rsidR="00DA54CB">
              <w:rPr>
                <w:webHidden/>
              </w:rPr>
              <w:fldChar w:fldCharType="separate"/>
            </w:r>
            <w:r w:rsidR="004B4461">
              <w:rPr>
                <w:webHidden/>
              </w:rPr>
              <w:t>63</w:t>
            </w:r>
            <w:r w:rsidR="00DA54CB">
              <w:rPr>
                <w:webHidden/>
              </w:rPr>
              <w:fldChar w:fldCharType="end"/>
            </w:r>
          </w:hyperlink>
        </w:p>
        <w:p w14:paraId="4FD126B0" w14:textId="3625F362" w:rsidR="00DA54CB" w:rsidRDefault="004B21EF">
          <w:pPr>
            <w:pStyle w:val="TOC2"/>
            <w:rPr>
              <w:rFonts w:asciiTheme="minorHAnsi" w:eastAsiaTheme="minorEastAsia" w:hAnsiTheme="minorHAnsi" w:cstheme="minorBidi"/>
            </w:rPr>
          </w:pPr>
          <w:hyperlink w:anchor="_Toc39588299" w:history="1">
            <w:r w:rsidR="00DA54CB" w:rsidRPr="006C77C5">
              <w:rPr>
                <w:rStyle w:val="Hyperlink"/>
              </w:rPr>
              <w:t>B3.6 Concordance analysis</w:t>
            </w:r>
            <w:r w:rsidR="00DA54CB">
              <w:rPr>
                <w:webHidden/>
              </w:rPr>
              <w:tab/>
            </w:r>
            <w:r w:rsidR="00DA54CB">
              <w:rPr>
                <w:webHidden/>
              </w:rPr>
              <w:fldChar w:fldCharType="begin"/>
            </w:r>
            <w:r w:rsidR="00DA54CB">
              <w:rPr>
                <w:webHidden/>
              </w:rPr>
              <w:instrText xml:space="preserve"> PAGEREF _Toc39588299 \h </w:instrText>
            </w:r>
            <w:r w:rsidR="00DA54CB">
              <w:rPr>
                <w:webHidden/>
              </w:rPr>
            </w:r>
            <w:r w:rsidR="00DA54CB">
              <w:rPr>
                <w:webHidden/>
              </w:rPr>
              <w:fldChar w:fldCharType="separate"/>
            </w:r>
            <w:r w:rsidR="004B4461">
              <w:rPr>
                <w:webHidden/>
              </w:rPr>
              <w:t>64</w:t>
            </w:r>
            <w:r w:rsidR="00DA54CB">
              <w:rPr>
                <w:webHidden/>
              </w:rPr>
              <w:fldChar w:fldCharType="end"/>
            </w:r>
          </w:hyperlink>
        </w:p>
        <w:p w14:paraId="25C609BA" w14:textId="30D0A299" w:rsidR="00DA54CB" w:rsidRDefault="004B21EF">
          <w:pPr>
            <w:pStyle w:val="TOC3"/>
            <w:rPr>
              <w:rFonts w:asciiTheme="minorHAnsi" w:eastAsiaTheme="minorEastAsia" w:hAnsiTheme="minorHAnsi" w:cstheme="minorBidi"/>
            </w:rPr>
          </w:pPr>
          <w:hyperlink w:anchor="_Toc39588300" w:history="1">
            <w:r w:rsidR="00DA54CB" w:rsidRPr="006C77C5">
              <w:rPr>
                <w:rStyle w:val="Hyperlink"/>
              </w:rPr>
              <w:t>Concordance between different cell-based assays to detect aqp4-abs</w:t>
            </w:r>
            <w:r w:rsidR="00DA54CB">
              <w:rPr>
                <w:webHidden/>
              </w:rPr>
              <w:tab/>
            </w:r>
            <w:r w:rsidR="00DA54CB">
              <w:rPr>
                <w:webHidden/>
              </w:rPr>
              <w:fldChar w:fldCharType="begin"/>
            </w:r>
            <w:r w:rsidR="00DA54CB">
              <w:rPr>
                <w:webHidden/>
              </w:rPr>
              <w:instrText xml:space="preserve"> PAGEREF _Toc39588300 \h </w:instrText>
            </w:r>
            <w:r w:rsidR="00DA54CB">
              <w:rPr>
                <w:webHidden/>
              </w:rPr>
            </w:r>
            <w:r w:rsidR="00DA54CB">
              <w:rPr>
                <w:webHidden/>
              </w:rPr>
              <w:fldChar w:fldCharType="separate"/>
            </w:r>
            <w:r w:rsidR="004B4461">
              <w:rPr>
                <w:webHidden/>
              </w:rPr>
              <w:t>64</w:t>
            </w:r>
            <w:r w:rsidR="00DA54CB">
              <w:rPr>
                <w:webHidden/>
              </w:rPr>
              <w:fldChar w:fldCharType="end"/>
            </w:r>
          </w:hyperlink>
        </w:p>
        <w:p w14:paraId="396FEB9A" w14:textId="28BBE99F" w:rsidR="00DA54CB" w:rsidRDefault="004B21EF">
          <w:pPr>
            <w:pStyle w:val="TOC3"/>
            <w:rPr>
              <w:rFonts w:asciiTheme="minorHAnsi" w:eastAsiaTheme="minorEastAsia" w:hAnsiTheme="minorHAnsi" w:cstheme="minorBidi"/>
            </w:rPr>
          </w:pPr>
          <w:hyperlink w:anchor="_Toc39588301" w:history="1">
            <w:r w:rsidR="00DA54CB" w:rsidRPr="006C77C5">
              <w:rPr>
                <w:rStyle w:val="Hyperlink"/>
              </w:rPr>
              <w:t>Concordance between serum and cerebrospinal fluid testing for aqp4-ab detection</w:t>
            </w:r>
            <w:r w:rsidR="00DA54CB">
              <w:rPr>
                <w:webHidden/>
              </w:rPr>
              <w:tab/>
            </w:r>
            <w:r w:rsidR="00DA54CB">
              <w:rPr>
                <w:webHidden/>
              </w:rPr>
              <w:fldChar w:fldCharType="begin"/>
            </w:r>
            <w:r w:rsidR="00DA54CB">
              <w:rPr>
                <w:webHidden/>
              </w:rPr>
              <w:instrText xml:space="preserve"> PAGEREF _Toc39588301 \h </w:instrText>
            </w:r>
            <w:r w:rsidR="00DA54CB">
              <w:rPr>
                <w:webHidden/>
              </w:rPr>
            </w:r>
            <w:r w:rsidR="00DA54CB">
              <w:rPr>
                <w:webHidden/>
              </w:rPr>
              <w:fldChar w:fldCharType="separate"/>
            </w:r>
            <w:r w:rsidR="004B4461">
              <w:rPr>
                <w:webHidden/>
              </w:rPr>
              <w:t>64</w:t>
            </w:r>
            <w:r w:rsidR="00DA54CB">
              <w:rPr>
                <w:webHidden/>
              </w:rPr>
              <w:fldChar w:fldCharType="end"/>
            </w:r>
          </w:hyperlink>
        </w:p>
        <w:p w14:paraId="15AE5448" w14:textId="33F90746" w:rsidR="00DA54CB" w:rsidRDefault="004B21EF">
          <w:pPr>
            <w:pStyle w:val="TOC2"/>
            <w:tabs>
              <w:tab w:val="left" w:pos="1540"/>
            </w:tabs>
            <w:rPr>
              <w:rFonts w:asciiTheme="minorHAnsi" w:eastAsiaTheme="minorEastAsia" w:hAnsiTheme="minorHAnsi" w:cstheme="minorBidi"/>
            </w:rPr>
          </w:pPr>
          <w:hyperlink w:anchor="_Toc39588302" w:history="1">
            <w:r w:rsidR="00DA54CB" w:rsidRPr="006C77C5">
              <w:rPr>
                <w:rStyle w:val="Hyperlink"/>
              </w:rPr>
              <w:t>B3.7</w:t>
            </w:r>
            <w:r w:rsidR="00DA54CB">
              <w:rPr>
                <w:rFonts w:asciiTheme="minorHAnsi" w:eastAsiaTheme="minorEastAsia" w:hAnsiTheme="minorHAnsi" w:cstheme="minorBidi"/>
              </w:rPr>
              <w:tab/>
            </w:r>
            <w:r w:rsidR="00DA54CB" w:rsidRPr="006C77C5">
              <w:rPr>
                <w:rStyle w:val="Hyperlink"/>
              </w:rPr>
              <w:t>Interpretation of evidence on diagnostic performance</w:t>
            </w:r>
            <w:r w:rsidR="00DA54CB">
              <w:rPr>
                <w:webHidden/>
              </w:rPr>
              <w:tab/>
            </w:r>
            <w:r w:rsidR="00DA54CB">
              <w:rPr>
                <w:webHidden/>
              </w:rPr>
              <w:fldChar w:fldCharType="begin"/>
            </w:r>
            <w:r w:rsidR="00DA54CB">
              <w:rPr>
                <w:webHidden/>
              </w:rPr>
              <w:instrText xml:space="preserve"> PAGEREF _Toc39588302 \h </w:instrText>
            </w:r>
            <w:r w:rsidR="00DA54CB">
              <w:rPr>
                <w:webHidden/>
              </w:rPr>
            </w:r>
            <w:r w:rsidR="00DA54CB">
              <w:rPr>
                <w:webHidden/>
              </w:rPr>
              <w:fldChar w:fldCharType="separate"/>
            </w:r>
            <w:r w:rsidR="004B4461">
              <w:rPr>
                <w:webHidden/>
              </w:rPr>
              <w:t>65</w:t>
            </w:r>
            <w:r w:rsidR="00DA54CB">
              <w:rPr>
                <w:webHidden/>
              </w:rPr>
              <w:fldChar w:fldCharType="end"/>
            </w:r>
          </w:hyperlink>
        </w:p>
        <w:p w14:paraId="5BE3FFC2" w14:textId="033D3664" w:rsidR="00DA54CB" w:rsidRDefault="004B21EF">
          <w:pPr>
            <w:pStyle w:val="TOC1"/>
            <w:rPr>
              <w:rFonts w:asciiTheme="minorHAnsi" w:eastAsiaTheme="minorEastAsia" w:hAnsiTheme="minorHAnsi" w:cstheme="minorBidi"/>
              <w:b w:val="0"/>
            </w:rPr>
          </w:pPr>
          <w:hyperlink w:anchor="_Toc39588303" w:history="1">
            <w:r w:rsidR="00DA54CB" w:rsidRPr="006C77C5">
              <w:rPr>
                <w:rStyle w:val="Hyperlink"/>
              </w:rPr>
              <w:t>B4</w:t>
            </w:r>
            <w:r w:rsidR="00DA54CB">
              <w:rPr>
                <w:rFonts w:asciiTheme="minorHAnsi" w:eastAsiaTheme="minorEastAsia" w:hAnsiTheme="minorHAnsi" w:cstheme="minorBidi"/>
                <w:b w:val="0"/>
              </w:rPr>
              <w:tab/>
            </w:r>
            <w:r w:rsidR="00DA54CB" w:rsidRPr="006C77C5">
              <w:rPr>
                <w:rStyle w:val="Hyperlink"/>
              </w:rPr>
              <w:t>Clinical Validity</w:t>
            </w:r>
            <w:r w:rsidR="00DA54CB">
              <w:rPr>
                <w:webHidden/>
              </w:rPr>
              <w:tab/>
            </w:r>
            <w:r w:rsidR="00DA54CB">
              <w:rPr>
                <w:webHidden/>
              </w:rPr>
              <w:fldChar w:fldCharType="begin"/>
            </w:r>
            <w:r w:rsidR="00DA54CB">
              <w:rPr>
                <w:webHidden/>
              </w:rPr>
              <w:instrText xml:space="preserve"> PAGEREF _Toc39588303 \h </w:instrText>
            </w:r>
            <w:r w:rsidR="00DA54CB">
              <w:rPr>
                <w:webHidden/>
              </w:rPr>
            </w:r>
            <w:r w:rsidR="00DA54CB">
              <w:rPr>
                <w:webHidden/>
              </w:rPr>
              <w:fldChar w:fldCharType="separate"/>
            </w:r>
            <w:r w:rsidR="004B4461">
              <w:rPr>
                <w:webHidden/>
              </w:rPr>
              <w:t>66</w:t>
            </w:r>
            <w:r w:rsidR="00DA54CB">
              <w:rPr>
                <w:webHidden/>
              </w:rPr>
              <w:fldChar w:fldCharType="end"/>
            </w:r>
          </w:hyperlink>
        </w:p>
        <w:p w14:paraId="54D798C1" w14:textId="5DA99549" w:rsidR="00DA54CB" w:rsidRDefault="004B21EF">
          <w:pPr>
            <w:pStyle w:val="TOC2"/>
            <w:tabs>
              <w:tab w:val="left" w:pos="1540"/>
            </w:tabs>
            <w:rPr>
              <w:rFonts w:asciiTheme="minorHAnsi" w:eastAsiaTheme="minorEastAsia" w:hAnsiTheme="minorHAnsi" w:cstheme="minorBidi"/>
            </w:rPr>
          </w:pPr>
          <w:hyperlink w:anchor="_Toc39588304" w:history="1">
            <w:r w:rsidR="00DA54CB" w:rsidRPr="006C77C5">
              <w:rPr>
                <w:rStyle w:val="Hyperlink"/>
              </w:rPr>
              <w:t>B4.1</w:t>
            </w:r>
            <w:r w:rsidR="00DA54CB">
              <w:rPr>
                <w:rFonts w:asciiTheme="minorHAnsi" w:eastAsiaTheme="minorEastAsia" w:hAnsiTheme="minorHAnsi" w:cstheme="minorBidi"/>
              </w:rPr>
              <w:tab/>
            </w:r>
            <w:r w:rsidR="00DA54CB" w:rsidRPr="006C77C5">
              <w:rPr>
                <w:rStyle w:val="Hyperlink"/>
              </w:rPr>
              <w:t>Measures of clinical validity</w:t>
            </w:r>
            <w:r w:rsidR="00DA54CB">
              <w:rPr>
                <w:webHidden/>
              </w:rPr>
              <w:tab/>
            </w:r>
            <w:r w:rsidR="00DA54CB">
              <w:rPr>
                <w:webHidden/>
              </w:rPr>
              <w:fldChar w:fldCharType="begin"/>
            </w:r>
            <w:r w:rsidR="00DA54CB">
              <w:rPr>
                <w:webHidden/>
              </w:rPr>
              <w:instrText xml:space="preserve"> PAGEREF _Toc39588304 \h </w:instrText>
            </w:r>
            <w:r w:rsidR="00DA54CB">
              <w:rPr>
                <w:webHidden/>
              </w:rPr>
            </w:r>
            <w:r w:rsidR="00DA54CB">
              <w:rPr>
                <w:webHidden/>
              </w:rPr>
              <w:fldChar w:fldCharType="separate"/>
            </w:r>
            <w:r w:rsidR="004B4461">
              <w:rPr>
                <w:webHidden/>
              </w:rPr>
              <w:t>66</w:t>
            </w:r>
            <w:r w:rsidR="00DA54CB">
              <w:rPr>
                <w:webHidden/>
              </w:rPr>
              <w:fldChar w:fldCharType="end"/>
            </w:r>
          </w:hyperlink>
        </w:p>
        <w:p w14:paraId="6E0C17CD" w14:textId="661D81AC" w:rsidR="00DA54CB" w:rsidRDefault="004B21EF">
          <w:pPr>
            <w:pStyle w:val="TOC3"/>
            <w:rPr>
              <w:rFonts w:asciiTheme="minorHAnsi" w:eastAsiaTheme="minorEastAsia" w:hAnsiTheme="minorHAnsi" w:cstheme="minorBidi"/>
            </w:rPr>
          </w:pPr>
          <w:hyperlink w:anchor="_Toc39588305" w:history="1">
            <w:r w:rsidR="00DA54CB" w:rsidRPr="006C77C5">
              <w:rPr>
                <w:rStyle w:val="Hyperlink"/>
              </w:rPr>
              <w:t>Incidence and prevalence of NMOSD</w:t>
            </w:r>
            <w:r w:rsidR="00DA54CB">
              <w:rPr>
                <w:webHidden/>
              </w:rPr>
              <w:tab/>
            </w:r>
            <w:r w:rsidR="00DA54CB">
              <w:rPr>
                <w:webHidden/>
              </w:rPr>
              <w:fldChar w:fldCharType="begin"/>
            </w:r>
            <w:r w:rsidR="00DA54CB">
              <w:rPr>
                <w:webHidden/>
              </w:rPr>
              <w:instrText xml:space="preserve"> PAGEREF _Toc39588305 \h </w:instrText>
            </w:r>
            <w:r w:rsidR="00DA54CB">
              <w:rPr>
                <w:webHidden/>
              </w:rPr>
            </w:r>
            <w:r w:rsidR="00DA54CB">
              <w:rPr>
                <w:webHidden/>
              </w:rPr>
              <w:fldChar w:fldCharType="separate"/>
            </w:r>
            <w:r w:rsidR="004B4461">
              <w:rPr>
                <w:webHidden/>
              </w:rPr>
              <w:t>66</w:t>
            </w:r>
            <w:r w:rsidR="00DA54CB">
              <w:rPr>
                <w:webHidden/>
              </w:rPr>
              <w:fldChar w:fldCharType="end"/>
            </w:r>
          </w:hyperlink>
        </w:p>
        <w:p w14:paraId="60F9FEB2" w14:textId="721B30BA" w:rsidR="00DA54CB" w:rsidRDefault="004B21EF">
          <w:pPr>
            <w:pStyle w:val="TOC2"/>
            <w:tabs>
              <w:tab w:val="left" w:pos="1760"/>
            </w:tabs>
            <w:rPr>
              <w:rFonts w:asciiTheme="minorHAnsi" w:eastAsiaTheme="minorEastAsia" w:hAnsiTheme="minorHAnsi" w:cstheme="minorBidi"/>
            </w:rPr>
          </w:pPr>
          <w:hyperlink w:anchor="_Toc39588306" w:history="1">
            <w:r w:rsidR="00DA54CB" w:rsidRPr="006C77C5">
              <w:rPr>
                <w:rStyle w:val="Hyperlink"/>
              </w:rPr>
              <w:t>B4.1.1</w:t>
            </w:r>
            <w:r w:rsidR="00DA54CB">
              <w:rPr>
                <w:rFonts w:asciiTheme="minorHAnsi" w:eastAsiaTheme="minorEastAsia" w:hAnsiTheme="minorHAnsi" w:cstheme="minorBidi"/>
              </w:rPr>
              <w:tab/>
            </w:r>
            <w:r w:rsidR="00DA54CB" w:rsidRPr="006C77C5">
              <w:rPr>
                <w:rStyle w:val="Hyperlink"/>
              </w:rPr>
              <w:t>Reference standard</w:t>
            </w:r>
            <w:r w:rsidR="00DA54CB">
              <w:rPr>
                <w:webHidden/>
              </w:rPr>
              <w:tab/>
            </w:r>
            <w:r w:rsidR="00DA54CB">
              <w:rPr>
                <w:webHidden/>
              </w:rPr>
              <w:fldChar w:fldCharType="begin"/>
            </w:r>
            <w:r w:rsidR="00DA54CB">
              <w:rPr>
                <w:webHidden/>
              </w:rPr>
              <w:instrText xml:space="preserve"> PAGEREF _Toc39588306 \h </w:instrText>
            </w:r>
            <w:r w:rsidR="00DA54CB">
              <w:rPr>
                <w:webHidden/>
              </w:rPr>
            </w:r>
            <w:r w:rsidR="00DA54CB">
              <w:rPr>
                <w:webHidden/>
              </w:rPr>
              <w:fldChar w:fldCharType="separate"/>
            </w:r>
            <w:r w:rsidR="004B4461">
              <w:rPr>
                <w:webHidden/>
              </w:rPr>
              <w:t>68</w:t>
            </w:r>
            <w:r w:rsidR="00DA54CB">
              <w:rPr>
                <w:webHidden/>
              </w:rPr>
              <w:fldChar w:fldCharType="end"/>
            </w:r>
          </w:hyperlink>
        </w:p>
        <w:p w14:paraId="71ACC9CE" w14:textId="44C211B9" w:rsidR="00DA54CB" w:rsidRDefault="004B21EF">
          <w:pPr>
            <w:pStyle w:val="TOC2"/>
            <w:tabs>
              <w:tab w:val="left" w:pos="1760"/>
            </w:tabs>
            <w:rPr>
              <w:rFonts w:asciiTheme="minorHAnsi" w:eastAsiaTheme="minorEastAsia" w:hAnsiTheme="minorHAnsi" w:cstheme="minorBidi"/>
            </w:rPr>
          </w:pPr>
          <w:hyperlink w:anchor="_Toc39588307" w:history="1">
            <w:r w:rsidR="00DA54CB" w:rsidRPr="006C77C5">
              <w:rPr>
                <w:rStyle w:val="Hyperlink"/>
              </w:rPr>
              <w:t>B4.1.2</w:t>
            </w:r>
            <w:r w:rsidR="00DA54CB">
              <w:rPr>
                <w:rFonts w:asciiTheme="minorHAnsi" w:eastAsiaTheme="minorEastAsia" w:hAnsiTheme="minorHAnsi" w:cstheme="minorBidi"/>
              </w:rPr>
              <w:tab/>
            </w:r>
            <w:r w:rsidR="00DA54CB" w:rsidRPr="006C77C5">
              <w:rPr>
                <w:rStyle w:val="Hyperlink"/>
              </w:rPr>
              <w:t>Risk of Bias Assessment</w:t>
            </w:r>
            <w:r w:rsidR="00DA54CB">
              <w:rPr>
                <w:webHidden/>
              </w:rPr>
              <w:tab/>
            </w:r>
            <w:r w:rsidR="00DA54CB">
              <w:rPr>
                <w:webHidden/>
              </w:rPr>
              <w:fldChar w:fldCharType="begin"/>
            </w:r>
            <w:r w:rsidR="00DA54CB">
              <w:rPr>
                <w:webHidden/>
              </w:rPr>
              <w:instrText xml:space="preserve"> PAGEREF _Toc39588307 \h </w:instrText>
            </w:r>
            <w:r w:rsidR="00DA54CB">
              <w:rPr>
                <w:webHidden/>
              </w:rPr>
            </w:r>
            <w:r w:rsidR="00DA54CB">
              <w:rPr>
                <w:webHidden/>
              </w:rPr>
              <w:fldChar w:fldCharType="separate"/>
            </w:r>
            <w:r w:rsidR="004B4461">
              <w:rPr>
                <w:webHidden/>
              </w:rPr>
              <w:t>68</w:t>
            </w:r>
            <w:r w:rsidR="00DA54CB">
              <w:rPr>
                <w:webHidden/>
              </w:rPr>
              <w:fldChar w:fldCharType="end"/>
            </w:r>
          </w:hyperlink>
        </w:p>
        <w:p w14:paraId="0CC6C732" w14:textId="3643DB7F" w:rsidR="00DA54CB" w:rsidRDefault="004B21EF">
          <w:pPr>
            <w:pStyle w:val="TOC2"/>
            <w:tabs>
              <w:tab w:val="left" w:pos="1760"/>
            </w:tabs>
            <w:rPr>
              <w:rFonts w:asciiTheme="minorHAnsi" w:eastAsiaTheme="minorEastAsia" w:hAnsiTheme="minorHAnsi" w:cstheme="minorBidi"/>
            </w:rPr>
          </w:pPr>
          <w:hyperlink w:anchor="_Toc39588308" w:history="1">
            <w:r w:rsidR="00DA54CB" w:rsidRPr="006C77C5">
              <w:rPr>
                <w:rStyle w:val="Hyperlink"/>
              </w:rPr>
              <w:t>B4.1.3</w:t>
            </w:r>
            <w:r w:rsidR="00DA54CB">
              <w:rPr>
                <w:rFonts w:asciiTheme="minorHAnsi" w:eastAsiaTheme="minorEastAsia" w:hAnsiTheme="minorHAnsi" w:cstheme="minorBidi"/>
              </w:rPr>
              <w:tab/>
            </w:r>
            <w:r w:rsidR="00DA54CB" w:rsidRPr="006C77C5">
              <w:rPr>
                <w:rStyle w:val="Hyperlink"/>
              </w:rPr>
              <w:t>Characteristics of the Evidence Base</w:t>
            </w:r>
            <w:r w:rsidR="00DA54CB">
              <w:rPr>
                <w:webHidden/>
              </w:rPr>
              <w:tab/>
            </w:r>
            <w:r w:rsidR="00DA54CB">
              <w:rPr>
                <w:webHidden/>
              </w:rPr>
              <w:fldChar w:fldCharType="begin"/>
            </w:r>
            <w:r w:rsidR="00DA54CB">
              <w:rPr>
                <w:webHidden/>
              </w:rPr>
              <w:instrText xml:space="preserve"> PAGEREF _Toc39588308 \h </w:instrText>
            </w:r>
            <w:r w:rsidR="00DA54CB">
              <w:rPr>
                <w:webHidden/>
              </w:rPr>
            </w:r>
            <w:r w:rsidR="00DA54CB">
              <w:rPr>
                <w:webHidden/>
              </w:rPr>
              <w:fldChar w:fldCharType="separate"/>
            </w:r>
            <w:r w:rsidR="004B4461">
              <w:rPr>
                <w:webHidden/>
              </w:rPr>
              <w:t>69</w:t>
            </w:r>
            <w:r w:rsidR="00DA54CB">
              <w:rPr>
                <w:webHidden/>
              </w:rPr>
              <w:fldChar w:fldCharType="end"/>
            </w:r>
          </w:hyperlink>
        </w:p>
        <w:p w14:paraId="40D4773F" w14:textId="7620D337" w:rsidR="00DA54CB" w:rsidRDefault="004B21EF">
          <w:pPr>
            <w:pStyle w:val="TOC2"/>
            <w:tabs>
              <w:tab w:val="left" w:pos="1760"/>
            </w:tabs>
            <w:rPr>
              <w:rFonts w:asciiTheme="minorHAnsi" w:eastAsiaTheme="minorEastAsia" w:hAnsiTheme="minorHAnsi" w:cstheme="minorBidi"/>
            </w:rPr>
          </w:pPr>
          <w:hyperlink w:anchor="_Toc39588309" w:history="1">
            <w:r w:rsidR="00DA54CB" w:rsidRPr="006C77C5">
              <w:rPr>
                <w:rStyle w:val="Hyperlink"/>
              </w:rPr>
              <w:t>B4.1.4</w:t>
            </w:r>
            <w:r w:rsidR="00DA54CB">
              <w:rPr>
                <w:rFonts w:asciiTheme="minorHAnsi" w:eastAsiaTheme="minorEastAsia" w:hAnsiTheme="minorHAnsi" w:cstheme="minorBidi"/>
              </w:rPr>
              <w:tab/>
            </w:r>
            <w:r w:rsidR="00DA54CB" w:rsidRPr="006C77C5">
              <w:rPr>
                <w:rStyle w:val="Hyperlink"/>
              </w:rPr>
              <w:t>Outcome Measures and Analysis</w:t>
            </w:r>
            <w:r w:rsidR="00DA54CB">
              <w:rPr>
                <w:webHidden/>
              </w:rPr>
              <w:tab/>
            </w:r>
            <w:r w:rsidR="00DA54CB">
              <w:rPr>
                <w:webHidden/>
              </w:rPr>
              <w:fldChar w:fldCharType="begin"/>
            </w:r>
            <w:r w:rsidR="00DA54CB">
              <w:rPr>
                <w:webHidden/>
              </w:rPr>
              <w:instrText xml:space="preserve"> PAGEREF _Toc39588309 \h </w:instrText>
            </w:r>
            <w:r w:rsidR="00DA54CB">
              <w:rPr>
                <w:webHidden/>
              </w:rPr>
            </w:r>
            <w:r w:rsidR="00DA54CB">
              <w:rPr>
                <w:webHidden/>
              </w:rPr>
              <w:fldChar w:fldCharType="separate"/>
            </w:r>
            <w:r w:rsidR="004B4461">
              <w:rPr>
                <w:webHidden/>
              </w:rPr>
              <w:t>71</w:t>
            </w:r>
            <w:r w:rsidR="00DA54CB">
              <w:rPr>
                <w:webHidden/>
              </w:rPr>
              <w:fldChar w:fldCharType="end"/>
            </w:r>
          </w:hyperlink>
        </w:p>
        <w:p w14:paraId="31EF7A90" w14:textId="736EA508" w:rsidR="00DA54CB" w:rsidRDefault="004B21EF">
          <w:pPr>
            <w:pStyle w:val="TOC2"/>
            <w:tabs>
              <w:tab w:val="left" w:pos="1760"/>
            </w:tabs>
            <w:rPr>
              <w:rFonts w:asciiTheme="minorHAnsi" w:eastAsiaTheme="minorEastAsia" w:hAnsiTheme="minorHAnsi" w:cstheme="minorBidi"/>
            </w:rPr>
          </w:pPr>
          <w:hyperlink w:anchor="_Toc39588310" w:history="1">
            <w:r w:rsidR="00DA54CB" w:rsidRPr="006C77C5">
              <w:rPr>
                <w:rStyle w:val="Hyperlink"/>
              </w:rPr>
              <w:t>B4.1.5</w:t>
            </w:r>
            <w:r w:rsidR="00DA54CB">
              <w:rPr>
                <w:rFonts w:asciiTheme="minorHAnsi" w:eastAsiaTheme="minorEastAsia" w:hAnsiTheme="minorHAnsi" w:cstheme="minorBidi"/>
              </w:rPr>
              <w:tab/>
            </w:r>
            <w:r w:rsidR="00DA54CB" w:rsidRPr="006C77C5">
              <w:rPr>
                <w:rStyle w:val="Hyperlink"/>
              </w:rPr>
              <w:t>Results of the Systematic Literature review</w:t>
            </w:r>
            <w:r w:rsidR="00DA54CB">
              <w:rPr>
                <w:webHidden/>
              </w:rPr>
              <w:tab/>
            </w:r>
            <w:r w:rsidR="00DA54CB">
              <w:rPr>
                <w:webHidden/>
              </w:rPr>
              <w:fldChar w:fldCharType="begin"/>
            </w:r>
            <w:r w:rsidR="00DA54CB">
              <w:rPr>
                <w:webHidden/>
              </w:rPr>
              <w:instrText xml:space="preserve"> PAGEREF _Toc39588310 \h </w:instrText>
            </w:r>
            <w:r w:rsidR="00DA54CB">
              <w:rPr>
                <w:webHidden/>
              </w:rPr>
            </w:r>
            <w:r w:rsidR="00DA54CB">
              <w:rPr>
                <w:webHidden/>
              </w:rPr>
              <w:fldChar w:fldCharType="separate"/>
            </w:r>
            <w:r w:rsidR="004B4461">
              <w:rPr>
                <w:webHidden/>
              </w:rPr>
              <w:t>72</w:t>
            </w:r>
            <w:r w:rsidR="00DA54CB">
              <w:rPr>
                <w:webHidden/>
              </w:rPr>
              <w:fldChar w:fldCharType="end"/>
            </w:r>
          </w:hyperlink>
        </w:p>
        <w:p w14:paraId="4B3DB583" w14:textId="1890F9DC" w:rsidR="00DA54CB" w:rsidRDefault="004B21EF">
          <w:pPr>
            <w:pStyle w:val="TOC3"/>
            <w:rPr>
              <w:rFonts w:asciiTheme="minorHAnsi" w:eastAsiaTheme="minorEastAsia" w:hAnsiTheme="minorHAnsi" w:cstheme="minorBidi"/>
            </w:rPr>
          </w:pPr>
          <w:hyperlink w:anchor="_Toc39588311" w:history="1">
            <w:r w:rsidR="00DA54CB" w:rsidRPr="006C77C5">
              <w:rPr>
                <w:rStyle w:val="Hyperlink"/>
              </w:rPr>
              <w:t>Is it accurate?</w:t>
            </w:r>
            <w:r w:rsidR="00DA54CB">
              <w:rPr>
                <w:webHidden/>
              </w:rPr>
              <w:tab/>
            </w:r>
            <w:r w:rsidR="00DA54CB">
              <w:rPr>
                <w:webHidden/>
              </w:rPr>
              <w:fldChar w:fldCharType="begin"/>
            </w:r>
            <w:r w:rsidR="00DA54CB">
              <w:rPr>
                <w:webHidden/>
              </w:rPr>
              <w:instrText xml:space="preserve"> PAGEREF _Toc39588311 \h </w:instrText>
            </w:r>
            <w:r w:rsidR="00DA54CB">
              <w:rPr>
                <w:webHidden/>
              </w:rPr>
            </w:r>
            <w:r w:rsidR="00DA54CB">
              <w:rPr>
                <w:webHidden/>
              </w:rPr>
              <w:fldChar w:fldCharType="separate"/>
            </w:r>
            <w:r w:rsidR="004B4461">
              <w:rPr>
                <w:webHidden/>
              </w:rPr>
              <w:t>72</w:t>
            </w:r>
            <w:r w:rsidR="00DA54CB">
              <w:rPr>
                <w:webHidden/>
              </w:rPr>
              <w:fldChar w:fldCharType="end"/>
            </w:r>
          </w:hyperlink>
        </w:p>
        <w:p w14:paraId="19693C35" w14:textId="3BB14AF6" w:rsidR="00DA54CB" w:rsidRDefault="004B21EF">
          <w:pPr>
            <w:pStyle w:val="TOC3"/>
            <w:rPr>
              <w:rFonts w:asciiTheme="minorHAnsi" w:eastAsiaTheme="minorEastAsia" w:hAnsiTheme="minorHAnsi" w:cstheme="minorBidi"/>
            </w:rPr>
          </w:pPr>
          <w:hyperlink w:anchor="_Toc39588312" w:history="1">
            <w:r w:rsidR="00DA54CB" w:rsidRPr="006C77C5">
              <w:rPr>
                <w:rStyle w:val="Hyperlink"/>
              </w:rPr>
              <w:t>Diagnostic accuracy</w:t>
            </w:r>
            <w:r w:rsidR="00DA54CB">
              <w:rPr>
                <w:webHidden/>
              </w:rPr>
              <w:tab/>
            </w:r>
            <w:r w:rsidR="00DA54CB">
              <w:rPr>
                <w:webHidden/>
              </w:rPr>
              <w:fldChar w:fldCharType="begin"/>
            </w:r>
            <w:r w:rsidR="00DA54CB">
              <w:rPr>
                <w:webHidden/>
              </w:rPr>
              <w:instrText xml:space="preserve"> PAGEREF _Toc39588312 \h </w:instrText>
            </w:r>
            <w:r w:rsidR="00DA54CB">
              <w:rPr>
                <w:webHidden/>
              </w:rPr>
            </w:r>
            <w:r w:rsidR="00DA54CB">
              <w:rPr>
                <w:webHidden/>
              </w:rPr>
              <w:fldChar w:fldCharType="separate"/>
            </w:r>
            <w:r w:rsidR="004B4461">
              <w:rPr>
                <w:webHidden/>
              </w:rPr>
              <w:t>72</w:t>
            </w:r>
            <w:r w:rsidR="00DA54CB">
              <w:rPr>
                <w:webHidden/>
              </w:rPr>
              <w:fldChar w:fldCharType="end"/>
            </w:r>
          </w:hyperlink>
        </w:p>
        <w:p w14:paraId="75377A05" w14:textId="034EDB70" w:rsidR="00DA54CB" w:rsidRDefault="004B21EF">
          <w:pPr>
            <w:pStyle w:val="TOC3"/>
            <w:rPr>
              <w:rFonts w:asciiTheme="minorHAnsi" w:eastAsiaTheme="minorEastAsia" w:hAnsiTheme="minorHAnsi" w:cstheme="minorBidi"/>
            </w:rPr>
          </w:pPr>
          <w:hyperlink w:anchor="_Toc39588313" w:history="1">
            <w:r w:rsidR="00DA54CB" w:rsidRPr="006C77C5">
              <w:rPr>
                <w:rStyle w:val="Hyperlink"/>
              </w:rPr>
              <w:t>Diagnostic Yield</w:t>
            </w:r>
            <w:r w:rsidR="00DA54CB">
              <w:rPr>
                <w:webHidden/>
              </w:rPr>
              <w:tab/>
            </w:r>
            <w:r w:rsidR="00DA54CB">
              <w:rPr>
                <w:webHidden/>
              </w:rPr>
              <w:fldChar w:fldCharType="begin"/>
            </w:r>
            <w:r w:rsidR="00DA54CB">
              <w:rPr>
                <w:webHidden/>
              </w:rPr>
              <w:instrText xml:space="preserve"> PAGEREF _Toc39588313 \h </w:instrText>
            </w:r>
            <w:r w:rsidR="00DA54CB">
              <w:rPr>
                <w:webHidden/>
              </w:rPr>
            </w:r>
            <w:r w:rsidR="00DA54CB">
              <w:rPr>
                <w:webHidden/>
              </w:rPr>
              <w:fldChar w:fldCharType="separate"/>
            </w:r>
            <w:r w:rsidR="004B4461">
              <w:rPr>
                <w:webHidden/>
              </w:rPr>
              <w:t>74</w:t>
            </w:r>
            <w:r w:rsidR="00DA54CB">
              <w:rPr>
                <w:webHidden/>
              </w:rPr>
              <w:fldChar w:fldCharType="end"/>
            </w:r>
          </w:hyperlink>
        </w:p>
        <w:p w14:paraId="6C50F791" w14:textId="04794B93" w:rsidR="00DA54CB" w:rsidRDefault="004B21EF">
          <w:pPr>
            <w:pStyle w:val="TOC2"/>
            <w:tabs>
              <w:tab w:val="left" w:pos="1540"/>
            </w:tabs>
            <w:rPr>
              <w:rFonts w:asciiTheme="minorHAnsi" w:eastAsiaTheme="minorEastAsia" w:hAnsiTheme="minorHAnsi" w:cstheme="minorBidi"/>
            </w:rPr>
          </w:pPr>
          <w:hyperlink w:anchor="_Toc39588314" w:history="1">
            <w:r w:rsidR="00DA54CB" w:rsidRPr="006C77C5">
              <w:rPr>
                <w:rStyle w:val="Hyperlink"/>
              </w:rPr>
              <w:t>B4.2</w:t>
            </w:r>
            <w:r w:rsidR="00DA54CB">
              <w:rPr>
                <w:rFonts w:asciiTheme="minorHAnsi" w:eastAsiaTheme="minorEastAsia" w:hAnsiTheme="minorHAnsi" w:cstheme="minorBidi"/>
              </w:rPr>
              <w:tab/>
            </w:r>
            <w:r w:rsidR="00DA54CB" w:rsidRPr="006C77C5">
              <w:rPr>
                <w:rStyle w:val="Hyperlink"/>
              </w:rPr>
              <w:t>Prognosis or predisposition</w:t>
            </w:r>
            <w:r w:rsidR="00DA54CB">
              <w:rPr>
                <w:webHidden/>
              </w:rPr>
              <w:tab/>
            </w:r>
            <w:r w:rsidR="00DA54CB">
              <w:rPr>
                <w:webHidden/>
              </w:rPr>
              <w:fldChar w:fldCharType="begin"/>
            </w:r>
            <w:r w:rsidR="00DA54CB">
              <w:rPr>
                <w:webHidden/>
              </w:rPr>
              <w:instrText xml:space="preserve"> PAGEREF _Toc39588314 \h </w:instrText>
            </w:r>
            <w:r w:rsidR="00DA54CB">
              <w:rPr>
                <w:webHidden/>
              </w:rPr>
            </w:r>
            <w:r w:rsidR="00DA54CB">
              <w:rPr>
                <w:webHidden/>
              </w:rPr>
              <w:fldChar w:fldCharType="separate"/>
            </w:r>
            <w:r w:rsidR="004B4461">
              <w:rPr>
                <w:webHidden/>
              </w:rPr>
              <w:t>78</w:t>
            </w:r>
            <w:r w:rsidR="00DA54CB">
              <w:rPr>
                <w:webHidden/>
              </w:rPr>
              <w:fldChar w:fldCharType="end"/>
            </w:r>
          </w:hyperlink>
        </w:p>
        <w:p w14:paraId="79366949" w14:textId="01C683EF" w:rsidR="00DA54CB" w:rsidRDefault="004B21EF">
          <w:pPr>
            <w:pStyle w:val="TOC3"/>
            <w:tabs>
              <w:tab w:val="left" w:pos="2203"/>
            </w:tabs>
            <w:rPr>
              <w:rFonts w:asciiTheme="minorHAnsi" w:eastAsiaTheme="minorEastAsia" w:hAnsiTheme="minorHAnsi" w:cstheme="minorBidi"/>
            </w:rPr>
          </w:pPr>
          <w:hyperlink w:anchor="_Toc39588315" w:history="1">
            <w:r w:rsidR="00DA54CB" w:rsidRPr="006C77C5">
              <w:rPr>
                <w:rStyle w:val="Hyperlink"/>
              </w:rPr>
              <w:t>B4.2.1</w:t>
            </w:r>
            <w:r w:rsidR="00DA54CB">
              <w:rPr>
                <w:rFonts w:asciiTheme="minorHAnsi" w:eastAsiaTheme="minorEastAsia" w:hAnsiTheme="minorHAnsi" w:cstheme="minorBidi"/>
              </w:rPr>
              <w:tab/>
            </w:r>
            <w:r w:rsidR="00DA54CB" w:rsidRPr="006C77C5">
              <w:rPr>
                <w:rStyle w:val="Hyperlink"/>
              </w:rPr>
              <w:t>Characteristics of the evidence base</w:t>
            </w:r>
            <w:r w:rsidR="00DA54CB">
              <w:rPr>
                <w:webHidden/>
              </w:rPr>
              <w:tab/>
            </w:r>
            <w:r w:rsidR="00DA54CB">
              <w:rPr>
                <w:webHidden/>
              </w:rPr>
              <w:fldChar w:fldCharType="begin"/>
            </w:r>
            <w:r w:rsidR="00DA54CB">
              <w:rPr>
                <w:webHidden/>
              </w:rPr>
              <w:instrText xml:space="preserve"> PAGEREF _Toc39588315 \h </w:instrText>
            </w:r>
            <w:r w:rsidR="00DA54CB">
              <w:rPr>
                <w:webHidden/>
              </w:rPr>
            </w:r>
            <w:r w:rsidR="00DA54CB">
              <w:rPr>
                <w:webHidden/>
              </w:rPr>
              <w:fldChar w:fldCharType="separate"/>
            </w:r>
            <w:r w:rsidR="004B4461">
              <w:rPr>
                <w:webHidden/>
              </w:rPr>
              <w:t>78</w:t>
            </w:r>
            <w:r w:rsidR="00DA54CB">
              <w:rPr>
                <w:webHidden/>
              </w:rPr>
              <w:fldChar w:fldCharType="end"/>
            </w:r>
          </w:hyperlink>
        </w:p>
        <w:p w14:paraId="37722036" w14:textId="4D7D2560" w:rsidR="00DA54CB" w:rsidRDefault="004B21EF">
          <w:pPr>
            <w:pStyle w:val="TOC3"/>
            <w:tabs>
              <w:tab w:val="left" w:pos="2203"/>
            </w:tabs>
            <w:rPr>
              <w:rFonts w:asciiTheme="minorHAnsi" w:eastAsiaTheme="minorEastAsia" w:hAnsiTheme="minorHAnsi" w:cstheme="minorBidi"/>
            </w:rPr>
          </w:pPr>
          <w:hyperlink w:anchor="_Toc39588316" w:history="1">
            <w:r w:rsidR="00DA54CB" w:rsidRPr="006C77C5">
              <w:rPr>
                <w:rStyle w:val="Hyperlink"/>
              </w:rPr>
              <w:t>B4.2.2</w:t>
            </w:r>
            <w:r w:rsidR="00DA54CB">
              <w:rPr>
                <w:rFonts w:asciiTheme="minorHAnsi" w:eastAsiaTheme="minorEastAsia" w:hAnsiTheme="minorHAnsi" w:cstheme="minorBidi"/>
              </w:rPr>
              <w:tab/>
            </w:r>
            <w:r w:rsidR="00DA54CB" w:rsidRPr="006C77C5">
              <w:rPr>
                <w:rStyle w:val="Hyperlink"/>
              </w:rPr>
              <w:t>Outcome measures and Analysis</w:t>
            </w:r>
            <w:r w:rsidR="00DA54CB">
              <w:rPr>
                <w:webHidden/>
              </w:rPr>
              <w:tab/>
            </w:r>
            <w:r w:rsidR="00DA54CB">
              <w:rPr>
                <w:webHidden/>
              </w:rPr>
              <w:fldChar w:fldCharType="begin"/>
            </w:r>
            <w:r w:rsidR="00DA54CB">
              <w:rPr>
                <w:webHidden/>
              </w:rPr>
              <w:instrText xml:space="preserve"> PAGEREF _Toc39588316 \h </w:instrText>
            </w:r>
            <w:r w:rsidR="00DA54CB">
              <w:rPr>
                <w:webHidden/>
              </w:rPr>
            </w:r>
            <w:r w:rsidR="00DA54CB">
              <w:rPr>
                <w:webHidden/>
              </w:rPr>
              <w:fldChar w:fldCharType="separate"/>
            </w:r>
            <w:r w:rsidR="004B4461">
              <w:rPr>
                <w:webHidden/>
              </w:rPr>
              <w:t>80</w:t>
            </w:r>
            <w:r w:rsidR="00DA54CB">
              <w:rPr>
                <w:webHidden/>
              </w:rPr>
              <w:fldChar w:fldCharType="end"/>
            </w:r>
          </w:hyperlink>
        </w:p>
        <w:p w14:paraId="304A99D9" w14:textId="0DC38FFE" w:rsidR="00DA54CB" w:rsidRDefault="004B21EF">
          <w:pPr>
            <w:pStyle w:val="TOC3"/>
            <w:tabs>
              <w:tab w:val="left" w:pos="2203"/>
            </w:tabs>
            <w:rPr>
              <w:rFonts w:asciiTheme="minorHAnsi" w:eastAsiaTheme="minorEastAsia" w:hAnsiTheme="minorHAnsi" w:cstheme="minorBidi"/>
            </w:rPr>
          </w:pPr>
          <w:hyperlink w:anchor="_Toc39588317" w:history="1">
            <w:r w:rsidR="00DA54CB" w:rsidRPr="006C77C5">
              <w:rPr>
                <w:rStyle w:val="Hyperlink"/>
              </w:rPr>
              <w:t>B4.2.3</w:t>
            </w:r>
            <w:r w:rsidR="00DA54CB">
              <w:rPr>
                <w:rFonts w:asciiTheme="minorHAnsi" w:eastAsiaTheme="minorEastAsia" w:hAnsiTheme="minorHAnsi" w:cstheme="minorBidi"/>
              </w:rPr>
              <w:tab/>
            </w:r>
            <w:r w:rsidR="00DA54CB" w:rsidRPr="006C77C5">
              <w:rPr>
                <w:rStyle w:val="Hyperlink"/>
              </w:rPr>
              <w:t>Results of the systematic literature review</w:t>
            </w:r>
            <w:r w:rsidR="00DA54CB">
              <w:rPr>
                <w:webHidden/>
              </w:rPr>
              <w:tab/>
            </w:r>
            <w:r w:rsidR="00DA54CB">
              <w:rPr>
                <w:webHidden/>
              </w:rPr>
              <w:fldChar w:fldCharType="begin"/>
            </w:r>
            <w:r w:rsidR="00DA54CB">
              <w:rPr>
                <w:webHidden/>
              </w:rPr>
              <w:instrText xml:space="preserve"> PAGEREF _Toc39588317 \h </w:instrText>
            </w:r>
            <w:r w:rsidR="00DA54CB">
              <w:rPr>
                <w:webHidden/>
              </w:rPr>
            </w:r>
            <w:r w:rsidR="00DA54CB">
              <w:rPr>
                <w:webHidden/>
              </w:rPr>
              <w:fldChar w:fldCharType="separate"/>
            </w:r>
            <w:r w:rsidR="004B4461">
              <w:rPr>
                <w:webHidden/>
              </w:rPr>
              <w:t>80</w:t>
            </w:r>
            <w:r w:rsidR="00DA54CB">
              <w:rPr>
                <w:webHidden/>
              </w:rPr>
              <w:fldChar w:fldCharType="end"/>
            </w:r>
          </w:hyperlink>
        </w:p>
        <w:p w14:paraId="38FCF8B1" w14:textId="62E5ADB0" w:rsidR="00DA54CB" w:rsidRDefault="004B21EF">
          <w:pPr>
            <w:pStyle w:val="TOC3"/>
            <w:rPr>
              <w:rFonts w:asciiTheme="minorHAnsi" w:eastAsiaTheme="minorEastAsia" w:hAnsiTheme="minorHAnsi" w:cstheme="minorBidi"/>
            </w:rPr>
          </w:pPr>
          <w:hyperlink w:anchor="_Toc39588318" w:history="1">
            <w:r w:rsidR="00DA54CB" w:rsidRPr="006C77C5">
              <w:rPr>
                <w:rStyle w:val="Hyperlink"/>
              </w:rPr>
              <w:t>AQP4-Ab seropositive compared with seronegative patients suspected of having NMOSD</w:t>
            </w:r>
            <w:r w:rsidR="00DA54CB">
              <w:rPr>
                <w:webHidden/>
              </w:rPr>
              <w:tab/>
            </w:r>
            <w:r w:rsidR="00DA54CB">
              <w:rPr>
                <w:webHidden/>
              </w:rPr>
              <w:fldChar w:fldCharType="begin"/>
            </w:r>
            <w:r w:rsidR="00DA54CB">
              <w:rPr>
                <w:webHidden/>
              </w:rPr>
              <w:instrText xml:space="preserve"> PAGEREF _Toc39588318 \h </w:instrText>
            </w:r>
            <w:r w:rsidR="00DA54CB">
              <w:rPr>
                <w:webHidden/>
              </w:rPr>
            </w:r>
            <w:r w:rsidR="00DA54CB">
              <w:rPr>
                <w:webHidden/>
              </w:rPr>
              <w:fldChar w:fldCharType="separate"/>
            </w:r>
            <w:r w:rsidR="004B4461">
              <w:rPr>
                <w:webHidden/>
              </w:rPr>
              <w:t>80</w:t>
            </w:r>
            <w:r w:rsidR="00DA54CB">
              <w:rPr>
                <w:webHidden/>
              </w:rPr>
              <w:fldChar w:fldCharType="end"/>
            </w:r>
          </w:hyperlink>
        </w:p>
        <w:p w14:paraId="5BDD767D" w14:textId="55468D63" w:rsidR="00DA54CB" w:rsidRDefault="004B21EF">
          <w:pPr>
            <w:pStyle w:val="TOC3"/>
            <w:rPr>
              <w:rFonts w:asciiTheme="minorHAnsi" w:eastAsiaTheme="minorEastAsia" w:hAnsiTheme="minorHAnsi" w:cstheme="minorBidi"/>
            </w:rPr>
          </w:pPr>
          <w:hyperlink w:anchor="_Toc39588319" w:history="1">
            <w:r w:rsidR="00DA54CB" w:rsidRPr="006C77C5">
              <w:rPr>
                <w:rStyle w:val="Hyperlink"/>
              </w:rPr>
              <w:t>MOG-Ab seropositive compared with seronegative patients suspected of NMOSD</w:t>
            </w:r>
            <w:r w:rsidR="00DA54CB">
              <w:rPr>
                <w:webHidden/>
              </w:rPr>
              <w:tab/>
            </w:r>
            <w:r w:rsidR="00DA54CB">
              <w:rPr>
                <w:webHidden/>
              </w:rPr>
              <w:fldChar w:fldCharType="begin"/>
            </w:r>
            <w:r w:rsidR="00DA54CB">
              <w:rPr>
                <w:webHidden/>
              </w:rPr>
              <w:instrText xml:space="preserve"> PAGEREF _Toc39588319 \h </w:instrText>
            </w:r>
            <w:r w:rsidR="00DA54CB">
              <w:rPr>
                <w:webHidden/>
              </w:rPr>
            </w:r>
            <w:r w:rsidR="00DA54CB">
              <w:rPr>
                <w:webHidden/>
              </w:rPr>
              <w:fldChar w:fldCharType="separate"/>
            </w:r>
            <w:r w:rsidR="004B4461">
              <w:rPr>
                <w:webHidden/>
              </w:rPr>
              <w:t>85</w:t>
            </w:r>
            <w:r w:rsidR="00DA54CB">
              <w:rPr>
                <w:webHidden/>
              </w:rPr>
              <w:fldChar w:fldCharType="end"/>
            </w:r>
          </w:hyperlink>
        </w:p>
        <w:p w14:paraId="5A179198" w14:textId="535703E5" w:rsidR="00DA54CB" w:rsidRDefault="004B21EF">
          <w:pPr>
            <w:pStyle w:val="TOC3"/>
            <w:rPr>
              <w:rFonts w:asciiTheme="minorHAnsi" w:eastAsiaTheme="minorEastAsia" w:hAnsiTheme="minorHAnsi" w:cstheme="minorBidi"/>
            </w:rPr>
          </w:pPr>
          <w:hyperlink w:anchor="_Toc39588320" w:history="1">
            <w:r w:rsidR="00DA54CB" w:rsidRPr="006C77C5">
              <w:rPr>
                <w:rStyle w:val="Hyperlink"/>
              </w:rPr>
              <w:t>AQP4-Ab seropositive compared with seronegative patients diagnosed with NMOSD</w:t>
            </w:r>
            <w:r w:rsidR="00DA54CB">
              <w:rPr>
                <w:webHidden/>
              </w:rPr>
              <w:tab/>
            </w:r>
            <w:r w:rsidR="00DA54CB">
              <w:rPr>
                <w:webHidden/>
              </w:rPr>
              <w:fldChar w:fldCharType="begin"/>
            </w:r>
            <w:r w:rsidR="00DA54CB">
              <w:rPr>
                <w:webHidden/>
              </w:rPr>
              <w:instrText xml:space="preserve"> PAGEREF _Toc39588320 \h </w:instrText>
            </w:r>
            <w:r w:rsidR="00DA54CB">
              <w:rPr>
                <w:webHidden/>
              </w:rPr>
            </w:r>
            <w:r w:rsidR="00DA54CB">
              <w:rPr>
                <w:webHidden/>
              </w:rPr>
              <w:fldChar w:fldCharType="separate"/>
            </w:r>
            <w:r w:rsidR="004B4461">
              <w:rPr>
                <w:webHidden/>
              </w:rPr>
              <w:t>87</w:t>
            </w:r>
            <w:r w:rsidR="00DA54CB">
              <w:rPr>
                <w:webHidden/>
              </w:rPr>
              <w:fldChar w:fldCharType="end"/>
            </w:r>
          </w:hyperlink>
        </w:p>
        <w:p w14:paraId="55395B8B" w14:textId="0294EC87" w:rsidR="00DA54CB" w:rsidRDefault="004B21EF">
          <w:pPr>
            <w:pStyle w:val="TOC1"/>
            <w:rPr>
              <w:rFonts w:asciiTheme="minorHAnsi" w:eastAsiaTheme="minorEastAsia" w:hAnsiTheme="minorHAnsi" w:cstheme="minorBidi"/>
              <w:b w:val="0"/>
            </w:rPr>
          </w:pPr>
          <w:hyperlink w:anchor="_Toc39588321" w:history="1">
            <w:r w:rsidR="00DA54CB" w:rsidRPr="006C77C5">
              <w:rPr>
                <w:rStyle w:val="Hyperlink"/>
              </w:rPr>
              <w:t>B5</w:t>
            </w:r>
            <w:r w:rsidR="00DA54CB">
              <w:rPr>
                <w:rFonts w:asciiTheme="minorHAnsi" w:eastAsiaTheme="minorEastAsia" w:hAnsiTheme="minorHAnsi" w:cstheme="minorBidi"/>
                <w:b w:val="0"/>
              </w:rPr>
              <w:tab/>
            </w:r>
            <w:r w:rsidR="00DA54CB" w:rsidRPr="006C77C5">
              <w:rPr>
                <w:rStyle w:val="Hyperlink"/>
              </w:rPr>
              <w:t>Clinical utility</w:t>
            </w:r>
            <w:r w:rsidR="00DA54CB">
              <w:rPr>
                <w:webHidden/>
              </w:rPr>
              <w:tab/>
            </w:r>
            <w:r w:rsidR="00DA54CB">
              <w:rPr>
                <w:webHidden/>
              </w:rPr>
              <w:fldChar w:fldCharType="begin"/>
            </w:r>
            <w:r w:rsidR="00DA54CB">
              <w:rPr>
                <w:webHidden/>
              </w:rPr>
              <w:instrText xml:space="preserve"> PAGEREF _Toc39588321 \h </w:instrText>
            </w:r>
            <w:r w:rsidR="00DA54CB">
              <w:rPr>
                <w:webHidden/>
              </w:rPr>
            </w:r>
            <w:r w:rsidR="00DA54CB">
              <w:rPr>
                <w:webHidden/>
              </w:rPr>
              <w:fldChar w:fldCharType="separate"/>
            </w:r>
            <w:r w:rsidR="004B4461">
              <w:rPr>
                <w:webHidden/>
              </w:rPr>
              <w:t>89</w:t>
            </w:r>
            <w:r w:rsidR="00DA54CB">
              <w:rPr>
                <w:webHidden/>
              </w:rPr>
              <w:fldChar w:fldCharType="end"/>
            </w:r>
          </w:hyperlink>
        </w:p>
        <w:p w14:paraId="1479CFD8" w14:textId="62B0270C" w:rsidR="00DA54CB" w:rsidRDefault="004B21EF">
          <w:pPr>
            <w:pStyle w:val="TOC2"/>
            <w:tabs>
              <w:tab w:val="left" w:pos="1540"/>
            </w:tabs>
            <w:rPr>
              <w:rFonts w:asciiTheme="minorHAnsi" w:eastAsiaTheme="minorEastAsia" w:hAnsiTheme="minorHAnsi" w:cstheme="minorBidi"/>
            </w:rPr>
          </w:pPr>
          <w:hyperlink w:anchor="_Toc39588322" w:history="1">
            <w:r w:rsidR="00DA54CB" w:rsidRPr="006C77C5">
              <w:rPr>
                <w:rStyle w:val="Hyperlink"/>
              </w:rPr>
              <w:t>B5.1</w:t>
            </w:r>
            <w:r w:rsidR="00DA54CB">
              <w:rPr>
                <w:rFonts w:asciiTheme="minorHAnsi" w:eastAsiaTheme="minorEastAsia" w:hAnsiTheme="minorHAnsi" w:cstheme="minorBidi"/>
              </w:rPr>
              <w:tab/>
            </w:r>
            <w:r w:rsidR="00DA54CB" w:rsidRPr="006C77C5">
              <w:rPr>
                <w:rStyle w:val="Hyperlink"/>
              </w:rPr>
              <w:t>Impact on clinical management (Therapeutic efficacy)</w:t>
            </w:r>
            <w:r w:rsidR="00DA54CB">
              <w:rPr>
                <w:webHidden/>
              </w:rPr>
              <w:tab/>
            </w:r>
            <w:r w:rsidR="00DA54CB">
              <w:rPr>
                <w:webHidden/>
              </w:rPr>
              <w:fldChar w:fldCharType="begin"/>
            </w:r>
            <w:r w:rsidR="00DA54CB">
              <w:rPr>
                <w:webHidden/>
              </w:rPr>
              <w:instrText xml:space="preserve"> PAGEREF _Toc39588322 \h </w:instrText>
            </w:r>
            <w:r w:rsidR="00DA54CB">
              <w:rPr>
                <w:webHidden/>
              </w:rPr>
            </w:r>
            <w:r w:rsidR="00DA54CB">
              <w:rPr>
                <w:webHidden/>
              </w:rPr>
              <w:fldChar w:fldCharType="separate"/>
            </w:r>
            <w:r w:rsidR="004B4461">
              <w:rPr>
                <w:webHidden/>
              </w:rPr>
              <w:t>89</w:t>
            </w:r>
            <w:r w:rsidR="00DA54CB">
              <w:rPr>
                <w:webHidden/>
              </w:rPr>
              <w:fldChar w:fldCharType="end"/>
            </w:r>
          </w:hyperlink>
        </w:p>
        <w:p w14:paraId="20275DF9" w14:textId="24B209DB" w:rsidR="00DA54CB" w:rsidRDefault="004B21EF">
          <w:pPr>
            <w:pStyle w:val="TOC2"/>
            <w:tabs>
              <w:tab w:val="left" w:pos="1760"/>
            </w:tabs>
            <w:rPr>
              <w:rFonts w:asciiTheme="minorHAnsi" w:eastAsiaTheme="minorEastAsia" w:hAnsiTheme="minorHAnsi" w:cstheme="minorBidi"/>
            </w:rPr>
          </w:pPr>
          <w:hyperlink w:anchor="_Toc39588323" w:history="1">
            <w:r w:rsidR="00DA54CB" w:rsidRPr="006C77C5">
              <w:rPr>
                <w:rStyle w:val="Hyperlink"/>
              </w:rPr>
              <w:t>B5.1.1</w:t>
            </w:r>
            <w:r w:rsidR="00DA54CB">
              <w:rPr>
                <w:rFonts w:asciiTheme="minorHAnsi" w:eastAsiaTheme="minorEastAsia" w:hAnsiTheme="minorHAnsi" w:cstheme="minorBidi"/>
              </w:rPr>
              <w:tab/>
            </w:r>
            <w:r w:rsidR="00DA54CB" w:rsidRPr="006C77C5">
              <w:rPr>
                <w:rStyle w:val="Hyperlink"/>
              </w:rPr>
              <w:t>Risk of Bias Assessment</w:t>
            </w:r>
            <w:r w:rsidR="00DA54CB">
              <w:rPr>
                <w:webHidden/>
              </w:rPr>
              <w:tab/>
            </w:r>
            <w:r w:rsidR="00DA54CB">
              <w:rPr>
                <w:webHidden/>
              </w:rPr>
              <w:fldChar w:fldCharType="begin"/>
            </w:r>
            <w:r w:rsidR="00DA54CB">
              <w:rPr>
                <w:webHidden/>
              </w:rPr>
              <w:instrText xml:space="preserve"> PAGEREF _Toc39588323 \h </w:instrText>
            </w:r>
            <w:r w:rsidR="00DA54CB">
              <w:rPr>
                <w:webHidden/>
              </w:rPr>
            </w:r>
            <w:r w:rsidR="00DA54CB">
              <w:rPr>
                <w:webHidden/>
              </w:rPr>
              <w:fldChar w:fldCharType="separate"/>
            </w:r>
            <w:r w:rsidR="004B4461">
              <w:rPr>
                <w:webHidden/>
              </w:rPr>
              <w:t>89</w:t>
            </w:r>
            <w:r w:rsidR="00DA54CB">
              <w:rPr>
                <w:webHidden/>
              </w:rPr>
              <w:fldChar w:fldCharType="end"/>
            </w:r>
          </w:hyperlink>
        </w:p>
        <w:p w14:paraId="214CDE65" w14:textId="06B6669B" w:rsidR="00DA54CB" w:rsidRDefault="004B21EF">
          <w:pPr>
            <w:pStyle w:val="TOC2"/>
            <w:tabs>
              <w:tab w:val="left" w:pos="1760"/>
            </w:tabs>
            <w:rPr>
              <w:rFonts w:asciiTheme="minorHAnsi" w:eastAsiaTheme="minorEastAsia" w:hAnsiTheme="minorHAnsi" w:cstheme="minorBidi"/>
            </w:rPr>
          </w:pPr>
          <w:hyperlink w:anchor="_Toc39588324" w:history="1">
            <w:r w:rsidR="00DA54CB" w:rsidRPr="006C77C5">
              <w:rPr>
                <w:rStyle w:val="Hyperlink"/>
              </w:rPr>
              <w:t>B5.1.2</w:t>
            </w:r>
            <w:r w:rsidR="00DA54CB">
              <w:rPr>
                <w:rFonts w:asciiTheme="minorHAnsi" w:eastAsiaTheme="minorEastAsia" w:hAnsiTheme="minorHAnsi" w:cstheme="minorBidi"/>
              </w:rPr>
              <w:tab/>
            </w:r>
            <w:r w:rsidR="00DA54CB" w:rsidRPr="006C77C5">
              <w:rPr>
                <w:rStyle w:val="Hyperlink"/>
              </w:rPr>
              <w:t>Characteristics of the Evidence Base</w:t>
            </w:r>
            <w:r w:rsidR="00DA54CB">
              <w:rPr>
                <w:webHidden/>
              </w:rPr>
              <w:tab/>
            </w:r>
            <w:r w:rsidR="00DA54CB">
              <w:rPr>
                <w:webHidden/>
              </w:rPr>
              <w:fldChar w:fldCharType="begin"/>
            </w:r>
            <w:r w:rsidR="00DA54CB">
              <w:rPr>
                <w:webHidden/>
              </w:rPr>
              <w:instrText xml:space="preserve"> PAGEREF _Toc39588324 \h </w:instrText>
            </w:r>
            <w:r w:rsidR="00DA54CB">
              <w:rPr>
                <w:webHidden/>
              </w:rPr>
            </w:r>
            <w:r w:rsidR="00DA54CB">
              <w:rPr>
                <w:webHidden/>
              </w:rPr>
              <w:fldChar w:fldCharType="separate"/>
            </w:r>
            <w:r w:rsidR="004B4461">
              <w:rPr>
                <w:webHidden/>
              </w:rPr>
              <w:t>90</w:t>
            </w:r>
            <w:r w:rsidR="00DA54CB">
              <w:rPr>
                <w:webHidden/>
              </w:rPr>
              <w:fldChar w:fldCharType="end"/>
            </w:r>
          </w:hyperlink>
        </w:p>
        <w:p w14:paraId="1CFC805E" w14:textId="218B7FD7" w:rsidR="00DA54CB" w:rsidRDefault="004B21EF">
          <w:pPr>
            <w:pStyle w:val="TOC2"/>
            <w:tabs>
              <w:tab w:val="left" w:pos="1760"/>
            </w:tabs>
            <w:rPr>
              <w:rFonts w:asciiTheme="minorHAnsi" w:eastAsiaTheme="minorEastAsia" w:hAnsiTheme="minorHAnsi" w:cstheme="minorBidi"/>
            </w:rPr>
          </w:pPr>
          <w:hyperlink w:anchor="_Toc39588325" w:history="1">
            <w:r w:rsidR="00DA54CB" w:rsidRPr="006C77C5">
              <w:rPr>
                <w:rStyle w:val="Hyperlink"/>
              </w:rPr>
              <w:t>B5.1.3</w:t>
            </w:r>
            <w:r w:rsidR="00DA54CB">
              <w:rPr>
                <w:rFonts w:asciiTheme="minorHAnsi" w:eastAsiaTheme="minorEastAsia" w:hAnsiTheme="minorHAnsi" w:cstheme="minorBidi"/>
              </w:rPr>
              <w:tab/>
            </w:r>
            <w:r w:rsidR="00DA54CB" w:rsidRPr="006C77C5">
              <w:rPr>
                <w:rStyle w:val="Hyperlink"/>
              </w:rPr>
              <w:t>Outcome Measures and Analysis</w:t>
            </w:r>
            <w:r w:rsidR="00DA54CB">
              <w:rPr>
                <w:webHidden/>
              </w:rPr>
              <w:tab/>
            </w:r>
            <w:r w:rsidR="00DA54CB">
              <w:rPr>
                <w:webHidden/>
              </w:rPr>
              <w:fldChar w:fldCharType="begin"/>
            </w:r>
            <w:r w:rsidR="00DA54CB">
              <w:rPr>
                <w:webHidden/>
              </w:rPr>
              <w:instrText xml:space="preserve"> PAGEREF _Toc39588325 \h </w:instrText>
            </w:r>
            <w:r w:rsidR="00DA54CB">
              <w:rPr>
                <w:webHidden/>
              </w:rPr>
            </w:r>
            <w:r w:rsidR="00DA54CB">
              <w:rPr>
                <w:webHidden/>
              </w:rPr>
              <w:fldChar w:fldCharType="separate"/>
            </w:r>
            <w:r w:rsidR="004B4461">
              <w:rPr>
                <w:webHidden/>
              </w:rPr>
              <w:t>91</w:t>
            </w:r>
            <w:r w:rsidR="00DA54CB">
              <w:rPr>
                <w:webHidden/>
              </w:rPr>
              <w:fldChar w:fldCharType="end"/>
            </w:r>
          </w:hyperlink>
        </w:p>
        <w:p w14:paraId="1DD5480E" w14:textId="54AC8DAE" w:rsidR="00DA54CB" w:rsidRDefault="004B21EF">
          <w:pPr>
            <w:pStyle w:val="TOC2"/>
            <w:tabs>
              <w:tab w:val="left" w:pos="1760"/>
            </w:tabs>
            <w:rPr>
              <w:rFonts w:asciiTheme="minorHAnsi" w:eastAsiaTheme="minorEastAsia" w:hAnsiTheme="minorHAnsi" w:cstheme="minorBidi"/>
            </w:rPr>
          </w:pPr>
          <w:hyperlink w:anchor="_Toc39588326" w:history="1">
            <w:r w:rsidR="00DA54CB" w:rsidRPr="006C77C5">
              <w:rPr>
                <w:rStyle w:val="Hyperlink"/>
              </w:rPr>
              <w:t>B5.1.4</w:t>
            </w:r>
            <w:r w:rsidR="00DA54CB">
              <w:rPr>
                <w:rFonts w:asciiTheme="minorHAnsi" w:eastAsiaTheme="minorEastAsia" w:hAnsiTheme="minorHAnsi" w:cstheme="minorBidi"/>
              </w:rPr>
              <w:tab/>
            </w:r>
            <w:r w:rsidR="00DA54CB" w:rsidRPr="006C77C5">
              <w:rPr>
                <w:rStyle w:val="Hyperlink"/>
              </w:rPr>
              <w:t>Results of the Systematic Literature review</w:t>
            </w:r>
            <w:r w:rsidR="00DA54CB">
              <w:rPr>
                <w:webHidden/>
              </w:rPr>
              <w:tab/>
            </w:r>
            <w:r w:rsidR="00DA54CB">
              <w:rPr>
                <w:webHidden/>
              </w:rPr>
              <w:fldChar w:fldCharType="begin"/>
            </w:r>
            <w:r w:rsidR="00DA54CB">
              <w:rPr>
                <w:webHidden/>
              </w:rPr>
              <w:instrText xml:space="preserve"> PAGEREF _Toc39588326 \h </w:instrText>
            </w:r>
            <w:r w:rsidR="00DA54CB">
              <w:rPr>
                <w:webHidden/>
              </w:rPr>
            </w:r>
            <w:r w:rsidR="00DA54CB">
              <w:rPr>
                <w:webHidden/>
              </w:rPr>
              <w:fldChar w:fldCharType="separate"/>
            </w:r>
            <w:r w:rsidR="004B4461">
              <w:rPr>
                <w:webHidden/>
              </w:rPr>
              <w:t>92</w:t>
            </w:r>
            <w:r w:rsidR="00DA54CB">
              <w:rPr>
                <w:webHidden/>
              </w:rPr>
              <w:fldChar w:fldCharType="end"/>
            </w:r>
          </w:hyperlink>
        </w:p>
        <w:p w14:paraId="1A39F384" w14:textId="679B909C" w:rsidR="00DA54CB" w:rsidRDefault="004B21EF">
          <w:pPr>
            <w:pStyle w:val="TOC3"/>
            <w:rPr>
              <w:rFonts w:asciiTheme="minorHAnsi" w:eastAsiaTheme="minorEastAsia" w:hAnsiTheme="minorHAnsi" w:cstheme="minorBidi"/>
            </w:rPr>
          </w:pPr>
          <w:hyperlink w:anchor="_Toc39588327" w:history="1">
            <w:r w:rsidR="00DA54CB" w:rsidRPr="006C77C5">
              <w:rPr>
                <w:rStyle w:val="Hyperlink"/>
              </w:rPr>
              <w:t>Does AQP4-Ab and/or MOG-Ab testing impact on clinical management?</w:t>
            </w:r>
            <w:r w:rsidR="00DA54CB">
              <w:rPr>
                <w:webHidden/>
              </w:rPr>
              <w:tab/>
            </w:r>
            <w:r w:rsidR="00DA54CB">
              <w:rPr>
                <w:webHidden/>
              </w:rPr>
              <w:fldChar w:fldCharType="begin"/>
            </w:r>
            <w:r w:rsidR="00DA54CB">
              <w:rPr>
                <w:webHidden/>
              </w:rPr>
              <w:instrText xml:space="preserve"> PAGEREF _Toc39588327 \h </w:instrText>
            </w:r>
            <w:r w:rsidR="00DA54CB">
              <w:rPr>
                <w:webHidden/>
              </w:rPr>
            </w:r>
            <w:r w:rsidR="00DA54CB">
              <w:rPr>
                <w:webHidden/>
              </w:rPr>
              <w:fldChar w:fldCharType="separate"/>
            </w:r>
            <w:r w:rsidR="004B4461">
              <w:rPr>
                <w:webHidden/>
              </w:rPr>
              <w:t>92</w:t>
            </w:r>
            <w:r w:rsidR="00DA54CB">
              <w:rPr>
                <w:webHidden/>
              </w:rPr>
              <w:fldChar w:fldCharType="end"/>
            </w:r>
          </w:hyperlink>
        </w:p>
        <w:p w14:paraId="3C3FCBCC" w14:textId="419713CA" w:rsidR="00DA54CB" w:rsidRDefault="004B21EF">
          <w:pPr>
            <w:pStyle w:val="TOC2"/>
            <w:tabs>
              <w:tab w:val="left" w:pos="1540"/>
            </w:tabs>
            <w:rPr>
              <w:rFonts w:asciiTheme="minorHAnsi" w:eastAsiaTheme="minorEastAsia" w:hAnsiTheme="minorHAnsi" w:cstheme="minorBidi"/>
            </w:rPr>
          </w:pPr>
          <w:hyperlink w:anchor="_Toc39588328" w:history="1">
            <w:r w:rsidR="00DA54CB" w:rsidRPr="006C77C5">
              <w:rPr>
                <w:rStyle w:val="Hyperlink"/>
              </w:rPr>
              <w:t>B5.2</w:t>
            </w:r>
            <w:r w:rsidR="00DA54CB">
              <w:rPr>
                <w:rFonts w:asciiTheme="minorHAnsi" w:eastAsiaTheme="minorEastAsia" w:hAnsiTheme="minorHAnsi" w:cstheme="minorBidi"/>
              </w:rPr>
              <w:tab/>
            </w:r>
            <w:r w:rsidR="00DA54CB" w:rsidRPr="006C77C5">
              <w:rPr>
                <w:rStyle w:val="Hyperlink"/>
              </w:rPr>
              <w:t>Therapeutic effectiveness</w:t>
            </w:r>
            <w:r w:rsidR="00DA54CB">
              <w:rPr>
                <w:webHidden/>
              </w:rPr>
              <w:tab/>
            </w:r>
            <w:r w:rsidR="00DA54CB">
              <w:rPr>
                <w:webHidden/>
              </w:rPr>
              <w:fldChar w:fldCharType="begin"/>
            </w:r>
            <w:r w:rsidR="00DA54CB">
              <w:rPr>
                <w:webHidden/>
              </w:rPr>
              <w:instrText xml:space="preserve"> PAGEREF _Toc39588328 \h </w:instrText>
            </w:r>
            <w:r w:rsidR="00DA54CB">
              <w:rPr>
                <w:webHidden/>
              </w:rPr>
            </w:r>
            <w:r w:rsidR="00DA54CB">
              <w:rPr>
                <w:webHidden/>
              </w:rPr>
              <w:fldChar w:fldCharType="separate"/>
            </w:r>
            <w:r w:rsidR="004B4461">
              <w:rPr>
                <w:webHidden/>
              </w:rPr>
              <w:t>95</w:t>
            </w:r>
            <w:r w:rsidR="00DA54CB">
              <w:rPr>
                <w:webHidden/>
              </w:rPr>
              <w:fldChar w:fldCharType="end"/>
            </w:r>
          </w:hyperlink>
        </w:p>
        <w:p w14:paraId="767A1777" w14:textId="7D255ACD" w:rsidR="00DA54CB" w:rsidRDefault="004B21EF">
          <w:pPr>
            <w:pStyle w:val="TOC2"/>
            <w:tabs>
              <w:tab w:val="left" w:pos="1760"/>
            </w:tabs>
            <w:rPr>
              <w:rFonts w:asciiTheme="minorHAnsi" w:eastAsiaTheme="minorEastAsia" w:hAnsiTheme="minorHAnsi" w:cstheme="minorBidi"/>
            </w:rPr>
          </w:pPr>
          <w:hyperlink w:anchor="_Toc39588329" w:history="1">
            <w:r w:rsidR="00DA54CB" w:rsidRPr="006C77C5">
              <w:rPr>
                <w:rStyle w:val="Hyperlink"/>
              </w:rPr>
              <w:t>B5.2.1</w:t>
            </w:r>
            <w:r w:rsidR="00DA54CB">
              <w:rPr>
                <w:rFonts w:asciiTheme="minorHAnsi" w:eastAsiaTheme="minorEastAsia" w:hAnsiTheme="minorHAnsi" w:cstheme="minorBidi"/>
              </w:rPr>
              <w:tab/>
            </w:r>
            <w:r w:rsidR="00DA54CB" w:rsidRPr="006C77C5">
              <w:rPr>
                <w:rStyle w:val="Hyperlink"/>
              </w:rPr>
              <w:t>Risk of Bias Assessment</w:t>
            </w:r>
            <w:r w:rsidR="00DA54CB">
              <w:rPr>
                <w:webHidden/>
              </w:rPr>
              <w:tab/>
            </w:r>
            <w:r w:rsidR="00DA54CB">
              <w:rPr>
                <w:webHidden/>
              </w:rPr>
              <w:fldChar w:fldCharType="begin"/>
            </w:r>
            <w:r w:rsidR="00DA54CB">
              <w:rPr>
                <w:webHidden/>
              </w:rPr>
              <w:instrText xml:space="preserve"> PAGEREF _Toc39588329 \h </w:instrText>
            </w:r>
            <w:r w:rsidR="00DA54CB">
              <w:rPr>
                <w:webHidden/>
              </w:rPr>
            </w:r>
            <w:r w:rsidR="00DA54CB">
              <w:rPr>
                <w:webHidden/>
              </w:rPr>
              <w:fldChar w:fldCharType="separate"/>
            </w:r>
            <w:r w:rsidR="004B4461">
              <w:rPr>
                <w:webHidden/>
              </w:rPr>
              <w:t>96</w:t>
            </w:r>
            <w:r w:rsidR="00DA54CB">
              <w:rPr>
                <w:webHidden/>
              </w:rPr>
              <w:fldChar w:fldCharType="end"/>
            </w:r>
          </w:hyperlink>
        </w:p>
        <w:p w14:paraId="44E31F93" w14:textId="58E47198" w:rsidR="00DA54CB" w:rsidRDefault="004B21EF">
          <w:pPr>
            <w:pStyle w:val="TOC2"/>
            <w:tabs>
              <w:tab w:val="left" w:pos="1760"/>
            </w:tabs>
            <w:rPr>
              <w:rFonts w:asciiTheme="minorHAnsi" w:eastAsiaTheme="minorEastAsia" w:hAnsiTheme="minorHAnsi" w:cstheme="minorBidi"/>
            </w:rPr>
          </w:pPr>
          <w:hyperlink w:anchor="_Toc39588330" w:history="1">
            <w:r w:rsidR="00DA54CB" w:rsidRPr="006C77C5">
              <w:rPr>
                <w:rStyle w:val="Hyperlink"/>
              </w:rPr>
              <w:t>B5.2.2</w:t>
            </w:r>
            <w:r w:rsidR="00DA54CB">
              <w:rPr>
                <w:rFonts w:asciiTheme="minorHAnsi" w:eastAsiaTheme="minorEastAsia" w:hAnsiTheme="minorHAnsi" w:cstheme="minorBidi"/>
              </w:rPr>
              <w:tab/>
            </w:r>
            <w:r w:rsidR="00DA54CB" w:rsidRPr="006C77C5">
              <w:rPr>
                <w:rStyle w:val="Hyperlink"/>
              </w:rPr>
              <w:t>Characteristics of the Evidence Base</w:t>
            </w:r>
            <w:r w:rsidR="00DA54CB">
              <w:rPr>
                <w:webHidden/>
              </w:rPr>
              <w:tab/>
            </w:r>
            <w:r w:rsidR="00DA54CB">
              <w:rPr>
                <w:webHidden/>
              </w:rPr>
              <w:fldChar w:fldCharType="begin"/>
            </w:r>
            <w:r w:rsidR="00DA54CB">
              <w:rPr>
                <w:webHidden/>
              </w:rPr>
              <w:instrText xml:space="preserve"> PAGEREF _Toc39588330 \h </w:instrText>
            </w:r>
            <w:r w:rsidR="00DA54CB">
              <w:rPr>
                <w:webHidden/>
              </w:rPr>
            </w:r>
            <w:r w:rsidR="00DA54CB">
              <w:rPr>
                <w:webHidden/>
              </w:rPr>
              <w:fldChar w:fldCharType="separate"/>
            </w:r>
            <w:r w:rsidR="004B4461">
              <w:rPr>
                <w:webHidden/>
              </w:rPr>
              <w:t>96</w:t>
            </w:r>
            <w:r w:rsidR="00DA54CB">
              <w:rPr>
                <w:webHidden/>
              </w:rPr>
              <w:fldChar w:fldCharType="end"/>
            </w:r>
          </w:hyperlink>
        </w:p>
        <w:p w14:paraId="583F213E" w14:textId="0BC3D9DB" w:rsidR="00DA54CB" w:rsidRDefault="004B21EF">
          <w:pPr>
            <w:pStyle w:val="TOC2"/>
            <w:tabs>
              <w:tab w:val="left" w:pos="1760"/>
            </w:tabs>
            <w:rPr>
              <w:rFonts w:asciiTheme="minorHAnsi" w:eastAsiaTheme="minorEastAsia" w:hAnsiTheme="minorHAnsi" w:cstheme="minorBidi"/>
            </w:rPr>
          </w:pPr>
          <w:hyperlink w:anchor="_Toc39588331" w:history="1">
            <w:r w:rsidR="00DA54CB" w:rsidRPr="006C77C5">
              <w:rPr>
                <w:rStyle w:val="Hyperlink"/>
              </w:rPr>
              <w:t>B5.2.3</w:t>
            </w:r>
            <w:r w:rsidR="00DA54CB">
              <w:rPr>
                <w:rFonts w:asciiTheme="minorHAnsi" w:eastAsiaTheme="minorEastAsia" w:hAnsiTheme="minorHAnsi" w:cstheme="minorBidi"/>
              </w:rPr>
              <w:tab/>
            </w:r>
            <w:r w:rsidR="00DA54CB" w:rsidRPr="006C77C5">
              <w:rPr>
                <w:rStyle w:val="Hyperlink"/>
              </w:rPr>
              <w:t>Outcome Measures and Analysis</w:t>
            </w:r>
            <w:r w:rsidR="00DA54CB">
              <w:rPr>
                <w:webHidden/>
              </w:rPr>
              <w:tab/>
            </w:r>
            <w:r w:rsidR="00DA54CB">
              <w:rPr>
                <w:webHidden/>
              </w:rPr>
              <w:fldChar w:fldCharType="begin"/>
            </w:r>
            <w:r w:rsidR="00DA54CB">
              <w:rPr>
                <w:webHidden/>
              </w:rPr>
              <w:instrText xml:space="preserve"> PAGEREF _Toc39588331 \h </w:instrText>
            </w:r>
            <w:r w:rsidR="00DA54CB">
              <w:rPr>
                <w:webHidden/>
              </w:rPr>
            </w:r>
            <w:r w:rsidR="00DA54CB">
              <w:rPr>
                <w:webHidden/>
              </w:rPr>
              <w:fldChar w:fldCharType="separate"/>
            </w:r>
            <w:r w:rsidR="004B4461">
              <w:rPr>
                <w:webHidden/>
              </w:rPr>
              <w:t>99</w:t>
            </w:r>
            <w:r w:rsidR="00DA54CB">
              <w:rPr>
                <w:webHidden/>
              </w:rPr>
              <w:fldChar w:fldCharType="end"/>
            </w:r>
          </w:hyperlink>
        </w:p>
        <w:p w14:paraId="08EB355F" w14:textId="5F573EE9" w:rsidR="00DA54CB" w:rsidRDefault="004B21EF">
          <w:pPr>
            <w:pStyle w:val="TOC2"/>
            <w:tabs>
              <w:tab w:val="left" w:pos="1760"/>
            </w:tabs>
            <w:rPr>
              <w:rFonts w:asciiTheme="minorHAnsi" w:eastAsiaTheme="minorEastAsia" w:hAnsiTheme="minorHAnsi" w:cstheme="minorBidi"/>
            </w:rPr>
          </w:pPr>
          <w:hyperlink w:anchor="_Toc39588332" w:history="1">
            <w:r w:rsidR="00DA54CB" w:rsidRPr="006C77C5">
              <w:rPr>
                <w:rStyle w:val="Hyperlink"/>
              </w:rPr>
              <w:t>B5.2.4</w:t>
            </w:r>
            <w:r w:rsidR="00DA54CB">
              <w:rPr>
                <w:rFonts w:asciiTheme="minorHAnsi" w:eastAsiaTheme="minorEastAsia" w:hAnsiTheme="minorHAnsi" w:cstheme="minorBidi"/>
              </w:rPr>
              <w:tab/>
            </w:r>
            <w:r w:rsidR="00DA54CB" w:rsidRPr="006C77C5">
              <w:rPr>
                <w:rStyle w:val="Hyperlink"/>
              </w:rPr>
              <w:t>Results of the Systematic Literature review</w:t>
            </w:r>
            <w:r w:rsidR="00DA54CB">
              <w:rPr>
                <w:webHidden/>
              </w:rPr>
              <w:tab/>
            </w:r>
            <w:r w:rsidR="00DA54CB">
              <w:rPr>
                <w:webHidden/>
              </w:rPr>
              <w:fldChar w:fldCharType="begin"/>
            </w:r>
            <w:r w:rsidR="00DA54CB">
              <w:rPr>
                <w:webHidden/>
              </w:rPr>
              <w:instrText xml:space="preserve"> PAGEREF _Toc39588332 \h </w:instrText>
            </w:r>
            <w:r w:rsidR="00DA54CB">
              <w:rPr>
                <w:webHidden/>
              </w:rPr>
            </w:r>
            <w:r w:rsidR="00DA54CB">
              <w:rPr>
                <w:webHidden/>
              </w:rPr>
              <w:fldChar w:fldCharType="separate"/>
            </w:r>
            <w:r w:rsidR="004B4461">
              <w:rPr>
                <w:webHidden/>
              </w:rPr>
              <w:t>100</w:t>
            </w:r>
            <w:r w:rsidR="00DA54CB">
              <w:rPr>
                <w:webHidden/>
              </w:rPr>
              <w:fldChar w:fldCharType="end"/>
            </w:r>
          </w:hyperlink>
        </w:p>
        <w:p w14:paraId="426B3BED" w14:textId="19DB5C5D" w:rsidR="00DA54CB" w:rsidRDefault="004B21EF">
          <w:pPr>
            <w:pStyle w:val="TOC3"/>
            <w:rPr>
              <w:rFonts w:asciiTheme="minorHAnsi" w:eastAsiaTheme="minorEastAsia" w:hAnsiTheme="minorHAnsi" w:cstheme="minorBidi"/>
            </w:rPr>
          </w:pPr>
          <w:hyperlink w:anchor="_Toc39588333" w:history="1">
            <w:r w:rsidR="00DA54CB" w:rsidRPr="006C77C5">
              <w:rPr>
                <w:rStyle w:val="Hyperlink"/>
              </w:rPr>
              <w:t>Does the change in management improve health outcomes?</w:t>
            </w:r>
            <w:r w:rsidR="00DA54CB">
              <w:rPr>
                <w:webHidden/>
              </w:rPr>
              <w:tab/>
            </w:r>
            <w:r w:rsidR="00DA54CB">
              <w:rPr>
                <w:webHidden/>
              </w:rPr>
              <w:fldChar w:fldCharType="begin"/>
            </w:r>
            <w:r w:rsidR="00DA54CB">
              <w:rPr>
                <w:webHidden/>
              </w:rPr>
              <w:instrText xml:space="preserve"> PAGEREF _Toc39588333 \h </w:instrText>
            </w:r>
            <w:r w:rsidR="00DA54CB">
              <w:rPr>
                <w:webHidden/>
              </w:rPr>
            </w:r>
            <w:r w:rsidR="00DA54CB">
              <w:rPr>
                <w:webHidden/>
              </w:rPr>
              <w:fldChar w:fldCharType="separate"/>
            </w:r>
            <w:r w:rsidR="004B4461">
              <w:rPr>
                <w:webHidden/>
              </w:rPr>
              <w:t>100</w:t>
            </w:r>
            <w:r w:rsidR="00DA54CB">
              <w:rPr>
                <w:webHidden/>
              </w:rPr>
              <w:fldChar w:fldCharType="end"/>
            </w:r>
          </w:hyperlink>
        </w:p>
        <w:p w14:paraId="26E6D8B4" w14:textId="69CFCB10" w:rsidR="00DA54CB" w:rsidRDefault="004B21EF">
          <w:pPr>
            <w:pStyle w:val="TOC3"/>
            <w:rPr>
              <w:rFonts w:asciiTheme="minorHAnsi" w:eastAsiaTheme="minorEastAsia" w:hAnsiTheme="minorHAnsi" w:cstheme="minorBidi"/>
            </w:rPr>
          </w:pPr>
          <w:hyperlink w:anchor="_Toc39588334" w:history="1">
            <w:r w:rsidR="00DA54CB" w:rsidRPr="006C77C5">
              <w:rPr>
                <w:rStyle w:val="Hyperlink"/>
              </w:rPr>
              <w:t>Early versus late treatment in NMOSD patients</w:t>
            </w:r>
            <w:r w:rsidR="00DA54CB">
              <w:rPr>
                <w:webHidden/>
              </w:rPr>
              <w:tab/>
            </w:r>
            <w:r w:rsidR="00DA54CB">
              <w:rPr>
                <w:webHidden/>
              </w:rPr>
              <w:fldChar w:fldCharType="begin"/>
            </w:r>
            <w:r w:rsidR="00DA54CB">
              <w:rPr>
                <w:webHidden/>
              </w:rPr>
              <w:instrText xml:space="preserve"> PAGEREF _Toc39588334 \h </w:instrText>
            </w:r>
            <w:r w:rsidR="00DA54CB">
              <w:rPr>
                <w:webHidden/>
              </w:rPr>
            </w:r>
            <w:r w:rsidR="00DA54CB">
              <w:rPr>
                <w:webHidden/>
              </w:rPr>
              <w:fldChar w:fldCharType="separate"/>
            </w:r>
            <w:r w:rsidR="004B4461">
              <w:rPr>
                <w:webHidden/>
              </w:rPr>
              <w:t>100</w:t>
            </w:r>
            <w:r w:rsidR="00DA54CB">
              <w:rPr>
                <w:webHidden/>
              </w:rPr>
              <w:fldChar w:fldCharType="end"/>
            </w:r>
          </w:hyperlink>
        </w:p>
        <w:p w14:paraId="0114308F" w14:textId="0683DDDB" w:rsidR="00DA54CB" w:rsidRDefault="004B21EF">
          <w:pPr>
            <w:pStyle w:val="TOC3"/>
            <w:rPr>
              <w:rFonts w:asciiTheme="minorHAnsi" w:eastAsiaTheme="minorEastAsia" w:hAnsiTheme="minorHAnsi" w:cstheme="minorBidi"/>
            </w:rPr>
          </w:pPr>
          <w:hyperlink w:anchor="_Toc39588335" w:history="1">
            <w:r w:rsidR="00DA54CB" w:rsidRPr="006C77C5">
              <w:rPr>
                <w:rStyle w:val="Hyperlink"/>
              </w:rPr>
              <w:t>Comparison of effectiveness of NMOSD and MS treatments in NMOSD patients</w:t>
            </w:r>
            <w:r w:rsidR="00DA54CB">
              <w:rPr>
                <w:webHidden/>
              </w:rPr>
              <w:tab/>
            </w:r>
            <w:r w:rsidR="00DA54CB">
              <w:rPr>
                <w:webHidden/>
              </w:rPr>
              <w:fldChar w:fldCharType="begin"/>
            </w:r>
            <w:r w:rsidR="00DA54CB">
              <w:rPr>
                <w:webHidden/>
              </w:rPr>
              <w:instrText xml:space="preserve"> PAGEREF _Toc39588335 \h </w:instrText>
            </w:r>
            <w:r w:rsidR="00DA54CB">
              <w:rPr>
                <w:webHidden/>
              </w:rPr>
            </w:r>
            <w:r w:rsidR="00DA54CB">
              <w:rPr>
                <w:webHidden/>
              </w:rPr>
              <w:fldChar w:fldCharType="separate"/>
            </w:r>
            <w:r w:rsidR="004B4461">
              <w:rPr>
                <w:webHidden/>
              </w:rPr>
              <w:t>103</w:t>
            </w:r>
            <w:r w:rsidR="00DA54CB">
              <w:rPr>
                <w:webHidden/>
              </w:rPr>
              <w:fldChar w:fldCharType="end"/>
            </w:r>
          </w:hyperlink>
        </w:p>
        <w:p w14:paraId="7E979624" w14:textId="27F6EA1E" w:rsidR="00DA54CB" w:rsidRDefault="004B21EF">
          <w:pPr>
            <w:pStyle w:val="TOC3"/>
            <w:rPr>
              <w:rFonts w:asciiTheme="minorHAnsi" w:eastAsiaTheme="minorEastAsia" w:hAnsiTheme="minorHAnsi" w:cstheme="minorBidi"/>
            </w:rPr>
          </w:pPr>
          <w:hyperlink w:anchor="_Toc39588336" w:history="1">
            <w:r w:rsidR="00DA54CB" w:rsidRPr="006C77C5">
              <w:rPr>
                <w:rStyle w:val="Hyperlink"/>
              </w:rPr>
              <w:t>Change in disease status in patients treated for NMOSD</w:t>
            </w:r>
            <w:r w:rsidR="00DA54CB">
              <w:rPr>
                <w:webHidden/>
              </w:rPr>
              <w:tab/>
            </w:r>
            <w:r w:rsidR="00DA54CB">
              <w:rPr>
                <w:webHidden/>
              </w:rPr>
              <w:fldChar w:fldCharType="begin"/>
            </w:r>
            <w:r w:rsidR="00DA54CB">
              <w:rPr>
                <w:webHidden/>
              </w:rPr>
              <w:instrText xml:space="preserve"> PAGEREF _Toc39588336 \h </w:instrText>
            </w:r>
            <w:r w:rsidR="00DA54CB">
              <w:rPr>
                <w:webHidden/>
              </w:rPr>
            </w:r>
            <w:r w:rsidR="00DA54CB">
              <w:rPr>
                <w:webHidden/>
              </w:rPr>
              <w:fldChar w:fldCharType="separate"/>
            </w:r>
            <w:r w:rsidR="004B4461">
              <w:rPr>
                <w:webHidden/>
              </w:rPr>
              <w:t>104</w:t>
            </w:r>
            <w:r w:rsidR="00DA54CB">
              <w:rPr>
                <w:webHidden/>
              </w:rPr>
              <w:fldChar w:fldCharType="end"/>
            </w:r>
          </w:hyperlink>
        </w:p>
        <w:p w14:paraId="1867EC20" w14:textId="404D2F13" w:rsidR="00DA54CB" w:rsidRDefault="004B21EF">
          <w:pPr>
            <w:pStyle w:val="TOC3"/>
            <w:rPr>
              <w:rFonts w:asciiTheme="minorHAnsi" w:eastAsiaTheme="minorEastAsia" w:hAnsiTheme="minorHAnsi" w:cstheme="minorBidi"/>
            </w:rPr>
          </w:pPr>
          <w:hyperlink w:anchor="_Toc39588337" w:history="1">
            <w:r w:rsidR="00DA54CB" w:rsidRPr="006C77C5">
              <w:rPr>
                <w:rStyle w:val="Hyperlink"/>
              </w:rPr>
              <w:t>Safety</w:t>
            </w:r>
            <w:r w:rsidR="00DA54CB">
              <w:rPr>
                <w:webHidden/>
              </w:rPr>
              <w:tab/>
            </w:r>
            <w:r w:rsidR="00DA54CB">
              <w:rPr>
                <w:webHidden/>
              </w:rPr>
              <w:fldChar w:fldCharType="begin"/>
            </w:r>
            <w:r w:rsidR="00DA54CB">
              <w:rPr>
                <w:webHidden/>
              </w:rPr>
              <w:instrText xml:space="preserve"> PAGEREF _Toc39588337 \h </w:instrText>
            </w:r>
            <w:r w:rsidR="00DA54CB">
              <w:rPr>
                <w:webHidden/>
              </w:rPr>
            </w:r>
            <w:r w:rsidR="00DA54CB">
              <w:rPr>
                <w:webHidden/>
              </w:rPr>
              <w:fldChar w:fldCharType="separate"/>
            </w:r>
            <w:r w:rsidR="004B4461">
              <w:rPr>
                <w:webHidden/>
              </w:rPr>
              <w:t>109</w:t>
            </w:r>
            <w:r w:rsidR="00DA54CB">
              <w:rPr>
                <w:webHidden/>
              </w:rPr>
              <w:fldChar w:fldCharType="end"/>
            </w:r>
          </w:hyperlink>
        </w:p>
        <w:p w14:paraId="65DA4F2E" w14:textId="6993CE24" w:rsidR="00DA54CB" w:rsidRDefault="004B21EF">
          <w:pPr>
            <w:pStyle w:val="TOC1"/>
            <w:rPr>
              <w:rFonts w:asciiTheme="minorHAnsi" w:eastAsiaTheme="minorEastAsia" w:hAnsiTheme="minorHAnsi" w:cstheme="minorBidi"/>
              <w:b w:val="0"/>
            </w:rPr>
          </w:pPr>
          <w:hyperlink w:anchor="_Toc39588338" w:history="1">
            <w:r w:rsidR="00DA54CB" w:rsidRPr="006C77C5">
              <w:rPr>
                <w:rStyle w:val="Hyperlink"/>
              </w:rPr>
              <w:t>B6</w:t>
            </w:r>
            <w:r w:rsidR="00DA54CB">
              <w:rPr>
                <w:rFonts w:asciiTheme="minorHAnsi" w:eastAsiaTheme="minorEastAsia" w:hAnsiTheme="minorHAnsi" w:cstheme="minorBidi"/>
                <w:b w:val="0"/>
              </w:rPr>
              <w:tab/>
            </w:r>
            <w:r w:rsidR="00DA54CB" w:rsidRPr="006C77C5">
              <w:rPr>
                <w:rStyle w:val="Hyperlink"/>
              </w:rPr>
              <w:t>Impact of repeat testing/monitoring</w:t>
            </w:r>
            <w:r w:rsidR="00DA54CB">
              <w:rPr>
                <w:webHidden/>
              </w:rPr>
              <w:tab/>
            </w:r>
            <w:r w:rsidR="00DA54CB">
              <w:rPr>
                <w:webHidden/>
              </w:rPr>
              <w:fldChar w:fldCharType="begin"/>
            </w:r>
            <w:r w:rsidR="00DA54CB">
              <w:rPr>
                <w:webHidden/>
              </w:rPr>
              <w:instrText xml:space="preserve"> PAGEREF _Toc39588338 \h </w:instrText>
            </w:r>
            <w:r w:rsidR="00DA54CB">
              <w:rPr>
                <w:webHidden/>
              </w:rPr>
            </w:r>
            <w:r w:rsidR="00DA54CB">
              <w:rPr>
                <w:webHidden/>
              </w:rPr>
              <w:fldChar w:fldCharType="separate"/>
            </w:r>
            <w:r w:rsidR="004B4461">
              <w:rPr>
                <w:webHidden/>
              </w:rPr>
              <w:t>114</w:t>
            </w:r>
            <w:r w:rsidR="00DA54CB">
              <w:rPr>
                <w:webHidden/>
              </w:rPr>
              <w:fldChar w:fldCharType="end"/>
            </w:r>
          </w:hyperlink>
        </w:p>
        <w:p w14:paraId="031C8376" w14:textId="24EA3844" w:rsidR="00DA54CB" w:rsidRDefault="004B21EF">
          <w:pPr>
            <w:pStyle w:val="TOC1"/>
            <w:rPr>
              <w:rFonts w:asciiTheme="minorHAnsi" w:eastAsiaTheme="minorEastAsia" w:hAnsiTheme="minorHAnsi" w:cstheme="minorBidi"/>
              <w:b w:val="0"/>
            </w:rPr>
          </w:pPr>
          <w:hyperlink w:anchor="_Toc39588339" w:history="1">
            <w:r w:rsidR="00DA54CB" w:rsidRPr="006C77C5">
              <w:rPr>
                <w:rStyle w:val="Hyperlink"/>
              </w:rPr>
              <w:t>B7</w:t>
            </w:r>
            <w:r w:rsidR="00DA54CB">
              <w:rPr>
                <w:rFonts w:asciiTheme="minorHAnsi" w:eastAsiaTheme="minorEastAsia" w:hAnsiTheme="minorHAnsi" w:cstheme="minorBidi"/>
                <w:b w:val="0"/>
              </w:rPr>
              <w:tab/>
            </w:r>
            <w:r w:rsidR="00DA54CB" w:rsidRPr="006C77C5">
              <w:rPr>
                <w:rStyle w:val="Hyperlink"/>
              </w:rPr>
              <w:t>Extended assessment of comparative harms</w:t>
            </w:r>
            <w:r w:rsidR="00DA54CB">
              <w:rPr>
                <w:webHidden/>
              </w:rPr>
              <w:tab/>
            </w:r>
            <w:r w:rsidR="00DA54CB">
              <w:rPr>
                <w:webHidden/>
              </w:rPr>
              <w:fldChar w:fldCharType="begin"/>
            </w:r>
            <w:r w:rsidR="00DA54CB">
              <w:rPr>
                <w:webHidden/>
              </w:rPr>
              <w:instrText xml:space="preserve"> PAGEREF _Toc39588339 \h </w:instrText>
            </w:r>
            <w:r w:rsidR="00DA54CB">
              <w:rPr>
                <w:webHidden/>
              </w:rPr>
            </w:r>
            <w:r w:rsidR="00DA54CB">
              <w:rPr>
                <w:webHidden/>
              </w:rPr>
              <w:fldChar w:fldCharType="separate"/>
            </w:r>
            <w:r w:rsidR="004B4461">
              <w:rPr>
                <w:webHidden/>
              </w:rPr>
              <w:t>117</w:t>
            </w:r>
            <w:r w:rsidR="00DA54CB">
              <w:rPr>
                <w:webHidden/>
              </w:rPr>
              <w:fldChar w:fldCharType="end"/>
            </w:r>
          </w:hyperlink>
        </w:p>
        <w:p w14:paraId="77EC00FC" w14:textId="2CB94541" w:rsidR="00DA54CB" w:rsidRDefault="004B21EF">
          <w:pPr>
            <w:pStyle w:val="TOC3"/>
            <w:rPr>
              <w:rFonts w:asciiTheme="minorHAnsi" w:eastAsiaTheme="minorEastAsia" w:hAnsiTheme="minorHAnsi" w:cstheme="minorBidi"/>
            </w:rPr>
          </w:pPr>
          <w:hyperlink w:anchor="_Toc39588340" w:history="1">
            <w:r w:rsidR="00DA54CB" w:rsidRPr="006C77C5">
              <w:rPr>
                <w:rStyle w:val="Hyperlink"/>
              </w:rPr>
              <w:t>Health related Quality of Life</w:t>
            </w:r>
            <w:r w:rsidR="00DA54CB">
              <w:rPr>
                <w:webHidden/>
              </w:rPr>
              <w:tab/>
            </w:r>
            <w:r w:rsidR="00DA54CB">
              <w:rPr>
                <w:webHidden/>
              </w:rPr>
              <w:fldChar w:fldCharType="begin"/>
            </w:r>
            <w:r w:rsidR="00DA54CB">
              <w:rPr>
                <w:webHidden/>
              </w:rPr>
              <w:instrText xml:space="preserve"> PAGEREF _Toc39588340 \h </w:instrText>
            </w:r>
            <w:r w:rsidR="00DA54CB">
              <w:rPr>
                <w:webHidden/>
              </w:rPr>
            </w:r>
            <w:r w:rsidR="00DA54CB">
              <w:rPr>
                <w:webHidden/>
              </w:rPr>
              <w:fldChar w:fldCharType="separate"/>
            </w:r>
            <w:r w:rsidR="004B4461">
              <w:rPr>
                <w:webHidden/>
              </w:rPr>
              <w:t>117</w:t>
            </w:r>
            <w:r w:rsidR="00DA54CB">
              <w:rPr>
                <w:webHidden/>
              </w:rPr>
              <w:fldChar w:fldCharType="end"/>
            </w:r>
          </w:hyperlink>
        </w:p>
        <w:p w14:paraId="33EEA974" w14:textId="73698A24" w:rsidR="00DA54CB" w:rsidRDefault="004B21EF">
          <w:pPr>
            <w:pStyle w:val="TOC3"/>
            <w:rPr>
              <w:rFonts w:asciiTheme="minorHAnsi" w:eastAsiaTheme="minorEastAsia" w:hAnsiTheme="minorHAnsi" w:cstheme="minorBidi"/>
            </w:rPr>
          </w:pPr>
          <w:hyperlink w:anchor="_Toc39588341" w:history="1">
            <w:r w:rsidR="00DA54CB" w:rsidRPr="006C77C5">
              <w:rPr>
                <w:rStyle w:val="Hyperlink"/>
              </w:rPr>
              <w:t>Risk of Bias Assessment for Health-related QoL studies</w:t>
            </w:r>
            <w:r w:rsidR="00DA54CB">
              <w:rPr>
                <w:webHidden/>
              </w:rPr>
              <w:tab/>
            </w:r>
            <w:r w:rsidR="00DA54CB">
              <w:rPr>
                <w:webHidden/>
              </w:rPr>
              <w:fldChar w:fldCharType="begin"/>
            </w:r>
            <w:r w:rsidR="00DA54CB">
              <w:rPr>
                <w:webHidden/>
              </w:rPr>
              <w:instrText xml:space="preserve"> PAGEREF _Toc39588341 \h </w:instrText>
            </w:r>
            <w:r w:rsidR="00DA54CB">
              <w:rPr>
                <w:webHidden/>
              </w:rPr>
            </w:r>
            <w:r w:rsidR="00DA54CB">
              <w:rPr>
                <w:webHidden/>
              </w:rPr>
              <w:fldChar w:fldCharType="separate"/>
            </w:r>
            <w:r w:rsidR="004B4461">
              <w:rPr>
                <w:webHidden/>
              </w:rPr>
              <w:t>117</w:t>
            </w:r>
            <w:r w:rsidR="00DA54CB">
              <w:rPr>
                <w:webHidden/>
              </w:rPr>
              <w:fldChar w:fldCharType="end"/>
            </w:r>
          </w:hyperlink>
        </w:p>
        <w:p w14:paraId="65E792E4" w14:textId="1049763D" w:rsidR="00DA54CB" w:rsidRDefault="004B21EF">
          <w:pPr>
            <w:pStyle w:val="TOC3"/>
            <w:rPr>
              <w:rFonts w:asciiTheme="minorHAnsi" w:eastAsiaTheme="minorEastAsia" w:hAnsiTheme="minorHAnsi" w:cstheme="minorBidi"/>
            </w:rPr>
          </w:pPr>
          <w:hyperlink w:anchor="_Toc39588342" w:history="1">
            <w:r w:rsidR="00DA54CB" w:rsidRPr="006C77C5">
              <w:rPr>
                <w:rStyle w:val="Hyperlink"/>
              </w:rPr>
              <w:t>Results of the systematic literature review</w:t>
            </w:r>
            <w:r w:rsidR="00DA54CB">
              <w:rPr>
                <w:webHidden/>
              </w:rPr>
              <w:tab/>
            </w:r>
            <w:r w:rsidR="00DA54CB">
              <w:rPr>
                <w:webHidden/>
              </w:rPr>
              <w:fldChar w:fldCharType="begin"/>
            </w:r>
            <w:r w:rsidR="00DA54CB">
              <w:rPr>
                <w:webHidden/>
              </w:rPr>
              <w:instrText xml:space="preserve"> PAGEREF _Toc39588342 \h </w:instrText>
            </w:r>
            <w:r w:rsidR="00DA54CB">
              <w:rPr>
                <w:webHidden/>
              </w:rPr>
            </w:r>
            <w:r w:rsidR="00DA54CB">
              <w:rPr>
                <w:webHidden/>
              </w:rPr>
              <w:fldChar w:fldCharType="separate"/>
            </w:r>
            <w:r w:rsidR="004B4461">
              <w:rPr>
                <w:webHidden/>
              </w:rPr>
              <w:t>117</w:t>
            </w:r>
            <w:r w:rsidR="00DA54CB">
              <w:rPr>
                <w:webHidden/>
              </w:rPr>
              <w:fldChar w:fldCharType="end"/>
            </w:r>
          </w:hyperlink>
        </w:p>
        <w:p w14:paraId="7FFB272A" w14:textId="4F504DD0" w:rsidR="00DA54CB" w:rsidRDefault="004B21EF">
          <w:pPr>
            <w:pStyle w:val="TOC1"/>
            <w:rPr>
              <w:rFonts w:asciiTheme="minorHAnsi" w:eastAsiaTheme="minorEastAsia" w:hAnsiTheme="minorHAnsi" w:cstheme="minorBidi"/>
              <w:b w:val="0"/>
            </w:rPr>
          </w:pPr>
          <w:hyperlink w:anchor="_Toc39588343" w:history="1">
            <w:r w:rsidR="00DA54CB" w:rsidRPr="006C77C5">
              <w:rPr>
                <w:rStyle w:val="Hyperlink"/>
              </w:rPr>
              <w:t>B8</w:t>
            </w:r>
            <w:r w:rsidR="00DA54CB">
              <w:rPr>
                <w:rFonts w:asciiTheme="minorHAnsi" w:eastAsiaTheme="minorEastAsia" w:hAnsiTheme="minorHAnsi" w:cstheme="minorBidi"/>
                <w:b w:val="0"/>
              </w:rPr>
              <w:tab/>
            </w:r>
            <w:r w:rsidR="00DA54CB" w:rsidRPr="006C77C5">
              <w:rPr>
                <w:rStyle w:val="Hyperlink"/>
              </w:rPr>
              <w:t>Interpretation of the clinical evidence</w:t>
            </w:r>
            <w:r w:rsidR="00DA54CB">
              <w:rPr>
                <w:webHidden/>
              </w:rPr>
              <w:tab/>
            </w:r>
            <w:r w:rsidR="00DA54CB">
              <w:rPr>
                <w:webHidden/>
              </w:rPr>
              <w:fldChar w:fldCharType="begin"/>
            </w:r>
            <w:r w:rsidR="00DA54CB">
              <w:rPr>
                <w:webHidden/>
              </w:rPr>
              <w:instrText xml:space="preserve"> PAGEREF _Toc39588343 \h </w:instrText>
            </w:r>
            <w:r w:rsidR="00DA54CB">
              <w:rPr>
                <w:webHidden/>
              </w:rPr>
            </w:r>
            <w:r w:rsidR="00DA54CB">
              <w:rPr>
                <w:webHidden/>
              </w:rPr>
              <w:fldChar w:fldCharType="separate"/>
            </w:r>
            <w:r w:rsidR="004B4461">
              <w:rPr>
                <w:webHidden/>
              </w:rPr>
              <w:t>121</w:t>
            </w:r>
            <w:r w:rsidR="00DA54CB">
              <w:rPr>
                <w:webHidden/>
              </w:rPr>
              <w:fldChar w:fldCharType="end"/>
            </w:r>
          </w:hyperlink>
        </w:p>
        <w:p w14:paraId="611A7D80" w14:textId="18CBF16F" w:rsidR="00DA54CB" w:rsidRDefault="004B21EF">
          <w:pPr>
            <w:pStyle w:val="TOC3"/>
            <w:rPr>
              <w:rFonts w:asciiTheme="minorHAnsi" w:eastAsiaTheme="minorEastAsia" w:hAnsiTheme="minorHAnsi" w:cstheme="minorBidi"/>
            </w:rPr>
          </w:pPr>
          <w:hyperlink w:anchor="_Toc39588344" w:history="1">
            <w:r w:rsidR="00DA54CB" w:rsidRPr="006C77C5">
              <w:rPr>
                <w:rStyle w:val="Hyperlink"/>
              </w:rPr>
              <w:t>Diagnosis and treatment of NMOSD with AQP4-Ab testing compared to no testing</w:t>
            </w:r>
            <w:r w:rsidR="00DA54CB">
              <w:rPr>
                <w:webHidden/>
              </w:rPr>
              <w:tab/>
            </w:r>
            <w:r w:rsidR="00DA54CB">
              <w:rPr>
                <w:webHidden/>
              </w:rPr>
              <w:fldChar w:fldCharType="begin"/>
            </w:r>
            <w:r w:rsidR="00DA54CB">
              <w:rPr>
                <w:webHidden/>
              </w:rPr>
              <w:instrText xml:space="preserve"> PAGEREF _Toc39588344 \h </w:instrText>
            </w:r>
            <w:r w:rsidR="00DA54CB">
              <w:rPr>
                <w:webHidden/>
              </w:rPr>
            </w:r>
            <w:r w:rsidR="00DA54CB">
              <w:rPr>
                <w:webHidden/>
              </w:rPr>
              <w:fldChar w:fldCharType="separate"/>
            </w:r>
            <w:r w:rsidR="004B4461">
              <w:rPr>
                <w:webHidden/>
              </w:rPr>
              <w:t>121</w:t>
            </w:r>
            <w:r w:rsidR="00DA54CB">
              <w:rPr>
                <w:webHidden/>
              </w:rPr>
              <w:fldChar w:fldCharType="end"/>
            </w:r>
          </w:hyperlink>
        </w:p>
        <w:p w14:paraId="504D9275" w14:textId="03848925" w:rsidR="00DA54CB" w:rsidRDefault="004B21EF">
          <w:pPr>
            <w:pStyle w:val="TOC3"/>
            <w:rPr>
              <w:rFonts w:asciiTheme="minorHAnsi" w:eastAsiaTheme="minorEastAsia" w:hAnsiTheme="minorHAnsi" w:cstheme="minorBidi"/>
            </w:rPr>
          </w:pPr>
          <w:hyperlink w:anchor="_Toc39588345" w:history="1">
            <w:r w:rsidR="00DA54CB" w:rsidRPr="006C77C5">
              <w:rPr>
                <w:rStyle w:val="Hyperlink"/>
              </w:rPr>
              <w:t>Diagnosis and treatment of NMSOD with MOG-testing compared to no testing</w:t>
            </w:r>
            <w:r w:rsidR="00DA54CB">
              <w:rPr>
                <w:webHidden/>
              </w:rPr>
              <w:tab/>
            </w:r>
            <w:r w:rsidR="00DA54CB">
              <w:rPr>
                <w:webHidden/>
              </w:rPr>
              <w:fldChar w:fldCharType="begin"/>
            </w:r>
            <w:r w:rsidR="00DA54CB">
              <w:rPr>
                <w:webHidden/>
              </w:rPr>
              <w:instrText xml:space="preserve"> PAGEREF _Toc39588345 \h </w:instrText>
            </w:r>
            <w:r w:rsidR="00DA54CB">
              <w:rPr>
                <w:webHidden/>
              </w:rPr>
            </w:r>
            <w:r w:rsidR="00DA54CB">
              <w:rPr>
                <w:webHidden/>
              </w:rPr>
              <w:fldChar w:fldCharType="separate"/>
            </w:r>
            <w:r w:rsidR="004B4461">
              <w:rPr>
                <w:webHidden/>
              </w:rPr>
              <w:t>122</w:t>
            </w:r>
            <w:r w:rsidR="00DA54CB">
              <w:rPr>
                <w:webHidden/>
              </w:rPr>
              <w:fldChar w:fldCharType="end"/>
            </w:r>
          </w:hyperlink>
        </w:p>
        <w:p w14:paraId="4AF86F1D" w14:textId="373B9BE7" w:rsidR="00DA54CB" w:rsidRDefault="004B21EF">
          <w:pPr>
            <w:pStyle w:val="TOC1"/>
            <w:rPr>
              <w:rFonts w:asciiTheme="minorHAnsi" w:eastAsiaTheme="minorEastAsia" w:hAnsiTheme="minorHAnsi" w:cstheme="minorBidi"/>
              <w:b w:val="0"/>
            </w:rPr>
          </w:pPr>
          <w:hyperlink w:anchor="_Toc39588346" w:history="1">
            <w:r w:rsidR="00DA54CB" w:rsidRPr="006C77C5">
              <w:rPr>
                <w:rStyle w:val="Hyperlink"/>
              </w:rPr>
              <w:t>Section C</w:t>
            </w:r>
            <w:r w:rsidR="00DA54CB">
              <w:rPr>
                <w:rFonts w:asciiTheme="minorHAnsi" w:eastAsiaTheme="minorEastAsia" w:hAnsiTheme="minorHAnsi" w:cstheme="minorBidi"/>
                <w:b w:val="0"/>
              </w:rPr>
              <w:tab/>
            </w:r>
            <w:r w:rsidR="00DA54CB" w:rsidRPr="006C77C5">
              <w:rPr>
                <w:rStyle w:val="Hyperlink"/>
              </w:rPr>
              <w:t>Translation Issues</w:t>
            </w:r>
            <w:r w:rsidR="00DA54CB">
              <w:rPr>
                <w:webHidden/>
              </w:rPr>
              <w:tab/>
            </w:r>
            <w:r w:rsidR="00DA54CB">
              <w:rPr>
                <w:webHidden/>
              </w:rPr>
              <w:fldChar w:fldCharType="begin"/>
            </w:r>
            <w:r w:rsidR="00DA54CB">
              <w:rPr>
                <w:webHidden/>
              </w:rPr>
              <w:instrText xml:space="preserve"> PAGEREF _Toc39588346 \h </w:instrText>
            </w:r>
            <w:r w:rsidR="00DA54CB">
              <w:rPr>
                <w:webHidden/>
              </w:rPr>
            </w:r>
            <w:r w:rsidR="00DA54CB">
              <w:rPr>
                <w:webHidden/>
              </w:rPr>
              <w:fldChar w:fldCharType="separate"/>
            </w:r>
            <w:r w:rsidR="004B4461">
              <w:rPr>
                <w:webHidden/>
              </w:rPr>
              <w:t>127</w:t>
            </w:r>
            <w:r w:rsidR="00DA54CB">
              <w:rPr>
                <w:webHidden/>
              </w:rPr>
              <w:fldChar w:fldCharType="end"/>
            </w:r>
          </w:hyperlink>
        </w:p>
        <w:p w14:paraId="37CB98DB" w14:textId="51CCFA7F" w:rsidR="00DA54CB" w:rsidRDefault="004B21EF">
          <w:pPr>
            <w:pStyle w:val="TOC2"/>
            <w:tabs>
              <w:tab w:val="left" w:pos="1418"/>
            </w:tabs>
            <w:rPr>
              <w:rFonts w:asciiTheme="minorHAnsi" w:eastAsiaTheme="minorEastAsia" w:hAnsiTheme="minorHAnsi" w:cstheme="minorBidi"/>
            </w:rPr>
          </w:pPr>
          <w:hyperlink w:anchor="_Toc39588347" w:history="1">
            <w:r w:rsidR="00DA54CB" w:rsidRPr="006C77C5">
              <w:rPr>
                <w:rStyle w:val="Hyperlink"/>
              </w:rPr>
              <w:t>C1</w:t>
            </w:r>
            <w:r w:rsidR="00DA54CB">
              <w:rPr>
                <w:rFonts w:asciiTheme="minorHAnsi" w:eastAsiaTheme="minorEastAsia" w:hAnsiTheme="minorHAnsi" w:cstheme="minorBidi"/>
              </w:rPr>
              <w:tab/>
            </w:r>
            <w:r w:rsidR="00DA54CB" w:rsidRPr="006C77C5">
              <w:rPr>
                <w:rStyle w:val="Hyperlink"/>
              </w:rPr>
              <w:t>Overview</w:t>
            </w:r>
            <w:r w:rsidR="00DA54CB">
              <w:rPr>
                <w:webHidden/>
              </w:rPr>
              <w:tab/>
            </w:r>
            <w:r w:rsidR="00DA54CB">
              <w:rPr>
                <w:webHidden/>
              </w:rPr>
              <w:fldChar w:fldCharType="begin"/>
            </w:r>
            <w:r w:rsidR="00DA54CB">
              <w:rPr>
                <w:webHidden/>
              </w:rPr>
              <w:instrText xml:space="preserve"> PAGEREF _Toc39588347 \h </w:instrText>
            </w:r>
            <w:r w:rsidR="00DA54CB">
              <w:rPr>
                <w:webHidden/>
              </w:rPr>
            </w:r>
            <w:r w:rsidR="00DA54CB">
              <w:rPr>
                <w:webHidden/>
              </w:rPr>
              <w:fldChar w:fldCharType="separate"/>
            </w:r>
            <w:r w:rsidR="004B4461">
              <w:rPr>
                <w:webHidden/>
              </w:rPr>
              <w:t>127</w:t>
            </w:r>
            <w:r w:rsidR="00DA54CB">
              <w:rPr>
                <w:webHidden/>
              </w:rPr>
              <w:fldChar w:fldCharType="end"/>
            </w:r>
          </w:hyperlink>
        </w:p>
        <w:p w14:paraId="18B3E3ED" w14:textId="1AD063AF" w:rsidR="00DA54CB" w:rsidRDefault="004B21EF">
          <w:pPr>
            <w:pStyle w:val="TOC2"/>
            <w:tabs>
              <w:tab w:val="left" w:pos="1418"/>
            </w:tabs>
            <w:rPr>
              <w:rFonts w:asciiTheme="minorHAnsi" w:eastAsiaTheme="minorEastAsia" w:hAnsiTheme="minorHAnsi" w:cstheme="minorBidi"/>
            </w:rPr>
          </w:pPr>
          <w:hyperlink w:anchor="_Toc39588348" w:history="1">
            <w:r w:rsidR="00DA54CB" w:rsidRPr="006C77C5">
              <w:rPr>
                <w:rStyle w:val="Hyperlink"/>
              </w:rPr>
              <w:t>C2</w:t>
            </w:r>
            <w:r w:rsidR="00DA54CB">
              <w:rPr>
                <w:rFonts w:asciiTheme="minorHAnsi" w:eastAsiaTheme="minorEastAsia" w:hAnsiTheme="minorHAnsi" w:cstheme="minorBidi"/>
              </w:rPr>
              <w:tab/>
            </w:r>
            <w:r w:rsidR="00DA54CB" w:rsidRPr="006C77C5">
              <w:rPr>
                <w:rStyle w:val="Hyperlink"/>
              </w:rPr>
              <w:t>Applicability translation issues</w:t>
            </w:r>
            <w:r w:rsidR="00DA54CB">
              <w:rPr>
                <w:webHidden/>
              </w:rPr>
              <w:tab/>
            </w:r>
            <w:r w:rsidR="00DA54CB">
              <w:rPr>
                <w:webHidden/>
              </w:rPr>
              <w:fldChar w:fldCharType="begin"/>
            </w:r>
            <w:r w:rsidR="00DA54CB">
              <w:rPr>
                <w:webHidden/>
              </w:rPr>
              <w:instrText xml:space="preserve"> PAGEREF _Toc39588348 \h </w:instrText>
            </w:r>
            <w:r w:rsidR="00DA54CB">
              <w:rPr>
                <w:webHidden/>
              </w:rPr>
            </w:r>
            <w:r w:rsidR="00DA54CB">
              <w:rPr>
                <w:webHidden/>
              </w:rPr>
              <w:fldChar w:fldCharType="separate"/>
            </w:r>
            <w:r w:rsidR="004B4461">
              <w:rPr>
                <w:webHidden/>
              </w:rPr>
              <w:t>127</w:t>
            </w:r>
            <w:r w:rsidR="00DA54CB">
              <w:rPr>
                <w:webHidden/>
              </w:rPr>
              <w:fldChar w:fldCharType="end"/>
            </w:r>
          </w:hyperlink>
        </w:p>
        <w:p w14:paraId="483BB0D2" w14:textId="7844E29C" w:rsidR="00DA54CB" w:rsidRDefault="004B21EF">
          <w:pPr>
            <w:pStyle w:val="TOC3"/>
            <w:tabs>
              <w:tab w:val="left" w:pos="2034"/>
            </w:tabs>
            <w:rPr>
              <w:rFonts w:asciiTheme="minorHAnsi" w:eastAsiaTheme="minorEastAsia" w:hAnsiTheme="minorHAnsi" w:cstheme="minorBidi"/>
            </w:rPr>
          </w:pPr>
          <w:hyperlink w:anchor="_Toc39588349" w:history="1">
            <w:r w:rsidR="00DA54CB" w:rsidRPr="006C77C5">
              <w:rPr>
                <w:rStyle w:val="Hyperlink"/>
              </w:rPr>
              <w:t>C2.1</w:t>
            </w:r>
            <w:r w:rsidR="00DA54CB">
              <w:rPr>
                <w:rFonts w:asciiTheme="minorHAnsi" w:eastAsiaTheme="minorEastAsia" w:hAnsiTheme="minorHAnsi" w:cstheme="minorBidi"/>
              </w:rPr>
              <w:tab/>
            </w:r>
            <w:r w:rsidR="00DA54CB" w:rsidRPr="006C77C5">
              <w:rPr>
                <w:rStyle w:val="Hyperlink"/>
              </w:rPr>
              <w:t>Diagnostic yield in the target population</w:t>
            </w:r>
            <w:r w:rsidR="00DA54CB">
              <w:rPr>
                <w:webHidden/>
              </w:rPr>
              <w:tab/>
            </w:r>
            <w:r w:rsidR="00DA54CB">
              <w:rPr>
                <w:webHidden/>
              </w:rPr>
              <w:fldChar w:fldCharType="begin"/>
            </w:r>
            <w:r w:rsidR="00DA54CB">
              <w:rPr>
                <w:webHidden/>
              </w:rPr>
              <w:instrText xml:space="preserve"> PAGEREF _Toc39588349 \h </w:instrText>
            </w:r>
            <w:r w:rsidR="00DA54CB">
              <w:rPr>
                <w:webHidden/>
              </w:rPr>
            </w:r>
            <w:r w:rsidR="00DA54CB">
              <w:rPr>
                <w:webHidden/>
              </w:rPr>
              <w:fldChar w:fldCharType="separate"/>
            </w:r>
            <w:r w:rsidR="004B4461">
              <w:rPr>
                <w:webHidden/>
              </w:rPr>
              <w:t>127</w:t>
            </w:r>
            <w:r w:rsidR="00DA54CB">
              <w:rPr>
                <w:webHidden/>
              </w:rPr>
              <w:fldChar w:fldCharType="end"/>
            </w:r>
          </w:hyperlink>
        </w:p>
        <w:p w14:paraId="34FB4B32" w14:textId="0419721B" w:rsidR="00DA54CB" w:rsidRDefault="004B21EF">
          <w:pPr>
            <w:pStyle w:val="TOC3"/>
            <w:tabs>
              <w:tab w:val="left" w:pos="2034"/>
            </w:tabs>
            <w:rPr>
              <w:rFonts w:asciiTheme="minorHAnsi" w:eastAsiaTheme="minorEastAsia" w:hAnsiTheme="minorHAnsi" w:cstheme="minorBidi"/>
            </w:rPr>
          </w:pPr>
          <w:hyperlink w:anchor="_Toc39588350" w:history="1">
            <w:r w:rsidR="00DA54CB" w:rsidRPr="006C77C5">
              <w:rPr>
                <w:rStyle w:val="Hyperlink"/>
              </w:rPr>
              <w:t>C2.2</w:t>
            </w:r>
            <w:r w:rsidR="00DA54CB">
              <w:rPr>
                <w:rFonts w:asciiTheme="minorHAnsi" w:eastAsiaTheme="minorEastAsia" w:hAnsiTheme="minorHAnsi" w:cstheme="minorBidi"/>
              </w:rPr>
              <w:tab/>
            </w:r>
            <w:r w:rsidR="00DA54CB" w:rsidRPr="006C77C5">
              <w:rPr>
                <w:rStyle w:val="Hyperlink"/>
              </w:rPr>
              <w:t>Treatment patterns</w:t>
            </w:r>
            <w:r w:rsidR="00DA54CB">
              <w:rPr>
                <w:webHidden/>
              </w:rPr>
              <w:tab/>
            </w:r>
            <w:r w:rsidR="00DA54CB">
              <w:rPr>
                <w:webHidden/>
              </w:rPr>
              <w:fldChar w:fldCharType="begin"/>
            </w:r>
            <w:r w:rsidR="00DA54CB">
              <w:rPr>
                <w:webHidden/>
              </w:rPr>
              <w:instrText xml:space="preserve"> PAGEREF _Toc39588350 \h </w:instrText>
            </w:r>
            <w:r w:rsidR="00DA54CB">
              <w:rPr>
                <w:webHidden/>
              </w:rPr>
            </w:r>
            <w:r w:rsidR="00DA54CB">
              <w:rPr>
                <w:webHidden/>
              </w:rPr>
              <w:fldChar w:fldCharType="separate"/>
            </w:r>
            <w:r w:rsidR="004B4461">
              <w:rPr>
                <w:webHidden/>
              </w:rPr>
              <w:t>129</w:t>
            </w:r>
            <w:r w:rsidR="00DA54CB">
              <w:rPr>
                <w:webHidden/>
              </w:rPr>
              <w:fldChar w:fldCharType="end"/>
            </w:r>
          </w:hyperlink>
        </w:p>
        <w:p w14:paraId="27808E03" w14:textId="78FCB93A" w:rsidR="00DA54CB" w:rsidRDefault="004B21EF">
          <w:pPr>
            <w:pStyle w:val="TOC2"/>
            <w:tabs>
              <w:tab w:val="left" w:pos="1418"/>
            </w:tabs>
            <w:rPr>
              <w:rFonts w:asciiTheme="minorHAnsi" w:eastAsiaTheme="minorEastAsia" w:hAnsiTheme="minorHAnsi" w:cstheme="minorBidi"/>
            </w:rPr>
          </w:pPr>
          <w:hyperlink w:anchor="_Toc39588351" w:history="1">
            <w:r w:rsidR="00DA54CB" w:rsidRPr="006C77C5">
              <w:rPr>
                <w:rStyle w:val="Hyperlink"/>
              </w:rPr>
              <w:t>C3</w:t>
            </w:r>
            <w:r w:rsidR="00DA54CB">
              <w:rPr>
                <w:rFonts w:asciiTheme="minorHAnsi" w:eastAsiaTheme="minorEastAsia" w:hAnsiTheme="minorHAnsi" w:cstheme="minorBidi"/>
              </w:rPr>
              <w:tab/>
            </w:r>
            <w:r w:rsidR="00DA54CB" w:rsidRPr="006C77C5">
              <w:rPr>
                <w:rStyle w:val="Hyperlink"/>
              </w:rPr>
              <w:t>Extrapolation translation issues</w:t>
            </w:r>
            <w:r w:rsidR="00DA54CB">
              <w:rPr>
                <w:webHidden/>
              </w:rPr>
              <w:tab/>
            </w:r>
            <w:r w:rsidR="00DA54CB">
              <w:rPr>
                <w:webHidden/>
              </w:rPr>
              <w:fldChar w:fldCharType="begin"/>
            </w:r>
            <w:r w:rsidR="00DA54CB">
              <w:rPr>
                <w:webHidden/>
              </w:rPr>
              <w:instrText xml:space="preserve"> PAGEREF _Toc39588351 \h </w:instrText>
            </w:r>
            <w:r w:rsidR="00DA54CB">
              <w:rPr>
                <w:webHidden/>
              </w:rPr>
            </w:r>
            <w:r w:rsidR="00DA54CB">
              <w:rPr>
                <w:webHidden/>
              </w:rPr>
              <w:fldChar w:fldCharType="separate"/>
            </w:r>
            <w:r w:rsidR="004B4461">
              <w:rPr>
                <w:webHidden/>
              </w:rPr>
              <w:t>130</w:t>
            </w:r>
            <w:r w:rsidR="00DA54CB">
              <w:rPr>
                <w:webHidden/>
              </w:rPr>
              <w:fldChar w:fldCharType="end"/>
            </w:r>
          </w:hyperlink>
        </w:p>
        <w:p w14:paraId="09D4E28F" w14:textId="643CF5B3" w:rsidR="00DA54CB" w:rsidRDefault="004B21EF">
          <w:pPr>
            <w:pStyle w:val="TOC3"/>
            <w:tabs>
              <w:tab w:val="left" w:pos="2034"/>
            </w:tabs>
            <w:rPr>
              <w:rFonts w:asciiTheme="minorHAnsi" w:eastAsiaTheme="minorEastAsia" w:hAnsiTheme="minorHAnsi" w:cstheme="minorBidi"/>
            </w:rPr>
          </w:pPr>
          <w:hyperlink w:anchor="_Toc39588352" w:history="1">
            <w:r w:rsidR="00DA54CB" w:rsidRPr="006C77C5">
              <w:rPr>
                <w:rStyle w:val="Hyperlink"/>
              </w:rPr>
              <w:t>C3.1</w:t>
            </w:r>
            <w:r w:rsidR="00DA54CB">
              <w:rPr>
                <w:rFonts w:asciiTheme="minorHAnsi" w:eastAsiaTheme="minorEastAsia" w:hAnsiTheme="minorHAnsi" w:cstheme="minorBidi"/>
              </w:rPr>
              <w:tab/>
            </w:r>
            <w:r w:rsidR="00DA54CB" w:rsidRPr="006C77C5">
              <w:rPr>
                <w:rStyle w:val="Hyperlink"/>
              </w:rPr>
              <w:t>Recurring health resource use</w:t>
            </w:r>
            <w:r w:rsidR="00DA54CB">
              <w:rPr>
                <w:webHidden/>
              </w:rPr>
              <w:tab/>
            </w:r>
            <w:r w:rsidR="00DA54CB">
              <w:rPr>
                <w:webHidden/>
              </w:rPr>
              <w:fldChar w:fldCharType="begin"/>
            </w:r>
            <w:r w:rsidR="00DA54CB">
              <w:rPr>
                <w:webHidden/>
              </w:rPr>
              <w:instrText xml:space="preserve"> PAGEREF _Toc39588352 \h </w:instrText>
            </w:r>
            <w:r w:rsidR="00DA54CB">
              <w:rPr>
                <w:webHidden/>
              </w:rPr>
            </w:r>
            <w:r w:rsidR="00DA54CB">
              <w:rPr>
                <w:webHidden/>
              </w:rPr>
              <w:fldChar w:fldCharType="separate"/>
            </w:r>
            <w:r w:rsidR="004B4461">
              <w:rPr>
                <w:webHidden/>
              </w:rPr>
              <w:t>130</w:t>
            </w:r>
            <w:r w:rsidR="00DA54CB">
              <w:rPr>
                <w:webHidden/>
              </w:rPr>
              <w:fldChar w:fldCharType="end"/>
            </w:r>
          </w:hyperlink>
        </w:p>
        <w:p w14:paraId="470436C8" w14:textId="39B1EF28" w:rsidR="00DA54CB" w:rsidRDefault="004B21EF">
          <w:pPr>
            <w:pStyle w:val="TOC2"/>
            <w:tabs>
              <w:tab w:val="left" w:pos="1418"/>
            </w:tabs>
            <w:rPr>
              <w:rFonts w:asciiTheme="minorHAnsi" w:eastAsiaTheme="minorEastAsia" w:hAnsiTheme="minorHAnsi" w:cstheme="minorBidi"/>
            </w:rPr>
          </w:pPr>
          <w:hyperlink w:anchor="_Toc39588353" w:history="1">
            <w:r w:rsidR="00DA54CB" w:rsidRPr="006C77C5">
              <w:rPr>
                <w:rStyle w:val="Hyperlink"/>
              </w:rPr>
              <w:t>C4</w:t>
            </w:r>
            <w:r w:rsidR="00DA54CB">
              <w:rPr>
                <w:rFonts w:asciiTheme="minorHAnsi" w:eastAsiaTheme="minorEastAsia" w:hAnsiTheme="minorHAnsi" w:cstheme="minorBidi"/>
              </w:rPr>
              <w:tab/>
            </w:r>
            <w:r w:rsidR="00DA54CB" w:rsidRPr="006C77C5">
              <w:rPr>
                <w:rStyle w:val="Hyperlink"/>
              </w:rPr>
              <w:t>Transformation issues</w:t>
            </w:r>
            <w:r w:rsidR="00DA54CB">
              <w:rPr>
                <w:webHidden/>
              </w:rPr>
              <w:tab/>
            </w:r>
            <w:r w:rsidR="00DA54CB">
              <w:rPr>
                <w:webHidden/>
              </w:rPr>
              <w:fldChar w:fldCharType="begin"/>
            </w:r>
            <w:r w:rsidR="00DA54CB">
              <w:rPr>
                <w:webHidden/>
              </w:rPr>
              <w:instrText xml:space="preserve"> PAGEREF _Toc39588353 \h </w:instrText>
            </w:r>
            <w:r w:rsidR="00DA54CB">
              <w:rPr>
                <w:webHidden/>
              </w:rPr>
            </w:r>
            <w:r w:rsidR="00DA54CB">
              <w:rPr>
                <w:webHidden/>
              </w:rPr>
              <w:fldChar w:fldCharType="separate"/>
            </w:r>
            <w:r w:rsidR="004B4461">
              <w:rPr>
                <w:webHidden/>
              </w:rPr>
              <w:t>132</w:t>
            </w:r>
            <w:r w:rsidR="00DA54CB">
              <w:rPr>
                <w:webHidden/>
              </w:rPr>
              <w:fldChar w:fldCharType="end"/>
            </w:r>
          </w:hyperlink>
        </w:p>
        <w:p w14:paraId="07B65E4B" w14:textId="50736D53" w:rsidR="00DA54CB" w:rsidRDefault="004B21EF">
          <w:pPr>
            <w:pStyle w:val="TOC3"/>
            <w:tabs>
              <w:tab w:val="left" w:pos="2034"/>
            </w:tabs>
            <w:rPr>
              <w:rFonts w:asciiTheme="minorHAnsi" w:eastAsiaTheme="minorEastAsia" w:hAnsiTheme="minorHAnsi" w:cstheme="minorBidi"/>
            </w:rPr>
          </w:pPr>
          <w:hyperlink w:anchor="_Toc39588354" w:history="1">
            <w:r w:rsidR="00DA54CB" w:rsidRPr="006C77C5">
              <w:rPr>
                <w:rStyle w:val="Hyperlink"/>
              </w:rPr>
              <w:t>C4.1</w:t>
            </w:r>
            <w:r w:rsidR="00DA54CB">
              <w:rPr>
                <w:rFonts w:asciiTheme="minorHAnsi" w:eastAsiaTheme="minorEastAsia" w:hAnsiTheme="minorHAnsi" w:cstheme="minorBidi"/>
              </w:rPr>
              <w:tab/>
            </w:r>
            <w:r w:rsidR="00DA54CB" w:rsidRPr="006C77C5">
              <w:rPr>
                <w:rStyle w:val="Hyperlink"/>
              </w:rPr>
              <w:t>Health state utility values</w:t>
            </w:r>
            <w:r w:rsidR="00DA54CB">
              <w:rPr>
                <w:webHidden/>
              </w:rPr>
              <w:tab/>
            </w:r>
            <w:r w:rsidR="00DA54CB">
              <w:rPr>
                <w:webHidden/>
              </w:rPr>
              <w:fldChar w:fldCharType="begin"/>
            </w:r>
            <w:r w:rsidR="00DA54CB">
              <w:rPr>
                <w:webHidden/>
              </w:rPr>
              <w:instrText xml:space="preserve"> PAGEREF _Toc39588354 \h </w:instrText>
            </w:r>
            <w:r w:rsidR="00DA54CB">
              <w:rPr>
                <w:webHidden/>
              </w:rPr>
            </w:r>
            <w:r w:rsidR="00DA54CB">
              <w:rPr>
                <w:webHidden/>
              </w:rPr>
              <w:fldChar w:fldCharType="separate"/>
            </w:r>
            <w:r w:rsidR="004B4461">
              <w:rPr>
                <w:webHidden/>
              </w:rPr>
              <w:t>132</w:t>
            </w:r>
            <w:r w:rsidR="00DA54CB">
              <w:rPr>
                <w:webHidden/>
              </w:rPr>
              <w:fldChar w:fldCharType="end"/>
            </w:r>
          </w:hyperlink>
        </w:p>
        <w:p w14:paraId="7A4C093B" w14:textId="73B3EE23" w:rsidR="00DA54CB" w:rsidRDefault="004B21EF">
          <w:pPr>
            <w:pStyle w:val="TOC2"/>
            <w:tabs>
              <w:tab w:val="left" w:pos="1418"/>
            </w:tabs>
            <w:rPr>
              <w:rFonts w:asciiTheme="minorHAnsi" w:eastAsiaTheme="minorEastAsia" w:hAnsiTheme="minorHAnsi" w:cstheme="minorBidi"/>
            </w:rPr>
          </w:pPr>
          <w:hyperlink w:anchor="_Toc39588355" w:history="1">
            <w:r w:rsidR="00DA54CB" w:rsidRPr="006C77C5">
              <w:rPr>
                <w:rStyle w:val="Hyperlink"/>
              </w:rPr>
              <w:t>C5</w:t>
            </w:r>
            <w:r w:rsidR="00DA54CB">
              <w:rPr>
                <w:rFonts w:asciiTheme="minorHAnsi" w:eastAsiaTheme="minorEastAsia" w:hAnsiTheme="minorHAnsi" w:cstheme="minorBidi"/>
              </w:rPr>
              <w:tab/>
            </w:r>
            <w:r w:rsidR="00DA54CB" w:rsidRPr="006C77C5">
              <w:rPr>
                <w:rStyle w:val="Hyperlink"/>
              </w:rPr>
              <w:t>Relationship of each Pre-Modelling Study to the Economic Evaluation</w:t>
            </w:r>
            <w:r w:rsidR="00DA54CB">
              <w:rPr>
                <w:webHidden/>
              </w:rPr>
              <w:tab/>
            </w:r>
            <w:r w:rsidR="00DA54CB">
              <w:rPr>
                <w:webHidden/>
              </w:rPr>
              <w:fldChar w:fldCharType="begin"/>
            </w:r>
            <w:r w:rsidR="00DA54CB">
              <w:rPr>
                <w:webHidden/>
              </w:rPr>
              <w:instrText xml:space="preserve"> PAGEREF _Toc39588355 \h </w:instrText>
            </w:r>
            <w:r w:rsidR="00DA54CB">
              <w:rPr>
                <w:webHidden/>
              </w:rPr>
            </w:r>
            <w:r w:rsidR="00DA54CB">
              <w:rPr>
                <w:webHidden/>
              </w:rPr>
              <w:fldChar w:fldCharType="separate"/>
            </w:r>
            <w:r w:rsidR="004B4461">
              <w:rPr>
                <w:webHidden/>
              </w:rPr>
              <w:t>134</w:t>
            </w:r>
            <w:r w:rsidR="00DA54CB">
              <w:rPr>
                <w:webHidden/>
              </w:rPr>
              <w:fldChar w:fldCharType="end"/>
            </w:r>
          </w:hyperlink>
        </w:p>
        <w:p w14:paraId="520B2028" w14:textId="028B23BE" w:rsidR="00DA54CB" w:rsidRDefault="004B21EF">
          <w:pPr>
            <w:pStyle w:val="TOC1"/>
            <w:rPr>
              <w:rFonts w:asciiTheme="minorHAnsi" w:eastAsiaTheme="minorEastAsia" w:hAnsiTheme="minorHAnsi" w:cstheme="minorBidi"/>
              <w:b w:val="0"/>
            </w:rPr>
          </w:pPr>
          <w:hyperlink w:anchor="_Toc39588356" w:history="1">
            <w:r w:rsidR="00DA54CB" w:rsidRPr="006C77C5">
              <w:rPr>
                <w:rStyle w:val="Hyperlink"/>
              </w:rPr>
              <w:t>Section D</w:t>
            </w:r>
            <w:r w:rsidR="00DA54CB">
              <w:rPr>
                <w:rFonts w:asciiTheme="minorHAnsi" w:eastAsiaTheme="minorEastAsia" w:hAnsiTheme="minorHAnsi" w:cstheme="minorBidi"/>
                <w:b w:val="0"/>
              </w:rPr>
              <w:tab/>
            </w:r>
            <w:r w:rsidR="00DA54CB" w:rsidRPr="006C77C5">
              <w:rPr>
                <w:rStyle w:val="Hyperlink"/>
              </w:rPr>
              <w:t>Economic Evaluation</w:t>
            </w:r>
            <w:r w:rsidR="00DA54CB">
              <w:rPr>
                <w:webHidden/>
              </w:rPr>
              <w:tab/>
            </w:r>
            <w:r w:rsidR="00DA54CB">
              <w:rPr>
                <w:webHidden/>
              </w:rPr>
              <w:fldChar w:fldCharType="begin"/>
            </w:r>
            <w:r w:rsidR="00DA54CB">
              <w:rPr>
                <w:webHidden/>
              </w:rPr>
              <w:instrText xml:space="preserve"> PAGEREF _Toc39588356 \h </w:instrText>
            </w:r>
            <w:r w:rsidR="00DA54CB">
              <w:rPr>
                <w:webHidden/>
              </w:rPr>
            </w:r>
            <w:r w:rsidR="00DA54CB">
              <w:rPr>
                <w:webHidden/>
              </w:rPr>
              <w:fldChar w:fldCharType="separate"/>
            </w:r>
            <w:r w:rsidR="004B4461">
              <w:rPr>
                <w:webHidden/>
              </w:rPr>
              <w:t>135</w:t>
            </w:r>
            <w:r w:rsidR="00DA54CB">
              <w:rPr>
                <w:webHidden/>
              </w:rPr>
              <w:fldChar w:fldCharType="end"/>
            </w:r>
          </w:hyperlink>
        </w:p>
        <w:p w14:paraId="0FDD84F6" w14:textId="5155A06A" w:rsidR="00DA54CB" w:rsidRDefault="004B21EF">
          <w:pPr>
            <w:pStyle w:val="TOC2"/>
            <w:tabs>
              <w:tab w:val="left" w:pos="1418"/>
            </w:tabs>
            <w:rPr>
              <w:rFonts w:asciiTheme="minorHAnsi" w:eastAsiaTheme="minorEastAsia" w:hAnsiTheme="minorHAnsi" w:cstheme="minorBidi"/>
            </w:rPr>
          </w:pPr>
          <w:hyperlink w:anchor="_Toc39588357" w:history="1">
            <w:r w:rsidR="00DA54CB" w:rsidRPr="006C77C5">
              <w:rPr>
                <w:rStyle w:val="Hyperlink"/>
              </w:rPr>
              <w:t>D1</w:t>
            </w:r>
            <w:r w:rsidR="00DA54CB">
              <w:rPr>
                <w:rFonts w:asciiTheme="minorHAnsi" w:eastAsiaTheme="minorEastAsia" w:hAnsiTheme="minorHAnsi" w:cstheme="minorBidi"/>
              </w:rPr>
              <w:tab/>
            </w:r>
            <w:r w:rsidR="00DA54CB" w:rsidRPr="006C77C5">
              <w:rPr>
                <w:rStyle w:val="Hyperlink"/>
              </w:rPr>
              <w:t>Overview</w:t>
            </w:r>
            <w:r w:rsidR="00DA54CB">
              <w:rPr>
                <w:webHidden/>
              </w:rPr>
              <w:tab/>
            </w:r>
            <w:r w:rsidR="00DA54CB">
              <w:rPr>
                <w:webHidden/>
              </w:rPr>
              <w:fldChar w:fldCharType="begin"/>
            </w:r>
            <w:r w:rsidR="00DA54CB">
              <w:rPr>
                <w:webHidden/>
              </w:rPr>
              <w:instrText xml:space="preserve"> PAGEREF _Toc39588357 \h </w:instrText>
            </w:r>
            <w:r w:rsidR="00DA54CB">
              <w:rPr>
                <w:webHidden/>
              </w:rPr>
            </w:r>
            <w:r w:rsidR="00DA54CB">
              <w:rPr>
                <w:webHidden/>
              </w:rPr>
              <w:fldChar w:fldCharType="separate"/>
            </w:r>
            <w:r w:rsidR="004B4461">
              <w:rPr>
                <w:webHidden/>
              </w:rPr>
              <w:t>135</w:t>
            </w:r>
            <w:r w:rsidR="00DA54CB">
              <w:rPr>
                <w:webHidden/>
              </w:rPr>
              <w:fldChar w:fldCharType="end"/>
            </w:r>
          </w:hyperlink>
        </w:p>
        <w:p w14:paraId="40429075" w14:textId="2E2276E4" w:rsidR="00DA54CB" w:rsidRDefault="004B21EF">
          <w:pPr>
            <w:pStyle w:val="TOC2"/>
            <w:tabs>
              <w:tab w:val="left" w:pos="1418"/>
            </w:tabs>
            <w:rPr>
              <w:rFonts w:asciiTheme="minorHAnsi" w:eastAsiaTheme="minorEastAsia" w:hAnsiTheme="minorHAnsi" w:cstheme="minorBidi"/>
            </w:rPr>
          </w:pPr>
          <w:hyperlink w:anchor="_Toc39588358" w:history="1">
            <w:r w:rsidR="00DA54CB" w:rsidRPr="006C77C5">
              <w:rPr>
                <w:rStyle w:val="Hyperlink"/>
              </w:rPr>
              <w:t>D2</w:t>
            </w:r>
            <w:r w:rsidR="00DA54CB">
              <w:rPr>
                <w:rFonts w:asciiTheme="minorHAnsi" w:eastAsiaTheme="minorEastAsia" w:hAnsiTheme="minorHAnsi" w:cstheme="minorBidi"/>
              </w:rPr>
              <w:tab/>
            </w:r>
            <w:r w:rsidR="00DA54CB" w:rsidRPr="006C77C5">
              <w:rPr>
                <w:rStyle w:val="Hyperlink"/>
              </w:rPr>
              <w:t>Populations and settings</w:t>
            </w:r>
            <w:r w:rsidR="00DA54CB">
              <w:rPr>
                <w:webHidden/>
              </w:rPr>
              <w:tab/>
            </w:r>
            <w:r w:rsidR="00DA54CB">
              <w:rPr>
                <w:webHidden/>
              </w:rPr>
              <w:fldChar w:fldCharType="begin"/>
            </w:r>
            <w:r w:rsidR="00DA54CB">
              <w:rPr>
                <w:webHidden/>
              </w:rPr>
              <w:instrText xml:space="preserve"> PAGEREF _Toc39588358 \h </w:instrText>
            </w:r>
            <w:r w:rsidR="00DA54CB">
              <w:rPr>
                <w:webHidden/>
              </w:rPr>
            </w:r>
            <w:r w:rsidR="00DA54CB">
              <w:rPr>
                <w:webHidden/>
              </w:rPr>
              <w:fldChar w:fldCharType="separate"/>
            </w:r>
            <w:r w:rsidR="004B4461">
              <w:rPr>
                <w:webHidden/>
              </w:rPr>
              <w:t>135</w:t>
            </w:r>
            <w:r w:rsidR="00DA54CB">
              <w:rPr>
                <w:webHidden/>
              </w:rPr>
              <w:fldChar w:fldCharType="end"/>
            </w:r>
          </w:hyperlink>
        </w:p>
        <w:p w14:paraId="54ACB018" w14:textId="7B974EC5" w:rsidR="00DA54CB" w:rsidRDefault="004B21EF">
          <w:pPr>
            <w:pStyle w:val="TOC2"/>
            <w:tabs>
              <w:tab w:val="left" w:pos="1418"/>
            </w:tabs>
            <w:rPr>
              <w:rFonts w:asciiTheme="minorHAnsi" w:eastAsiaTheme="minorEastAsia" w:hAnsiTheme="minorHAnsi" w:cstheme="minorBidi"/>
            </w:rPr>
          </w:pPr>
          <w:hyperlink w:anchor="_Toc39588359" w:history="1">
            <w:r w:rsidR="00DA54CB" w:rsidRPr="006C77C5">
              <w:rPr>
                <w:rStyle w:val="Hyperlink"/>
              </w:rPr>
              <w:t>D3</w:t>
            </w:r>
            <w:r w:rsidR="00DA54CB">
              <w:rPr>
                <w:rFonts w:asciiTheme="minorHAnsi" w:eastAsiaTheme="minorEastAsia" w:hAnsiTheme="minorHAnsi" w:cstheme="minorBidi"/>
              </w:rPr>
              <w:tab/>
            </w:r>
            <w:r w:rsidR="00DA54CB" w:rsidRPr="006C77C5">
              <w:rPr>
                <w:rStyle w:val="Hyperlink"/>
              </w:rPr>
              <w:t>Structure and rationale of the economic evaluation</w:t>
            </w:r>
            <w:r w:rsidR="00DA54CB">
              <w:rPr>
                <w:webHidden/>
              </w:rPr>
              <w:tab/>
            </w:r>
            <w:r w:rsidR="00DA54CB">
              <w:rPr>
                <w:webHidden/>
              </w:rPr>
              <w:fldChar w:fldCharType="begin"/>
            </w:r>
            <w:r w:rsidR="00DA54CB">
              <w:rPr>
                <w:webHidden/>
              </w:rPr>
              <w:instrText xml:space="preserve"> PAGEREF _Toc39588359 \h </w:instrText>
            </w:r>
            <w:r w:rsidR="00DA54CB">
              <w:rPr>
                <w:webHidden/>
              </w:rPr>
            </w:r>
            <w:r w:rsidR="00DA54CB">
              <w:rPr>
                <w:webHidden/>
              </w:rPr>
              <w:fldChar w:fldCharType="separate"/>
            </w:r>
            <w:r w:rsidR="004B4461">
              <w:rPr>
                <w:webHidden/>
              </w:rPr>
              <w:t>136</w:t>
            </w:r>
            <w:r w:rsidR="00DA54CB">
              <w:rPr>
                <w:webHidden/>
              </w:rPr>
              <w:fldChar w:fldCharType="end"/>
            </w:r>
          </w:hyperlink>
        </w:p>
        <w:p w14:paraId="7FEC6F84" w14:textId="0CE77B0C" w:rsidR="00DA54CB" w:rsidRDefault="004B21EF">
          <w:pPr>
            <w:pStyle w:val="TOC3"/>
            <w:tabs>
              <w:tab w:val="left" w:pos="2052"/>
            </w:tabs>
            <w:rPr>
              <w:rFonts w:asciiTheme="minorHAnsi" w:eastAsiaTheme="minorEastAsia" w:hAnsiTheme="minorHAnsi" w:cstheme="minorBidi"/>
            </w:rPr>
          </w:pPr>
          <w:hyperlink w:anchor="_Toc39588360" w:history="1">
            <w:r w:rsidR="00DA54CB" w:rsidRPr="006C77C5">
              <w:rPr>
                <w:rStyle w:val="Hyperlink"/>
              </w:rPr>
              <w:t>D3.1</w:t>
            </w:r>
            <w:r w:rsidR="00DA54CB">
              <w:rPr>
                <w:rFonts w:asciiTheme="minorHAnsi" w:eastAsiaTheme="minorEastAsia" w:hAnsiTheme="minorHAnsi" w:cstheme="minorBidi"/>
              </w:rPr>
              <w:tab/>
            </w:r>
            <w:r w:rsidR="00DA54CB" w:rsidRPr="006C77C5">
              <w:rPr>
                <w:rStyle w:val="Hyperlink"/>
              </w:rPr>
              <w:t>Literature review</w:t>
            </w:r>
            <w:r w:rsidR="00DA54CB">
              <w:rPr>
                <w:webHidden/>
              </w:rPr>
              <w:tab/>
            </w:r>
            <w:r w:rsidR="00DA54CB">
              <w:rPr>
                <w:webHidden/>
              </w:rPr>
              <w:fldChar w:fldCharType="begin"/>
            </w:r>
            <w:r w:rsidR="00DA54CB">
              <w:rPr>
                <w:webHidden/>
              </w:rPr>
              <w:instrText xml:space="preserve"> PAGEREF _Toc39588360 \h </w:instrText>
            </w:r>
            <w:r w:rsidR="00DA54CB">
              <w:rPr>
                <w:webHidden/>
              </w:rPr>
            </w:r>
            <w:r w:rsidR="00DA54CB">
              <w:rPr>
                <w:webHidden/>
              </w:rPr>
              <w:fldChar w:fldCharType="separate"/>
            </w:r>
            <w:r w:rsidR="004B4461">
              <w:rPr>
                <w:webHidden/>
              </w:rPr>
              <w:t>136</w:t>
            </w:r>
            <w:r w:rsidR="00DA54CB">
              <w:rPr>
                <w:webHidden/>
              </w:rPr>
              <w:fldChar w:fldCharType="end"/>
            </w:r>
          </w:hyperlink>
        </w:p>
        <w:p w14:paraId="2C7F2340" w14:textId="52E55211" w:rsidR="00DA54CB" w:rsidRDefault="004B21EF">
          <w:pPr>
            <w:pStyle w:val="TOC3"/>
            <w:tabs>
              <w:tab w:val="left" w:pos="2052"/>
            </w:tabs>
            <w:rPr>
              <w:rFonts w:asciiTheme="minorHAnsi" w:eastAsiaTheme="minorEastAsia" w:hAnsiTheme="minorHAnsi" w:cstheme="minorBidi"/>
            </w:rPr>
          </w:pPr>
          <w:hyperlink w:anchor="_Toc39588361" w:history="1">
            <w:r w:rsidR="00DA54CB" w:rsidRPr="006C77C5">
              <w:rPr>
                <w:rStyle w:val="Hyperlink"/>
              </w:rPr>
              <w:t>D3.2</w:t>
            </w:r>
            <w:r w:rsidR="00DA54CB">
              <w:rPr>
                <w:rFonts w:asciiTheme="minorHAnsi" w:eastAsiaTheme="minorEastAsia" w:hAnsiTheme="minorHAnsi" w:cstheme="minorBidi"/>
              </w:rPr>
              <w:tab/>
            </w:r>
            <w:r w:rsidR="00DA54CB" w:rsidRPr="006C77C5">
              <w:rPr>
                <w:rStyle w:val="Hyperlink"/>
              </w:rPr>
              <w:t>Structure of the economic evaluation</w:t>
            </w:r>
            <w:r w:rsidR="00DA54CB">
              <w:rPr>
                <w:webHidden/>
              </w:rPr>
              <w:tab/>
            </w:r>
            <w:r w:rsidR="00DA54CB">
              <w:rPr>
                <w:webHidden/>
              </w:rPr>
              <w:fldChar w:fldCharType="begin"/>
            </w:r>
            <w:r w:rsidR="00DA54CB">
              <w:rPr>
                <w:webHidden/>
              </w:rPr>
              <w:instrText xml:space="preserve"> PAGEREF _Toc39588361 \h </w:instrText>
            </w:r>
            <w:r w:rsidR="00DA54CB">
              <w:rPr>
                <w:webHidden/>
              </w:rPr>
            </w:r>
            <w:r w:rsidR="00DA54CB">
              <w:rPr>
                <w:webHidden/>
              </w:rPr>
              <w:fldChar w:fldCharType="separate"/>
            </w:r>
            <w:r w:rsidR="004B4461">
              <w:rPr>
                <w:webHidden/>
              </w:rPr>
              <w:t>137</w:t>
            </w:r>
            <w:r w:rsidR="00DA54CB">
              <w:rPr>
                <w:webHidden/>
              </w:rPr>
              <w:fldChar w:fldCharType="end"/>
            </w:r>
          </w:hyperlink>
        </w:p>
        <w:p w14:paraId="24781150" w14:textId="5312E4D6" w:rsidR="00DA54CB" w:rsidRDefault="004B21EF">
          <w:pPr>
            <w:pStyle w:val="TOC3"/>
            <w:tabs>
              <w:tab w:val="left" w:pos="2052"/>
            </w:tabs>
            <w:rPr>
              <w:rFonts w:asciiTheme="minorHAnsi" w:eastAsiaTheme="minorEastAsia" w:hAnsiTheme="minorHAnsi" w:cstheme="minorBidi"/>
            </w:rPr>
          </w:pPr>
          <w:hyperlink w:anchor="_Toc39588362" w:history="1">
            <w:r w:rsidR="00DA54CB" w:rsidRPr="006C77C5">
              <w:rPr>
                <w:rStyle w:val="Hyperlink"/>
              </w:rPr>
              <w:t>D3.3</w:t>
            </w:r>
            <w:r w:rsidR="00DA54CB">
              <w:rPr>
                <w:rFonts w:asciiTheme="minorHAnsi" w:eastAsiaTheme="minorEastAsia" w:hAnsiTheme="minorHAnsi" w:cstheme="minorBidi"/>
              </w:rPr>
              <w:tab/>
            </w:r>
            <w:r w:rsidR="00DA54CB" w:rsidRPr="006C77C5">
              <w:rPr>
                <w:rStyle w:val="Hyperlink"/>
              </w:rPr>
              <w:t>Time horizon</w:t>
            </w:r>
            <w:r w:rsidR="00DA54CB">
              <w:rPr>
                <w:webHidden/>
              </w:rPr>
              <w:tab/>
            </w:r>
            <w:r w:rsidR="00DA54CB">
              <w:rPr>
                <w:webHidden/>
              </w:rPr>
              <w:fldChar w:fldCharType="begin"/>
            </w:r>
            <w:r w:rsidR="00DA54CB">
              <w:rPr>
                <w:webHidden/>
              </w:rPr>
              <w:instrText xml:space="preserve"> PAGEREF _Toc39588362 \h </w:instrText>
            </w:r>
            <w:r w:rsidR="00DA54CB">
              <w:rPr>
                <w:webHidden/>
              </w:rPr>
            </w:r>
            <w:r w:rsidR="00DA54CB">
              <w:rPr>
                <w:webHidden/>
              </w:rPr>
              <w:fldChar w:fldCharType="separate"/>
            </w:r>
            <w:r w:rsidR="004B4461">
              <w:rPr>
                <w:webHidden/>
              </w:rPr>
              <w:t>138</w:t>
            </w:r>
            <w:r w:rsidR="00DA54CB">
              <w:rPr>
                <w:webHidden/>
              </w:rPr>
              <w:fldChar w:fldCharType="end"/>
            </w:r>
          </w:hyperlink>
        </w:p>
        <w:p w14:paraId="2D3CF358" w14:textId="0DF4C0E0" w:rsidR="00DA54CB" w:rsidRDefault="004B21EF">
          <w:pPr>
            <w:pStyle w:val="TOC3"/>
            <w:tabs>
              <w:tab w:val="left" w:pos="2052"/>
            </w:tabs>
            <w:rPr>
              <w:rFonts w:asciiTheme="minorHAnsi" w:eastAsiaTheme="minorEastAsia" w:hAnsiTheme="minorHAnsi" w:cstheme="minorBidi"/>
            </w:rPr>
          </w:pPr>
          <w:hyperlink w:anchor="_Toc39588363" w:history="1">
            <w:r w:rsidR="00DA54CB" w:rsidRPr="006C77C5">
              <w:rPr>
                <w:rStyle w:val="Hyperlink"/>
              </w:rPr>
              <w:t>D3.4</w:t>
            </w:r>
            <w:r w:rsidR="00DA54CB">
              <w:rPr>
                <w:rFonts w:asciiTheme="minorHAnsi" w:eastAsiaTheme="minorEastAsia" w:hAnsiTheme="minorHAnsi" w:cstheme="minorBidi"/>
              </w:rPr>
              <w:tab/>
            </w:r>
            <w:r w:rsidR="00DA54CB" w:rsidRPr="006C77C5">
              <w:rPr>
                <w:rStyle w:val="Hyperlink"/>
              </w:rPr>
              <w:t>Assumptions incorporated into the model structure:</w:t>
            </w:r>
            <w:r w:rsidR="00DA54CB">
              <w:rPr>
                <w:webHidden/>
              </w:rPr>
              <w:tab/>
            </w:r>
            <w:r w:rsidR="00DA54CB">
              <w:rPr>
                <w:webHidden/>
              </w:rPr>
              <w:fldChar w:fldCharType="begin"/>
            </w:r>
            <w:r w:rsidR="00DA54CB">
              <w:rPr>
                <w:webHidden/>
              </w:rPr>
              <w:instrText xml:space="preserve"> PAGEREF _Toc39588363 \h </w:instrText>
            </w:r>
            <w:r w:rsidR="00DA54CB">
              <w:rPr>
                <w:webHidden/>
              </w:rPr>
            </w:r>
            <w:r w:rsidR="00DA54CB">
              <w:rPr>
                <w:webHidden/>
              </w:rPr>
              <w:fldChar w:fldCharType="separate"/>
            </w:r>
            <w:r w:rsidR="004B4461">
              <w:rPr>
                <w:webHidden/>
              </w:rPr>
              <w:t>143</w:t>
            </w:r>
            <w:r w:rsidR="00DA54CB">
              <w:rPr>
                <w:webHidden/>
              </w:rPr>
              <w:fldChar w:fldCharType="end"/>
            </w:r>
          </w:hyperlink>
        </w:p>
        <w:p w14:paraId="1650432C" w14:textId="165577DD" w:rsidR="00DA54CB" w:rsidRDefault="004B21EF">
          <w:pPr>
            <w:pStyle w:val="TOC2"/>
            <w:tabs>
              <w:tab w:val="left" w:pos="1418"/>
            </w:tabs>
            <w:rPr>
              <w:rFonts w:asciiTheme="minorHAnsi" w:eastAsiaTheme="minorEastAsia" w:hAnsiTheme="minorHAnsi" w:cstheme="minorBidi"/>
            </w:rPr>
          </w:pPr>
          <w:hyperlink w:anchor="_Toc39588364" w:history="1">
            <w:r w:rsidR="00DA54CB" w:rsidRPr="006C77C5">
              <w:rPr>
                <w:rStyle w:val="Hyperlink"/>
              </w:rPr>
              <w:t>D4</w:t>
            </w:r>
            <w:r w:rsidR="00DA54CB">
              <w:rPr>
                <w:rFonts w:asciiTheme="minorHAnsi" w:eastAsiaTheme="minorEastAsia" w:hAnsiTheme="minorHAnsi" w:cstheme="minorBidi"/>
              </w:rPr>
              <w:tab/>
            </w:r>
            <w:r w:rsidR="00DA54CB" w:rsidRPr="006C77C5">
              <w:rPr>
                <w:rStyle w:val="Hyperlink"/>
              </w:rPr>
              <w:t>Inputs to the economic evaluation</w:t>
            </w:r>
            <w:r w:rsidR="00DA54CB">
              <w:rPr>
                <w:webHidden/>
              </w:rPr>
              <w:tab/>
            </w:r>
            <w:r w:rsidR="00DA54CB">
              <w:rPr>
                <w:webHidden/>
              </w:rPr>
              <w:fldChar w:fldCharType="begin"/>
            </w:r>
            <w:r w:rsidR="00DA54CB">
              <w:rPr>
                <w:webHidden/>
              </w:rPr>
              <w:instrText xml:space="preserve"> PAGEREF _Toc39588364 \h </w:instrText>
            </w:r>
            <w:r w:rsidR="00DA54CB">
              <w:rPr>
                <w:webHidden/>
              </w:rPr>
            </w:r>
            <w:r w:rsidR="00DA54CB">
              <w:rPr>
                <w:webHidden/>
              </w:rPr>
              <w:fldChar w:fldCharType="separate"/>
            </w:r>
            <w:r w:rsidR="004B4461">
              <w:rPr>
                <w:webHidden/>
              </w:rPr>
              <w:t>144</w:t>
            </w:r>
            <w:r w:rsidR="00DA54CB">
              <w:rPr>
                <w:webHidden/>
              </w:rPr>
              <w:fldChar w:fldCharType="end"/>
            </w:r>
          </w:hyperlink>
        </w:p>
        <w:p w14:paraId="202DBE69" w14:textId="1729F647" w:rsidR="00DA54CB" w:rsidRDefault="004B21EF">
          <w:pPr>
            <w:pStyle w:val="TOC3"/>
            <w:tabs>
              <w:tab w:val="left" w:pos="2052"/>
            </w:tabs>
            <w:rPr>
              <w:rFonts w:asciiTheme="minorHAnsi" w:eastAsiaTheme="minorEastAsia" w:hAnsiTheme="minorHAnsi" w:cstheme="minorBidi"/>
            </w:rPr>
          </w:pPr>
          <w:hyperlink w:anchor="_Toc39588365" w:history="1">
            <w:r w:rsidR="00DA54CB" w:rsidRPr="006C77C5">
              <w:rPr>
                <w:rStyle w:val="Hyperlink"/>
              </w:rPr>
              <w:t>D4.1</w:t>
            </w:r>
            <w:r w:rsidR="00DA54CB">
              <w:rPr>
                <w:rFonts w:asciiTheme="minorHAnsi" w:eastAsiaTheme="minorEastAsia" w:hAnsiTheme="minorHAnsi" w:cstheme="minorBidi"/>
              </w:rPr>
              <w:tab/>
            </w:r>
            <w:r w:rsidR="00DA54CB" w:rsidRPr="006C77C5">
              <w:rPr>
                <w:rStyle w:val="Hyperlink"/>
              </w:rPr>
              <w:t>Patient demographics</w:t>
            </w:r>
            <w:r w:rsidR="00DA54CB">
              <w:rPr>
                <w:webHidden/>
              </w:rPr>
              <w:tab/>
            </w:r>
            <w:r w:rsidR="00DA54CB">
              <w:rPr>
                <w:webHidden/>
              </w:rPr>
              <w:fldChar w:fldCharType="begin"/>
            </w:r>
            <w:r w:rsidR="00DA54CB">
              <w:rPr>
                <w:webHidden/>
              </w:rPr>
              <w:instrText xml:space="preserve"> PAGEREF _Toc39588365 \h </w:instrText>
            </w:r>
            <w:r w:rsidR="00DA54CB">
              <w:rPr>
                <w:webHidden/>
              </w:rPr>
            </w:r>
            <w:r w:rsidR="00DA54CB">
              <w:rPr>
                <w:webHidden/>
              </w:rPr>
              <w:fldChar w:fldCharType="separate"/>
            </w:r>
            <w:r w:rsidR="004B4461">
              <w:rPr>
                <w:webHidden/>
              </w:rPr>
              <w:t>144</w:t>
            </w:r>
            <w:r w:rsidR="00DA54CB">
              <w:rPr>
                <w:webHidden/>
              </w:rPr>
              <w:fldChar w:fldCharType="end"/>
            </w:r>
          </w:hyperlink>
        </w:p>
        <w:p w14:paraId="15EE8A4E" w14:textId="51CD7E69" w:rsidR="00DA54CB" w:rsidRDefault="004B21EF">
          <w:pPr>
            <w:pStyle w:val="TOC3"/>
            <w:tabs>
              <w:tab w:val="left" w:pos="2052"/>
            </w:tabs>
            <w:rPr>
              <w:rFonts w:asciiTheme="minorHAnsi" w:eastAsiaTheme="minorEastAsia" w:hAnsiTheme="minorHAnsi" w:cstheme="minorBidi"/>
            </w:rPr>
          </w:pPr>
          <w:hyperlink w:anchor="_Toc39588366" w:history="1">
            <w:r w:rsidR="00DA54CB" w:rsidRPr="006C77C5">
              <w:rPr>
                <w:rStyle w:val="Hyperlink"/>
              </w:rPr>
              <w:t>D4.2</w:t>
            </w:r>
            <w:r w:rsidR="00DA54CB">
              <w:rPr>
                <w:rFonts w:asciiTheme="minorHAnsi" w:eastAsiaTheme="minorEastAsia" w:hAnsiTheme="minorHAnsi" w:cstheme="minorBidi"/>
              </w:rPr>
              <w:tab/>
            </w:r>
            <w:r w:rsidR="00DA54CB" w:rsidRPr="006C77C5">
              <w:rPr>
                <w:rStyle w:val="Hyperlink"/>
              </w:rPr>
              <w:t>Diagnostic yield</w:t>
            </w:r>
            <w:r w:rsidR="00DA54CB">
              <w:rPr>
                <w:webHidden/>
              </w:rPr>
              <w:tab/>
            </w:r>
            <w:r w:rsidR="00DA54CB">
              <w:rPr>
                <w:webHidden/>
              </w:rPr>
              <w:fldChar w:fldCharType="begin"/>
            </w:r>
            <w:r w:rsidR="00DA54CB">
              <w:rPr>
                <w:webHidden/>
              </w:rPr>
              <w:instrText xml:space="preserve"> PAGEREF _Toc39588366 \h </w:instrText>
            </w:r>
            <w:r w:rsidR="00DA54CB">
              <w:rPr>
                <w:webHidden/>
              </w:rPr>
            </w:r>
            <w:r w:rsidR="00DA54CB">
              <w:rPr>
                <w:webHidden/>
              </w:rPr>
              <w:fldChar w:fldCharType="separate"/>
            </w:r>
            <w:r w:rsidR="004B4461">
              <w:rPr>
                <w:webHidden/>
              </w:rPr>
              <w:t>145</w:t>
            </w:r>
            <w:r w:rsidR="00DA54CB">
              <w:rPr>
                <w:webHidden/>
              </w:rPr>
              <w:fldChar w:fldCharType="end"/>
            </w:r>
          </w:hyperlink>
        </w:p>
        <w:p w14:paraId="7B3C82BD" w14:textId="6C7C177D" w:rsidR="00DA54CB" w:rsidRDefault="004B21EF">
          <w:pPr>
            <w:pStyle w:val="TOC3"/>
            <w:tabs>
              <w:tab w:val="left" w:pos="2052"/>
            </w:tabs>
            <w:rPr>
              <w:rFonts w:asciiTheme="minorHAnsi" w:eastAsiaTheme="minorEastAsia" w:hAnsiTheme="minorHAnsi" w:cstheme="minorBidi"/>
            </w:rPr>
          </w:pPr>
          <w:hyperlink w:anchor="_Toc39588367" w:history="1">
            <w:r w:rsidR="00DA54CB" w:rsidRPr="006C77C5">
              <w:rPr>
                <w:rStyle w:val="Hyperlink"/>
              </w:rPr>
              <w:t>D4.3</w:t>
            </w:r>
            <w:r w:rsidR="00DA54CB">
              <w:rPr>
                <w:rFonts w:asciiTheme="minorHAnsi" w:eastAsiaTheme="minorEastAsia" w:hAnsiTheme="minorHAnsi" w:cstheme="minorBidi"/>
              </w:rPr>
              <w:tab/>
            </w:r>
            <w:r w:rsidR="00DA54CB" w:rsidRPr="006C77C5">
              <w:rPr>
                <w:rStyle w:val="Hyperlink"/>
              </w:rPr>
              <w:t>Time to diagnosis</w:t>
            </w:r>
            <w:r w:rsidR="00DA54CB">
              <w:rPr>
                <w:webHidden/>
              </w:rPr>
              <w:tab/>
            </w:r>
            <w:r w:rsidR="00DA54CB">
              <w:rPr>
                <w:webHidden/>
              </w:rPr>
              <w:fldChar w:fldCharType="begin"/>
            </w:r>
            <w:r w:rsidR="00DA54CB">
              <w:rPr>
                <w:webHidden/>
              </w:rPr>
              <w:instrText xml:space="preserve"> PAGEREF _Toc39588367 \h </w:instrText>
            </w:r>
            <w:r w:rsidR="00DA54CB">
              <w:rPr>
                <w:webHidden/>
              </w:rPr>
            </w:r>
            <w:r w:rsidR="00DA54CB">
              <w:rPr>
                <w:webHidden/>
              </w:rPr>
              <w:fldChar w:fldCharType="separate"/>
            </w:r>
            <w:r w:rsidR="004B4461">
              <w:rPr>
                <w:webHidden/>
              </w:rPr>
              <w:t>145</w:t>
            </w:r>
            <w:r w:rsidR="00DA54CB">
              <w:rPr>
                <w:webHidden/>
              </w:rPr>
              <w:fldChar w:fldCharType="end"/>
            </w:r>
          </w:hyperlink>
        </w:p>
        <w:p w14:paraId="5B707389" w14:textId="2B8FE6EC" w:rsidR="00DA54CB" w:rsidRDefault="004B21EF">
          <w:pPr>
            <w:pStyle w:val="TOC3"/>
            <w:tabs>
              <w:tab w:val="left" w:pos="2052"/>
            </w:tabs>
            <w:rPr>
              <w:rFonts w:asciiTheme="minorHAnsi" w:eastAsiaTheme="minorEastAsia" w:hAnsiTheme="minorHAnsi" w:cstheme="minorBidi"/>
            </w:rPr>
          </w:pPr>
          <w:hyperlink w:anchor="_Toc39588368" w:history="1">
            <w:r w:rsidR="00DA54CB" w:rsidRPr="006C77C5">
              <w:rPr>
                <w:rStyle w:val="Hyperlink"/>
              </w:rPr>
              <w:t>D4.4</w:t>
            </w:r>
            <w:r w:rsidR="00DA54CB">
              <w:rPr>
                <w:rFonts w:asciiTheme="minorHAnsi" w:eastAsiaTheme="minorEastAsia" w:hAnsiTheme="minorHAnsi" w:cstheme="minorBidi"/>
              </w:rPr>
              <w:tab/>
            </w:r>
            <w:r w:rsidR="00DA54CB" w:rsidRPr="006C77C5">
              <w:rPr>
                <w:rStyle w:val="Hyperlink"/>
              </w:rPr>
              <w:t>Change in initial diagnosis</w:t>
            </w:r>
            <w:r w:rsidR="00DA54CB">
              <w:rPr>
                <w:webHidden/>
              </w:rPr>
              <w:tab/>
            </w:r>
            <w:r w:rsidR="00DA54CB">
              <w:rPr>
                <w:webHidden/>
              </w:rPr>
              <w:fldChar w:fldCharType="begin"/>
            </w:r>
            <w:r w:rsidR="00DA54CB">
              <w:rPr>
                <w:webHidden/>
              </w:rPr>
              <w:instrText xml:space="preserve"> PAGEREF _Toc39588368 \h </w:instrText>
            </w:r>
            <w:r w:rsidR="00DA54CB">
              <w:rPr>
                <w:webHidden/>
              </w:rPr>
            </w:r>
            <w:r w:rsidR="00DA54CB">
              <w:rPr>
                <w:webHidden/>
              </w:rPr>
              <w:fldChar w:fldCharType="separate"/>
            </w:r>
            <w:r w:rsidR="004B4461">
              <w:rPr>
                <w:webHidden/>
              </w:rPr>
              <w:t>145</w:t>
            </w:r>
            <w:r w:rsidR="00DA54CB">
              <w:rPr>
                <w:webHidden/>
              </w:rPr>
              <w:fldChar w:fldCharType="end"/>
            </w:r>
          </w:hyperlink>
        </w:p>
        <w:p w14:paraId="040D37C0" w14:textId="7AB7FD96" w:rsidR="00DA54CB" w:rsidRDefault="004B21EF">
          <w:pPr>
            <w:pStyle w:val="TOC3"/>
            <w:tabs>
              <w:tab w:val="left" w:pos="2052"/>
            </w:tabs>
            <w:rPr>
              <w:rFonts w:asciiTheme="minorHAnsi" w:eastAsiaTheme="minorEastAsia" w:hAnsiTheme="minorHAnsi" w:cstheme="minorBidi"/>
            </w:rPr>
          </w:pPr>
          <w:hyperlink w:anchor="_Toc39588369" w:history="1">
            <w:r w:rsidR="00DA54CB" w:rsidRPr="006C77C5">
              <w:rPr>
                <w:rStyle w:val="Hyperlink"/>
              </w:rPr>
              <w:t>D4.5</w:t>
            </w:r>
            <w:r w:rsidR="00DA54CB">
              <w:rPr>
                <w:rFonts w:asciiTheme="minorHAnsi" w:eastAsiaTheme="minorEastAsia" w:hAnsiTheme="minorHAnsi" w:cstheme="minorBidi"/>
              </w:rPr>
              <w:tab/>
            </w:r>
            <w:r w:rsidR="00DA54CB" w:rsidRPr="006C77C5">
              <w:rPr>
                <w:rStyle w:val="Hyperlink"/>
              </w:rPr>
              <w:t>Treatment patterns</w:t>
            </w:r>
            <w:r w:rsidR="00DA54CB">
              <w:rPr>
                <w:webHidden/>
              </w:rPr>
              <w:tab/>
            </w:r>
            <w:r w:rsidR="00DA54CB">
              <w:rPr>
                <w:webHidden/>
              </w:rPr>
              <w:fldChar w:fldCharType="begin"/>
            </w:r>
            <w:r w:rsidR="00DA54CB">
              <w:rPr>
                <w:webHidden/>
              </w:rPr>
              <w:instrText xml:space="preserve"> PAGEREF _Toc39588369 \h </w:instrText>
            </w:r>
            <w:r w:rsidR="00DA54CB">
              <w:rPr>
                <w:webHidden/>
              </w:rPr>
            </w:r>
            <w:r w:rsidR="00DA54CB">
              <w:rPr>
                <w:webHidden/>
              </w:rPr>
              <w:fldChar w:fldCharType="separate"/>
            </w:r>
            <w:r w:rsidR="004B4461">
              <w:rPr>
                <w:webHidden/>
              </w:rPr>
              <w:t>146</w:t>
            </w:r>
            <w:r w:rsidR="00DA54CB">
              <w:rPr>
                <w:webHidden/>
              </w:rPr>
              <w:fldChar w:fldCharType="end"/>
            </w:r>
          </w:hyperlink>
        </w:p>
        <w:p w14:paraId="0A206039" w14:textId="5DD6EF04" w:rsidR="00DA54CB" w:rsidRDefault="004B21EF">
          <w:pPr>
            <w:pStyle w:val="TOC3"/>
            <w:tabs>
              <w:tab w:val="left" w:pos="2052"/>
            </w:tabs>
            <w:rPr>
              <w:rFonts w:asciiTheme="minorHAnsi" w:eastAsiaTheme="minorEastAsia" w:hAnsiTheme="minorHAnsi" w:cstheme="minorBidi"/>
            </w:rPr>
          </w:pPr>
          <w:hyperlink w:anchor="_Toc39588370" w:history="1">
            <w:r w:rsidR="00DA54CB" w:rsidRPr="006C77C5">
              <w:rPr>
                <w:rStyle w:val="Hyperlink"/>
              </w:rPr>
              <w:t>D4.6</w:t>
            </w:r>
            <w:r w:rsidR="00DA54CB">
              <w:rPr>
                <w:rFonts w:asciiTheme="minorHAnsi" w:eastAsiaTheme="minorEastAsia" w:hAnsiTheme="minorHAnsi" w:cstheme="minorBidi"/>
              </w:rPr>
              <w:tab/>
            </w:r>
            <w:r w:rsidR="00DA54CB" w:rsidRPr="006C77C5">
              <w:rPr>
                <w:rStyle w:val="Hyperlink"/>
              </w:rPr>
              <w:t>Treatment efficacy in NMOSD patients</w:t>
            </w:r>
            <w:r w:rsidR="00DA54CB">
              <w:rPr>
                <w:webHidden/>
              </w:rPr>
              <w:tab/>
            </w:r>
            <w:r w:rsidR="00DA54CB">
              <w:rPr>
                <w:webHidden/>
              </w:rPr>
              <w:fldChar w:fldCharType="begin"/>
            </w:r>
            <w:r w:rsidR="00DA54CB">
              <w:rPr>
                <w:webHidden/>
              </w:rPr>
              <w:instrText xml:space="preserve"> PAGEREF _Toc39588370 \h </w:instrText>
            </w:r>
            <w:r w:rsidR="00DA54CB">
              <w:rPr>
                <w:webHidden/>
              </w:rPr>
            </w:r>
            <w:r w:rsidR="00DA54CB">
              <w:rPr>
                <w:webHidden/>
              </w:rPr>
              <w:fldChar w:fldCharType="separate"/>
            </w:r>
            <w:r w:rsidR="004B4461">
              <w:rPr>
                <w:webHidden/>
              </w:rPr>
              <w:t>146</w:t>
            </w:r>
            <w:r w:rsidR="00DA54CB">
              <w:rPr>
                <w:webHidden/>
              </w:rPr>
              <w:fldChar w:fldCharType="end"/>
            </w:r>
          </w:hyperlink>
        </w:p>
        <w:p w14:paraId="17182946" w14:textId="0EB7CEC1" w:rsidR="00DA54CB" w:rsidRDefault="004B21EF">
          <w:pPr>
            <w:pStyle w:val="TOC3"/>
            <w:tabs>
              <w:tab w:val="left" w:pos="2052"/>
            </w:tabs>
            <w:rPr>
              <w:rFonts w:asciiTheme="minorHAnsi" w:eastAsiaTheme="minorEastAsia" w:hAnsiTheme="minorHAnsi" w:cstheme="minorBidi"/>
            </w:rPr>
          </w:pPr>
          <w:hyperlink w:anchor="_Toc39588371" w:history="1">
            <w:r w:rsidR="00DA54CB" w:rsidRPr="006C77C5">
              <w:rPr>
                <w:rStyle w:val="Hyperlink"/>
              </w:rPr>
              <w:t>D4.7</w:t>
            </w:r>
            <w:r w:rsidR="00DA54CB">
              <w:rPr>
                <w:rFonts w:asciiTheme="minorHAnsi" w:eastAsiaTheme="minorEastAsia" w:hAnsiTheme="minorHAnsi" w:cstheme="minorBidi"/>
              </w:rPr>
              <w:tab/>
            </w:r>
            <w:r w:rsidR="00DA54CB" w:rsidRPr="006C77C5">
              <w:rPr>
                <w:rStyle w:val="Hyperlink"/>
              </w:rPr>
              <w:t>Risk of acute attacks</w:t>
            </w:r>
            <w:r w:rsidR="00DA54CB">
              <w:rPr>
                <w:webHidden/>
              </w:rPr>
              <w:tab/>
            </w:r>
            <w:r w:rsidR="00DA54CB">
              <w:rPr>
                <w:webHidden/>
              </w:rPr>
              <w:fldChar w:fldCharType="begin"/>
            </w:r>
            <w:r w:rsidR="00DA54CB">
              <w:rPr>
                <w:webHidden/>
              </w:rPr>
              <w:instrText xml:space="preserve"> PAGEREF _Toc39588371 \h </w:instrText>
            </w:r>
            <w:r w:rsidR="00DA54CB">
              <w:rPr>
                <w:webHidden/>
              </w:rPr>
            </w:r>
            <w:r w:rsidR="00DA54CB">
              <w:rPr>
                <w:webHidden/>
              </w:rPr>
              <w:fldChar w:fldCharType="separate"/>
            </w:r>
            <w:r w:rsidR="004B4461">
              <w:rPr>
                <w:webHidden/>
              </w:rPr>
              <w:t>148</w:t>
            </w:r>
            <w:r w:rsidR="00DA54CB">
              <w:rPr>
                <w:webHidden/>
              </w:rPr>
              <w:fldChar w:fldCharType="end"/>
            </w:r>
          </w:hyperlink>
        </w:p>
        <w:p w14:paraId="14F42F9C" w14:textId="69BBF051" w:rsidR="00DA54CB" w:rsidRDefault="004B21EF">
          <w:pPr>
            <w:pStyle w:val="TOC3"/>
            <w:tabs>
              <w:tab w:val="left" w:pos="2052"/>
            </w:tabs>
            <w:rPr>
              <w:rFonts w:asciiTheme="minorHAnsi" w:eastAsiaTheme="minorEastAsia" w:hAnsiTheme="minorHAnsi" w:cstheme="minorBidi"/>
            </w:rPr>
          </w:pPr>
          <w:hyperlink w:anchor="_Toc39588372" w:history="1">
            <w:r w:rsidR="00DA54CB" w:rsidRPr="006C77C5">
              <w:rPr>
                <w:rStyle w:val="Hyperlink"/>
              </w:rPr>
              <w:t>D4.8</w:t>
            </w:r>
            <w:r w:rsidR="00DA54CB">
              <w:rPr>
                <w:rFonts w:asciiTheme="minorHAnsi" w:eastAsiaTheme="minorEastAsia" w:hAnsiTheme="minorHAnsi" w:cstheme="minorBidi"/>
              </w:rPr>
              <w:tab/>
            </w:r>
            <w:r w:rsidR="00DA54CB" w:rsidRPr="006C77C5">
              <w:rPr>
                <w:rStyle w:val="Hyperlink"/>
              </w:rPr>
              <w:t>Mortality rate</w:t>
            </w:r>
            <w:r w:rsidR="00DA54CB">
              <w:rPr>
                <w:webHidden/>
              </w:rPr>
              <w:tab/>
            </w:r>
            <w:r w:rsidR="00DA54CB">
              <w:rPr>
                <w:webHidden/>
              </w:rPr>
              <w:fldChar w:fldCharType="begin"/>
            </w:r>
            <w:r w:rsidR="00DA54CB">
              <w:rPr>
                <w:webHidden/>
              </w:rPr>
              <w:instrText xml:space="preserve"> PAGEREF _Toc39588372 \h </w:instrText>
            </w:r>
            <w:r w:rsidR="00DA54CB">
              <w:rPr>
                <w:webHidden/>
              </w:rPr>
            </w:r>
            <w:r w:rsidR="00DA54CB">
              <w:rPr>
                <w:webHidden/>
              </w:rPr>
              <w:fldChar w:fldCharType="separate"/>
            </w:r>
            <w:r w:rsidR="004B4461">
              <w:rPr>
                <w:webHidden/>
              </w:rPr>
              <w:t>148</w:t>
            </w:r>
            <w:r w:rsidR="00DA54CB">
              <w:rPr>
                <w:webHidden/>
              </w:rPr>
              <w:fldChar w:fldCharType="end"/>
            </w:r>
          </w:hyperlink>
        </w:p>
        <w:p w14:paraId="76D32A97" w14:textId="541D8698" w:rsidR="00DA54CB" w:rsidRDefault="004B21EF">
          <w:pPr>
            <w:pStyle w:val="TOC3"/>
            <w:tabs>
              <w:tab w:val="left" w:pos="2052"/>
            </w:tabs>
            <w:rPr>
              <w:rFonts w:asciiTheme="minorHAnsi" w:eastAsiaTheme="minorEastAsia" w:hAnsiTheme="minorHAnsi" w:cstheme="minorBidi"/>
            </w:rPr>
          </w:pPr>
          <w:hyperlink w:anchor="_Toc39588373" w:history="1">
            <w:r w:rsidR="00DA54CB" w:rsidRPr="006C77C5">
              <w:rPr>
                <w:rStyle w:val="Hyperlink"/>
              </w:rPr>
              <w:t>D4.9</w:t>
            </w:r>
            <w:r w:rsidR="00DA54CB">
              <w:rPr>
                <w:rFonts w:asciiTheme="minorHAnsi" w:eastAsiaTheme="minorEastAsia" w:hAnsiTheme="minorHAnsi" w:cstheme="minorBidi"/>
              </w:rPr>
              <w:tab/>
            </w:r>
            <w:r w:rsidR="00DA54CB" w:rsidRPr="006C77C5">
              <w:rPr>
                <w:rStyle w:val="Hyperlink"/>
              </w:rPr>
              <w:t>Health resource use and costs</w:t>
            </w:r>
            <w:r w:rsidR="00DA54CB">
              <w:rPr>
                <w:webHidden/>
              </w:rPr>
              <w:tab/>
            </w:r>
            <w:r w:rsidR="00DA54CB">
              <w:rPr>
                <w:webHidden/>
              </w:rPr>
              <w:fldChar w:fldCharType="begin"/>
            </w:r>
            <w:r w:rsidR="00DA54CB">
              <w:rPr>
                <w:webHidden/>
              </w:rPr>
              <w:instrText xml:space="preserve"> PAGEREF _Toc39588373 \h </w:instrText>
            </w:r>
            <w:r w:rsidR="00DA54CB">
              <w:rPr>
                <w:webHidden/>
              </w:rPr>
            </w:r>
            <w:r w:rsidR="00DA54CB">
              <w:rPr>
                <w:webHidden/>
              </w:rPr>
              <w:fldChar w:fldCharType="separate"/>
            </w:r>
            <w:r w:rsidR="004B4461">
              <w:rPr>
                <w:webHidden/>
              </w:rPr>
              <w:t>149</w:t>
            </w:r>
            <w:r w:rsidR="00DA54CB">
              <w:rPr>
                <w:webHidden/>
              </w:rPr>
              <w:fldChar w:fldCharType="end"/>
            </w:r>
          </w:hyperlink>
        </w:p>
        <w:p w14:paraId="1E15E888" w14:textId="08F99209" w:rsidR="00DA54CB" w:rsidRDefault="004B21EF">
          <w:pPr>
            <w:pStyle w:val="TOC2"/>
            <w:tabs>
              <w:tab w:val="left" w:pos="1418"/>
            </w:tabs>
            <w:rPr>
              <w:rFonts w:asciiTheme="minorHAnsi" w:eastAsiaTheme="minorEastAsia" w:hAnsiTheme="minorHAnsi" w:cstheme="minorBidi"/>
            </w:rPr>
          </w:pPr>
          <w:hyperlink w:anchor="_Toc39588374" w:history="1">
            <w:r w:rsidR="00DA54CB" w:rsidRPr="006C77C5">
              <w:rPr>
                <w:rStyle w:val="Hyperlink"/>
              </w:rPr>
              <w:t>D5</w:t>
            </w:r>
            <w:r w:rsidR="00DA54CB">
              <w:rPr>
                <w:rFonts w:asciiTheme="minorHAnsi" w:eastAsiaTheme="minorEastAsia" w:hAnsiTheme="minorHAnsi" w:cstheme="minorBidi"/>
              </w:rPr>
              <w:tab/>
            </w:r>
            <w:r w:rsidR="00DA54CB" w:rsidRPr="006C77C5">
              <w:rPr>
                <w:rStyle w:val="Hyperlink"/>
              </w:rPr>
              <w:t>Results of the Economic Evaluation</w:t>
            </w:r>
            <w:r w:rsidR="00DA54CB">
              <w:rPr>
                <w:webHidden/>
              </w:rPr>
              <w:tab/>
            </w:r>
            <w:r w:rsidR="00DA54CB">
              <w:rPr>
                <w:webHidden/>
              </w:rPr>
              <w:fldChar w:fldCharType="begin"/>
            </w:r>
            <w:r w:rsidR="00DA54CB">
              <w:rPr>
                <w:webHidden/>
              </w:rPr>
              <w:instrText xml:space="preserve"> PAGEREF _Toc39588374 \h </w:instrText>
            </w:r>
            <w:r w:rsidR="00DA54CB">
              <w:rPr>
                <w:webHidden/>
              </w:rPr>
            </w:r>
            <w:r w:rsidR="00DA54CB">
              <w:rPr>
                <w:webHidden/>
              </w:rPr>
              <w:fldChar w:fldCharType="separate"/>
            </w:r>
            <w:r w:rsidR="004B4461">
              <w:rPr>
                <w:webHidden/>
              </w:rPr>
              <w:t>151</w:t>
            </w:r>
            <w:r w:rsidR="00DA54CB">
              <w:rPr>
                <w:webHidden/>
              </w:rPr>
              <w:fldChar w:fldCharType="end"/>
            </w:r>
          </w:hyperlink>
        </w:p>
        <w:p w14:paraId="49865EAE" w14:textId="3D4AE3AC" w:rsidR="00DA54CB" w:rsidRDefault="004B21EF">
          <w:pPr>
            <w:pStyle w:val="TOC3"/>
            <w:rPr>
              <w:rFonts w:asciiTheme="minorHAnsi" w:eastAsiaTheme="minorEastAsia" w:hAnsiTheme="minorHAnsi" w:cstheme="minorBidi"/>
            </w:rPr>
          </w:pPr>
          <w:hyperlink w:anchor="_Toc39588375" w:history="1">
            <w:r w:rsidR="00DA54CB" w:rsidRPr="006C77C5">
              <w:rPr>
                <w:rStyle w:val="Hyperlink"/>
              </w:rPr>
              <w:t>Incremental costs and effectiveness</w:t>
            </w:r>
            <w:r w:rsidR="00DA54CB">
              <w:rPr>
                <w:webHidden/>
              </w:rPr>
              <w:tab/>
            </w:r>
            <w:r w:rsidR="00DA54CB">
              <w:rPr>
                <w:webHidden/>
              </w:rPr>
              <w:fldChar w:fldCharType="begin"/>
            </w:r>
            <w:r w:rsidR="00DA54CB">
              <w:rPr>
                <w:webHidden/>
              </w:rPr>
              <w:instrText xml:space="preserve"> PAGEREF _Toc39588375 \h </w:instrText>
            </w:r>
            <w:r w:rsidR="00DA54CB">
              <w:rPr>
                <w:webHidden/>
              </w:rPr>
            </w:r>
            <w:r w:rsidR="00DA54CB">
              <w:rPr>
                <w:webHidden/>
              </w:rPr>
              <w:fldChar w:fldCharType="separate"/>
            </w:r>
            <w:r w:rsidR="004B4461">
              <w:rPr>
                <w:webHidden/>
              </w:rPr>
              <w:t>151</w:t>
            </w:r>
            <w:r w:rsidR="00DA54CB">
              <w:rPr>
                <w:webHidden/>
              </w:rPr>
              <w:fldChar w:fldCharType="end"/>
            </w:r>
          </w:hyperlink>
        </w:p>
        <w:p w14:paraId="42EB18AB" w14:textId="31B19621" w:rsidR="00DA54CB" w:rsidRDefault="004B21EF">
          <w:pPr>
            <w:pStyle w:val="TOC2"/>
            <w:tabs>
              <w:tab w:val="left" w:pos="1418"/>
            </w:tabs>
            <w:rPr>
              <w:rFonts w:asciiTheme="minorHAnsi" w:eastAsiaTheme="minorEastAsia" w:hAnsiTheme="minorHAnsi" w:cstheme="minorBidi"/>
            </w:rPr>
          </w:pPr>
          <w:hyperlink w:anchor="_Toc39588376" w:history="1">
            <w:r w:rsidR="00DA54CB" w:rsidRPr="006C77C5">
              <w:rPr>
                <w:rStyle w:val="Hyperlink"/>
              </w:rPr>
              <w:t>D6</w:t>
            </w:r>
            <w:r w:rsidR="00DA54CB">
              <w:rPr>
                <w:rFonts w:asciiTheme="minorHAnsi" w:eastAsiaTheme="minorEastAsia" w:hAnsiTheme="minorHAnsi" w:cstheme="minorBidi"/>
              </w:rPr>
              <w:tab/>
            </w:r>
            <w:r w:rsidR="00DA54CB" w:rsidRPr="006C77C5">
              <w:rPr>
                <w:rStyle w:val="Hyperlink"/>
              </w:rPr>
              <w:t>Sensitivity analyses</w:t>
            </w:r>
            <w:r w:rsidR="00DA54CB">
              <w:rPr>
                <w:webHidden/>
              </w:rPr>
              <w:tab/>
            </w:r>
            <w:r w:rsidR="00DA54CB">
              <w:rPr>
                <w:webHidden/>
              </w:rPr>
              <w:fldChar w:fldCharType="begin"/>
            </w:r>
            <w:r w:rsidR="00DA54CB">
              <w:rPr>
                <w:webHidden/>
              </w:rPr>
              <w:instrText xml:space="preserve"> PAGEREF _Toc39588376 \h </w:instrText>
            </w:r>
            <w:r w:rsidR="00DA54CB">
              <w:rPr>
                <w:webHidden/>
              </w:rPr>
            </w:r>
            <w:r w:rsidR="00DA54CB">
              <w:rPr>
                <w:webHidden/>
              </w:rPr>
              <w:fldChar w:fldCharType="separate"/>
            </w:r>
            <w:r w:rsidR="004B4461">
              <w:rPr>
                <w:webHidden/>
              </w:rPr>
              <w:t>153</w:t>
            </w:r>
            <w:r w:rsidR="00DA54CB">
              <w:rPr>
                <w:webHidden/>
              </w:rPr>
              <w:fldChar w:fldCharType="end"/>
            </w:r>
          </w:hyperlink>
        </w:p>
        <w:p w14:paraId="501E41B2" w14:textId="7A9B1FA2" w:rsidR="00DA54CB" w:rsidRDefault="004B21EF">
          <w:pPr>
            <w:pStyle w:val="TOC1"/>
            <w:rPr>
              <w:rFonts w:asciiTheme="minorHAnsi" w:eastAsiaTheme="minorEastAsia" w:hAnsiTheme="minorHAnsi" w:cstheme="minorBidi"/>
              <w:b w:val="0"/>
            </w:rPr>
          </w:pPr>
          <w:hyperlink w:anchor="_Toc39588377" w:history="1">
            <w:r w:rsidR="00DA54CB" w:rsidRPr="006C77C5">
              <w:rPr>
                <w:rStyle w:val="Hyperlink"/>
              </w:rPr>
              <w:t>Section E</w:t>
            </w:r>
            <w:r w:rsidR="00DA54CB">
              <w:rPr>
                <w:rFonts w:asciiTheme="minorHAnsi" w:eastAsiaTheme="minorEastAsia" w:hAnsiTheme="minorHAnsi" w:cstheme="minorBidi"/>
                <w:b w:val="0"/>
              </w:rPr>
              <w:tab/>
            </w:r>
            <w:r w:rsidR="00DA54CB" w:rsidRPr="006C77C5">
              <w:rPr>
                <w:rStyle w:val="Hyperlink"/>
              </w:rPr>
              <w:t>Financial Implications</w:t>
            </w:r>
            <w:r w:rsidR="00DA54CB">
              <w:rPr>
                <w:webHidden/>
              </w:rPr>
              <w:tab/>
            </w:r>
            <w:r w:rsidR="00DA54CB">
              <w:rPr>
                <w:webHidden/>
              </w:rPr>
              <w:fldChar w:fldCharType="begin"/>
            </w:r>
            <w:r w:rsidR="00DA54CB">
              <w:rPr>
                <w:webHidden/>
              </w:rPr>
              <w:instrText xml:space="preserve"> PAGEREF _Toc39588377 \h </w:instrText>
            </w:r>
            <w:r w:rsidR="00DA54CB">
              <w:rPr>
                <w:webHidden/>
              </w:rPr>
            </w:r>
            <w:r w:rsidR="00DA54CB">
              <w:rPr>
                <w:webHidden/>
              </w:rPr>
              <w:fldChar w:fldCharType="separate"/>
            </w:r>
            <w:r w:rsidR="004B4461">
              <w:rPr>
                <w:webHidden/>
              </w:rPr>
              <w:t>155</w:t>
            </w:r>
            <w:r w:rsidR="00DA54CB">
              <w:rPr>
                <w:webHidden/>
              </w:rPr>
              <w:fldChar w:fldCharType="end"/>
            </w:r>
          </w:hyperlink>
        </w:p>
        <w:p w14:paraId="33CB20E2" w14:textId="56E8675E" w:rsidR="00DA54CB" w:rsidRDefault="004B21EF">
          <w:pPr>
            <w:pStyle w:val="TOC2"/>
            <w:tabs>
              <w:tab w:val="left" w:pos="1418"/>
            </w:tabs>
            <w:rPr>
              <w:rFonts w:asciiTheme="minorHAnsi" w:eastAsiaTheme="minorEastAsia" w:hAnsiTheme="minorHAnsi" w:cstheme="minorBidi"/>
            </w:rPr>
          </w:pPr>
          <w:hyperlink w:anchor="_Toc39588378" w:history="1">
            <w:r w:rsidR="00DA54CB" w:rsidRPr="006C77C5">
              <w:rPr>
                <w:rStyle w:val="Hyperlink"/>
              </w:rPr>
              <w:t>E1</w:t>
            </w:r>
            <w:r w:rsidR="00DA54CB">
              <w:rPr>
                <w:rFonts w:asciiTheme="minorHAnsi" w:eastAsiaTheme="minorEastAsia" w:hAnsiTheme="minorHAnsi" w:cstheme="minorBidi"/>
              </w:rPr>
              <w:tab/>
            </w:r>
            <w:r w:rsidR="00DA54CB" w:rsidRPr="006C77C5">
              <w:rPr>
                <w:rStyle w:val="Hyperlink"/>
              </w:rPr>
              <w:t>Justification of the Selection of Sources of Data</w:t>
            </w:r>
            <w:r w:rsidR="00DA54CB">
              <w:rPr>
                <w:webHidden/>
              </w:rPr>
              <w:tab/>
            </w:r>
            <w:r w:rsidR="00DA54CB">
              <w:rPr>
                <w:webHidden/>
              </w:rPr>
              <w:fldChar w:fldCharType="begin"/>
            </w:r>
            <w:r w:rsidR="00DA54CB">
              <w:rPr>
                <w:webHidden/>
              </w:rPr>
              <w:instrText xml:space="preserve"> PAGEREF _Toc39588378 \h </w:instrText>
            </w:r>
            <w:r w:rsidR="00DA54CB">
              <w:rPr>
                <w:webHidden/>
              </w:rPr>
            </w:r>
            <w:r w:rsidR="00DA54CB">
              <w:rPr>
                <w:webHidden/>
              </w:rPr>
              <w:fldChar w:fldCharType="separate"/>
            </w:r>
            <w:r w:rsidR="004B4461">
              <w:rPr>
                <w:webHidden/>
              </w:rPr>
              <w:t>155</w:t>
            </w:r>
            <w:r w:rsidR="00DA54CB">
              <w:rPr>
                <w:webHidden/>
              </w:rPr>
              <w:fldChar w:fldCharType="end"/>
            </w:r>
          </w:hyperlink>
        </w:p>
        <w:p w14:paraId="12B94211" w14:textId="54E3670E" w:rsidR="00DA54CB" w:rsidRDefault="004B21EF">
          <w:pPr>
            <w:pStyle w:val="TOC2"/>
            <w:tabs>
              <w:tab w:val="left" w:pos="1418"/>
            </w:tabs>
            <w:rPr>
              <w:rFonts w:asciiTheme="minorHAnsi" w:eastAsiaTheme="minorEastAsia" w:hAnsiTheme="minorHAnsi" w:cstheme="minorBidi"/>
            </w:rPr>
          </w:pPr>
          <w:hyperlink w:anchor="_Toc39588379" w:history="1">
            <w:r w:rsidR="00DA54CB" w:rsidRPr="006C77C5">
              <w:rPr>
                <w:rStyle w:val="Hyperlink"/>
              </w:rPr>
              <w:t>E2</w:t>
            </w:r>
            <w:r w:rsidR="00DA54CB">
              <w:rPr>
                <w:rFonts w:asciiTheme="minorHAnsi" w:eastAsiaTheme="minorEastAsia" w:hAnsiTheme="minorHAnsi" w:cstheme="minorBidi"/>
              </w:rPr>
              <w:tab/>
            </w:r>
            <w:r w:rsidR="00DA54CB" w:rsidRPr="006C77C5">
              <w:rPr>
                <w:rStyle w:val="Hyperlink"/>
              </w:rPr>
              <w:t>Use and Costs of NMOSD-Ab testing</w:t>
            </w:r>
            <w:r w:rsidR="00DA54CB">
              <w:rPr>
                <w:webHidden/>
              </w:rPr>
              <w:tab/>
            </w:r>
            <w:r w:rsidR="00DA54CB">
              <w:rPr>
                <w:webHidden/>
              </w:rPr>
              <w:fldChar w:fldCharType="begin"/>
            </w:r>
            <w:r w:rsidR="00DA54CB">
              <w:rPr>
                <w:webHidden/>
              </w:rPr>
              <w:instrText xml:space="preserve"> PAGEREF _Toc39588379 \h </w:instrText>
            </w:r>
            <w:r w:rsidR="00DA54CB">
              <w:rPr>
                <w:webHidden/>
              </w:rPr>
            </w:r>
            <w:r w:rsidR="00DA54CB">
              <w:rPr>
                <w:webHidden/>
              </w:rPr>
              <w:fldChar w:fldCharType="separate"/>
            </w:r>
            <w:r w:rsidR="004B4461">
              <w:rPr>
                <w:webHidden/>
              </w:rPr>
              <w:t>156</w:t>
            </w:r>
            <w:r w:rsidR="00DA54CB">
              <w:rPr>
                <w:webHidden/>
              </w:rPr>
              <w:fldChar w:fldCharType="end"/>
            </w:r>
          </w:hyperlink>
        </w:p>
        <w:p w14:paraId="68282FFC" w14:textId="42FC8293" w:rsidR="00DA54CB" w:rsidRDefault="004B21EF">
          <w:pPr>
            <w:pStyle w:val="TOC3"/>
            <w:tabs>
              <w:tab w:val="left" w:pos="2080"/>
            </w:tabs>
            <w:rPr>
              <w:rFonts w:asciiTheme="minorHAnsi" w:eastAsiaTheme="minorEastAsia" w:hAnsiTheme="minorHAnsi" w:cstheme="minorBidi"/>
            </w:rPr>
          </w:pPr>
          <w:hyperlink w:anchor="_Toc39588380" w:history="1">
            <w:r w:rsidR="00DA54CB" w:rsidRPr="006C77C5">
              <w:rPr>
                <w:rStyle w:val="Hyperlink"/>
              </w:rPr>
              <w:t>E.2.1</w:t>
            </w:r>
            <w:r w:rsidR="00DA54CB">
              <w:rPr>
                <w:rFonts w:asciiTheme="minorHAnsi" w:eastAsiaTheme="minorEastAsia" w:hAnsiTheme="minorHAnsi" w:cstheme="minorBidi"/>
              </w:rPr>
              <w:tab/>
            </w:r>
            <w:r w:rsidR="00DA54CB" w:rsidRPr="006C77C5">
              <w:rPr>
                <w:rStyle w:val="Hyperlink"/>
              </w:rPr>
              <w:t>Estimated use of the proposed testing</w:t>
            </w:r>
            <w:r w:rsidR="00DA54CB">
              <w:rPr>
                <w:webHidden/>
              </w:rPr>
              <w:tab/>
            </w:r>
            <w:r w:rsidR="00DA54CB">
              <w:rPr>
                <w:webHidden/>
              </w:rPr>
              <w:fldChar w:fldCharType="begin"/>
            </w:r>
            <w:r w:rsidR="00DA54CB">
              <w:rPr>
                <w:webHidden/>
              </w:rPr>
              <w:instrText xml:space="preserve"> PAGEREF _Toc39588380 \h </w:instrText>
            </w:r>
            <w:r w:rsidR="00DA54CB">
              <w:rPr>
                <w:webHidden/>
              </w:rPr>
            </w:r>
            <w:r w:rsidR="00DA54CB">
              <w:rPr>
                <w:webHidden/>
              </w:rPr>
              <w:fldChar w:fldCharType="separate"/>
            </w:r>
            <w:r w:rsidR="004B4461">
              <w:rPr>
                <w:webHidden/>
              </w:rPr>
              <w:t>156</w:t>
            </w:r>
            <w:r w:rsidR="00DA54CB">
              <w:rPr>
                <w:webHidden/>
              </w:rPr>
              <w:fldChar w:fldCharType="end"/>
            </w:r>
          </w:hyperlink>
        </w:p>
        <w:p w14:paraId="68C5BE05" w14:textId="50A83DB3" w:rsidR="00DA54CB" w:rsidRDefault="004B21EF">
          <w:pPr>
            <w:pStyle w:val="TOC3"/>
            <w:tabs>
              <w:tab w:val="left" w:pos="2080"/>
            </w:tabs>
            <w:rPr>
              <w:rFonts w:asciiTheme="minorHAnsi" w:eastAsiaTheme="minorEastAsia" w:hAnsiTheme="minorHAnsi" w:cstheme="minorBidi"/>
            </w:rPr>
          </w:pPr>
          <w:hyperlink w:anchor="_Toc39588381" w:history="1">
            <w:r w:rsidR="00DA54CB" w:rsidRPr="006C77C5">
              <w:rPr>
                <w:rStyle w:val="Hyperlink"/>
              </w:rPr>
              <w:t>E.2.2</w:t>
            </w:r>
            <w:r w:rsidR="00DA54CB">
              <w:rPr>
                <w:rFonts w:asciiTheme="minorHAnsi" w:eastAsiaTheme="minorEastAsia" w:hAnsiTheme="minorHAnsi" w:cstheme="minorBidi"/>
              </w:rPr>
              <w:tab/>
            </w:r>
            <w:r w:rsidR="00DA54CB" w:rsidRPr="006C77C5">
              <w:rPr>
                <w:rStyle w:val="Hyperlink"/>
              </w:rPr>
              <w:t>Estimated costs of NMOSD-Ab tests</w:t>
            </w:r>
            <w:r w:rsidR="00DA54CB">
              <w:rPr>
                <w:webHidden/>
              </w:rPr>
              <w:tab/>
            </w:r>
            <w:r w:rsidR="00DA54CB">
              <w:rPr>
                <w:webHidden/>
              </w:rPr>
              <w:fldChar w:fldCharType="begin"/>
            </w:r>
            <w:r w:rsidR="00DA54CB">
              <w:rPr>
                <w:webHidden/>
              </w:rPr>
              <w:instrText xml:space="preserve"> PAGEREF _Toc39588381 \h </w:instrText>
            </w:r>
            <w:r w:rsidR="00DA54CB">
              <w:rPr>
                <w:webHidden/>
              </w:rPr>
            </w:r>
            <w:r w:rsidR="00DA54CB">
              <w:rPr>
                <w:webHidden/>
              </w:rPr>
              <w:fldChar w:fldCharType="separate"/>
            </w:r>
            <w:r w:rsidR="004B4461">
              <w:rPr>
                <w:webHidden/>
              </w:rPr>
              <w:t>159</w:t>
            </w:r>
            <w:r w:rsidR="00DA54CB">
              <w:rPr>
                <w:webHidden/>
              </w:rPr>
              <w:fldChar w:fldCharType="end"/>
            </w:r>
          </w:hyperlink>
        </w:p>
        <w:p w14:paraId="0517C01A" w14:textId="1B849BCD" w:rsidR="00DA54CB" w:rsidRDefault="004B21EF">
          <w:pPr>
            <w:pStyle w:val="TOC2"/>
            <w:tabs>
              <w:tab w:val="left" w:pos="1418"/>
            </w:tabs>
            <w:rPr>
              <w:rFonts w:asciiTheme="minorHAnsi" w:eastAsiaTheme="minorEastAsia" w:hAnsiTheme="minorHAnsi" w:cstheme="minorBidi"/>
            </w:rPr>
          </w:pPr>
          <w:hyperlink w:anchor="_Toc39588382" w:history="1">
            <w:r w:rsidR="00DA54CB" w:rsidRPr="006C77C5">
              <w:rPr>
                <w:rStyle w:val="Hyperlink"/>
              </w:rPr>
              <w:t>E3</w:t>
            </w:r>
            <w:r w:rsidR="00DA54CB">
              <w:rPr>
                <w:rFonts w:asciiTheme="minorHAnsi" w:eastAsiaTheme="minorEastAsia" w:hAnsiTheme="minorHAnsi" w:cstheme="minorBidi"/>
              </w:rPr>
              <w:tab/>
            </w:r>
            <w:r w:rsidR="00DA54CB" w:rsidRPr="006C77C5">
              <w:rPr>
                <w:rStyle w:val="Hyperlink"/>
              </w:rPr>
              <w:t>Changes in Use and Cost of Other Medical Services</w:t>
            </w:r>
            <w:r w:rsidR="00DA54CB">
              <w:rPr>
                <w:webHidden/>
              </w:rPr>
              <w:tab/>
            </w:r>
            <w:r w:rsidR="00DA54CB">
              <w:rPr>
                <w:webHidden/>
              </w:rPr>
              <w:fldChar w:fldCharType="begin"/>
            </w:r>
            <w:r w:rsidR="00DA54CB">
              <w:rPr>
                <w:webHidden/>
              </w:rPr>
              <w:instrText xml:space="preserve"> PAGEREF _Toc39588382 \h </w:instrText>
            </w:r>
            <w:r w:rsidR="00DA54CB">
              <w:rPr>
                <w:webHidden/>
              </w:rPr>
            </w:r>
            <w:r w:rsidR="00DA54CB">
              <w:rPr>
                <w:webHidden/>
              </w:rPr>
              <w:fldChar w:fldCharType="separate"/>
            </w:r>
            <w:r w:rsidR="004B4461">
              <w:rPr>
                <w:webHidden/>
              </w:rPr>
              <w:t>160</w:t>
            </w:r>
            <w:r w:rsidR="00DA54CB">
              <w:rPr>
                <w:webHidden/>
              </w:rPr>
              <w:fldChar w:fldCharType="end"/>
            </w:r>
          </w:hyperlink>
        </w:p>
        <w:p w14:paraId="7B3169B4" w14:textId="550043AA" w:rsidR="00DA54CB" w:rsidRDefault="004B21EF">
          <w:pPr>
            <w:pStyle w:val="TOC2"/>
            <w:tabs>
              <w:tab w:val="left" w:pos="1418"/>
            </w:tabs>
            <w:rPr>
              <w:rFonts w:asciiTheme="minorHAnsi" w:eastAsiaTheme="minorEastAsia" w:hAnsiTheme="minorHAnsi" w:cstheme="minorBidi"/>
            </w:rPr>
          </w:pPr>
          <w:hyperlink w:anchor="_Toc39588383" w:history="1">
            <w:r w:rsidR="00DA54CB" w:rsidRPr="006C77C5">
              <w:rPr>
                <w:rStyle w:val="Hyperlink"/>
              </w:rPr>
              <w:t>E4</w:t>
            </w:r>
            <w:r w:rsidR="00DA54CB">
              <w:rPr>
                <w:rFonts w:asciiTheme="minorHAnsi" w:eastAsiaTheme="minorEastAsia" w:hAnsiTheme="minorHAnsi" w:cstheme="minorBidi"/>
              </w:rPr>
              <w:tab/>
            </w:r>
            <w:r w:rsidR="00DA54CB" w:rsidRPr="006C77C5">
              <w:rPr>
                <w:rStyle w:val="Hyperlink"/>
              </w:rPr>
              <w:t>Financial Implications for the MBS</w:t>
            </w:r>
            <w:r w:rsidR="00DA54CB">
              <w:rPr>
                <w:webHidden/>
              </w:rPr>
              <w:tab/>
            </w:r>
            <w:r w:rsidR="00DA54CB">
              <w:rPr>
                <w:webHidden/>
              </w:rPr>
              <w:fldChar w:fldCharType="begin"/>
            </w:r>
            <w:r w:rsidR="00DA54CB">
              <w:rPr>
                <w:webHidden/>
              </w:rPr>
              <w:instrText xml:space="preserve"> PAGEREF _Toc39588383 \h </w:instrText>
            </w:r>
            <w:r w:rsidR="00DA54CB">
              <w:rPr>
                <w:webHidden/>
              </w:rPr>
            </w:r>
            <w:r w:rsidR="00DA54CB">
              <w:rPr>
                <w:webHidden/>
              </w:rPr>
              <w:fldChar w:fldCharType="separate"/>
            </w:r>
            <w:r w:rsidR="004B4461">
              <w:rPr>
                <w:webHidden/>
              </w:rPr>
              <w:t>161</w:t>
            </w:r>
            <w:r w:rsidR="00DA54CB">
              <w:rPr>
                <w:webHidden/>
              </w:rPr>
              <w:fldChar w:fldCharType="end"/>
            </w:r>
          </w:hyperlink>
        </w:p>
        <w:p w14:paraId="31B10A70" w14:textId="5551C1F5" w:rsidR="00DA54CB" w:rsidRDefault="004B21EF">
          <w:pPr>
            <w:pStyle w:val="TOC2"/>
            <w:tabs>
              <w:tab w:val="left" w:pos="1418"/>
            </w:tabs>
            <w:rPr>
              <w:rFonts w:asciiTheme="minorHAnsi" w:eastAsiaTheme="minorEastAsia" w:hAnsiTheme="minorHAnsi" w:cstheme="minorBidi"/>
            </w:rPr>
          </w:pPr>
          <w:hyperlink w:anchor="_Toc39588384" w:history="1">
            <w:r w:rsidR="00DA54CB" w:rsidRPr="006C77C5">
              <w:rPr>
                <w:rStyle w:val="Hyperlink"/>
              </w:rPr>
              <w:t>E5</w:t>
            </w:r>
            <w:r w:rsidR="00DA54CB">
              <w:rPr>
                <w:rFonts w:asciiTheme="minorHAnsi" w:eastAsiaTheme="minorEastAsia" w:hAnsiTheme="minorHAnsi" w:cstheme="minorBidi"/>
              </w:rPr>
              <w:tab/>
            </w:r>
            <w:r w:rsidR="00DA54CB" w:rsidRPr="006C77C5">
              <w:rPr>
                <w:rStyle w:val="Hyperlink"/>
              </w:rPr>
              <w:t>Financial Implications for Government Health Budgets</w:t>
            </w:r>
            <w:r w:rsidR="00DA54CB">
              <w:rPr>
                <w:webHidden/>
              </w:rPr>
              <w:tab/>
            </w:r>
            <w:r w:rsidR="00DA54CB">
              <w:rPr>
                <w:webHidden/>
              </w:rPr>
              <w:fldChar w:fldCharType="begin"/>
            </w:r>
            <w:r w:rsidR="00DA54CB">
              <w:rPr>
                <w:webHidden/>
              </w:rPr>
              <w:instrText xml:space="preserve"> PAGEREF _Toc39588384 \h </w:instrText>
            </w:r>
            <w:r w:rsidR="00DA54CB">
              <w:rPr>
                <w:webHidden/>
              </w:rPr>
            </w:r>
            <w:r w:rsidR="00DA54CB">
              <w:rPr>
                <w:webHidden/>
              </w:rPr>
              <w:fldChar w:fldCharType="separate"/>
            </w:r>
            <w:r w:rsidR="004B4461">
              <w:rPr>
                <w:webHidden/>
              </w:rPr>
              <w:t>161</w:t>
            </w:r>
            <w:r w:rsidR="00DA54CB">
              <w:rPr>
                <w:webHidden/>
              </w:rPr>
              <w:fldChar w:fldCharType="end"/>
            </w:r>
          </w:hyperlink>
        </w:p>
        <w:p w14:paraId="6FEA41D4" w14:textId="1977EC31" w:rsidR="00DA54CB" w:rsidRDefault="004B21EF">
          <w:pPr>
            <w:pStyle w:val="TOC2"/>
            <w:tabs>
              <w:tab w:val="left" w:pos="1418"/>
            </w:tabs>
            <w:rPr>
              <w:rFonts w:asciiTheme="minorHAnsi" w:eastAsiaTheme="minorEastAsia" w:hAnsiTheme="minorHAnsi" w:cstheme="minorBidi"/>
            </w:rPr>
          </w:pPr>
          <w:hyperlink w:anchor="_Toc39588385" w:history="1">
            <w:r w:rsidR="00DA54CB" w:rsidRPr="006C77C5">
              <w:rPr>
                <w:rStyle w:val="Hyperlink"/>
              </w:rPr>
              <w:t>E6</w:t>
            </w:r>
            <w:r w:rsidR="00DA54CB">
              <w:rPr>
                <w:rFonts w:asciiTheme="minorHAnsi" w:eastAsiaTheme="minorEastAsia" w:hAnsiTheme="minorHAnsi" w:cstheme="minorBidi"/>
              </w:rPr>
              <w:tab/>
            </w:r>
            <w:r w:rsidR="00DA54CB" w:rsidRPr="006C77C5">
              <w:rPr>
                <w:rStyle w:val="Hyperlink"/>
              </w:rPr>
              <w:t>Identification, Estimation and Reduction of Uncertainty</w:t>
            </w:r>
            <w:r w:rsidR="00DA54CB">
              <w:rPr>
                <w:webHidden/>
              </w:rPr>
              <w:tab/>
            </w:r>
            <w:r w:rsidR="00DA54CB">
              <w:rPr>
                <w:webHidden/>
              </w:rPr>
              <w:fldChar w:fldCharType="begin"/>
            </w:r>
            <w:r w:rsidR="00DA54CB">
              <w:rPr>
                <w:webHidden/>
              </w:rPr>
              <w:instrText xml:space="preserve"> PAGEREF _Toc39588385 \h </w:instrText>
            </w:r>
            <w:r w:rsidR="00DA54CB">
              <w:rPr>
                <w:webHidden/>
              </w:rPr>
            </w:r>
            <w:r w:rsidR="00DA54CB">
              <w:rPr>
                <w:webHidden/>
              </w:rPr>
              <w:fldChar w:fldCharType="separate"/>
            </w:r>
            <w:r w:rsidR="004B4461">
              <w:rPr>
                <w:webHidden/>
              </w:rPr>
              <w:t>162</w:t>
            </w:r>
            <w:r w:rsidR="00DA54CB">
              <w:rPr>
                <w:webHidden/>
              </w:rPr>
              <w:fldChar w:fldCharType="end"/>
            </w:r>
          </w:hyperlink>
        </w:p>
        <w:p w14:paraId="08EC4560" w14:textId="3E355D2B" w:rsidR="00DA54CB" w:rsidRDefault="004B21EF">
          <w:pPr>
            <w:pStyle w:val="TOC1"/>
            <w:rPr>
              <w:rFonts w:asciiTheme="minorHAnsi" w:eastAsiaTheme="minorEastAsia" w:hAnsiTheme="minorHAnsi" w:cstheme="minorBidi"/>
              <w:b w:val="0"/>
            </w:rPr>
          </w:pPr>
          <w:hyperlink w:anchor="_Toc39588386" w:history="1">
            <w:r w:rsidR="00DA54CB" w:rsidRPr="006C77C5">
              <w:rPr>
                <w:rStyle w:val="Hyperlink"/>
              </w:rPr>
              <w:t>Appendix A</w:t>
            </w:r>
            <w:r w:rsidR="00DA54CB">
              <w:rPr>
                <w:rFonts w:asciiTheme="minorHAnsi" w:eastAsiaTheme="minorEastAsia" w:hAnsiTheme="minorHAnsi" w:cstheme="minorBidi"/>
                <w:b w:val="0"/>
              </w:rPr>
              <w:tab/>
            </w:r>
            <w:r w:rsidR="00DA54CB" w:rsidRPr="006C77C5">
              <w:rPr>
                <w:rStyle w:val="Hyperlink"/>
              </w:rPr>
              <w:t>Clinical Experts and Assessment Group</w:t>
            </w:r>
            <w:r w:rsidR="00DA54CB">
              <w:rPr>
                <w:webHidden/>
              </w:rPr>
              <w:tab/>
            </w:r>
            <w:r w:rsidR="00DA54CB">
              <w:rPr>
                <w:webHidden/>
              </w:rPr>
              <w:fldChar w:fldCharType="begin"/>
            </w:r>
            <w:r w:rsidR="00DA54CB">
              <w:rPr>
                <w:webHidden/>
              </w:rPr>
              <w:instrText xml:space="preserve"> PAGEREF _Toc39588386 \h </w:instrText>
            </w:r>
            <w:r w:rsidR="00DA54CB">
              <w:rPr>
                <w:webHidden/>
              </w:rPr>
            </w:r>
            <w:r w:rsidR="00DA54CB">
              <w:rPr>
                <w:webHidden/>
              </w:rPr>
              <w:fldChar w:fldCharType="separate"/>
            </w:r>
            <w:r w:rsidR="004B4461">
              <w:rPr>
                <w:webHidden/>
              </w:rPr>
              <w:t>164</w:t>
            </w:r>
            <w:r w:rsidR="00DA54CB">
              <w:rPr>
                <w:webHidden/>
              </w:rPr>
              <w:fldChar w:fldCharType="end"/>
            </w:r>
          </w:hyperlink>
        </w:p>
        <w:p w14:paraId="6B2E21F4" w14:textId="76EB4733" w:rsidR="00DA54CB" w:rsidRDefault="004B21EF">
          <w:pPr>
            <w:pStyle w:val="TOC2"/>
            <w:rPr>
              <w:rFonts w:asciiTheme="minorHAnsi" w:eastAsiaTheme="minorEastAsia" w:hAnsiTheme="minorHAnsi" w:cstheme="minorBidi"/>
            </w:rPr>
          </w:pPr>
          <w:hyperlink w:anchor="_Toc39588387" w:history="1">
            <w:r w:rsidR="00DA54CB" w:rsidRPr="006C77C5">
              <w:rPr>
                <w:rStyle w:val="Hyperlink"/>
              </w:rPr>
              <w:t>Clinical Experts providing input</w:t>
            </w:r>
            <w:r w:rsidR="00DA54CB">
              <w:rPr>
                <w:webHidden/>
              </w:rPr>
              <w:tab/>
            </w:r>
            <w:r w:rsidR="00DA54CB">
              <w:rPr>
                <w:webHidden/>
              </w:rPr>
              <w:fldChar w:fldCharType="begin"/>
            </w:r>
            <w:r w:rsidR="00DA54CB">
              <w:rPr>
                <w:webHidden/>
              </w:rPr>
              <w:instrText xml:space="preserve"> PAGEREF _Toc39588387 \h </w:instrText>
            </w:r>
            <w:r w:rsidR="00DA54CB">
              <w:rPr>
                <w:webHidden/>
              </w:rPr>
            </w:r>
            <w:r w:rsidR="00DA54CB">
              <w:rPr>
                <w:webHidden/>
              </w:rPr>
              <w:fldChar w:fldCharType="separate"/>
            </w:r>
            <w:r w:rsidR="004B4461">
              <w:rPr>
                <w:webHidden/>
              </w:rPr>
              <w:t>164</w:t>
            </w:r>
            <w:r w:rsidR="00DA54CB">
              <w:rPr>
                <w:webHidden/>
              </w:rPr>
              <w:fldChar w:fldCharType="end"/>
            </w:r>
          </w:hyperlink>
        </w:p>
        <w:p w14:paraId="63D982AD" w14:textId="1FFFCCDA" w:rsidR="00DA54CB" w:rsidRDefault="004B21EF">
          <w:pPr>
            <w:pStyle w:val="TOC2"/>
            <w:rPr>
              <w:rFonts w:asciiTheme="minorHAnsi" w:eastAsiaTheme="minorEastAsia" w:hAnsiTheme="minorHAnsi" w:cstheme="minorBidi"/>
            </w:rPr>
          </w:pPr>
          <w:hyperlink w:anchor="_Toc39588388" w:history="1">
            <w:r w:rsidR="00DA54CB" w:rsidRPr="006C77C5">
              <w:rPr>
                <w:rStyle w:val="Hyperlink"/>
              </w:rPr>
              <w:t>Assessment group</w:t>
            </w:r>
            <w:r w:rsidR="00DA54CB">
              <w:rPr>
                <w:webHidden/>
              </w:rPr>
              <w:tab/>
            </w:r>
            <w:r w:rsidR="00DA54CB">
              <w:rPr>
                <w:webHidden/>
              </w:rPr>
              <w:fldChar w:fldCharType="begin"/>
            </w:r>
            <w:r w:rsidR="00DA54CB">
              <w:rPr>
                <w:webHidden/>
              </w:rPr>
              <w:instrText xml:space="preserve"> PAGEREF _Toc39588388 \h </w:instrText>
            </w:r>
            <w:r w:rsidR="00DA54CB">
              <w:rPr>
                <w:webHidden/>
              </w:rPr>
            </w:r>
            <w:r w:rsidR="00DA54CB">
              <w:rPr>
                <w:webHidden/>
              </w:rPr>
              <w:fldChar w:fldCharType="separate"/>
            </w:r>
            <w:r w:rsidR="004B4461">
              <w:rPr>
                <w:webHidden/>
              </w:rPr>
              <w:t>164</w:t>
            </w:r>
            <w:r w:rsidR="00DA54CB">
              <w:rPr>
                <w:webHidden/>
              </w:rPr>
              <w:fldChar w:fldCharType="end"/>
            </w:r>
          </w:hyperlink>
        </w:p>
        <w:p w14:paraId="2A771C90" w14:textId="3EDAB94D" w:rsidR="00DA54CB" w:rsidRDefault="004B21EF">
          <w:pPr>
            <w:pStyle w:val="TOC1"/>
            <w:rPr>
              <w:rFonts w:asciiTheme="minorHAnsi" w:eastAsiaTheme="minorEastAsia" w:hAnsiTheme="minorHAnsi" w:cstheme="minorBidi"/>
              <w:b w:val="0"/>
            </w:rPr>
          </w:pPr>
          <w:hyperlink w:anchor="_Toc39588389" w:history="1">
            <w:r w:rsidR="00DA54CB" w:rsidRPr="006C77C5">
              <w:rPr>
                <w:rStyle w:val="Hyperlink"/>
              </w:rPr>
              <w:t>Appendix B</w:t>
            </w:r>
            <w:r w:rsidR="00DA54CB">
              <w:rPr>
                <w:rFonts w:asciiTheme="minorHAnsi" w:eastAsiaTheme="minorEastAsia" w:hAnsiTheme="minorHAnsi" w:cstheme="minorBidi"/>
                <w:b w:val="0"/>
              </w:rPr>
              <w:tab/>
            </w:r>
            <w:r w:rsidR="00DA54CB" w:rsidRPr="006C77C5">
              <w:rPr>
                <w:rStyle w:val="Hyperlink"/>
              </w:rPr>
              <w:t>Search strategies</w:t>
            </w:r>
            <w:r w:rsidR="00DA54CB">
              <w:rPr>
                <w:webHidden/>
              </w:rPr>
              <w:tab/>
            </w:r>
            <w:r w:rsidR="00DA54CB">
              <w:rPr>
                <w:webHidden/>
              </w:rPr>
              <w:fldChar w:fldCharType="begin"/>
            </w:r>
            <w:r w:rsidR="00DA54CB">
              <w:rPr>
                <w:webHidden/>
              </w:rPr>
              <w:instrText xml:space="preserve"> PAGEREF _Toc39588389 \h </w:instrText>
            </w:r>
            <w:r w:rsidR="00DA54CB">
              <w:rPr>
                <w:webHidden/>
              </w:rPr>
            </w:r>
            <w:r w:rsidR="00DA54CB">
              <w:rPr>
                <w:webHidden/>
              </w:rPr>
              <w:fldChar w:fldCharType="separate"/>
            </w:r>
            <w:r w:rsidR="004B4461">
              <w:rPr>
                <w:webHidden/>
              </w:rPr>
              <w:t>165</w:t>
            </w:r>
            <w:r w:rsidR="00DA54CB">
              <w:rPr>
                <w:webHidden/>
              </w:rPr>
              <w:fldChar w:fldCharType="end"/>
            </w:r>
          </w:hyperlink>
        </w:p>
        <w:p w14:paraId="368F8180" w14:textId="4B3D9005" w:rsidR="00DA54CB" w:rsidRDefault="004B21EF">
          <w:pPr>
            <w:pStyle w:val="TOC3"/>
            <w:rPr>
              <w:rFonts w:asciiTheme="minorHAnsi" w:eastAsiaTheme="minorEastAsia" w:hAnsiTheme="minorHAnsi" w:cstheme="minorBidi"/>
            </w:rPr>
          </w:pPr>
          <w:hyperlink w:anchor="_Toc39588390" w:history="1">
            <w:r w:rsidR="00DA54CB" w:rsidRPr="006C77C5">
              <w:rPr>
                <w:rStyle w:val="Hyperlink"/>
              </w:rPr>
              <w:t>Bibliographic databases</w:t>
            </w:r>
            <w:r w:rsidR="00DA54CB">
              <w:rPr>
                <w:webHidden/>
              </w:rPr>
              <w:tab/>
            </w:r>
            <w:r w:rsidR="00DA54CB">
              <w:rPr>
                <w:webHidden/>
              </w:rPr>
              <w:fldChar w:fldCharType="begin"/>
            </w:r>
            <w:r w:rsidR="00DA54CB">
              <w:rPr>
                <w:webHidden/>
              </w:rPr>
              <w:instrText xml:space="preserve"> PAGEREF _Toc39588390 \h </w:instrText>
            </w:r>
            <w:r w:rsidR="00DA54CB">
              <w:rPr>
                <w:webHidden/>
              </w:rPr>
            </w:r>
            <w:r w:rsidR="00DA54CB">
              <w:rPr>
                <w:webHidden/>
              </w:rPr>
              <w:fldChar w:fldCharType="separate"/>
            </w:r>
            <w:r w:rsidR="004B4461">
              <w:rPr>
                <w:webHidden/>
              </w:rPr>
              <w:t>165</w:t>
            </w:r>
            <w:r w:rsidR="00DA54CB">
              <w:rPr>
                <w:webHidden/>
              </w:rPr>
              <w:fldChar w:fldCharType="end"/>
            </w:r>
          </w:hyperlink>
        </w:p>
        <w:p w14:paraId="3A67E664" w14:textId="23FC4FA6" w:rsidR="00DA54CB" w:rsidRDefault="004B21EF">
          <w:pPr>
            <w:pStyle w:val="TOC3"/>
            <w:rPr>
              <w:rFonts w:asciiTheme="minorHAnsi" w:eastAsiaTheme="minorEastAsia" w:hAnsiTheme="minorHAnsi" w:cstheme="minorBidi"/>
            </w:rPr>
          </w:pPr>
          <w:hyperlink w:anchor="_Toc39588391" w:history="1">
            <w:r w:rsidR="00DA54CB" w:rsidRPr="006C77C5">
              <w:rPr>
                <w:rStyle w:val="Hyperlink"/>
              </w:rPr>
              <w:t>Additional sources of literature (including specialty websites)</w:t>
            </w:r>
            <w:r w:rsidR="00DA54CB">
              <w:rPr>
                <w:webHidden/>
              </w:rPr>
              <w:tab/>
            </w:r>
            <w:r w:rsidR="00DA54CB">
              <w:rPr>
                <w:webHidden/>
              </w:rPr>
              <w:fldChar w:fldCharType="begin"/>
            </w:r>
            <w:r w:rsidR="00DA54CB">
              <w:rPr>
                <w:webHidden/>
              </w:rPr>
              <w:instrText xml:space="preserve"> PAGEREF _Toc39588391 \h </w:instrText>
            </w:r>
            <w:r w:rsidR="00DA54CB">
              <w:rPr>
                <w:webHidden/>
              </w:rPr>
            </w:r>
            <w:r w:rsidR="00DA54CB">
              <w:rPr>
                <w:webHidden/>
              </w:rPr>
              <w:fldChar w:fldCharType="separate"/>
            </w:r>
            <w:r w:rsidR="004B4461">
              <w:rPr>
                <w:webHidden/>
              </w:rPr>
              <w:t>165</w:t>
            </w:r>
            <w:r w:rsidR="00DA54CB">
              <w:rPr>
                <w:webHidden/>
              </w:rPr>
              <w:fldChar w:fldCharType="end"/>
            </w:r>
          </w:hyperlink>
        </w:p>
        <w:p w14:paraId="3EFE4A78" w14:textId="1C196040" w:rsidR="00DA54CB" w:rsidRDefault="004B21EF">
          <w:pPr>
            <w:pStyle w:val="TOC3"/>
            <w:rPr>
              <w:rFonts w:asciiTheme="minorHAnsi" w:eastAsiaTheme="minorEastAsia" w:hAnsiTheme="minorHAnsi" w:cstheme="minorBidi"/>
            </w:rPr>
          </w:pPr>
          <w:hyperlink w:anchor="_Toc39588392" w:history="1">
            <w:r w:rsidR="00DA54CB" w:rsidRPr="006C77C5">
              <w:rPr>
                <w:rStyle w:val="Hyperlink"/>
              </w:rPr>
              <w:t>HTA websites</w:t>
            </w:r>
            <w:r w:rsidR="00DA54CB">
              <w:rPr>
                <w:webHidden/>
              </w:rPr>
              <w:tab/>
            </w:r>
            <w:r w:rsidR="00DA54CB">
              <w:rPr>
                <w:webHidden/>
              </w:rPr>
              <w:fldChar w:fldCharType="begin"/>
            </w:r>
            <w:r w:rsidR="00DA54CB">
              <w:rPr>
                <w:webHidden/>
              </w:rPr>
              <w:instrText xml:space="preserve"> PAGEREF _Toc39588392 \h </w:instrText>
            </w:r>
            <w:r w:rsidR="00DA54CB">
              <w:rPr>
                <w:webHidden/>
              </w:rPr>
            </w:r>
            <w:r w:rsidR="00DA54CB">
              <w:rPr>
                <w:webHidden/>
              </w:rPr>
              <w:fldChar w:fldCharType="separate"/>
            </w:r>
            <w:r w:rsidR="004B4461">
              <w:rPr>
                <w:webHidden/>
              </w:rPr>
              <w:t>165</w:t>
            </w:r>
            <w:r w:rsidR="00DA54CB">
              <w:rPr>
                <w:webHidden/>
              </w:rPr>
              <w:fldChar w:fldCharType="end"/>
            </w:r>
          </w:hyperlink>
        </w:p>
        <w:p w14:paraId="3C7BA3A7" w14:textId="20A1EF84" w:rsidR="00DA54CB" w:rsidRDefault="004B21EF">
          <w:pPr>
            <w:pStyle w:val="TOC1"/>
            <w:rPr>
              <w:rFonts w:asciiTheme="minorHAnsi" w:eastAsiaTheme="minorEastAsia" w:hAnsiTheme="minorHAnsi" w:cstheme="minorBidi"/>
              <w:b w:val="0"/>
            </w:rPr>
          </w:pPr>
          <w:hyperlink w:anchor="_Toc39588393" w:history="1">
            <w:r w:rsidR="00DA54CB" w:rsidRPr="006C77C5">
              <w:rPr>
                <w:rStyle w:val="Hyperlink"/>
              </w:rPr>
              <w:t>Appendix C</w:t>
            </w:r>
            <w:r w:rsidR="00DA54CB">
              <w:rPr>
                <w:rFonts w:asciiTheme="minorHAnsi" w:eastAsiaTheme="minorEastAsia" w:hAnsiTheme="minorHAnsi" w:cstheme="minorBidi"/>
                <w:b w:val="0"/>
              </w:rPr>
              <w:tab/>
            </w:r>
            <w:r w:rsidR="00DA54CB" w:rsidRPr="006C77C5">
              <w:rPr>
                <w:rStyle w:val="Hyperlink"/>
              </w:rPr>
              <w:t>Studies included in the Systematic Review</w:t>
            </w:r>
            <w:r w:rsidR="00DA54CB">
              <w:rPr>
                <w:webHidden/>
              </w:rPr>
              <w:tab/>
            </w:r>
            <w:r w:rsidR="00DA54CB">
              <w:rPr>
                <w:webHidden/>
              </w:rPr>
              <w:fldChar w:fldCharType="begin"/>
            </w:r>
            <w:r w:rsidR="00DA54CB">
              <w:rPr>
                <w:webHidden/>
              </w:rPr>
              <w:instrText xml:space="preserve"> PAGEREF _Toc39588393 \h </w:instrText>
            </w:r>
            <w:r w:rsidR="00DA54CB">
              <w:rPr>
                <w:webHidden/>
              </w:rPr>
            </w:r>
            <w:r w:rsidR="00DA54CB">
              <w:rPr>
                <w:webHidden/>
              </w:rPr>
              <w:fldChar w:fldCharType="separate"/>
            </w:r>
            <w:r w:rsidR="004B4461">
              <w:rPr>
                <w:webHidden/>
              </w:rPr>
              <w:t>167</w:t>
            </w:r>
            <w:r w:rsidR="00DA54CB">
              <w:rPr>
                <w:webHidden/>
              </w:rPr>
              <w:fldChar w:fldCharType="end"/>
            </w:r>
          </w:hyperlink>
        </w:p>
        <w:p w14:paraId="6E421123" w14:textId="16420942" w:rsidR="00DA54CB" w:rsidRDefault="004B21EF">
          <w:pPr>
            <w:pStyle w:val="TOC1"/>
            <w:rPr>
              <w:rFonts w:asciiTheme="minorHAnsi" w:eastAsiaTheme="minorEastAsia" w:hAnsiTheme="minorHAnsi" w:cstheme="minorBidi"/>
              <w:b w:val="0"/>
            </w:rPr>
          </w:pPr>
          <w:hyperlink w:anchor="_Toc39588394" w:history="1">
            <w:r w:rsidR="00DA54CB" w:rsidRPr="006C77C5">
              <w:rPr>
                <w:rStyle w:val="Hyperlink"/>
              </w:rPr>
              <w:t>Appendix D</w:t>
            </w:r>
            <w:r w:rsidR="00DA54CB">
              <w:rPr>
                <w:rFonts w:asciiTheme="minorHAnsi" w:eastAsiaTheme="minorEastAsia" w:hAnsiTheme="minorHAnsi" w:cstheme="minorBidi"/>
                <w:b w:val="0"/>
              </w:rPr>
              <w:tab/>
            </w:r>
            <w:r w:rsidR="00DA54CB" w:rsidRPr="006C77C5">
              <w:rPr>
                <w:rStyle w:val="Hyperlink"/>
              </w:rPr>
              <w:t>Evidence Profile Tables</w:t>
            </w:r>
            <w:r w:rsidR="00DA54CB">
              <w:rPr>
                <w:webHidden/>
              </w:rPr>
              <w:tab/>
            </w:r>
            <w:r w:rsidR="00DA54CB">
              <w:rPr>
                <w:webHidden/>
              </w:rPr>
              <w:fldChar w:fldCharType="begin"/>
            </w:r>
            <w:r w:rsidR="00DA54CB">
              <w:rPr>
                <w:webHidden/>
              </w:rPr>
              <w:instrText xml:space="preserve"> PAGEREF _Toc39588394 \h </w:instrText>
            </w:r>
            <w:r w:rsidR="00DA54CB">
              <w:rPr>
                <w:webHidden/>
              </w:rPr>
            </w:r>
            <w:r w:rsidR="00DA54CB">
              <w:rPr>
                <w:webHidden/>
              </w:rPr>
              <w:fldChar w:fldCharType="separate"/>
            </w:r>
            <w:r w:rsidR="004B4461">
              <w:rPr>
                <w:webHidden/>
              </w:rPr>
              <w:t>175</w:t>
            </w:r>
            <w:r w:rsidR="00DA54CB">
              <w:rPr>
                <w:webHidden/>
              </w:rPr>
              <w:fldChar w:fldCharType="end"/>
            </w:r>
          </w:hyperlink>
        </w:p>
        <w:p w14:paraId="779852E3" w14:textId="111EFC6B" w:rsidR="00DA54CB" w:rsidRDefault="004B21EF">
          <w:pPr>
            <w:pStyle w:val="TOC1"/>
            <w:rPr>
              <w:rFonts w:asciiTheme="minorHAnsi" w:eastAsiaTheme="minorEastAsia" w:hAnsiTheme="minorHAnsi" w:cstheme="minorBidi"/>
              <w:b w:val="0"/>
            </w:rPr>
          </w:pPr>
          <w:hyperlink w:anchor="_Toc39588395" w:history="1">
            <w:r w:rsidR="00DA54CB" w:rsidRPr="006C77C5">
              <w:rPr>
                <w:rStyle w:val="Hyperlink"/>
              </w:rPr>
              <w:t>Appendix E</w:t>
            </w:r>
            <w:r w:rsidR="00DA54CB">
              <w:rPr>
                <w:rFonts w:asciiTheme="minorHAnsi" w:eastAsiaTheme="minorEastAsia" w:hAnsiTheme="minorHAnsi" w:cstheme="minorBidi"/>
                <w:b w:val="0"/>
              </w:rPr>
              <w:tab/>
            </w:r>
            <w:r w:rsidR="00DA54CB" w:rsidRPr="006C77C5">
              <w:rPr>
                <w:rStyle w:val="Hyperlink"/>
              </w:rPr>
              <w:t>Excluded Studies</w:t>
            </w:r>
            <w:r w:rsidR="00DA54CB">
              <w:rPr>
                <w:webHidden/>
              </w:rPr>
              <w:tab/>
            </w:r>
            <w:r w:rsidR="00DA54CB">
              <w:rPr>
                <w:webHidden/>
              </w:rPr>
              <w:fldChar w:fldCharType="begin"/>
            </w:r>
            <w:r w:rsidR="00DA54CB">
              <w:rPr>
                <w:webHidden/>
              </w:rPr>
              <w:instrText xml:space="preserve"> PAGEREF _Toc39588395 \h </w:instrText>
            </w:r>
            <w:r w:rsidR="00DA54CB">
              <w:rPr>
                <w:webHidden/>
              </w:rPr>
            </w:r>
            <w:r w:rsidR="00DA54CB">
              <w:rPr>
                <w:webHidden/>
              </w:rPr>
              <w:fldChar w:fldCharType="separate"/>
            </w:r>
            <w:r w:rsidR="004B4461">
              <w:rPr>
                <w:webHidden/>
              </w:rPr>
              <w:t>186</w:t>
            </w:r>
            <w:r w:rsidR="00DA54CB">
              <w:rPr>
                <w:webHidden/>
              </w:rPr>
              <w:fldChar w:fldCharType="end"/>
            </w:r>
          </w:hyperlink>
        </w:p>
        <w:p w14:paraId="29B0D350" w14:textId="1373B890" w:rsidR="00DA54CB" w:rsidRDefault="004B21EF">
          <w:pPr>
            <w:pStyle w:val="TOC1"/>
            <w:rPr>
              <w:rFonts w:asciiTheme="minorHAnsi" w:eastAsiaTheme="minorEastAsia" w:hAnsiTheme="minorHAnsi" w:cstheme="minorBidi"/>
              <w:b w:val="0"/>
            </w:rPr>
          </w:pPr>
          <w:hyperlink w:anchor="_Toc39588396" w:history="1">
            <w:r w:rsidR="00DA54CB" w:rsidRPr="006C77C5">
              <w:rPr>
                <w:rStyle w:val="Hyperlink"/>
              </w:rPr>
              <w:t>Appendix F</w:t>
            </w:r>
            <w:r w:rsidR="00DA54CB">
              <w:rPr>
                <w:rFonts w:asciiTheme="minorHAnsi" w:eastAsiaTheme="minorEastAsia" w:hAnsiTheme="minorHAnsi" w:cstheme="minorBidi"/>
                <w:b w:val="0"/>
              </w:rPr>
              <w:tab/>
            </w:r>
            <w:r w:rsidR="00DA54CB" w:rsidRPr="006C77C5">
              <w:rPr>
                <w:rStyle w:val="Hyperlink"/>
              </w:rPr>
              <w:t>IPND diagnostic criteria for NMOSD</w:t>
            </w:r>
            <w:r w:rsidR="00DA54CB">
              <w:rPr>
                <w:webHidden/>
              </w:rPr>
              <w:tab/>
            </w:r>
            <w:r w:rsidR="00DA54CB">
              <w:rPr>
                <w:webHidden/>
              </w:rPr>
              <w:fldChar w:fldCharType="begin"/>
            </w:r>
            <w:r w:rsidR="00DA54CB">
              <w:rPr>
                <w:webHidden/>
              </w:rPr>
              <w:instrText xml:space="preserve"> PAGEREF _Toc39588396 \h </w:instrText>
            </w:r>
            <w:r w:rsidR="00DA54CB">
              <w:rPr>
                <w:webHidden/>
              </w:rPr>
            </w:r>
            <w:r w:rsidR="00DA54CB">
              <w:rPr>
                <w:webHidden/>
              </w:rPr>
              <w:fldChar w:fldCharType="separate"/>
            </w:r>
            <w:r w:rsidR="004B4461">
              <w:rPr>
                <w:webHidden/>
              </w:rPr>
              <w:t>199</w:t>
            </w:r>
            <w:r w:rsidR="00DA54CB">
              <w:rPr>
                <w:webHidden/>
              </w:rPr>
              <w:fldChar w:fldCharType="end"/>
            </w:r>
          </w:hyperlink>
        </w:p>
        <w:p w14:paraId="7FA77FD9" w14:textId="64DC12F0" w:rsidR="00DA54CB" w:rsidRDefault="004B21EF">
          <w:pPr>
            <w:pStyle w:val="TOC1"/>
            <w:rPr>
              <w:rFonts w:asciiTheme="minorHAnsi" w:eastAsiaTheme="minorEastAsia" w:hAnsiTheme="minorHAnsi" w:cstheme="minorBidi"/>
              <w:b w:val="0"/>
            </w:rPr>
          </w:pPr>
          <w:hyperlink w:anchor="_Toc39588397" w:history="1">
            <w:r w:rsidR="00DA54CB" w:rsidRPr="006C77C5">
              <w:rPr>
                <w:rStyle w:val="Hyperlink"/>
              </w:rPr>
              <w:t>Appendix G</w:t>
            </w:r>
            <w:r w:rsidR="00DA54CB">
              <w:rPr>
                <w:rFonts w:asciiTheme="minorHAnsi" w:eastAsiaTheme="minorEastAsia" w:hAnsiTheme="minorHAnsi" w:cstheme="minorBidi"/>
                <w:b w:val="0"/>
              </w:rPr>
              <w:tab/>
            </w:r>
            <w:r w:rsidR="00DA54CB" w:rsidRPr="006C77C5">
              <w:rPr>
                <w:rStyle w:val="Hyperlink"/>
              </w:rPr>
              <w:t>PPICO criteria for linked evidence</w:t>
            </w:r>
            <w:r w:rsidR="00DA54CB">
              <w:rPr>
                <w:webHidden/>
              </w:rPr>
              <w:tab/>
            </w:r>
            <w:r w:rsidR="00DA54CB">
              <w:rPr>
                <w:webHidden/>
              </w:rPr>
              <w:fldChar w:fldCharType="begin"/>
            </w:r>
            <w:r w:rsidR="00DA54CB">
              <w:rPr>
                <w:webHidden/>
              </w:rPr>
              <w:instrText xml:space="preserve"> PAGEREF _Toc39588397 \h </w:instrText>
            </w:r>
            <w:r w:rsidR="00DA54CB">
              <w:rPr>
                <w:webHidden/>
              </w:rPr>
            </w:r>
            <w:r w:rsidR="00DA54CB">
              <w:rPr>
                <w:webHidden/>
              </w:rPr>
              <w:fldChar w:fldCharType="separate"/>
            </w:r>
            <w:r w:rsidR="004B4461">
              <w:rPr>
                <w:webHidden/>
              </w:rPr>
              <w:t>200</w:t>
            </w:r>
            <w:r w:rsidR="00DA54CB">
              <w:rPr>
                <w:webHidden/>
              </w:rPr>
              <w:fldChar w:fldCharType="end"/>
            </w:r>
          </w:hyperlink>
        </w:p>
        <w:p w14:paraId="57E0953A" w14:textId="2BBCAB9B" w:rsidR="00DA54CB" w:rsidRDefault="004B21EF">
          <w:pPr>
            <w:pStyle w:val="TOC1"/>
            <w:rPr>
              <w:rFonts w:asciiTheme="minorHAnsi" w:eastAsiaTheme="minorEastAsia" w:hAnsiTheme="minorHAnsi" w:cstheme="minorBidi"/>
              <w:b w:val="0"/>
            </w:rPr>
          </w:pPr>
          <w:hyperlink w:anchor="_Toc39588398" w:history="1">
            <w:r w:rsidR="00DA54CB" w:rsidRPr="006C77C5">
              <w:rPr>
                <w:rStyle w:val="Hyperlink"/>
              </w:rPr>
              <w:t>Appendix H</w:t>
            </w:r>
            <w:r w:rsidR="00DA54CB">
              <w:rPr>
                <w:rFonts w:asciiTheme="minorHAnsi" w:eastAsiaTheme="minorEastAsia" w:hAnsiTheme="minorHAnsi" w:cstheme="minorBidi"/>
                <w:b w:val="0"/>
              </w:rPr>
              <w:tab/>
            </w:r>
            <w:r w:rsidR="00DA54CB" w:rsidRPr="006C77C5">
              <w:rPr>
                <w:rStyle w:val="Hyperlink"/>
              </w:rPr>
              <w:t>Sensitivity and specificity of various AQP4-Ab assays</w:t>
            </w:r>
            <w:r w:rsidR="00DA54CB">
              <w:rPr>
                <w:webHidden/>
              </w:rPr>
              <w:tab/>
            </w:r>
            <w:r w:rsidR="00DA54CB">
              <w:rPr>
                <w:webHidden/>
              </w:rPr>
              <w:fldChar w:fldCharType="begin"/>
            </w:r>
            <w:r w:rsidR="00DA54CB">
              <w:rPr>
                <w:webHidden/>
              </w:rPr>
              <w:instrText xml:space="preserve"> PAGEREF _Toc39588398 \h </w:instrText>
            </w:r>
            <w:r w:rsidR="00DA54CB">
              <w:rPr>
                <w:webHidden/>
              </w:rPr>
            </w:r>
            <w:r w:rsidR="00DA54CB">
              <w:rPr>
                <w:webHidden/>
              </w:rPr>
              <w:fldChar w:fldCharType="separate"/>
            </w:r>
            <w:r w:rsidR="004B4461">
              <w:rPr>
                <w:webHidden/>
              </w:rPr>
              <w:t>203</w:t>
            </w:r>
            <w:r w:rsidR="00DA54CB">
              <w:rPr>
                <w:webHidden/>
              </w:rPr>
              <w:fldChar w:fldCharType="end"/>
            </w:r>
          </w:hyperlink>
        </w:p>
        <w:p w14:paraId="5DC9B367" w14:textId="6116EEC2" w:rsidR="00DA54CB" w:rsidRDefault="004B21EF">
          <w:pPr>
            <w:pStyle w:val="TOC1"/>
            <w:rPr>
              <w:rFonts w:asciiTheme="minorHAnsi" w:eastAsiaTheme="minorEastAsia" w:hAnsiTheme="minorHAnsi" w:cstheme="minorBidi"/>
              <w:b w:val="0"/>
            </w:rPr>
          </w:pPr>
          <w:hyperlink w:anchor="_Toc39588399" w:history="1">
            <w:r w:rsidR="00DA54CB" w:rsidRPr="006C77C5">
              <w:rPr>
                <w:rStyle w:val="Hyperlink"/>
              </w:rPr>
              <w:t>Appendix I</w:t>
            </w:r>
            <w:r w:rsidR="00DA54CB">
              <w:rPr>
                <w:rFonts w:asciiTheme="minorHAnsi" w:eastAsiaTheme="minorEastAsia" w:hAnsiTheme="minorHAnsi" w:cstheme="minorBidi"/>
                <w:b w:val="0"/>
              </w:rPr>
              <w:tab/>
            </w:r>
            <w:r w:rsidR="00DA54CB" w:rsidRPr="006C77C5">
              <w:rPr>
                <w:rStyle w:val="Hyperlink"/>
              </w:rPr>
              <w:t>Additional information for economic analysis</w:t>
            </w:r>
            <w:r w:rsidR="00DA54CB">
              <w:rPr>
                <w:webHidden/>
              </w:rPr>
              <w:tab/>
            </w:r>
            <w:r w:rsidR="00DA54CB">
              <w:rPr>
                <w:webHidden/>
              </w:rPr>
              <w:fldChar w:fldCharType="begin"/>
            </w:r>
            <w:r w:rsidR="00DA54CB">
              <w:rPr>
                <w:webHidden/>
              </w:rPr>
              <w:instrText xml:space="preserve"> PAGEREF _Toc39588399 \h </w:instrText>
            </w:r>
            <w:r w:rsidR="00DA54CB">
              <w:rPr>
                <w:webHidden/>
              </w:rPr>
            </w:r>
            <w:r w:rsidR="00DA54CB">
              <w:rPr>
                <w:webHidden/>
              </w:rPr>
              <w:fldChar w:fldCharType="separate"/>
            </w:r>
            <w:r w:rsidR="004B4461">
              <w:rPr>
                <w:webHidden/>
              </w:rPr>
              <w:t>205</w:t>
            </w:r>
            <w:r w:rsidR="00DA54CB">
              <w:rPr>
                <w:webHidden/>
              </w:rPr>
              <w:fldChar w:fldCharType="end"/>
            </w:r>
          </w:hyperlink>
        </w:p>
        <w:p w14:paraId="1DF44E63" w14:textId="60287043" w:rsidR="00DA54CB" w:rsidRDefault="004B21EF">
          <w:pPr>
            <w:pStyle w:val="TOC3"/>
            <w:rPr>
              <w:rFonts w:asciiTheme="minorHAnsi" w:eastAsiaTheme="minorEastAsia" w:hAnsiTheme="minorHAnsi" w:cstheme="minorBidi"/>
            </w:rPr>
          </w:pPr>
          <w:hyperlink w:anchor="_Toc39588400" w:history="1">
            <w:r w:rsidR="00DA54CB" w:rsidRPr="006C77C5">
              <w:rPr>
                <w:rStyle w:val="Hyperlink"/>
              </w:rPr>
              <w:t>Summary of inputs to the model</w:t>
            </w:r>
            <w:r w:rsidR="00DA54CB">
              <w:rPr>
                <w:webHidden/>
              </w:rPr>
              <w:tab/>
            </w:r>
            <w:r w:rsidR="00DA54CB">
              <w:rPr>
                <w:webHidden/>
              </w:rPr>
              <w:fldChar w:fldCharType="begin"/>
            </w:r>
            <w:r w:rsidR="00DA54CB">
              <w:rPr>
                <w:webHidden/>
              </w:rPr>
              <w:instrText xml:space="preserve"> PAGEREF _Toc39588400 \h </w:instrText>
            </w:r>
            <w:r w:rsidR="00DA54CB">
              <w:rPr>
                <w:webHidden/>
              </w:rPr>
            </w:r>
            <w:r w:rsidR="00DA54CB">
              <w:rPr>
                <w:webHidden/>
              </w:rPr>
              <w:fldChar w:fldCharType="separate"/>
            </w:r>
            <w:r w:rsidR="004B4461">
              <w:rPr>
                <w:webHidden/>
              </w:rPr>
              <w:t>205</w:t>
            </w:r>
            <w:r w:rsidR="00DA54CB">
              <w:rPr>
                <w:webHidden/>
              </w:rPr>
              <w:fldChar w:fldCharType="end"/>
            </w:r>
          </w:hyperlink>
        </w:p>
        <w:p w14:paraId="406FE8E2" w14:textId="7D16FB80" w:rsidR="00DA54CB" w:rsidRDefault="004B21EF">
          <w:pPr>
            <w:pStyle w:val="TOC3"/>
            <w:rPr>
              <w:rFonts w:asciiTheme="minorHAnsi" w:eastAsiaTheme="minorEastAsia" w:hAnsiTheme="minorHAnsi" w:cstheme="minorBidi"/>
            </w:rPr>
          </w:pPr>
          <w:hyperlink w:anchor="_Toc39588401" w:history="1">
            <w:r w:rsidR="00DA54CB" w:rsidRPr="006C77C5">
              <w:rPr>
                <w:rStyle w:val="Hyperlink"/>
              </w:rPr>
              <w:t>Markov traces for nodes with Markov initiation (base-case analysis)</w:t>
            </w:r>
            <w:r w:rsidR="00DA54CB">
              <w:rPr>
                <w:webHidden/>
              </w:rPr>
              <w:tab/>
            </w:r>
            <w:r w:rsidR="00DA54CB">
              <w:rPr>
                <w:webHidden/>
              </w:rPr>
              <w:fldChar w:fldCharType="begin"/>
            </w:r>
            <w:r w:rsidR="00DA54CB">
              <w:rPr>
                <w:webHidden/>
              </w:rPr>
              <w:instrText xml:space="preserve"> PAGEREF _Toc39588401 \h </w:instrText>
            </w:r>
            <w:r w:rsidR="00DA54CB">
              <w:rPr>
                <w:webHidden/>
              </w:rPr>
            </w:r>
            <w:r w:rsidR="00DA54CB">
              <w:rPr>
                <w:webHidden/>
              </w:rPr>
              <w:fldChar w:fldCharType="separate"/>
            </w:r>
            <w:r w:rsidR="004B4461">
              <w:rPr>
                <w:webHidden/>
              </w:rPr>
              <w:t>207</w:t>
            </w:r>
            <w:r w:rsidR="00DA54CB">
              <w:rPr>
                <w:webHidden/>
              </w:rPr>
              <w:fldChar w:fldCharType="end"/>
            </w:r>
          </w:hyperlink>
        </w:p>
        <w:p w14:paraId="2045F36E" w14:textId="686130B8" w:rsidR="00DA54CB" w:rsidRDefault="004B21EF">
          <w:pPr>
            <w:pStyle w:val="TOC3"/>
            <w:rPr>
              <w:rFonts w:asciiTheme="minorHAnsi" w:eastAsiaTheme="minorEastAsia" w:hAnsiTheme="minorHAnsi" w:cstheme="minorBidi"/>
            </w:rPr>
          </w:pPr>
          <w:hyperlink w:anchor="_Toc39588402" w:history="1">
            <w:r w:rsidR="00DA54CB" w:rsidRPr="006C77C5">
              <w:rPr>
                <w:rStyle w:val="Hyperlink"/>
                <w:rFonts w:eastAsiaTheme="minorHAnsi"/>
              </w:rPr>
              <w:t>Sensitivity analyses (time-horizon)</w:t>
            </w:r>
            <w:r w:rsidR="00DA54CB">
              <w:rPr>
                <w:webHidden/>
              </w:rPr>
              <w:tab/>
            </w:r>
            <w:r w:rsidR="00DA54CB">
              <w:rPr>
                <w:webHidden/>
              </w:rPr>
              <w:fldChar w:fldCharType="begin"/>
            </w:r>
            <w:r w:rsidR="00DA54CB">
              <w:rPr>
                <w:webHidden/>
              </w:rPr>
              <w:instrText xml:space="preserve"> PAGEREF _Toc39588402 \h </w:instrText>
            </w:r>
            <w:r w:rsidR="00DA54CB">
              <w:rPr>
                <w:webHidden/>
              </w:rPr>
            </w:r>
            <w:r w:rsidR="00DA54CB">
              <w:rPr>
                <w:webHidden/>
              </w:rPr>
              <w:fldChar w:fldCharType="separate"/>
            </w:r>
            <w:r w:rsidR="004B4461">
              <w:rPr>
                <w:webHidden/>
              </w:rPr>
              <w:t>211</w:t>
            </w:r>
            <w:r w:rsidR="00DA54CB">
              <w:rPr>
                <w:webHidden/>
              </w:rPr>
              <w:fldChar w:fldCharType="end"/>
            </w:r>
          </w:hyperlink>
        </w:p>
        <w:p w14:paraId="369887D2" w14:textId="60029B68" w:rsidR="00DA54CB" w:rsidRDefault="004B21EF">
          <w:pPr>
            <w:pStyle w:val="TOC1"/>
            <w:rPr>
              <w:rFonts w:asciiTheme="minorHAnsi" w:eastAsiaTheme="minorEastAsia" w:hAnsiTheme="minorHAnsi" w:cstheme="minorBidi"/>
              <w:b w:val="0"/>
            </w:rPr>
          </w:pPr>
          <w:hyperlink w:anchor="_Toc39588403" w:history="1">
            <w:r w:rsidR="00DA54CB" w:rsidRPr="006C77C5">
              <w:rPr>
                <w:rStyle w:val="Hyperlink"/>
              </w:rPr>
              <w:t>Appendix J</w:t>
            </w:r>
            <w:r w:rsidR="00DA54CB">
              <w:rPr>
                <w:rFonts w:asciiTheme="minorHAnsi" w:eastAsiaTheme="minorEastAsia" w:hAnsiTheme="minorHAnsi" w:cstheme="minorBidi"/>
                <w:b w:val="0"/>
              </w:rPr>
              <w:tab/>
            </w:r>
            <w:r w:rsidR="00DA54CB" w:rsidRPr="006C77C5">
              <w:rPr>
                <w:rStyle w:val="Hyperlink"/>
              </w:rPr>
              <w:t>Additional information for financial analysis</w:t>
            </w:r>
            <w:r w:rsidR="00DA54CB">
              <w:rPr>
                <w:webHidden/>
              </w:rPr>
              <w:tab/>
            </w:r>
            <w:r w:rsidR="00DA54CB">
              <w:rPr>
                <w:webHidden/>
              </w:rPr>
              <w:fldChar w:fldCharType="begin"/>
            </w:r>
            <w:r w:rsidR="00DA54CB">
              <w:rPr>
                <w:webHidden/>
              </w:rPr>
              <w:instrText xml:space="preserve"> PAGEREF _Toc39588403 \h </w:instrText>
            </w:r>
            <w:r w:rsidR="00DA54CB">
              <w:rPr>
                <w:webHidden/>
              </w:rPr>
            </w:r>
            <w:r w:rsidR="00DA54CB">
              <w:rPr>
                <w:webHidden/>
              </w:rPr>
              <w:fldChar w:fldCharType="separate"/>
            </w:r>
            <w:r w:rsidR="004B4461">
              <w:rPr>
                <w:webHidden/>
              </w:rPr>
              <w:t>212</w:t>
            </w:r>
            <w:r w:rsidR="00DA54CB">
              <w:rPr>
                <w:webHidden/>
              </w:rPr>
              <w:fldChar w:fldCharType="end"/>
            </w:r>
          </w:hyperlink>
        </w:p>
        <w:p w14:paraId="149F5A5C" w14:textId="0CDB7C32" w:rsidR="00DA54CB" w:rsidRDefault="004B21EF">
          <w:pPr>
            <w:pStyle w:val="TOC1"/>
            <w:rPr>
              <w:rFonts w:asciiTheme="minorHAnsi" w:eastAsiaTheme="minorEastAsia" w:hAnsiTheme="minorHAnsi" w:cstheme="minorBidi"/>
              <w:b w:val="0"/>
            </w:rPr>
          </w:pPr>
          <w:hyperlink w:anchor="_Toc39588404" w:history="1">
            <w:r w:rsidR="00DA54CB" w:rsidRPr="006C77C5">
              <w:rPr>
                <w:rStyle w:val="Hyperlink"/>
              </w:rPr>
              <w:t>References</w:t>
            </w:r>
            <w:r w:rsidR="00DA54CB">
              <w:rPr>
                <w:webHidden/>
              </w:rPr>
              <w:tab/>
            </w:r>
            <w:r w:rsidR="00DA54CB">
              <w:rPr>
                <w:webHidden/>
              </w:rPr>
              <w:tab/>
            </w:r>
            <w:r w:rsidR="00DA54CB">
              <w:rPr>
                <w:webHidden/>
              </w:rPr>
              <w:fldChar w:fldCharType="begin"/>
            </w:r>
            <w:r w:rsidR="00DA54CB">
              <w:rPr>
                <w:webHidden/>
              </w:rPr>
              <w:instrText xml:space="preserve"> PAGEREF _Toc39588404 \h </w:instrText>
            </w:r>
            <w:r w:rsidR="00DA54CB">
              <w:rPr>
                <w:webHidden/>
              </w:rPr>
            </w:r>
            <w:r w:rsidR="00DA54CB">
              <w:rPr>
                <w:webHidden/>
              </w:rPr>
              <w:fldChar w:fldCharType="separate"/>
            </w:r>
            <w:r w:rsidR="004B4461">
              <w:rPr>
                <w:webHidden/>
              </w:rPr>
              <w:t>213</w:t>
            </w:r>
            <w:r w:rsidR="00DA54CB">
              <w:rPr>
                <w:webHidden/>
              </w:rPr>
              <w:fldChar w:fldCharType="end"/>
            </w:r>
          </w:hyperlink>
        </w:p>
        <w:p w14:paraId="750DE64A" w14:textId="494CDBB6" w:rsidR="00ED65EE" w:rsidRDefault="00ED65EE" w:rsidP="00ED65EE">
          <w:r>
            <w:rPr>
              <w:b/>
              <w:bCs/>
              <w:noProof/>
            </w:rPr>
            <w:fldChar w:fldCharType="end"/>
          </w:r>
        </w:p>
      </w:sdtContent>
    </w:sdt>
    <w:p w14:paraId="31489C3F" w14:textId="77777777" w:rsidR="00ED65EE" w:rsidRPr="00183E4D" w:rsidRDefault="00ED65EE" w:rsidP="00ED65EE">
      <w:pPr>
        <w:pStyle w:val="Heading2"/>
        <w:jc w:val="both"/>
      </w:pPr>
      <w:r w:rsidRPr="00183E4D">
        <w:br w:type="page"/>
      </w:r>
      <w:bookmarkStart w:id="16" w:name="_Toc381796425"/>
      <w:bookmarkStart w:id="17" w:name="_Toc395200736"/>
      <w:bookmarkStart w:id="18" w:name="_Toc399247191"/>
      <w:bookmarkStart w:id="19" w:name="_Toc39588242"/>
      <w:r w:rsidRPr="00183E4D">
        <w:lastRenderedPageBreak/>
        <w:t>Tables</w:t>
      </w:r>
      <w:bookmarkEnd w:id="16"/>
      <w:bookmarkEnd w:id="17"/>
      <w:bookmarkEnd w:id="18"/>
      <w:bookmarkEnd w:id="19"/>
    </w:p>
    <w:bookmarkStart w:id="20" w:name="_Toc381796426"/>
    <w:bookmarkStart w:id="21" w:name="_Toc395200737"/>
    <w:p w14:paraId="01991095" w14:textId="72056DA7" w:rsidR="00B0479F" w:rsidRDefault="00ED65EE">
      <w:pPr>
        <w:pStyle w:val="TableofFigures"/>
        <w:rPr>
          <w:rFonts w:asciiTheme="minorHAnsi" w:eastAsiaTheme="minorEastAsia" w:hAnsiTheme="minorHAnsi" w:cstheme="minorBidi"/>
        </w:rPr>
      </w:pPr>
      <w:r>
        <w:rPr>
          <w:rFonts w:asciiTheme="minorHAnsi" w:eastAsiaTheme="minorEastAsia" w:hAnsiTheme="minorHAnsi" w:cstheme="minorBidi"/>
          <w:b/>
          <w:smallCaps/>
        </w:rPr>
        <w:fldChar w:fldCharType="begin"/>
      </w:r>
      <w:r>
        <w:rPr>
          <w:rFonts w:asciiTheme="minorHAnsi" w:eastAsiaTheme="minorEastAsia" w:hAnsiTheme="minorHAnsi" w:cstheme="minorBidi"/>
          <w:b/>
          <w:smallCaps/>
        </w:rPr>
        <w:instrText xml:space="preserve"> TOC \h \z \c "Table" </w:instrText>
      </w:r>
      <w:r>
        <w:rPr>
          <w:rFonts w:asciiTheme="minorHAnsi" w:eastAsiaTheme="minorEastAsia" w:hAnsiTheme="minorHAnsi" w:cstheme="minorBidi"/>
          <w:b/>
          <w:smallCaps/>
        </w:rPr>
        <w:fldChar w:fldCharType="separate"/>
      </w:r>
      <w:hyperlink w:anchor="_Toc39580782" w:history="1">
        <w:r w:rsidR="00B0479F" w:rsidRPr="008E68B6">
          <w:rPr>
            <w:rStyle w:val="Hyperlink"/>
          </w:rPr>
          <w:t>Table 1</w:t>
        </w:r>
        <w:r w:rsidR="00B0479F">
          <w:rPr>
            <w:rFonts w:asciiTheme="minorHAnsi" w:eastAsiaTheme="minorEastAsia" w:hAnsiTheme="minorHAnsi" w:cstheme="minorBidi"/>
          </w:rPr>
          <w:tab/>
        </w:r>
        <w:r w:rsidR="00B0479F" w:rsidRPr="008E68B6">
          <w:rPr>
            <w:rStyle w:val="Hyperlink"/>
          </w:rPr>
          <w:t>Proposed MBS item descriptor for antibody testing to diagnose or monitor NMOSD</w:t>
        </w:r>
        <w:r w:rsidR="00B0479F">
          <w:rPr>
            <w:webHidden/>
          </w:rPr>
          <w:tab/>
        </w:r>
        <w:r w:rsidR="00B0479F">
          <w:rPr>
            <w:webHidden/>
          </w:rPr>
          <w:fldChar w:fldCharType="begin"/>
        </w:r>
        <w:r w:rsidR="00B0479F">
          <w:rPr>
            <w:webHidden/>
          </w:rPr>
          <w:instrText xml:space="preserve"> PAGEREF _Toc39580782 \h </w:instrText>
        </w:r>
        <w:r w:rsidR="00B0479F">
          <w:rPr>
            <w:webHidden/>
          </w:rPr>
        </w:r>
        <w:r w:rsidR="00B0479F">
          <w:rPr>
            <w:webHidden/>
          </w:rPr>
          <w:fldChar w:fldCharType="separate"/>
        </w:r>
        <w:r w:rsidR="009677B6">
          <w:rPr>
            <w:webHidden/>
          </w:rPr>
          <w:t>18</w:t>
        </w:r>
        <w:r w:rsidR="00B0479F">
          <w:rPr>
            <w:webHidden/>
          </w:rPr>
          <w:fldChar w:fldCharType="end"/>
        </w:r>
      </w:hyperlink>
    </w:p>
    <w:p w14:paraId="681DD761" w14:textId="54ED486C" w:rsidR="00B0479F" w:rsidRDefault="004B21EF">
      <w:pPr>
        <w:pStyle w:val="TableofFigures"/>
        <w:rPr>
          <w:rFonts w:asciiTheme="minorHAnsi" w:eastAsiaTheme="minorEastAsia" w:hAnsiTheme="minorHAnsi" w:cstheme="minorBidi"/>
        </w:rPr>
      </w:pPr>
      <w:hyperlink w:anchor="_Toc39580783" w:history="1">
        <w:r w:rsidR="00B0479F" w:rsidRPr="008E68B6">
          <w:rPr>
            <w:rStyle w:val="Hyperlink"/>
          </w:rPr>
          <w:t>Table 2</w:t>
        </w:r>
        <w:r w:rsidR="00B0479F">
          <w:rPr>
            <w:rFonts w:asciiTheme="minorHAnsi" w:eastAsiaTheme="minorEastAsia" w:hAnsiTheme="minorHAnsi" w:cstheme="minorBidi"/>
          </w:rPr>
          <w:tab/>
        </w:r>
        <w:r w:rsidR="00B0479F" w:rsidRPr="008E68B6">
          <w:rPr>
            <w:rStyle w:val="Hyperlink"/>
          </w:rPr>
          <w:t>F</w:t>
        </w:r>
        <w:r w:rsidR="00B0479F" w:rsidRPr="008E68B6">
          <w:rPr>
            <w:rStyle w:val="Hyperlink"/>
            <w:snapToGrid w:val="0"/>
            <w:lang w:eastAsia="en-US"/>
          </w:rPr>
          <w:t>eatures of the key studies included in the linked evidence</w:t>
        </w:r>
        <w:r w:rsidR="00B0479F">
          <w:rPr>
            <w:webHidden/>
          </w:rPr>
          <w:tab/>
        </w:r>
        <w:r w:rsidR="00B0479F">
          <w:rPr>
            <w:webHidden/>
          </w:rPr>
          <w:fldChar w:fldCharType="begin"/>
        </w:r>
        <w:r w:rsidR="00B0479F">
          <w:rPr>
            <w:webHidden/>
          </w:rPr>
          <w:instrText xml:space="preserve"> PAGEREF _Toc39580783 \h </w:instrText>
        </w:r>
        <w:r w:rsidR="00B0479F">
          <w:rPr>
            <w:webHidden/>
          </w:rPr>
        </w:r>
        <w:r w:rsidR="00B0479F">
          <w:rPr>
            <w:webHidden/>
          </w:rPr>
          <w:fldChar w:fldCharType="separate"/>
        </w:r>
        <w:r w:rsidR="009677B6">
          <w:rPr>
            <w:webHidden/>
          </w:rPr>
          <w:t>21</w:t>
        </w:r>
        <w:r w:rsidR="00B0479F">
          <w:rPr>
            <w:webHidden/>
          </w:rPr>
          <w:fldChar w:fldCharType="end"/>
        </w:r>
      </w:hyperlink>
    </w:p>
    <w:p w14:paraId="5BDC875E" w14:textId="21B3583E" w:rsidR="00B0479F" w:rsidRDefault="004B21EF">
      <w:pPr>
        <w:pStyle w:val="TableofFigures"/>
        <w:rPr>
          <w:rFonts w:asciiTheme="minorHAnsi" w:eastAsiaTheme="minorEastAsia" w:hAnsiTheme="minorHAnsi" w:cstheme="minorBidi"/>
        </w:rPr>
      </w:pPr>
      <w:hyperlink w:anchor="_Toc39580784" w:history="1">
        <w:r w:rsidR="00B0479F" w:rsidRPr="008E68B6">
          <w:rPr>
            <w:rStyle w:val="Hyperlink"/>
          </w:rPr>
          <w:t>Table 3</w:t>
        </w:r>
        <w:r w:rsidR="00B0479F">
          <w:rPr>
            <w:rFonts w:asciiTheme="minorHAnsi" w:eastAsiaTheme="minorEastAsia" w:hAnsiTheme="minorHAnsi" w:cstheme="minorBidi"/>
          </w:rPr>
          <w:tab/>
        </w:r>
        <w:r w:rsidR="00B0479F" w:rsidRPr="008E68B6">
          <w:rPr>
            <w:rStyle w:val="Hyperlink"/>
          </w:rPr>
          <w:t>Concordance between live and fixed cell-based assays and flow cytometry assays using serum samples</w:t>
        </w:r>
        <w:r w:rsidR="00B0479F">
          <w:rPr>
            <w:webHidden/>
          </w:rPr>
          <w:tab/>
        </w:r>
        <w:r w:rsidR="00B0479F">
          <w:rPr>
            <w:webHidden/>
          </w:rPr>
          <w:fldChar w:fldCharType="begin"/>
        </w:r>
        <w:r w:rsidR="00B0479F">
          <w:rPr>
            <w:webHidden/>
          </w:rPr>
          <w:instrText xml:space="preserve"> PAGEREF _Toc39580784 \h </w:instrText>
        </w:r>
        <w:r w:rsidR="00B0479F">
          <w:rPr>
            <w:webHidden/>
          </w:rPr>
        </w:r>
        <w:r w:rsidR="00B0479F">
          <w:rPr>
            <w:webHidden/>
          </w:rPr>
          <w:fldChar w:fldCharType="separate"/>
        </w:r>
        <w:r w:rsidR="009677B6">
          <w:rPr>
            <w:webHidden/>
          </w:rPr>
          <w:t>23</w:t>
        </w:r>
        <w:r w:rsidR="00B0479F">
          <w:rPr>
            <w:webHidden/>
          </w:rPr>
          <w:fldChar w:fldCharType="end"/>
        </w:r>
      </w:hyperlink>
    </w:p>
    <w:p w14:paraId="3642125E" w14:textId="0A273419" w:rsidR="00B0479F" w:rsidRDefault="004B21EF">
      <w:pPr>
        <w:pStyle w:val="TableofFigures"/>
        <w:rPr>
          <w:rFonts w:asciiTheme="minorHAnsi" w:eastAsiaTheme="minorEastAsia" w:hAnsiTheme="minorHAnsi" w:cstheme="minorBidi"/>
        </w:rPr>
      </w:pPr>
      <w:hyperlink w:anchor="_Toc39580785" w:history="1">
        <w:r w:rsidR="00B0479F" w:rsidRPr="008E68B6">
          <w:rPr>
            <w:rStyle w:val="Hyperlink"/>
          </w:rPr>
          <w:t>Table 4</w:t>
        </w:r>
        <w:r w:rsidR="00B0479F">
          <w:rPr>
            <w:rFonts w:asciiTheme="minorHAnsi" w:eastAsiaTheme="minorEastAsia" w:hAnsiTheme="minorHAnsi" w:cstheme="minorBidi"/>
          </w:rPr>
          <w:tab/>
        </w:r>
        <w:r w:rsidR="00B0479F" w:rsidRPr="008E68B6">
          <w:rPr>
            <w:rStyle w:val="Hyperlink"/>
          </w:rPr>
          <w:t xml:space="preserve">Summary of findings for the linked evidence of AQP4-Ab testing for patients who are suspected of </w:t>
        </w:r>
        <w:r w:rsidR="00B0479F" w:rsidRPr="008E68B6">
          <w:rPr>
            <w:rStyle w:val="Hyperlink"/>
            <w:rFonts w:cs="Arial"/>
            <w:snapToGrid w:val="0"/>
            <w:lang w:eastAsia="en-US"/>
          </w:rPr>
          <w:t>NMOSD</w:t>
        </w:r>
        <w:r w:rsidR="00B0479F">
          <w:rPr>
            <w:webHidden/>
          </w:rPr>
          <w:tab/>
        </w:r>
        <w:r w:rsidR="00B0479F">
          <w:rPr>
            <w:webHidden/>
          </w:rPr>
          <w:fldChar w:fldCharType="begin"/>
        </w:r>
        <w:r w:rsidR="00B0479F">
          <w:rPr>
            <w:webHidden/>
          </w:rPr>
          <w:instrText xml:space="preserve"> PAGEREF _Toc39580785 \h </w:instrText>
        </w:r>
        <w:r w:rsidR="00B0479F">
          <w:rPr>
            <w:webHidden/>
          </w:rPr>
        </w:r>
        <w:r w:rsidR="00B0479F">
          <w:rPr>
            <w:webHidden/>
          </w:rPr>
          <w:fldChar w:fldCharType="separate"/>
        </w:r>
        <w:r w:rsidR="009677B6">
          <w:rPr>
            <w:webHidden/>
          </w:rPr>
          <w:t>26</w:t>
        </w:r>
        <w:r w:rsidR="00B0479F">
          <w:rPr>
            <w:webHidden/>
          </w:rPr>
          <w:fldChar w:fldCharType="end"/>
        </w:r>
      </w:hyperlink>
    </w:p>
    <w:p w14:paraId="1FC7653C" w14:textId="60EB2EA1" w:rsidR="00B0479F" w:rsidRDefault="004B21EF">
      <w:pPr>
        <w:pStyle w:val="TableofFigures"/>
        <w:rPr>
          <w:rFonts w:asciiTheme="minorHAnsi" w:eastAsiaTheme="minorEastAsia" w:hAnsiTheme="minorHAnsi" w:cstheme="minorBidi"/>
        </w:rPr>
      </w:pPr>
      <w:hyperlink w:anchor="_Toc39580786" w:history="1">
        <w:r w:rsidR="00B0479F" w:rsidRPr="008E68B6">
          <w:rPr>
            <w:rStyle w:val="Hyperlink"/>
          </w:rPr>
          <w:t>Table 5</w:t>
        </w:r>
        <w:r w:rsidR="00B0479F">
          <w:rPr>
            <w:rFonts w:asciiTheme="minorHAnsi" w:eastAsiaTheme="minorEastAsia" w:hAnsiTheme="minorHAnsi" w:cstheme="minorBidi"/>
          </w:rPr>
          <w:tab/>
        </w:r>
        <w:r w:rsidR="00B0479F" w:rsidRPr="008E68B6">
          <w:rPr>
            <w:rStyle w:val="Hyperlink"/>
          </w:rPr>
          <w:t>Estimated proportions of AQP4 and MOG positive and negative adults with demyelinating CNS disorders</w:t>
        </w:r>
        <w:r w:rsidR="00B0479F">
          <w:rPr>
            <w:webHidden/>
          </w:rPr>
          <w:tab/>
        </w:r>
        <w:r w:rsidR="00B0479F">
          <w:rPr>
            <w:webHidden/>
          </w:rPr>
          <w:fldChar w:fldCharType="begin"/>
        </w:r>
        <w:r w:rsidR="00B0479F">
          <w:rPr>
            <w:webHidden/>
          </w:rPr>
          <w:instrText xml:space="preserve"> PAGEREF _Toc39580786 \h </w:instrText>
        </w:r>
        <w:r w:rsidR="00B0479F">
          <w:rPr>
            <w:webHidden/>
          </w:rPr>
        </w:r>
        <w:r w:rsidR="00B0479F">
          <w:rPr>
            <w:webHidden/>
          </w:rPr>
          <w:fldChar w:fldCharType="separate"/>
        </w:r>
        <w:r w:rsidR="009677B6">
          <w:rPr>
            <w:webHidden/>
          </w:rPr>
          <w:t>27</w:t>
        </w:r>
        <w:r w:rsidR="00B0479F">
          <w:rPr>
            <w:webHidden/>
          </w:rPr>
          <w:fldChar w:fldCharType="end"/>
        </w:r>
      </w:hyperlink>
    </w:p>
    <w:p w14:paraId="3F837468" w14:textId="3C7AF034" w:rsidR="00B0479F" w:rsidRDefault="004B21EF">
      <w:pPr>
        <w:pStyle w:val="TableofFigures"/>
        <w:rPr>
          <w:rFonts w:asciiTheme="minorHAnsi" w:eastAsiaTheme="minorEastAsia" w:hAnsiTheme="minorHAnsi" w:cstheme="minorBidi"/>
        </w:rPr>
      </w:pPr>
      <w:hyperlink w:anchor="_Toc39580787" w:history="1">
        <w:r w:rsidR="00B0479F" w:rsidRPr="008E68B6">
          <w:rPr>
            <w:rStyle w:val="Hyperlink"/>
          </w:rPr>
          <w:t>Table 6</w:t>
        </w:r>
        <w:r w:rsidR="00B0479F">
          <w:rPr>
            <w:rFonts w:asciiTheme="minorHAnsi" w:eastAsiaTheme="minorEastAsia" w:hAnsiTheme="minorHAnsi" w:cstheme="minorBidi"/>
          </w:rPr>
          <w:tab/>
        </w:r>
        <w:r w:rsidR="00B0479F" w:rsidRPr="008E68B6">
          <w:rPr>
            <w:rStyle w:val="Hyperlink"/>
          </w:rPr>
          <w:t>Summary of the economic evaluation</w:t>
        </w:r>
        <w:r w:rsidR="00B0479F">
          <w:rPr>
            <w:webHidden/>
          </w:rPr>
          <w:tab/>
        </w:r>
        <w:r w:rsidR="00B0479F">
          <w:rPr>
            <w:webHidden/>
          </w:rPr>
          <w:fldChar w:fldCharType="begin"/>
        </w:r>
        <w:r w:rsidR="00B0479F">
          <w:rPr>
            <w:webHidden/>
          </w:rPr>
          <w:instrText xml:space="preserve"> PAGEREF _Toc39580787 \h </w:instrText>
        </w:r>
        <w:r w:rsidR="00B0479F">
          <w:rPr>
            <w:webHidden/>
          </w:rPr>
        </w:r>
        <w:r w:rsidR="00B0479F">
          <w:rPr>
            <w:webHidden/>
          </w:rPr>
          <w:fldChar w:fldCharType="separate"/>
        </w:r>
        <w:r w:rsidR="009677B6">
          <w:rPr>
            <w:webHidden/>
          </w:rPr>
          <w:t>29</w:t>
        </w:r>
        <w:r w:rsidR="00B0479F">
          <w:rPr>
            <w:webHidden/>
          </w:rPr>
          <w:fldChar w:fldCharType="end"/>
        </w:r>
      </w:hyperlink>
    </w:p>
    <w:p w14:paraId="311589CE" w14:textId="5D2AF4BD" w:rsidR="00B0479F" w:rsidRDefault="004B21EF">
      <w:pPr>
        <w:pStyle w:val="TableofFigures"/>
        <w:rPr>
          <w:rFonts w:asciiTheme="minorHAnsi" w:eastAsiaTheme="minorEastAsia" w:hAnsiTheme="minorHAnsi" w:cstheme="minorBidi"/>
        </w:rPr>
      </w:pPr>
      <w:hyperlink w:anchor="_Toc39580788" w:history="1">
        <w:r w:rsidR="00B0479F" w:rsidRPr="008E68B6">
          <w:rPr>
            <w:rStyle w:val="Hyperlink"/>
          </w:rPr>
          <w:t>Table 7</w:t>
        </w:r>
        <w:r w:rsidR="00B0479F">
          <w:rPr>
            <w:rFonts w:asciiTheme="minorHAnsi" w:eastAsiaTheme="minorEastAsia" w:hAnsiTheme="minorHAnsi" w:cstheme="minorBidi"/>
          </w:rPr>
          <w:tab/>
        </w:r>
        <w:r w:rsidR="00B0479F" w:rsidRPr="008E68B6">
          <w:rPr>
            <w:rStyle w:val="Hyperlink"/>
          </w:rPr>
          <w:t>Costs and effectiveness for base-case analysis, AQP4-Ab testing only</w:t>
        </w:r>
        <w:r w:rsidR="00B0479F">
          <w:rPr>
            <w:webHidden/>
          </w:rPr>
          <w:tab/>
        </w:r>
        <w:r w:rsidR="00B0479F">
          <w:rPr>
            <w:webHidden/>
          </w:rPr>
          <w:fldChar w:fldCharType="begin"/>
        </w:r>
        <w:r w:rsidR="00B0479F">
          <w:rPr>
            <w:webHidden/>
          </w:rPr>
          <w:instrText xml:space="preserve"> PAGEREF _Toc39580788 \h </w:instrText>
        </w:r>
        <w:r w:rsidR="00B0479F">
          <w:rPr>
            <w:webHidden/>
          </w:rPr>
        </w:r>
        <w:r w:rsidR="00B0479F">
          <w:rPr>
            <w:webHidden/>
          </w:rPr>
          <w:fldChar w:fldCharType="separate"/>
        </w:r>
        <w:r w:rsidR="009677B6">
          <w:rPr>
            <w:webHidden/>
          </w:rPr>
          <w:t>30</w:t>
        </w:r>
        <w:r w:rsidR="00B0479F">
          <w:rPr>
            <w:webHidden/>
          </w:rPr>
          <w:fldChar w:fldCharType="end"/>
        </w:r>
      </w:hyperlink>
    </w:p>
    <w:p w14:paraId="22547D61" w14:textId="15B2CBDC" w:rsidR="00B0479F" w:rsidRDefault="004B21EF">
      <w:pPr>
        <w:pStyle w:val="TableofFigures"/>
        <w:rPr>
          <w:rFonts w:asciiTheme="minorHAnsi" w:eastAsiaTheme="minorEastAsia" w:hAnsiTheme="minorHAnsi" w:cstheme="minorBidi"/>
        </w:rPr>
      </w:pPr>
      <w:hyperlink w:anchor="_Toc39580789" w:history="1">
        <w:r w:rsidR="00B0479F" w:rsidRPr="008E68B6">
          <w:rPr>
            <w:rStyle w:val="Hyperlink"/>
          </w:rPr>
          <w:t>Table 8</w:t>
        </w:r>
        <w:r w:rsidR="00B0479F">
          <w:rPr>
            <w:rFonts w:asciiTheme="minorHAnsi" w:eastAsiaTheme="minorEastAsia" w:hAnsiTheme="minorHAnsi" w:cstheme="minorBidi"/>
          </w:rPr>
          <w:tab/>
        </w:r>
        <w:r w:rsidR="00B0479F" w:rsidRPr="008E68B6">
          <w:rPr>
            <w:rStyle w:val="Hyperlink"/>
          </w:rPr>
          <w:t>Key drivers of the economic model</w:t>
        </w:r>
        <w:r w:rsidR="00B0479F">
          <w:rPr>
            <w:webHidden/>
          </w:rPr>
          <w:tab/>
        </w:r>
        <w:r w:rsidR="00B0479F">
          <w:rPr>
            <w:webHidden/>
          </w:rPr>
          <w:fldChar w:fldCharType="begin"/>
        </w:r>
        <w:r w:rsidR="00B0479F">
          <w:rPr>
            <w:webHidden/>
          </w:rPr>
          <w:instrText xml:space="preserve"> PAGEREF _Toc39580789 \h </w:instrText>
        </w:r>
        <w:r w:rsidR="00B0479F">
          <w:rPr>
            <w:webHidden/>
          </w:rPr>
        </w:r>
        <w:r w:rsidR="00B0479F">
          <w:rPr>
            <w:webHidden/>
          </w:rPr>
          <w:fldChar w:fldCharType="separate"/>
        </w:r>
        <w:r w:rsidR="009677B6">
          <w:rPr>
            <w:webHidden/>
          </w:rPr>
          <w:t>30</w:t>
        </w:r>
        <w:r w:rsidR="00B0479F">
          <w:rPr>
            <w:webHidden/>
          </w:rPr>
          <w:fldChar w:fldCharType="end"/>
        </w:r>
      </w:hyperlink>
    </w:p>
    <w:p w14:paraId="1E5AA80A" w14:textId="29394458" w:rsidR="00B0479F" w:rsidRDefault="004B21EF">
      <w:pPr>
        <w:pStyle w:val="TableofFigures"/>
        <w:rPr>
          <w:rFonts w:asciiTheme="minorHAnsi" w:eastAsiaTheme="minorEastAsia" w:hAnsiTheme="minorHAnsi" w:cstheme="minorBidi"/>
        </w:rPr>
      </w:pPr>
      <w:hyperlink w:anchor="_Toc39580790" w:history="1">
        <w:r w:rsidR="00B0479F" w:rsidRPr="008E68B6">
          <w:rPr>
            <w:rStyle w:val="Hyperlink"/>
          </w:rPr>
          <w:t>Table 9</w:t>
        </w:r>
        <w:r w:rsidR="00B0479F">
          <w:rPr>
            <w:rFonts w:asciiTheme="minorHAnsi" w:eastAsiaTheme="minorEastAsia" w:hAnsiTheme="minorHAnsi" w:cstheme="minorBidi"/>
          </w:rPr>
          <w:tab/>
        </w:r>
        <w:r w:rsidR="00B0479F" w:rsidRPr="008E68B6">
          <w:rPr>
            <w:rStyle w:val="Hyperlink"/>
          </w:rPr>
          <w:t>Total costs to the MBS associated with NMOSD-Ab testing</w:t>
        </w:r>
        <w:r w:rsidR="00B0479F">
          <w:rPr>
            <w:webHidden/>
          </w:rPr>
          <w:tab/>
        </w:r>
        <w:r w:rsidR="00B0479F">
          <w:rPr>
            <w:webHidden/>
          </w:rPr>
          <w:fldChar w:fldCharType="begin"/>
        </w:r>
        <w:r w:rsidR="00B0479F">
          <w:rPr>
            <w:webHidden/>
          </w:rPr>
          <w:instrText xml:space="preserve"> PAGEREF _Toc39580790 \h </w:instrText>
        </w:r>
        <w:r w:rsidR="00B0479F">
          <w:rPr>
            <w:webHidden/>
          </w:rPr>
        </w:r>
        <w:r w:rsidR="00B0479F">
          <w:rPr>
            <w:webHidden/>
          </w:rPr>
          <w:fldChar w:fldCharType="separate"/>
        </w:r>
        <w:r w:rsidR="009677B6">
          <w:rPr>
            <w:webHidden/>
          </w:rPr>
          <w:t>31</w:t>
        </w:r>
        <w:r w:rsidR="00B0479F">
          <w:rPr>
            <w:webHidden/>
          </w:rPr>
          <w:fldChar w:fldCharType="end"/>
        </w:r>
      </w:hyperlink>
    </w:p>
    <w:p w14:paraId="16ED4B25" w14:textId="4CF41736" w:rsidR="00B0479F" w:rsidRDefault="004B21EF">
      <w:pPr>
        <w:pStyle w:val="TableofFigures"/>
        <w:rPr>
          <w:rFonts w:asciiTheme="minorHAnsi" w:eastAsiaTheme="minorEastAsia" w:hAnsiTheme="minorHAnsi" w:cstheme="minorBidi"/>
        </w:rPr>
      </w:pPr>
      <w:hyperlink w:anchor="_Toc39580791" w:history="1">
        <w:r w:rsidR="00B0479F" w:rsidRPr="008E68B6">
          <w:rPr>
            <w:rStyle w:val="Hyperlink"/>
          </w:rPr>
          <w:t>Table 10</w:t>
        </w:r>
        <w:r w:rsidR="00B0479F">
          <w:rPr>
            <w:rFonts w:asciiTheme="minorHAnsi" w:eastAsiaTheme="minorEastAsia" w:hAnsiTheme="minorHAnsi" w:cstheme="minorBidi"/>
          </w:rPr>
          <w:tab/>
        </w:r>
        <w:r w:rsidR="00B0479F" w:rsidRPr="008E68B6">
          <w:rPr>
            <w:rStyle w:val="Hyperlink"/>
          </w:rPr>
          <w:t>Comparison between AQP4-Ab NMOSD</w:t>
        </w:r>
        <w:r w:rsidR="00B0479F" w:rsidRPr="008E68B6">
          <w:rPr>
            <w:rStyle w:val="Hyperlink"/>
            <w:vertAlign w:val="superscript"/>
          </w:rPr>
          <w:t>a</w:t>
        </w:r>
        <w:r w:rsidR="00B0479F" w:rsidRPr="008E68B6">
          <w:rPr>
            <w:rStyle w:val="Hyperlink"/>
          </w:rPr>
          <w:t>, MARD and MS</w:t>
        </w:r>
        <w:r w:rsidR="00B0479F">
          <w:rPr>
            <w:webHidden/>
          </w:rPr>
          <w:tab/>
        </w:r>
        <w:r w:rsidR="00B0479F">
          <w:rPr>
            <w:webHidden/>
          </w:rPr>
          <w:fldChar w:fldCharType="begin"/>
        </w:r>
        <w:r w:rsidR="00B0479F">
          <w:rPr>
            <w:webHidden/>
          </w:rPr>
          <w:instrText xml:space="preserve"> PAGEREF _Toc39580791 \h </w:instrText>
        </w:r>
        <w:r w:rsidR="00B0479F">
          <w:rPr>
            <w:webHidden/>
          </w:rPr>
        </w:r>
        <w:r w:rsidR="00B0479F">
          <w:rPr>
            <w:webHidden/>
          </w:rPr>
          <w:fldChar w:fldCharType="separate"/>
        </w:r>
        <w:r w:rsidR="009677B6">
          <w:rPr>
            <w:webHidden/>
          </w:rPr>
          <w:t>40</w:t>
        </w:r>
        <w:r w:rsidR="00B0479F">
          <w:rPr>
            <w:webHidden/>
          </w:rPr>
          <w:fldChar w:fldCharType="end"/>
        </w:r>
      </w:hyperlink>
    </w:p>
    <w:p w14:paraId="2868972B" w14:textId="2FD52FD8" w:rsidR="00B0479F" w:rsidRDefault="004B21EF">
      <w:pPr>
        <w:pStyle w:val="TableofFigures"/>
        <w:rPr>
          <w:rFonts w:asciiTheme="minorHAnsi" w:eastAsiaTheme="minorEastAsia" w:hAnsiTheme="minorHAnsi" w:cstheme="minorBidi"/>
        </w:rPr>
      </w:pPr>
      <w:hyperlink w:anchor="_Toc39580792" w:history="1">
        <w:r w:rsidR="00B0479F" w:rsidRPr="008E68B6">
          <w:rPr>
            <w:rStyle w:val="Hyperlink"/>
          </w:rPr>
          <w:t>Table 11</w:t>
        </w:r>
        <w:r w:rsidR="00B0479F">
          <w:rPr>
            <w:rFonts w:asciiTheme="minorHAnsi" w:eastAsiaTheme="minorEastAsia" w:hAnsiTheme="minorHAnsi" w:cstheme="minorBidi"/>
          </w:rPr>
          <w:tab/>
        </w:r>
        <w:r w:rsidR="00B0479F" w:rsidRPr="008E68B6">
          <w:rPr>
            <w:rStyle w:val="Hyperlink"/>
          </w:rPr>
          <w:t>Current item descriptors for single antibody testing against tissue antigens</w:t>
        </w:r>
        <w:r w:rsidR="00B0479F">
          <w:rPr>
            <w:webHidden/>
          </w:rPr>
          <w:tab/>
        </w:r>
        <w:r w:rsidR="00B0479F">
          <w:rPr>
            <w:webHidden/>
          </w:rPr>
          <w:fldChar w:fldCharType="begin"/>
        </w:r>
        <w:r w:rsidR="00B0479F">
          <w:rPr>
            <w:webHidden/>
          </w:rPr>
          <w:instrText xml:space="preserve"> PAGEREF _Toc39580792 \h </w:instrText>
        </w:r>
        <w:r w:rsidR="00B0479F">
          <w:rPr>
            <w:webHidden/>
          </w:rPr>
        </w:r>
        <w:r w:rsidR="00B0479F">
          <w:rPr>
            <w:webHidden/>
          </w:rPr>
          <w:fldChar w:fldCharType="separate"/>
        </w:r>
        <w:r w:rsidR="009677B6">
          <w:rPr>
            <w:webHidden/>
          </w:rPr>
          <w:t>42</w:t>
        </w:r>
        <w:r w:rsidR="00B0479F">
          <w:rPr>
            <w:webHidden/>
          </w:rPr>
          <w:fldChar w:fldCharType="end"/>
        </w:r>
      </w:hyperlink>
    </w:p>
    <w:p w14:paraId="4F7C2676" w14:textId="18F2AE52" w:rsidR="00B0479F" w:rsidRDefault="004B21EF">
      <w:pPr>
        <w:pStyle w:val="TableofFigures"/>
        <w:rPr>
          <w:rFonts w:asciiTheme="minorHAnsi" w:eastAsiaTheme="minorEastAsia" w:hAnsiTheme="minorHAnsi" w:cstheme="minorBidi"/>
        </w:rPr>
      </w:pPr>
      <w:hyperlink w:anchor="_Toc39580793" w:history="1">
        <w:r w:rsidR="00B0479F" w:rsidRPr="008E68B6">
          <w:rPr>
            <w:rStyle w:val="Hyperlink"/>
          </w:rPr>
          <w:t>Table 12</w:t>
        </w:r>
        <w:r w:rsidR="00B0479F">
          <w:rPr>
            <w:rFonts w:asciiTheme="minorHAnsi" w:eastAsiaTheme="minorEastAsia" w:hAnsiTheme="minorHAnsi" w:cstheme="minorBidi"/>
          </w:rPr>
          <w:tab/>
        </w:r>
        <w:r w:rsidR="00B0479F" w:rsidRPr="008E68B6">
          <w:rPr>
            <w:rStyle w:val="Hyperlink"/>
          </w:rPr>
          <w:t>Search terms used (PubMed platform)</w:t>
        </w:r>
        <w:r w:rsidR="00B0479F">
          <w:rPr>
            <w:webHidden/>
          </w:rPr>
          <w:tab/>
        </w:r>
        <w:r w:rsidR="00B0479F">
          <w:rPr>
            <w:webHidden/>
          </w:rPr>
          <w:fldChar w:fldCharType="begin"/>
        </w:r>
        <w:r w:rsidR="00B0479F">
          <w:rPr>
            <w:webHidden/>
          </w:rPr>
          <w:instrText xml:space="preserve"> PAGEREF _Toc39580793 \h </w:instrText>
        </w:r>
        <w:r w:rsidR="00B0479F">
          <w:rPr>
            <w:webHidden/>
          </w:rPr>
        </w:r>
        <w:r w:rsidR="00B0479F">
          <w:rPr>
            <w:webHidden/>
          </w:rPr>
          <w:fldChar w:fldCharType="separate"/>
        </w:r>
        <w:r w:rsidR="009677B6">
          <w:rPr>
            <w:webHidden/>
          </w:rPr>
          <w:t>51</w:t>
        </w:r>
        <w:r w:rsidR="00B0479F">
          <w:rPr>
            <w:webHidden/>
          </w:rPr>
          <w:fldChar w:fldCharType="end"/>
        </w:r>
      </w:hyperlink>
    </w:p>
    <w:p w14:paraId="68DC4E89" w14:textId="7CF3D754" w:rsidR="00B0479F" w:rsidRDefault="004B21EF">
      <w:pPr>
        <w:pStyle w:val="TableofFigures"/>
        <w:rPr>
          <w:rFonts w:asciiTheme="minorHAnsi" w:eastAsiaTheme="minorEastAsia" w:hAnsiTheme="minorHAnsi" w:cstheme="minorBidi"/>
        </w:rPr>
      </w:pPr>
      <w:hyperlink w:anchor="_Toc39580794" w:history="1">
        <w:r w:rsidR="00B0479F" w:rsidRPr="008E68B6">
          <w:rPr>
            <w:rStyle w:val="Hyperlink"/>
          </w:rPr>
          <w:t>Table 13</w:t>
        </w:r>
        <w:r w:rsidR="00B0479F">
          <w:rPr>
            <w:rFonts w:asciiTheme="minorHAnsi" w:eastAsiaTheme="minorEastAsia" w:hAnsiTheme="minorHAnsi" w:cstheme="minorBidi"/>
          </w:rPr>
          <w:tab/>
        </w:r>
        <w:r w:rsidR="00B0479F" w:rsidRPr="008E68B6">
          <w:rPr>
            <w:rStyle w:val="Hyperlink"/>
          </w:rPr>
          <w:t>Designations of levels of evidence according to type of research question (including table notes)</w:t>
        </w:r>
        <w:r w:rsidR="00B0479F">
          <w:rPr>
            <w:webHidden/>
          </w:rPr>
          <w:tab/>
        </w:r>
        <w:r w:rsidR="00B0479F">
          <w:rPr>
            <w:webHidden/>
          </w:rPr>
          <w:fldChar w:fldCharType="begin"/>
        </w:r>
        <w:r w:rsidR="00B0479F">
          <w:rPr>
            <w:webHidden/>
          </w:rPr>
          <w:instrText xml:space="preserve"> PAGEREF _Toc39580794 \h </w:instrText>
        </w:r>
        <w:r w:rsidR="00B0479F">
          <w:rPr>
            <w:webHidden/>
          </w:rPr>
        </w:r>
        <w:r w:rsidR="00B0479F">
          <w:rPr>
            <w:webHidden/>
          </w:rPr>
          <w:fldChar w:fldCharType="separate"/>
        </w:r>
        <w:r w:rsidR="009677B6">
          <w:rPr>
            <w:webHidden/>
          </w:rPr>
          <w:t>54</w:t>
        </w:r>
        <w:r w:rsidR="00B0479F">
          <w:rPr>
            <w:webHidden/>
          </w:rPr>
          <w:fldChar w:fldCharType="end"/>
        </w:r>
      </w:hyperlink>
    </w:p>
    <w:p w14:paraId="66BDDD85" w14:textId="1A4A379E" w:rsidR="00B0479F" w:rsidRDefault="004B21EF">
      <w:pPr>
        <w:pStyle w:val="TableofFigures"/>
        <w:rPr>
          <w:rFonts w:asciiTheme="minorHAnsi" w:eastAsiaTheme="minorEastAsia" w:hAnsiTheme="minorHAnsi" w:cstheme="minorBidi"/>
        </w:rPr>
      </w:pPr>
      <w:hyperlink w:anchor="_Toc39580795" w:history="1">
        <w:r w:rsidR="00B0479F" w:rsidRPr="008E68B6">
          <w:rPr>
            <w:rStyle w:val="Hyperlink"/>
          </w:rPr>
          <w:t>Table 14</w:t>
        </w:r>
        <w:r w:rsidR="00B0479F">
          <w:rPr>
            <w:rFonts w:asciiTheme="minorHAnsi" w:eastAsiaTheme="minorEastAsia" w:hAnsiTheme="minorHAnsi" w:cstheme="minorBidi"/>
          </w:rPr>
          <w:tab/>
        </w:r>
        <w:r w:rsidR="00B0479F" w:rsidRPr="008E68B6">
          <w:rPr>
            <w:rStyle w:val="Hyperlink"/>
          </w:rPr>
          <w:t>Comparison of the Wingerchuk et al NMO diagnostic criteria over the years</w:t>
        </w:r>
        <w:r w:rsidR="00B0479F">
          <w:rPr>
            <w:webHidden/>
          </w:rPr>
          <w:tab/>
        </w:r>
        <w:r w:rsidR="00B0479F">
          <w:rPr>
            <w:webHidden/>
          </w:rPr>
          <w:fldChar w:fldCharType="begin"/>
        </w:r>
        <w:r w:rsidR="00B0479F">
          <w:rPr>
            <w:webHidden/>
          </w:rPr>
          <w:instrText xml:space="preserve"> PAGEREF _Toc39580795 \h </w:instrText>
        </w:r>
        <w:r w:rsidR="00B0479F">
          <w:rPr>
            <w:webHidden/>
          </w:rPr>
        </w:r>
        <w:r w:rsidR="00B0479F">
          <w:rPr>
            <w:webHidden/>
          </w:rPr>
          <w:fldChar w:fldCharType="separate"/>
        </w:r>
        <w:r w:rsidR="009677B6">
          <w:rPr>
            <w:webHidden/>
          </w:rPr>
          <w:t>57</w:t>
        </w:r>
        <w:r w:rsidR="00B0479F">
          <w:rPr>
            <w:webHidden/>
          </w:rPr>
          <w:fldChar w:fldCharType="end"/>
        </w:r>
      </w:hyperlink>
    </w:p>
    <w:p w14:paraId="1CE82BE8" w14:textId="32699909" w:rsidR="00B0479F" w:rsidRDefault="004B21EF">
      <w:pPr>
        <w:pStyle w:val="TableofFigures"/>
        <w:rPr>
          <w:rFonts w:asciiTheme="minorHAnsi" w:eastAsiaTheme="minorEastAsia" w:hAnsiTheme="minorHAnsi" w:cstheme="minorBidi"/>
        </w:rPr>
      </w:pPr>
      <w:hyperlink w:anchor="_Toc39580796" w:history="1">
        <w:r w:rsidR="00B0479F" w:rsidRPr="008E68B6">
          <w:rPr>
            <w:rStyle w:val="Hyperlink"/>
          </w:rPr>
          <w:t>Table 15</w:t>
        </w:r>
        <w:r w:rsidR="00B0479F">
          <w:rPr>
            <w:rFonts w:asciiTheme="minorHAnsi" w:eastAsiaTheme="minorEastAsia" w:hAnsiTheme="minorHAnsi" w:cstheme="minorBidi"/>
          </w:rPr>
          <w:tab/>
        </w:r>
        <w:r w:rsidR="00B0479F" w:rsidRPr="008E68B6">
          <w:rPr>
            <w:rStyle w:val="Hyperlink"/>
          </w:rPr>
          <w:t>Risk of bias (QUADAS-2) of studies for analytical validity</w:t>
        </w:r>
        <w:r w:rsidR="00B0479F">
          <w:rPr>
            <w:webHidden/>
          </w:rPr>
          <w:tab/>
        </w:r>
        <w:r w:rsidR="00B0479F">
          <w:rPr>
            <w:webHidden/>
          </w:rPr>
          <w:fldChar w:fldCharType="begin"/>
        </w:r>
        <w:r w:rsidR="00B0479F">
          <w:rPr>
            <w:webHidden/>
          </w:rPr>
          <w:instrText xml:space="preserve"> PAGEREF _Toc39580796 \h </w:instrText>
        </w:r>
        <w:r w:rsidR="00B0479F">
          <w:rPr>
            <w:webHidden/>
          </w:rPr>
        </w:r>
        <w:r w:rsidR="00B0479F">
          <w:rPr>
            <w:webHidden/>
          </w:rPr>
          <w:fldChar w:fldCharType="separate"/>
        </w:r>
        <w:r w:rsidR="009677B6">
          <w:rPr>
            <w:webHidden/>
          </w:rPr>
          <w:t>61</w:t>
        </w:r>
        <w:r w:rsidR="00B0479F">
          <w:rPr>
            <w:webHidden/>
          </w:rPr>
          <w:fldChar w:fldCharType="end"/>
        </w:r>
      </w:hyperlink>
    </w:p>
    <w:p w14:paraId="11E92F09" w14:textId="15832037" w:rsidR="00B0479F" w:rsidRDefault="004B21EF">
      <w:pPr>
        <w:pStyle w:val="TableofFigures"/>
        <w:rPr>
          <w:rFonts w:asciiTheme="minorHAnsi" w:eastAsiaTheme="minorEastAsia" w:hAnsiTheme="minorHAnsi" w:cstheme="minorBidi"/>
        </w:rPr>
      </w:pPr>
      <w:hyperlink w:anchor="_Toc39580797" w:history="1">
        <w:r w:rsidR="00B0479F" w:rsidRPr="008E68B6">
          <w:rPr>
            <w:rStyle w:val="Hyperlink"/>
          </w:rPr>
          <w:t>Table 16</w:t>
        </w:r>
        <w:r w:rsidR="00B0479F">
          <w:rPr>
            <w:rFonts w:asciiTheme="minorHAnsi" w:eastAsiaTheme="minorEastAsia" w:hAnsiTheme="minorHAnsi" w:cstheme="minorBidi"/>
          </w:rPr>
          <w:tab/>
        </w:r>
        <w:r w:rsidR="00B0479F" w:rsidRPr="008E68B6">
          <w:rPr>
            <w:rStyle w:val="Hyperlink"/>
            <w:snapToGrid w:val="0"/>
          </w:rPr>
          <w:t>Key features of the evidence comparing the sensitivity and specificity of various cell-based assays</w:t>
        </w:r>
        <w:r w:rsidR="00B0479F">
          <w:rPr>
            <w:webHidden/>
          </w:rPr>
          <w:tab/>
        </w:r>
        <w:r w:rsidR="00B0479F">
          <w:rPr>
            <w:webHidden/>
          </w:rPr>
          <w:fldChar w:fldCharType="begin"/>
        </w:r>
        <w:r w:rsidR="00B0479F">
          <w:rPr>
            <w:webHidden/>
          </w:rPr>
          <w:instrText xml:space="preserve"> PAGEREF _Toc39580797 \h </w:instrText>
        </w:r>
        <w:r w:rsidR="00B0479F">
          <w:rPr>
            <w:webHidden/>
          </w:rPr>
        </w:r>
        <w:r w:rsidR="00B0479F">
          <w:rPr>
            <w:webHidden/>
          </w:rPr>
          <w:fldChar w:fldCharType="separate"/>
        </w:r>
        <w:r w:rsidR="009677B6">
          <w:rPr>
            <w:webHidden/>
          </w:rPr>
          <w:t>62</w:t>
        </w:r>
        <w:r w:rsidR="00B0479F">
          <w:rPr>
            <w:webHidden/>
          </w:rPr>
          <w:fldChar w:fldCharType="end"/>
        </w:r>
      </w:hyperlink>
    </w:p>
    <w:p w14:paraId="39BE383F" w14:textId="56FD847C" w:rsidR="00B0479F" w:rsidRDefault="004B21EF">
      <w:pPr>
        <w:pStyle w:val="TableofFigures"/>
        <w:rPr>
          <w:rFonts w:asciiTheme="minorHAnsi" w:eastAsiaTheme="minorEastAsia" w:hAnsiTheme="minorHAnsi" w:cstheme="minorBidi"/>
        </w:rPr>
      </w:pPr>
      <w:hyperlink w:anchor="_Toc39580798" w:history="1">
        <w:r w:rsidR="00B0479F" w:rsidRPr="008E68B6">
          <w:rPr>
            <w:rStyle w:val="Hyperlink"/>
          </w:rPr>
          <w:t>Table 17</w:t>
        </w:r>
        <w:r w:rsidR="00B0479F">
          <w:rPr>
            <w:rFonts w:asciiTheme="minorHAnsi" w:eastAsiaTheme="minorEastAsia" w:hAnsiTheme="minorHAnsi" w:cstheme="minorBidi"/>
          </w:rPr>
          <w:tab/>
        </w:r>
        <w:r w:rsidR="00B0479F" w:rsidRPr="008E68B6">
          <w:rPr>
            <w:rStyle w:val="Hyperlink"/>
            <w:lang w:val="en-GB"/>
          </w:rPr>
          <w:t>Concordance between live and fixed cell-based assays and flow cytometry assays using serum samples</w:t>
        </w:r>
        <w:r w:rsidR="00B0479F">
          <w:rPr>
            <w:webHidden/>
          </w:rPr>
          <w:tab/>
        </w:r>
        <w:r w:rsidR="00B0479F">
          <w:rPr>
            <w:webHidden/>
          </w:rPr>
          <w:fldChar w:fldCharType="begin"/>
        </w:r>
        <w:r w:rsidR="00B0479F">
          <w:rPr>
            <w:webHidden/>
          </w:rPr>
          <w:instrText xml:space="preserve"> PAGEREF _Toc39580798 \h </w:instrText>
        </w:r>
        <w:r w:rsidR="00B0479F">
          <w:rPr>
            <w:webHidden/>
          </w:rPr>
        </w:r>
        <w:r w:rsidR="00B0479F">
          <w:rPr>
            <w:webHidden/>
          </w:rPr>
          <w:fldChar w:fldCharType="separate"/>
        </w:r>
        <w:r w:rsidR="009677B6">
          <w:rPr>
            <w:webHidden/>
          </w:rPr>
          <w:t>64</w:t>
        </w:r>
        <w:r w:rsidR="00B0479F">
          <w:rPr>
            <w:webHidden/>
          </w:rPr>
          <w:fldChar w:fldCharType="end"/>
        </w:r>
      </w:hyperlink>
    </w:p>
    <w:p w14:paraId="5180A9C5" w14:textId="61015BD1" w:rsidR="00B0479F" w:rsidRDefault="004B21EF">
      <w:pPr>
        <w:pStyle w:val="TableofFigures"/>
        <w:rPr>
          <w:rFonts w:asciiTheme="minorHAnsi" w:eastAsiaTheme="minorEastAsia" w:hAnsiTheme="minorHAnsi" w:cstheme="minorBidi"/>
        </w:rPr>
      </w:pPr>
      <w:hyperlink w:anchor="_Toc39580799" w:history="1">
        <w:r w:rsidR="00B0479F" w:rsidRPr="008E68B6">
          <w:rPr>
            <w:rStyle w:val="Hyperlink"/>
          </w:rPr>
          <w:t>Table 18</w:t>
        </w:r>
        <w:r w:rsidR="00B0479F">
          <w:rPr>
            <w:rFonts w:asciiTheme="minorHAnsi" w:eastAsiaTheme="minorEastAsia" w:hAnsiTheme="minorHAnsi" w:cstheme="minorBidi"/>
          </w:rPr>
          <w:tab/>
        </w:r>
        <w:r w:rsidR="00B0479F" w:rsidRPr="008E68B6">
          <w:rPr>
            <w:rStyle w:val="Hyperlink"/>
          </w:rPr>
          <w:t>Incidence and Prevalence of NMOSD in Australia</w:t>
        </w:r>
        <w:r w:rsidR="00B0479F">
          <w:rPr>
            <w:webHidden/>
          </w:rPr>
          <w:tab/>
        </w:r>
        <w:r w:rsidR="00B0479F">
          <w:rPr>
            <w:webHidden/>
          </w:rPr>
          <w:fldChar w:fldCharType="begin"/>
        </w:r>
        <w:r w:rsidR="00B0479F">
          <w:rPr>
            <w:webHidden/>
          </w:rPr>
          <w:instrText xml:space="preserve"> PAGEREF _Toc39580799 \h </w:instrText>
        </w:r>
        <w:r w:rsidR="00B0479F">
          <w:rPr>
            <w:webHidden/>
          </w:rPr>
        </w:r>
        <w:r w:rsidR="00B0479F">
          <w:rPr>
            <w:webHidden/>
          </w:rPr>
          <w:fldChar w:fldCharType="separate"/>
        </w:r>
        <w:r w:rsidR="009677B6">
          <w:rPr>
            <w:webHidden/>
          </w:rPr>
          <w:t>67</w:t>
        </w:r>
        <w:r w:rsidR="00B0479F">
          <w:rPr>
            <w:webHidden/>
          </w:rPr>
          <w:fldChar w:fldCharType="end"/>
        </w:r>
      </w:hyperlink>
    </w:p>
    <w:p w14:paraId="4FFDBF16" w14:textId="74D69A3D" w:rsidR="00B0479F" w:rsidRDefault="004B21EF">
      <w:pPr>
        <w:pStyle w:val="TableofFigures"/>
        <w:rPr>
          <w:rFonts w:asciiTheme="minorHAnsi" w:eastAsiaTheme="minorEastAsia" w:hAnsiTheme="minorHAnsi" w:cstheme="minorBidi"/>
        </w:rPr>
      </w:pPr>
      <w:hyperlink w:anchor="_Toc39580800" w:history="1">
        <w:r w:rsidR="00B0479F" w:rsidRPr="008E68B6">
          <w:rPr>
            <w:rStyle w:val="Hyperlink"/>
          </w:rPr>
          <w:t>Table 19</w:t>
        </w:r>
        <w:r w:rsidR="00B0479F">
          <w:rPr>
            <w:rFonts w:asciiTheme="minorHAnsi" w:eastAsiaTheme="minorEastAsia" w:hAnsiTheme="minorHAnsi" w:cstheme="minorBidi"/>
          </w:rPr>
          <w:tab/>
        </w:r>
        <w:r w:rsidR="00B0479F" w:rsidRPr="008E68B6">
          <w:rPr>
            <w:rStyle w:val="Hyperlink"/>
          </w:rPr>
          <w:t>Risk of bias domains (QUADAS-2) of the included level III-3 diagnostic accuracy studies</w:t>
        </w:r>
        <w:r w:rsidR="00B0479F">
          <w:rPr>
            <w:webHidden/>
          </w:rPr>
          <w:tab/>
        </w:r>
        <w:r w:rsidR="00B0479F">
          <w:rPr>
            <w:webHidden/>
          </w:rPr>
          <w:fldChar w:fldCharType="begin"/>
        </w:r>
        <w:r w:rsidR="00B0479F">
          <w:rPr>
            <w:webHidden/>
          </w:rPr>
          <w:instrText xml:space="preserve"> PAGEREF _Toc39580800 \h </w:instrText>
        </w:r>
        <w:r w:rsidR="00B0479F">
          <w:rPr>
            <w:webHidden/>
          </w:rPr>
        </w:r>
        <w:r w:rsidR="00B0479F">
          <w:rPr>
            <w:webHidden/>
          </w:rPr>
          <w:fldChar w:fldCharType="separate"/>
        </w:r>
        <w:r w:rsidR="009677B6">
          <w:rPr>
            <w:webHidden/>
          </w:rPr>
          <w:t>69</w:t>
        </w:r>
        <w:r w:rsidR="00B0479F">
          <w:rPr>
            <w:webHidden/>
          </w:rPr>
          <w:fldChar w:fldCharType="end"/>
        </w:r>
      </w:hyperlink>
    </w:p>
    <w:p w14:paraId="549884A2" w14:textId="14FDE2EE" w:rsidR="00B0479F" w:rsidRDefault="004B21EF">
      <w:pPr>
        <w:pStyle w:val="TableofFigures"/>
        <w:rPr>
          <w:rFonts w:asciiTheme="minorHAnsi" w:eastAsiaTheme="minorEastAsia" w:hAnsiTheme="minorHAnsi" w:cstheme="minorBidi"/>
        </w:rPr>
      </w:pPr>
      <w:hyperlink w:anchor="_Toc39580801" w:history="1">
        <w:r w:rsidR="00B0479F" w:rsidRPr="008E68B6">
          <w:rPr>
            <w:rStyle w:val="Hyperlink"/>
          </w:rPr>
          <w:t>Table 20</w:t>
        </w:r>
        <w:r w:rsidR="00B0479F">
          <w:rPr>
            <w:rFonts w:asciiTheme="minorHAnsi" w:eastAsiaTheme="minorEastAsia" w:hAnsiTheme="minorHAnsi" w:cstheme="minorBidi"/>
          </w:rPr>
          <w:tab/>
        </w:r>
        <w:r w:rsidR="00B0479F" w:rsidRPr="008E68B6">
          <w:rPr>
            <w:rStyle w:val="Hyperlink"/>
          </w:rPr>
          <w:t>Key features of the included studies for clinical validity</w:t>
        </w:r>
        <w:r w:rsidR="00B0479F">
          <w:rPr>
            <w:webHidden/>
          </w:rPr>
          <w:tab/>
        </w:r>
        <w:r w:rsidR="00B0479F">
          <w:rPr>
            <w:webHidden/>
          </w:rPr>
          <w:fldChar w:fldCharType="begin"/>
        </w:r>
        <w:r w:rsidR="00B0479F">
          <w:rPr>
            <w:webHidden/>
          </w:rPr>
          <w:instrText xml:space="preserve"> PAGEREF _Toc39580801 \h </w:instrText>
        </w:r>
        <w:r w:rsidR="00B0479F">
          <w:rPr>
            <w:webHidden/>
          </w:rPr>
        </w:r>
        <w:r w:rsidR="00B0479F">
          <w:rPr>
            <w:webHidden/>
          </w:rPr>
          <w:fldChar w:fldCharType="separate"/>
        </w:r>
        <w:r w:rsidR="009677B6">
          <w:rPr>
            <w:webHidden/>
          </w:rPr>
          <w:t>70</w:t>
        </w:r>
        <w:r w:rsidR="00B0479F">
          <w:rPr>
            <w:webHidden/>
          </w:rPr>
          <w:fldChar w:fldCharType="end"/>
        </w:r>
      </w:hyperlink>
    </w:p>
    <w:p w14:paraId="7A252C4A" w14:textId="3997B2C8" w:rsidR="00B0479F" w:rsidRDefault="004B21EF">
      <w:pPr>
        <w:pStyle w:val="TableofFigures"/>
        <w:rPr>
          <w:rFonts w:asciiTheme="minorHAnsi" w:eastAsiaTheme="minorEastAsia" w:hAnsiTheme="minorHAnsi" w:cstheme="minorBidi"/>
        </w:rPr>
      </w:pPr>
      <w:hyperlink w:anchor="_Toc39580802" w:history="1">
        <w:r w:rsidR="00B0479F" w:rsidRPr="008E68B6">
          <w:rPr>
            <w:rStyle w:val="Hyperlink"/>
          </w:rPr>
          <w:t>Table 21</w:t>
        </w:r>
        <w:r w:rsidR="00B0479F">
          <w:rPr>
            <w:rFonts w:asciiTheme="minorHAnsi" w:eastAsiaTheme="minorEastAsia" w:hAnsiTheme="minorHAnsi" w:cstheme="minorBidi"/>
          </w:rPr>
          <w:tab/>
        </w:r>
        <w:r w:rsidR="00B0479F" w:rsidRPr="008E68B6">
          <w:rPr>
            <w:rStyle w:val="Hyperlink"/>
          </w:rPr>
          <w:t>Diagnostic accuracy data extraction</w:t>
        </w:r>
        <w:r w:rsidR="00B0479F">
          <w:rPr>
            <w:webHidden/>
          </w:rPr>
          <w:tab/>
        </w:r>
        <w:r w:rsidR="00B0479F">
          <w:rPr>
            <w:webHidden/>
          </w:rPr>
          <w:fldChar w:fldCharType="begin"/>
        </w:r>
        <w:r w:rsidR="00B0479F">
          <w:rPr>
            <w:webHidden/>
          </w:rPr>
          <w:instrText xml:space="preserve"> PAGEREF _Toc39580802 \h </w:instrText>
        </w:r>
        <w:r w:rsidR="00B0479F">
          <w:rPr>
            <w:webHidden/>
          </w:rPr>
        </w:r>
        <w:r w:rsidR="00B0479F">
          <w:rPr>
            <w:webHidden/>
          </w:rPr>
          <w:fldChar w:fldCharType="separate"/>
        </w:r>
        <w:r w:rsidR="009677B6">
          <w:rPr>
            <w:webHidden/>
          </w:rPr>
          <w:t>72</w:t>
        </w:r>
        <w:r w:rsidR="00B0479F">
          <w:rPr>
            <w:webHidden/>
          </w:rPr>
          <w:fldChar w:fldCharType="end"/>
        </w:r>
      </w:hyperlink>
    </w:p>
    <w:p w14:paraId="7F21133B" w14:textId="0B41E6E3" w:rsidR="00B0479F" w:rsidRDefault="004B21EF">
      <w:pPr>
        <w:pStyle w:val="TableofFigures"/>
        <w:rPr>
          <w:rFonts w:asciiTheme="minorHAnsi" w:eastAsiaTheme="minorEastAsia" w:hAnsiTheme="minorHAnsi" w:cstheme="minorBidi"/>
        </w:rPr>
      </w:pPr>
      <w:hyperlink w:anchor="_Toc39580803" w:history="1">
        <w:r w:rsidR="00B0479F" w:rsidRPr="008E68B6">
          <w:rPr>
            <w:rStyle w:val="Hyperlink"/>
          </w:rPr>
          <w:t>Table 22</w:t>
        </w:r>
        <w:r w:rsidR="00B0479F">
          <w:rPr>
            <w:rFonts w:asciiTheme="minorHAnsi" w:eastAsiaTheme="minorEastAsia" w:hAnsiTheme="minorHAnsi" w:cstheme="minorBidi"/>
          </w:rPr>
          <w:tab/>
        </w:r>
        <w:r w:rsidR="00B0479F" w:rsidRPr="008E68B6">
          <w:rPr>
            <w:rStyle w:val="Hyperlink"/>
            <w:rFonts w:cs="Arial"/>
            <w:snapToGrid w:val="0"/>
            <w:lang w:eastAsia="en-US"/>
          </w:rPr>
          <w:t>Results of key accuracy trials comparing AQP4-Ab testing against a clinical evidentiary standard (clinical diagnosis of NMOSD by the 2015 IPND criteria)</w:t>
        </w:r>
        <w:r w:rsidR="00B0479F">
          <w:rPr>
            <w:webHidden/>
          </w:rPr>
          <w:tab/>
        </w:r>
        <w:r w:rsidR="00B0479F">
          <w:rPr>
            <w:webHidden/>
          </w:rPr>
          <w:fldChar w:fldCharType="begin"/>
        </w:r>
        <w:r w:rsidR="00B0479F">
          <w:rPr>
            <w:webHidden/>
          </w:rPr>
          <w:instrText xml:space="preserve"> PAGEREF _Toc39580803 \h </w:instrText>
        </w:r>
        <w:r w:rsidR="00B0479F">
          <w:rPr>
            <w:webHidden/>
          </w:rPr>
        </w:r>
        <w:r w:rsidR="00B0479F">
          <w:rPr>
            <w:webHidden/>
          </w:rPr>
          <w:fldChar w:fldCharType="separate"/>
        </w:r>
        <w:r w:rsidR="009677B6">
          <w:rPr>
            <w:webHidden/>
          </w:rPr>
          <w:t>73</w:t>
        </w:r>
        <w:r w:rsidR="00B0479F">
          <w:rPr>
            <w:webHidden/>
          </w:rPr>
          <w:fldChar w:fldCharType="end"/>
        </w:r>
      </w:hyperlink>
    </w:p>
    <w:p w14:paraId="32EBC47B" w14:textId="186443AF" w:rsidR="00B0479F" w:rsidRDefault="004B21EF">
      <w:pPr>
        <w:pStyle w:val="TableofFigures"/>
        <w:rPr>
          <w:rFonts w:asciiTheme="minorHAnsi" w:eastAsiaTheme="minorEastAsia" w:hAnsiTheme="minorHAnsi" w:cstheme="minorBidi"/>
        </w:rPr>
      </w:pPr>
      <w:hyperlink w:anchor="_Toc39580804" w:history="1">
        <w:r w:rsidR="00B0479F" w:rsidRPr="008E68B6">
          <w:rPr>
            <w:rStyle w:val="Hyperlink"/>
          </w:rPr>
          <w:t>Table 23</w:t>
        </w:r>
        <w:r w:rsidR="00B0479F">
          <w:rPr>
            <w:rFonts w:asciiTheme="minorHAnsi" w:eastAsiaTheme="minorEastAsia" w:hAnsiTheme="minorHAnsi" w:cstheme="minorBidi"/>
          </w:rPr>
          <w:tab/>
        </w:r>
        <w:r w:rsidR="00B0479F" w:rsidRPr="008E68B6">
          <w:rPr>
            <w:rStyle w:val="Hyperlink"/>
          </w:rPr>
          <w:t>Diagnostic yield for AQP4-Abs and MOG-Ab in patients, adults and children with inflammatory conditions or demyelination syndromes</w:t>
        </w:r>
        <w:r w:rsidR="00B0479F">
          <w:rPr>
            <w:webHidden/>
          </w:rPr>
          <w:tab/>
        </w:r>
        <w:r w:rsidR="00B0479F">
          <w:rPr>
            <w:webHidden/>
          </w:rPr>
          <w:fldChar w:fldCharType="begin"/>
        </w:r>
        <w:r w:rsidR="00B0479F">
          <w:rPr>
            <w:webHidden/>
          </w:rPr>
          <w:instrText xml:space="preserve"> PAGEREF _Toc39580804 \h </w:instrText>
        </w:r>
        <w:r w:rsidR="00B0479F">
          <w:rPr>
            <w:webHidden/>
          </w:rPr>
        </w:r>
        <w:r w:rsidR="00B0479F">
          <w:rPr>
            <w:webHidden/>
          </w:rPr>
          <w:fldChar w:fldCharType="separate"/>
        </w:r>
        <w:r w:rsidR="009677B6">
          <w:rPr>
            <w:webHidden/>
          </w:rPr>
          <w:t>75</w:t>
        </w:r>
        <w:r w:rsidR="00B0479F">
          <w:rPr>
            <w:webHidden/>
          </w:rPr>
          <w:fldChar w:fldCharType="end"/>
        </w:r>
      </w:hyperlink>
    </w:p>
    <w:p w14:paraId="19DD7AE0" w14:textId="7CF6C811" w:rsidR="00B0479F" w:rsidRDefault="004B21EF">
      <w:pPr>
        <w:pStyle w:val="TableofFigures"/>
        <w:rPr>
          <w:rFonts w:asciiTheme="minorHAnsi" w:eastAsiaTheme="minorEastAsia" w:hAnsiTheme="minorHAnsi" w:cstheme="minorBidi"/>
        </w:rPr>
      </w:pPr>
      <w:hyperlink w:anchor="_Toc39580805" w:history="1">
        <w:r w:rsidR="00B0479F" w:rsidRPr="008E68B6">
          <w:rPr>
            <w:rStyle w:val="Hyperlink"/>
          </w:rPr>
          <w:t>Table 24</w:t>
        </w:r>
        <w:r w:rsidR="00B0479F">
          <w:rPr>
            <w:rFonts w:asciiTheme="minorHAnsi" w:eastAsiaTheme="minorEastAsia" w:hAnsiTheme="minorHAnsi" w:cstheme="minorBidi"/>
          </w:rPr>
          <w:tab/>
        </w:r>
        <w:r w:rsidR="00B0479F" w:rsidRPr="008E68B6">
          <w:rPr>
            <w:rStyle w:val="Hyperlink"/>
          </w:rPr>
          <w:t>Diagnostic yield for AQP4-Ab and MOG-Ab in patients adults and children with ON or LETM</w:t>
        </w:r>
        <w:r w:rsidR="00B0479F">
          <w:rPr>
            <w:webHidden/>
          </w:rPr>
          <w:tab/>
        </w:r>
        <w:r w:rsidR="00B0479F">
          <w:rPr>
            <w:webHidden/>
          </w:rPr>
          <w:fldChar w:fldCharType="begin"/>
        </w:r>
        <w:r w:rsidR="00B0479F">
          <w:rPr>
            <w:webHidden/>
          </w:rPr>
          <w:instrText xml:space="preserve"> PAGEREF _Toc39580805 \h </w:instrText>
        </w:r>
        <w:r w:rsidR="00B0479F">
          <w:rPr>
            <w:webHidden/>
          </w:rPr>
        </w:r>
        <w:r w:rsidR="00B0479F">
          <w:rPr>
            <w:webHidden/>
          </w:rPr>
          <w:fldChar w:fldCharType="separate"/>
        </w:r>
        <w:r w:rsidR="009677B6">
          <w:rPr>
            <w:webHidden/>
          </w:rPr>
          <w:t>76</w:t>
        </w:r>
        <w:r w:rsidR="00B0479F">
          <w:rPr>
            <w:webHidden/>
          </w:rPr>
          <w:fldChar w:fldCharType="end"/>
        </w:r>
      </w:hyperlink>
    </w:p>
    <w:p w14:paraId="60BFB532" w14:textId="4DBCBA29" w:rsidR="00B0479F" w:rsidRDefault="004B21EF">
      <w:pPr>
        <w:pStyle w:val="TableofFigures"/>
        <w:rPr>
          <w:rFonts w:asciiTheme="minorHAnsi" w:eastAsiaTheme="minorEastAsia" w:hAnsiTheme="minorHAnsi" w:cstheme="minorBidi"/>
        </w:rPr>
      </w:pPr>
      <w:hyperlink w:anchor="_Toc39580806" w:history="1">
        <w:r w:rsidR="00B0479F" w:rsidRPr="008E68B6">
          <w:rPr>
            <w:rStyle w:val="Hyperlink"/>
          </w:rPr>
          <w:t>Table 25</w:t>
        </w:r>
        <w:r w:rsidR="00B0479F">
          <w:rPr>
            <w:rFonts w:asciiTheme="minorHAnsi" w:eastAsiaTheme="minorEastAsia" w:hAnsiTheme="minorHAnsi" w:cstheme="minorBidi"/>
          </w:rPr>
          <w:tab/>
        </w:r>
        <w:r w:rsidR="00B0479F" w:rsidRPr="008E68B6">
          <w:rPr>
            <w:rStyle w:val="Hyperlink"/>
          </w:rPr>
          <w:t>Diagnostic yield for AQP4-Ab and MOG-Ab in patients and adults with NMO or NMOSD</w:t>
        </w:r>
        <w:r w:rsidR="00B0479F">
          <w:rPr>
            <w:webHidden/>
          </w:rPr>
          <w:tab/>
        </w:r>
        <w:r w:rsidR="00B0479F">
          <w:rPr>
            <w:webHidden/>
          </w:rPr>
          <w:fldChar w:fldCharType="begin"/>
        </w:r>
        <w:r w:rsidR="00B0479F">
          <w:rPr>
            <w:webHidden/>
          </w:rPr>
          <w:instrText xml:space="preserve"> PAGEREF _Toc39580806 \h </w:instrText>
        </w:r>
        <w:r w:rsidR="00B0479F">
          <w:rPr>
            <w:webHidden/>
          </w:rPr>
        </w:r>
        <w:r w:rsidR="00B0479F">
          <w:rPr>
            <w:webHidden/>
          </w:rPr>
          <w:fldChar w:fldCharType="separate"/>
        </w:r>
        <w:r w:rsidR="009677B6">
          <w:rPr>
            <w:webHidden/>
          </w:rPr>
          <w:t>77</w:t>
        </w:r>
        <w:r w:rsidR="00B0479F">
          <w:rPr>
            <w:webHidden/>
          </w:rPr>
          <w:fldChar w:fldCharType="end"/>
        </w:r>
      </w:hyperlink>
    </w:p>
    <w:p w14:paraId="3597267E" w14:textId="3F8628B4" w:rsidR="00B0479F" w:rsidRDefault="004B21EF">
      <w:pPr>
        <w:pStyle w:val="TableofFigures"/>
        <w:rPr>
          <w:rFonts w:asciiTheme="minorHAnsi" w:eastAsiaTheme="minorEastAsia" w:hAnsiTheme="minorHAnsi" w:cstheme="minorBidi"/>
        </w:rPr>
      </w:pPr>
      <w:hyperlink w:anchor="_Toc39580807" w:history="1">
        <w:r w:rsidR="00B0479F" w:rsidRPr="008E68B6">
          <w:rPr>
            <w:rStyle w:val="Hyperlink"/>
          </w:rPr>
          <w:t>Table 26</w:t>
        </w:r>
        <w:r w:rsidR="00B0479F">
          <w:rPr>
            <w:rFonts w:asciiTheme="minorHAnsi" w:eastAsiaTheme="minorEastAsia" w:hAnsiTheme="minorHAnsi" w:cstheme="minorBidi"/>
          </w:rPr>
          <w:tab/>
        </w:r>
        <w:r w:rsidR="00B0479F" w:rsidRPr="008E68B6">
          <w:rPr>
            <w:rStyle w:val="Hyperlink"/>
          </w:rPr>
          <w:t>Case series (level IV evidence) included for prognostic outcomes</w:t>
        </w:r>
        <w:r w:rsidR="00B0479F">
          <w:rPr>
            <w:webHidden/>
          </w:rPr>
          <w:tab/>
        </w:r>
        <w:r w:rsidR="00B0479F">
          <w:rPr>
            <w:webHidden/>
          </w:rPr>
          <w:fldChar w:fldCharType="begin"/>
        </w:r>
        <w:r w:rsidR="00B0479F">
          <w:rPr>
            <w:webHidden/>
          </w:rPr>
          <w:instrText xml:space="preserve"> PAGEREF _Toc39580807 \h </w:instrText>
        </w:r>
        <w:r w:rsidR="00B0479F">
          <w:rPr>
            <w:webHidden/>
          </w:rPr>
        </w:r>
        <w:r w:rsidR="00B0479F">
          <w:rPr>
            <w:webHidden/>
          </w:rPr>
          <w:fldChar w:fldCharType="separate"/>
        </w:r>
        <w:r w:rsidR="009677B6">
          <w:rPr>
            <w:webHidden/>
          </w:rPr>
          <w:t>79</w:t>
        </w:r>
        <w:r w:rsidR="00B0479F">
          <w:rPr>
            <w:webHidden/>
          </w:rPr>
          <w:fldChar w:fldCharType="end"/>
        </w:r>
      </w:hyperlink>
    </w:p>
    <w:p w14:paraId="02AC75C3" w14:textId="408D7D3D" w:rsidR="00B0479F" w:rsidRDefault="004B21EF">
      <w:pPr>
        <w:pStyle w:val="TableofFigures"/>
        <w:rPr>
          <w:rFonts w:asciiTheme="minorHAnsi" w:eastAsiaTheme="minorEastAsia" w:hAnsiTheme="minorHAnsi" w:cstheme="minorBidi"/>
        </w:rPr>
      </w:pPr>
      <w:hyperlink w:anchor="_Toc39580808" w:history="1">
        <w:r w:rsidR="00B0479F" w:rsidRPr="008E68B6">
          <w:rPr>
            <w:rStyle w:val="Hyperlink"/>
          </w:rPr>
          <w:t>Table 27</w:t>
        </w:r>
        <w:r w:rsidR="00B0479F">
          <w:rPr>
            <w:rFonts w:asciiTheme="minorHAnsi" w:eastAsiaTheme="minorEastAsia" w:hAnsiTheme="minorHAnsi" w:cstheme="minorBidi"/>
          </w:rPr>
          <w:tab/>
        </w:r>
        <w:r w:rsidR="00B0479F" w:rsidRPr="008E68B6">
          <w:rPr>
            <w:rStyle w:val="Hyperlink"/>
          </w:rPr>
          <w:t>Systematic review evidence included for prognostic outcomes</w:t>
        </w:r>
        <w:r w:rsidR="00B0479F">
          <w:rPr>
            <w:webHidden/>
          </w:rPr>
          <w:tab/>
        </w:r>
        <w:r w:rsidR="00B0479F">
          <w:rPr>
            <w:webHidden/>
          </w:rPr>
          <w:fldChar w:fldCharType="begin"/>
        </w:r>
        <w:r w:rsidR="00B0479F">
          <w:rPr>
            <w:webHidden/>
          </w:rPr>
          <w:instrText xml:space="preserve"> PAGEREF _Toc39580808 \h </w:instrText>
        </w:r>
        <w:r w:rsidR="00B0479F">
          <w:rPr>
            <w:webHidden/>
          </w:rPr>
        </w:r>
        <w:r w:rsidR="00B0479F">
          <w:rPr>
            <w:webHidden/>
          </w:rPr>
          <w:fldChar w:fldCharType="separate"/>
        </w:r>
        <w:r w:rsidR="009677B6">
          <w:rPr>
            <w:webHidden/>
          </w:rPr>
          <w:t>80</w:t>
        </w:r>
        <w:r w:rsidR="00B0479F">
          <w:rPr>
            <w:webHidden/>
          </w:rPr>
          <w:fldChar w:fldCharType="end"/>
        </w:r>
      </w:hyperlink>
    </w:p>
    <w:p w14:paraId="2D2E5FFB" w14:textId="20249F11" w:rsidR="00B0479F" w:rsidRDefault="004B21EF">
      <w:pPr>
        <w:pStyle w:val="TableofFigures"/>
        <w:rPr>
          <w:rFonts w:asciiTheme="minorHAnsi" w:eastAsiaTheme="minorEastAsia" w:hAnsiTheme="minorHAnsi" w:cstheme="minorBidi"/>
        </w:rPr>
      </w:pPr>
      <w:hyperlink w:anchor="_Toc39580809" w:history="1">
        <w:r w:rsidR="00B0479F" w:rsidRPr="008E68B6">
          <w:rPr>
            <w:rStyle w:val="Hyperlink"/>
          </w:rPr>
          <w:t>Table 28</w:t>
        </w:r>
        <w:r w:rsidR="00B0479F">
          <w:rPr>
            <w:rFonts w:asciiTheme="minorHAnsi" w:eastAsiaTheme="minorEastAsia" w:hAnsiTheme="minorHAnsi" w:cstheme="minorBidi"/>
          </w:rPr>
          <w:tab/>
        </w:r>
        <w:r w:rsidR="00B0479F" w:rsidRPr="008E68B6">
          <w:rPr>
            <w:rStyle w:val="Hyperlink"/>
          </w:rPr>
          <w:t>Visual acuity at the last follow-up</w:t>
        </w:r>
        <w:r w:rsidR="00B0479F">
          <w:rPr>
            <w:webHidden/>
          </w:rPr>
          <w:tab/>
        </w:r>
        <w:r w:rsidR="00B0479F">
          <w:rPr>
            <w:webHidden/>
          </w:rPr>
          <w:fldChar w:fldCharType="begin"/>
        </w:r>
        <w:r w:rsidR="00B0479F">
          <w:rPr>
            <w:webHidden/>
          </w:rPr>
          <w:instrText xml:space="preserve"> PAGEREF _Toc39580809 \h </w:instrText>
        </w:r>
        <w:r w:rsidR="00B0479F">
          <w:rPr>
            <w:webHidden/>
          </w:rPr>
        </w:r>
        <w:r w:rsidR="00B0479F">
          <w:rPr>
            <w:webHidden/>
          </w:rPr>
          <w:fldChar w:fldCharType="separate"/>
        </w:r>
        <w:r w:rsidR="009677B6">
          <w:rPr>
            <w:webHidden/>
          </w:rPr>
          <w:t>81</w:t>
        </w:r>
        <w:r w:rsidR="00B0479F">
          <w:rPr>
            <w:webHidden/>
          </w:rPr>
          <w:fldChar w:fldCharType="end"/>
        </w:r>
      </w:hyperlink>
    </w:p>
    <w:p w14:paraId="6724E51E" w14:textId="6134CFE3" w:rsidR="00B0479F" w:rsidRDefault="004B21EF">
      <w:pPr>
        <w:pStyle w:val="TableofFigures"/>
        <w:rPr>
          <w:rFonts w:asciiTheme="minorHAnsi" w:eastAsiaTheme="minorEastAsia" w:hAnsiTheme="minorHAnsi" w:cstheme="minorBidi"/>
        </w:rPr>
      </w:pPr>
      <w:hyperlink w:anchor="_Toc39580810" w:history="1">
        <w:r w:rsidR="00B0479F" w:rsidRPr="008E68B6">
          <w:rPr>
            <w:rStyle w:val="Hyperlink"/>
          </w:rPr>
          <w:t>Table 29</w:t>
        </w:r>
        <w:r w:rsidR="00B0479F">
          <w:rPr>
            <w:rFonts w:asciiTheme="minorHAnsi" w:eastAsiaTheme="minorEastAsia" w:hAnsiTheme="minorHAnsi" w:cstheme="minorBidi"/>
          </w:rPr>
          <w:tab/>
        </w:r>
        <w:r w:rsidR="00B0479F" w:rsidRPr="008E68B6">
          <w:rPr>
            <w:rStyle w:val="Hyperlink"/>
          </w:rPr>
          <w:t>Patients with legal blindness in one or both eyes at the last follow-up</w:t>
        </w:r>
        <w:r w:rsidR="00B0479F">
          <w:rPr>
            <w:webHidden/>
          </w:rPr>
          <w:tab/>
        </w:r>
        <w:r w:rsidR="00B0479F">
          <w:rPr>
            <w:webHidden/>
          </w:rPr>
          <w:fldChar w:fldCharType="begin"/>
        </w:r>
        <w:r w:rsidR="00B0479F">
          <w:rPr>
            <w:webHidden/>
          </w:rPr>
          <w:instrText xml:space="preserve"> PAGEREF _Toc39580810 \h </w:instrText>
        </w:r>
        <w:r w:rsidR="00B0479F">
          <w:rPr>
            <w:webHidden/>
          </w:rPr>
        </w:r>
        <w:r w:rsidR="00B0479F">
          <w:rPr>
            <w:webHidden/>
          </w:rPr>
          <w:fldChar w:fldCharType="separate"/>
        </w:r>
        <w:r w:rsidR="009677B6">
          <w:rPr>
            <w:webHidden/>
          </w:rPr>
          <w:t>81</w:t>
        </w:r>
        <w:r w:rsidR="00B0479F">
          <w:rPr>
            <w:webHidden/>
          </w:rPr>
          <w:fldChar w:fldCharType="end"/>
        </w:r>
      </w:hyperlink>
    </w:p>
    <w:p w14:paraId="0D76A4F1" w14:textId="29750A88" w:rsidR="00B0479F" w:rsidRDefault="004B21EF">
      <w:pPr>
        <w:pStyle w:val="TableofFigures"/>
        <w:rPr>
          <w:rFonts w:asciiTheme="minorHAnsi" w:eastAsiaTheme="minorEastAsia" w:hAnsiTheme="minorHAnsi" w:cstheme="minorBidi"/>
        </w:rPr>
      </w:pPr>
      <w:hyperlink w:anchor="_Toc39580811" w:history="1">
        <w:r w:rsidR="00B0479F" w:rsidRPr="008E68B6">
          <w:rPr>
            <w:rStyle w:val="Hyperlink"/>
          </w:rPr>
          <w:t>Table 30</w:t>
        </w:r>
        <w:r w:rsidR="00B0479F">
          <w:rPr>
            <w:rFonts w:asciiTheme="minorHAnsi" w:eastAsiaTheme="minorEastAsia" w:hAnsiTheme="minorHAnsi" w:cstheme="minorBidi"/>
          </w:rPr>
          <w:tab/>
        </w:r>
        <w:r w:rsidR="00B0479F" w:rsidRPr="008E68B6">
          <w:rPr>
            <w:rStyle w:val="Hyperlink"/>
          </w:rPr>
          <w:t>Rate of conversion to NMO/NMOSD</w:t>
        </w:r>
        <w:r w:rsidR="00B0479F">
          <w:rPr>
            <w:webHidden/>
          </w:rPr>
          <w:tab/>
        </w:r>
        <w:r w:rsidR="00B0479F">
          <w:rPr>
            <w:webHidden/>
          </w:rPr>
          <w:fldChar w:fldCharType="begin"/>
        </w:r>
        <w:r w:rsidR="00B0479F">
          <w:rPr>
            <w:webHidden/>
          </w:rPr>
          <w:instrText xml:space="preserve"> PAGEREF _Toc39580811 \h </w:instrText>
        </w:r>
        <w:r w:rsidR="00B0479F">
          <w:rPr>
            <w:webHidden/>
          </w:rPr>
        </w:r>
        <w:r w:rsidR="00B0479F">
          <w:rPr>
            <w:webHidden/>
          </w:rPr>
          <w:fldChar w:fldCharType="separate"/>
        </w:r>
        <w:r w:rsidR="009677B6">
          <w:rPr>
            <w:webHidden/>
          </w:rPr>
          <w:t>82</w:t>
        </w:r>
        <w:r w:rsidR="00B0479F">
          <w:rPr>
            <w:webHidden/>
          </w:rPr>
          <w:fldChar w:fldCharType="end"/>
        </w:r>
      </w:hyperlink>
    </w:p>
    <w:p w14:paraId="1BA25A64" w14:textId="5F45B04F" w:rsidR="00B0479F" w:rsidRDefault="004B21EF">
      <w:pPr>
        <w:pStyle w:val="TableofFigures"/>
        <w:rPr>
          <w:rFonts w:asciiTheme="minorHAnsi" w:eastAsiaTheme="minorEastAsia" w:hAnsiTheme="minorHAnsi" w:cstheme="minorBidi"/>
        </w:rPr>
      </w:pPr>
      <w:hyperlink w:anchor="_Toc39580812" w:history="1">
        <w:r w:rsidR="00B0479F" w:rsidRPr="008E68B6">
          <w:rPr>
            <w:rStyle w:val="Hyperlink"/>
          </w:rPr>
          <w:t>Table 31</w:t>
        </w:r>
        <w:r w:rsidR="00B0479F">
          <w:rPr>
            <w:rFonts w:asciiTheme="minorHAnsi" w:eastAsiaTheme="minorEastAsia" w:hAnsiTheme="minorHAnsi" w:cstheme="minorBidi"/>
          </w:rPr>
          <w:tab/>
        </w:r>
        <w:r w:rsidR="00B0479F" w:rsidRPr="008E68B6">
          <w:rPr>
            <w:rStyle w:val="Hyperlink"/>
          </w:rPr>
          <w:t>Rate of conversion to MS</w:t>
        </w:r>
        <w:r w:rsidR="00B0479F">
          <w:rPr>
            <w:webHidden/>
          </w:rPr>
          <w:tab/>
        </w:r>
        <w:r w:rsidR="00B0479F">
          <w:rPr>
            <w:webHidden/>
          </w:rPr>
          <w:fldChar w:fldCharType="begin"/>
        </w:r>
        <w:r w:rsidR="00B0479F">
          <w:rPr>
            <w:webHidden/>
          </w:rPr>
          <w:instrText xml:space="preserve"> PAGEREF _Toc39580812 \h </w:instrText>
        </w:r>
        <w:r w:rsidR="00B0479F">
          <w:rPr>
            <w:webHidden/>
          </w:rPr>
        </w:r>
        <w:r w:rsidR="00B0479F">
          <w:rPr>
            <w:webHidden/>
          </w:rPr>
          <w:fldChar w:fldCharType="separate"/>
        </w:r>
        <w:r w:rsidR="009677B6">
          <w:rPr>
            <w:webHidden/>
          </w:rPr>
          <w:t>83</w:t>
        </w:r>
        <w:r w:rsidR="00B0479F">
          <w:rPr>
            <w:webHidden/>
          </w:rPr>
          <w:fldChar w:fldCharType="end"/>
        </w:r>
      </w:hyperlink>
    </w:p>
    <w:p w14:paraId="3E726194" w14:textId="7196101B" w:rsidR="00B0479F" w:rsidRDefault="004B21EF">
      <w:pPr>
        <w:pStyle w:val="TableofFigures"/>
        <w:rPr>
          <w:rFonts w:asciiTheme="minorHAnsi" w:eastAsiaTheme="minorEastAsia" w:hAnsiTheme="minorHAnsi" w:cstheme="minorBidi"/>
        </w:rPr>
      </w:pPr>
      <w:hyperlink w:anchor="_Toc39580813" w:history="1">
        <w:r w:rsidR="00B0479F" w:rsidRPr="008E68B6">
          <w:rPr>
            <w:rStyle w:val="Hyperlink"/>
          </w:rPr>
          <w:t>Table 32</w:t>
        </w:r>
        <w:r w:rsidR="00B0479F">
          <w:rPr>
            <w:rFonts w:asciiTheme="minorHAnsi" w:eastAsiaTheme="minorEastAsia" w:hAnsiTheme="minorHAnsi" w:cstheme="minorBidi"/>
          </w:rPr>
          <w:tab/>
        </w:r>
        <w:r w:rsidR="00B0479F" w:rsidRPr="008E68B6">
          <w:rPr>
            <w:rStyle w:val="Hyperlink"/>
          </w:rPr>
          <w:t>Annual relapse rate or patients relapsed</w:t>
        </w:r>
        <w:r w:rsidR="00B0479F">
          <w:rPr>
            <w:webHidden/>
          </w:rPr>
          <w:tab/>
        </w:r>
        <w:r w:rsidR="00B0479F">
          <w:rPr>
            <w:webHidden/>
          </w:rPr>
          <w:fldChar w:fldCharType="begin"/>
        </w:r>
        <w:r w:rsidR="00B0479F">
          <w:rPr>
            <w:webHidden/>
          </w:rPr>
          <w:instrText xml:space="preserve"> PAGEREF _Toc39580813 \h </w:instrText>
        </w:r>
        <w:r w:rsidR="00B0479F">
          <w:rPr>
            <w:webHidden/>
          </w:rPr>
        </w:r>
        <w:r w:rsidR="00B0479F">
          <w:rPr>
            <w:webHidden/>
          </w:rPr>
          <w:fldChar w:fldCharType="separate"/>
        </w:r>
        <w:r w:rsidR="009677B6">
          <w:rPr>
            <w:webHidden/>
          </w:rPr>
          <w:t>83</w:t>
        </w:r>
        <w:r w:rsidR="00B0479F">
          <w:rPr>
            <w:webHidden/>
          </w:rPr>
          <w:fldChar w:fldCharType="end"/>
        </w:r>
      </w:hyperlink>
    </w:p>
    <w:p w14:paraId="45164DE5" w14:textId="1C87BD90" w:rsidR="00B0479F" w:rsidRDefault="004B21EF">
      <w:pPr>
        <w:pStyle w:val="TableofFigures"/>
        <w:rPr>
          <w:rFonts w:asciiTheme="minorHAnsi" w:eastAsiaTheme="minorEastAsia" w:hAnsiTheme="minorHAnsi" w:cstheme="minorBidi"/>
        </w:rPr>
      </w:pPr>
      <w:hyperlink w:anchor="_Toc39580814" w:history="1">
        <w:r w:rsidR="00B0479F" w:rsidRPr="008E68B6">
          <w:rPr>
            <w:rStyle w:val="Hyperlink"/>
          </w:rPr>
          <w:t>Table 33</w:t>
        </w:r>
        <w:r w:rsidR="00B0479F">
          <w:rPr>
            <w:rFonts w:asciiTheme="minorHAnsi" w:eastAsiaTheme="minorEastAsia" w:hAnsiTheme="minorHAnsi" w:cstheme="minorBidi"/>
          </w:rPr>
          <w:tab/>
        </w:r>
        <w:r w:rsidR="00B0479F" w:rsidRPr="008E68B6">
          <w:rPr>
            <w:rStyle w:val="Hyperlink"/>
          </w:rPr>
          <w:t>Change in EDSS</w:t>
        </w:r>
        <w:r w:rsidR="00B0479F" w:rsidRPr="008E68B6">
          <w:rPr>
            <w:rStyle w:val="Hyperlink"/>
            <w:vertAlign w:val="superscript"/>
          </w:rPr>
          <w:t>a</w:t>
        </w:r>
        <w:r w:rsidR="00B0479F" w:rsidRPr="008E68B6">
          <w:rPr>
            <w:rStyle w:val="Hyperlink"/>
          </w:rPr>
          <w:t xml:space="preserve"> at follow-up</w:t>
        </w:r>
        <w:r w:rsidR="00B0479F">
          <w:rPr>
            <w:webHidden/>
          </w:rPr>
          <w:tab/>
        </w:r>
        <w:r w:rsidR="00B0479F">
          <w:rPr>
            <w:webHidden/>
          </w:rPr>
          <w:fldChar w:fldCharType="begin"/>
        </w:r>
        <w:r w:rsidR="00B0479F">
          <w:rPr>
            <w:webHidden/>
          </w:rPr>
          <w:instrText xml:space="preserve"> PAGEREF _Toc39580814 \h </w:instrText>
        </w:r>
        <w:r w:rsidR="00B0479F">
          <w:rPr>
            <w:webHidden/>
          </w:rPr>
        </w:r>
        <w:r w:rsidR="00B0479F">
          <w:rPr>
            <w:webHidden/>
          </w:rPr>
          <w:fldChar w:fldCharType="separate"/>
        </w:r>
        <w:r w:rsidR="009677B6">
          <w:rPr>
            <w:webHidden/>
          </w:rPr>
          <w:t>84</w:t>
        </w:r>
        <w:r w:rsidR="00B0479F">
          <w:rPr>
            <w:webHidden/>
          </w:rPr>
          <w:fldChar w:fldCharType="end"/>
        </w:r>
      </w:hyperlink>
    </w:p>
    <w:p w14:paraId="03B72FF3" w14:textId="7305C912" w:rsidR="00B0479F" w:rsidRDefault="004B21EF">
      <w:pPr>
        <w:pStyle w:val="TableofFigures"/>
        <w:rPr>
          <w:rFonts w:asciiTheme="minorHAnsi" w:eastAsiaTheme="minorEastAsia" w:hAnsiTheme="minorHAnsi" w:cstheme="minorBidi"/>
        </w:rPr>
      </w:pPr>
      <w:hyperlink w:anchor="_Toc39580815" w:history="1">
        <w:r w:rsidR="00B0479F" w:rsidRPr="008E68B6">
          <w:rPr>
            <w:rStyle w:val="Hyperlink"/>
          </w:rPr>
          <w:t>Table 34</w:t>
        </w:r>
        <w:r w:rsidR="00B0479F">
          <w:rPr>
            <w:rFonts w:asciiTheme="minorHAnsi" w:eastAsiaTheme="minorEastAsia" w:hAnsiTheme="minorHAnsi" w:cstheme="minorBidi"/>
          </w:rPr>
          <w:tab/>
        </w:r>
        <w:r w:rsidR="00B0479F" w:rsidRPr="008E68B6">
          <w:rPr>
            <w:rStyle w:val="Hyperlink"/>
          </w:rPr>
          <w:t>Visual acuity and visual field deficit changes</w:t>
        </w:r>
        <w:r w:rsidR="00B0479F">
          <w:rPr>
            <w:webHidden/>
          </w:rPr>
          <w:tab/>
        </w:r>
        <w:r w:rsidR="00B0479F">
          <w:rPr>
            <w:webHidden/>
          </w:rPr>
          <w:fldChar w:fldCharType="begin"/>
        </w:r>
        <w:r w:rsidR="00B0479F">
          <w:rPr>
            <w:webHidden/>
          </w:rPr>
          <w:instrText xml:space="preserve"> PAGEREF _Toc39580815 \h </w:instrText>
        </w:r>
        <w:r w:rsidR="00B0479F">
          <w:rPr>
            <w:webHidden/>
          </w:rPr>
        </w:r>
        <w:r w:rsidR="00B0479F">
          <w:rPr>
            <w:webHidden/>
          </w:rPr>
          <w:fldChar w:fldCharType="separate"/>
        </w:r>
        <w:r w:rsidR="009677B6">
          <w:rPr>
            <w:webHidden/>
          </w:rPr>
          <w:t>85</w:t>
        </w:r>
        <w:r w:rsidR="00B0479F">
          <w:rPr>
            <w:webHidden/>
          </w:rPr>
          <w:fldChar w:fldCharType="end"/>
        </w:r>
      </w:hyperlink>
    </w:p>
    <w:p w14:paraId="25B72404" w14:textId="6DDF2BB8" w:rsidR="00B0479F" w:rsidRDefault="004B21EF">
      <w:pPr>
        <w:pStyle w:val="TableofFigures"/>
        <w:rPr>
          <w:rFonts w:asciiTheme="minorHAnsi" w:eastAsiaTheme="minorEastAsia" w:hAnsiTheme="minorHAnsi" w:cstheme="minorBidi"/>
        </w:rPr>
      </w:pPr>
      <w:hyperlink w:anchor="_Toc39580816" w:history="1">
        <w:r w:rsidR="00B0479F" w:rsidRPr="008E68B6">
          <w:rPr>
            <w:rStyle w:val="Hyperlink"/>
          </w:rPr>
          <w:t>Table 35</w:t>
        </w:r>
        <w:r w:rsidR="00B0479F">
          <w:rPr>
            <w:rFonts w:asciiTheme="minorHAnsi" w:eastAsiaTheme="minorEastAsia" w:hAnsiTheme="minorHAnsi" w:cstheme="minorBidi"/>
          </w:rPr>
          <w:tab/>
        </w:r>
        <w:r w:rsidR="00B0479F" w:rsidRPr="008E68B6">
          <w:rPr>
            <w:rStyle w:val="Hyperlink"/>
          </w:rPr>
          <w:t>Rate of conversion to NMOSD</w:t>
        </w:r>
        <w:r w:rsidR="00B0479F">
          <w:rPr>
            <w:webHidden/>
          </w:rPr>
          <w:tab/>
        </w:r>
        <w:r w:rsidR="00B0479F">
          <w:rPr>
            <w:webHidden/>
          </w:rPr>
          <w:fldChar w:fldCharType="begin"/>
        </w:r>
        <w:r w:rsidR="00B0479F">
          <w:rPr>
            <w:webHidden/>
          </w:rPr>
          <w:instrText xml:space="preserve"> PAGEREF _Toc39580816 \h </w:instrText>
        </w:r>
        <w:r w:rsidR="00B0479F">
          <w:rPr>
            <w:webHidden/>
          </w:rPr>
        </w:r>
        <w:r w:rsidR="00B0479F">
          <w:rPr>
            <w:webHidden/>
          </w:rPr>
          <w:fldChar w:fldCharType="separate"/>
        </w:r>
        <w:r w:rsidR="009677B6">
          <w:rPr>
            <w:webHidden/>
          </w:rPr>
          <w:t>85</w:t>
        </w:r>
        <w:r w:rsidR="00B0479F">
          <w:rPr>
            <w:webHidden/>
          </w:rPr>
          <w:fldChar w:fldCharType="end"/>
        </w:r>
      </w:hyperlink>
    </w:p>
    <w:p w14:paraId="7DED83C4" w14:textId="0F98D7C0" w:rsidR="00B0479F" w:rsidRDefault="004B21EF">
      <w:pPr>
        <w:pStyle w:val="TableofFigures"/>
        <w:rPr>
          <w:rFonts w:asciiTheme="minorHAnsi" w:eastAsiaTheme="minorEastAsia" w:hAnsiTheme="minorHAnsi" w:cstheme="minorBidi"/>
        </w:rPr>
      </w:pPr>
      <w:hyperlink w:anchor="_Toc39580817" w:history="1">
        <w:r w:rsidR="00B0479F" w:rsidRPr="008E68B6">
          <w:rPr>
            <w:rStyle w:val="Hyperlink"/>
          </w:rPr>
          <w:t>Table 36</w:t>
        </w:r>
        <w:r w:rsidR="00B0479F">
          <w:rPr>
            <w:rFonts w:asciiTheme="minorHAnsi" w:eastAsiaTheme="minorEastAsia" w:hAnsiTheme="minorHAnsi" w:cstheme="minorBidi"/>
          </w:rPr>
          <w:tab/>
        </w:r>
        <w:r w:rsidR="00B0479F" w:rsidRPr="008E68B6">
          <w:rPr>
            <w:rStyle w:val="Hyperlink"/>
          </w:rPr>
          <w:t>Change in EDSS</w:t>
        </w:r>
        <w:r w:rsidR="00B0479F" w:rsidRPr="008E68B6">
          <w:rPr>
            <w:rStyle w:val="Hyperlink"/>
            <w:vertAlign w:val="superscript"/>
          </w:rPr>
          <w:t>a</w:t>
        </w:r>
        <w:r w:rsidR="00B0479F" w:rsidRPr="008E68B6">
          <w:rPr>
            <w:rStyle w:val="Hyperlink"/>
          </w:rPr>
          <w:t xml:space="preserve"> at follow-up</w:t>
        </w:r>
        <w:r w:rsidR="00B0479F">
          <w:rPr>
            <w:webHidden/>
          </w:rPr>
          <w:tab/>
        </w:r>
        <w:r w:rsidR="00B0479F">
          <w:rPr>
            <w:webHidden/>
          </w:rPr>
          <w:fldChar w:fldCharType="begin"/>
        </w:r>
        <w:r w:rsidR="00B0479F">
          <w:rPr>
            <w:webHidden/>
          </w:rPr>
          <w:instrText xml:space="preserve"> PAGEREF _Toc39580817 \h </w:instrText>
        </w:r>
        <w:r w:rsidR="00B0479F">
          <w:rPr>
            <w:webHidden/>
          </w:rPr>
        </w:r>
        <w:r w:rsidR="00B0479F">
          <w:rPr>
            <w:webHidden/>
          </w:rPr>
          <w:fldChar w:fldCharType="separate"/>
        </w:r>
        <w:r w:rsidR="009677B6">
          <w:rPr>
            <w:webHidden/>
          </w:rPr>
          <w:t>86</w:t>
        </w:r>
        <w:r w:rsidR="00B0479F">
          <w:rPr>
            <w:webHidden/>
          </w:rPr>
          <w:fldChar w:fldCharType="end"/>
        </w:r>
      </w:hyperlink>
    </w:p>
    <w:p w14:paraId="1BE50000" w14:textId="56D25580" w:rsidR="00B0479F" w:rsidRDefault="004B21EF">
      <w:pPr>
        <w:pStyle w:val="TableofFigures"/>
        <w:rPr>
          <w:rFonts w:asciiTheme="minorHAnsi" w:eastAsiaTheme="minorEastAsia" w:hAnsiTheme="minorHAnsi" w:cstheme="minorBidi"/>
        </w:rPr>
      </w:pPr>
      <w:hyperlink w:anchor="_Toc39580818" w:history="1">
        <w:r w:rsidR="00B0479F" w:rsidRPr="008E68B6">
          <w:rPr>
            <w:rStyle w:val="Hyperlink"/>
          </w:rPr>
          <w:t>Table 37</w:t>
        </w:r>
        <w:r w:rsidR="00B0479F">
          <w:rPr>
            <w:rFonts w:asciiTheme="minorHAnsi" w:eastAsiaTheme="minorEastAsia" w:hAnsiTheme="minorHAnsi" w:cstheme="minorBidi"/>
          </w:rPr>
          <w:tab/>
        </w:r>
        <w:r w:rsidR="00B0479F" w:rsidRPr="008E68B6">
          <w:rPr>
            <w:rStyle w:val="Hyperlink"/>
          </w:rPr>
          <w:t>Rate of symptom recurrence</w:t>
        </w:r>
        <w:r w:rsidR="00B0479F">
          <w:rPr>
            <w:webHidden/>
          </w:rPr>
          <w:tab/>
        </w:r>
        <w:r w:rsidR="00B0479F">
          <w:rPr>
            <w:webHidden/>
          </w:rPr>
          <w:fldChar w:fldCharType="begin"/>
        </w:r>
        <w:r w:rsidR="00B0479F">
          <w:rPr>
            <w:webHidden/>
          </w:rPr>
          <w:instrText xml:space="preserve"> PAGEREF _Toc39580818 \h </w:instrText>
        </w:r>
        <w:r w:rsidR="00B0479F">
          <w:rPr>
            <w:webHidden/>
          </w:rPr>
        </w:r>
        <w:r w:rsidR="00B0479F">
          <w:rPr>
            <w:webHidden/>
          </w:rPr>
          <w:fldChar w:fldCharType="separate"/>
        </w:r>
        <w:r w:rsidR="009677B6">
          <w:rPr>
            <w:webHidden/>
          </w:rPr>
          <w:t>86</w:t>
        </w:r>
        <w:r w:rsidR="00B0479F">
          <w:rPr>
            <w:webHidden/>
          </w:rPr>
          <w:fldChar w:fldCharType="end"/>
        </w:r>
      </w:hyperlink>
    </w:p>
    <w:p w14:paraId="3B3DB4FA" w14:textId="7098B87C" w:rsidR="00B0479F" w:rsidRDefault="004B21EF">
      <w:pPr>
        <w:pStyle w:val="TableofFigures"/>
        <w:rPr>
          <w:rFonts w:asciiTheme="minorHAnsi" w:eastAsiaTheme="minorEastAsia" w:hAnsiTheme="minorHAnsi" w:cstheme="minorBidi"/>
        </w:rPr>
      </w:pPr>
      <w:hyperlink w:anchor="_Toc39580819" w:history="1">
        <w:r w:rsidR="00B0479F" w:rsidRPr="008E68B6">
          <w:rPr>
            <w:rStyle w:val="Hyperlink"/>
          </w:rPr>
          <w:t>Table 38</w:t>
        </w:r>
        <w:r w:rsidR="00B0479F">
          <w:rPr>
            <w:rFonts w:asciiTheme="minorHAnsi" w:eastAsiaTheme="minorEastAsia" w:hAnsiTheme="minorHAnsi" w:cstheme="minorBidi"/>
          </w:rPr>
          <w:tab/>
        </w:r>
        <w:r w:rsidR="00B0479F" w:rsidRPr="008E68B6">
          <w:rPr>
            <w:rStyle w:val="Hyperlink"/>
          </w:rPr>
          <w:t>Occurrence of visual impairment at last follow-up in AQP4-AB positive compared with AQP4-Ab negative NMO patients (Lin, N et al. 2017)</w:t>
        </w:r>
        <w:r w:rsidR="00B0479F">
          <w:rPr>
            <w:webHidden/>
          </w:rPr>
          <w:tab/>
        </w:r>
        <w:r w:rsidR="00B0479F">
          <w:rPr>
            <w:webHidden/>
          </w:rPr>
          <w:fldChar w:fldCharType="begin"/>
        </w:r>
        <w:r w:rsidR="00B0479F">
          <w:rPr>
            <w:webHidden/>
          </w:rPr>
          <w:instrText xml:space="preserve"> PAGEREF _Toc39580819 \h </w:instrText>
        </w:r>
        <w:r w:rsidR="00B0479F">
          <w:rPr>
            <w:webHidden/>
          </w:rPr>
        </w:r>
        <w:r w:rsidR="00B0479F">
          <w:rPr>
            <w:webHidden/>
          </w:rPr>
          <w:fldChar w:fldCharType="separate"/>
        </w:r>
        <w:r w:rsidR="009677B6">
          <w:rPr>
            <w:webHidden/>
          </w:rPr>
          <w:t>87</w:t>
        </w:r>
        <w:r w:rsidR="00B0479F">
          <w:rPr>
            <w:webHidden/>
          </w:rPr>
          <w:fldChar w:fldCharType="end"/>
        </w:r>
      </w:hyperlink>
    </w:p>
    <w:p w14:paraId="49549E68" w14:textId="27316F6C" w:rsidR="00B0479F" w:rsidRDefault="004B21EF">
      <w:pPr>
        <w:pStyle w:val="TableofFigures"/>
        <w:rPr>
          <w:rFonts w:asciiTheme="minorHAnsi" w:eastAsiaTheme="minorEastAsia" w:hAnsiTheme="minorHAnsi" w:cstheme="minorBidi"/>
        </w:rPr>
      </w:pPr>
      <w:hyperlink w:anchor="_Toc39580820" w:history="1">
        <w:r w:rsidR="00B0479F" w:rsidRPr="008E68B6">
          <w:rPr>
            <w:rStyle w:val="Hyperlink"/>
          </w:rPr>
          <w:t>Table 39</w:t>
        </w:r>
        <w:r w:rsidR="00B0479F">
          <w:rPr>
            <w:rFonts w:asciiTheme="minorHAnsi" w:eastAsiaTheme="minorEastAsia" w:hAnsiTheme="minorHAnsi" w:cstheme="minorBidi"/>
          </w:rPr>
          <w:tab/>
        </w:r>
        <w:r w:rsidR="00B0479F" w:rsidRPr="008E68B6">
          <w:rPr>
            <w:rStyle w:val="Hyperlink"/>
          </w:rPr>
          <w:t>Domain scores for the quality appraisal of cohort studies using the SIGN Checklist 3</w:t>
        </w:r>
        <w:r w:rsidR="00B0479F">
          <w:rPr>
            <w:webHidden/>
          </w:rPr>
          <w:tab/>
        </w:r>
        <w:r w:rsidR="00B0479F">
          <w:rPr>
            <w:webHidden/>
          </w:rPr>
          <w:fldChar w:fldCharType="begin"/>
        </w:r>
        <w:r w:rsidR="00B0479F">
          <w:rPr>
            <w:webHidden/>
          </w:rPr>
          <w:instrText xml:space="preserve"> PAGEREF _Toc39580820 \h </w:instrText>
        </w:r>
        <w:r w:rsidR="00B0479F">
          <w:rPr>
            <w:webHidden/>
          </w:rPr>
        </w:r>
        <w:r w:rsidR="00B0479F">
          <w:rPr>
            <w:webHidden/>
          </w:rPr>
          <w:fldChar w:fldCharType="separate"/>
        </w:r>
        <w:r w:rsidR="009677B6">
          <w:rPr>
            <w:webHidden/>
          </w:rPr>
          <w:t>88</w:t>
        </w:r>
        <w:r w:rsidR="00B0479F">
          <w:rPr>
            <w:webHidden/>
          </w:rPr>
          <w:fldChar w:fldCharType="end"/>
        </w:r>
      </w:hyperlink>
    </w:p>
    <w:p w14:paraId="4E4DCF7A" w14:textId="6E5242EF" w:rsidR="00B0479F" w:rsidRDefault="004B21EF">
      <w:pPr>
        <w:pStyle w:val="TableofFigures"/>
        <w:rPr>
          <w:rFonts w:asciiTheme="minorHAnsi" w:eastAsiaTheme="minorEastAsia" w:hAnsiTheme="minorHAnsi" w:cstheme="minorBidi"/>
        </w:rPr>
      </w:pPr>
      <w:hyperlink w:anchor="_Toc39580821" w:history="1">
        <w:r w:rsidR="00B0479F" w:rsidRPr="008E68B6">
          <w:rPr>
            <w:rStyle w:val="Hyperlink"/>
          </w:rPr>
          <w:t>Table 40</w:t>
        </w:r>
        <w:r w:rsidR="00B0479F">
          <w:rPr>
            <w:rFonts w:asciiTheme="minorHAnsi" w:eastAsiaTheme="minorEastAsia" w:hAnsiTheme="minorHAnsi" w:cstheme="minorBidi"/>
          </w:rPr>
          <w:tab/>
        </w:r>
        <w:r w:rsidR="00B0479F" w:rsidRPr="008E68B6">
          <w:rPr>
            <w:rStyle w:val="Hyperlink"/>
          </w:rPr>
          <w:t>Key features of studies reporting on change in management</w:t>
        </w:r>
        <w:r w:rsidR="00B0479F">
          <w:rPr>
            <w:webHidden/>
          </w:rPr>
          <w:tab/>
        </w:r>
        <w:r w:rsidR="00B0479F">
          <w:rPr>
            <w:webHidden/>
          </w:rPr>
          <w:fldChar w:fldCharType="begin"/>
        </w:r>
        <w:r w:rsidR="00B0479F">
          <w:rPr>
            <w:webHidden/>
          </w:rPr>
          <w:instrText xml:space="preserve"> PAGEREF _Toc39580821 \h </w:instrText>
        </w:r>
        <w:r w:rsidR="00B0479F">
          <w:rPr>
            <w:webHidden/>
          </w:rPr>
        </w:r>
        <w:r w:rsidR="00B0479F">
          <w:rPr>
            <w:webHidden/>
          </w:rPr>
          <w:fldChar w:fldCharType="separate"/>
        </w:r>
        <w:r w:rsidR="009677B6">
          <w:rPr>
            <w:webHidden/>
          </w:rPr>
          <w:t>89</w:t>
        </w:r>
        <w:r w:rsidR="00B0479F">
          <w:rPr>
            <w:webHidden/>
          </w:rPr>
          <w:fldChar w:fldCharType="end"/>
        </w:r>
      </w:hyperlink>
    </w:p>
    <w:p w14:paraId="1A1D510A" w14:textId="4B6A0FD8" w:rsidR="00B0479F" w:rsidRDefault="004B21EF">
      <w:pPr>
        <w:pStyle w:val="TableofFigures"/>
        <w:rPr>
          <w:rFonts w:asciiTheme="minorHAnsi" w:eastAsiaTheme="minorEastAsia" w:hAnsiTheme="minorHAnsi" w:cstheme="minorBidi"/>
        </w:rPr>
      </w:pPr>
      <w:hyperlink w:anchor="_Toc39580822" w:history="1">
        <w:r w:rsidR="00B0479F" w:rsidRPr="008E68B6">
          <w:rPr>
            <w:rStyle w:val="Hyperlink"/>
          </w:rPr>
          <w:t>Table 41</w:t>
        </w:r>
        <w:r w:rsidR="00B0479F">
          <w:rPr>
            <w:rFonts w:asciiTheme="minorHAnsi" w:eastAsiaTheme="minorEastAsia" w:hAnsiTheme="minorHAnsi" w:cstheme="minorBidi"/>
          </w:rPr>
          <w:tab/>
        </w:r>
        <w:r w:rsidR="00B0479F" w:rsidRPr="008E68B6">
          <w:rPr>
            <w:rStyle w:val="Hyperlink"/>
          </w:rPr>
          <w:t>Time to NMOSD diagnosis with and without AQP4-Ab testing (Hyun et al. 2016)</w:t>
        </w:r>
        <w:r w:rsidR="00B0479F">
          <w:rPr>
            <w:webHidden/>
          </w:rPr>
          <w:tab/>
        </w:r>
        <w:r w:rsidR="00B0479F">
          <w:rPr>
            <w:webHidden/>
          </w:rPr>
          <w:fldChar w:fldCharType="begin"/>
        </w:r>
        <w:r w:rsidR="00B0479F">
          <w:rPr>
            <w:webHidden/>
          </w:rPr>
          <w:instrText xml:space="preserve"> PAGEREF _Toc39580822 \h </w:instrText>
        </w:r>
        <w:r w:rsidR="00B0479F">
          <w:rPr>
            <w:webHidden/>
          </w:rPr>
        </w:r>
        <w:r w:rsidR="00B0479F">
          <w:rPr>
            <w:webHidden/>
          </w:rPr>
          <w:fldChar w:fldCharType="separate"/>
        </w:r>
        <w:r w:rsidR="009677B6">
          <w:rPr>
            <w:webHidden/>
          </w:rPr>
          <w:t>92</w:t>
        </w:r>
        <w:r w:rsidR="00B0479F">
          <w:rPr>
            <w:webHidden/>
          </w:rPr>
          <w:fldChar w:fldCharType="end"/>
        </w:r>
      </w:hyperlink>
    </w:p>
    <w:p w14:paraId="71BABEAD" w14:textId="042D7A8E" w:rsidR="00B0479F" w:rsidRDefault="004B21EF">
      <w:pPr>
        <w:pStyle w:val="TableofFigures"/>
        <w:rPr>
          <w:rFonts w:asciiTheme="minorHAnsi" w:eastAsiaTheme="minorEastAsia" w:hAnsiTheme="minorHAnsi" w:cstheme="minorBidi"/>
        </w:rPr>
      </w:pPr>
      <w:hyperlink w:anchor="_Toc39580823" w:history="1">
        <w:r w:rsidR="00B0479F" w:rsidRPr="008E68B6">
          <w:rPr>
            <w:rStyle w:val="Hyperlink"/>
          </w:rPr>
          <w:t>Table 42</w:t>
        </w:r>
        <w:r w:rsidR="00B0479F">
          <w:rPr>
            <w:rFonts w:asciiTheme="minorHAnsi" w:eastAsiaTheme="minorEastAsia" w:hAnsiTheme="minorHAnsi" w:cstheme="minorBidi"/>
          </w:rPr>
          <w:tab/>
        </w:r>
        <w:r w:rsidR="00B0479F" w:rsidRPr="008E68B6">
          <w:rPr>
            <w:rStyle w:val="Hyperlink"/>
          </w:rPr>
          <w:t>Mean time to diagnosis (2006 criteria) in AQP4-Ab positive compared AQP4-Ab negative patients</w:t>
        </w:r>
        <w:r w:rsidR="00B0479F">
          <w:rPr>
            <w:webHidden/>
          </w:rPr>
          <w:tab/>
        </w:r>
        <w:r w:rsidR="00B0479F">
          <w:rPr>
            <w:webHidden/>
          </w:rPr>
          <w:fldChar w:fldCharType="begin"/>
        </w:r>
        <w:r w:rsidR="00B0479F">
          <w:rPr>
            <w:webHidden/>
          </w:rPr>
          <w:instrText xml:space="preserve"> PAGEREF _Toc39580823 \h </w:instrText>
        </w:r>
        <w:r w:rsidR="00B0479F">
          <w:rPr>
            <w:webHidden/>
          </w:rPr>
        </w:r>
        <w:r w:rsidR="00B0479F">
          <w:rPr>
            <w:webHidden/>
          </w:rPr>
          <w:fldChar w:fldCharType="separate"/>
        </w:r>
        <w:r w:rsidR="009677B6">
          <w:rPr>
            <w:webHidden/>
          </w:rPr>
          <w:t>92</w:t>
        </w:r>
        <w:r w:rsidR="00B0479F">
          <w:rPr>
            <w:webHidden/>
          </w:rPr>
          <w:fldChar w:fldCharType="end"/>
        </w:r>
      </w:hyperlink>
    </w:p>
    <w:p w14:paraId="2431EF15" w14:textId="65B8D1AA" w:rsidR="00B0479F" w:rsidRDefault="004B21EF">
      <w:pPr>
        <w:pStyle w:val="TableofFigures"/>
        <w:rPr>
          <w:rFonts w:asciiTheme="minorHAnsi" w:eastAsiaTheme="minorEastAsia" w:hAnsiTheme="minorHAnsi" w:cstheme="minorBidi"/>
        </w:rPr>
      </w:pPr>
      <w:hyperlink w:anchor="_Toc39580824" w:history="1">
        <w:r w:rsidR="00B0479F" w:rsidRPr="008E68B6">
          <w:rPr>
            <w:rStyle w:val="Hyperlink"/>
          </w:rPr>
          <w:t>Table 43</w:t>
        </w:r>
        <w:r w:rsidR="00B0479F">
          <w:rPr>
            <w:rFonts w:asciiTheme="minorHAnsi" w:eastAsiaTheme="minorEastAsia" w:hAnsiTheme="minorHAnsi" w:cstheme="minorBidi"/>
          </w:rPr>
          <w:tab/>
        </w:r>
        <w:r w:rsidR="00B0479F" w:rsidRPr="008E68B6">
          <w:rPr>
            <w:rStyle w:val="Hyperlink"/>
          </w:rPr>
          <w:t>Proportion of initial diagnoses other than NMOSD</w:t>
        </w:r>
        <w:r w:rsidR="00B0479F">
          <w:rPr>
            <w:webHidden/>
          </w:rPr>
          <w:tab/>
        </w:r>
        <w:r w:rsidR="00B0479F">
          <w:rPr>
            <w:webHidden/>
          </w:rPr>
          <w:fldChar w:fldCharType="begin"/>
        </w:r>
        <w:r w:rsidR="00B0479F">
          <w:rPr>
            <w:webHidden/>
          </w:rPr>
          <w:instrText xml:space="preserve"> PAGEREF _Toc39580824 \h </w:instrText>
        </w:r>
        <w:r w:rsidR="00B0479F">
          <w:rPr>
            <w:webHidden/>
          </w:rPr>
        </w:r>
        <w:r w:rsidR="00B0479F">
          <w:rPr>
            <w:webHidden/>
          </w:rPr>
          <w:fldChar w:fldCharType="separate"/>
        </w:r>
        <w:r w:rsidR="009677B6">
          <w:rPr>
            <w:webHidden/>
          </w:rPr>
          <w:t>93</w:t>
        </w:r>
        <w:r w:rsidR="00B0479F">
          <w:rPr>
            <w:webHidden/>
          </w:rPr>
          <w:fldChar w:fldCharType="end"/>
        </w:r>
      </w:hyperlink>
    </w:p>
    <w:p w14:paraId="2AADB266" w14:textId="2A4C6D4A" w:rsidR="00B0479F" w:rsidRDefault="004B21EF">
      <w:pPr>
        <w:pStyle w:val="TableofFigures"/>
        <w:rPr>
          <w:rFonts w:asciiTheme="minorHAnsi" w:eastAsiaTheme="minorEastAsia" w:hAnsiTheme="minorHAnsi" w:cstheme="minorBidi"/>
        </w:rPr>
      </w:pPr>
      <w:hyperlink w:anchor="_Toc39580825" w:history="1">
        <w:r w:rsidR="00B0479F" w:rsidRPr="008E68B6">
          <w:rPr>
            <w:rStyle w:val="Hyperlink"/>
          </w:rPr>
          <w:t>Table 44</w:t>
        </w:r>
        <w:r w:rsidR="00B0479F">
          <w:rPr>
            <w:rFonts w:asciiTheme="minorHAnsi" w:eastAsiaTheme="minorEastAsia" w:hAnsiTheme="minorHAnsi" w:cstheme="minorBidi"/>
          </w:rPr>
          <w:tab/>
        </w:r>
        <w:r w:rsidR="00B0479F" w:rsidRPr="008E68B6">
          <w:rPr>
            <w:rStyle w:val="Hyperlink"/>
          </w:rPr>
          <w:t>Change in the number of NMOSD diagnoses</w:t>
        </w:r>
        <w:r w:rsidR="00B0479F">
          <w:rPr>
            <w:webHidden/>
          </w:rPr>
          <w:tab/>
        </w:r>
        <w:r w:rsidR="00B0479F">
          <w:rPr>
            <w:webHidden/>
          </w:rPr>
          <w:fldChar w:fldCharType="begin"/>
        </w:r>
        <w:r w:rsidR="00B0479F">
          <w:rPr>
            <w:webHidden/>
          </w:rPr>
          <w:instrText xml:space="preserve"> PAGEREF _Toc39580825 \h </w:instrText>
        </w:r>
        <w:r w:rsidR="00B0479F">
          <w:rPr>
            <w:webHidden/>
          </w:rPr>
        </w:r>
        <w:r w:rsidR="00B0479F">
          <w:rPr>
            <w:webHidden/>
          </w:rPr>
          <w:fldChar w:fldCharType="separate"/>
        </w:r>
        <w:r w:rsidR="009677B6">
          <w:rPr>
            <w:webHidden/>
          </w:rPr>
          <w:t>93</w:t>
        </w:r>
        <w:r w:rsidR="00B0479F">
          <w:rPr>
            <w:webHidden/>
          </w:rPr>
          <w:fldChar w:fldCharType="end"/>
        </w:r>
      </w:hyperlink>
    </w:p>
    <w:p w14:paraId="64A1CE9D" w14:textId="2E23BE5B" w:rsidR="00B0479F" w:rsidRDefault="004B21EF">
      <w:pPr>
        <w:pStyle w:val="TableofFigures"/>
        <w:rPr>
          <w:rFonts w:asciiTheme="minorHAnsi" w:eastAsiaTheme="minorEastAsia" w:hAnsiTheme="minorHAnsi" w:cstheme="minorBidi"/>
        </w:rPr>
      </w:pPr>
      <w:hyperlink w:anchor="_Toc39580826" w:history="1">
        <w:r w:rsidR="00B0479F" w:rsidRPr="008E68B6">
          <w:rPr>
            <w:rStyle w:val="Hyperlink"/>
          </w:rPr>
          <w:t>Table 45</w:t>
        </w:r>
        <w:r w:rsidR="00B0479F">
          <w:rPr>
            <w:rFonts w:asciiTheme="minorHAnsi" w:eastAsiaTheme="minorEastAsia" w:hAnsiTheme="minorHAnsi" w:cstheme="minorBidi"/>
          </w:rPr>
          <w:tab/>
        </w:r>
        <w:r w:rsidR="00B0479F" w:rsidRPr="008E68B6">
          <w:rPr>
            <w:rStyle w:val="Hyperlink"/>
          </w:rPr>
          <w:t>Clinican diagnostic agreement between cases of NMOSD and MS</w:t>
        </w:r>
        <w:r w:rsidR="00B0479F">
          <w:rPr>
            <w:webHidden/>
          </w:rPr>
          <w:tab/>
        </w:r>
        <w:r w:rsidR="00B0479F">
          <w:rPr>
            <w:webHidden/>
          </w:rPr>
          <w:fldChar w:fldCharType="begin"/>
        </w:r>
        <w:r w:rsidR="00B0479F">
          <w:rPr>
            <w:webHidden/>
          </w:rPr>
          <w:instrText xml:space="preserve"> PAGEREF _Toc39580826 \h </w:instrText>
        </w:r>
        <w:r w:rsidR="00B0479F">
          <w:rPr>
            <w:webHidden/>
          </w:rPr>
        </w:r>
        <w:r w:rsidR="00B0479F">
          <w:rPr>
            <w:webHidden/>
          </w:rPr>
          <w:fldChar w:fldCharType="separate"/>
        </w:r>
        <w:r w:rsidR="009677B6">
          <w:rPr>
            <w:webHidden/>
          </w:rPr>
          <w:t>94</w:t>
        </w:r>
        <w:r w:rsidR="00B0479F">
          <w:rPr>
            <w:webHidden/>
          </w:rPr>
          <w:fldChar w:fldCharType="end"/>
        </w:r>
      </w:hyperlink>
    </w:p>
    <w:p w14:paraId="2E805BE4" w14:textId="272BF796" w:rsidR="00B0479F" w:rsidRDefault="004B21EF">
      <w:pPr>
        <w:pStyle w:val="TableofFigures"/>
        <w:rPr>
          <w:rFonts w:asciiTheme="minorHAnsi" w:eastAsiaTheme="minorEastAsia" w:hAnsiTheme="minorHAnsi" w:cstheme="minorBidi"/>
        </w:rPr>
      </w:pPr>
      <w:hyperlink w:anchor="_Toc39580827" w:history="1">
        <w:r w:rsidR="00B0479F" w:rsidRPr="008E68B6">
          <w:rPr>
            <w:rStyle w:val="Hyperlink"/>
          </w:rPr>
          <w:t>Table 46</w:t>
        </w:r>
        <w:r w:rsidR="00B0479F">
          <w:rPr>
            <w:rFonts w:asciiTheme="minorHAnsi" w:eastAsiaTheme="minorEastAsia" w:hAnsiTheme="minorHAnsi" w:cstheme="minorBidi"/>
          </w:rPr>
          <w:tab/>
        </w:r>
        <w:r w:rsidR="00B0479F" w:rsidRPr="008E68B6">
          <w:rPr>
            <w:rStyle w:val="Hyperlink"/>
          </w:rPr>
          <w:t>Domain scores for the quality appraisal of cohort studies using the SIGN Checklist 3</w:t>
        </w:r>
        <w:r w:rsidR="00B0479F">
          <w:rPr>
            <w:webHidden/>
          </w:rPr>
          <w:tab/>
        </w:r>
        <w:r w:rsidR="00B0479F">
          <w:rPr>
            <w:webHidden/>
          </w:rPr>
          <w:fldChar w:fldCharType="begin"/>
        </w:r>
        <w:r w:rsidR="00B0479F">
          <w:rPr>
            <w:webHidden/>
          </w:rPr>
          <w:instrText xml:space="preserve"> PAGEREF _Toc39580827 \h </w:instrText>
        </w:r>
        <w:r w:rsidR="00B0479F">
          <w:rPr>
            <w:webHidden/>
          </w:rPr>
        </w:r>
        <w:r w:rsidR="00B0479F">
          <w:rPr>
            <w:webHidden/>
          </w:rPr>
          <w:fldChar w:fldCharType="separate"/>
        </w:r>
        <w:r w:rsidR="009677B6">
          <w:rPr>
            <w:webHidden/>
          </w:rPr>
          <w:t>95</w:t>
        </w:r>
        <w:r w:rsidR="00B0479F">
          <w:rPr>
            <w:webHidden/>
          </w:rPr>
          <w:fldChar w:fldCharType="end"/>
        </w:r>
      </w:hyperlink>
    </w:p>
    <w:p w14:paraId="0D52012A" w14:textId="1E6D692D" w:rsidR="00B0479F" w:rsidRDefault="004B21EF">
      <w:pPr>
        <w:pStyle w:val="TableofFigures"/>
        <w:rPr>
          <w:rFonts w:asciiTheme="minorHAnsi" w:eastAsiaTheme="minorEastAsia" w:hAnsiTheme="minorHAnsi" w:cstheme="minorBidi"/>
        </w:rPr>
      </w:pPr>
      <w:hyperlink w:anchor="_Toc39580828" w:history="1">
        <w:r w:rsidR="00B0479F" w:rsidRPr="008E68B6">
          <w:rPr>
            <w:rStyle w:val="Hyperlink"/>
          </w:rPr>
          <w:t>Table 47</w:t>
        </w:r>
        <w:r w:rsidR="00B0479F">
          <w:rPr>
            <w:rFonts w:asciiTheme="minorHAnsi" w:eastAsiaTheme="minorEastAsia" w:hAnsiTheme="minorHAnsi" w:cstheme="minorBidi"/>
          </w:rPr>
          <w:tab/>
        </w:r>
        <w:r w:rsidR="00B0479F" w:rsidRPr="008E68B6">
          <w:rPr>
            <w:rStyle w:val="Hyperlink"/>
          </w:rPr>
          <w:t>Systematic review evidence included for clinical utility (therapeutic effectiveness)</w:t>
        </w:r>
        <w:r w:rsidR="00B0479F">
          <w:rPr>
            <w:webHidden/>
          </w:rPr>
          <w:tab/>
        </w:r>
        <w:r w:rsidR="00B0479F">
          <w:rPr>
            <w:webHidden/>
          </w:rPr>
          <w:fldChar w:fldCharType="begin"/>
        </w:r>
        <w:r w:rsidR="00B0479F">
          <w:rPr>
            <w:webHidden/>
          </w:rPr>
          <w:instrText xml:space="preserve"> PAGEREF _Toc39580828 \h </w:instrText>
        </w:r>
        <w:r w:rsidR="00B0479F">
          <w:rPr>
            <w:webHidden/>
          </w:rPr>
        </w:r>
        <w:r w:rsidR="00B0479F">
          <w:rPr>
            <w:webHidden/>
          </w:rPr>
          <w:fldChar w:fldCharType="separate"/>
        </w:r>
        <w:r w:rsidR="009677B6">
          <w:rPr>
            <w:webHidden/>
          </w:rPr>
          <w:t>96</w:t>
        </w:r>
        <w:r w:rsidR="00B0479F">
          <w:rPr>
            <w:webHidden/>
          </w:rPr>
          <w:fldChar w:fldCharType="end"/>
        </w:r>
      </w:hyperlink>
    </w:p>
    <w:p w14:paraId="1E0358BD" w14:textId="2EFCE265" w:rsidR="00B0479F" w:rsidRDefault="004B21EF">
      <w:pPr>
        <w:pStyle w:val="TableofFigures"/>
        <w:rPr>
          <w:rFonts w:asciiTheme="minorHAnsi" w:eastAsiaTheme="minorEastAsia" w:hAnsiTheme="minorHAnsi" w:cstheme="minorBidi"/>
        </w:rPr>
      </w:pPr>
      <w:hyperlink w:anchor="_Toc39580829" w:history="1">
        <w:r w:rsidR="00B0479F" w:rsidRPr="008E68B6">
          <w:rPr>
            <w:rStyle w:val="Hyperlink"/>
          </w:rPr>
          <w:t>Table 48</w:t>
        </w:r>
        <w:r w:rsidR="00B0479F">
          <w:rPr>
            <w:rFonts w:asciiTheme="minorHAnsi" w:eastAsiaTheme="minorEastAsia" w:hAnsiTheme="minorHAnsi" w:cstheme="minorBidi"/>
          </w:rPr>
          <w:tab/>
        </w:r>
        <w:r w:rsidR="00B0479F" w:rsidRPr="008E68B6">
          <w:rPr>
            <w:rStyle w:val="Hyperlink"/>
            <w:snapToGrid w:val="0"/>
          </w:rPr>
          <w:t>Key features of the included evidence assessing clinical utility (therapeutic effectiveness)</w:t>
        </w:r>
        <w:r w:rsidR="00B0479F">
          <w:rPr>
            <w:webHidden/>
          </w:rPr>
          <w:tab/>
        </w:r>
        <w:r w:rsidR="00B0479F">
          <w:rPr>
            <w:webHidden/>
          </w:rPr>
          <w:fldChar w:fldCharType="begin"/>
        </w:r>
        <w:r w:rsidR="00B0479F">
          <w:rPr>
            <w:webHidden/>
          </w:rPr>
          <w:instrText xml:space="preserve"> PAGEREF _Toc39580829 \h </w:instrText>
        </w:r>
        <w:r w:rsidR="00B0479F">
          <w:rPr>
            <w:webHidden/>
          </w:rPr>
        </w:r>
        <w:r w:rsidR="00B0479F">
          <w:rPr>
            <w:webHidden/>
          </w:rPr>
          <w:fldChar w:fldCharType="separate"/>
        </w:r>
        <w:r w:rsidR="009677B6">
          <w:rPr>
            <w:webHidden/>
          </w:rPr>
          <w:t>96</w:t>
        </w:r>
        <w:r w:rsidR="00B0479F">
          <w:rPr>
            <w:webHidden/>
          </w:rPr>
          <w:fldChar w:fldCharType="end"/>
        </w:r>
      </w:hyperlink>
    </w:p>
    <w:p w14:paraId="01701225" w14:textId="1D3CA6D4" w:rsidR="00B0479F" w:rsidRDefault="004B21EF">
      <w:pPr>
        <w:pStyle w:val="TableofFigures"/>
        <w:rPr>
          <w:rFonts w:asciiTheme="minorHAnsi" w:eastAsiaTheme="minorEastAsia" w:hAnsiTheme="minorHAnsi" w:cstheme="minorBidi"/>
        </w:rPr>
      </w:pPr>
      <w:hyperlink w:anchor="_Toc39580830" w:history="1">
        <w:r w:rsidR="00B0479F" w:rsidRPr="008E68B6">
          <w:rPr>
            <w:rStyle w:val="Hyperlink"/>
          </w:rPr>
          <w:t>Table 49</w:t>
        </w:r>
        <w:r w:rsidR="00B0479F">
          <w:rPr>
            <w:rFonts w:asciiTheme="minorHAnsi" w:eastAsiaTheme="minorEastAsia" w:hAnsiTheme="minorHAnsi" w:cstheme="minorBidi"/>
          </w:rPr>
          <w:tab/>
        </w:r>
        <w:r w:rsidR="00B0479F" w:rsidRPr="008E68B6">
          <w:rPr>
            <w:rStyle w:val="Hyperlink"/>
          </w:rPr>
          <w:t>Early versus late intravenous methylprednisolone treatment in patients with ON (Stiebel-Kalish et al. 2019)</w:t>
        </w:r>
        <w:r w:rsidR="00B0479F">
          <w:rPr>
            <w:webHidden/>
          </w:rPr>
          <w:tab/>
        </w:r>
        <w:r w:rsidR="00B0479F">
          <w:rPr>
            <w:webHidden/>
          </w:rPr>
          <w:fldChar w:fldCharType="begin"/>
        </w:r>
        <w:r w:rsidR="00B0479F">
          <w:rPr>
            <w:webHidden/>
          </w:rPr>
          <w:instrText xml:space="preserve"> PAGEREF _Toc39580830 \h </w:instrText>
        </w:r>
        <w:r w:rsidR="00B0479F">
          <w:rPr>
            <w:webHidden/>
          </w:rPr>
        </w:r>
        <w:r w:rsidR="00B0479F">
          <w:rPr>
            <w:webHidden/>
          </w:rPr>
          <w:fldChar w:fldCharType="separate"/>
        </w:r>
        <w:r w:rsidR="009677B6">
          <w:rPr>
            <w:webHidden/>
          </w:rPr>
          <w:t>100</w:t>
        </w:r>
        <w:r w:rsidR="00B0479F">
          <w:rPr>
            <w:webHidden/>
          </w:rPr>
          <w:fldChar w:fldCharType="end"/>
        </w:r>
      </w:hyperlink>
    </w:p>
    <w:p w14:paraId="4374D3DB" w14:textId="74E51C9F" w:rsidR="00B0479F" w:rsidRDefault="004B21EF">
      <w:pPr>
        <w:pStyle w:val="TableofFigures"/>
        <w:rPr>
          <w:rFonts w:asciiTheme="minorHAnsi" w:eastAsiaTheme="minorEastAsia" w:hAnsiTheme="minorHAnsi" w:cstheme="minorBidi"/>
        </w:rPr>
      </w:pPr>
      <w:hyperlink w:anchor="_Toc39580831" w:history="1">
        <w:r w:rsidR="00B0479F" w:rsidRPr="008E68B6">
          <w:rPr>
            <w:rStyle w:val="Hyperlink"/>
          </w:rPr>
          <w:t>Table 50</w:t>
        </w:r>
        <w:r w:rsidR="00B0479F">
          <w:rPr>
            <w:rFonts w:asciiTheme="minorHAnsi" w:eastAsiaTheme="minorEastAsia" w:hAnsiTheme="minorHAnsi" w:cstheme="minorBidi"/>
          </w:rPr>
          <w:tab/>
        </w:r>
        <w:r w:rsidR="00B0479F" w:rsidRPr="008E68B6">
          <w:rPr>
            <w:rStyle w:val="Hyperlink"/>
          </w:rPr>
          <w:t>Contributors to NMOSD disability (EDSS) by multivariate analysis (Mealy, M et al. 2019)</w:t>
        </w:r>
        <w:r w:rsidR="00B0479F">
          <w:rPr>
            <w:webHidden/>
          </w:rPr>
          <w:tab/>
        </w:r>
        <w:r w:rsidR="00B0479F">
          <w:rPr>
            <w:webHidden/>
          </w:rPr>
          <w:fldChar w:fldCharType="begin"/>
        </w:r>
        <w:r w:rsidR="00B0479F">
          <w:rPr>
            <w:webHidden/>
          </w:rPr>
          <w:instrText xml:space="preserve"> PAGEREF _Toc39580831 \h </w:instrText>
        </w:r>
        <w:r w:rsidR="00B0479F">
          <w:rPr>
            <w:webHidden/>
          </w:rPr>
        </w:r>
        <w:r w:rsidR="00B0479F">
          <w:rPr>
            <w:webHidden/>
          </w:rPr>
          <w:fldChar w:fldCharType="separate"/>
        </w:r>
        <w:r w:rsidR="009677B6">
          <w:rPr>
            <w:webHidden/>
          </w:rPr>
          <w:t>101</w:t>
        </w:r>
        <w:r w:rsidR="00B0479F">
          <w:rPr>
            <w:webHidden/>
          </w:rPr>
          <w:fldChar w:fldCharType="end"/>
        </w:r>
      </w:hyperlink>
    </w:p>
    <w:p w14:paraId="73F05E29" w14:textId="6623A7D1" w:rsidR="00B0479F" w:rsidRDefault="004B21EF">
      <w:pPr>
        <w:pStyle w:val="TableofFigures"/>
        <w:rPr>
          <w:rFonts w:asciiTheme="minorHAnsi" w:eastAsiaTheme="minorEastAsia" w:hAnsiTheme="minorHAnsi" w:cstheme="minorBidi"/>
        </w:rPr>
      </w:pPr>
      <w:hyperlink w:anchor="_Toc39580832" w:history="1">
        <w:r w:rsidR="00B0479F" w:rsidRPr="008E68B6">
          <w:rPr>
            <w:rStyle w:val="Hyperlink"/>
          </w:rPr>
          <w:t>Table 51</w:t>
        </w:r>
        <w:r w:rsidR="00B0479F">
          <w:rPr>
            <w:rFonts w:asciiTheme="minorHAnsi" w:eastAsiaTheme="minorEastAsia" w:hAnsiTheme="minorHAnsi" w:cstheme="minorBidi"/>
          </w:rPr>
          <w:tab/>
        </w:r>
        <w:r w:rsidR="00B0479F" w:rsidRPr="008E68B6">
          <w:rPr>
            <w:rStyle w:val="Hyperlink"/>
          </w:rPr>
          <w:t>Comparison of change in EDSS between NMOSD atacks treated with steroid or PLEX (Bonnan, M et al. 2009)</w:t>
        </w:r>
        <w:r w:rsidR="00B0479F">
          <w:rPr>
            <w:webHidden/>
          </w:rPr>
          <w:tab/>
        </w:r>
        <w:r w:rsidR="00B0479F">
          <w:rPr>
            <w:webHidden/>
          </w:rPr>
          <w:fldChar w:fldCharType="begin"/>
        </w:r>
        <w:r w:rsidR="00B0479F">
          <w:rPr>
            <w:webHidden/>
          </w:rPr>
          <w:instrText xml:space="preserve"> PAGEREF _Toc39580832 \h </w:instrText>
        </w:r>
        <w:r w:rsidR="00B0479F">
          <w:rPr>
            <w:webHidden/>
          </w:rPr>
        </w:r>
        <w:r w:rsidR="00B0479F">
          <w:rPr>
            <w:webHidden/>
          </w:rPr>
          <w:fldChar w:fldCharType="separate"/>
        </w:r>
        <w:r w:rsidR="009677B6">
          <w:rPr>
            <w:webHidden/>
          </w:rPr>
          <w:t>102</w:t>
        </w:r>
        <w:r w:rsidR="00B0479F">
          <w:rPr>
            <w:webHidden/>
          </w:rPr>
          <w:fldChar w:fldCharType="end"/>
        </w:r>
      </w:hyperlink>
    </w:p>
    <w:p w14:paraId="67593BE2" w14:textId="489636CF" w:rsidR="00B0479F" w:rsidRDefault="004B21EF">
      <w:pPr>
        <w:pStyle w:val="TableofFigures"/>
        <w:rPr>
          <w:rFonts w:asciiTheme="minorHAnsi" w:eastAsiaTheme="minorEastAsia" w:hAnsiTheme="minorHAnsi" w:cstheme="minorBidi"/>
        </w:rPr>
      </w:pPr>
      <w:hyperlink w:anchor="_Toc39580833" w:history="1">
        <w:r w:rsidR="00B0479F" w:rsidRPr="008E68B6">
          <w:rPr>
            <w:rStyle w:val="Hyperlink"/>
          </w:rPr>
          <w:t>Table 52</w:t>
        </w:r>
        <w:r w:rsidR="00B0479F">
          <w:rPr>
            <w:rFonts w:asciiTheme="minorHAnsi" w:eastAsiaTheme="minorEastAsia" w:hAnsiTheme="minorHAnsi" w:cstheme="minorBidi"/>
          </w:rPr>
          <w:tab/>
        </w:r>
        <w:r w:rsidR="00B0479F" w:rsidRPr="008E68B6">
          <w:rPr>
            <w:rStyle w:val="Hyperlink"/>
          </w:rPr>
          <w:t>Change in EDSS reported in recent primary studies</w:t>
        </w:r>
        <w:r w:rsidR="00B0479F">
          <w:rPr>
            <w:webHidden/>
          </w:rPr>
          <w:tab/>
        </w:r>
        <w:r w:rsidR="00B0479F">
          <w:rPr>
            <w:webHidden/>
          </w:rPr>
          <w:fldChar w:fldCharType="begin"/>
        </w:r>
        <w:r w:rsidR="00B0479F">
          <w:rPr>
            <w:webHidden/>
          </w:rPr>
          <w:instrText xml:space="preserve"> PAGEREF _Toc39580833 \h </w:instrText>
        </w:r>
        <w:r w:rsidR="00B0479F">
          <w:rPr>
            <w:webHidden/>
          </w:rPr>
        </w:r>
        <w:r w:rsidR="00B0479F">
          <w:rPr>
            <w:webHidden/>
          </w:rPr>
          <w:fldChar w:fldCharType="separate"/>
        </w:r>
        <w:r w:rsidR="009677B6">
          <w:rPr>
            <w:webHidden/>
          </w:rPr>
          <w:t>103</w:t>
        </w:r>
        <w:r w:rsidR="00B0479F">
          <w:rPr>
            <w:webHidden/>
          </w:rPr>
          <w:fldChar w:fldCharType="end"/>
        </w:r>
      </w:hyperlink>
    </w:p>
    <w:p w14:paraId="655B4A01" w14:textId="4972631B" w:rsidR="00B0479F" w:rsidRDefault="004B21EF">
      <w:pPr>
        <w:pStyle w:val="TableofFigures"/>
        <w:rPr>
          <w:rFonts w:asciiTheme="minorHAnsi" w:eastAsiaTheme="minorEastAsia" w:hAnsiTheme="minorHAnsi" w:cstheme="minorBidi"/>
        </w:rPr>
      </w:pPr>
      <w:hyperlink w:anchor="_Toc39580834" w:history="1">
        <w:r w:rsidR="00B0479F" w:rsidRPr="008E68B6">
          <w:rPr>
            <w:rStyle w:val="Hyperlink"/>
          </w:rPr>
          <w:t>Table 53</w:t>
        </w:r>
        <w:r w:rsidR="00B0479F">
          <w:rPr>
            <w:rFonts w:asciiTheme="minorHAnsi" w:eastAsiaTheme="minorEastAsia" w:hAnsiTheme="minorHAnsi" w:cstheme="minorBidi"/>
          </w:rPr>
          <w:tab/>
        </w:r>
        <w:r w:rsidR="00B0479F" w:rsidRPr="008E68B6">
          <w:rPr>
            <w:rStyle w:val="Hyperlink"/>
          </w:rPr>
          <w:t>Change in EDSS in NMOSD patients randomized to eculizumab or placebo (Pittock et al. 2019)</w:t>
        </w:r>
        <w:r w:rsidR="00B0479F">
          <w:rPr>
            <w:webHidden/>
          </w:rPr>
          <w:tab/>
        </w:r>
        <w:r w:rsidR="00B0479F">
          <w:rPr>
            <w:webHidden/>
          </w:rPr>
          <w:fldChar w:fldCharType="begin"/>
        </w:r>
        <w:r w:rsidR="00B0479F">
          <w:rPr>
            <w:webHidden/>
          </w:rPr>
          <w:instrText xml:space="preserve"> PAGEREF _Toc39580834 \h </w:instrText>
        </w:r>
        <w:r w:rsidR="00B0479F">
          <w:rPr>
            <w:webHidden/>
          </w:rPr>
        </w:r>
        <w:r w:rsidR="00B0479F">
          <w:rPr>
            <w:webHidden/>
          </w:rPr>
          <w:fldChar w:fldCharType="separate"/>
        </w:r>
        <w:r w:rsidR="009677B6">
          <w:rPr>
            <w:webHidden/>
          </w:rPr>
          <w:t>103</w:t>
        </w:r>
        <w:r w:rsidR="00B0479F">
          <w:rPr>
            <w:webHidden/>
          </w:rPr>
          <w:fldChar w:fldCharType="end"/>
        </w:r>
      </w:hyperlink>
    </w:p>
    <w:p w14:paraId="7A3300B2" w14:textId="2DE2DCC0" w:rsidR="00B0479F" w:rsidRDefault="004B21EF">
      <w:pPr>
        <w:pStyle w:val="TableofFigures"/>
        <w:rPr>
          <w:rFonts w:asciiTheme="minorHAnsi" w:eastAsiaTheme="minorEastAsia" w:hAnsiTheme="minorHAnsi" w:cstheme="minorBidi"/>
        </w:rPr>
      </w:pPr>
      <w:hyperlink w:anchor="_Toc39580835" w:history="1">
        <w:r w:rsidR="00B0479F" w:rsidRPr="008E68B6">
          <w:rPr>
            <w:rStyle w:val="Hyperlink"/>
          </w:rPr>
          <w:t>Table 54</w:t>
        </w:r>
        <w:r w:rsidR="00B0479F">
          <w:rPr>
            <w:rFonts w:asciiTheme="minorHAnsi" w:eastAsiaTheme="minorEastAsia" w:hAnsiTheme="minorHAnsi" w:cstheme="minorBidi"/>
          </w:rPr>
          <w:tab/>
        </w:r>
        <w:r w:rsidR="00B0479F" w:rsidRPr="008E68B6">
          <w:rPr>
            <w:rStyle w:val="Hyperlink"/>
          </w:rPr>
          <w:t>Change in ARR from before to after rituximab (RTX) treatment reported in recent primary studies</w:t>
        </w:r>
        <w:r w:rsidR="00B0479F">
          <w:rPr>
            <w:webHidden/>
          </w:rPr>
          <w:tab/>
        </w:r>
        <w:r w:rsidR="00B0479F">
          <w:rPr>
            <w:webHidden/>
          </w:rPr>
          <w:fldChar w:fldCharType="begin"/>
        </w:r>
        <w:r w:rsidR="00B0479F">
          <w:rPr>
            <w:webHidden/>
          </w:rPr>
          <w:instrText xml:space="preserve"> PAGEREF _Toc39580835 \h </w:instrText>
        </w:r>
        <w:r w:rsidR="00B0479F">
          <w:rPr>
            <w:webHidden/>
          </w:rPr>
        </w:r>
        <w:r w:rsidR="00B0479F">
          <w:rPr>
            <w:webHidden/>
          </w:rPr>
          <w:fldChar w:fldCharType="separate"/>
        </w:r>
        <w:r w:rsidR="009677B6">
          <w:rPr>
            <w:webHidden/>
          </w:rPr>
          <w:t>105</w:t>
        </w:r>
        <w:r w:rsidR="00B0479F">
          <w:rPr>
            <w:webHidden/>
          </w:rPr>
          <w:fldChar w:fldCharType="end"/>
        </w:r>
      </w:hyperlink>
    </w:p>
    <w:p w14:paraId="11AEA1EE" w14:textId="6664A643" w:rsidR="00B0479F" w:rsidRDefault="004B21EF">
      <w:pPr>
        <w:pStyle w:val="TableofFigures"/>
        <w:rPr>
          <w:rFonts w:asciiTheme="minorHAnsi" w:eastAsiaTheme="minorEastAsia" w:hAnsiTheme="minorHAnsi" w:cstheme="minorBidi"/>
        </w:rPr>
      </w:pPr>
      <w:hyperlink w:anchor="_Toc39580836" w:history="1">
        <w:r w:rsidR="00B0479F" w:rsidRPr="008E68B6">
          <w:rPr>
            <w:rStyle w:val="Hyperlink"/>
          </w:rPr>
          <w:t>Table 55</w:t>
        </w:r>
        <w:r w:rsidR="00B0479F">
          <w:rPr>
            <w:rFonts w:asciiTheme="minorHAnsi" w:eastAsiaTheme="minorEastAsia" w:hAnsiTheme="minorHAnsi" w:cstheme="minorBidi"/>
          </w:rPr>
          <w:tab/>
        </w:r>
        <w:r w:rsidR="00B0479F" w:rsidRPr="008E68B6">
          <w:rPr>
            <w:rStyle w:val="Hyperlink"/>
          </w:rPr>
          <w:t>Difference in first adjudicated and ARR between NMOSD patients randomized to eculizumab (ECZ) or placebo (Pittock et al. 2019)</w:t>
        </w:r>
        <w:r w:rsidR="00B0479F">
          <w:rPr>
            <w:webHidden/>
          </w:rPr>
          <w:tab/>
        </w:r>
        <w:r w:rsidR="00B0479F">
          <w:rPr>
            <w:webHidden/>
          </w:rPr>
          <w:fldChar w:fldCharType="begin"/>
        </w:r>
        <w:r w:rsidR="00B0479F">
          <w:rPr>
            <w:webHidden/>
          </w:rPr>
          <w:instrText xml:space="preserve"> PAGEREF _Toc39580836 \h </w:instrText>
        </w:r>
        <w:r w:rsidR="00B0479F">
          <w:rPr>
            <w:webHidden/>
          </w:rPr>
        </w:r>
        <w:r w:rsidR="00B0479F">
          <w:rPr>
            <w:webHidden/>
          </w:rPr>
          <w:fldChar w:fldCharType="separate"/>
        </w:r>
        <w:r w:rsidR="009677B6">
          <w:rPr>
            <w:webHidden/>
          </w:rPr>
          <w:t>105</w:t>
        </w:r>
        <w:r w:rsidR="00B0479F">
          <w:rPr>
            <w:webHidden/>
          </w:rPr>
          <w:fldChar w:fldCharType="end"/>
        </w:r>
      </w:hyperlink>
    </w:p>
    <w:p w14:paraId="7386E546" w14:textId="35E3630F" w:rsidR="00B0479F" w:rsidRDefault="004B21EF">
      <w:pPr>
        <w:pStyle w:val="TableofFigures"/>
        <w:rPr>
          <w:rFonts w:asciiTheme="minorHAnsi" w:eastAsiaTheme="minorEastAsia" w:hAnsiTheme="minorHAnsi" w:cstheme="minorBidi"/>
        </w:rPr>
      </w:pPr>
      <w:hyperlink w:anchor="_Toc39580837" w:history="1">
        <w:r w:rsidR="00B0479F" w:rsidRPr="008E68B6">
          <w:rPr>
            <w:rStyle w:val="Hyperlink"/>
          </w:rPr>
          <w:t>Table 56</w:t>
        </w:r>
        <w:r w:rsidR="00B0479F">
          <w:rPr>
            <w:rFonts w:asciiTheme="minorHAnsi" w:eastAsiaTheme="minorEastAsia" w:hAnsiTheme="minorHAnsi" w:cstheme="minorBidi"/>
          </w:rPr>
          <w:tab/>
        </w:r>
        <w:r w:rsidR="00B0479F" w:rsidRPr="008E68B6">
          <w:rPr>
            <w:rStyle w:val="Hyperlink"/>
          </w:rPr>
          <w:t>Change in ARR and EDSS from before to after azathioprine (AZA) treatment (Elsone et al. 2014)</w:t>
        </w:r>
        <w:r w:rsidR="00B0479F">
          <w:rPr>
            <w:webHidden/>
          </w:rPr>
          <w:tab/>
        </w:r>
        <w:r w:rsidR="00B0479F">
          <w:rPr>
            <w:webHidden/>
          </w:rPr>
          <w:fldChar w:fldCharType="begin"/>
        </w:r>
        <w:r w:rsidR="00B0479F">
          <w:rPr>
            <w:webHidden/>
          </w:rPr>
          <w:instrText xml:space="preserve"> PAGEREF _Toc39580837 \h </w:instrText>
        </w:r>
        <w:r w:rsidR="00B0479F">
          <w:rPr>
            <w:webHidden/>
          </w:rPr>
        </w:r>
        <w:r w:rsidR="00B0479F">
          <w:rPr>
            <w:webHidden/>
          </w:rPr>
          <w:fldChar w:fldCharType="separate"/>
        </w:r>
        <w:r w:rsidR="009677B6">
          <w:rPr>
            <w:webHidden/>
          </w:rPr>
          <w:t>106</w:t>
        </w:r>
        <w:r w:rsidR="00B0479F">
          <w:rPr>
            <w:webHidden/>
          </w:rPr>
          <w:fldChar w:fldCharType="end"/>
        </w:r>
      </w:hyperlink>
    </w:p>
    <w:p w14:paraId="1916A904" w14:textId="60D5564C" w:rsidR="00B0479F" w:rsidRDefault="004B21EF">
      <w:pPr>
        <w:pStyle w:val="TableofFigures"/>
        <w:rPr>
          <w:rFonts w:asciiTheme="minorHAnsi" w:eastAsiaTheme="minorEastAsia" w:hAnsiTheme="minorHAnsi" w:cstheme="minorBidi"/>
        </w:rPr>
      </w:pPr>
      <w:hyperlink w:anchor="_Toc39580838" w:history="1">
        <w:r w:rsidR="00B0479F" w:rsidRPr="008E68B6">
          <w:rPr>
            <w:rStyle w:val="Hyperlink"/>
          </w:rPr>
          <w:t>Table 57</w:t>
        </w:r>
        <w:r w:rsidR="00B0479F">
          <w:rPr>
            <w:rFonts w:asciiTheme="minorHAnsi" w:eastAsiaTheme="minorEastAsia" w:hAnsiTheme="minorHAnsi" w:cstheme="minorBidi"/>
          </w:rPr>
          <w:tab/>
        </w:r>
        <w:r w:rsidR="00B0479F" w:rsidRPr="008E68B6">
          <w:rPr>
            <w:rStyle w:val="Hyperlink"/>
          </w:rPr>
          <w:t>Adverse events in NMOSD patients given plasma exchange (PLEX) (Bonnan, M et al. 2009)</w:t>
        </w:r>
        <w:r w:rsidR="00B0479F">
          <w:rPr>
            <w:webHidden/>
          </w:rPr>
          <w:tab/>
        </w:r>
        <w:r w:rsidR="00B0479F">
          <w:rPr>
            <w:webHidden/>
          </w:rPr>
          <w:fldChar w:fldCharType="begin"/>
        </w:r>
        <w:r w:rsidR="00B0479F">
          <w:rPr>
            <w:webHidden/>
          </w:rPr>
          <w:instrText xml:space="preserve"> PAGEREF _Toc39580838 \h </w:instrText>
        </w:r>
        <w:r w:rsidR="00B0479F">
          <w:rPr>
            <w:webHidden/>
          </w:rPr>
        </w:r>
        <w:r w:rsidR="00B0479F">
          <w:rPr>
            <w:webHidden/>
          </w:rPr>
          <w:fldChar w:fldCharType="separate"/>
        </w:r>
        <w:r w:rsidR="009677B6">
          <w:rPr>
            <w:webHidden/>
          </w:rPr>
          <w:t>106</w:t>
        </w:r>
        <w:r w:rsidR="00B0479F">
          <w:rPr>
            <w:webHidden/>
          </w:rPr>
          <w:fldChar w:fldCharType="end"/>
        </w:r>
      </w:hyperlink>
    </w:p>
    <w:p w14:paraId="155EB83A" w14:textId="4CA125CD" w:rsidR="00B0479F" w:rsidRDefault="004B21EF">
      <w:pPr>
        <w:pStyle w:val="TableofFigures"/>
        <w:rPr>
          <w:rFonts w:asciiTheme="minorHAnsi" w:eastAsiaTheme="minorEastAsia" w:hAnsiTheme="minorHAnsi" w:cstheme="minorBidi"/>
        </w:rPr>
      </w:pPr>
      <w:hyperlink w:anchor="_Toc39580839" w:history="1">
        <w:r w:rsidR="00B0479F" w:rsidRPr="008E68B6">
          <w:rPr>
            <w:rStyle w:val="Hyperlink"/>
          </w:rPr>
          <w:t>Table 58</w:t>
        </w:r>
        <w:r w:rsidR="00B0479F">
          <w:rPr>
            <w:rFonts w:asciiTheme="minorHAnsi" w:eastAsiaTheme="minorEastAsia" w:hAnsiTheme="minorHAnsi" w:cstheme="minorBidi"/>
          </w:rPr>
          <w:tab/>
        </w:r>
        <w:r w:rsidR="00B0479F" w:rsidRPr="008E68B6">
          <w:rPr>
            <w:rStyle w:val="Hyperlink"/>
          </w:rPr>
          <w:t>Serious adverse events in NMOSD patients given rituximab (RTX) (Gao et al. 2019)</w:t>
        </w:r>
        <w:r w:rsidR="00B0479F">
          <w:rPr>
            <w:webHidden/>
          </w:rPr>
          <w:tab/>
        </w:r>
        <w:r w:rsidR="00B0479F">
          <w:rPr>
            <w:webHidden/>
          </w:rPr>
          <w:fldChar w:fldCharType="begin"/>
        </w:r>
        <w:r w:rsidR="00B0479F">
          <w:rPr>
            <w:webHidden/>
          </w:rPr>
          <w:instrText xml:space="preserve"> PAGEREF _Toc39580839 \h </w:instrText>
        </w:r>
        <w:r w:rsidR="00B0479F">
          <w:rPr>
            <w:webHidden/>
          </w:rPr>
        </w:r>
        <w:r w:rsidR="00B0479F">
          <w:rPr>
            <w:webHidden/>
          </w:rPr>
          <w:fldChar w:fldCharType="separate"/>
        </w:r>
        <w:r w:rsidR="009677B6">
          <w:rPr>
            <w:webHidden/>
          </w:rPr>
          <w:t>107</w:t>
        </w:r>
        <w:r w:rsidR="00B0479F">
          <w:rPr>
            <w:webHidden/>
          </w:rPr>
          <w:fldChar w:fldCharType="end"/>
        </w:r>
      </w:hyperlink>
    </w:p>
    <w:p w14:paraId="6DCE3E44" w14:textId="627E1036" w:rsidR="00B0479F" w:rsidRDefault="004B21EF">
      <w:pPr>
        <w:pStyle w:val="TableofFigures"/>
        <w:rPr>
          <w:rFonts w:asciiTheme="minorHAnsi" w:eastAsiaTheme="minorEastAsia" w:hAnsiTheme="minorHAnsi" w:cstheme="minorBidi"/>
        </w:rPr>
      </w:pPr>
      <w:hyperlink w:anchor="_Toc39580840" w:history="1">
        <w:r w:rsidR="00B0479F" w:rsidRPr="008E68B6">
          <w:rPr>
            <w:rStyle w:val="Hyperlink"/>
          </w:rPr>
          <w:t>Table 59</w:t>
        </w:r>
        <w:r w:rsidR="00B0479F">
          <w:rPr>
            <w:rFonts w:asciiTheme="minorHAnsi" w:eastAsiaTheme="minorEastAsia" w:hAnsiTheme="minorHAnsi" w:cstheme="minorBidi"/>
          </w:rPr>
          <w:tab/>
        </w:r>
        <w:r w:rsidR="00B0479F" w:rsidRPr="008E68B6">
          <w:rPr>
            <w:rStyle w:val="Hyperlink"/>
          </w:rPr>
          <w:t>Serious adverse events in NMOSD patients given azathiorpine (AZA) (Bichuetti et al. 2019)</w:t>
        </w:r>
        <w:r w:rsidR="00B0479F">
          <w:rPr>
            <w:webHidden/>
          </w:rPr>
          <w:tab/>
        </w:r>
        <w:r w:rsidR="00B0479F">
          <w:rPr>
            <w:webHidden/>
          </w:rPr>
          <w:fldChar w:fldCharType="begin"/>
        </w:r>
        <w:r w:rsidR="00B0479F">
          <w:rPr>
            <w:webHidden/>
          </w:rPr>
          <w:instrText xml:space="preserve"> PAGEREF _Toc39580840 \h </w:instrText>
        </w:r>
        <w:r w:rsidR="00B0479F">
          <w:rPr>
            <w:webHidden/>
          </w:rPr>
        </w:r>
        <w:r w:rsidR="00B0479F">
          <w:rPr>
            <w:webHidden/>
          </w:rPr>
          <w:fldChar w:fldCharType="separate"/>
        </w:r>
        <w:r w:rsidR="009677B6">
          <w:rPr>
            <w:webHidden/>
          </w:rPr>
          <w:t>107</w:t>
        </w:r>
        <w:r w:rsidR="00B0479F">
          <w:rPr>
            <w:webHidden/>
          </w:rPr>
          <w:fldChar w:fldCharType="end"/>
        </w:r>
      </w:hyperlink>
    </w:p>
    <w:p w14:paraId="1C37B58F" w14:textId="67F56547" w:rsidR="00B0479F" w:rsidRDefault="004B21EF">
      <w:pPr>
        <w:pStyle w:val="TableofFigures"/>
        <w:rPr>
          <w:rFonts w:asciiTheme="minorHAnsi" w:eastAsiaTheme="minorEastAsia" w:hAnsiTheme="minorHAnsi" w:cstheme="minorBidi"/>
        </w:rPr>
      </w:pPr>
      <w:hyperlink w:anchor="_Toc39580841" w:history="1">
        <w:r w:rsidR="00B0479F" w:rsidRPr="008E68B6">
          <w:rPr>
            <w:rStyle w:val="Hyperlink"/>
          </w:rPr>
          <w:t>Table 60</w:t>
        </w:r>
        <w:r w:rsidR="00B0479F">
          <w:rPr>
            <w:rFonts w:asciiTheme="minorHAnsi" w:eastAsiaTheme="minorEastAsia" w:hAnsiTheme="minorHAnsi" w:cstheme="minorBidi"/>
          </w:rPr>
          <w:tab/>
        </w:r>
        <w:r w:rsidR="00B0479F" w:rsidRPr="008E68B6">
          <w:rPr>
            <w:rStyle w:val="Hyperlink"/>
          </w:rPr>
          <w:t>Adverse events following mycophenolate mofetil (MMF) treatment in those with NMOSD</w:t>
        </w:r>
        <w:r w:rsidR="00B0479F">
          <w:rPr>
            <w:webHidden/>
          </w:rPr>
          <w:tab/>
        </w:r>
        <w:r w:rsidR="00B0479F">
          <w:rPr>
            <w:webHidden/>
          </w:rPr>
          <w:fldChar w:fldCharType="begin"/>
        </w:r>
        <w:r w:rsidR="00B0479F">
          <w:rPr>
            <w:webHidden/>
          </w:rPr>
          <w:instrText xml:space="preserve"> PAGEREF _Toc39580841 \h </w:instrText>
        </w:r>
        <w:r w:rsidR="00B0479F">
          <w:rPr>
            <w:webHidden/>
          </w:rPr>
        </w:r>
        <w:r w:rsidR="00B0479F">
          <w:rPr>
            <w:webHidden/>
          </w:rPr>
          <w:fldChar w:fldCharType="separate"/>
        </w:r>
        <w:r w:rsidR="009677B6">
          <w:rPr>
            <w:webHidden/>
          </w:rPr>
          <w:t>108</w:t>
        </w:r>
        <w:r w:rsidR="00B0479F">
          <w:rPr>
            <w:webHidden/>
          </w:rPr>
          <w:fldChar w:fldCharType="end"/>
        </w:r>
      </w:hyperlink>
    </w:p>
    <w:p w14:paraId="203CF65C" w14:textId="0922F3B2" w:rsidR="00B0479F" w:rsidRDefault="004B21EF">
      <w:pPr>
        <w:pStyle w:val="TableofFigures"/>
        <w:rPr>
          <w:rFonts w:asciiTheme="minorHAnsi" w:eastAsiaTheme="minorEastAsia" w:hAnsiTheme="minorHAnsi" w:cstheme="minorBidi"/>
        </w:rPr>
      </w:pPr>
      <w:hyperlink w:anchor="_Toc39580842" w:history="1">
        <w:r w:rsidR="00B0479F" w:rsidRPr="008E68B6">
          <w:rPr>
            <w:rStyle w:val="Hyperlink"/>
          </w:rPr>
          <w:t>Table 61</w:t>
        </w:r>
        <w:r w:rsidR="00B0479F">
          <w:rPr>
            <w:rFonts w:asciiTheme="minorHAnsi" w:eastAsiaTheme="minorEastAsia" w:hAnsiTheme="minorHAnsi" w:cstheme="minorBidi"/>
          </w:rPr>
          <w:tab/>
        </w:r>
        <w:r w:rsidR="00B0479F" w:rsidRPr="008E68B6">
          <w:rPr>
            <w:rStyle w:val="Hyperlink"/>
          </w:rPr>
          <w:t>Serious adverse events following eculizumab (ECZ) treatment compared placebo (Pittock et al. 2019)</w:t>
        </w:r>
        <w:r w:rsidR="00B0479F">
          <w:rPr>
            <w:webHidden/>
          </w:rPr>
          <w:tab/>
        </w:r>
        <w:r w:rsidR="00B0479F">
          <w:rPr>
            <w:webHidden/>
          </w:rPr>
          <w:fldChar w:fldCharType="begin"/>
        </w:r>
        <w:r w:rsidR="00B0479F">
          <w:rPr>
            <w:webHidden/>
          </w:rPr>
          <w:instrText xml:space="preserve"> PAGEREF _Toc39580842 \h </w:instrText>
        </w:r>
        <w:r w:rsidR="00B0479F">
          <w:rPr>
            <w:webHidden/>
          </w:rPr>
        </w:r>
        <w:r w:rsidR="00B0479F">
          <w:rPr>
            <w:webHidden/>
          </w:rPr>
          <w:fldChar w:fldCharType="separate"/>
        </w:r>
        <w:r w:rsidR="009677B6">
          <w:rPr>
            <w:webHidden/>
          </w:rPr>
          <w:t>109</w:t>
        </w:r>
        <w:r w:rsidR="00B0479F">
          <w:rPr>
            <w:webHidden/>
          </w:rPr>
          <w:fldChar w:fldCharType="end"/>
        </w:r>
      </w:hyperlink>
    </w:p>
    <w:p w14:paraId="5DC3DEDE" w14:textId="7EB6D523" w:rsidR="00B0479F" w:rsidRDefault="004B21EF">
      <w:pPr>
        <w:pStyle w:val="TableofFigures"/>
        <w:rPr>
          <w:rFonts w:asciiTheme="minorHAnsi" w:eastAsiaTheme="minorEastAsia" w:hAnsiTheme="minorHAnsi" w:cstheme="minorBidi"/>
        </w:rPr>
      </w:pPr>
      <w:hyperlink w:anchor="_Toc39580843" w:history="1">
        <w:r w:rsidR="00B0479F" w:rsidRPr="008E68B6">
          <w:rPr>
            <w:rStyle w:val="Hyperlink"/>
          </w:rPr>
          <w:t>Table 62</w:t>
        </w:r>
        <w:r w:rsidR="00B0479F">
          <w:rPr>
            <w:rFonts w:asciiTheme="minorHAnsi" w:eastAsiaTheme="minorEastAsia" w:hAnsiTheme="minorHAnsi" w:cstheme="minorBidi"/>
          </w:rPr>
          <w:tab/>
        </w:r>
        <w:r w:rsidR="00B0479F" w:rsidRPr="008E68B6">
          <w:rPr>
            <w:rStyle w:val="Hyperlink"/>
          </w:rPr>
          <w:t>Summary of adverse events reported across NMOSD treatments</w:t>
        </w:r>
        <w:r w:rsidR="00B0479F">
          <w:rPr>
            <w:webHidden/>
          </w:rPr>
          <w:tab/>
        </w:r>
        <w:r w:rsidR="00B0479F">
          <w:rPr>
            <w:webHidden/>
          </w:rPr>
          <w:fldChar w:fldCharType="begin"/>
        </w:r>
        <w:r w:rsidR="00B0479F">
          <w:rPr>
            <w:webHidden/>
          </w:rPr>
          <w:instrText xml:space="preserve"> PAGEREF _Toc39580843 \h </w:instrText>
        </w:r>
        <w:r w:rsidR="00B0479F">
          <w:rPr>
            <w:webHidden/>
          </w:rPr>
        </w:r>
        <w:r w:rsidR="00B0479F">
          <w:rPr>
            <w:webHidden/>
          </w:rPr>
          <w:fldChar w:fldCharType="separate"/>
        </w:r>
        <w:r w:rsidR="009677B6">
          <w:rPr>
            <w:webHidden/>
          </w:rPr>
          <w:t>109</w:t>
        </w:r>
        <w:r w:rsidR="00B0479F">
          <w:rPr>
            <w:webHidden/>
          </w:rPr>
          <w:fldChar w:fldCharType="end"/>
        </w:r>
      </w:hyperlink>
    </w:p>
    <w:p w14:paraId="3E49D45F" w14:textId="0A4CDB59" w:rsidR="00B0479F" w:rsidRDefault="004B21EF">
      <w:pPr>
        <w:pStyle w:val="TableofFigures"/>
        <w:rPr>
          <w:rFonts w:asciiTheme="minorHAnsi" w:eastAsiaTheme="minorEastAsia" w:hAnsiTheme="minorHAnsi" w:cstheme="minorBidi"/>
        </w:rPr>
      </w:pPr>
      <w:hyperlink w:anchor="_Toc39580844" w:history="1">
        <w:r w:rsidR="00B0479F" w:rsidRPr="008E68B6">
          <w:rPr>
            <w:rStyle w:val="Hyperlink"/>
          </w:rPr>
          <w:t>Table 63</w:t>
        </w:r>
        <w:r w:rsidR="00B0479F">
          <w:rPr>
            <w:rFonts w:asciiTheme="minorHAnsi" w:eastAsiaTheme="minorEastAsia" w:hAnsiTheme="minorHAnsi" w:cstheme="minorBidi"/>
          </w:rPr>
          <w:tab/>
        </w:r>
        <w:r w:rsidR="00B0479F" w:rsidRPr="008E68B6">
          <w:rPr>
            <w:rStyle w:val="Hyperlink"/>
          </w:rPr>
          <w:t>Key characteristics of studies that investigated the association between serum titres of AQP4-Abs and relapses of NMOSD/NMO</w:t>
        </w:r>
        <w:r w:rsidR="00B0479F">
          <w:rPr>
            <w:webHidden/>
          </w:rPr>
          <w:tab/>
        </w:r>
        <w:r w:rsidR="00B0479F">
          <w:rPr>
            <w:webHidden/>
          </w:rPr>
          <w:fldChar w:fldCharType="begin"/>
        </w:r>
        <w:r w:rsidR="00B0479F">
          <w:rPr>
            <w:webHidden/>
          </w:rPr>
          <w:instrText xml:space="preserve"> PAGEREF _Toc39580844 \h </w:instrText>
        </w:r>
        <w:r w:rsidR="00B0479F">
          <w:rPr>
            <w:webHidden/>
          </w:rPr>
        </w:r>
        <w:r w:rsidR="00B0479F">
          <w:rPr>
            <w:webHidden/>
          </w:rPr>
          <w:fldChar w:fldCharType="separate"/>
        </w:r>
        <w:r w:rsidR="009677B6">
          <w:rPr>
            <w:webHidden/>
          </w:rPr>
          <w:t>111</w:t>
        </w:r>
        <w:r w:rsidR="00B0479F">
          <w:rPr>
            <w:webHidden/>
          </w:rPr>
          <w:fldChar w:fldCharType="end"/>
        </w:r>
      </w:hyperlink>
    </w:p>
    <w:p w14:paraId="316525AB" w14:textId="0202B521" w:rsidR="00B0479F" w:rsidRDefault="004B21EF">
      <w:pPr>
        <w:pStyle w:val="TableofFigures"/>
        <w:rPr>
          <w:rFonts w:asciiTheme="minorHAnsi" w:eastAsiaTheme="minorEastAsia" w:hAnsiTheme="minorHAnsi" w:cstheme="minorBidi"/>
        </w:rPr>
      </w:pPr>
      <w:hyperlink w:anchor="_Toc39580845" w:history="1">
        <w:r w:rsidR="00B0479F" w:rsidRPr="008E68B6">
          <w:rPr>
            <w:rStyle w:val="Hyperlink"/>
          </w:rPr>
          <w:t xml:space="preserve">Table 64 </w:t>
        </w:r>
        <w:r w:rsidR="00B0479F">
          <w:rPr>
            <w:rFonts w:asciiTheme="minorHAnsi" w:eastAsiaTheme="minorEastAsia" w:hAnsiTheme="minorHAnsi" w:cstheme="minorBidi"/>
          </w:rPr>
          <w:tab/>
        </w:r>
        <w:r w:rsidR="00B0479F" w:rsidRPr="008E68B6">
          <w:rPr>
            <w:rStyle w:val="Hyperlink"/>
          </w:rPr>
          <w:t>Individual patient data on association between AQP4-Abs increase and clinical relapses</w:t>
        </w:r>
        <w:r w:rsidR="00B0479F" w:rsidRPr="008E68B6">
          <w:rPr>
            <w:rStyle w:val="Hyperlink"/>
            <w:vertAlign w:val="superscript"/>
          </w:rPr>
          <w:t xml:space="preserve"> </w:t>
        </w:r>
        <w:r w:rsidR="00B0479F" w:rsidRPr="008E68B6">
          <w:rPr>
            <w:rStyle w:val="Hyperlink"/>
          </w:rPr>
          <w:t>(Valentino et al. 2017)</w:t>
        </w:r>
        <w:r w:rsidR="00B0479F">
          <w:rPr>
            <w:webHidden/>
          </w:rPr>
          <w:tab/>
        </w:r>
        <w:r w:rsidR="00B0479F">
          <w:rPr>
            <w:webHidden/>
          </w:rPr>
          <w:fldChar w:fldCharType="begin"/>
        </w:r>
        <w:r w:rsidR="00B0479F">
          <w:rPr>
            <w:webHidden/>
          </w:rPr>
          <w:instrText xml:space="preserve"> PAGEREF _Toc39580845 \h </w:instrText>
        </w:r>
        <w:r w:rsidR="00B0479F">
          <w:rPr>
            <w:webHidden/>
          </w:rPr>
        </w:r>
        <w:r w:rsidR="00B0479F">
          <w:rPr>
            <w:webHidden/>
          </w:rPr>
          <w:fldChar w:fldCharType="separate"/>
        </w:r>
        <w:r w:rsidR="009677B6">
          <w:rPr>
            <w:webHidden/>
          </w:rPr>
          <w:t>112</w:t>
        </w:r>
        <w:r w:rsidR="00B0479F">
          <w:rPr>
            <w:webHidden/>
          </w:rPr>
          <w:fldChar w:fldCharType="end"/>
        </w:r>
      </w:hyperlink>
    </w:p>
    <w:p w14:paraId="1062CCD8" w14:textId="36EBD2DD" w:rsidR="00B0479F" w:rsidRDefault="004B21EF">
      <w:pPr>
        <w:pStyle w:val="TableofFigures"/>
        <w:rPr>
          <w:rFonts w:asciiTheme="minorHAnsi" w:eastAsiaTheme="minorEastAsia" w:hAnsiTheme="minorHAnsi" w:cstheme="minorBidi"/>
        </w:rPr>
      </w:pPr>
      <w:hyperlink w:anchor="_Toc39580846" w:history="1">
        <w:r w:rsidR="00B0479F" w:rsidRPr="008E68B6">
          <w:rPr>
            <w:rStyle w:val="Hyperlink"/>
          </w:rPr>
          <w:t>Table 65</w:t>
        </w:r>
        <w:r w:rsidR="00B0479F">
          <w:rPr>
            <w:rFonts w:asciiTheme="minorHAnsi" w:eastAsiaTheme="minorEastAsia" w:hAnsiTheme="minorHAnsi" w:cstheme="minorBidi"/>
          </w:rPr>
          <w:tab/>
        </w:r>
        <w:r w:rsidR="00B0479F" w:rsidRPr="008E68B6">
          <w:rPr>
            <w:rStyle w:val="Hyperlink"/>
          </w:rPr>
          <w:t xml:space="preserve"> Studies that investigate the impact of NMOSD on HRQoL</w:t>
        </w:r>
        <w:r w:rsidR="00B0479F">
          <w:rPr>
            <w:webHidden/>
          </w:rPr>
          <w:tab/>
        </w:r>
        <w:r w:rsidR="00B0479F">
          <w:rPr>
            <w:webHidden/>
          </w:rPr>
          <w:fldChar w:fldCharType="begin"/>
        </w:r>
        <w:r w:rsidR="00B0479F">
          <w:rPr>
            <w:webHidden/>
          </w:rPr>
          <w:instrText xml:space="preserve"> PAGEREF _Toc39580846 \h </w:instrText>
        </w:r>
        <w:r w:rsidR="00B0479F">
          <w:rPr>
            <w:webHidden/>
          </w:rPr>
        </w:r>
        <w:r w:rsidR="00B0479F">
          <w:rPr>
            <w:webHidden/>
          </w:rPr>
          <w:fldChar w:fldCharType="separate"/>
        </w:r>
        <w:r w:rsidR="009677B6">
          <w:rPr>
            <w:webHidden/>
          </w:rPr>
          <w:t>113</w:t>
        </w:r>
        <w:r w:rsidR="00B0479F">
          <w:rPr>
            <w:webHidden/>
          </w:rPr>
          <w:fldChar w:fldCharType="end"/>
        </w:r>
      </w:hyperlink>
    </w:p>
    <w:p w14:paraId="39592507" w14:textId="3C1188EA" w:rsidR="00B0479F" w:rsidRDefault="004B21EF">
      <w:pPr>
        <w:pStyle w:val="TableofFigures"/>
        <w:rPr>
          <w:rFonts w:asciiTheme="minorHAnsi" w:eastAsiaTheme="minorEastAsia" w:hAnsiTheme="minorHAnsi" w:cstheme="minorBidi"/>
        </w:rPr>
      </w:pPr>
      <w:hyperlink w:anchor="_Toc39580847" w:history="1">
        <w:r w:rsidR="00B0479F" w:rsidRPr="008E68B6">
          <w:rPr>
            <w:rStyle w:val="Hyperlink"/>
            <w:snapToGrid w:val="0"/>
          </w:rPr>
          <w:t>Table 66</w:t>
        </w:r>
        <w:r w:rsidR="00B0479F">
          <w:rPr>
            <w:rFonts w:asciiTheme="minorHAnsi" w:eastAsiaTheme="minorEastAsia" w:hAnsiTheme="minorHAnsi" w:cstheme="minorBidi"/>
          </w:rPr>
          <w:tab/>
        </w:r>
        <w:r w:rsidR="00B0479F" w:rsidRPr="008E68B6">
          <w:rPr>
            <w:rStyle w:val="Hyperlink"/>
            <w:snapToGrid w:val="0"/>
          </w:rPr>
          <w:t>Impact of HRQoL (physical and emotional functioning) in adults with NMO/NMOSD using Short-Form-36</w:t>
        </w:r>
        <w:r w:rsidR="00B0479F">
          <w:rPr>
            <w:webHidden/>
          </w:rPr>
          <w:tab/>
        </w:r>
        <w:r w:rsidR="00B0479F">
          <w:rPr>
            <w:webHidden/>
          </w:rPr>
          <w:fldChar w:fldCharType="begin"/>
        </w:r>
        <w:r w:rsidR="00B0479F">
          <w:rPr>
            <w:webHidden/>
          </w:rPr>
          <w:instrText xml:space="preserve"> PAGEREF _Toc39580847 \h </w:instrText>
        </w:r>
        <w:r w:rsidR="00B0479F">
          <w:rPr>
            <w:webHidden/>
          </w:rPr>
        </w:r>
        <w:r w:rsidR="00B0479F">
          <w:rPr>
            <w:webHidden/>
          </w:rPr>
          <w:fldChar w:fldCharType="separate"/>
        </w:r>
        <w:r w:rsidR="009677B6">
          <w:rPr>
            <w:webHidden/>
          </w:rPr>
          <w:t>114</w:t>
        </w:r>
        <w:r w:rsidR="00B0479F">
          <w:rPr>
            <w:webHidden/>
          </w:rPr>
          <w:fldChar w:fldCharType="end"/>
        </w:r>
      </w:hyperlink>
    </w:p>
    <w:p w14:paraId="2BEE5DFA" w14:textId="336E75D1" w:rsidR="00B0479F" w:rsidRDefault="004B21EF">
      <w:pPr>
        <w:pStyle w:val="TableofFigures"/>
        <w:rPr>
          <w:rFonts w:asciiTheme="minorHAnsi" w:eastAsiaTheme="minorEastAsia" w:hAnsiTheme="minorHAnsi" w:cstheme="minorBidi"/>
        </w:rPr>
      </w:pPr>
      <w:hyperlink w:anchor="_Toc39580848" w:history="1">
        <w:r w:rsidR="00B0479F" w:rsidRPr="008E68B6">
          <w:rPr>
            <w:rStyle w:val="Hyperlink"/>
          </w:rPr>
          <w:t>Table 67</w:t>
        </w:r>
        <w:r w:rsidR="00B0479F">
          <w:rPr>
            <w:rFonts w:asciiTheme="minorHAnsi" w:eastAsiaTheme="minorEastAsia" w:hAnsiTheme="minorHAnsi" w:cstheme="minorBidi"/>
          </w:rPr>
          <w:tab/>
        </w:r>
        <w:r w:rsidR="00B0479F" w:rsidRPr="008E68B6">
          <w:rPr>
            <w:rStyle w:val="Hyperlink"/>
          </w:rPr>
          <w:t>Pain and impact on daily life and health related QoL in those with NMO/NMOSD and MS using SF-BPI (Kanamori et al. 2011)</w:t>
        </w:r>
        <w:r w:rsidR="00B0479F">
          <w:rPr>
            <w:webHidden/>
          </w:rPr>
          <w:tab/>
        </w:r>
        <w:r w:rsidR="00B0479F">
          <w:rPr>
            <w:webHidden/>
          </w:rPr>
          <w:fldChar w:fldCharType="begin"/>
        </w:r>
        <w:r w:rsidR="00B0479F">
          <w:rPr>
            <w:webHidden/>
          </w:rPr>
          <w:instrText xml:space="preserve"> PAGEREF _Toc39580848 \h </w:instrText>
        </w:r>
        <w:r w:rsidR="00B0479F">
          <w:rPr>
            <w:webHidden/>
          </w:rPr>
        </w:r>
        <w:r w:rsidR="00B0479F">
          <w:rPr>
            <w:webHidden/>
          </w:rPr>
          <w:fldChar w:fldCharType="separate"/>
        </w:r>
        <w:r w:rsidR="009677B6">
          <w:rPr>
            <w:webHidden/>
          </w:rPr>
          <w:t>115</w:t>
        </w:r>
        <w:r w:rsidR="00B0479F">
          <w:rPr>
            <w:webHidden/>
          </w:rPr>
          <w:fldChar w:fldCharType="end"/>
        </w:r>
      </w:hyperlink>
    </w:p>
    <w:p w14:paraId="729810E4" w14:textId="577D0F86" w:rsidR="00B0479F" w:rsidRDefault="004B21EF">
      <w:pPr>
        <w:pStyle w:val="TableofFigures"/>
        <w:rPr>
          <w:rFonts w:asciiTheme="minorHAnsi" w:eastAsiaTheme="minorEastAsia" w:hAnsiTheme="minorHAnsi" w:cstheme="minorBidi"/>
        </w:rPr>
      </w:pPr>
      <w:hyperlink w:anchor="_Toc39580849" w:history="1">
        <w:r w:rsidR="00B0479F" w:rsidRPr="008E68B6">
          <w:rPr>
            <w:rStyle w:val="Hyperlink"/>
          </w:rPr>
          <w:t>Table 68</w:t>
        </w:r>
        <w:r w:rsidR="00B0479F">
          <w:rPr>
            <w:rFonts w:asciiTheme="minorHAnsi" w:eastAsiaTheme="minorEastAsia" w:hAnsiTheme="minorHAnsi" w:cstheme="minorBidi"/>
          </w:rPr>
          <w:tab/>
        </w:r>
        <w:r w:rsidR="00B0479F" w:rsidRPr="008E68B6">
          <w:rPr>
            <w:rStyle w:val="Hyperlink"/>
            <w:rFonts w:cs="Arial"/>
            <w:snapToGrid w:val="0"/>
            <w:lang w:eastAsia="en-US"/>
          </w:rPr>
          <w:t>Summary of findings of the relevant critical patient outcomes for change in management with AQP4-Ab testing, relative to no testing</w:t>
        </w:r>
        <w:r w:rsidR="00B0479F">
          <w:rPr>
            <w:webHidden/>
          </w:rPr>
          <w:tab/>
        </w:r>
        <w:r w:rsidR="00B0479F">
          <w:rPr>
            <w:webHidden/>
          </w:rPr>
          <w:fldChar w:fldCharType="begin"/>
        </w:r>
        <w:r w:rsidR="00B0479F">
          <w:rPr>
            <w:webHidden/>
          </w:rPr>
          <w:instrText xml:space="preserve"> PAGEREF _Toc39580849 \h </w:instrText>
        </w:r>
        <w:r w:rsidR="00B0479F">
          <w:rPr>
            <w:webHidden/>
          </w:rPr>
        </w:r>
        <w:r w:rsidR="00B0479F">
          <w:rPr>
            <w:webHidden/>
          </w:rPr>
          <w:fldChar w:fldCharType="separate"/>
        </w:r>
        <w:r w:rsidR="009677B6">
          <w:rPr>
            <w:webHidden/>
          </w:rPr>
          <w:t>119</w:t>
        </w:r>
        <w:r w:rsidR="00B0479F">
          <w:rPr>
            <w:webHidden/>
          </w:rPr>
          <w:fldChar w:fldCharType="end"/>
        </w:r>
      </w:hyperlink>
    </w:p>
    <w:p w14:paraId="4ECCE932" w14:textId="58888E16" w:rsidR="00B0479F" w:rsidRDefault="004B21EF">
      <w:pPr>
        <w:pStyle w:val="TableofFigures"/>
        <w:rPr>
          <w:rFonts w:asciiTheme="minorHAnsi" w:eastAsiaTheme="minorEastAsia" w:hAnsiTheme="minorHAnsi" w:cstheme="minorBidi"/>
        </w:rPr>
      </w:pPr>
      <w:hyperlink w:anchor="_Toc39580850" w:history="1">
        <w:r w:rsidR="00B0479F" w:rsidRPr="008E68B6">
          <w:rPr>
            <w:rStyle w:val="Hyperlink"/>
          </w:rPr>
          <w:t>Table 69</w:t>
        </w:r>
        <w:r w:rsidR="00B0479F">
          <w:rPr>
            <w:rFonts w:asciiTheme="minorHAnsi" w:eastAsiaTheme="minorEastAsia" w:hAnsiTheme="minorHAnsi" w:cstheme="minorBidi"/>
          </w:rPr>
          <w:tab/>
        </w:r>
        <w:r w:rsidR="00B0479F" w:rsidRPr="008E68B6">
          <w:rPr>
            <w:rStyle w:val="Hyperlink"/>
          </w:rPr>
          <w:t>Summary of findings table for relevant critical patient outcomes on the impact of change in management due to AQP4-Ab testing for NMSDO</w:t>
        </w:r>
        <w:r w:rsidR="00B0479F">
          <w:rPr>
            <w:webHidden/>
          </w:rPr>
          <w:tab/>
        </w:r>
        <w:r w:rsidR="00B0479F">
          <w:rPr>
            <w:webHidden/>
          </w:rPr>
          <w:fldChar w:fldCharType="begin"/>
        </w:r>
        <w:r w:rsidR="00B0479F">
          <w:rPr>
            <w:webHidden/>
          </w:rPr>
          <w:instrText xml:space="preserve"> PAGEREF _Toc39580850 \h </w:instrText>
        </w:r>
        <w:r w:rsidR="00B0479F">
          <w:rPr>
            <w:webHidden/>
          </w:rPr>
        </w:r>
        <w:r w:rsidR="00B0479F">
          <w:rPr>
            <w:webHidden/>
          </w:rPr>
          <w:fldChar w:fldCharType="separate"/>
        </w:r>
        <w:r w:rsidR="009677B6">
          <w:rPr>
            <w:webHidden/>
          </w:rPr>
          <w:t>120</w:t>
        </w:r>
        <w:r w:rsidR="00B0479F">
          <w:rPr>
            <w:webHidden/>
          </w:rPr>
          <w:fldChar w:fldCharType="end"/>
        </w:r>
      </w:hyperlink>
    </w:p>
    <w:p w14:paraId="261B126F" w14:textId="5D4D9CFB" w:rsidR="00B0479F" w:rsidRDefault="004B21EF">
      <w:pPr>
        <w:pStyle w:val="TableofFigures"/>
        <w:rPr>
          <w:rFonts w:asciiTheme="minorHAnsi" w:eastAsiaTheme="minorEastAsia" w:hAnsiTheme="minorHAnsi" w:cstheme="minorBidi"/>
        </w:rPr>
      </w:pPr>
      <w:hyperlink w:anchor="_Toc39580851" w:history="1">
        <w:r w:rsidR="00B0479F" w:rsidRPr="008E68B6">
          <w:rPr>
            <w:rStyle w:val="Hyperlink"/>
          </w:rPr>
          <w:t>Table 70</w:t>
        </w:r>
        <w:r w:rsidR="00B0479F">
          <w:rPr>
            <w:rFonts w:asciiTheme="minorHAnsi" w:eastAsiaTheme="minorEastAsia" w:hAnsiTheme="minorHAnsi" w:cstheme="minorBidi"/>
          </w:rPr>
          <w:tab/>
        </w:r>
        <w:r w:rsidR="00B0479F" w:rsidRPr="008E68B6">
          <w:rPr>
            <w:rStyle w:val="Hyperlink"/>
          </w:rPr>
          <w:t>AQP4-Ab test utilisation data provided by Pathology Queensland</w:t>
        </w:r>
        <w:r w:rsidR="00B0479F">
          <w:rPr>
            <w:webHidden/>
          </w:rPr>
          <w:tab/>
        </w:r>
        <w:r w:rsidR="00B0479F">
          <w:rPr>
            <w:webHidden/>
          </w:rPr>
          <w:fldChar w:fldCharType="begin"/>
        </w:r>
        <w:r w:rsidR="00B0479F">
          <w:rPr>
            <w:webHidden/>
          </w:rPr>
          <w:instrText xml:space="preserve"> PAGEREF _Toc39580851 \h </w:instrText>
        </w:r>
        <w:r w:rsidR="00B0479F">
          <w:rPr>
            <w:webHidden/>
          </w:rPr>
        </w:r>
        <w:r w:rsidR="00B0479F">
          <w:rPr>
            <w:webHidden/>
          </w:rPr>
          <w:fldChar w:fldCharType="separate"/>
        </w:r>
        <w:r w:rsidR="009677B6">
          <w:rPr>
            <w:webHidden/>
          </w:rPr>
          <w:t>124</w:t>
        </w:r>
        <w:r w:rsidR="00B0479F">
          <w:rPr>
            <w:webHidden/>
          </w:rPr>
          <w:fldChar w:fldCharType="end"/>
        </w:r>
      </w:hyperlink>
    </w:p>
    <w:p w14:paraId="779EFC0B" w14:textId="229C75DA" w:rsidR="00B0479F" w:rsidRDefault="004B21EF">
      <w:pPr>
        <w:pStyle w:val="TableofFigures"/>
        <w:rPr>
          <w:rFonts w:asciiTheme="minorHAnsi" w:eastAsiaTheme="minorEastAsia" w:hAnsiTheme="minorHAnsi" w:cstheme="minorBidi"/>
        </w:rPr>
      </w:pPr>
      <w:hyperlink w:anchor="_Toc39580852" w:history="1">
        <w:r w:rsidR="00B0479F" w:rsidRPr="008E68B6">
          <w:rPr>
            <w:rStyle w:val="Hyperlink"/>
          </w:rPr>
          <w:t>Table 71</w:t>
        </w:r>
        <w:r w:rsidR="00B0479F">
          <w:rPr>
            <w:rFonts w:asciiTheme="minorHAnsi" w:eastAsiaTheme="minorEastAsia" w:hAnsiTheme="minorHAnsi" w:cstheme="minorBidi"/>
          </w:rPr>
          <w:tab/>
        </w:r>
        <w:r w:rsidR="00B0479F" w:rsidRPr="008E68B6">
          <w:rPr>
            <w:rStyle w:val="Hyperlink"/>
          </w:rPr>
          <w:t>Number of AQP4-Ab or MOG-Ab tests referred to PathWest Laboratories in 2019</w:t>
        </w:r>
        <w:r w:rsidR="00B0479F">
          <w:rPr>
            <w:webHidden/>
          </w:rPr>
          <w:tab/>
        </w:r>
        <w:r w:rsidR="00B0479F">
          <w:rPr>
            <w:webHidden/>
          </w:rPr>
          <w:fldChar w:fldCharType="begin"/>
        </w:r>
        <w:r w:rsidR="00B0479F">
          <w:rPr>
            <w:webHidden/>
          </w:rPr>
          <w:instrText xml:space="preserve"> PAGEREF _Toc39580852 \h </w:instrText>
        </w:r>
        <w:r w:rsidR="00B0479F">
          <w:rPr>
            <w:webHidden/>
          </w:rPr>
        </w:r>
        <w:r w:rsidR="00B0479F">
          <w:rPr>
            <w:webHidden/>
          </w:rPr>
          <w:fldChar w:fldCharType="separate"/>
        </w:r>
        <w:r w:rsidR="009677B6">
          <w:rPr>
            <w:webHidden/>
          </w:rPr>
          <w:t>124</w:t>
        </w:r>
        <w:r w:rsidR="00B0479F">
          <w:rPr>
            <w:webHidden/>
          </w:rPr>
          <w:fldChar w:fldCharType="end"/>
        </w:r>
      </w:hyperlink>
    </w:p>
    <w:p w14:paraId="29383C64" w14:textId="32630404" w:rsidR="00B0479F" w:rsidRDefault="004B21EF">
      <w:pPr>
        <w:pStyle w:val="TableofFigures"/>
        <w:rPr>
          <w:rFonts w:asciiTheme="minorHAnsi" w:eastAsiaTheme="minorEastAsia" w:hAnsiTheme="minorHAnsi" w:cstheme="minorBidi"/>
        </w:rPr>
      </w:pPr>
      <w:hyperlink w:anchor="_Toc39580853" w:history="1">
        <w:r w:rsidR="00B0479F" w:rsidRPr="008E68B6">
          <w:rPr>
            <w:rStyle w:val="Hyperlink"/>
          </w:rPr>
          <w:t>Table 72</w:t>
        </w:r>
        <w:r w:rsidR="00B0479F">
          <w:rPr>
            <w:rFonts w:asciiTheme="minorHAnsi" w:eastAsiaTheme="minorEastAsia" w:hAnsiTheme="minorHAnsi" w:cstheme="minorBidi"/>
          </w:rPr>
          <w:tab/>
        </w:r>
        <w:r w:rsidR="00B0479F" w:rsidRPr="008E68B6">
          <w:rPr>
            <w:rStyle w:val="Hyperlink"/>
          </w:rPr>
          <w:t>Health state utility values mapped with EDSS score for MS and NMOSD</w:t>
        </w:r>
        <w:r w:rsidR="00B0479F">
          <w:rPr>
            <w:webHidden/>
          </w:rPr>
          <w:tab/>
        </w:r>
        <w:r w:rsidR="00B0479F">
          <w:rPr>
            <w:webHidden/>
          </w:rPr>
          <w:fldChar w:fldCharType="begin"/>
        </w:r>
        <w:r w:rsidR="00B0479F">
          <w:rPr>
            <w:webHidden/>
          </w:rPr>
          <w:instrText xml:space="preserve"> PAGEREF _Toc39580853 \h </w:instrText>
        </w:r>
        <w:r w:rsidR="00B0479F">
          <w:rPr>
            <w:webHidden/>
          </w:rPr>
        </w:r>
        <w:r w:rsidR="00B0479F">
          <w:rPr>
            <w:webHidden/>
          </w:rPr>
          <w:fldChar w:fldCharType="separate"/>
        </w:r>
        <w:r w:rsidR="009677B6">
          <w:rPr>
            <w:webHidden/>
          </w:rPr>
          <w:t>128</w:t>
        </w:r>
        <w:r w:rsidR="00B0479F">
          <w:rPr>
            <w:webHidden/>
          </w:rPr>
          <w:fldChar w:fldCharType="end"/>
        </w:r>
      </w:hyperlink>
    </w:p>
    <w:p w14:paraId="6D718EAF" w14:textId="5223BA2C" w:rsidR="00B0479F" w:rsidRDefault="004B21EF">
      <w:pPr>
        <w:pStyle w:val="TableofFigures"/>
        <w:rPr>
          <w:rFonts w:asciiTheme="minorHAnsi" w:eastAsiaTheme="minorEastAsia" w:hAnsiTheme="minorHAnsi" w:cstheme="minorBidi"/>
        </w:rPr>
      </w:pPr>
      <w:hyperlink w:anchor="_Toc39580854" w:history="1">
        <w:r w:rsidR="00B0479F" w:rsidRPr="008E68B6">
          <w:rPr>
            <w:rStyle w:val="Hyperlink"/>
          </w:rPr>
          <w:t>Table 73</w:t>
        </w:r>
        <w:r w:rsidR="00B0479F">
          <w:rPr>
            <w:rFonts w:asciiTheme="minorHAnsi" w:eastAsiaTheme="minorEastAsia" w:hAnsiTheme="minorHAnsi" w:cstheme="minorBidi"/>
          </w:rPr>
          <w:tab/>
        </w:r>
        <w:r w:rsidR="00B0479F" w:rsidRPr="008E68B6">
          <w:rPr>
            <w:rStyle w:val="Hyperlink"/>
          </w:rPr>
          <w:t>Summary of results of pre-modelling studies and their uses in the economic evaluation</w:t>
        </w:r>
        <w:r w:rsidR="00B0479F">
          <w:rPr>
            <w:webHidden/>
          </w:rPr>
          <w:tab/>
        </w:r>
        <w:r w:rsidR="00B0479F">
          <w:rPr>
            <w:webHidden/>
          </w:rPr>
          <w:fldChar w:fldCharType="begin"/>
        </w:r>
        <w:r w:rsidR="00B0479F">
          <w:rPr>
            <w:webHidden/>
          </w:rPr>
          <w:instrText xml:space="preserve"> PAGEREF _Toc39580854 \h </w:instrText>
        </w:r>
        <w:r w:rsidR="00B0479F">
          <w:rPr>
            <w:webHidden/>
          </w:rPr>
        </w:r>
        <w:r w:rsidR="00B0479F">
          <w:rPr>
            <w:webHidden/>
          </w:rPr>
          <w:fldChar w:fldCharType="separate"/>
        </w:r>
        <w:r w:rsidR="009677B6">
          <w:rPr>
            <w:webHidden/>
          </w:rPr>
          <w:t>130</w:t>
        </w:r>
        <w:r w:rsidR="00B0479F">
          <w:rPr>
            <w:webHidden/>
          </w:rPr>
          <w:fldChar w:fldCharType="end"/>
        </w:r>
      </w:hyperlink>
    </w:p>
    <w:p w14:paraId="387BBEEB" w14:textId="2A7C959F" w:rsidR="00B0479F" w:rsidRDefault="004B21EF">
      <w:pPr>
        <w:pStyle w:val="TableofFigures"/>
        <w:rPr>
          <w:rFonts w:asciiTheme="minorHAnsi" w:eastAsiaTheme="minorEastAsia" w:hAnsiTheme="minorHAnsi" w:cstheme="minorBidi"/>
        </w:rPr>
      </w:pPr>
      <w:hyperlink w:anchor="_Toc39580855" w:history="1">
        <w:r w:rsidR="00B0479F" w:rsidRPr="008E68B6">
          <w:rPr>
            <w:rStyle w:val="Hyperlink"/>
          </w:rPr>
          <w:t>Table 74</w:t>
        </w:r>
        <w:r w:rsidR="00B0479F">
          <w:rPr>
            <w:rFonts w:asciiTheme="minorHAnsi" w:eastAsiaTheme="minorEastAsia" w:hAnsiTheme="minorHAnsi" w:cstheme="minorBidi"/>
          </w:rPr>
          <w:tab/>
        </w:r>
        <w:r w:rsidR="00B0479F" w:rsidRPr="008E68B6">
          <w:rPr>
            <w:rStyle w:val="Hyperlink"/>
          </w:rPr>
          <w:t>Classification of the comparative effectiveness and safety of the proposed therapeutic medical service compared with its main comparator and guide to the suitable type of economic evaluation</w:t>
        </w:r>
        <w:r w:rsidR="00B0479F">
          <w:rPr>
            <w:webHidden/>
          </w:rPr>
          <w:tab/>
        </w:r>
        <w:r w:rsidR="00B0479F">
          <w:rPr>
            <w:webHidden/>
          </w:rPr>
          <w:fldChar w:fldCharType="begin"/>
        </w:r>
        <w:r w:rsidR="00B0479F">
          <w:rPr>
            <w:webHidden/>
          </w:rPr>
          <w:instrText xml:space="preserve"> PAGEREF _Toc39580855 \h </w:instrText>
        </w:r>
        <w:r w:rsidR="00B0479F">
          <w:rPr>
            <w:webHidden/>
          </w:rPr>
        </w:r>
        <w:r w:rsidR="00B0479F">
          <w:rPr>
            <w:webHidden/>
          </w:rPr>
          <w:fldChar w:fldCharType="separate"/>
        </w:r>
        <w:r w:rsidR="009677B6">
          <w:rPr>
            <w:webHidden/>
          </w:rPr>
          <w:t>131</w:t>
        </w:r>
        <w:r w:rsidR="00B0479F">
          <w:rPr>
            <w:webHidden/>
          </w:rPr>
          <w:fldChar w:fldCharType="end"/>
        </w:r>
      </w:hyperlink>
    </w:p>
    <w:p w14:paraId="7E581436" w14:textId="7175E7ED" w:rsidR="00B0479F" w:rsidRDefault="004B21EF">
      <w:pPr>
        <w:pStyle w:val="TableofFigures"/>
        <w:rPr>
          <w:rFonts w:asciiTheme="minorHAnsi" w:eastAsiaTheme="minorEastAsia" w:hAnsiTheme="minorHAnsi" w:cstheme="minorBidi"/>
        </w:rPr>
      </w:pPr>
      <w:hyperlink w:anchor="_Toc39580856" w:history="1">
        <w:r w:rsidR="00B0479F" w:rsidRPr="008E68B6">
          <w:rPr>
            <w:rStyle w:val="Hyperlink"/>
          </w:rPr>
          <w:t>Table 75</w:t>
        </w:r>
        <w:r w:rsidR="00B0479F">
          <w:rPr>
            <w:rFonts w:asciiTheme="minorHAnsi" w:eastAsiaTheme="minorEastAsia" w:hAnsiTheme="minorHAnsi" w:cstheme="minorBidi"/>
          </w:rPr>
          <w:tab/>
        </w:r>
        <w:r w:rsidR="00B0479F" w:rsidRPr="008E68B6">
          <w:rPr>
            <w:rStyle w:val="Hyperlink"/>
          </w:rPr>
          <w:t>Summary of the economic evaluation</w:t>
        </w:r>
        <w:r w:rsidR="00B0479F">
          <w:rPr>
            <w:webHidden/>
          </w:rPr>
          <w:tab/>
        </w:r>
        <w:r w:rsidR="00B0479F">
          <w:rPr>
            <w:webHidden/>
          </w:rPr>
          <w:fldChar w:fldCharType="begin"/>
        </w:r>
        <w:r w:rsidR="00B0479F">
          <w:rPr>
            <w:webHidden/>
          </w:rPr>
          <w:instrText xml:space="preserve"> PAGEREF _Toc39580856 \h </w:instrText>
        </w:r>
        <w:r w:rsidR="00B0479F">
          <w:rPr>
            <w:webHidden/>
          </w:rPr>
        </w:r>
        <w:r w:rsidR="00B0479F">
          <w:rPr>
            <w:webHidden/>
          </w:rPr>
          <w:fldChar w:fldCharType="separate"/>
        </w:r>
        <w:r w:rsidR="009677B6">
          <w:rPr>
            <w:webHidden/>
          </w:rPr>
          <w:t>132</w:t>
        </w:r>
        <w:r w:rsidR="00B0479F">
          <w:rPr>
            <w:webHidden/>
          </w:rPr>
          <w:fldChar w:fldCharType="end"/>
        </w:r>
      </w:hyperlink>
    </w:p>
    <w:p w14:paraId="140C4977" w14:textId="7627C6CC" w:rsidR="00B0479F" w:rsidRDefault="004B21EF">
      <w:pPr>
        <w:pStyle w:val="TableofFigures"/>
        <w:rPr>
          <w:rFonts w:asciiTheme="minorHAnsi" w:eastAsiaTheme="minorEastAsia" w:hAnsiTheme="minorHAnsi" w:cstheme="minorBidi"/>
        </w:rPr>
      </w:pPr>
      <w:hyperlink w:anchor="_Toc39580857" w:history="1">
        <w:r w:rsidR="00B0479F" w:rsidRPr="008E68B6">
          <w:rPr>
            <w:rStyle w:val="Hyperlink"/>
          </w:rPr>
          <w:t>Table 76</w:t>
        </w:r>
        <w:r w:rsidR="00B0479F">
          <w:rPr>
            <w:rFonts w:asciiTheme="minorHAnsi" w:eastAsiaTheme="minorEastAsia" w:hAnsiTheme="minorHAnsi" w:cstheme="minorBidi"/>
          </w:rPr>
          <w:tab/>
        </w:r>
        <w:r w:rsidR="00B0479F" w:rsidRPr="008E68B6">
          <w:rPr>
            <w:rStyle w:val="Hyperlink"/>
          </w:rPr>
          <w:t>Clinical features of NMOSD patients in Australia and New Zealand1</w:t>
        </w:r>
        <w:r w:rsidR="00B0479F">
          <w:rPr>
            <w:webHidden/>
          </w:rPr>
          <w:tab/>
        </w:r>
        <w:r w:rsidR="00B0479F">
          <w:rPr>
            <w:webHidden/>
          </w:rPr>
          <w:fldChar w:fldCharType="begin"/>
        </w:r>
        <w:r w:rsidR="00B0479F">
          <w:rPr>
            <w:webHidden/>
          </w:rPr>
          <w:instrText xml:space="preserve"> PAGEREF _Toc39580857 \h </w:instrText>
        </w:r>
        <w:r w:rsidR="00B0479F">
          <w:rPr>
            <w:webHidden/>
          </w:rPr>
        </w:r>
        <w:r w:rsidR="00B0479F">
          <w:rPr>
            <w:webHidden/>
          </w:rPr>
          <w:fldChar w:fldCharType="separate"/>
        </w:r>
        <w:r w:rsidR="009677B6">
          <w:rPr>
            <w:webHidden/>
          </w:rPr>
          <w:t>141</w:t>
        </w:r>
        <w:r w:rsidR="00B0479F">
          <w:rPr>
            <w:webHidden/>
          </w:rPr>
          <w:fldChar w:fldCharType="end"/>
        </w:r>
      </w:hyperlink>
    </w:p>
    <w:p w14:paraId="366B18CC" w14:textId="358E6347" w:rsidR="00B0479F" w:rsidRDefault="004B21EF">
      <w:pPr>
        <w:pStyle w:val="TableofFigures"/>
        <w:rPr>
          <w:rFonts w:asciiTheme="minorHAnsi" w:eastAsiaTheme="minorEastAsia" w:hAnsiTheme="minorHAnsi" w:cstheme="minorBidi"/>
        </w:rPr>
      </w:pPr>
      <w:hyperlink w:anchor="_Toc39580858" w:history="1">
        <w:r w:rsidR="00B0479F" w:rsidRPr="008E68B6">
          <w:rPr>
            <w:rStyle w:val="Hyperlink"/>
          </w:rPr>
          <w:t>Table 77</w:t>
        </w:r>
        <w:r w:rsidR="00B0479F">
          <w:rPr>
            <w:rFonts w:asciiTheme="minorHAnsi" w:eastAsiaTheme="minorEastAsia" w:hAnsiTheme="minorHAnsi" w:cstheme="minorBidi"/>
          </w:rPr>
          <w:tab/>
        </w:r>
        <w:r w:rsidR="00B0479F" w:rsidRPr="008E68B6">
          <w:rPr>
            <w:rStyle w:val="Hyperlink"/>
          </w:rPr>
          <w:t>Treatment efficacy of AZA and RTX in patients with NMOSD</w:t>
        </w:r>
        <w:r w:rsidR="00B0479F">
          <w:rPr>
            <w:webHidden/>
          </w:rPr>
          <w:tab/>
        </w:r>
        <w:r w:rsidR="00B0479F">
          <w:rPr>
            <w:webHidden/>
          </w:rPr>
          <w:fldChar w:fldCharType="begin"/>
        </w:r>
        <w:r w:rsidR="00B0479F">
          <w:rPr>
            <w:webHidden/>
          </w:rPr>
          <w:instrText xml:space="preserve"> PAGEREF _Toc39580858 \h </w:instrText>
        </w:r>
        <w:r w:rsidR="00B0479F">
          <w:rPr>
            <w:webHidden/>
          </w:rPr>
        </w:r>
        <w:r w:rsidR="00B0479F">
          <w:rPr>
            <w:webHidden/>
          </w:rPr>
          <w:fldChar w:fldCharType="separate"/>
        </w:r>
        <w:r w:rsidR="009677B6">
          <w:rPr>
            <w:webHidden/>
          </w:rPr>
          <w:t>143</w:t>
        </w:r>
        <w:r w:rsidR="00B0479F">
          <w:rPr>
            <w:webHidden/>
          </w:rPr>
          <w:fldChar w:fldCharType="end"/>
        </w:r>
      </w:hyperlink>
    </w:p>
    <w:p w14:paraId="45A31749" w14:textId="56FB7323" w:rsidR="00B0479F" w:rsidRDefault="004B21EF">
      <w:pPr>
        <w:pStyle w:val="TableofFigures"/>
        <w:rPr>
          <w:rFonts w:asciiTheme="minorHAnsi" w:eastAsiaTheme="minorEastAsia" w:hAnsiTheme="minorHAnsi" w:cstheme="minorBidi"/>
        </w:rPr>
      </w:pPr>
      <w:hyperlink w:anchor="_Toc39580859" w:history="1">
        <w:r w:rsidR="00B0479F" w:rsidRPr="008E68B6">
          <w:rPr>
            <w:rStyle w:val="Hyperlink"/>
          </w:rPr>
          <w:t>Table 78</w:t>
        </w:r>
        <w:r w:rsidR="00B0479F">
          <w:rPr>
            <w:rFonts w:asciiTheme="minorHAnsi" w:eastAsiaTheme="minorEastAsia" w:hAnsiTheme="minorHAnsi" w:cstheme="minorBidi"/>
          </w:rPr>
          <w:tab/>
        </w:r>
        <w:r w:rsidR="00B0479F" w:rsidRPr="008E68B6">
          <w:rPr>
            <w:rStyle w:val="Hyperlink"/>
          </w:rPr>
          <w:t>Therapy dose, duration and use-related inputs for ongoing management of NMOSD</w:t>
        </w:r>
        <w:r w:rsidR="00B0479F">
          <w:rPr>
            <w:webHidden/>
          </w:rPr>
          <w:tab/>
        </w:r>
        <w:r w:rsidR="00B0479F">
          <w:rPr>
            <w:webHidden/>
          </w:rPr>
          <w:fldChar w:fldCharType="begin"/>
        </w:r>
        <w:r w:rsidR="00B0479F">
          <w:rPr>
            <w:webHidden/>
          </w:rPr>
          <w:instrText xml:space="preserve"> PAGEREF _Toc39580859 \h </w:instrText>
        </w:r>
        <w:r w:rsidR="00B0479F">
          <w:rPr>
            <w:webHidden/>
          </w:rPr>
        </w:r>
        <w:r w:rsidR="00B0479F">
          <w:rPr>
            <w:webHidden/>
          </w:rPr>
          <w:fldChar w:fldCharType="separate"/>
        </w:r>
        <w:r w:rsidR="009677B6">
          <w:rPr>
            <w:webHidden/>
          </w:rPr>
          <w:t>145</w:t>
        </w:r>
        <w:r w:rsidR="00B0479F">
          <w:rPr>
            <w:webHidden/>
          </w:rPr>
          <w:fldChar w:fldCharType="end"/>
        </w:r>
      </w:hyperlink>
    </w:p>
    <w:p w14:paraId="1CC128CF" w14:textId="43159581" w:rsidR="00B0479F" w:rsidRDefault="004B21EF">
      <w:pPr>
        <w:pStyle w:val="TableofFigures"/>
        <w:rPr>
          <w:rFonts w:asciiTheme="minorHAnsi" w:eastAsiaTheme="minorEastAsia" w:hAnsiTheme="minorHAnsi" w:cstheme="minorBidi"/>
        </w:rPr>
      </w:pPr>
      <w:hyperlink w:anchor="_Toc39580860" w:history="1">
        <w:r w:rsidR="00B0479F" w:rsidRPr="008E68B6">
          <w:rPr>
            <w:rStyle w:val="Hyperlink"/>
          </w:rPr>
          <w:t>Table 79</w:t>
        </w:r>
        <w:r w:rsidR="00B0479F">
          <w:rPr>
            <w:rFonts w:asciiTheme="minorHAnsi" w:eastAsiaTheme="minorEastAsia" w:hAnsiTheme="minorHAnsi" w:cstheme="minorBidi"/>
          </w:rPr>
          <w:tab/>
        </w:r>
        <w:r w:rsidR="00B0479F" w:rsidRPr="008E68B6">
          <w:rPr>
            <w:rStyle w:val="Hyperlink"/>
          </w:rPr>
          <w:t>Therapy dose, duration and use-related inputs for treating relapses in NMOSD</w:t>
        </w:r>
        <w:r w:rsidR="00B0479F">
          <w:rPr>
            <w:webHidden/>
          </w:rPr>
          <w:tab/>
        </w:r>
        <w:r w:rsidR="00B0479F">
          <w:rPr>
            <w:webHidden/>
          </w:rPr>
          <w:fldChar w:fldCharType="begin"/>
        </w:r>
        <w:r w:rsidR="00B0479F">
          <w:rPr>
            <w:webHidden/>
          </w:rPr>
          <w:instrText xml:space="preserve"> PAGEREF _Toc39580860 \h </w:instrText>
        </w:r>
        <w:r w:rsidR="00B0479F">
          <w:rPr>
            <w:webHidden/>
          </w:rPr>
        </w:r>
        <w:r w:rsidR="00B0479F">
          <w:rPr>
            <w:webHidden/>
          </w:rPr>
          <w:fldChar w:fldCharType="separate"/>
        </w:r>
        <w:r w:rsidR="009677B6">
          <w:rPr>
            <w:webHidden/>
          </w:rPr>
          <w:t>146</w:t>
        </w:r>
        <w:r w:rsidR="00B0479F">
          <w:rPr>
            <w:webHidden/>
          </w:rPr>
          <w:fldChar w:fldCharType="end"/>
        </w:r>
      </w:hyperlink>
    </w:p>
    <w:p w14:paraId="39474625" w14:textId="43ACECC7" w:rsidR="00B0479F" w:rsidRDefault="004B21EF">
      <w:pPr>
        <w:pStyle w:val="TableofFigures"/>
        <w:rPr>
          <w:rFonts w:asciiTheme="minorHAnsi" w:eastAsiaTheme="minorEastAsia" w:hAnsiTheme="minorHAnsi" w:cstheme="minorBidi"/>
        </w:rPr>
      </w:pPr>
      <w:hyperlink w:anchor="_Toc39580861" w:history="1">
        <w:r w:rsidR="00B0479F" w:rsidRPr="008E68B6">
          <w:rPr>
            <w:rStyle w:val="Hyperlink"/>
          </w:rPr>
          <w:t>Table 80</w:t>
        </w:r>
        <w:r w:rsidR="00B0479F">
          <w:rPr>
            <w:rFonts w:asciiTheme="minorHAnsi" w:eastAsiaTheme="minorEastAsia" w:hAnsiTheme="minorHAnsi" w:cstheme="minorBidi"/>
          </w:rPr>
          <w:tab/>
        </w:r>
        <w:r w:rsidR="00B0479F" w:rsidRPr="008E68B6">
          <w:rPr>
            <w:rStyle w:val="Hyperlink"/>
          </w:rPr>
          <w:t>Annual costs associated with preventive/maintenance therapy</w:t>
        </w:r>
        <w:r w:rsidR="00B0479F">
          <w:rPr>
            <w:webHidden/>
          </w:rPr>
          <w:tab/>
        </w:r>
        <w:r w:rsidR="00B0479F">
          <w:rPr>
            <w:webHidden/>
          </w:rPr>
          <w:fldChar w:fldCharType="begin"/>
        </w:r>
        <w:r w:rsidR="00B0479F">
          <w:rPr>
            <w:webHidden/>
          </w:rPr>
          <w:instrText xml:space="preserve"> PAGEREF _Toc39580861 \h </w:instrText>
        </w:r>
        <w:r w:rsidR="00B0479F">
          <w:rPr>
            <w:webHidden/>
          </w:rPr>
        </w:r>
        <w:r w:rsidR="00B0479F">
          <w:rPr>
            <w:webHidden/>
          </w:rPr>
          <w:fldChar w:fldCharType="separate"/>
        </w:r>
        <w:r w:rsidR="009677B6">
          <w:rPr>
            <w:webHidden/>
          </w:rPr>
          <w:t>146</w:t>
        </w:r>
        <w:r w:rsidR="00B0479F">
          <w:rPr>
            <w:webHidden/>
          </w:rPr>
          <w:fldChar w:fldCharType="end"/>
        </w:r>
      </w:hyperlink>
    </w:p>
    <w:p w14:paraId="7E5AD513" w14:textId="250A12B7" w:rsidR="00B0479F" w:rsidRDefault="004B21EF">
      <w:pPr>
        <w:pStyle w:val="TableofFigures"/>
        <w:rPr>
          <w:rFonts w:asciiTheme="minorHAnsi" w:eastAsiaTheme="minorEastAsia" w:hAnsiTheme="minorHAnsi" w:cstheme="minorBidi"/>
        </w:rPr>
      </w:pPr>
      <w:hyperlink w:anchor="_Toc39580862" w:history="1">
        <w:r w:rsidR="00B0479F" w:rsidRPr="008E68B6">
          <w:rPr>
            <w:rStyle w:val="Hyperlink"/>
          </w:rPr>
          <w:t>Table 81</w:t>
        </w:r>
        <w:r w:rsidR="00B0479F">
          <w:rPr>
            <w:rFonts w:asciiTheme="minorHAnsi" w:eastAsiaTheme="minorEastAsia" w:hAnsiTheme="minorHAnsi" w:cstheme="minorBidi"/>
          </w:rPr>
          <w:tab/>
        </w:r>
        <w:r w:rsidR="00B0479F" w:rsidRPr="008E68B6">
          <w:rPr>
            <w:rStyle w:val="Hyperlink"/>
          </w:rPr>
          <w:t>Costs associated with treating relapses</w:t>
        </w:r>
        <w:r w:rsidR="00B0479F">
          <w:rPr>
            <w:webHidden/>
          </w:rPr>
          <w:tab/>
        </w:r>
        <w:r w:rsidR="00B0479F">
          <w:rPr>
            <w:webHidden/>
          </w:rPr>
          <w:fldChar w:fldCharType="begin"/>
        </w:r>
        <w:r w:rsidR="00B0479F">
          <w:rPr>
            <w:webHidden/>
          </w:rPr>
          <w:instrText xml:space="preserve"> PAGEREF _Toc39580862 \h </w:instrText>
        </w:r>
        <w:r w:rsidR="00B0479F">
          <w:rPr>
            <w:webHidden/>
          </w:rPr>
        </w:r>
        <w:r w:rsidR="00B0479F">
          <w:rPr>
            <w:webHidden/>
          </w:rPr>
          <w:fldChar w:fldCharType="separate"/>
        </w:r>
        <w:r w:rsidR="009677B6">
          <w:rPr>
            <w:webHidden/>
          </w:rPr>
          <w:t>147</w:t>
        </w:r>
        <w:r w:rsidR="00B0479F">
          <w:rPr>
            <w:webHidden/>
          </w:rPr>
          <w:fldChar w:fldCharType="end"/>
        </w:r>
      </w:hyperlink>
    </w:p>
    <w:p w14:paraId="7DAD3FB9" w14:textId="7EA64337" w:rsidR="00B0479F" w:rsidRDefault="004B21EF">
      <w:pPr>
        <w:pStyle w:val="TableofFigures"/>
        <w:rPr>
          <w:rFonts w:asciiTheme="minorHAnsi" w:eastAsiaTheme="minorEastAsia" w:hAnsiTheme="minorHAnsi" w:cstheme="minorBidi"/>
        </w:rPr>
      </w:pPr>
      <w:hyperlink w:anchor="_Toc39580863" w:history="1">
        <w:r w:rsidR="00B0479F" w:rsidRPr="008E68B6">
          <w:rPr>
            <w:rStyle w:val="Hyperlink"/>
          </w:rPr>
          <w:t>Table 82</w:t>
        </w:r>
        <w:r w:rsidR="00B0479F">
          <w:rPr>
            <w:rFonts w:asciiTheme="minorHAnsi" w:eastAsiaTheme="minorEastAsia" w:hAnsiTheme="minorHAnsi" w:cstheme="minorBidi"/>
          </w:rPr>
          <w:tab/>
        </w:r>
        <w:r w:rsidR="00B0479F" w:rsidRPr="008E68B6">
          <w:rPr>
            <w:rStyle w:val="Hyperlink"/>
          </w:rPr>
          <w:t>Costs and effectiveness for base-case analysis, AQP4-Ab testing only</w:t>
        </w:r>
        <w:r w:rsidR="00B0479F">
          <w:rPr>
            <w:webHidden/>
          </w:rPr>
          <w:tab/>
        </w:r>
        <w:r w:rsidR="00B0479F">
          <w:rPr>
            <w:webHidden/>
          </w:rPr>
          <w:fldChar w:fldCharType="begin"/>
        </w:r>
        <w:r w:rsidR="00B0479F">
          <w:rPr>
            <w:webHidden/>
          </w:rPr>
          <w:instrText xml:space="preserve"> PAGEREF _Toc39580863 \h </w:instrText>
        </w:r>
        <w:r w:rsidR="00B0479F">
          <w:rPr>
            <w:webHidden/>
          </w:rPr>
        </w:r>
        <w:r w:rsidR="00B0479F">
          <w:rPr>
            <w:webHidden/>
          </w:rPr>
          <w:fldChar w:fldCharType="separate"/>
        </w:r>
        <w:r w:rsidR="009677B6">
          <w:rPr>
            <w:webHidden/>
          </w:rPr>
          <w:t>148</w:t>
        </w:r>
        <w:r w:rsidR="00B0479F">
          <w:rPr>
            <w:webHidden/>
          </w:rPr>
          <w:fldChar w:fldCharType="end"/>
        </w:r>
      </w:hyperlink>
    </w:p>
    <w:p w14:paraId="7A7285ED" w14:textId="0F54A053" w:rsidR="00B0479F" w:rsidRDefault="004B21EF">
      <w:pPr>
        <w:pStyle w:val="TableofFigures"/>
        <w:rPr>
          <w:rFonts w:asciiTheme="minorHAnsi" w:eastAsiaTheme="minorEastAsia" w:hAnsiTheme="minorHAnsi" w:cstheme="minorBidi"/>
        </w:rPr>
      </w:pPr>
      <w:hyperlink w:anchor="_Toc39580864" w:history="1">
        <w:r w:rsidR="00B0479F" w:rsidRPr="008E68B6">
          <w:rPr>
            <w:rStyle w:val="Hyperlink"/>
          </w:rPr>
          <w:t>Table 83</w:t>
        </w:r>
        <w:r w:rsidR="00B0479F">
          <w:rPr>
            <w:rFonts w:asciiTheme="minorHAnsi" w:eastAsiaTheme="minorEastAsia" w:hAnsiTheme="minorHAnsi" w:cstheme="minorBidi"/>
          </w:rPr>
          <w:tab/>
        </w:r>
        <w:r w:rsidR="00B0479F" w:rsidRPr="008E68B6">
          <w:rPr>
            <w:rStyle w:val="Hyperlink"/>
          </w:rPr>
          <w:t>Costs and effcetiveness for scenario 1 (AQP4-Ab and concurrent MOG-Ab testing) and scenario 2 (AQP4-Ab and sequential MOG-Ab testing)</w:t>
        </w:r>
        <w:r w:rsidR="00B0479F">
          <w:rPr>
            <w:webHidden/>
          </w:rPr>
          <w:tab/>
        </w:r>
        <w:r w:rsidR="00B0479F">
          <w:rPr>
            <w:webHidden/>
          </w:rPr>
          <w:fldChar w:fldCharType="begin"/>
        </w:r>
        <w:r w:rsidR="00B0479F">
          <w:rPr>
            <w:webHidden/>
          </w:rPr>
          <w:instrText xml:space="preserve"> PAGEREF _Toc39580864 \h </w:instrText>
        </w:r>
        <w:r w:rsidR="00B0479F">
          <w:rPr>
            <w:webHidden/>
          </w:rPr>
        </w:r>
        <w:r w:rsidR="00B0479F">
          <w:rPr>
            <w:webHidden/>
          </w:rPr>
          <w:fldChar w:fldCharType="separate"/>
        </w:r>
        <w:r w:rsidR="009677B6">
          <w:rPr>
            <w:webHidden/>
          </w:rPr>
          <w:t>148</w:t>
        </w:r>
        <w:r w:rsidR="00B0479F">
          <w:rPr>
            <w:webHidden/>
          </w:rPr>
          <w:fldChar w:fldCharType="end"/>
        </w:r>
      </w:hyperlink>
    </w:p>
    <w:p w14:paraId="1688E0B1" w14:textId="5D179840" w:rsidR="00B0479F" w:rsidRDefault="004B21EF">
      <w:pPr>
        <w:pStyle w:val="TableofFigures"/>
        <w:rPr>
          <w:rFonts w:asciiTheme="minorHAnsi" w:eastAsiaTheme="minorEastAsia" w:hAnsiTheme="minorHAnsi" w:cstheme="minorBidi"/>
        </w:rPr>
      </w:pPr>
      <w:hyperlink w:anchor="_Toc39580865" w:history="1">
        <w:r w:rsidR="00B0479F" w:rsidRPr="008E68B6">
          <w:rPr>
            <w:rStyle w:val="Hyperlink"/>
          </w:rPr>
          <w:t>Table 84</w:t>
        </w:r>
        <w:r w:rsidR="00B0479F">
          <w:rPr>
            <w:rFonts w:asciiTheme="minorHAnsi" w:eastAsiaTheme="minorEastAsia" w:hAnsiTheme="minorHAnsi" w:cstheme="minorBidi"/>
          </w:rPr>
          <w:tab/>
        </w:r>
        <w:r w:rsidR="00B0479F" w:rsidRPr="008E68B6">
          <w:rPr>
            <w:rStyle w:val="Hyperlink"/>
          </w:rPr>
          <w:t>Data and sources used in the financial analysis</w:t>
        </w:r>
        <w:r w:rsidR="00B0479F">
          <w:rPr>
            <w:webHidden/>
          </w:rPr>
          <w:tab/>
        </w:r>
        <w:r w:rsidR="00B0479F">
          <w:rPr>
            <w:webHidden/>
          </w:rPr>
          <w:fldChar w:fldCharType="begin"/>
        </w:r>
        <w:r w:rsidR="00B0479F">
          <w:rPr>
            <w:webHidden/>
          </w:rPr>
          <w:instrText xml:space="preserve"> PAGEREF _Toc39580865 \h </w:instrText>
        </w:r>
        <w:r w:rsidR="00B0479F">
          <w:rPr>
            <w:webHidden/>
          </w:rPr>
        </w:r>
        <w:r w:rsidR="00B0479F">
          <w:rPr>
            <w:webHidden/>
          </w:rPr>
          <w:fldChar w:fldCharType="separate"/>
        </w:r>
        <w:r w:rsidR="009677B6">
          <w:rPr>
            <w:webHidden/>
          </w:rPr>
          <w:t>151</w:t>
        </w:r>
        <w:r w:rsidR="00B0479F">
          <w:rPr>
            <w:webHidden/>
          </w:rPr>
          <w:fldChar w:fldCharType="end"/>
        </w:r>
      </w:hyperlink>
    </w:p>
    <w:p w14:paraId="1C20A910" w14:textId="32BC5ECE" w:rsidR="00B0479F" w:rsidRDefault="004B21EF">
      <w:pPr>
        <w:pStyle w:val="TableofFigures"/>
        <w:rPr>
          <w:rFonts w:asciiTheme="minorHAnsi" w:eastAsiaTheme="minorEastAsia" w:hAnsiTheme="minorHAnsi" w:cstheme="minorBidi"/>
        </w:rPr>
      </w:pPr>
      <w:hyperlink w:anchor="_Toc39580866" w:history="1">
        <w:r w:rsidR="00B0479F" w:rsidRPr="008E68B6">
          <w:rPr>
            <w:rStyle w:val="Hyperlink"/>
          </w:rPr>
          <w:t>Table 85</w:t>
        </w:r>
        <w:r w:rsidR="00B0479F">
          <w:rPr>
            <w:rFonts w:asciiTheme="minorHAnsi" w:eastAsiaTheme="minorEastAsia" w:hAnsiTheme="minorHAnsi" w:cstheme="minorBidi"/>
          </w:rPr>
          <w:tab/>
        </w:r>
        <w:r w:rsidR="00B0479F" w:rsidRPr="008E68B6">
          <w:rPr>
            <w:rStyle w:val="Hyperlink"/>
          </w:rPr>
          <w:t>Current utilisation data for AQP4-Ab tests</w:t>
        </w:r>
        <w:r w:rsidR="00B0479F">
          <w:rPr>
            <w:webHidden/>
          </w:rPr>
          <w:tab/>
        </w:r>
        <w:r w:rsidR="00B0479F">
          <w:rPr>
            <w:webHidden/>
          </w:rPr>
          <w:fldChar w:fldCharType="begin"/>
        </w:r>
        <w:r w:rsidR="00B0479F">
          <w:rPr>
            <w:webHidden/>
          </w:rPr>
          <w:instrText xml:space="preserve"> PAGEREF _Toc39580866 \h </w:instrText>
        </w:r>
        <w:r w:rsidR="00B0479F">
          <w:rPr>
            <w:webHidden/>
          </w:rPr>
        </w:r>
        <w:r w:rsidR="00B0479F">
          <w:rPr>
            <w:webHidden/>
          </w:rPr>
          <w:fldChar w:fldCharType="separate"/>
        </w:r>
        <w:r w:rsidR="009677B6">
          <w:rPr>
            <w:webHidden/>
          </w:rPr>
          <w:t>152</w:t>
        </w:r>
        <w:r w:rsidR="00B0479F">
          <w:rPr>
            <w:webHidden/>
          </w:rPr>
          <w:fldChar w:fldCharType="end"/>
        </w:r>
      </w:hyperlink>
    </w:p>
    <w:p w14:paraId="2C029E95" w14:textId="61BFD988" w:rsidR="00B0479F" w:rsidRDefault="004B21EF">
      <w:pPr>
        <w:pStyle w:val="TableofFigures"/>
        <w:rPr>
          <w:rFonts w:asciiTheme="minorHAnsi" w:eastAsiaTheme="minorEastAsia" w:hAnsiTheme="minorHAnsi" w:cstheme="minorBidi"/>
        </w:rPr>
      </w:pPr>
      <w:hyperlink w:anchor="_Toc39580867" w:history="1">
        <w:r w:rsidR="00B0479F" w:rsidRPr="008E68B6">
          <w:rPr>
            <w:rStyle w:val="Hyperlink"/>
          </w:rPr>
          <w:t>Table 86</w:t>
        </w:r>
        <w:r w:rsidR="00B0479F">
          <w:rPr>
            <w:rFonts w:asciiTheme="minorHAnsi" w:eastAsiaTheme="minorEastAsia" w:hAnsiTheme="minorHAnsi" w:cstheme="minorBidi"/>
          </w:rPr>
          <w:tab/>
        </w:r>
        <w:r w:rsidR="00B0479F" w:rsidRPr="008E68B6">
          <w:rPr>
            <w:rStyle w:val="Hyperlink"/>
          </w:rPr>
          <w:t>Population Estimates, Australia and, state and territories in 2019</w:t>
        </w:r>
        <w:r w:rsidR="00B0479F">
          <w:rPr>
            <w:webHidden/>
          </w:rPr>
          <w:tab/>
        </w:r>
        <w:r w:rsidR="00B0479F">
          <w:rPr>
            <w:webHidden/>
          </w:rPr>
          <w:fldChar w:fldCharType="begin"/>
        </w:r>
        <w:r w:rsidR="00B0479F">
          <w:rPr>
            <w:webHidden/>
          </w:rPr>
          <w:instrText xml:space="preserve"> PAGEREF _Toc39580867 \h </w:instrText>
        </w:r>
        <w:r w:rsidR="00B0479F">
          <w:rPr>
            <w:webHidden/>
          </w:rPr>
        </w:r>
        <w:r w:rsidR="00B0479F">
          <w:rPr>
            <w:webHidden/>
          </w:rPr>
          <w:fldChar w:fldCharType="separate"/>
        </w:r>
        <w:r w:rsidR="009677B6">
          <w:rPr>
            <w:webHidden/>
          </w:rPr>
          <w:t>153</w:t>
        </w:r>
        <w:r w:rsidR="00B0479F">
          <w:rPr>
            <w:webHidden/>
          </w:rPr>
          <w:fldChar w:fldCharType="end"/>
        </w:r>
      </w:hyperlink>
    </w:p>
    <w:p w14:paraId="7B8A96D0" w14:textId="60C36ADA" w:rsidR="00B0479F" w:rsidRDefault="004B21EF">
      <w:pPr>
        <w:pStyle w:val="TableofFigures"/>
        <w:rPr>
          <w:rFonts w:asciiTheme="minorHAnsi" w:eastAsiaTheme="minorEastAsia" w:hAnsiTheme="minorHAnsi" w:cstheme="minorBidi"/>
        </w:rPr>
      </w:pPr>
      <w:hyperlink w:anchor="_Toc39580868" w:history="1">
        <w:r w:rsidR="00B0479F" w:rsidRPr="008E68B6">
          <w:rPr>
            <w:rStyle w:val="Hyperlink"/>
          </w:rPr>
          <w:t>Table 87</w:t>
        </w:r>
        <w:r w:rsidR="00B0479F">
          <w:rPr>
            <w:rFonts w:asciiTheme="minorHAnsi" w:eastAsiaTheme="minorEastAsia" w:hAnsiTheme="minorHAnsi" w:cstheme="minorBidi"/>
          </w:rPr>
          <w:tab/>
        </w:r>
        <w:r w:rsidR="00B0479F" w:rsidRPr="008E68B6">
          <w:rPr>
            <w:rStyle w:val="Hyperlink"/>
          </w:rPr>
          <w:t>Estimated number of AQP4-Ab tests currently performed in Australia</w:t>
        </w:r>
        <w:r w:rsidR="00B0479F">
          <w:rPr>
            <w:webHidden/>
          </w:rPr>
          <w:tab/>
        </w:r>
        <w:r w:rsidR="00B0479F">
          <w:rPr>
            <w:webHidden/>
          </w:rPr>
          <w:fldChar w:fldCharType="begin"/>
        </w:r>
        <w:r w:rsidR="00B0479F">
          <w:rPr>
            <w:webHidden/>
          </w:rPr>
          <w:instrText xml:space="preserve"> PAGEREF _Toc39580868 \h </w:instrText>
        </w:r>
        <w:r w:rsidR="00B0479F">
          <w:rPr>
            <w:webHidden/>
          </w:rPr>
        </w:r>
        <w:r w:rsidR="00B0479F">
          <w:rPr>
            <w:webHidden/>
          </w:rPr>
          <w:fldChar w:fldCharType="separate"/>
        </w:r>
        <w:r w:rsidR="009677B6">
          <w:rPr>
            <w:webHidden/>
          </w:rPr>
          <w:t>153</w:t>
        </w:r>
        <w:r w:rsidR="00B0479F">
          <w:rPr>
            <w:webHidden/>
          </w:rPr>
          <w:fldChar w:fldCharType="end"/>
        </w:r>
      </w:hyperlink>
    </w:p>
    <w:p w14:paraId="0EC89DDB" w14:textId="5C1C4265" w:rsidR="00B0479F" w:rsidRDefault="004B21EF">
      <w:pPr>
        <w:pStyle w:val="TableofFigures"/>
        <w:rPr>
          <w:rFonts w:asciiTheme="minorHAnsi" w:eastAsiaTheme="minorEastAsia" w:hAnsiTheme="minorHAnsi" w:cstheme="minorBidi"/>
        </w:rPr>
      </w:pPr>
      <w:hyperlink w:anchor="_Toc39580869" w:history="1">
        <w:r w:rsidR="00B0479F" w:rsidRPr="008E68B6">
          <w:rPr>
            <w:rStyle w:val="Hyperlink"/>
          </w:rPr>
          <w:t>Table 88</w:t>
        </w:r>
        <w:r w:rsidR="00B0479F">
          <w:rPr>
            <w:rFonts w:asciiTheme="minorHAnsi" w:eastAsiaTheme="minorEastAsia" w:hAnsiTheme="minorHAnsi" w:cstheme="minorBidi"/>
          </w:rPr>
          <w:tab/>
        </w:r>
        <w:r w:rsidR="00B0479F" w:rsidRPr="008E68B6">
          <w:rPr>
            <w:rStyle w:val="Hyperlink"/>
          </w:rPr>
          <w:t>Estimated use of NMOSD-Ab tests for the first five years of MBS listing</w:t>
        </w:r>
        <w:r w:rsidR="00B0479F">
          <w:rPr>
            <w:webHidden/>
          </w:rPr>
          <w:tab/>
        </w:r>
        <w:r w:rsidR="00B0479F">
          <w:rPr>
            <w:webHidden/>
          </w:rPr>
          <w:fldChar w:fldCharType="begin"/>
        </w:r>
        <w:r w:rsidR="00B0479F">
          <w:rPr>
            <w:webHidden/>
          </w:rPr>
          <w:instrText xml:space="preserve"> PAGEREF _Toc39580869 \h </w:instrText>
        </w:r>
        <w:r w:rsidR="00B0479F">
          <w:rPr>
            <w:webHidden/>
          </w:rPr>
        </w:r>
        <w:r w:rsidR="00B0479F">
          <w:rPr>
            <w:webHidden/>
          </w:rPr>
          <w:fldChar w:fldCharType="separate"/>
        </w:r>
        <w:r w:rsidR="009677B6">
          <w:rPr>
            <w:webHidden/>
          </w:rPr>
          <w:t>155</w:t>
        </w:r>
        <w:r w:rsidR="00B0479F">
          <w:rPr>
            <w:webHidden/>
          </w:rPr>
          <w:fldChar w:fldCharType="end"/>
        </w:r>
      </w:hyperlink>
    </w:p>
    <w:p w14:paraId="415C8A70" w14:textId="78161CE1" w:rsidR="00B0479F" w:rsidRDefault="004B21EF">
      <w:pPr>
        <w:pStyle w:val="TableofFigures"/>
        <w:rPr>
          <w:rFonts w:asciiTheme="minorHAnsi" w:eastAsiaTheme="minorEastAsia" w:hAnsiTheme="minorHAnsi" w:cstheme="minorBidi"/>
        </w:rPr>
      </w:pPr>
      <w:hyperlink w:anchor="_Toc39580870" w:history="1">
        <w:r w:rsidR="00B0479F" w:rsidRPr="008E68B6">
          <w:rPr>
            <w:rStyle w:val="Hyperlink"/>
          </w:rPr>
          <w:t>Table 89</w:t>
        </w:r>
        <w:r w:rsidR="00B0479F">
          <w:rPr>
            <w:rFonts w:asciiTheme="minorHAnsi" w:eastAsiaTheme="minorEastAsia" w:hAnsiTheme="minorHAnsi" w:cstheme="minorBidi"/>
          </w:rPr>
          <w:tab/>
        </w:r>
        <w:r w:rsidR="00B0479F" w:rsidRPr="008E68B6">
          <w:rPr>
            <w:rStyle w:val="Hyperlink"/>
          </w:rPr>
          <w:t>Estimated costs of NMOSD-Ab tests for the first five years, under proposed MBS listing</w:t>
        </w:r>
        <w:r w:rsidR="00B0479F">
          <w:rPr>
            <w:webHidden/>
          </w:rPr>
          <w:tab/>
        </w:r>
        <w:r w:rsidR="00B0479F">
          <w:rPr>
            <w:webHidden/>
          </w:rPr>
          <w:fldChar w:fldCharType="begin"/>
        </w:r>
        <w:r w:rsidR="00B0479F">
          <w:rPr>
            <w:webHidden/>
          </w:rPr>
          <w:instrText xml:space="preserve"> PAGEREF _Toc39580870 \h </w:instrText>
        </w:r>
        <w:r w:rsidR="00B0479F">
          <w:rPr>
            <w:webHidden/>
          </w:rPr>
        </w:r>
        <w:r w:rsidR="00B0479F">
          <w:rPr>
            <w:webHidden/>
          </w:rPr>
          <w:fldChar w:fldCharType="separate"/>
        </w:r>
        <w:r w:rsidR="009677B6">
          <w:rPr>
            <w:webHidden/>
          </w:rPr>
          <w:t>156</w:t>
        </w:r>
        <w:r w:rsidR="00B0479F">
          <w:rPr>
            <w:webHidden/>
          </w:rPr>
          <w:fldChar w:fldCharType="end"/>
        </w:r>
      </w:hyperlink>
    </w:p>
    <w:p w14:paraId="1637C727" w14:textId="2A7678E1" w:rsidR="00B0479F" w:rsidRDefault="004B21EF">
      <w:pPr>
        <w:pStyle w:val="TableofFigures"/>
        <w:rPr>
          <w:rFonts w:asciiTheme="minorHAnsi" w:eastAsiaTheme="minorEastAsia" w:hAnsiTheme="minorHAnsi" w:cstheme="minorBidi"/>
        </w:rPr>
      </w:pPr>
      <w:hyperlink w:anchor="_Toc39580871" w:history="1">
        <w:r w:rsidR="00B0479F" w:rsidRPr="008E68B6">
          <w:rPr>
            <w:rStyle w:val="Hyperlink"/>
          </w:rPr>
          <w:t>Table 90</w:t>
        </w:r>
        <w:r w:rsidR="00B0479F">
          <w:rPr>
            <w:rFonts w:asciiTheme="minorHAnsi" w:eastAsiaTheme="minorEastAsia" w:hAnsiTheme="minorHAnsi" w:cstheme="minorBidi"/>
          </w:rPr>
          <w:tab/>
        </w:r>
        <w:r w:rsidR="00B0479F" w:rsidRPr="008E68B6">
          <w:rPr>
            <w:rStyle w:val="Hyperlink"/>
          </w:rPr>
          <w:t>Estimation of the number of comparator services offset</w:t>
        </w:r>
        <w:r w:rsidR="00B0479F">
          <w:rPr>
            <w:webHidden/>
          </w:rPr>
          <w:tab/>
        </w:r>
        <w:r w:rsidR="00B0479F">
          <w:rPr>
            <w:webHidden/>
          </w:rPr>
          <w:fldChar w:fldCharType="begin"/>
        </w:r>
        <w:r w:rsidR="00B0479F">
          <w:rPr>
            <w:webHidden/>
          </w:rPr>
          <w:instrText xml:space="preserve"> PAGEREF _Toc39580871 \h </w:instrText>
        </w:r>
        <w:r w:rsidR="00B0479F">
          <w:rPr>
            <w:webHidden/>
          </w:rPr>
        </w:r>
        <w:r w:rsidR="00B0479F">
          <w:rPr>
            <w:webHidden/>
          </w:rPr>
          <w:fldChar w:fldCharType="separate"/>
        </w:r>
        <w:r w:rsidR="009677B6">
          <w:rPr>
            <w:webHidden/>
          </w:rPr>
          <w:t>156</w:t>
        </w:r>
        <w:r w:rsidR="00B0479F">
          <w:rPr>
            <w:webHidden/>
          </w:rPr>
          <w:fldChar w:fldCharType="end"/>
        </w:r>
      </w:hyperlink>
    </w:p>
    <w:p w14:paraId="74DFDC2F" w14:textId="142FCC49" w:rsidR="00B0479F" w:rsidRDefault="004B21EF">
      <w:pPr>
        <w:pStyle w:val="TableofFigures"/>
        <w:rPr>
          <w:rFonts w:asciiTheme="minorHAnsi" w:eastAsiaTheme="minorEastAsia" w:hAnsiTheme="minorHAnsi" w:cstheme="minorBidi"/>
        </w:rPr>
      </w:pPr>
      <w:hyperlink w:anchor="_Toc39580872" w:history="1">
        <w:r w:rsidR="00B0479F" w:rsidRPr="008E68B6">
          <w:rPr>
            <w:rStyle w:val="Hyperlink"/>
          </w:rPr>
          <w:t>Table 91</w:t>
        </w:r>
        <w:r w:rsidR="00B0479F">
          <w:rPr>
            <w:rFonts w:asciiTheme="minorHAnsi" w:eastAsiaTheme="minorEastAsia" w:hAnsiTheme="minorHAnsi" w:cstheme="minorBidi"/>
          </w:rPr>
          <w:tab/>
        </w:r>
        <w:r w:rsidR="00B0479F" w:rsidRPr="008E68B6">
          <w:rPr>
            <w:rStyle w:val="Hyperlink"/>
          </w:rPr>
          <w:t>Estimated MBS costs-offsets (reduced claims on existing (comparator) services)</w:t>
        </w:r>
        <w:r w:rsidR="00B0479F">
          <w:rPr>
            <w:webHidden/>
          </w:rPr>
          <w:tab/>
        </w:r>
        <w:r w:rsidR="00B0479F">
          <w:rPr>
            <w:webHidden/>
          </w:rPr>
          <w:fldChar w:fldCharType="begin"/>
        </w:r>
        <w:r w:rsidR="00B0479F">
          <w:rPr>
            <w:webHidden/>
          </w:rPr>
          <w:instrText xml:space="preserve"> PAGEREF _Toc39580872 \h </w:instrText>
        </w:r>
        <w:r w:rsidR="00B0479F">
          <w:rPr>
            <w:webHidden/>
          </w:rPr>
        </w:r>
        <w:r w:rsidR="00B0479F">
          <w:rPr>
            <w:webHidden/>
          </w:rPr>
          <w:fldChar w:fldCharType="separate"/>
        </w:r>
        <w:r w:rsidR="009677B6">
          <w:rPr>
            <w:webHidden/>
          </w:rPr>
          <w:t>157</w:t>
        </w:r>
        <w:r w:rsidR="00B0479F">
          <w:rPr>
            <w:webHidden/>
          </w:rPr>
          <w:fldChar w:fldCharType="end"/>
        </w:r>
      </w:hyperlink>
    </w:p>
    <w:p w14:paraId="4B0F000B" w14:textId="55DA4122" w:rsidR="00B0479F" w:rsidRDefault="004B21EF">
      <w:pPr>
        <w:pStyle w:val="TableofFigures"/>
        <w:rPr>
          <w:rFonts w:asciiTheme="minorHAnsi" w:eastAsiaTheme="minorEastAsia" w:hAnsiTheme="minorHAnsi" w:cstheme="minorBidi"/>
        </w:rPr>
      </w:pPr>
      <w:hyperlink w:anchor="_Toc39580873" w:history="1">
        <w:r w:rsidR="00B0479F" w:rsidRPr="008E68B6">
          <w:rPr>
            <w:rStyle w:val="Hyperlink"/>
          </w:rPr>
          <w:t>Table 92</w:t>
        </w:r>
        <w:r w:rsidR="00B0479F">
          <w:rPr>
            <w:rFonts w:asciiTheme="minorHAnsi" w:eastAsiaTheme="minorEastAsia" w:hAnsiTheme="minorHAnsi" w:cstheme="minorBidi"/>
          </w:rPr>
          <w:tab/>
        </w:r>
        <w:r w:rsidR="00B0479F" w:rsidRPr="008E68B6">
          <w:rPr>
            <w:rStyle w:val="Hyperlink"/>
          </w:rPr>
          <w:t>Total costs to the MBS associated with NMOSD-Ab testing</w:t>
        </w:r>
        <w:r w:rsidR="00B0479F">
          <w:rPr>
            <w:webHidden/>
          </w:rPr>
          <w:tab/>
        </w:r>
        <w:r w:rsidR="00B0479F">
          <w:rPr>
            <w:webHidden/>
          </w:rPr>
          <w:fldChar w:fldCharType="begin"/>
        </w:r>
        <w:r w:rsidR="00B0479F">
          <w:rPr>
            <w:webHidden/>
          </w:rPr>
          <w:instrText xml:space="preserve"> PAGEREF _Toc39580873 \h </w:instrText>
        </w:r>
        <w:r w:rsidR="00B0479F">
          <w:rPr>
            <w:webHidden/>
          </w:rPr>
        </w:r>
        <w:r w:rsidR="00B0479F">
          <w:rPr>
            <w:webHidden/>
          </w:rPr>
          <w:fldChar w:fldCharType="separate"/>
        </w:r>
        <w:r w:rsidR="009677B6">
          <w:rPr>
            <w:webHidden/>
          </w:rPr>
          <w:t>157</w:t>
        </w:r>
        <w:r w:rsidR="00B0479F">
          <w:rPr>
            <w:webHidden/>
          </w:rPr>
          <w:fldChar w:fldCharType="end"/>
        </w:r>
      </w:hyperlink>
    </w:p>
    <w:p w14:paraId="19818156" w14:textId="58A34C8A" w:rsidR="00B0479F" w:rsidRDefault="004B21EF">
      <w:pPr>
        <w:pStyle w:val="TableofFigures"/>
        <w:rPr>
          <w:rFonts w:asciiTheme="minorHAnsi" w:eastAsiaTheme="minorEastAsia" w:hAnsiTheme="minorHAnsi" w:cstheme="minorBidi"/>
        </w:rPr>
      </w:pPr>
      <w:hyperlink w:anchor="_Toc39580874" w:history="1">
        <w:r w:rsidR="00B0479F" w:rsidRPr="008E68B6">
          <w:rPr>
            <w:rStyle w:val="Hyperlink"/>
          </w:rPr>
          <w:t>Table 93</w:t>
        </w:r>
        <w:r w:rsidR="00B0479F">
          <w:rPr>
            <w:rFonts w:asciiTheme="minorHAnsi" w:eastAsiaTheme="minorEastAsia" w:hAnsiTheme="minorHAnsi" w:cstheme="minorBidi"/>
          </w:rPr>
          <w:tab/>
        </w:r>
        <w:r w:rsidR="00B0479F" w:rsidRPr="008E68B6">
          <w:rPr>
            <w:rStyle w:val="Hyperlink"/>
          </w:rPr>
          <w:t>Total costs to private sector associated with MBS listing of NMOSD-Ab tests</w:t>
        </w:r>
        <w:r w:rsidR="00B0479F">
          <w:rPr>
            <w:webHidden/>
          </w:rPr>
          <w:tab/>
        </w:r>
        <w:r w:rsidR="00B0479F">
          <w:rPr>
            <w:webHidden/>
          </w:rPr>
          <w:fldChar w:fldCharType="begin"/>
        </w:r>
        <w:r w:rsidR="00B0479F">
          <w:rPr>
            <w:webHidden/>
          </w:rPr>
          <w:instrText xml:space="preserve"> PAGEREF _Toc39580874 \h </w:instrText>
        </w:r>
        <w:r w:rsidR="00B0479F">
          <w:rPr>
            <w:webHidden/>
          </w:rPr>
        </w:r>
        <w:r w:rsidR="00B0479F">
          <w:rPr>
            <w:webHidden/>
          </w:rPr>
          <w:fldChar w:fldCharType="separate"/>
        </w:r>
        <w:r w:rsidR="009677B6">
          <w:rPr>
            <w:webHidden/>
          </w:rPr>
          <w:t>158</w:t>
        </w:r>
        <w:r w:rsidR="00B0479F">
          <w:rPr>
            <w:webHidden/>
          </w:rPr>
          <w:fldChar w:fldCharType="end"/>
        </w:r>
      </w:hyperlink>
    </w:p>
    <w:p w14:paraId="184B83D5" w14:textId="49F87547" w:rsidR="00B0479F" w:rsidRDefault="004B21EF">
      <w:pPr>
        <w:pStyle w:val="TableofFigures"/>
        <w:rPr>
          <w:rFonts w:asciiTheme="minorHAnsi" w:eastAsiaTheme="minorEastAsia" w:hAnsiTheme="minorHAnsi" w:cstheme="minorBidi"/>
        </w:rPr>
      </w:pPr>
      <w:hyperlink w:anchor="_Toc39580875" w:history="1">
        <w:r w:rsidR="00B0479F" w:rsidRPr="008E68B6">
          <w:rPr>
            <w:rStyle w:val="Hyperlink"/>
          </w:rPr>
          <w:t>Table 94</w:t>
        </w:r>
        <w:r w:rsidR="00B0479F">
          <w:rPr>
            <w:rFonts w:asciiTheme="minorHAnsi" w:eastAsiaTheme="minorEastAsia" w:hAnsiTheme="minorHAnsi" w:cstheme="minorBidi"/>
          </w:rPr>
          <w:tab/>
        </w:r>
        <w:r w:rsidR="00B0479F" w:rsidRPr="008E68B6">
          <w:rPr>
            <w:rStyle w:val="Hyperlink"/>
          </w:rPr>
          <w:t>Sensitivity analyses</w:t>
        </w:r>
        <w:r w:rsidR="00B0479F">
          <w:rPr>
            <w:webHidden/>
          </w:rPr>
          <w:tab/>
        </w:r>
        <w:r w:rsidR="00B0479F">
          <w:rPr>
            <w:webHidden/>
          </w:rPr>
          <w:fldChar w:fldCharType="begin"/>
        </w:r>
        <w:r w:rsidR="00B0479F">
          <w:rPr>
            <w:webHidden/>
          </w:rPr>
          <w:instrText xml:space="preserve"> PAGEREF _Toc39580875 \h </w:instrText>
        </w:r>
        <w:r w:rsidR="00B0479F">
          <w:rPr>
            <w:webHidden/>
          </w:rPr>
        </w:r>
        <w:r w:rsidR="00B0479F">
          <w:rPr>
            <w:webHidden/>
          </w:rPr>
          <w:fldChar w:fldCharType="separate"/>
        </w:r>
        <w:r w:rsidR="009677B6">
          <w:rPr>
            <w:webHidden/>
          </w:rPr>
          <w:t>158</w:t>
        </w:r>
        <w:r w:rsidR="00B0479F">
          <w:rPr>
            <w:webHidden/>
          </w:rPr>
          <w:fldChar w:fldCharType="end"/>
        </w:r>
      </w:hyperlink>
    </w:p>
    <w:p w14:paraId="240D2FB6" w14:textId="264A8F78" w:rsidR="00B0479F" w:rsidRDefault="004B21EF">
      <w:pPr>
        <w:pStyle w:val="TableofFigures"/>
        <w:rPr>
          <w:rFonts w:asciiTheme="minorHAnsi" w:eastAsiaTheme="minorEastAsia" w:hAnsiTheme="minorHAnsi" w:cstheme="minorBidi"/>
        </w:rPr>
      </w:pPr>
      <w:hyperlink w:anchor="_Toc39580876" w:history="1">
        <w:r w:rsidR="00B0479F" w:rsidRPr="008E68B6">
          <w:rPr>
            <w:rStyle w:val="Hyperlink"/>
          </w:rPr>
          <w:t>Table 95</w:t>
        </w:r>
        <w:r w:rsidR="00B0479F">
          <w:rPr>
            <w:rFonts w:asciiTheme="minorHAnsi" w:eastAsiaTheme="minorEastAsia" w:hAnsiTheme="minorHAnsi" w:cstheme="minorBidi"/>
          </w:rPr>
          <w:tab/>
        </w:r>
        <w:r w:rsidR="00B0479F" w:rsidRPr="008E68B6">
          <w:rPr>
            <w:rStyle w:val="Hyperlink"/>
          </w:rPr>
          <w:t>Estimated costs associated with co-claimable services</w:t>
        </w:r>
        <w:r w:rsidR="00B0479F">
          <w:rPr>
            <w:webHidden/>
          </w:rPr>
          <w:tab/>
        </w:r>
        <w:r w:rsidR="00B0479F">
          <w:rPr>
            <w:webHidden/>
          </w:rPr>
          <w:fldChar w:fldCharType="begin"/>
        </w:r>
        <w:r w:rsidR="00B0479F">
          <w:rPr>
            <w:webHidden/>
          </w:rPr>
          <w:instrText xml:space="preserve"> PAGEREF _Toc39580876 \h </w:instrText>
        </w:r>
        <w:r w:rsidR="00B0479F">
          <w:rPr>
            <w:webHidden/>
          </w:rPr>
        </w:r>
        <w:r w:rsidR="00B0479F">
          <w:rPr>
            <w:webHidden/>
          </w:rPr>
          <w:fldChar w:fldCharType="separate"/>
        </w:r>
        <w:r w:rsidR="009677B6">
          <w:rPr>
            <w:webHidden/>
          </w:rPr>
          <w:t>159</w:t>
        </w:r>
        <w:r w:rsidR="00B0479F">
          <w:rPr>
            <w:webHidden/>
          </w:rPr>
          <w:fldChar w:fldCharType="end"/>
        </w:r>
      </w:hyperlink>
    </w:p>
    <w:p w14:paraId="28EC2ED6" w14:textId="1451BB02" w:rsidR="00B0479F" w:rsidRDefault="004B21EF">
      <w:pPr>
        <w:pStyle w:val="TableofFigures"/>
        <w:rPr>
          <w:rFonts w:asciiTheme="minorHAnsi" w:eastAsiaTheme="minorEastAsia" w:hAnsiTheme="minorHAnsi" w:cstheme="minorBidi"/>
        </w:rPr>
      </w:pPr>
      <w:hyperlink w:anchor="_Toc39580877" w:history="1">
        <w:r w:rsidR="00B0479F" w:rsidRPr="008E68B6">
          <w:rPr>
            <w:rStyle w:val="Hyperlink"/>
          </w:rPr>
          <w:t>Table 96</w:t>
        </w:r>
        <w:r w:rsidR="00B0479F">
          <w:rPr>
            <w:rFonts w:asciiTheme="minorHAnsi" w:eastAsiaTheme="minorEastAsia" w:hAnsiTheme="minorHAnsi" w:cstheme="minorBidi"/>
          </w:rPr>
          <w:tab/>
        </w:r>
        <w:r w:rsidR="00B0479F" w:rsidRPr="008E68B6">
          <w:rPr>
            <w:rStyle w:val="Hyperlink"/>
          </w:rPr>
          <w:t>Sensitivity analysis, costs associated with co-claimable services</w:t>
        </w:r>
        <w:r w:rsidR="00B0479F">
          <w:rPr>
            <w:webHidden/>
          </w:rPr>
          <w:tab/>
        </w:r>
        <w:r w:rsidR="00B0479F">
          <w:rPr>
            <w:webHidden/>
          </w:rPr>
          <w:fldChar w:fldCharType="begin"/>
        </w:r>
        <w:r w:rsidR="00B0479F">
          <w:rPr>
            <w:webHidden/>
          </w:rPr>
          <w:instrText xml:space="preserve"> PAGEREF _Toc39580877 \h </w:instrText>
        </w:r>
        <w:r w:rsidR="00B0479F">
          <w:rPr>
            <w:webHidden/>
          </w:rPr>
        </w:r>
        <w:r w:rsidR="00B0479F">
          <w:rPr>
            <w:webHidden/>
          </w:rPr>
          <w:fldChar w:fldCharType="separate"/>
        </w:r>
        <w:r w:rsidR="009677B6">
          <w:rPr>
            <w:webHidden/>
          </w:rPr>
          <w:t>159</w:t>
        </w:r>
        <w:r w:rsidR="00B0479F">
          <w:rPr>
            <w:webHidden/>
          </w:rPr>
          <w:fldChar w:fldCharType="end"/>
        </w:r>
      </w:hyperlink>
    </w:p>
    <w:p w14:paraId="07CD99CB" w14:textId="22447F93" w:rsidR="00B0479F" w:rsidRDefault="004B21EF">
      <w:pPr>
        <w:pStyle w:val="TableofFigures"/>
        <w:rPr>
          <w:rFonts w:asciiTheme="minorHAnsi" w:eastAsiaTheme="minorEastAsia" w:hAnsiTheme="minorHAnsi" w:cstheme="minorBidi"/>
        </w:rPr>
      </w:pPr>
      <w:hyperlink w:anchor="_Toc39580878" w:history="1">
        <w:r w:rsidR="00B0479F" w:rsidRPr="008E68B6">
          <w:rPr>
            <w:rStyle w:val="Hyperlink"/>
          </w:rPr>
          <w:t>Table 97</w:t>
        </w:r>
        <w:r w:rsidR="00B0479F">
          <w:rPr>
            <w:rFonts w:asciiTheme="minorHAnsi" w:eastAsiaTheme="minorEastAsia" w:hAnsiTheme="minorHAnsi" w:cstheme="minorBidi"/>
          </w:rPr>
          <w:tab/>
        </w:r>
        <w:r w:rsidR="00B0479F" w:rsidRPr="008E68B6">
          <w:rPr>
            <w:rStyle w:val="Hyperlink"/>
          </w:rPr>
          <w:t>Profiles of systematic reviews on AQP4-Ab and MOG-Ab testing for diagnosis and monitoring of NMOSD included in the systematic literature review</w:t>
        </w:r>
        <w:r w:rsidR="00B0479F">
          <w:rPr>
            <w:webHidden/>
          </w:rPr>
          <w:tab/>
        </w:r>
        <w:r w:rsidR="00B0479F">
          <w:rPr>
            <w:webHidden/>
          </w:rPr>
          <w:fldChar w:fldCharType="begin"/>
        </w:r>
        <w:r w:rsidR="00B0479F">
          <w:rPr>
            <w:webHidden/>
          </w:rPr>
          <w:instrText xml:space="preserve"> PAGEREF _Toc39580878 \h </w:instrText>
        </w:r>
        <w:r w:rsidR="00B0479F">
          <w:rPr>
            <w:webHidden/>
          </w:rPr>
        </w:r>
        <w:r w:rsidR="00B0479F">
          <w:rPr>
            <w:webHidden/>
          </w:rPr>
          <w:fldChar w:fldCharType="separate"/>
        </w:r>
        <w:r w:rsidR="009677B6">
          <w:rPr>
            <w:webHidden/>
          </w:rPr>
          <w:t>163</w:t>
        </w:r>
        <w:r w:rsidR="00B0479F">
          <w:rPr>
            <w:webHidden/>
          </w:rPr>
          <w:fldChar w:fldCharType="end"/>
        </w:r>
      </w:hyperlink>
    </w:p>
    <w:p w14:paraId="7591B03F" w14:textId="607B0CDE" w:rsidR="00B0479F" w:rsidRDefault="004B21EF">
      <w:pPr>
        <w:pStyle w:val="TableofFigures"/>
        <w:rPr>
          <w:rFonts w:asciiTheme="minorHAnsi" w:eastAsiaTheme="minorEastAsia" w:hAnsiTheme="minorHAnsi" w:cstheme="minorBidi"/>
        </w:rPr>
      </w:pPr>
      <w:hyperlink w:anchor="_Toc39580879" w:history="1">
        <w:r w:rsidR="00B0479F" w:rsidRPr="008E68B6">
          <w:rPr>
            <w:rStyle w:val="Hyperlink"/>
          </w:rPr>
          <w:t>Table 98</w:t>
        </w:r>
        <w:r w:rsidR="00B0479F">
          <w:rPr>
            <w:rFonts w:asciiTheme="minorHAnsi" w:eastAsiaTheme="minorEastAsia" w:hAnsiTheme="minorHAnsi" w:cstheme="minorBidi"/>
          </w:rPr>
          <w:tab/>
        </w:r>
        <w:r w:rsidR="00B0479F" w:rsidRPr="008E68B6">
          <w:rPr>
            <w:rStyle w:val="Hyperlink"/>
          </w:rPr>
          <w:t>Profiles of primary studies on AQP4-Ab and MOG-Ab testing for diagnosis and monitoring of NMOSD included in the systematic literature review</w:t>
        </w:r>
        <w:r w:rsidR="00B0479F">
          <w:rPr>
            <w:webHidden/>
          </w:rPr>
          <w:tab/>
        </w:r>
        <w:r w:rsidR="00B0479F">
          <w:rPr>
            <w:webHidden/>
          </w:rPr>
          <w:fldChar w:fldCharType="begin"/>
        </w:r>
        <w:r w:rsidR="00B0479F">
          <w:rPr>
            <w:webHidden/>
          </w:rPr>
          <w:instrText xml:space="preserve"> PAGEREF _Toc39580879 \h </w:instrText>
        </w:r>
        <w:r w:rsidR="00B0479F">
          <w:rPr>
            <w:webHidden/>
          </w:rPr>
        </w:r>
        <w:r w:rsidR="00B0479F">
          <w:rPr>
            <w:webHidden/>
          </w:rPr>
          <w:fldChar w:fldCharType="separate"/>
        </w:r>
        <w:r w:rsidR="009677B6">
          <w:rPr>
            <w:webHidden/>
          </w:rPr>
          <w:t>163</w:t>
        </w:r>
        <w:r w:rsidR="00B0479F">
          <w:rPr>
            <w:webHidden/>
          </w:rPr>
          <w:fldChar w:fldCharType="end"/>
        </w:r>
      </w:hyperlink>
    </w:p>
    <w:p w14:paraId="7123673B" w14:textId="120DFFA0" w:rsidR="00B0479F" w:rsidRDefault="004B21EF">
      <w:pPr>
        <w:pStyle w:val="TableofFigures"/>
        <w:rPr>
          <w:rFonts w:asciiTheme="minorHAnsi" w:eastAsiaTheme="minorEastAsia" w:hAnsiTheme="minorHAnsi" w:cstheme="minorBidi"/>
        </w:rPr>
      </w:pPr>
      <w:hyperlink w:anchor="_Toc39580880" w:history="1">
        <w:r w:rsidR="00B0479F" w:rsidRPr="008E68B6">
          <w:rPr>
            <w:rStyle w:val="Hyperlink"/>
          </w:rPr>
          <w:t>Table 99</w:t>
        </w:r>
        <w:r w:rsidR="00B0479F">
          <w:rPr>
            <w:rFonts w:asciiTheme="minorHAnsi" w:eastAsiaTheme="minorEastAsia" w:hAnsiTheme="minorHAnsi" w:cstheme="minorBidi"/>
          </w:rPr>
          <w:tab/>
        </w:r>
        <w:r w:rsidR="00B0479F" w:rsidRPr="008E68B6">
          <w:rPr>
            <w:rStyle w:val="Hyperlink"/>
          </w:rPr>
          <w:t>Evidence profile table for the accuracy of AQP4-Ab testing compared to 2015 IPND criteria for diagnosis of NMOSD (prevalence 34%)</w:t>
        </w:r>
        <w:r w:rsidR="00B0479F">
          <w:rPr>
            <w:webHidden/>
          </w:rPr>
          <w:tab/>
        </w:r>
        <w:r w:rsidR="00B0479F">
          <w:rPr>
            <w:webHidden/>
          </w:rPr>
          <w:fldChar w:fldCharType="begin"/>
        </w:r>
        <w:r w:rsidR="00B0479F">
          <w:rPr>
            <w:webHidden/>
          </w:rPr>
          <w:instrText xml:space="preserve"> PAGEREF _Toc39580880 \h </w:instrText>
        </w:r>
        <w:r w:rsidR="00B0479F">
          <w:rPr>
            <w:webHidden/>
          </w:rPr>
        </w:r>
        <w:r w:rsidR="00B0479F">
          <w:rPr>
            <w:webHidden/>
          </w:rPr>
          <w:fldChar w:fldCharType="separate"/>
        </w:r>
        <w:r w:rsidR="009677B6">
          <w:rPr>
            <w:webHidden/>
          </w:rPr>
          <w:t>171</w:t>
        </w:r>
        <w:r w:rsidR="00B0479F">
          <w:rPr>
            <w:webHidden/>
          </w:rPr>
          <w:fldChar w:fldCharType="end"/>
        </w:r>
      </w:hyperlink>
    </w:p>
    <w:p w14:paraId="763C367F" w14:textId="1C38CEB8" w:rsidR="00B0479F" w:rsidRDefault="004B21EF">
      <w:pPr>
        <w:pStyle w:val="TableofFigures"/>
        <w:rPr>
          <w:rFonts w:asciiTheme="minorHAnsi" w:eastAsiaTheme="minorEastAsia" w:hAnsiTheme="minorHAnsi" w:cstheme="minorBidi"/>
        </w:rPr>
      </w:pPr>
      <w:hyperlink w:anchor="_Toc39580881" w:history="1">
        <w:r w:rsidR="00B0479F" w:rsidRPr="008E68B6">
          <w:rPr>
            <w:rStyle w:val="Hyperlink"/>
          </w:rPr>
          <w:t>Table 100</w:t>
        </w:r>
        <w:r w:rsidR="00B0479F">
          <w:rPr>
            <w:rFonts w:asciiTheme="minorHAnsi" w:eastAsiaTheme="minorEastAsia" w:hAnsiTheme="minorHAnsi" w:cstheme="minorBidi"/>
          </w:rPr>
          <w:tab/>
        </w:r>
        <w:r w:rsidR="00B0479F" w:rsidRPr="008E68B6">
          <w:rPr>
            <w:rStyle w:val="Hyperlink"/>
          </w:rPr>
          <w:t>Evidence profile table for the prognosis of AQP4-Ab testing in patients suspected of NMOSD or diagnosed with NMOSD</w:t>
        </w:r>
        <w:r w:rsidR="00B0479F">
          <w:rPr>
            <w:webHidden/>
          </w:rPr>
          <w:tab/>
        </w:r>
        <w:r w:rsidR="00B0479F">
          <w:rPr>
            <w:webHidden/>
          </w:rPr>
          <w:fldChar w:fldCharType="begin"/>
        </w:r>
        <w:r w:rsidR="00B0479F">
          <w:rPr>
            <w:webHidden/>
          </w:rPr>
          <w:instrText xml:space="preserve"> PAGEREF _Toc39580881 \h </w:instrText>
        </w:r>
        <w:r w:rsidR="00B0479F">
          <w:rPr>
            <w:webHidden/>
          </w:rPr>
        </w:r>
        <w:r w:rsidR="00B0479F">
          <w:rPr>
            <w:webHidden/>
          </w:rPr>
          <w:fldChar w:fldCharType="separate"/>
        </w:r>
        <w:r w:rsidR="009677B6">
          <w:rPr>
            <w:webHidden/>
          </w:rPr>
          <w:t>172</w:t>
        </w:r>
        <w:r w:rsidR="00B0479F">
          <w:rPr>
            <w:webHidden/>
          </w:rPr>
          <w:fldChar w:fldCharType="end"/>
        </w:r>
      </w:hyperlink>
    </w:p>
    <w:p w14:paraId="7F038DE9" w14:textId="5050D0D5" w:rsidR="00B0479F" w:rsidRDefault="004B21EF">
      <w:pPr>
        <w:pStyle w:val="TableofFigures"/>
        <w:rPr>
          <w:rFonts w:asciiTheme="minorHAnsi" w:eastAsiaTheme="minorEastAsia" w:hAnsiTheme="minorHAnsi" w:cstheme="minorBidi"/>
        </w:rPr>
      </w:pPr>
      <w:hyperlink w:anchor="_Toc39580882" w:history="1">
        <w:r w:rsidR="00B0479F" w:rsidRPr="008E68B6">
          <w:rPr>
            <w:rStyle w:val="Hyperlink"/>
          </w:rPr>
          <w:t>Table 101</w:t>
        </w:r>
        <w:r w:rsidR="00B0479F">
          <w:rPr>
            <w:rFonts w:asciiTheme="minorHAnsi" w:eastAsiaTheme="minorEastAsia" w:hAnsiTheme="minorHAnsi" w:cstheme="minorBidi"/>
          </w:rPr>
          <w:tab/>
        </w:r>
        <w:r w:rsidR="00B0479F" w:rsidRPr="008E68B6">
          <w:rPr>
            <w:rStyle w:val="Hyperlink"/>
          </w:rPr>
          <w:t>Evidence profile table for the prognosis of MOG-Ab testing for patients at risk of NMOSD</w:t>
        </w:r>
        <w:r w:rsidR="00B0479F">
          <w:rPr>
            <w:webHidden/>
          </w:rPr>
          <w:tab/>
        </w:r>
        <w:r w:rsidR="00B0479F">
          <w:rPr>
            <w:webHidden/>
          </w:rPr>
          <w:fldChar w:fldCharType="begin"/>
        </w:r>
        <w:r w:rsidR="00B0479F">
          <w:rPr>
            <w:webHidden/>
          </w:rPr>
          <w:instrText xml:space="preserve"> PAGEREF _Toc39580882 \h </w:instrText>
        </w:r>
        <w:r w:rsidR="00B0479F">
          <w:rPr>
            <w:webHidden/>
          </w:rPr>
        </w:r>
        <w:r w:rsidR="00B0479F">
          <w:rPr>
            <w:webHidden/>
          </w:rPr>
          <w:fldChar w:fldCharType="separate"/>
        </w:r>
        <w:r w:rsidR="009677B6">
          <w:rPr>
            <w:webHidden/>
          </w:rPr>
          <w:t>174</w:t>
        </w:r>
        <w:r w:rsidR="00B0479F">
          <w:rPr>
            <w:webHidden/>
          </w:rPr>
          <w:fldChar w:fldCharType="end"/>
        </w:r>
      </w:hyperlink>
    </w:p>
    <w:p w14:paraId="46681383" w14:textId="5CEECC9E" w:rsidR="00B0479F" w:rsidRDefault="004B21EF">
      <w:pPr>
        <w:pStyle w:val="TableofFigures"/>
        <w:rPr>
          <w:rFonts w:asciiTheme="minorHAnsi" w:eastAsiaTheme="minorEastAsia" w:hAnsiTheme="minorHAnsi" w:cstheme="minorBidi"/>
        </w:rPr>
      </w:pPr>
      <w:hyperlink w:anchor="_Toc39580883" w:history="1">
        <w:r w:rsidR="00B0479F" w:rsidRPr="008E68B6">
          <w:rPr>
            <w:rStyle w:val="Hyperlink"/>
          </w:rPr>
          <w:t>Table 102</w:t>
        </w:r>
        <w:r w:rsidR="00B0479F">
          <w:rPr>
            <w:rFonts w:asciiTheme="minorHAnsi" w:eastAsiaTheme="minorEastAsia" w:hAnsiTheme="minorHAnsi" w:cstheme="minorBidi"/>
          </w:rPr>
          <w:tab/>
        </w:r>
        <w:r w:rsidR="00B0479F" w:rsidRPr="008E68B6">
          <w:rPr>
            <w:rStyle w:val="Hyperlink"/>
          </w:rPr>
          <w:t>Evidence profile table for the change in management due to AQP4-Ab testing compared to no testing for diagnosis of NMOSD</w:t>
        </w:r>
        <w:r w:rsidR="00B0479F">
          <w:rPr>
            <w:webHidden/>
          </w:rPr>
          <w:tab/>
        </w:r>
        <w:r w:rsidR="00B0479F">
          <w:rPr>
            <w:webHidden/>
          </w:rPr>
          <w:fldChar w:fldCharType="begin"/>
        </w:r>
        <w:r w:rsidR="00B0479F">
          <w:rPr>
            <w:webHidden/>
          </w:rPr>
          <w:instrText xml:space="preserve"> PAGEREF _Toc39580883 \h </w:instrText>
        </w:r>
        <w:r w:rsidR="00B0479F">
          <w:rPr>
            <w:webHidden/>
          </w:rPr>
        </w:r>
        <w:r w:rsidR="00B0479F">
          <w:rPr>
            <w:webHidden/>
          </w:rPr>
          <w:fldChar w:fldCharType="separate"/>
        </w:r>
        <w:r w:rsidR="009677B6">
          <w:rPr>
            <w:webHidden/>
          </w:rPr>
          <w:t>176</w:t>
        </w:r>
        <w:r w:rsidR="00B0479F">
          <w:rPr>
            <w:webHidden/>
          </w:rPr>
          <w:fldChar w:fldCharType="end"/>
        </w:r>
      </w:hyperlink>
    </w:p>
    <w:p w14:paraId="21C169C6" w14:textId="270F0D8E" w:rsidR="00B0479F" w:rsidRDefault="004B21EF">
      <w:pPr>
        <w:pStyle w:val="TableofFigures"/>
        <w:rPr>
          <w:rFonts w:asciiTheme="minorHAnsi" w:eastAsiaTheme="minorEastAsia" w:hAnsiTheme="minorHAnsi" w:cstheme="minorBidi"/>
        </w:rPr>
      </w:pPr>
      <w:hyperlink w:anchor="_Toc39580884" w:history="1">
        <w:r w:rsidR="00B0479F" w:rsidRPr="008E68B6">
          <w:rPr>
            <w:rStyle w:val="Hyperlink"/>
          </w:rPr>
          <w:t>Table 103</w:t>
        </w:r>
        <w:r w:rsidR="00B0479F">
          <w:rPr>
            <w:rFonts w:asciiTheme="minorHAnsi" w:eastAsiaTheme="minorEastAsia" w:hAnsiTheme="minorHAnsi" w:cstheme="minorBidi"/>
          </w:rPr>
          <w:tab/>
        </w:r>
        <w:r w:rsidR="00B0479F" w:rsidRPr="008E68B6">
          <w:rPr>
            <w:rStyle w:val="Hyperlink"/>
          </w:rPr>
          <w:t>Evidence profile table for the impact of change in management due to early compared to late diagnosis and/or treatment for NMOSD patients</w:t>
        </w:r>
        <w:r w:rsidR="00B0479F">
          <w:rPr>
            <w:webHidden/>
          </w:rPr>
          <w:tab/>
        </w:r>
        <w:r w:rsidR="00B0479F">
          <w:rPr>
            <w:webHidden/>
          </w:rPr>
          <w:fldChar w:fldCharType="begin"/>
        </w:r>
        <w:r w:rsidR="00B0479F">
          <w:rPr>
            <w:webHidden/>
          </w:rPr>
          <w:instrText xml:space="preserve"> PAGEREF _Toc39580884 \h </w:instrText>
        </w:r>
        <w:r w:rsidR="00B0479F">
          <w:rPr>
            <w:webHidden/>
          </w:rPr>
        </w:r>
        <w:r w:rsidR="00B0479F">
          <w:rPr>
            <w:webHidden/>
          </w:rPr>
          <w:fldChar w:fldCharType="separate"/>
        </w:r>
        <w:r w:rsidR="009677B6">
          <w:rPr>
            <w:webHidden/>
          </w:rPr>
          <w:t>177</w:t>
        </w:r>
        <w:r w:rsidR="00B0479F">
          <w:rPr>
            <w:webHidden/>
          </w:rPr>
          <w:fldChar w:fldCharType="end"/>
        </w:r>
      </w:hyperlink>
    </w:p>
    <w:p w14:paraId="14039AF6" w14:textId="7963204D" w:rsidR="00B0479F" w:rsidRDefault="004B21EF">
      <w:pPr>
        <w:pStyle w:val="TableofFigures"/>
        <w:rPr>
          <w:rFonts w:asciiTheme="minorHAnsi" w:eastAsiaTheme="minorEastAsia" w:hAnsiTheme="minorHAnsi" w:cstheme="minorBidi"/>
        </w:rPr>
      </w:pPr>
      <w:hyperlink w:anchor="_Toc39580885" w:history="1">
        <w:r w:rsidR="00B0479F" w:rsidRPr="008E68B6">
          <w:rPr>
            <w:rStyle w:val="Hyperlink"/>
          </w:rPr>
          <w:t>Table 104</w:t>
        </w:r>
        <w:r w:rsidR="00B0479F">
          <w:rPr>
            <w:rFonts w:asciiTheme="minorHAnsi" w:eastAsiaTheme="minorEastAsia" w:hAnsiTheme="minorHAnsi" w:cstheme="minorBidi"/>
          </w:rPr>
          <w:tab/>
        </w:r>
        <w:r w:rsidR="00B0479F" w:rsidRPr="008E68B6">
          <w:rPr>
            <w:rStyle w:val="Hyperlink"/>
          </w:rPr>
          <w:t>Evidence profile table for the impact of change in management due to NMSDO specific treatment compared to MS treatments for NMOSD patients</w:t>
        </w:r>
        <w:r w:rsidR="00B0479F">
          <w:rPr>
            <w:webHidden/>
          </w:rPr>
          <w:tab/>
        </w:r>
        <w:r w:rsidR="00B0479F">
          <w:rPr>
            <w:webHidden/>
          </w:rPr>
          <w:fldChar w:fldCharType="begin"/>
        </w:r>
        <w:r w:rsidR="00B0479F">
          <w:rPr>
            <w:webHidden/>
          </w:rPr>
          <w:instrText xml:space="preserve"> PAGEREF _Toc39580885 \h </w:instrText>
        </w:r>
        <w:r w:rsidR="00B0479F">
          <w:rPr>
            <w:webHidden/>
          </w:rPr>
        </w:r>
        <w:r w:rsidR="00B0479F">
          <w:rPr>
            <w:webHidden/>
          </w:rPr>
          <w:fldChar w:fldCharType="separate"/>
        </w:r>
        <w:r w:rsidR="009677B6">
          <w:rPr>
            <w:webHidden/>
          </w:rPr>
          <w:t>179</w:t>
        </w:r>
        <w:r w:rsidR="00B0479F">
          <w:rPr>
            <w:webHidden/>
          </w:rPr>
          <w:fldChar w:fldCharType="end"/>
        </w:r>
      </w:hyperlink>
    </w:p>
    <w:p w14:paraId="695C9486" w14:textId="6F040463" w:rsidR="00B0479F" w:rsidRDefault="004B21EF">
      <w:pPr>
        <w:pStyle w:val="TableofFigures"/>
        <w:rPr>
          <w:rFonts w:asciiTheme="minorHAnsi" w:eastAsiaTheme="minorEastAsia" w:hAnsiTheme="minorHAnsi" w:cstheme="minorBidi"/>
        </w:rPr>
      </w:pPr>
      <w:hyperlink w:anchor="_Toc39580886" w:history="1">
        <w:r w:rsidR="00B0479F" w:rsidRPr="008E68B6">
          <w:rPr>
            <w:rStyle w:val="Hyperlink"/>
          </w:rPr>
          <w:t>Table 105</w:t>
        </w:r>
        <w:r w:rsidR="00B0479F">
          <w:rPr>
            <w:rFonts w:asciiTheme="minorHAnsi" w:eastAsiaTheme="minorEastAsia" w:hAnsiTheme="minorHAnsi" w:cstheme="minorBidi"/>
          </w:rPr>
          <w:tab/>
        </w:r>
        <w:r w:rsidR="00B0479F" w:rsidRPr="008E68B6">
          <w:rPr>
            <w:rStyle w:val="Hyperlink"/>
          </w:rPr>
          <w:t>Evidence profile table for the impact of change in management due to treatment compared to no treatment for NMOSD patients</w:t>
        </w:r>
        <w:r w:rsidR="00B0479F">
          <w:rPr>
            <w:webHidden/>
          </w:rPr>
          <w:tab/>
        </w:r>
        <w:r w:rsidR="00B0479F">
          <w:rPr>
            <w:webHidden/>
          </w:rPr>
          <w:fldChar w:fldCharType="begin"/>
        </w:r>
        <w:r w:rsidR="00B0479F">
          <w:rPr>
            <w:webHidden/>
          </w:rPr>
          <w:instrText xml:space="preserve"> PAGEREF _Toc39580886 \h </w:instrText>
        </w:r>
        <w:r w:rsidR="00B0479F">
          <w:rPr>
            <w:webHidden/>
          </w:rPr>
        </w:r>
        <w:r w:rsidR="00B0479F">
          <w:rPr>
            <w:webHidden/>
          </w:rPr>
          <w:fldChar w:fldCharType="separate"/>
        </w:r>
        <w:r w:rsidR="009677B6">
          <w:rPr>
            <w:webHidden/>
          </w:rPr>
          <w:t>180</w:t>
        </w:r>
        <w:r w:rsidR="00B0479F">
          <w:rPr>
            <w:webHidden/>
          </w:rPr>
          <w:fldChar w:fldCharType="end"/>
        </w:r>
      </w:hyperlink>
    </w:p>
    <w:p w14:paraId="1FBACB9F" w14:textId="53980A70" w:rsidR="00B0479F" w:rsidRDefault="004B21EF">
      <w:pPr>
        <w:pStyle w:val="TableofFigures"/>
        <w:rPr>
          <w:rFonts w:asciiTheme="minorHAnsi" w:eastAsiaTheme="minorEastAsia" w:hAnsiTheme="minorHAnsi" w:cstheme="minorBidi"/>
        </w:rPr>
      </w:pPr>
      <w:hyperlink w:anchor="_Toc39580887" w:history="1">
        <w:r w:rsidR="00B0479F" w:rsidRPr="008E68B6">
          <w:rPr>
            <w:rStyle w:val="Hyperlink"/>
          </w:rPr>
          <w:t>Table 106</w:t>
        </w:r>
        <w:r w:rsidR="00B0479F">
          <w:rPr>
            <w:rFonts w:asciiTheme="minorHAnsi" w:eastAsiaTheme="minorEastAsia" w:hAnsiTheme="minorHAnsi" w:cstheme="minorBidi"/>
          </w:rPr>
          <w:tab/>
        </w:r>
        <w:r w:rsidR="00B0479F" w:rsidRPr="008E68B6">
          <w:rPr>
            <w:rStyle w:val="Hyperlink"/>
          </w:rPr>
          <w:t>Articles meeting eligibility criteria but excluded, by reason</w:t>
        </w:r>
        <w:r w:rsidR="00B0479F">
          <w:rPr>
            <w:webHidden/>
          </w:rPr>
          <w:tab/>
        </w:r>
        <w:r w:rsidR="00B0479F">
          <w:rPr>
            <w:webHidden/>
          </w:rPr>
          <w:fldChar w:fldCharType="begin"/>
        </w:r>
        <w:r w:rsidR="00B0479F">
          <w:rPr>
            <w:webHidden/>
          </w:rPr>
          <w:instrText xml:space="preserve"> PAGEREF _Toc39580887 \h </w:instrText>
        </w:r>
        <w:r w:rsidR="00B0479F">
          <w:rPr>
            <w:webHidden/>
          </w:rPr>
        </w:r>
        <w:r w:rsidR="00B0479F">
          <w:rPr>
            <w:webHidden/>
          </w:rPr>
          <w:fldChar w:fldCharType="separate"/>
        </w:r>
        <w:r w:rsidR="009677B6">
          <w:rPr>
            <w:webHidden/>
          </w:rPr>
          <w:t>182</w:t>
        </w:r>
        <w:r w:rsidR="00B0479F">
          <w:rPr>
            <w:webHidden/>
          </w:rPr>
          <w:fldChar w:fldCharType="end"/>
        </w:r>
      </w:hyperlink>
    </w:p>
    <w:p w14:paraId="5C225EAA" w14:textId="50F5E78A" w:rsidR="00B0479F" w:rsidRDefault="004B21EF">
      <w:pPr>
        <w:pStyle w:val="TableofFigures"/>
        <w:rPr>
          <w:rFonts w:asciiTheme="minorHAnsi" w:eastAsiaTheme="minorEastAsia" w:hAnsiTheme="minorHAnsi" w:cstheme="minorBidi"/>
        </w:rPr>
      </w:pPr>
      <w:hyperlink w:anchor="_Toc39580888" w:history="1">
        <w:r w:rsidR="00B0479F" w:rsidRPr="008E68B6">
          <w:rPr>
            <w:rStyle w:val="Hyperlink"/>
            <w:lang w:val="en-GB" w:eastAsia="ja-JP"/>
          </w:rPr>
          <w:t>Table 107</w:t>
        </w:r>
        <w:r w:rsidR="00B0479F">
          <w:rPr>
            <w:rFonts w:asciiTheme="minorHAnsi" w:eastAsiaTheme="minorEastAsia" w:hAnsiTheme="minorHAnsi" w:cstheme="minorBidi"/>
          </w:rPr>
          <w:tab/>
        </w:r>
        <w:r w:rsidR="00B0479F" w:rsidRPr="008E68B6">
          <w:rPr>
            <w:rStyle w:val="Hyperlink"/>
            <w:lang w:val="en-GB" w:eastAsia="ja-JP"/>
          </w:rPr>
          <w:t>Diagnostic criteria for NMOSD (Wingerchuk et al. 2015)</w:t>
        </w:r>
        <w:r w:rsidR="00B0479F">
          <w:rPr>
            <w:webHidden/>
          </w:rPr>
          <w:tab/>
        </w:r>
        <w:r w:rsidR="00B0479F">
          <w:rPr>
            <w:webHidden/>
          </w:rPr>
          <w:fldChar w:fldCharType="begin"/>
        </w:r>
        <w:r w:rsidR="00B0479F">
          <w:rPr>
            <w:webHidden/>
          </w:rPr>
          <w:instrText xml:space="preserve"> PAGEREF _Toc39580888 \h </w:instrText>
        </w:r>
        <w:r w:rsidR="00B0479F">
          <w:rPr>
            <w:webHidden/>
          </w:rPr>
        </w:r>
        <w:r w:rsidR="00B0479F">
          <w:rPr>
            <w:webHidden/>
          </w:rPr>
          <w:fldChar w:fldCharType="separate"/>
        </w:r>
        <w:r w:rsidR="009677B6">
          <w:rPr>
            <w:webHidden/>
          </w:rPr>
          <w:t>195</w:t>
        </w:r>
        <w:r w:rsidR="00B0479F">
          <w:rPr>
            <w:webHidden/>
          </w:rPr>
          <w:fldChar w:fldCharType="end"/>
        </w:r>
      </w:hyperlink>
    </w:p>
    <w:p w14:paraId="2D9679AC" w14:textId="2B4F9A9C" w:rsidR="00B0479F" w:rsidRDefault="004B21EF">
      <w:pPr>
        <w:pStyle w:val="TableofFigures"/>
        <w:rPr>
          <w:rFonts w:asciiTheme="minorHAnsi" w:eastAsiaTheme="minorEastAsia" w:hAnsiTheme="minorHAnsi" w:cstheme="minorBidi"/>
        </w:rPr>
      </w:pPr>
      <w:hyperlink w:anchor="_Toc39580889" w:history="1">
        <w:r w:rsidR="00B0479F" w:rsidRPr="008E68B6">
          <w:rPr>
            <w:rStyle w:val="Hyperlink"/>
          </w:rPr>
          <w:t>Table 108</w:t>
        </w:r>
        <w:r w:rsidR="00B0479F">
          <w:rPr>
            <w:rFonts w:asciiTheme="minorHAnsi" w:eastAsiaTheme="minorEastAsia" w:hAnsiTheme="minorHAnsi" w:cstheme="minorBidi"/>
          </w:rPr>
          <w:tab/>
        </w:r>
        <w:r w:rsidR="00B0479F" w:rsidRPr="008E68B6">
          <w:rPr>
            <w:rStyle w:val="Hyperlink"/>
          </w:rPr>
          <w:t>Comparison of sensitivity and specificity of various AQP4-Ab serum assay types</w:t>
        </w:r>
        <w:r w:rsidR="00B0479F">
          <w:rPr>
            <w:webHidden/>
          </w:rPr>
          <w:tab/>
        </w:r>
        <w:r w:rsidR="00B0479F">
          <w:rPr>
            <w:webHidden/>
          </w:rPr>
          <w:fldChar w:fldCharType="begin"/>
        </w:r>
        <w:r w:rsidR="00B0479F">
          <w:rPr>
            <w:webHidden/>
          </w:rPr>
          <w:instrText xml:space="preserve"> PAGEREF _Toc39580889 \h </w:instrText>
        </w:r>
        <w:r w:rsidR="00B0479F">
          <w:rPr>
            <w:webHidden/>
          </w:rPr>
        </w:r>
        <w:r w:rsidR="00B0479F">
          <w:rPr>
            <w:webHidden/>
          </w:rPr>
          <w:fldChar w:fldCharType="separate"/>
        </w:r>
        <w:r w:rsidR="009677B6">
          <w:rPr>
            <w:webHidden/>
          </w:rPr>
          <w:t>199</w:t>
        </w:r>
        <w:r w:rsidR="00B0479F">
          <w:rPr>
            <w:webHidden/>
          </w:rPr>
          <w:fldChar w:fldCharType="end"/>
        </w:r>
      </w:hyperlink>
    </w:p>
    <w:p w14:paraId="00C69421" w14:textId="3DDDA1D8" w:rsidR="00B0479F" w:rsidRDefault="004B21EF">
      <w:pPr>
        <w:pStyle w:val="TableofFigures"/>
        <w:rPr>
          <w:rFonts w:asciiTheme="minorHAnsi" w:eastAsiaTheme="minorEastAsia" w:hAnsiTheme="minorHAnsi" w:cstheme="minorBidi"/>
        </w:rPr>
      </w:pPr>
      <w:hyperlink w:anchor="_Toc39580890" w:history="1">
        <w:r w:rsidR="00B0479F" w:rsidRPr="008E68B6">
          <w:rPr>
            <w:rStyle w:val="Hyperlink"/>
          </w:rPr>
          <w:t>Table 109</w:t>
        </w:r>
        <w:r w:rsidR="00B0479F">
          <w:rPr>
            <w:rFonts w:asciiTheme="minorHAnsi" w:eastAsiaTheme="minorEastAsia" w:hAnsiTheme="minorHAnsi" w:cstheme="minorBidi"/>
          </w:rPr>
          <w:tab/>
        </w:r>
        <w:r w:rsidR="00B0479F" w:rsidRPr="008E68B6">
          <w:rPr>
            <w:rStyle w:val="Hyperlink"/>
          </w:rPr>
          <w:t>Summary of inputs used in the model</w:t>
        </w:r>
        <w:r w:rsidR="00B0479F">
          <w:rPr>
            <w:webHidden/>
          </w:rPr>
          <w:tab/>
        </w:r>
        <w:r w:rsidR="00B0479F">
          <w:rPr>
            <w:webHidden/>
          </w:rPr>
          <w:fldChar w:fldCharType="begin"/>
        </w:r>
        <w:r w:rsidR="00B0479F">
          <w:rPr>
            <w:webHidden/>
          </w:rPr>
          <w:instrText xml:space="preserve"> PAGEREF _Toc39580890 \h </w:instrText>
        </w:r>
        <w:r w:rsidR="00B0479F">
          <w:rPr>
            <w:webHidden/>
          </w:rPr>
        </w:r>
        <w:r w:rsidR="00B0479F">
          <w:rPr>
            <w:webHidden/>
          </w:rPr>
          <w:fldChar w:fldCharType="separate"/>
        </w:r>
        <w:r w:rsidR="009677B6">
          <w:rPr>
            <w:webHidden/>
          </w:rPr>
          <w:t>201</w:t>
        </w:r>
        <w:r w:rsidR="00B0479F">
          <w:rPr>
            <w:webHidden/>
          </w:rPr>
          <w:fldChar w:fldCharType="end"/>
        </w:r>
      </w:hyperlink>
      <w:bookmarkStart w:id="22" w:name="_GoBack"/>
      <w:bookmarkEnd w:id="22"/>
    </w:p>
    <w:p w14:paraId="5D2D64E4" w14:textId="697559B2" w:rsidR="00B0479F" w:rsidRDefault="004B21EF">
      <w:pPr>
        <w:pStyle w:val="TableofFigures"/>
        <w:rPr>
          <w:rFonts w:asciiTheme="minorHAnsi" w:eastAsiaTheme="minorEastAsia" w:hAnsiTheme="minorHAnsi" w:cstheme="minorBidi"/>
        </w:rPr>
      </w:pPr>
      <w:hyperlink w:anchor="_Toc39580891" w:history="1">
        <w:r w:rsidR="00B0479F" w:rsidRPr="008E68B6">
          <w:rPr>
            <w:rStyle w:val="Hyperlink"/>
          </w:rPr>
          <w:t>Table 110</w:t>
        </w:r>
        <w:r w:rsidR="00B0479F">
          <w:rPr>
            <w:rFonts w:asciiTheme="minorHAnsi" w:eastAsiaTheme="minorEastAsia" w:hAnsiTheme="minorHAnsi" w:cstheme="minorBidi"/>
          </w:rPr>
          <w:tab/>
        </w:r>
        <w:r w:rsidR="00B0479F" w:rsidRPr="008E68B6">
          <w:rPr>
            <w:rStyle w:val="Hyperlink"/>
          </w:rPr>
          <w:t>NMOSD-Ab testing available - treat for NMOSD</w:t>
        </w:r>
        <w:r w:rsidR="00B0479F">
          <w:rPr>
            <w:webHidden/>
          </w:rPr>
          <w:tab/>
        </w:r>
        <w:r w:rsidR="00B0479F">
          <w:rPr>
            <w:webHidden/>
          </w:rPr>
          <w:fldChar w:fldCharType="begin"/>
        </w:r>
        <w:r w:rsidR="00B0479F">
          <w:rPr>
            <w:webHidden/>
          </w:rPr>
          <w:instrText xml:space="preserve"> PAGEREF _Toc39580891 \h </w:instrText>
        </w:r>
        <w:r w:rsidR="00B0479F">
          <w:rPr>
            <w:webHidden/>
          </w:rPr>
        </w:r>
        <w:r w:rsidR="00B0479F">
          <w:rPr>
            <w:webHidden/>
          </w:rPr>
          <w:fldChar w:fldCharType="separate"/>
        </w:r>
        <w:r w:rsidR="009677B6">
          <w:rPr>
            <w:webHidden/>
          </w:rPr>
          <w:t>203</w:t>
        </w:r>
        <w:r w:rsidR="00B0479F">
          <w:rPr>
            <w:webHidden/>
          </w:rPr>
          <w:fldChar w:fldCharType="end"/>
        </w:r>
      </w:hyperlink>
    </w:p>
    <w:p w14:paraId="318473CB" w14:textId="292D6468" w:rsidR="00B0479F" w:rsidRDefault="004B21EF">
      <w:pPr>
        <w:pStyle w:val="TableofFigures"/>
        <w:rPr>
          <w:rFonts w:asciiTheme="minorHAnsi" w:eastAsiaTheme="minorEastAsia" w:hAnsiTheme="minorHAnsi" w:cstheme="minorBidi"/>
        </w:rPr>
      </w:pPr>
      <w:hyperlink w:anchor="_Toc39580892" w:history="1">
        <w:r w:rsidR="00B0479F" w:rsidRPr="008E68B6">
          <w:rPr>
            <w:rStyle w:val="Hyperlink"/>
          </w:rPr>
          <w:t>Table 111</w:t>
        </w:r>
        <w:r w:rsidR="00B0479F">
          <w:rPr>
            <w:rFonts w:asciiTheme="minorHAnsi" w:eastAsiaTheme="minorEastAsia" w:hAnsiTheme="minorHAnsi" w:cstheme="minorBidi"/>
          </w:rPr>
          <w:tab/>
        </w:r>
        <w:r w:rsidR="00B0479F" w:rsidRPr="008E68B6">
          <w:rPr>
            <w:rStyle w:val="Hyperlink"/>
          </w:rPr>
          <w:t>NMOSD-Ab testing not available - Treat for NMOSD</w:t>
        </w:r>
        <w:r w:rsidR="00B0479F">
          <w:rPr>
            <w:webHidden/>
          </w:rPr>
          <w:tab/>
        </w:r>
        <w:r w:rsidR="00B0479F">
          <w:rPr>
            <w:webHidden/>
          </w:rPr>
          <w:fldChar w:fldCharType="begin"/>
        </w:r>
        <w:r w:rsidR="00B0479F">
          <w:rPr>
            <w:webHidden/>
          </w:rPr>
          <w:instrText xml:space="preserve"> PAGEREF _Toc39580892 \h </w:instrText>
        </w:r>
        <w:r w:rsidR="00B0479F">
          <w:rPr>
            <w:webHidden/>
          </w:rPr>
        </w:r>
        <w:r w:rsidR="00B0479F">
          <w:rPr>
            <w:webHidden/>
          </w:rPr>
          <w:fldChar w:fldCharType="separate"/>
        </w:r>
        <w:r w:rsidR="009677B6">
          <w:rPr>
            <w:webHidden/>
          </w:rPr>
          <w:t>204</w:t>
        </w:r>
        <w:r w:rsidR="00B0479F">
          <w:rPr>
            <w:webHidden/>
          </w:rPr>
          <w:fldChar w:fldCharType="end"/>
        </w:r>
      </w:hyperlink>
    </w:p>
    <w:p w14:paraId="415B0671" w14:textId="10CD5DD7" w:rsidR="00B0479F" w:rsidRDefault="004B21EF">
      <w:pPr>
        <w:pStyle w:val="TableofFigures"/>
        <w:rPr>
          <w:rFonts w:asciiTheme="minorHAnsi" w:eastAsiaTheme="minorEastAsia" w:hAnsiTheme="minorHAnsi" w:cstheme="minorBidi"/>
        </w:rPr>
      </w:pPr>
      <w:hyperlink w:anchor="_Toc39580893" w:history="1">
        <w:r w:rsidR="00B0479F" w:rsidRPr="008E68B6">
          <w:rPr>
            <w:rStyle w:val="Hyperlink"/>
          </w:rPr>
          <w:t>Table 112</w:t>
        </w:r>
        <w:r w:rsidR="00B0479F">
          <w:rPr>
            <w:rFonts w:asciiTheme="minorHAnsi" w:eastAsiaTheme="minorEastAsia" w:hAnsiTheme="minorHAnsi" w:cstheme="minorBidi"/>
          </w:rPr>
          <w:tab/>
        </w:r>
        <w:r w:rsidR="00B0479F" w:rsidRPr="008E68B6">
          <w:rPr>
            <w:rStyle w:val="Hyperlink"/>
          </w:rPr>
          <w:t>NMOSD-Ab testing not available - Initial treatment MS-DMT</w:t>
        </w:r>
        <w:r w:rsidR="00B0479F">
          <w:rPr>
            <w:webHidden/>
          </w:rPr>
          <w:tab/>
        </w:r>
        <w:r w:rsidR="00B0479F">
          <w:rPr>
            <w:webHidden/>
          </w:rPr>
          <w:fldChar w:fldCharType="begin"/>
        </w:r>
        <w:r w:rsidR="00B0479F">
          <w:rPr>
            <w:webHidden/>
          </w:rPr>
          <w:instrText xml:space="preserve"> PAGEREF _Toc39580893 \h </w:instrText>
        </w:r>
        <w:r w:rsidR="00B0479F">
          <w:rPr>
            <w:webHidden/>
          </w:rPr>
        </w:r>
        <w:r w:rsidR="00B0479F">
          <w:rPr>
            <w:webHidden/>
          </w:rPr>
          <w:fldChar w:fldCharType="separate"/>
        </w:r>
        <w:r w:rsidR="009677B6">
          <w:rPr>
            <w:webHidden/>
          </w:rPr>
          <w:t>205</w:t>
        </w:r>
        <w:r w:rsidR="00B0479F">
          <w:rPr>
            <w:webHidden/>
          </w:rPr>
          <w:fldChar w:fldCharType="end"/>
        </w:r>
      </w:hyperlink>
    </w:p>
    <w:p w14:paraId="5C12F2C4" w14:textId="1A0A3072" w:rsidR="00B0479F" w:rsidRDefault="004B21EF">
      <w:pPr>
        <w:pStyle w:val="TableofFigures"/>
        <w:rPr>
          <w:rFonts w:asciiTheme="minorHAnsi" w:eastAsiaTheme="minorEastAsia" w:hAnsiTheme="minorHAnsi" w:cstheme="minorBidi"/>
        </w:rPr>
      </w:pPr>
      <w:hyperlink w:anchor="_Toc39580894" w:history="1">
        <w:r w:rsidR="00B0479F" w:rsidRPr="008E68B6">
          <w:rPr>
            <w:rStyle w:val="Hyperlink"/>
          </w:rPr>
          <w:t>Table 113</w:t>
        </w:r>
        <w:r w:rsidR="00B0479F">
          <w:rPr>
            <w:rFonts w:asciiTheme="minorHAnsi" w:eastAsiaTheme="minorEastAsia" w:hAnsiTheme="minorHAnsi" w:cstheme="minorBidi"/>
          </w:rPr>
          <w:tab/>
        </w:r>
        <w:r w:rsidR="00B0479F" w:rsidRPr="008E68B6">
          <w:rPr>
            <w:rStyle w:val="Hyperlink"/>
          </w:rPr>
          <w:t>NMOSD-Ab testing not available - Initial treatment Symptomatic</w:t>
        </w:r>
        <w:r w:rsidR="00B0479F">
          <w:rPr>
            <w:webHidden/>
          </w:rPr>
          <w:tab/>
        </w:r>
        <w:r w:rsidR="00B0479F">
          <w:rPr>
            <w:webHidden/>
          </w:rPr>
          <w:fldChar w:fldCharType="begin"/>
        </w:r>
        <w:r w:rsidR="00B0479F">
          <w:rPr>
            <w:webHidden/>
          </w:rPr>
          <w:instrText xml:space="preserve"> PAGEREF _Toc39580894 \h </w:instrText>
        </w:r>
        <w:r w:rsidR="00B0479F">
          <w:rPr>
            <w:webHidden/>
          </w:rPr>
        </w:r>
        <w:r w:rsidR="00B0479F">
          <w:rPr>
            <w:webHidden/>
          </w:rPr>
          <w:fldChar w:fldCharType="separate"/>
        </w:r>
        <w:r w:rsidR="009677B6">
          <w:rPr>
            <w:webHidden/>
          </w:rPr>
          <w:t>206</w:t>
        </w:r>
        <w:r w:rsidR="00B0479F">
          <w:rPr>
            <w:webHidden/>
          </w:rPr>
          <w:fldChar w:fldCharType="end"/>
        </w:r>
      </w:hyperlink>
    </w:p>
    <w:p w14:paraId="5DF8419D" w14:textId="0E99AEBF" w:rsidR="00B0479F" w:rsidRDefault="004B21EF">
      <w:pPr>
        <w:pStyle w:val="TableofFigures"/>
        <w:rPr>
          <w:rFonts w:asciiTheme="minorHAnsi" w:eastAsiaTheme="minorEastAsia" w:hAnsiTheme="minorHAnsi" w:cstheme="minorBidi"/>
        </w:rPr>
      </w:pPr>
      <w:hyperlink w:anchor="_Toc39580895" w:history="1">
        <w:r w:rsidR="00B0479F" w:rsidRPr="008E68B6">
          <w:rPr>
            <w:rStyle w:val="Hyperlink"/>
          </w:rPr>
          <w:t>Table 114</w:t>
        </w:r>
        <w:r w:rsidR="00B0479F">
          <w:rPr>
            <w:rFonts w:asciiTheme="minorHAnsi" w:eastAsiaTheme="minorEastAsia" w:hAnsiTheme="minorHAnsi" w:cstheme="minorBidi"/>
          </w:rPr>
          <w:tab/>
        </w:r>
        <w:r w:rsidR="00B0479F" w:rsidRPr="008E68B6">
          <w:rPr>
            <w:rStyle w:val="Hyperlink"/>
          </w:rPr>
          <w:t>MBS utilisation data for comparator items, 2014–15 to 2018–19</w:t>
        </w:r>
        <w:r w:rsidR="00B0479F">
          <w:rPr>
            <w:webHidden/>
          </w:rPr>
          <w:tab/>
        </w:r>
        <w:r w:rsidR="00B0479F">
          <w:rPr>
            <w:webHidden/>
          </w:rPr>
          <w:fldChar w:fldCharType="begin"/>
        </w:r>
        <w:r w:rsidR="00B0479F">
          <w:rPr>
            <w:webHidden/>
          </w:rPr>
          <w:instrText xml:space="preserve"> PAGEREF _Toc39580895 \h </w:instrText>
        </w:r>
        <w:r w:rsidR="00B0479F">
          <w:rPr>
            <w:webHidden/>
          </w:rPr>
        </w:r>
        <w:r w:rsidR="00B0479F">
          <w:rPr>
            <w:webHidden/>
          </w:rPr>
          <w:fldChar w:fldCharType="separate"/>
        </w:r>
        <w:r w:rsidR="009677B6">
          <w:rPr>
            <w:webHidden/>
          </w:rPr>
          <w:t>208</w:t>
        </w:r>
        <w:r w:rsidR="00B0479F">
          <w:rPr>
            <w:webHidden/>
          </w:rPr>
          <w:fldChar w:fldCharType="end"/>
        </w:r>
      </w:hyperlink>
    </w:p>
    <w:p w14:paraId="6A23485D" w14:textId="21EC4ED5" w:rsidR="00ED65EE" w:rsidRPr="00183E4D" w:rsidRDefault="00ED65EE" w:rsidP="00ED65EE">
      <w:pPr>
        <w:pStyle w:val="Heading2"/>
        <w:jc w:val="both"/>
      </w:pPr>
      <w:r>
        <w:rPr>
          <w:rFonts w:asciiTheme="minorHAnsi" w:eastAsiaTheme="minorEastAsia" w:hAnsiTheme="minorHAnsi" w:cstheme="minorBidi"/>
          <w:b w:val="0"/>
          <w:smallCaps w:val="0"/>
          <w:noProof/>
          <w:sz w:val="22"/>
        </w:rPr>
        <w:fldChar w:fldCharType="end"/>
      </w:r>
      <w:bookmarkStart w:id="23" w:name="_Toc399247192"/>
      <w:bookmarkStart w:id="24" w:name="_Toc39588243"/>
      <w:r w:rsidRPr="00183E4D">
        <w:t>Boxes</w:t>
      </w:r>
      <w:bookmarkEnd w:id="20"/>
      <w:bookmarkEnd w:id="21"/>
      <w:bookmarkEnd w:id="23"/>
      <w:bookmarkEnd w:id="24"/>
    </w:p>
    <w:p w14:paraId="5167A7B1" w14:textId="604C4995" w:rsidR="00B0479F" w:rsidRDefault="00ED65EE">
      <w:pPr>
        <w:pStyle w:val="TableofFigures"/>
        <w:rPr>
          <w:rFonts w:asciiTheme="minorHAnsi" w:eastAsiaTheme="minorEastAsia" w:hAnsiTheme="minorHAnsi" w:cstheme="minorBidi"/>
        </w:rPr>
      </w:pPr>
      <w:r w:rsidRPr="00183E4D">
        <w:rPr>
          <w:rFonts w:asciiTheme="minorHAnsi" w:eastAsiaTheme="minorEastAsia" w:hAnsiTheme="minorHAnsi" w:cstheme="minorBidi"/>
        </w:rPr>
        <w:fldChar w:fldCharType="begin"/>
      </w:r>
      <w:r w:rsidRPr="00183E4D">
        <w:rPr>
          <w:rFonts w:asciiTheme="minorHAnsi" w:eastAsiaTheme="minorEastAsia" w:hAnsiTheme="minorHAnsi" w:cstheme="minorBidi"/>
        </w:rPr>
        <w:instrText xml:space="preserve"> TOC \h \z \c "Box" </w:instrText>
      </w:r>
      <w:r w:rsidRPr="00183E4D">
        <w:rPr>
          <w:rFonts w:asciiTheme="minorHAnsi" w:eastAsiaTheme="minorEastAsia" w:hAnsiTheme="minorHAnsi" w:cstheme="minorBidi"/>
        </w:rPr>
        <w:fldChar w:fldCharType="separate"/>
      </w:r>
      <w:hyperlink w:anchor="_Toc39580896" w:history="1">
        <w:r w:rsidR="00B0479F" w:rsidRPr="00C41483">
          <w:rPr>
            <w:rStyle w:val="Hyperlink"/>
          </w:rPr>
          <w:t>Box 1</w:t>
        </w:r>
        <w:r w:rsidR="00B0479F">
          <w:rPr>
            <w:rFonts w:asciiTheme="minorHAnsi" w:eastAsiaTheme="minorEastAsia" w:hAnsiTheme="minorHAnsi" w:cstheme="minorBidi"/>
          </w:rPr>
          <w:tab/>
        </w:r>
        <w:r w:rsidR="00B0479F" w:rsidRPr="00C41483">
          <w:rPr>
            <w:rStyle w:val="Hyperlink"/>
          </w:rPr>
          <w:t>Criteria for identifying and selecting studies to determine the safety and effectiveness of antibody testing in patients at risk of NMOSD</w:t>
        </w:r>
        <w:r w:rsidR="00B0479F">
          <w:rPr>
            <w:webHidden/>
          </w:rPr>
          <w:tab/>
        </w:r>
        <w:r w:rsidR="00B0479F">
          <w:rPr>
            <w:webHidden/>
          </w:rPr>
          <w:fldChar w:fldCharType="begin"/>
        </w:r>
        <w:r w:rsidR="00B0479F">
          <w:rPr>
            <w:webHidden/>
          </w:rPr>
          <w:instrText xml:space="preserve"> PAGEREF _Toc39580896 \h </w:instrText>
        </w:r>
        <w:r w:rsidR="00B0479F">
          <w:rPr>
            <w:webHidden/>
          </w:rPr>
        </w:r>
        <w:r w:rsidR="00B0479F">
          <w:rPr>
            <w:webHidden/>
          </w:rPr>
          <w:fldChar w:fldCharType="separate"/>
        </w:r>
        <w:r w:rsidR="009677B6">
          <w:rPr>
            <w:webHidden/>
          </w:rPr>
          <w:t>47</w:t>
        </w:r>
        <w:r w:rsidR="00B0479F">
          <w:rPr>
            <w:webHidden/>
          </w:rPr>
          <w:fldChar w:fldCharType="end"/>
        </w:r>
      </w:hyperlink>
    </w:p>
    <w:p w14:paraId="10990214" w14:textId="21B37B02" w:rsidR="00B0479F" w:rsidRDefault="004B21EF">
      <w:pPr>
        <w:pStyle w:val="TableofFigures"/>
        <w:rPr>
          <w:rFonts w:asciiTheme="minorHAnsi" w:eastAsiaTheme="minorEastAsia" w:hAnsiTheme="minorHAnsi" w:cstheme="minorBidi"/>
        </w:rPr>
      </w:pPr>
      <w:hyperlink w:anchor="_Toc39580897" w:history="1">
        <w:r w:rsidR="00B0479F" w:rsidRPr="00C41483">
          <w:rPr>
            <w:rStyle w:val="Hyperlink"/>
          </w:rPr>
          <w:t>Box 2:</w:t>
        </w:r>
        <w:r w:rsidR="00B0479F">
          <w:rPr>
            <w:rFonts w:asciiTheme="minorHAnsi" w:eastAsiaTheme="minorEastAsia" w:hAnsiTheme="minorHAnsi" w:cstheme="minorBidi"/>
          </w:rPr>
          <w:tab/>
        </w:r>
        <w:r w:rsidR="00B0479F" w:rsidRPr="00C41483">
          <w:rPr>
            <w:rStyle w:val="Hyperlink"/>
          </w:rPr>
          <w:t>PPICO criteria for assessing the clinical validity of antibody testing in patients with symptoms of NMOSD (linked evidence)</w:t>
        </w:r>
        <w:r w:rsidR="00B0479F">
          <w:rPr>
            <w:webHidden/>
          </w:rPr>
          <w:tab/>
        </w:r>
        <w:r w:rsidR="00B0479F">
          <w:rPr>
            <w:webHidden/>
          </w:rPr>
          <w:fldChar w:fldCharType="begin"/>
        </w:r>
        <w:r w:rsidR="00B0479F">
          <w:rPr>
            <w:webHidden/>
          </w:rPr>
          <w:instrText xml:space="preserve"> PAGEREF _Toc39580897 \h </w:instrText>
        </w:r>
        <w:r w:rsidR="00B0479F">
          <w:rPr>
            <w:webHidden/>
          </w:rPr>
        </w:r>
        <w:r w:rsidR="00B0479F">
          <w:rPr>
            <w:webHidden/>
          </w:rPr>
          <w:fldChar w:fldCharType="separate"/>
        </w:r>
        <w:r w:rsidR="009677B6">
          <w:rPr>
            <w:webHidden/>
          </w:rPr>
          <w:t>196</w:t>
        </w:r>
        <w:r w:rsidR="00B0479F">
          <w:rPr>
            <w:webHidden/>
          </w:rPr>
          <w:fldChar w:fldCharType="end"/>
        </w:r>
      </w:hyperlink>
    </w:p>
    <w:p w14:paraId="58F16566" w14:textId="6CEB32C4" w:rsidR="00B0479F" w:rsidRDefault="004B21EF">
      <w:pPr>
        <w:pStyle w:val="TableofFigures"/>
        <w:rPr>
          <w:rFonts w:asciiTheme="minorHAnsi" w:eastAsiaTheme="minorEastAsia" w:hAnsiTheme="minorHAnsi" w:cstheme="minorBidi"/>
        </w:rPr>
      </w:pPr>
      <w:hyperlink w:anchor="_Toc39580898" w:history="1">
        <w:r w:rsidR="00B0479F" w:rsidRPr="00C41483">
          <w:rPr>
            <w:rStyle w:val="Hyperlink"/>
          </w:rPr>
          <w:t>Box 3</w:t>
        </w:r>
        <w:r w:rsidR="00B0479F" w:rsidRPr="00C41483">
          <w:rPr>
            <w:rStyle w:val="Hyperlink"/>
            <w:lang w:val="en-GB"/>
          </w:rPr>
          <w:t>:</w:t>
        </w:r>
        <w:r w:rsidR="00B0479F">
          <w:rPr>
            <w:rFonts w:asciiTheme="minorHAnsi" w:eastAsiaTheme="minorEastAsia" w:hAnsiTheme="minorHAnsi" w:cstheme="minorBidi"/>
          </w:rPr>
          <w:tab/>
        </w:r>
        <w:r w:rsidR="00B0479F" w:rsidRPr="00C41483">
          <w:rPr>
            <w:rStyle w:val="Hyperlink"/>
            <w:lang w:val="en-GB"/>
          </w:rPr>
          <w:t>PPICO criteria for assessing the impact on patient management of antibody testing in patients with symptoms of NMOSD (linked evidence)</w:t>
        </w:r>
        <w:r w:rsidR="00B0479F">
          <w:rPr>
            <w:webHidden/>
          </w:rPr>
          <w:tab/>
        </w:r>
        <w:r w:rsidR="00B0479F">
          <w:rPr>
            <w:webHidden/>
          </w:rPr>
          <w:fldChar w:fldCharType="begin"/>
        </w:r>
        <w:r w:rsidR="00B0479F">
          <w:rPr>
            <w:webHidden/>
          </w:rPr>
          <w:instrText xml:space="preserve"> PAGEREF _Toc39580898 \h </w:instrText>
        </w:r>
        <w:r w:rsidR="00B0479F">
          <w:rPr>
            <w:webHidden/>
          </w:rPr>
        </w:r>
        <w:r w:rsidR="00B0479F">
          <w:rPr>
            <w:webHidden/>
          </w:rPr>
          <w:fldChar w:fldCharType="separate"/>
        </w:r>
        <w:r w:rsidR="009677B6">
          <w:rPr>
            <w:webHidden/>
          </w:rPr>
          <w:t>197</w:t>
        </w:r>
        <w:r w:rsidR="00B0479F">
          <w:rPr>
            <w:webHidden/>
          </w:rPr>
          <w:fldChar w:fldCharType="end"/>
        </w:r>
      </w:hyperlink>
    </w:p>
    <w:p w14:paraId="3FCBD35F" w14:textId="15C07C3B" w:rsidR="00B0479F" w:rsidRDefault="004B21EF">
      <w:pPr>
        <w:pStyle w:val="TableofFigures"/>
        <w:rPr>
          <w:rFonts w:asciiTheme="minorHAnsi" w:eastAsiaTheme="minorEastAsia" w:hAnsiTheme="minorHAnsi" w:cstheme="minorBidi"/>
        </w:rPr>
      </w:pPr>
      <w:hyperlink w:anchor="_Toc39580899" w:history="1">
        <w:r w:rsidR="00B0479F" w:rsidRPr="00C41483">
          <w:rPr>
            <w:rStyle w:val="Hyperlink"/>
          </w:rPr>
          <w:t>Box 4</w:t>
        </w:r>
        <w:r w:rsidR="00B0479F" w:rsidRPr="00C41483">
          <w:rPr>
            <w:rStyle w:val="Hyperlink"/>
            <w:lang w:val="en-GB"/>
          </w:rPr>
          <w:t>:</w:t>
        </w:r>
        <w:r w:rsidR="00B0479F">
          <w:rPr>
            <w:rFonts w:asciiTheme="minorHAnsi" w:eastAsiaTheme="minorEastAsia" w:hAnsiTheme="minorHAnsi" w:cstheme="minorBidi"/>
          </w:rPr>
          <w:tab/>
        </w:r>
        <w:r w:rsidR="00B0479F" w:rsidRPr="00C41483">
          <w:rPr>
            <w:rStyle w:val="Hyperlink"/>
            <w:lang w:val="en-GB"/>
          </w:rPr>
          <w:t>PICO criteria for assessing the therapeutic effectiveness (impact of the change in patient management) of antibody testing in patients with symptoms of NMOSD (linked evidence)</w:t>
        </w:r>
        <w:r w:rsidR="00B0479F">
          <w:rPr>
            <w:webHidden/>
          </w:rPr>
          <w:tab/>
        </w:r>
        <w:r w:rsidR="00B0479F">
          <w:rPr>
            <w:webHidden/>
          </w:rPr>
          <w:fldChar w:fldCharType="begin"/>
        </w:r>
        <w:r w:rsidR="00B0479F">
          <w:rPr>
            <w:webHidden/>
          </w:rPr>
          <w:instrText xml:space="preserve"> PAGEREF _Toc39580899 \h </w:instrText>
        </w:r>
        <w:r w:rsidR="00B0479F">
          <w:rPr>
            <w:webHidden/>
          </w:rPr>
        </w:r>
        <w:r w:rsidR="00B0479F">
          <w:rPr>
            <w:webHidden/>
          </w:rPr>
          <w:fldChar w:fldCharType="separate"/>
        </w:r>
        <w:r w:rsidR="009677B6">
          <w:rPr>
            <w:webHidden/>
          </w:rPr>
          <w:t>198</w:t>
        </w:r>
        <w:r w:rsidR="00B0479F">
          <w:rPr>
            <w:webHidden/>
          </w:rPr>
          <w:fldChar w:fldCharType="end"/>
        </w:r>
      </w:hyperlink>
    </w:p>
    <w:p w14:paraId="7F0C6DF0" w14:textId="5D3EE86E" w:rsidR="00ED65EE" w:rsidRPr="00183E4D" w:rsidRDefault="00ED65EE" w:rsidP="00ED65EE">
      <w:pPr>
        <w:pStyle w:val="TableofFigures"/>
        <w:rPr>
          <w:rFonts w:asciiTheme="minorHAnsi" w:eastAsiaTheme="minorEastAsia" w:hAnsiTheme="minorHAnsi" w:cstheme="minorBidi"/>
        </w:rPr>
      </w:pPr>
      <w:r w:rsidRPr="00183E4D">
        <w:rPr>
          <w:rFonts w:asciiTheme="minorHAnsi" w:eastAsiaTheme="minorEastAsia" w:hAnsiTheme="minorHAnsi" w:cstheme="minorBidi"/>
        </w:rPr>
        <w:fldChar w:fldCharType="end"/>
      </w:r>
    </w:p>
    <w:p w14:paraId="1AE29F3A" w14:textId="77777777" w:rsidR="00ED65EE" w:rsidRPr="00183E4D" w:rsidRDefault="00ED65EE" w:rsidP="00ED65EE">
      <w:pPr>
        <w:pStyle w:val="Heading2"/>
        <w:jc w:val="both"/>
      </w:pPr>
      <w:bookmarkStart w:id="25" w:name="_Toc381796427"/>
      <w:bookmarkStart w:id="26" w:name="_Toc395200738"/>
      <w:bookmarkStart w:id="27" w:name="_Toc399247193"/>
      <w:bookmarkStart w:id="28" w:name="_Toc39588244"/>
      <w:r w:rsidRPr="00183E4D">
        <w:t>Figures</w:t>
      </w:r>
      <w:bookmarkEnd w:id="25"/>
      <w:bookmarkEnd w:id="26"/>
      <w:bookmarkEnd w:id="27"/>
      <w:bookmarkEnd w:id="28"/>
    </w:p>
    <w:p w14:paraId="548B0A5C" w14:textId="657408A6" w:rsidR="005E0404" w:rsidRDefault="00ED65EE">
      <w:pPr>
        <w:pStyle w:val="TableofFigures"/>
        <w:rPr>
          <w:rFonts w:asciiTheme="minorHAnsi" w:eastAsiaTheme="minorEastAsia" w:hAnsiTheme="minorHAnsi" w:cstheme="minorBidi"/>
        </w:rPr>
      </w:pPr>
      <w:r w:rsidRPr="00183E4D">
        <w:rPr>
          <w:szCs w:val="24"/>
        </w:rPr>
        <w:fldChar w:fldCharType="begin"/>
      </w:r>
      <w:r w:rsidRPr="00183E4D">
        <w:rPr>
          <w:szCs w:val="24"/>
        </w:rPr>
        <w:instrText xml:space="preserve"> TOC \h \z \c "Figure" </w:instrText>
      </w:r>
      <w:r w:rsidRPr="00183E4D">
        <w:rPr>
          <w:szCs w:val="24"/>
        </w:rPr>
        <w:fldChar w:fldCharType="separate"/>
      </w:r>
      <w:hyperlink w:anchor="_Toc79672132" w:history="1">
        <w:r w:rsidR="005E0404" w:rsidRPr="003465B4">
          <w:rPr>
            <w:rStyle w:val="Hyperlink"/>
          </w:rPr>
          <w:t>Figure 1</w:t>
        </w:r>
        <w:r w:rsidR="005E0404">
          <w:rPr>
            <w:rFonts w:asciiTheme="minorHAnsi" w:eastAsiaTheme="minorEastAsia" w:hAnsiTheme="minorHAnsi" w:cstheme="minorBidi"/>
          </w:rPr>
          <w:tab/>
        </w:r>
        <w:r w:rsidR="005E0404" w:rsidRPr="003465B4">
          <w:rPr>
            <w:rStyle w:val="Hyperlink"/>
          </w:rPr>
          <w:t>Concordance between assay samples using serum</w:t>
        </w:r>
        <w:r w:rsidR="005E0404" w:rsidRPr="003465B4">
          <w:rPr>
            <w:rStyle w:val="Hyperlink"/>
            <w:vertAlign w:val="superscript"/>
          </w:rPr>
          <w:t xml:space="preserve">a </w:t>
        </w:r>
        <w:r w:rsidR="005E0404" w:rsidRPr="003465B4">
          <w:rPr>
            <w:rStyle w:val="Hyperlink"/>
          </w:rPr>
          <w:t>versus cerebrospinal fluid</w:t>
        </w:r>
        <w:r w:rsidR="005E0404">
          <w:rPr>
            <w:webHidden/>
          </w:rPr>
          <w:tab/>
        </w:r>
        <w:r w:rsidR="005E0404">
          <w:rPr>
            <w:webHidden/>
          </w:rPr>
          <w:fldChar w:fldCharType="begin"/>
        </w:r>
        <w:r w:rsidR="005E0404">
          <w:rPr>
            <w:webHidden/>
          </w:rPr>
          <w:instrText xml:space="preserve"> PAGEREF _Toc79672132 \h </w:instrText>
        </w:r>
        <w:r w:rsidR="005E0404">
          <w:rPr>
            <w:webHidden/>
          </w:rPr>
        </w:r>
        <w:r w:rsidR="005E0404">
          <w:rPr>
            <w:webHidden/>
          </w:rPr>
          <w:fldChar w:fldCharType="separate"/>
        </w:r>
        <w:r w:rsidR="005E0404">
          <w:rPr>
            <w:webHidden/>
          </w:rPr>
          <w:t>24</w:t>
        </w:r>
        <w:r w:rsidR="005E0404">
          <w:rPr>
            <w:webHidden/>
          </w:rPr>
          <w:fldChar w:fldCharType="end"/>
        </w:r>
      </w:hyperlink>
    </w:p>
    <w:p w14:paraId="75193B38" w14:textId="4AB49F99" w:rsidR="005E0404" w:rsidRDefault="005E0404">
      <w:pPr>
        <w:pStyle w:val="TableofFigures"/>
        <w:rPr>
          <w:rFonts w:asciiTheme="minorHAnsi" w:eastAsiaTheme="minorEastAsia" w:hAnsiTheme="minorHAnsi" w:cstheme="minorBidi"/>
        </w:rPr>
      </w:pPr>
      <w:hyperlink w:anchor="_Toc79672133" w:history="1">
        <w:r w:rsidRPr="003465B4">
          <w:rPr>
            <w:rStyle w:val="Hyperlink"/>
          </w:rPr>
          <w:t>Figure 2</w:t>
        </w:r>
        <w:r>
          <w:rPr>
            <w:rFonts w:asciiTheme="minorHAnsi" w:eastAsiaTheme="minorEastAsia" w:hAnsiTheme="minorHAnsi" w:cstheme="minorBidi"/>
          </w:rPr>
          <w:tab/>
        </w:r>
        <w:r w:rsidRPr="003465B4">
          <w:rPr>
            <w:rStyle w:val="Hyperlink"/>
          </w:rPr>
          <w:t>Inflammatory demyelinating diseases of the central nervous system</w:t>
        </w:r>
        <w:r>
          <w:rPr>
            <w:webHidden/>
          </w:rPr>
          <w:tab/>
        </w:r>
        <w:r>
          <w:rPr>
            <w:webHidden/>
          </w:rPr>
          <w:fldChar w:fldCharType="begin"/>
        </w:r>
        <w:r>
          <w:rPr>
            <w:webHidden/>
          </w:rPr>
          <w:instrText xml:space="preserve"> PAGEREF _Toc79672133 \h </w:instrText>
        </w:r>
        <w:r>
          <w:rPr>
            <w:webHidden/>
          </w:rPr>
        </w:r>
        <w:r>
          <w:rPr>
            <w:webHidden/>
          </w:rPr>
          <w:fldChar w:fldCharType="separate"/>
        </w:r>
        <w:r>
          <w:rPr>
            <w:webHidden/>
          </w:rPr>
          <w:t>39</w:t>
        </w:r>
        <w:r>
          <w:rPr>
            <w:webHidden/>
          </w:rPr>
          <w:fldChar w:fldCharType="end"/>
        </w:r>
      </w:hyperlink>
    </w:p>
    <w:p w14:paraId="6401BE57" w14:textId="7EECE689" w:rsidR="005E0404" w:rsidRDefault="005E0404">
      <w:pPr>
        <w:pStyle w:val="TableofFigures"/>
        <w:rPr>
          <w:rFonts w:asciiTheme="minorHAnsi" w:eastAsiaTheme="minorEastAsia" w:hAnsiTheme="minorHAnsi" w:cstheme="minorBidi"/>
        </w:rPr>
      </w:pPr>
      <w:hyperlink w:anchor="_Toc79672134" w:history="1">
        <w:r w:rsidRPr="003465B4">
          <w:rPr>
            <w:rStyle w:val="Hyperlink"/>
          </w:rPr>
          <w:t>Figure 3</w:t>
        </w:r>
        <w:r>
          <w:rPr>
            <w:rFonts w:asciiTheme="minorHAnsi" w:eastAsiaTheme="minorEastAsia" w:hAnsiTheme="minorHAnsi" w:cstheme="minorBidi"/>
          </w:rPr>
          <w:tab/>
        </w:r>
        <w:r w:rsidRPr="003465B4">
          <w:rPr>
            <w:rStyle w:val="Hyperlink"/>
          </w:rPr>
          <w:t xml:space="preserve"> Algorithm for historical clinical management of suspected NMOSD patients</w:t>
        </w:r>
        <w:r>
          <w:rPr>
            <w:webHidden/>
          </w:rPr>
          <w:tab/>
        </w:r>
        <w:r>
          <w:rPr>
            <w:webHidden/>
          </w:rPr>
          <w:fldChar w:fldCharType="begin"/>
        </w:r>
        <w:r>
          <w:rPr>
            <w:webHidden/>
          </w:rPr>
          <w:instrText xml:space="preserve"> PAGEREF _Toc79672134 \h </w:instrText>
        </w:r>
        <w:r>
          <w:rPr>
            <w:webHidden/>
          </w:rPr>
        </w:r>
        <w:r>
          <w:rPr>
            <w:webHidden/>
          </w:rPr>
          <w:fldChar w:fldCharType="separate"/>
        </w:r>
        <w:r>
          <w:rPr>
            <w:webHidden/>
          </w:rPr>
          <w:t>43</w:t>
        </w:r>
        <w:r>
          <w:rPr>
            <w:webHidden/>
          </w:rPr>
          <w:fldChar w:fldCharType="end"/>
        </w:r>
      </w:hyperlink>
    </w:p>
    <w:p w14:paraId="31EFF822" w14:textId="5CBDDAEC" w:rsidR="005E0404" w:rsidRDefault="005E0404">
      <w:pPr>
        <w:pStyle w:val="TableofFigures"/>
        <w:rPr>
          <w:rFonts w:asciiTheme="minorHAnsi" w:eastAsiaTheme="minorEastAsia" w:hAnsiTheme="minorHAnsi" w:cstheme="minorBidi"/>
        </w:rPr>
      </w:pPr>
      <w:hyperlink w:anchor="_Toc79672135" w:history="1">
        <w:r w:rsidRPr="003465B4">
          <w:rPr>
            <w:rStyle w:val="Hyperlink"/>
          </w:rPr>
          <w:t>Figure 4</w:t>
        </w:r>
        <w:r>
          <w:rPr>
            <w:rFonts w:asciiTheme="minorHAnsi" w:eastAsiaTheme="minorEastAsia" w:hAnsiTheme="minorHAnsi" w:cstheme="minorBidi"/>
          </w:rPr>
          <w:tab/>
        </w:r>
        <w:r w:rsidRPr="003465B4">
          <w:rPr>
            <w:rStyle w:val="Hyperlink"/>
          </w:rPr>
          <w:t>Algorithm for current clinical management of suspected NMOSD patients with sequential AQP4-Ab and MOG-Ab testing</w:t>
        </w:r>
        <w:r>
          <w:rPr>
            <w:webHidden/>
          </w:rPr>
          <w:tab/>
        </w:r>
        <w:r>
          <w:rPr>
            <w:webHidden/>
          </w:rPr>
          <w:fldChar w:fldCharType="begin"/>
        </w:r>
        <w:r>
          <w:rPr>
            <w:webHidden/>
          </w:rPr>
          <w:instrText xml:space="preserve"> PAGEREF _Toc79672135 \h </w:instrText>
        </w:r>
        <w:r>
          <w:rPr>
            <w:webHidden/>
          </w:rPr>
        </w:r>
        <w:r>
          <w:rPr>
            <w:webHidden/>
          </w:rPr>
          <w:fldChar w:fldCharType="separate"/>
        </w:r>
        <w:r>
          <w:rPr>
            <w:webHidden/>
          </w:rPr>
          <w:t>45</w:t>
        </w:r>
        <w:r>
          <w:rPr>
            <w:webHidden/>
          </w:rPr>
          <w:fldChar w:fldCharType="end"/>
        </w:r>
      </w:hyperlink>
    </w:p>
    <w:p w14:paraId="5E0EF2BD" w14:textId="3E47347A" w:rsidR="005E0404" w:rsidRDefault="005E0404">
      <w:pPr>
        <w:pStyle w:val="TableofFigures"/>
        <w:rPr>
          <w:rFonts w:asciiTheme="minorHAnsi" w:eastAsiaTheme="minorEastAsia" w:hAnsiTheme="minorHAnsi" w:cstheme="minorBidi"/>
        </w:rPr>
      </w:pPr>
      <w:hyperlink w:anchor="_Toc79672136" w:history="1">
        <w:r w:rsidRPr="003465B4">
          <w:rPr>
            <w:rStyle w:val="Hyperlink"/>
          </w:rPr>
          <w:t>Figure 5</w:t>
        </w:r>
        <w:r>
          <w:rPr>
            <w:rFonts w:asciiTheme="minorHAnsi" w:eastAsiaTheme="minorEastAsia" w:hAnsiTheme="minorHAnsi" w:cstheme="minorBidi"/>
          </w:rPr>
          <w:tab/>
        </w:r>
        <w:r w:rsidRPr="003465B4">
          <w:rPr>
            <w:rStyle w:val="Hyperlink"/>
          </w:rPr>
          <w:t>Algorithm for current clinical management of suspected NMOSD patients with concurrent AQP4-Ab and MOG-Ab testing</w:t>
        </w:r>
        <w:r>
          <w:rPr>
            <w:webHidden/>
          </w:rPr>
          <w:tab/>
        </w:r>
        <w:r>
          <w:rPr>
            <w:webHidden/>
          </w:rPr>
          <w:fldChar w:fldCharType="begin"/>
        </w:r>
        <w:r>
          <w:rPr>
            <w:webHidden/>
          </w:rPr>
          <w:instrText xml:space="preserve"> PAGEREF _Toc79672136 \h </w:instrText>
        </w:r>
        <w:r>
          <w:rPr>
            <w:webHidden/>
          </w:rPr>
        </w:r>
        <w:r>
          <w:rPr>
            <w:webHidden/>
          </w:rPr>
          <w:fldChar w:fldCharType="separate"/>
        </w:r>
        <w:r>
          <w:rPr>
            <w:webHidden/>
          </w:rPr>
          <w:t>46</w:t>
        </w:r>
        <w:r>
          <w:rPr>
            <w:webHidden/>
          </w:rPr>
          <w:fldChar w:fldCharType="end"/>
        </w:r>
      </w:hyperlink>
    </w:p>
    <w:p w14:paraId="7E8313F3" w14:textId="01FED0B1" w:rsidR="005E0404" w:rsidRDefault="005E0404">
      <w:pPr>
        <w:pStyle w:val="TableofFigures"/>
        <w:rPr>
          <w:rFonts w:asciiTheme="minorHAnsi" w:eastAsiaTheme="minorEastAsia" w:hAnsiTheme="minorHAnsi" w:cstheme="minorBidi"/>
        </w:rPr>
      </w:pPr>
      <w:hyperlink w:anchor="_Toc79672137" w:history="1">
        <w:r w:rsidRPr="003465B4">
          <w:rPr>
            <w:rStyle w:val="Hyperlink"/>
          </w:rPr>
          <w:t xml:space="preserve">Figure 6 </w:t>
        </w:r>
        <w:r>
          <w:rPr>
            <w:rFonts w:asciiTheme="minorHAnsi" w:eastAsiaTheme="minorEastAsia" w:hAnsiTheme="minorHAnsi" w:cstheme="minorBidi"/>
          </w:rPr>
          <w:tab/>
        </w:r>
        <w:r w:rsidRPr="003465B4">
          <w:rPr>
            <w:rStyle w:val="Hyperlink"/>
          </w:rPr>
          <w:t>Summary of the process used to identify and select studies for the assessment</w:t>
        </w:r>
        <w:r>
          <w:rPr>
            <w:webHidden/>
          </w:rPr>
          <w:tab/>
        </w:r>
        <w:r>
          <w:rPr>
            <w:webHidden/>
          </w:rPr>
          <w:fldChar w:fldCharType="begin"/>
        </w:r>
        <w:r>
          <w:rPr>
            <w:webHidden/>
          </w:rPr>
          <w:instrText xml:space="preserve"> PAGEREF _Toc79672137 \h </w:instrText>
        </w:r>
        <w:r>
          <w:rPr>
            <w:webHidden/>
          </w:rPr>
        </w:r>
        <w:r>
          <w:rPr>
            <w:webHidden/>
          </w:rPr>
          <w:fldChar w:fldCharType="separate"/>
        </w:r>
        <w:r>
          <w:rPr>
            <w:webHidden/>
          </w:rPr>
          <w:t>52</w:t>
        </w:r>
        <w:r>
          <w:rPr>
            <w:webHidden/>
          </w:rPr>
          <w:fldChar w:fldCharType="end"/>
        </w:r>
      </w:hyperlink>
    </w:p>
    <w:p w14:paraId="05A14293" w14:textId="63403442" w:rsidR="005E0404" w:rsidRDefault="005E0404">
      <w:pPr>
        <w:pStyle w:val="TableofFigures"/>
        <w:rPr>
          <w:rFonts w:asciiTheme="minorHAnsi" w:eastAsiaTheme="minorEastAsia" w:hAnsiTheme="minorHAnsi" w:cstheme="minorBidi"/>
        </w:rPr>
      </w:pPr>
      <w:hyperlink w:anchor="_Toc79672138" w:history="1">
        <w:r w:rsidRPr="003465B4">
          <w:rPr>
            <w:rStyle w:val="Hyperlink"/>
          </w:rPr>
          <w:t>Figure 7</w:t>
        </w:r>
        <w:r>
          <w:rPr>
            <w:rFonts w:asciiTheme="minorHAnsi" w:eastAsiaTheme="minorEastAsia" w:hAnsiTheme="minorHAnsi" w:cstheme="minorBidi"/>
          </w:rPr>
          <w:tab/>
        </w:r>
        <w:r w:rsidRPr="003465B4">
          <w:rPr>
            <w:rStyle w:val="Hyperlink"/>
            <w:snapToGrid w:val="0"/>
            <w:lang w:eastAsia="en-US"/>
          </w:rPr>
          <w:t>Concordance in assay samples using serum</w:t>
        </w:r>
        <w:r w:rsidRPr="003465B4">
          <w:rPr>
            <w:rStyle w:val="Hyperlink"/>
            <w:snapToGrid w:val="0"/>
            <w:vertAlign w:val="superscript"/>
            <w:lang w:eastAsia="en-US"/>
          </w:rPr>
          <w:t>a</w:t>
        </w:r>
        <w:r w:rsidRPr="003465B4">
          <w:rPr>
            <w:rStyle w:val="Hyperlink"/>
            <w:snapToGrid w:val="0"/>
            <w:lang w:eastAsia="en-US"/>
          </w:rPr>
          <w:t xml:space="preserve"> versus cerebrospinal fluid</w:t>
        </w:r>
        <w:r>
          <w:rPr>
            <w:webHidden/>
          </w:rPr>
          <w:tab/>
        </w:r>
        <w:r>
          <w:rPr>
            <w:webHidden/>
          </w:rPr>
          <w:fldChar w:fldCharType="begin"/>
        </w:r>
        <w:r>
          <w:rPr>
            <w:webHidden/>
          </w:rPr>
          <w:instrText xml:space="preserve"> PAGEREF _Toc79672138 \h </w:instrText>
        </w:r>
        <w:r>
          <w:rPr>
            <w:webHidden/>
          </w:rPr>
        </w:r>
        <w:r>
          <w:rPr>
            <w:webHidden/>
          </w:rPr>
          <w:fldChar w:fldCharType="separate"/>
        </w:r>
        <w:r>
          <w:rPr>
            <w:webHidden/>
          </w:rPr>
          <w:t>65</w:t>
        </w:r>
        <w:r>
          <w:rPr>
            <w:webHidden/>
          </w:rPr>
          <w:fldChar w:fldCharType="end"/>
        </w:r>
      </w:hyperlink>
    </w:p>
    <w:p w14:paraId="1683A718" w14:textId="6737FCBA" w:rsidR="005E0404" w:rsidRDefault="005E0404">
      <w:pPr>
        <w:pStyle w:val="TableofFigures"/>
        <w:rPr>
          <w:rFonts w:asciiTheme="minorHAnsi" w:eastAsiaTheme="minorEastAsia" w:hAnsiTheme="minorHAnsi" w:cstheme="minorBidi"/>
        </w:rPr>
      </w:pPr>
      <w:hyperlink w:anchor="_Toc79672139" w:history="1">
        <w:r w:rsidRPr="003465B4">
          <w:rPr>
            <w:rStyle w:val="Hyperlink"/>
          </w:rPr>
          <w:t>Figure 8</w:t>
        </w:r>
        <w:r>
          <w:rPr>
            <w:rFonts w:asciiTheme="minorHAnsi" w:eastAsiaTheme="minorEastAsia" w:hAnsiTheme="minorHAnsi" w:cstheme="minorBidi"/>
          </w:rPr>
          <w:tab/>
        </w:r>
        <w:r w:rsidRPr="003465B4">
          <w:rPr>
            <w:rStyle w:val="Hyperlink"/>
          </w:rPr>
          <w:t>Decision analytic structure of the economic evaluation (also indicating where Markov modelling is initiated)</w:t>
        </w:r>
        <w:r>
          <w:rPr>
            <w:webHidden/>
          </w:rPr>
          <w:tab/>
        </w:r>
        <w:r>
          <w:rPr>
            <w:webHidden/>
          </w:rPr>
          <w:fldChar w:fldCharType="begin"/>
        </w:r>
        <w:r>
          <w:rPr>
            <w:webHidden/>
          </w:rPr>
          <w:instrText xml:space="preserve"> PAGEREF _Toc79672139 \h </w:instrText>
        </w:r>
        <w:r>
          <w:rPr>
            <w:webHidden/>
          </w:rPr>
        </w:r>
        <w:r>
          <w:rPr>
            <w:webHidden/>
          </w:rPr>
          <w:fldChar w:fldCharType="separate"/>
        </w:r>
        <w:r>
          <w:rPr>
            <w:webHidden/>
          </w:rPr>
          <w:t>137</w:t>
        </w:r>
        <w:r>
          <w:rPr>
            <w:webHidden/>
          </w:rPr>
          <w:fldChar w:fldCharType="end"/>
        </w:r>
      </w:hyperlink>
    </w:p>
    <w:p w14:paraId="53AE0535" w14:textId="15412E76" w:rsidR="005E0404" w:rsidRDefault="005E0404">
      <w:pPr>
        <w:pStyle w:val="TableofFigures"/>
        <w:rPr>
          <w:rFonts w:asciiTheme="minorHAnsi" w:eastAsiaTheme="minorEastAsia" w:hAnsiTheme="minorHAnsi" w:cstheme="minorBidi"/>
        </w:rPr>
      </w:pPr>
      <w:hyperlink w:anchor="_Toc79672140" w:history="1">
        <w:r w:rsidRPr="003465B4">
          <w:rPr>
            <w:rStyle w:val="Hyperlink"/>
          </w:rPr>
          <w:t>Figure 9</w:t>
        </w:r>
        <w:r>
          <w:rPr>
            <w:rFonts w:asciiTheme="minorHAnsi" w:eastAsiaTheme="minorEastAsia" w:hAnsiTheme="minorHAnsi" w:cstheme="minorBidi"/>
          </w:rPr>
          <w:tab/>
        </w:r>
        <w:r w:rsidRPr="003465B4">
          <w:rPr>
            <w:rStyle w:val="Hyperlink"/>
          </w:rPr>
          <w:t>State transition diagram for the Markov component of the economic model</w:t>
        </w:r>
        <w:r>
          <w:rPr>
            <w:webHidden/>
          </w:rPr>
          <w:tab/>
        </w:r>
        <w:r>
          <w:rPr>
            <w:webHidden/>
          </w:rPr>
          <w:fldChar w:fldCharType="begin"/>
        </w:r>
        <w:r>
          <w:rPr>
            <w:webHidden/>
          </w:rPr>
          <w:instrText xml:space="preserve"> PAGEREF _Toc79672140 \h </w:instrText>
        </w:r>
        <w:r>
          <w:rPr>
            <w:webHidden/>
          </w:rPr>
        </w:r>
        <w:r>
          <w:rPr>
            <w:webHidden/>
          </w:rPr>
          <w:fldChar w:fldCharType="separate"/>
        </w:r>
        <w:r>
          <w:rPr>
            <w:webHidden/>
          </w:rPr>
          <w:t>139</w:t>
        </w:r>
        <w:r>
          <w:rPr>
            <w:webHidden/>
          </w:rPr>
          <w:fldChar w:fldCharType="end"/>
        </w:r>
      </w:hyperlink>
    </w:p>
    <w:p w14:paraId="560A92A7" w14:textId="3A938D9B" w:rsidR="005E0404" w:rsidRDefault="005E0404">
      <w:pPr>
        <w:pStyle w:val="TableofFigures"/>
        <w:rPr>
          <w:rFonts w:asciiTheme="minorHAnsi" w:eastAsiaTheme="minorEastAsia" w:hAnsiTheme="minorHAnsi" w:cstheme="minorBidi"/>
        </w:rPr>
      </w:pPr>
      <w:hyperlink w:anchor="_Toc79672141" w:history="1">
        <w:r w:rsidRPr="003465B4">
          <w:rPr>
            <w:rStyle w:val="Hyperlink"/>
          </w:rPr>
          <w:t>Figure 10</w:t>
        </w:r>
        <w:r>
          <w:rPr>
            <w:rFonts w:asciiTheme="minorHAnsi" w:eastAsiaTheme="minorEastAsia" w:hAnsiTheme="minorHAnsi" w:cstheme="minorBidi"/>
          </w:rPr>
          <w:tab/>
        </w:r>
        <w:r w:rsidRPr="003465B4">
          <w:rPr>
            <w:rStyle w:val="Hyperlink"/>
          </w:rPr>
          <w:t>Tornado sensitivity analyses diagram, base-case scenario</w:t>
        </w:r>
        <w:r>
          <w:rPr>
            <w:webHidden/>
          </w:rPr>
          <w:tab/>
        </w:r>
        <w:r>
          <w:rPr>
            <w:webHidden/>
          </w:rPr>
          <w:fldChar w:fldCharType="begin"/>
        </w:r>
        <w:r>
          <w:rPr>
            <w:webHidden/>
          </w:rPr>
          <w:instrText xml:space="preserve"> PAGEREF _Toc79672141 \h </w:instrText>
        </w:r>
        <w:r>
          <w:rPr>
            <w:webHidden/>
          </w:rPr>
        </w:r>
        <w:r>
          <w:rPr>
            <w:webHidden/>
          </w:rPr>
          <w:fldChar w:fldCharType="separate"/>
        </w:r>
        <w:r>
          <w:rPr>
            <w:webHidden/>
          </w:rPr>
          <w:t>149</w:t>
        </w:r>
        <w:r>
          <w:rPr>
            <w:webHidden/>
          </w:rPr>
          <w:fldChar w:fldCharType="end"/>
        </w:r>
      </w:hyperlink>
    </w:p>
    <w:p w14:paraId="6EA8E6AF" w14:textId="3825D193" w:rsidR="005E0404" w:rsidRDefault="005E0404">
      <w:pPr>
        <w:pStyle w:val="TableofFigures"/>
        <w:rPr>
          <w:rFonts w:asciiTheme="minorHAnsi" w:eastAsiaTheme="minorEastAsia" w:hAnsiTheme="minorHAnsi" w:cstheme="minorBidi"/>
        </w:rPr>
      </w:pPr>
      <w:hyperlink w:anchor="_Toc79672142" w:history="1">
        <w:r w:rsidRPr="003465B4">
          <w:rPr>
            <w:rStyle w:val="Hyperlink"/>
          </w:rPr>
          <w:t>Figure 11</w:t>
        </w:r>
        <w:r>
          <w:rPr>
            <w:rFonts w:asciiTheme="minorHAnsi" w:eastAsiaTheme="minorEastAsia" w:hAnsiTheme="minorHAnsi" w:cstheme="minorBidi"/>
          </w:rPr>
          <w:tab/>
        </w:r>
        <w:r w:rsidRPr="003465B4">
          <w:rPr>
            <w:rStyle w:val="Hyperlink"/>
          </w:rPr>
          <w:t>Sensitivity analyses, ICERs per QALY over the varied modelled time-horizon</w:t>
        </w:r>
        <w:r>
          <w:rPr>
            <w:webHidden/>
          </w:rPr>
          <w:tab/>
        </w:r>
        <w:r>
          <w:rPr>
            <w:webHidden/>
          </w:rPr>
          <w:fldChar w:fldCharType="begin"/>
        </w:r>
        <w:r>
          <w:rPr>
            <w:webHidden/>
          </w:rPr>
          <w:instrText xml:space="preserve"> PAGEREF _Toc79672142 \h </w:instrText>
        </w:r>
        <w:r>
          <w:rPr>
            <w:webHidden/>
          </w:rPr>
        </w:r>
        <w:r>
          <w:rPr>
            <w:webHidden/>
          </w:rPr>
          <w:fldChar w:fldCharType="separate"/>
        </w:r>
        <w:r>
          <w:rPr>
            <w:webHidden/>
          </w:rPr>
          <w:t>207</w:t>
        </w:r>
        <w:r>
          <w:rPr>
            <w:webHidden/>
          </w:rPr>
          <w:fldChar w:fldCharType="end"/>
        </w:r>
      </w:hyperlink>
    </w:p>
    <w:p w14:paraId="3FDC35D5" w14:textId="4A73B8F2" w:rsidR="00ED65EE" w:rsidRPr="00183E4D" w:rsidRDefault="00ED65EE" w:rsidP="00CB6E0B">
      <w:pPr>
        <w:pStyle w:val="TableofFigures"/>
      </w:pPr>
      <w:r w:rsidRPr="00183E4D">
        <w:rPr>
          <w:szCs w:val="24"/>
        </w:rPr>
        <w:fldChar w:fldCharType="end"/>
      </w:r>
    </w:p>
    <w:p w14:paraId="7E0A1460" w14:textId="77777777" w:rsidR="00ED65EE" w:rsidRPr="00183E4D" w:rsidRDefault="00ED65EE" w:rsidP="00ED65EE">
      <w:pPr>
        <w:sectPr w:rsidR="00ED65EE" w:rsidRPr="00183E4D" w:rsidSect="001229D7">
          <w:headerReference w:type="even" r:id="rId15"/>
          <w:headerReference w:type="default" r:id="rId16"/>
          <w:footerReference w:type="even" r:id="rId17"/>
          <w:footerReference w:type="default" r:id="rId18"/>
          <w:headerReference w:type="first" r:id="rId19"/>
          <w:type w:val="oddPage"/>
          <w:pgSz w:w="11906" w:h="16838"/>
          <w:pgMar w:top="1440" w:right="1440" w:bottom="1440" w:left="1440" w:header="720" w:footer="720" w:gutter="0"/>
          <w:paperSrc w:first="2" w:other="2"/>
          <w:pgNumType w:fmt="lowerRoman"/>
          <w:cols w:space="720"/>
          <w:docGrid w:linePitch="299"/>
        </w:sectPr>
      </w:pPr>
    </w:p>
    <w:p w14:paraId="63BCAB92" w14:textId="77777777" w:rsidR="00ED65EE" w:rsidRPr="00183E4D" w:rsidRDefault="00ED65EE" w:rsidP="00ED65EE">
      <w:pPr>
        <w:pStyle w:val="Heading1"/>
        <w:jc w:val="both"/>
      </w:pPr>
      <w:bookmarkStart w:id="29" w:name="_Toc236559502"/>
      <w:bookmarkStart w:id="30" w:name="_Toc379118056"/>
      <w:bookmarkStart w:id="31" w:name="_Toc381796428"/>
      <w:bookmarkStart w:id="32" w:name="_Toc39588245"/>
      <w:r w:rsidRPr="00183E4D">
        <w:lastRenderedPageBreak/>
        <w:t>Executive Summary</w:t>
      </w:r>
      <w:bookmarkEnd w:id="29"/>
      <w:bookmarkEnd w:id="30"/>
      <w:bookmarkEnd w:id="31"/>
      <w:bookmarkEnd w:id="32"/>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016"/>
      </w:tblGrid>
      <w:tr w:rsidR="00ED65EE" w:rsidRPr="001746C4" w14:paraId="50BD30E3" w14:textId="77777777" w:rsidTr="00C777AF">
        <w:trPr>
          <w:tblHeader/>
        </w:trPr>
        <w:tc>
          <w:tcPr>
            <w:tcW w:w="9016" w:type="dxa"/>
            <w:tcBorders>
              <w:bottom w:val="nil"/>
            </w:tcBorders>
          </w:tcPr>
          <w:p w14:paraId="580EF440" w14:textId="77777777" w:rsidR="00ED65EE" w:rsidRPr="001746C4" w:rsidRDefault="00ED65EE" w:rsidP="00133333">
            <w:pPr>
              <w:pStyle w:val="Heading5"/>
              <w:ind w:left="589"/>
              <w:outlineLvl w:val="4"/>
              <w:rPr>
                <w:sz w:val="22"/>
                <w:szCs w:val="22"/>
              </w:rPr>
            </w:pPr>
            <w:bookmarkStart w:id="33" w:name="_Toc381796429"/>
            <w:r w:rsidRPr="001746C4">
              <w:rPr>
                <w:sz w:val="22"/>
                <w:szCs w:val="22"/>
              </w:rPr>
              <w:t>Main issues for MSAC consideration</w:t>
            </w:r>
          </w:p>
        </w:tc>
      </w:tr>
      <w:tr w:rsidR="00ED65EE" w:rsidRPr="001746C4" w14:paraId="2B6076E3" w14:textId="77777777" w:rsidTr="00C777AF">
        <w:tc>
          <w:tcPr>
            <w:tcW w:w="9016" w:type="dxa"/>
            <w:tcBorders>
              <w:top w:val="nil"/>
            </w:tcBorders>
          </w:tcPr>
          <w:p w14:paraId="0509550D" w14:textId="1461BB43" w:rsidR="00A523AF" w:rsidRPr="00FC0F62" w:rsidRDefault="008F2AFA" w:rsidP="00133333">
            <w:pPr>
              <w:pStyle w:val="ListParagraph"/>
              <w:numPr>
                <w:ilvl w:val="0"/>
                <w:numId w:val="21"/>
              </w:numPr>
              <w:ind w:left="589" w:right="264" w:hanging="425"/>
              <w:rPr>
                <w:i/>
                <w:sz w:val="22"/>
                <w:szCs w:val="22"/>
              </w:rPr>
            </w:pPr>
            <w:r w:rsidRPr="00FC0F62">
              <w:rPr>
                <w:i/>
                <w:sz w:val="22"/>
                <w:szCs w:val="22"/>
              </w:rPr>
              <w:t>C</w:t>
            </w:r>
            <w:r w:rsidR="0097297B" w:rsidRPr="00FC0F62">
              <w:rPr>
                <w:i/>
                <w:sz w:val="22"/>
                <w:szCs w:val="22"/>
              </w:rPr>
              <w:t>linical validity of AQP4 or MOG antibo</w:t>
            </w:r>
            <w:r w:rsidR="00714CC6" w:rsidRPr="00FC0F62">
              <w:rPr>
                <w:i/>
                <w:sz w:val="22"/>
                <w:szCs w:val="22"/>
              </w:rPr>
              <w:t>d</w:t>
            </w:r>
            <w:r w:rsidR="0097297B" w:rsidRPr="00FC0F62">
              <w:rPr>
                <w:i/>
                <w:sz w:val="22"/>
                <w:szCs w:val="22"/>
              </w:rPr>
              <w:t>y testing</w:t>
            </w:r>
            <w:r w:rsidRPr="00FC0F62">
              <w:rPr>
                <w:i/>
                <w:sz w:val="22"/>
                <w:szCs w:val="22"/>
              </w:rPr>
              <w:t xml:space="preserve"> could not be established from the evidence,</w:t>
            </w:r>
            <w:r w:rsidR="0097297B" w:rsidRPr="00FC0F62">
              <w:rPr>
                <w:i/>
                <w:sz w:val="22"/>
                <w:szCs w:val="22"/>
              </w:rPr>
              <w:t xml:space="preserve"> however as testing is already performed in clinical practice, </w:t>
            </w:r>
            <w:r w:rsidRPr="00FC0F62">
              <w:rPr>
                <w:i/>
                <w:sz w:val="22"/>
                <w:szCs w:val="22"/>
              </w:rPr>
              <w:t xml:space="preserve">a satisfactory </w:t>
            </w:r>
            <w:r w:rsidR="0097297B" w:rsidRPr="00FC0F62">
              <w:rPr>
                <w:i/>
                <w:sz w:val="22"/>
                <w:szCs w:val="22"/>
              </w:rPr>
              <w:t xml:space="preserve">clinical validity was assumed, and further steps of linked evidence were assessed </w:t>
            </w:r>
          </w:p>
          <w:p w14:paraId="52108C5E" w14:textId="0B93F2D2" w:rsidR="000700D4" w:rsidRPr="00FC0F62" w:rsidRDefault="0097297B" w:rsidP="00133333">
            <w:pPr>
              <w:pStyle w:val="ListParagraph"/>
              <w:numPr>
                <w:ilvl w:val="0"/>
                <w:numId w:val="21"/>
              </w:numPr>
              <w:ind w:left="589" w:right="264" w:hanging="425"/>
              <w:rPr>
                <w:i/>
                <w:sz w:val="22"/>
                <w:szCs w:val="22"/>
              </w:rPr>
            </w:pPr>
            <w:r w:rsidRPr="00FC0F62">
              <w:rPr>
                <w:i/>
                <w:sz w:val="22"/>
                <w:szCs w:val="22"/>
              </w:rPr>
              <w:t xml:space="preserve">Patients with NMOSD have worse outcomes than </w:t>
            </w:r>
            <w:r w:rsidR="00906E45" w:rsidRPr="00FC0F62">
              <w:rPr>
                <w:i/>
                <w:sz w:val="22"/>
                <w:szCs w:val="22"/>
              </w:rPr>
              <w:t xml:space="preserve">some </w:t>
            </w:r>
            <w:r w:rsidRPr="00FC0F62">
              <w:rPr>
                <w:i/>
                <w:sz w:val="22"/>
                <w:szCs w:val="22"/>
              </w:rPr>
              <w:t>other</w:t>
            </w:r>
            <w:r w:rsidR="00906E45" w:rsidRPr="00FC0F62">
              <w:rPr>
                <w:i/>
                <w:sz w:val="22"/>
                <w:szCs w:val="22"/>
              </w:rPr>
              <w:t xml:space="preserve"> demyelinating</w:t>
            </w:r>
            <w:r w:rsidRPr="00FC0F62">
              <w:rPr>
                <w:i/>
                <w:sz w:val="22"/>
                <w:szCs w:val="22"/>
              </w:rPr>
              <w:t xml:space="preserve"> CNS disorders, and benefit from earlier treatment. </w:t>
            </w:r>
            <w:r w:rsidR="00BA24A5" w:rsidRPr="00FC0F62">
              <w:rPr>
                <w:i/>
                <w:sz w:val="22"/>
                <w:szCs w:val="22"/>
              </w:rPr>
              <w:t xml:space="preserve">AQP4-Ab testing was found to </w:t>
            </w:r>
            <w:r w:rsidR="00906E45" w:rsidRPr="00FC0F62">
              <w:rPr>
                <w:i/>
                <w:sz w:val="22"/>
                <w:szCs w:val="22"/>
              </w:rPr>
              <w:t>enable</w:t>
            </w:r>
            <w:r w:rsidR="0021767A" w:rsidRPr="00FC0F62">
              <w:rPr>
                <w:i/>
                <w:sz w:val="22"/>
                <w:szCs w:val="22"/>
              </w:rPr>
              <w:t xml:space="preserve"> earlier diagnosis </w:t>
            </w:r>
            <w:r w:rsidR="00906E45" w:rsidRPr="00FC0F62">
              <w:rPr>
                <w:i/>
                <w:sz w:val="22"/>
                <w:szCs w:val="22"/>
              </w:rPr>
              <w:t>of NMOSD</w:t>
            </w:r>
            <w:r w:rsidR="00442EAF" w:rsidRPr="00FC0F62">
              <w:rPr>
                <w:i/>
                <w:sz w:val="22"/>
                <w:szCs w:val="22"/>
              </w:rPr>
              <w:t>,</w:t>
            </w:r>
            <w:r w:rsidR="00906E45" w:rsidRPr="00FC0F62">
              <w:rPr>
                <w:i/>
                <w:sz w:val="22"/>
                <w:szCs w:val="22"/>
              </w:rPr>
              <w:t xml:space="preserve"> and </w:t>
            </w:r>
            <w:r w:rsidR="00442EAF" w:rsidRPr="00FC0F62">
              <w:rPr>
                <w:i/>
                <w:sz w:val="22"/>
                <w:szCs w:val="22"/>
              </w:rPr>
              <w:t xml:space="preserve">was </w:t>
            </w:r>
            <w:r w:rsidR="00906E45" w:rsidRPr="00FC0F62">
              <w:rPr>
                <w:i/>
                <w:sz w:val="22"/>
                <w:szCs w:val="22"/>
              </w:rPr>
              <w:t xml:space="preserve">therefore likely to lead to earlier </w:t>
            </w:r>
            <w:r w:rsidR="0021767A" w:rsidRPr="00FC0F62">
              <w:rPr>
                <w:i/>
                <w:sz w:val="22"/>
                <w:szCs w:val="22"/>
              </w:rPr>
              <w:t>treatment</w:t>
            </w:r>
            <w:r w:rsidR="00714CC6" w:rsidRPr="00FC0F62">
              <w:rPr>
                <w:i/>
                <w:sz w:val="22"/>
                <w:szCs w:val="22"/>
              </w:rPr>
              <w:t>,</w:t>
            </w:r>
            <w:r w:rsidR="00906E45" w:rsidRPr="00FC0F62">
              <w:rPr>
                <w:i/>
                <w:sz w:val="22"/>
                <w:szCs w:val="22"/>
              </w:rPr>
              <w:t xml:space="preserve"> in a subset of patients.</w:t>
            </w:r>
            <w:r w:rsidR="00BA24A5" w:rsidRPr="00FC0F62">
              <w:rPr>
                <w:i/>
                <w:sz w:val="22"/>
                <w:szCs w:val="22"/>
              </w:rPr>
              <w:t xml:space="preserve"> </w:t>
            </w:r>
            <w:r w:rsidR="00906E45" w:rsidRPr="00FC0F62">
              <w:rPr>
                <w:i/>
                <w:sz w:val="22"/>
                <w:szCs w:val="22"/>
              </w:rPr>
              <w:t>I</w:t>
            </w:r>
            <w:r w:rsidR="00BA24A5" w:rsidRPr="00FC0F62">
              <w:rPr>
                <w:i/>
                <w:sz w:val="22"/>
                <w:szCs w:val="22"/>
              </w:rPr>
              <w:t>t was not possible to determine the benefits of MOG-Ab testing</w:t>
            </w:r>
            <w:r w:rsidR="007E67E2" w:rsidRPr="00FC0F62">
              <w:rPr>
                <w:i/>
                <w:sz w:val="22"/>
                <w:szCs w:val="22"/>
              </w:rPr>
              <w:t xml:space="preserve"> from evidence in the literature</w:t>
            </w:r>
            <w:r w:rsidR="00BA24A5" w:rsidRPr="00FC0F62">
              <w:rPr>
                <w:i/>
                <w:sz w:val="22"/>
                <w:szCs w:val="22"/>
              </w:rPr>
              <w:t>.</w:t>
            </w:r>
          </w:p>
          <w:p w14:paraId="5FE5D846" w14:textId="77777777" w:rsidR="00320251" w:rsidRPr="00FC0F62" w:rsidRDefault="00BA24A5" w:rsidP="00133333">
            <w:pPr>
              <w:pStyle w:val="ListParagraph"/>
              <w:numPr>
                <w:ilvl w:val="0"/>
                <w:numId w:val="21"/>
              </w:numPr>
              <w:ind w:left="589" w:right="264" w:hanging="425"/>
              <w:rPr>
                <w:sz w:val="22"/>
                <w:szCs w:val="22"/>
              </w:rPr>
            </w:pPr>
            <w:r w:rsidRPr="00FC0F62">
              <w:rPr>
                <w:i/>
                <w:sz w:val="22"/>
                <w:szCs w:val="22"/>
              </w:rPr>
              <w:t xml:space="preserve">The presence of MOG-Abs is not specific to NMOSD, although there is some evidence that patients </w:t>
            </w:r>
            <w:r w:rsidR="007E67E2" w:rsidRPr="00FC0F62">
              <w:rPr>
                <w:i/>
                <w:sz w:val="22"/>
                <w:szCs w:val="22"/>
              </w:rPr>
              <w:t>who are suspected</w:t>
            </w:r>
            <w:r w:rsidRPr="00FC0F62">
              <w:rPr>
                <w:i/>
                <w:sz w:val="22"/>
                <w:szCs w:val="22"/>
              </w:rPr>
              <w:t xml:space="preserve"> of NMOSD</w:t>
            </w:r>
            <w:r w:rsidR="004610BF" w:rsidRPr="00FC0F62">
              <w:rPr>
                <w:i/>
                <w:sz w:val="22"/>
                <w:szCs w:val="22"/>
              </w:rPr>
              <w:t>, and</w:t>
            </w:r>
            <w:r w:rsidRPr="00FC0F62">
              <w:rPr>
                <w:i/>
                <w:sz w:val="22"/>
                <w:szCs w:val="22"/>
              </w:rPr>
              <w:t xml:space="preserve"> who are MOG-Ab positive,</w:t>
            </w:r>
            <w:r w:rsidR="00B23C0E" w:rsidRPr="00FC0F62">
              <w:rPr>
                <w:i/>
                <w:sz w:val="22"/>
                <w:szCs w:val="22"/>
              </w:rPr>
              <w:t xml:space="preserve"> may</w:t>
            </w:r>
            <w:r w:rsidRPr="00FC0F62">
              <w:rPr>
                <w:i/>
                <w:sz w:val="22"/>
                <w:szCs w:val="22"/>
              </w:rPr>
              <w:t xml:space="preserve"> have </w:t>
            </w:r>
            <w:r w:rsidR="00E805CD" w:rsidRPr="00FC0F62">
              <w:rPr>
                <w:i/>
                <w:sz w:val="22"/>
                <w:szCs w:val="22"/>
              </w:rPr>
              <w:t xml:space="preserve">a </w:t>
            </w:r>
            <w:r w:rsidRPr="00FC0F62">
              <w:rPr>
                <w:i/>
                <w:sz w:val="22"/>
                <w:szCs w:val="22"/>
              </w:rPr>
              <w:t>worse prognosis than those who are MOG-Ab negative.</w:t>
            </w:r>
            <w:r w:rsidR="00320251" w:rsidRPr="00FC0F62">
              <w:rPr>
                <w:i/>
                <w:sz w:val="22"/>
                <w:szCs w:val="22"/>
              </w:rPr>
              <w:t xml:space="preserve"> </w:t>
            </w:r>
            <w:r w:rsidR="004928FF" w:rsidRPr="00FC0F62">
              <w:rPr>
                <w:i/>
                <w:sz w:val="22"/>
                <w:szCs w:val="22"/>
              </w:rPr>
              <w:t xml:space="preserve">In extremely rare cases, patients have been found to be positive for AQP4-Ab and MOG-Ab, but </w:t>
            </w:r>
            <w:r w:rsidR="0021767A" w:rsidRPr="00FC0F62">
              <w:rPr>
                <w:i/>
                <w:sz w:val="22"/>
                <w:szCs w:val="22"/>
              </w:rPr>
              <w:t>the clinical significance</w:t>
            </w:r>
            <w:r w:rsidR="004928FF" w:rsidRPr="00FC0F62">
              <w:rPr>
                <w:i/>
                <w:sz w:val="22"/>
                <w:szCs w:val="22"/>
              </w:rPr>
              <w:t xml:space="preserve"> of their serostatus</w:t>
            </w:r>
            <w:r w:rsidR="0021767A" w:rsidRPr="00FC0F62">
              <w:rPr>
                <w:i/>
                <w:sz w:val="22"/>
                <w:szCs w:val="22"/>
              </w:rPr>
              <w:t xml:space="preserve"> </w:t>
            </w:r>
            <w:r w:rsidR="004928FF" w:rsidRPr="00FC0F62">
              <w:rPr>
                <w:i/>
                <w:sz w:val="22"/>
                <w:szCs w:val="22"/>
              </w:rPr>
              <w:t>is unknown</w:t>
            </w:r>
            <w:r w:rsidR="0021767A" w:rsidRPr="00FC0F62">
              <w:rPr>
                <w:i/>
                <w:sz w:val="22"/>
                <w:szCs w:val="22"/>
              </w:rPr>
              <w:t>.</w:t>
            </w:r>
          </w:p>
          <w:p w14:paraId="0FA6E560" w14:textId="77777777" w:rsidR="00BA24A5" w:rsidRPr="00FC0F62" w:rsidRDefault="004610BF" w:rsidP="00133333">
            <w:pPr>
              <w:pStyle w:val="ListParagraph"/>
              <w:numPr>
                <w:ilvl w:val="0"/>
                <w:numId w:val="21"/>
              </w:numPr>
              <w:ind w:left="589" w:right="264" w:hanging="425"/>
              <w:rPr>
                <w:sz w:val="22"/>
                <w:szCs w:val="22"/>
              </w:rPr>
            </w:pPr>
            <w:r w:rsidRPr="00FC0F62">
              <w:rPr>
                <w:i/>
                <w:sz w:val="22"/>
                <w:szCs w:val="22"/>
              </w:rPr>
              <w:t>A d</w:t>
            </w:r>
            <w:r w:rsidR="007E67E2" w:rsidRPr="00FC0F62">
              <w:rPr>
                <w:i/>
                <w:sz w:val="22"/>
                <w:szCs w:val="22"/>
              </w:rPr>
              <w:t xml:space="preserve">elay in correct diagnosis or treatment for NMOSD patients </w:t>
            </w:r>
            <w:r w:rsidR="005A1207" w:rsidRPr="00FC0F62">
              <w:rPr>
                <w:i/>
                <w:sz w:val="22"/>
                <w:szCs w:val="22"/>
              </w:rPr>
              <w:t xml:space="preserve">can result in a </w:t>
            </w:r>
            <w:r w:rsidRPr="00FC0F62">
              <w:rPr>
                <w:i/>
                <w:sz w:val="22"/>
                <w:szCs w:val="22"/>
              </w:rPr>
              <w:t>reduction in quality of life</w:t>
            </w:r>
            <w:r w:rsidR="007E67E2" w:rsidRPr="00FC0F62">
              <w:rPr>
                <w:i/>
                <w:sz w:val="22"/>
                <w:szCs w:val="22"/>
              </w:rPr>
              <w:t xml:space="preserve"> and </w:t>
            </w:r>
            <w:r w:rsidRPr="00FC0F62">
              <w:rPr>
                <w:i/>
                <w:sz w:val="22"/>
                <w:szCs w:val="22"/>
              </w:rPr>
              <w:t xml:space="preserve">increased </w:t>
            </w:r>
            <w:r w:rsidR="007E67E2" w:rsidRPr="00FC0F62">
              <w:rPr>
                <w:i/>
                <w:sz w:val="22"/>
                <w:szCs w:val="22"/>
              </w:rPr>
              <w:t xml:space="preserve">morbidity. </w:t>
            </w:r>
            <w:r w:rsidR="00AA76B1" w:rsidRPr="00FC0F62">
              <w:rPr>
                <w:i/>
                <w:sz w:val="22"/>
                <w:szCs w:val="22"/>
              </w:rPr>
              <w:t xml:space="preserve">In the absence of AQP4-Ab, </w:t>
            </w:r>
            <w:r w:rsidR="00746E5A" w:rsidRPr="00FC0F62">
              <w:rPr>
                <w:i/>
                <w:sz w:val="22"/>
                <w:szCs w:val="22"/>
              </w:rPr>
              <w:t xml:space="preserve">and therefore non-NMOSD diagnosis, </w:t>
            </w:r>
            <w:r w:rsidR="00AA76B1" w:rsidRPr="00FC0F62">
              <w:rPr>
                <w:i/>
                <w:sz w:val="22"/>
                <w:szCs w:val="22"/>
              </w:rPr>
              <w:t xml:space="preserve">the patient may be </w:t>
            </w:r>
            <w:r w:rsidR="00746E5A" w:rsidRPr="00FC0F62">
              <w:rPr>
                <w:i/>
                <w:sz w:val="22"/>
                <w:szCs w:val="22"/>
              </w:rPr>
              <w:t>misdiagnosed with</w:t>
            </w:r>
            <w:r w:rsidR="00AA76B1" w:rsidRPr="00FC0F62">
              <w:rPr>
                <w:i/>
                <w:sz w:val="22"/>
                <w:szCs w:val="22"/>
              </w:rPr>
              <w:t xml:space="preserve"> MS</w:t>
            </w:r>
            <w:r w:rsidR="0021767A" w:rsidRPr="00FC0F62">
              <w:rPr>
                <w:i/>
                <w:sz w:val="22"/>
                <w:szCs w:val="22"/>
              </w:rPr>
              <w:t>, or treated for symptoms alone.</w:t>
            </w:r>
            <w:r w:rsidR="00AA76B1" w:rsidRPr="00FC0F62">
              <w:rPr>
                <w:i/>
                <w:sz w:val="22"/>
                <w:szCs w:val="22"/>
              </w:rPr>
              <w:t xml:space="preserve"> Those who are assumed to have MS</w:t>
            </w:r>
            <w:r w:rsidR="00746E5A" w:rsidRPr="00FC0F62">
              <w:rPr>
                <w:i/>
                <w:sz w:val="22"/>
                <w:szCs w:val="22"/>
              </w:rPr>
              <w:t>,</w:t>
            </w:r>
            <w:r w:rsidR="00AA76B1" w:rsidRPr="00FC0F62">
              <w:rPr>
                <w:i/>
                <w:sz w:val="22"/>
                <w:szCs w:val="22"/>
              </w:rPr>
              <w:t xml:space="preserve"> but have </w:t>
            </w:r>
            <w:r w:rsidR="00746E5A" w:rsidRPr="00FC0F62">
              <w:rPr>
                <w:i/>
                <w:sz w:val="22"/>
                <w:szCs w:val="22"/>
              </w:rPr>
              <w:t xml:space="preserve">true </w:t>
            </w:r>
            <w:r w:rsidR="00AA76B1" w:rsidRPr="00FC0F62">
              <w:rPr>
                <w:i/>
                <w:sz w:val="22"/>
                <w:szCs w:val="22"/>
              </w:rPr>
              <w:t xml:space="preserve">NMOSD will not respond to MS treatment. </w:t>
            </w:r>
            <w:r w:rsidR="0021767A" w:rsidRPr="00FC0F62">
              <w:rPr>
                <w:i/>
                <w:sz w:val="22"/>
                <w:szCs w:val="22"/>
              </w:rPr>
              <w:t>I</w:t>
            </w:r>
            <w:r w:rsidR="009E31B0" w:rsidRPr="00FC0F62">
              <w:rPr>
                <w:i/>
                <w:sz w:val="22"/>
                <w:szCs w:val="22"/>
              </w:rPr>
              <w:t>n</w:t>
            </w:r>
            <w:r w:rsidR="007E67E2" w:rsidRPr="00FC0F62">
              <w:rPr>
                <w:i/>
                <w:sz w:val="22"/>
                <w:szCs w:val="22"/>
              </w:rPr>
              <w:t xml:space="preserve"> NMOSD patients with ON, a delay of days in receiving correct treatment may have severe consequences for patient vision.</w:t>
            </w:r>
            <w:r w:rsidR="00AA76B1" w:rsidRPr="00FC0F62">
              <w:rPr>
                <w:i/>
                <w:sz w:val="22"/>
                <w:szCs w:val="22"/>
              </w:rPr>
              <w:t xml:space="preserve">  </w:t>
            </w:r>
          </w:p>
          <w:p w14:paraId="577240CB" w14:textId="3B3E5FFD" w:rsidR="0070497C" w:rsidRPr="00FC0F62" w:rsidRDefault="0070497C" w:rsidP="00133333">
            <w:pPr>
              <w:pStyle w:val="ListParagraph"/>
              <w:numPr>
                <w:ilvl w:val="0"/>
                <w:numId w:val="21"/>
              </w:numPr>
              <w:ind w:left="589" w:right="264" w:hanging="425"/>
              <w:rPr>
                <w:i/>
                <w:sz w:val="22"/>
                <w:szCs w:val="22"/>
              </w:rPr>
            </w:pPr>
            <w:r w:rsidRPr="00FC0F62">
              <w:rPr>
                <w:i/>
                <w:sz w:val="22"/>
                <w:szCs w:val="22"/>
              </w:rPr>
              <w:t xml:space="preserve">The economic model (cost-utility analysis) predicted NMOSD-Ab testing would provide health benefits (gain in quality-adjusted life years and </w:t>
            </w:r>
            <w:r w:rsidR="00E56DDD" w:rsidRPr="00FC0F62">
              <w:rPr>
                <w:i/>
                <w:sz w:val="22"/>
                <w:szCs w:val="22"/>
              </w:rPr>
              <w:t>fewer</w:t>
            </w:r>
            <w:r w:rsidRPr="00FC0F62">
              <w:rPr>
                <w:i/>
                <w:sz w:val="22"/>
                <w:szCs w:val="22"/>
              </w:rPr>
              <w:t xml:space="preserve"> relapses) and cost-savings compared with no testing, in the base-case and all sensitivity analyses. This is due to the test facilitating rapid diagnosis and appropriate treatment, </w:t>
            </w:r>
            <w:r w:rsidR="00E56DDD" w:rsidRPr="00FC0F62">
              <w:rPr>
                <w:i/>
                <w:sz w:val="22"/>
                <w:szCs w:val="22"/>
              </w:rPr>
              <w:t>reducing</w:t>
            </w:r>
            <w:r w:rsidRPr="00FC0F62">
              <w:rPr>
                <w:i/>
                <w:sz w:val="22"/>
                <w:szCs w:val="22"/>
              </w:rPr>
              <w:t xml:space="preserve"> relapse and </w:t>
            </w:r>
            <w:r w:rsidR="00590643" w:rsidRPr="00FC0F62">
              <w:rPr>
                <w:i/>
                <w:sz w:val="22"/>
                <w:szCs w:val="22"/>
              </w:rPr>
              <w:t>progressed</w:t>
            </w:r>
            <w:r w:rsidRPr="00FC0F62">
              <w:rPr>
                <w:i/>
                <w:sz w:val="22"/>
                <w:szCs w:val="22"/>
              </w:rPr>
              <w:t xml:space="preserve"> disease</w:t>
            </w:r>
            <w:r w:rsidR="00E56DDD" w:rsidRPr="00FC0F62">
              <w:rPr>
                <w:i/>
                <w:sz w:val="22"/>
                <w:szCs w:val="22"/>
              </w:rPr>
              <w:t>, with</w:t>
            </w:r>
            <w:r w:rsidRPr="00FC0F62">
              <w:rPr>
                <w:i/>
                <w:sz w:val="22"/>
                <w:szCs w:val="22"/>
              </w:rPr>
              <w:t xml:space="preserve">  quality of life benefits, and also cost offsets associated with fewer treatment requirements associated with relapse/progressed disease.</w:t>
            </w:r>
          </w:p>
          <w:p w14:paraId="552C9BC3" w14:textId="5CBC3C0A" w:rsidR="00ED65EE" w:rsidRPr="0070497C" w:rsidRDefault="0070497C" w:rsidP="00133333">
            <w:pPr>
              <w:pStyle w:val="ListParagraph"/>
              <w:numPr>
                <w:ilvl w:val="0"/>
                <w:numId w:val="21"/>
              </w:numPr>
              <w:ind w:left="589" w:right="264" w:hanging="425"/>
            </w:pPr>
            <w:r w:rsidRPr="00FC0F62">
              <w:rPr>
                <w:i/>
                <w:sz w:val="22"/>
                <w:szCs w:val="22"/>
              </w:rPr>
              <w:t>NMOSD-Ab testing is currently performed in Australia and claimed under MBS items 71119 and 71165. Net costs to the MBS due to the proposed listing are largely driven by the increase in the number of current services due to proposed listing. Growth rate in the expected number of NMOSD-Ab tests have high impact on the financial implications. Net costs to MBS are also sensitive to the assumption of proportionate claim of services for 71119 and 71165 due to the differences in MBS rebates associated with these items.</w:t>
            </w:r>
          </w:p>
        </w:tc>
      </w:tr>
    </w:tbl>
    <w:p w14:paraId="2EBD9D49" w14:textId="77777777" w:rsidR="00ED65EE" w:rsidRPr="00434B1C" w:rsidRDefault="00ED65EE" w:rsidP="00ED65EE"/>
    <w:p w14:paraId="3B47C38D" w14:textId="394EDA73" w:rsidR="00967FEA" w:rsidRPr="00F15789" w:rsidRDefault="00967FEA" w:rsidP="00967FEA">
      <w:pPr>
        <w:pStyle w:val="Heading2"/>
      </w:pPr>
      <w:bookmarkStart w:id="34" w:name="_Toc39588246"/>
      <w:bookmarkEnd w:id="33"/>
      <w:r w:rsidRPr="00F15789">
        <w:t>A</w:t>
      </w:r>
      <w:r>
        <w:t xml:space="preserve">ntibody </w:t>
      </w:r>
      <w:r w:rsidRPr="00F15789">
        <w:t xml:space="preserve">testing for </w:t>
      </w:r>
      <w:r>
        <w:t>N</w:t>
      </w:r>
      <w:r w:rsidRPr="00F15789">
        <w:t xml:space="preserve">euromyelitis </w:t>
      </w:r>
      <w:r>
        <w:t>O</w:t>
      </w:r>
      <w:r w:rsidRPr="00F15789">
        <w:t xml:space="preserve">ptica </w:t>
      </w:r>
      <w:r>
        <w:t>S</w:t>
      </w:r>
      <w:r w:rsidRPr="00F15789">
        <w:t xml:space="preserve">pectrum </w:t>
      </w:r>
      <w:r>
        <w:t>D</w:t>
      </w:r>
      <w:r w:rsidRPr="00F15789">
        <w:t>isorder</w:t>
      </w:r>
      <w:r>
        <w:t>s</w:t>
      </w:r>
      <w:bookmarkEnd w:id="34"/>
    </w:p>
    <w:p w14:paraId="4B25BD62" w14:textId="77777777" w:rsidR="00967FEA" w:rsidRPr="00E8539F" w:rsidRDefault="00967FEA" w:rsidP="00967FEA">
      <w:r w:rsidRPr="00FC0F62">
        <w:t xml:space="preserve">This Departmental contracted assessment report (DCAR) examines the evidence to the support listing of aquaporin 4 antibody (AQP4-Ab) and myelin oligodendrocyte glycoprotein antibody (MOG-Ab) testing on the Medicare Benefits Schedule (MBS). The service would be exclusively used for </w:t>
      </w:r>
      <w:r w:rsidR="00771EED" w:rsidRPr="00FC0F62">
        <w:t xml:space="preserve">as a ‘rule-in’ test for </w:t>
      </w:r>
      <w:r w:rsidRPr="00FC0F62">
        <w:t xml:space="preserve">the diagnosis of neuromyelitis optica spectrum disorders (NMOSD) and management of those previously diagnosed with NMOSD. </w:t>
      </w:r>
      <w:r w:rsidR="008B1E94" w:rsidRPr="00FC0F62">
        <w:t xml:space="preserve">Despite considerable overlap in clinical features between NMOSD and other autoimmune disorders of the central nervous system (CNS), including multiple </w:t>
      </w:r>
      <w:r w:rsidR="008B1E94" w:rsidRPr="00FC0F62">
        <w:lastRenderedPageBreak/>
        <w:t>sclerosis (MS), presence of AQP4</w:t>
      </w:r>
      <w:r w:rsidR="00AE6CE7" w:rsidRPr="00FC0F62">
        <w:t xml:space="preserve"> and MOG antibod</w:t>
      </w:r>
      <w:r w:rsidR="00112E5B" w:rsidRPr="00FC0F62">
        <w:t>ies</w:t>
      </w:r>
      <w:r w:rsidR="008B1E94" w:rsidRPr="00FC0F62">
        <w:t xml:space="preserve"> allows early diagnosis and treatment of NMOSD. </w:t>
      </w:r>
      <w:r w:rsidR="00771EED" w:rsidRPr="00FC0F62">
        <w:t>Absence of AQP4 or MOG antibodies does not rule out an NMOSD diagnosis, but makes it less likely</w:t>
      </w:r>
      <w:r w:rsidR="00493308" w:rsidRPr="00FC0F62">
        <w:t>, as addi</w:t>
      </w:r>
      <w:r w:rsidR="00771EED" w:rsidRPr="00FC0F62">
        <w:t>tional clinical features would be required before a clinical diagnosis of NMOSD</w:t>
      </w:r>
      <w:r w:rsidR="00493308" w:rsidRPr="00FC0F62">
        <w:t xml:space="preserve"> could be given without antibodies being detected</w:t>
      </w:r>
      <w:r w:rsidR="00771EED" w:rsidRPr="00FC0F62">
        <w:t xml:space="preserve">. </w:t>
      </w:r>
      <w:r w:rsidRPr="00FC0F62">
        <w:t>The</w:t>
      </w:r>
      <w:r w:rsidRPr="00E8539F">
        <w:t xml:space="preserve"> target population </w:t>
      </w:r>
      <w:r w:rsidR="006D5B0E" w:rsidRPr="00E8539F">
        <w:t>is</w:t>
      </w:r>
      <w:r w:rsidRPr="00E8539F">
        <w:t xml:space="preserve"> people with characteristics of NMOSD or patients diagnosed with </w:t>
      </w:r>
      <w:r w:rsidR="0041446B" w:rsidRPr="00E8539F">
        <w:t>MS</w:t>
      </w:r>
      <w:r w:rsidRPr="00E8539F">
        <w:t xml:space="preserve"> but </w:t>
      </w:r>
      <w:r w:rsidR="006D5B0E" w:rsidRPr="00E8539F">
        <w:t xml:space="preserve">who </w:t>
      </w:r>
      <w:r w:rsidRPr="00E8539F">
        <w:t>have responded</w:t>
      </w:r>
      <w:r>
        <w:rPr>
          <w:sz w:val="24"/>
        </w:rPr>
        <w:t xml:space="preserve"> </w:t>
      </w:r>
      <w:r w:rsidRPr="00E8539F">
        <w:t xml:space="preserve">poorly to treatment (and therefore a differential diagnosis of NMOSD is possible). </w:t>
      </w:r>
    </w:p>
    <w:p w14:paraId="01DF252F" w14:textId="77777777" w:rsidR="00A72A51" w:rsidRPr="00E8539F" w:rsidRDefault="00967FEA" w:rsidP="00A72A51">
      <w:r w:rsidRPr="00E8539F">
        <w:t>The Pathology Clinical Committee – Immunology (PCC-Immunology)</w:t>
      </w:r>
      <w:r w:rsidR="00761483" w:rsidRPr="00E8539F">
        <w:t xml:space="preserve"> of the MBS review taskforce</w:t>
      </w:r>
      <w:r w:rsidRPr="00E8539F">
        <w:t xml:space="preserve"> claims that the successful listing of AQP4-Ab testing in the target population and setting will lead to more rapid diagnosis and treatment, which will ultimately improve patient outcomes </w:t>
      </w:r>
      <w:r w:rsidRPr="00E8539F">
        <w:fldChar w:fldCharType="begin"/>
      </w:r>
      <w:r w:rsidR="00156621" w:rsidRPr="00E8539F">
        <w:instrText xml:space="preserve"> ADDIN EN.CITE &lt;EndNote&gt;&lt;Cite&gt;&lt;Author&gt;PCC-Immunology&lt;/Author&gt;&lt;Year&gt;2018&lt;/Year&gt;&lt;RecNum&gt;22&lt;/RecNum&gt;&lt;DisplayText&gt;(PCC-Immunology 2018)&lt;/DisplayText&gt;&lt;record&gt;&lt;rec-number&gt;22&lt;/rec-number&gt;&lt;foreign-keys&gt;&lt;key app="EN" db-id="r25zptaswpdzade29ws5pf9gx55ztppatt20" timestamp="1576104080"&gt;22&lt;/key&gt;&lt;/foreign-keys&gt;&lt;ref-type name="Report"&gt;27&lt;/ref-type&gt;&lt;contributors&gt;&lt;authors&gt;&lt;author&gt;PCC-Immunology&lt;/author&gt;&lt;/authors&gt;&lt;/contributors&gt;&lt;titles&gt;&lt;title&gt;Report from the  Pathology-Clinical-Committee-Immunology&lt;/title&gt;&lt;secondary-title&gt;Medicare Benefits Schedule Review Taskforce&lt;/secondary-title&gt;&lt;/titles&gt;&lt;volume&gt;Feb 2018&lt;/volume&gt;&lt;dates&gt;&lt;year&gt;2018&lt;/year&gt;&lt;/dates&gt;&lt;pub-location&gt;Canberra, Australia&lt;/pub-location&gt;&lt;publisher&gt;Department of Health, Commonwealth of Australia&lt;/publisher&gt;&lt;urls&gt;&lt;/urls&gt;&lt;/record&gt;&lt;/Cite&gt;&lt;/EndNote&gt;</w:instrText>
      </w:r>
      <w:r w:rsidRPr="00E8539F">
        <w:fldChar w:fldCharType="separate"/>
      </w:r>
      <w:r w:rsidRPr="00E8539F">
        <w:rPr>
          <w:noProof/>
        </w:rPr>
        <w:t>(PCC-Immunology 2018)</w:t>
      </w:r>
      <w:r w:rsidRPr="00E8539F">
        <w:fldChar w:fldCharType="end"/>
      </w:r>
      <w:r w:rsidRPr="00E8539F">
        <w:t>.</w:t>
      </w:r>
      <w:r w:rsidR="00A72A51" w:rsidRPr="00E8539F">
        <w:t xml:space="preserve"> </w:t>
      </w:r>
      <w:r w:rsidR="00761483" w:rsidRPr="00E8539F">
        <w:t xml:space="preserve">AQP4-Ab testing is currently performed and rebated under a generic item number. </w:t>
      </w:r>
      <w:r w:rsidR="00A72A51" w:rsidRPr="00E8539F">
        <w:t xml:space="preserve">Additionally, clinical input has advised that for those testing negative for AQP4-Ab, MOG-Ab should also be performed. </w:t>
      </w:r>
      <w:r w:rsidR="00FC0EA5" w:rsidRPr="00E8539F">
        <w:t xml:space="preserve">Presence of </w:t>
      </w:r>
      <w:r w:rsidR="00A72A51" w:rsidRPr="00E8539F">
        <w:t>MOG</w:t>
      </w:r>
      <w:r w:rsidR="00FC0EA5" w:rsidRPr="00E8539F">
        <w:t xml:space="preserve"> antibodies</w:t>
      </w:r>
      <w:r w:rsidR="00A72A51" w:rsidRPr="00E8539F">
        <w:t xml:space="preserve"> can provide a definitive</w:t>
      </w:r>
      <w:r w:rsidR="00E8539F">
        <w:t xml:space="preserve"> NMOSD</w:t>
      </w:r>
      <w:r w:rsidR="00A72A51" w:rsidRPr="00E8539F">
        <w:t xml:space="preserve"> diagnosis in AQP4-Ab negative patients</w:t>
      </w:r>
      <w:r w:rsidR="00E8539F">
        <w:t xml:space="preserve"> suspected of having the disease</w:t>
      </w:r>
      <w:r w:rsidR="00A72A51" w:rsidRPr="00E8539F">
        <w:t xml:space="preserve">, thereby reducing the number of patients waiting on the development of further symptoms to provide a clear disease pathway. </w:t>
      </w:r>
    </w:p>
    <w:p w14:paraId="68A2219C" w14:textId="77777777" w:rsidR="00967FEA" w:rsidRPr="00183E4D" w:rsidRDefault="00967FEA" w:rsidP="00967FEA">
      <w:pPr>
        <w:pStyle w:val="ESNumberedSectionHeading"/>
        <w:numPr>
          <w:ilvl w:val="0"/>
          <w:numId w:val="0"/>
        </w:numPr>
        <w:jc w:val="both"/>
      </w:pPr>
      <w:bookmarkStart w:id="35" w:name="_Toc39588247"/>
      <w:r>
        <w:t>Alignment with agreed PICO Confirmation</w:t>
      </w:r>
      <w:bookmarkEnd w:id="35"/>
    </w:p>
    <w:p w14:paraId="565122EB" w14:textId="5869A432" w:rsidR="001A6D28" w:rsidRDefault="00967FEA" w:rsidP="001A6D28">
      <w:r w:rsidRPr="00183E4D">
        <w:t xml:space="preserve">This </w:t>
      </w:r>
      <w:r w:rsidRPr="006C4FEA">
        <w:t>contracted</w:t>
      </w:r>
      <w:r w:rsidRPr="00183E4D">
        <w:t xml:space="preserve"> assessment of </w:t>
      </w:r>
      <w:r>
        <w:t xml:space="preserve">AQP4-Ab </w:t>
      </w:r>
      <w:r w:rsidR="00A72A51">
        <w:t xml:space="preserve">and MOG-Ab </w:t>
      </w:r>
      <w:r>
        <w:t>testing</w:t>
      </w:r>
      <w:r w:rsidRPr="00183E4D">
        <w:t xml:space="preserve"> addresses </w:t>
      </w:r>
      <w:r w:rsidRPr="00A85637">
        <w:t>most</w:t>
      </w:r>
      <w:r w:rsidRPr="00183E4D">
        <w:t xml:space="preserve"> of the </w:t>
      </w:r>
      <w:r w:rsidR="001A6D28">
        <w:t>P</w:t>
      </w:r>
      <w:r w:rsidRPr="00183E4D">
        <w:t>PICO</w:t>
      </w:r>
      <w:r w:rsidRPr="00183E4D">
        <w:rPr>
          <w:rStyle w:val="FootnoteReference"/>
        </w:rPr>
        <w:footnoteReference w:id="1"/>
      </w:r>
      <w:r w:rsidRPr="00183E4D">
        <w:t xml:space="preserve"> elements that were </w:t>
      </w:r>
      <w:r>
        <w:t>pre-</w:t>
      </w:r>
      <w:r w:rsidRPr="00183E4D">
        <w:t xml:space="preserve">specified in the </w:t>
      </w:r>
      <w:r>
        <w:t>PICO Confirmation</w:t>
      </w:r>
      <w:r w:rsidRPr="00183E4D">
        <w:t xml:space="preserve"> that was </w:t>
      </w:r>
      <w:r>
        <w:t xml:space="preserve">ratified by </w:t>
      </w:r>
      <w:r w:rsidRPr="00183E4D">
        <w:t>the P</w:t>
      </w:r>
      <w:r>
        <w:t>ICO</w:t>
      </w:r>
      <w:r w:rsidRPr="00183E4D">
        <w:t xml:space="preserve"> Advisory </w:t>
      </w:r>
      <w:r w:rsidR="00CE0DD3" w:rsidRPr="00183E4D">
        <w:t>Subcommittee</w:t>
      </w:r>
      <w:r w:rsidRPr="00183E4D">
        <w:t xml:space="preserve"> (PASC). </w:t>
      </w:r>
      <w:r w:rsidR="001A6D28">
        <w:t xml:space="preserve">Issues preventing complete alignment with the PPICO elements were related to the comparator and clinical reference standard. Also due to a lack of relevant evidence in the published </w:t>
      </w:r>
      <w:r w:rsidR="00590643">
        <w:t>literature,</w:t>
      </w:r>
      <w:r w:rsidR="001A6D28">
        <w:t xml:space="preserve"> not all questions regarding testing </w:t>
      </w:r>
      <w:r w:rsidR="006D5B0E">
        <w:t xml:space="preserve">of </w:t>
      </w:r>
      <w:r w:rsidR="001A6D28">
        <w:t>MOG-Abs for NMOSD or monitoring with either AQP4-Ab or MOG-Ab could be fully addressed.</w:t>
      </w:r>
    </w:p>
    <w:p w14:paraId="01B583F1" w14:textId="77777777" w:rsidR="00967FEA" w:rsidRDefault="005A5B17" w:rsidP="00967FEA">
      <w:r>
        <w:t>T</w:t>
      </w:r>
      <w:r w:rsidR="00967FEA">
        <w:t>he main comparator for the clinical component of this assessment is no antibody testing for NMOSD</w:t>
      </w:r>
      <w:r>
        <w:t>. In</w:t>
      </w:r>
      <w:r w:rsidR="00967FEA">
        <w:t xml:space="preserve"> current clinical practice </w:t>
      </w:r>
      <w:r>
        <w:t>(</w:t>
      </w:r>
      <w:r w:rsidR="00464E9D">
        <w:t>according to clinical input</w:t>
      </w:r>
      <w:r>
        <w:t>)</w:t>
      </w:r>
      <w:r w:rsidR="00464E9D">
        <w:t xml:space="preserve"> </w:t>
      </w:r>
      <w:r w:rsidR="00967FEA">
        <w:t>in the absence of AQP4-Ab and MOG-Ab testing, diagnosis would be made by a neurologist based on clinical characteristics, including those found on magnetic resonance imaging</w:t>
      </w:r>
      <w:r w:rsidR="00CA6003">
        <w:t xml:space="preserve"> </w:t>
      </w:r>
      <w:r w:rsidR="00791537">
        <w:t>(</w:t>
      </w:r>
      <w:r w:rsidR="00CA6003">
        <w:t>MRI</w:t>
      </w:r>
      <w:r w:rsidR="00791537">
        <w:t>)</w:t>
      </w:r>
      <w:r w:rsidR="00967FEA">
        <w:t>. Following clinical input, the comparator</w:t>
      </w:r>
      <w:r w:rsidR="00464E9D">
        <w:t xml:space="preserve"> (reference standard)</w:t>
      </w:r>
      <w:r w:rsidR="00967FEA">
        <w:t xml:space="preserve"> chosen for assessing the clinical validity was diagnosis of NMOSD based on the 2015 International Panel for N</w:t>
      </w:r>
      <w:r w:rsidR="00AD511A">
        <w:t>euromyelitis optica (NMO)</w:t>
      </w:r>
      <w:r w:rsidR="00967FEA">
        <w:t xml:space="preserve"> Diagnosis (IPND) (</w:t>
      </w:r>
      <w:r w:rsidR="00967FEA">
        <w:fldChar w:fldCharType="begin"/>
      </w:r>
      <w:r w:rsidR="00967FEA">
        <w:instrText xml:space="preserve"> REF _Ref31879394 \h </w:instrText>
      </w:r>
      <w:r w:rsidR="00967FEA">
        <w:fldChar w:fldCharType="separate"/>
      </w:r>
      <w:r w:rsidR="00967FEA" w:rsidRPr="00183E4D">
        <w:t xml:space="preserve">Appendix </w:t>
      </w:r>
      <w:r w:rsidR="00967FEA">
        <w:rPr>
          <w:noProof/>
        </w:rPr>
        <w:t>F</w:t>
      </w:r>
      <w:r w:rsidR="00967FEA">
        <w:fldChar w:fldCharType="end"/>
      </w:r>
      <w:r w:rsidR="00967FEA">
        <w:t>).</w:t>
      </w:r>
    </w:p>
    <w:p w14:paraId="2B935D9D" w14:textId="77777777" w:rsidR="00967FEA" w:rsidRDefault="00967FEA" w:rsidP="00967FEA">
      <w:r>
        <w:t xml:space="preserve">Studies comparing diagnosis by AQP4-Ab and MOG-Ab testing with the 2015 IPND criteria are inherently flawed. They are at high risk of incorporation bias because the decision based on the </w:t>
      </w:r>
      <w:r w:rsidR="00B14782">
        <w:t>comparator</w:t>
      </w:r>
      <w:r>
        <w:t xml:space="preserve"> (2015 IPND criteria) also partially incorporates the results of the index test (AQP4-Ab testing). In this case, when AQP4-Ab testing is common to both the </w:t>
      </w:r>
      <w:r w:rsidR="00B14782">
        <w:t>comparator</w:t>
      </w:r>
      <w:r>
        <w:t xml:space="preserve"> and the index test there can be an over-estimate </w:t>
      </w:r>
      <w:r w:rsidR="00B5791D">
        <w:t xml:space="preserve">of </w:t>
      </w:r>
      <w:r>
        <w:t xml:space="preserve">the accuracy of the index test </w:t>
      </w:r>
      <w:r w:rsidR="00156621">
        <w:fldChar w:fldCharType="begin"/>
      </w:r>
      <w:r w:rsidR="00156621">
        <w:instrText xml:space="preserve"> ADDIN EN.CITE &lt;EndNote&gt;&lt;Cite&gt;&lt;Author&gt;Roever&lt;/Author&gt;&lt;Year&gt;2016&lt;/Year&gt;&lt;RecNum&gt;61&lt;/RecNum&gt;&lt;DisplayText&gt;(Roever 2016)&lt;/DisplayText&gt;&lt;record&gt;&lt;rec-number&gt;61&lt;/rec-number&gt;&lt;foreign-keys&gt;&lt;key app="EN" db-id="r25zptaswpdzade29ws5pf9gx55ztppatt20" timestamp="1579571893"&gt;61&lt;/key&gt;&lt;/foreign-keys&gt;&lt;ref-type name="Journal Article"&gt;17&lt;/ref-type&gt;&lt;contributors&gt;&lt;authors&gt;&lt;author&gt;Roever, Leonardo,&lt;/author&gt;&lt;/authors&gt;&lt;/contributors&gt;&lt;titles&gt;&lt;title&gt;Types of bias in studies of diagnostic test accuracy&lt;/title&gt;&lt;secondary-title&gt;Evidence based Medicine and Practice&lt;/secondary-title&gt;&lt;/titles&gt;&lt;periodical&gt;&lt;full-title&gt;Evidence based Medicine and Practice&lt;/full-title&gt;&lt;/periodical&gt;&lt;pages&gt;- 1-2&lt;/pages&gt;&lt;volume&gt;- 2&lt;/volume&gt;&lt;number&gt;-&lt;/number&gt;&lt;keywords&gt;&lt;keyword&gt;p -&lt;/keyword&gt;&lt;/keywords&gt;&lt;dates&gt;&lt;year&gt;2016&lt;/year&gt;&lt;/dates&gt;&lt;urls&gt;&lt;related-urls&gt;&lt;url&gt;- https://www.omicsonline.org/open-access/types-of-bias-in-studies-of-diagnostic-test-accuracy-ebmp-1000e113.php?aid=70361&lt;/url&gt;&lt;/related-urls&gt;&lt;/urls&gt;&lt;/record&gt;&lt;/Cite&gt;&lt;/EndNote&gt;</w:instrText>
      </w:r>
      <w:r w:rsidR="00156621">
        <w:fldChar w:fldCharType="separate"/>
      </w:r>
      <w:r w:rsidR="00156621">
        <w:rPr>
          <w:noProof/>
        </w:rPr>
        <w:t>(Roever 2016)</w:t>
      </w:r>
      <w:r w:rsidR="00156621">
        <w:fldChar w:fldCharType="end"/>
      </w:r>
      <w:r>
        <w:t xml:space="preserve">. </w:t>
      </w:r>
    </w:p>
    <w:p w14:paraId="4F7B1831" w14:textId="77777777" w:rsidR="00967FEA" w:rsidRDefault="00967FEA" w:rsidP="00967FEA">
      <w:r>
        <w:t xml:space="preserve">Due to the unreliability of the sensitivity, specificity, negative predictive value (NPV) and positive predictive value (PPV) of AQP4-Ab and MOG-Ab testing in data presented from the clinical setting, a prognostic evidence section was included (Section B4.2) in the report </w:t>
      </w:r>
    </w:p>
    <w:p w14:paraId="405BFD92" w14:textId="77777777" w:rsidR="00967FEA" w:rsidRDefault="00967FEA" w:rsidP="00967FEA">
      <w:r>
        <w:t xml:space="preserve">The financial implications of a new MBS item for AQP4-Ab and/or MOG-Ab testing </w:t>
      </w:r>
      <w:r w:rsidR="007A1CBF">
        <w:t>has</w:t>
      </w:r>
      <w:r>
        <w:t xml:space="preserve"> be</w:t>
      </w:r>
      <w:r w:rsidR="007A1CBF">
        <w:t>en</w:t>
      </w:r>
      <w:r>
        <w:t xml:space="preserve"> compared against what is done currently, i.e. AQP4-Ab testing performed using MBS item 71119 or 71165 </w:t>
      </w:r>
      <w:r w:rsidRPr="00EA0146">
        <w:t>(</w:t>
      </w:r>
      <w:r w:rsidRPr="00EA0146">
        <w:fldChar w:fldCharType="begin"/>
      </w:r>
      <w:r w:rsidRPr="00EA0146">
        <w:instrText xml:space="preserve"> REF _Ref20308454 \h </w:instrText>
      </w:r>
      <w:r>
        <w:instrText xml:space="preserve"> \* MERGEFORMAT </w:instrText>
      </w:r>
      <w:r w:rsidRPr="00EA0146">
        <w:fldChar w:fldCharType="separate"/>
      </w:r>
      <w:r w:rsidR="002E3B10" w:rsidRPr="002E3B10">
        <w:t>Table 15</w:t>
      </w:r>
      <w:r w:rsidRPr="00EA0146">
        <w:fldChar w:fldCharType="end"/>
      </w:r>
      <w:r>
        <w:t xml:space="preserve">, Section A5). </w:t>
      </w:r>
    </w:p>
    <w:p w14:paraId="241BA7DA" w14:textId="77777777" w:rsidR="00967FEA" w:rsidRPr="00183E4D" w:rsidRDefault="00967FEA" w:rsidP="00967FEA">
      <w:pPr>
        <w:pStyle w:val="ESNumberedSectionHeading"/>
        <w:numPr>
          <w:ilvl w:val="0"/>
          <w:numId w:val="0"/>
        </w:numPr>
        <w:jc w:val="both"/>
      </w:pPr>
      <w:bookmarkStart w:id="36" w:name="_Toc39588248"/>
      <w:r w:rsidRPr="00183E4D">
        <w:lastRenderedPageBreak/>
        <w:t>Proposed Medical Service</w:t>
      </w:r>
      <w:bookmarkEnd w:id="36"/>
    </w:p>
    <w:p w14:paraId="5403198E" w14:textId="7239EF98" w:rsidR="00967FEA" w:rsidRPr="00FC0F62" w:rsidRDefault="00967FEA" w:rsidP="00967FEA">
      <w:r>
        <w:t xml:space="preserve">The proposed medical service is to test for antibodies against AQP4 and MOG. AQP4 is a water channel </w:t>
      </w:r>
      <w:r w:rsidR="00191C0D">
        <w:t xml:space="preserve">protein </w:t>
      </w:r>
      <w:r>
        <w:t>considered an integral constituent of the blood brain barrier</w:t>
      </w:r>
      <w:r w:rsidR="00A72A51">
        <w:t xml:space="preserve">. MOG is a component of </w:t>
      </w:r>
      <w:r w:rsidR="00191C0D">
        <w:t xml:space="preserve">the </w:t>
      </w:r>
      <w:r w:rsidR="00A72A51">
        <w:t xml:space="preserve">myelin </w:t>
      </w:r>
      <w:r w:rsidR="00191C0D">
        <w:t xml:space="preserve">sheath </w:t>
      </w:r>
      <w:r w:rsidR="00A72A51">
        <w:t>exclusively found in the CNS. T</w:t>
      </w:r>
      <w:r>
        <w:t xml:space="preserve">he presence of serum antibodies to AQP4 </w:t>
      </w:r>
      <w:r w:rsidR="00286B4D">
        <w:t xml:space="preserve">or MOG </w:t>
      </w:r>
      <w:r>
        <w:t xml:space="preserve">is a diagnostic criterion for NMOSD. Their presence allows an early diagnosis of </w:t>
      </w:r>
      <w:r w:rsidR="00A72A51">
        <w:t xml:space="preserve">either AQP4-Ab NMOSD or MOG-Ab NMOSD, </w:t>
      </w:r>
      <w:r w:rsidR="007A1CBF">
        <w:t xml:space="preserve">as distinct from MS, and </w:t>
      </w:r>
      <w:r w:rsidR="00E85CBE">
        <w:t>enabl</w:t>
      </w:r>
      <w:r w:rsidR="007A1CBF">
        <w:t>es</w:t>
      </w:r>
      <w:r w:rsidR="00A72A51">
        <w:t xml:space="preserve"> a differential diagnosis of MOG-Ab NMOSD, in </w:t>
      </w:r>
      <w:r w:rsidR="00A72A51" w:rsidRPr="00FC0F62">
        <w:t xml:space="preserve">those patients who present with clinical symptoms consistent with NMOSD, but who test negative for AQP4-Abs. </w:t>
      </w:r>
      <w:r w:rsidR="00286B4D" w:rsidRPr="00FC0F62">
        <w:t xml:space="preserve">This is </w:t>
      </w:r>
      <w:r w:rsidRPr="00FC0F62">
        <w:t>important as the natural history of untreated NMOSD is significantly worse than that of MS, and some treatments used for MS are ineffective in the treatment for NMOSD, with some evidence suggesting they may worsen the disease outcome of individuals with NMOSD.</w:t>
      </w:r>
      <w:r w:rsidR="00260868" w:rsidRPr="00FC0F62">
        <w:t xml:space="preserve"> </w:t>
      </w:r>
      <w:r w:rsidR="00FB2973" w:rsidRPr="00FC0F62">
        <w:t xml:space="preserve">For those </w:t>
      </w:r>
      <w:r w:rsidR="00260868" w:rsidRPr="00FC0F62">
        <w:t xml:space="preserve"> patients </w:t>
      </w:r>
      <w:r w:rsidR="00FB2973" w:rsidRPr="00FC0F62">
        <w:t>suspected of having</w:t>
      </w:r>
      <w:r w:rsidR="00260868" w:rsidRPr="00FC0F62">
        <w:t xml:space="preserve"> NMOSD</w:t>
      </w:r>
      <w:r w:rsidR="00FB2973" w:rsidRPr="00FC0F62">
        <w:t xml:space="preserve">, but </w:t>
      </w:r>
      <w:r w:rsidR="00906E45" w:rsidRPr="00FC0F62">
        <w:t>test negative for</w:t>
      </w:r>
      <w:r w:rsidR="00260868" w:rsidRPr="00FC0F62">
        <w:t xml:space="preserve"> AQP4 or MOG</w:t>
      </w:r>
      <w:r w:rsidR="00906E45" w:rsidRPr="00FC0F62">
        <w:t xml:space="preserve"> antibodies</w:t>
      </w:r>
      <w:r w:rsidR="00260868" w:rsidRPr="00FC0F62">
        <w:t>, their management will depend on whether t</w:t>
      </w:r>
      <w:r w:rsidR="00FC0EA5" w:rsidRPr="00FC0F62">
        <w:t>he clinician determines that</w:t>
      </w:r>
      <w:r w:rsidR="00260868" w:rsidRPr="00FC0F62">
        <w:t xml:space="preserve"> they are likely to still have NMOSD, or are more likely to have</w:t>
      </w:r>
      <w:r w:rsidR="004B7DC6" w:rsidRPr="00FC0F62">
        <w:t xml:space="preserve"> a</w:t>
      </w:r>
      <w:r w:rsidR="00260868" w:rsidRPr="00FC0F62">
        <w:t xml:space="preserve"> </w:t>
      </w:r>
      <w:r w:rsidR="004B7DC6" w:rsidRPr="00FC0F62">
        <w:t>non-</w:t>
      </w:r>
      <w:r w:rsidR="00590643" w:rsidRPr="00FC0F62">
        <w:t>progressive</w:t>
      </w:r>
      <w:r w:rsidR="004B7DC6" w:rsidRPr="00FC0F62">
        <w:t xml:space="preserve"> neurological condition (for example non-relapsing ON) or </w:t>
      </w:r>
      <w:r w:rsidR="00FC0EA5" w:rsidRPr="00FC0F62">
        <w:t xml:space="preserve">an alternative </w:t>
      </w:r>
      <w:r w:rsidR="004B7DC6" w:rsidRPr="00FC0F62">
        <w:t xml:space="preserve">progressive </w:t>
      </w:r>
      <w:r w:rsidR="00FC0EA5" w:rsidRPr="00FC0F62">
        <w:t xml:space="preserve">condition such as </w:t>
      </w:r>
      <w:r w:rsidR="00260868" w:rsidRPr="00FC0F62">
        <w:t>MS.</w:t>
      </w:r>
      <w:r w:rsidR="00FC0EA5" w:rsidRPr="00FC0F62">
        <w:t xml:space="preserve"> </w:t>
      </w:r>
      <w:r w:rsidR="00E85A53" w:rsidRPr="00FC0F62">
        <w:t>Those who are assumed to have MS but truly have NMOSD will not</w:t>
      </w:r>
      <w:r w:rsidR="00FC0EA5" w:rsidRPr="00FC0F62">
        <w:t xml:space="preserve"> respond to MS treatment, and are likely to develop further clinical features of NMOSD</w:t>
      </w:r>
      <w:r w:rsidR="00E85A53" w:rsidRPr="00FC0F62">
        <w:t xml:space="preserve"> and therefore be clinically diagnosed as having antibody-negative NMOSD after a delay.</w:t>
      </w:r>
    </w:p>
    <w:p w14:paraId="15F841BE" w14:textId="77777777" w:rsidR="00E85CBE" w:rsidRPr="00FC0F62" w:rsidRDefault="00967FEA" w:rsidP="00E85CBE">
      <w:r w:rsidRPr="00FC0F62">
        <w:t>The PCC-Immunology recognised that although AQP4-Ab testing has been in clinical practice for approximately 10 years, currently the test is not included as a specific item on the MBS</w:t>
      </w:r>
      <w:r w:rsidR="007A1CBF" w:rsidRPr="00FC0F62">
        <w:t>. It is claimed</w:t>
      </w:r>
      <w:r w:rsidRPr="00FC0F62">
        <w:t xml:space="preserve"> under a MBS generic item number </w:t>
      </w:r>
      <w:r w:rsidR="007610AE" w:rsidRPr="00FC0F62">
        <w:t>(</w:t>
      </w:r>
      <w:r w:rsidRPr="00FC0F62">
        <w:t>71119 or 71165</w:t>
      </w:r>
      <w:r w:rsidR="007610AE" w:rsidRPr="00FC0F62">
        <w:t>)</w:t>
      </w:r>
      <w:r w:rsidRPr="00FC0F62">
        <w:t xml:space="preserve"> that is funded at a lower level. The PCC</w:t>
      </w:r>
      <w:r w:rsidR="00BD0521" w:rsidRPr="00FC0F62">
        <w:t>-Immunology</w:t>
      </w:r>
      <w:r w:rsidRPr="00FC0F62">
        <w:t xml:space="preserve"> recommended that a new item number be created so that the fee more appropriately reflects what providers currently bill for the test.</w:t>
      </w:r>
      <w:r w:rsidR="00E85CBE" w:rsidRPr="00FC0F62">
        <w:t xml:space="preserve"> Also, as previously mentioned</w:t>
      </w:r>
      <w:r w:rsidR="008C1BC4" w:rsidRPr="00FC0F62">
        <w:t>,</w:t>
      </w:r>
      <w:r w:rsidR="00E85CBE" w:rsidRPr="00FC0F62">
        <w:t xml:space="preserve"> clinical input has advised that for those testing negative for AQP4-Ab, MOG-Ab testing should also be performed, and therefore the new item number should </w:t>
      </w:r>
      <w:r w:rsidR="008C1BC4" w:rsidRPr="00FC0F62">
        <w:t xml:space="preserve">also </w:t>
      </w:r>
      <w:r w:rsidR="00E85CBE" w:rsidRPr="00FC0F62">
        <w:t>incorporate the MOG-Ab testing option</w:t>
      </w:r>
      <w:r w:rsidR="008C1BC4" w:rsidRPr="00FC0F62">
        <w:t>.</w:t>
      </w:r>
      <w:r w:rsidR="00E85CBE" w:rsidRPr="00FC0F62">
        <w:t xml:space="preserve"> </w:t>
      </w:r>
    </w:p>
    <w:p w14:paraId="6FFED1BD" w14:textId="77777777" w:rsidR="00ED65EE" w:rsidRPr="00FC0F62" w:rsidRDefault="00ED65EE" w:rsidP="00ED65EE">
      <w:pPr>
        <w:pStyle w:val="ESNumberedSectionHeading"/>
        <w:numPr>
          <w:ilvl w:val="0"/>
          <w:numId w:val="0"/>
        </w:numPr>
        <w:jc w:val="both"/>
      </w:pPr>
      <w:bookmarkStart w:id="37" w:name="_Toc39588249"/>
      <w:bookmarkStart w:id="38" w:name="_Toc379118249"/>
      <w:bookmarkStart w:id="39" w:name="_Toc381796433"/>
      <w:r w:rsidRPr="00FC0F62">
        <w:t>Proposal for Public Funding</w:t>
      </w:r>
      <w:bookmarkEnd w:id="37"/>
    </w:p>
    <w:p w14:paraId="1DC136F3" w14:textId="4137813B" w:rsidR="00E8621A" w:rsidRPr="00183E4D" w:rsidRDefault="00E8621A" w:rsidP="00E8621A">
      <w:r w:rsidRPr="00FC0F62">
        <w:t xml:space="preserve">The proposed new item descriptor </w:t>
      </w:r>
      <w:r w:rsidR="00D96D3B" w:rsidRPr="00FC0F62">
        <w:t>f</w:t>
      </w:r>
      <w:r w:rsidRPr="00FC0F62">
        <w:t xml:space="preserve">or AQP4-Ab testing is given in </w:t>
      </w:r>
      <w:r w:rsidRPr="00FC0F62">
        <w:fldChar w:fldCharType="begin"/>
      </w:r>
      <w:r w:rsidRPr="00FC0F62">
        <w:instrText xml:space="preserve"> REF _Ref22036514 \h </w:instrText>
      </w:r>
      <w:r w:rsidR="00FC0F62">
        <w:instrText xml:space="preserve"> \* MERGEFORMAT </w:instrText>
      </w:r>
      <w:r w:rsidRPr="00FC0F62">
        <w:fldChar w:fldCharType="separate"/>
      </w:r>
      <w:r w:rsidR="00A6419F" w:rsidRPr="00FC0F62">
        <w:t xml:space="preserve">Table </w:t>
      </w:r>
      <w:r w:rsidR="00A6419F" w:rsidRPr="00FC0F62">
        <w:rPr>
          <w:noProof/>
        </w:rPr>
        <w:t>1</w:t>
      </w:r>
      <w:r w:rsidRPr="00FC0F62">
        <w:fldChar w:fldCharType="end"/>
      </w:r>
      <w:r w:rsidRPr="00FC0F62">
        <w:t>. The item descriptor was proposed by the PCC-Immunology as part of the MBS Review process</w:t>
      </w:r>
      <w:r w:rsidR="00CA0C96" w:rsidRPr="00FC0F62">
        <w:t>. It permits both cerebrospinal fluid (CSF) and serum testing</w:t>
      </w:r>
      <w:r w:rsidRPr="00FC0F62">
        <w:t>. The proposed item descriptor was presented to PASC along with the PICO Confirmation associated with this assessment (DCAR 1582).</w:t>
      </w:r>
      <w:r w:rsidR="001A6D28" w:rsidRPr="00FC0F62">
        <w:t xml:space="preserve"> PASC updated the proposed descriptor to include specif</w:t>
      </w:r>
      <w:r w:rsidR="0018599D" w:rsidRPr="00FC0F62">
        <w:t>i</w:t>
      </w:r>
      <w:r w:rsidR="001A6D28" w:rsidRPr="00FC0F62">
        <w:t>c symptoms that are indicative of NMOSD.</w:t>
      </w:r>
      <w:r w:rsidR="0018599D">
        <w:t xml:space="preserve"> </w:t>
      </w:r>
    </w:p>
    <w:p w14:paraId="1865C259" w14:textId="0246ED41" w:rsidR="00ED65EE" w:rsidRDefault="00ED65EE" w:rsidP="00ED65EE">
      <w:pPr>
        <w:pStyle w:val="Caption"/>
        <w:tabs>
          <w:tab w:val="left" w:pos="1134"/>
        </w:tabs>
        <w:ind w:left="1134" w:hanging="1134"/>
      </w:pPr>
      <w:bookmarkStart w:id="40" w:name="_Ref22036514"/>
      <w:bookmarkStart w:id="41" w:name="_Toc39580782"/>
      <w:r w:rsidRPr="00E8621A">
        <w:lastRenderedPageBreak/>
        <w:t xml:space="preserve">Table </w:t>
      </w:r>
      <w:r w:rsidR="00BD53EB">
        <w:rPr>
          <w:noProof/>
        </w:rPr>
        <w:fldChar w:fldCharType="begin"/>
      </w:r>
      <w:r w:rsidR="00BD53EB">
        <w:rPr>
          <w:noProof/>
        </w:rPr>
        <w:instrText xml:space="preserve"> SEQ Table \* ARABIC </w:instrText>
      </w:r>
      <w:r w:rsidR="00BD53EB">
        <w:rPr>
          <w:noProof/>
        </w:rPr>
        <w:fldChar w:fldCharType="separate"/>
      </w:r>
      <w:r w:rsidR="00FA7BCD">
        <w:rPr>
          <w:noProof/>
        </w:rPr>
        <w:t>1</w:t>
      </w:r>
      <w:r w:rsidR="00BD53EB">
        <w:rPr>
          <w:noProof/>
        </w:rPr>
        <w:fldChar w:fldCharType="end"/>
      </w:r>
      <w:bookmarkEnd w:id="40"/>
      <w:r w:rsidRPr="00E8621A">
        <w:tab/>
        <w:t>Proposed MBS item</w:t>
      </w:r>
      <w:r w:rsidRPr="00183E4D">
        <w:t xml:space="preserve"> descriptor</w:t>
      </w:r>
      <w:r w:rsidR="00E8621A">
        <w:t xml:space="preserve"> for </w:t>
      </w:r>
      <w:r w:rsidR="00426ACB">
        <w:t>antibody testing to diagnose or monitor NMOSD</w:t>
      </w:r>
      <w:bookmarkEnd w:id="41"/>
    </w:p>
    <w:tbl>
      <w:tblPr>
        <w:tblStyle w:val="TableGrid4"/>
        <w:tblW w:w="0" w:type="auto"/>
        <w:tblLook w:val="04A0" w:firstRow="1" w:lastRow="0" w:firstColumn="1" w:lastColumn="0" w:noHBand="0" w:noVBand="1"/>
        <w:tblCaption w:val="Proposed Item Descriptor Table"/>
        <w:tblDescription w:val="1. proposed category number from the MBS: 71XXX&#10;2. proposed categroy description from the MBS: PATHOLOGY&#10;3. proposed item descriptor; A test to incestigate the presence of NMOSD by the detection of autoantibodies&#10;4. proposed fee: $43.00"/>
      </w:tblPr>
      <w:tblGrid>
        <w:gridCol w:w="9016"/>
      </w:tblGrid>
      <w:tr w:rsidR="00426ACB" w:rsidRPr="001A6D28" w14:paraId="5B85DAC9" w14:textId="77777777" w:rsidTr="009220A7">
        <w:trPr>
          <w:cantSplit/>
          <w:tblHeader/>
        </w:trPr>
        <w:tc>
          <w:tcPr>
            <w:tcW w:w="9016" w:type="dxa"/>
          </w:tcPr>
          <w:p w14:paraId="12DDA168" w14:textId="77777777" w:rsidR="00426ACB" w:rsidRPr="001A6D28" w:rsidRDefault="00426ACB" w:rsidP="009220A7">
            <w:pPr>
              <w:spacing w:before="40" w:after="40" w:line="259" w:lineRule="auto"/>
              <w:ind w:left="0"/>
              <w:jc w:val="right"/>
              <w:rPr>
                <w:rFonts w:ascii="Arial Narrow" w:hAnsi="Arial Narrow"/>
                <w:b/>
              </w:rPr>
            </w:pPr>
            <w:r w:rsidRPr="001A6D28">
              <w:rPr>
                <w:rFonts w:ascii="Arial Narrow" w:hAnsi="Arial Narrow"/>
                <w:b/>
              </w:rPr>
              <w:t>Category PATHOLOGY SERVICES</w:t>
            </w:r>
          </w:p>
        </w:tc>
      </w:tr>
      <w:tr w:rsidR="00426ACB" w:rsidRPr="001A6D28" w14:paraId="0FE03172" w14:textId="77777777" w:rsidTr="009220A7">
        <w:trPr>
          <w:cantSplit/>
          <w:tblHeader/>
        </w:trPr>
        <w:tc>
          <w:tcPr>
            <w:tcW w:w="9016" w:type="dxa"/>
          </w:tcPr>
          <w:p w14:paraId="39274037" w14:textId="77777777" w:rsidR="00426ACB" w:rsidRPr="001A6D28" w:rsidRDefault="00426ACB" w:rsidP="009220A7">
            <w:pPr>
              <w:spacing w:before="40" w:after="40" w:line="259" w:lineRule="auto"/>
              <w:ind w:left="0"/>
              <w:rPr>
                <w:rFonts w:ascii="Arial Narrow" w:hAnsi="Arial Narrow"/>
                <w:b/>
              </w:rPr>
            </w:pPr>
            <w:r w:rsidRPr="001A6D28">
              <w:rPr>
                <w:rFonts w:ascii="Arial Narrow" w:hAnsi="Arial Narrow"/>
                <w:b/>
              </w:rPr>
              <w:t>71XXX</w:t>
            </w:r>
          </w:p>
          <w:p w14:paraId="31D746BD" w14:textId="77777777" w:rsidR="00426ACB" w:rsidRPr="001A6D28" w:rsidRDefault="00426ACB" w:rsidP="009220A7">
            <w:pPr>
              <w:spacing w:before="40" w:after="40" w:line="259" w:lineRule="auto"/>
              <w:ind w:left="0"/>
              <w:rPr>
                <w:rFonts w:ascii="Arial Narrow" w:hAnsi="Arial Narrow"/>
              </w:rPr>
            </w:pPr>
          </w:p>
          <w:p w14:paraId="2AC18273" w14:textId="77777777" w:rsidR="00426ACB" w:rsidRPr="001A6D28" w:rsidRDefault="00426ACB" w:rsidP="009220A7">
            <w:pPr>
              <w:spacing w:before="40" w:after="40" w:line="259" w:lineRule="auto"/>
              <w:ind w:left="0"/>
              <w:rPr>
                <w:rFonts w:ascii="Arial Narrow" w:hAnsi="Arial Narrow"/>
              </w:rPr>
            </w:pPr>
            <w:r w:rsidRPr="001A6D28">
              <w:rPr>
                <w:rFonts w:ascii="Arial Narrow" w:hAnsi="Arial Narrow"/>
              </w:rPr>
              <w:t xml:space="preserve">A test to investigate the presence of neuromyelitis optica spectrum disorder (NMOSD) by the detection of one or more antibodies in patients suspected of having NMOSD: </w:t>
            </w:r>
          </w:p>
          <w:p w14:paraId="5CB63BAF" w14:textId="77777777" w:rsidR="00426ACB" w:rsidRPr="001A6D28" w:rsidRDefault="00426ACB" w:rsidP="003816F6">
            <w:pPr>
              <w:numPr>
                <w:ilvl w:val="0"/>
                <w:numId w:val="30"/>
              </w:numPr>
              <w:spacing w:before="40" w:after="40" w:line="259" w:lineRule="auto"/>
              <w:rPr>
                <w:rFonts w:ascii="Arial Narrow" w:hAnsi="Arial Narrow"/>
              </w:rPr>
            </w:pPr>
            <w:r w:rsidRPr="001A6D28">
              <w:rPr>
                <w:rFonts w:ascii="Arial Narrow" w:hAnsi="Arial Narrow"/>
              </w:rPr>
              <w:t>Recurrent, bilateral or severe optic neuritis; or</w:t>
            </w:r>
          </w:p>
          <w:p w14:paraId="561C9478" w14:textId="77777777" w:rsidR="00426ACB" w:rsidRPr="001A6D28" w:rsidRDefault="00426ACB" w:rsidP="003816F6">
            <w:pPr>
              <w:numPr>
                <w:ilvl w:val="0"/>
                <w:numId w:val="30"/>
              </w:numPr>
              <w:spacing w:before="40" w:after="40" w:line="259" w:lineRule="auto"/>
              <w:rPr>
                <w:rFonts w:ascii="Arial Narrow" w:hAnsi="Arial Narrow"/>
              </w:rPr>
            </w:pPr>
            <w:r w:rsidRPr="001A6D28">
              <w:rPr>
                <w:rFonts w:ascii="Arial Narrow" w:hAnsi="Arial Narrow"/>
              </w:rPr>
              <w:t>Recurrent longitudinal extensive transverse myelitis (LETM)</w:t>
            </w:r>
            <w:r w:rsidRPr="001A6D28">
              <w:rPr>
                <w:rFonts w:ascii="Arial Narrow" w:hAnsi="Arial Narrow"/>
                <w:vertAlign w:val="superscript"/>
              </w:rPr>
              <w:t>a</w:t>
            </w:r>
            <w:r w:rsidRPr="001A6D28">
              <w:rPr>
                <w:rFonts w:ascii="Arial Narrow" w:hAnsi="Arial Narrow"/>
              </w:rPr>
              <w:t>; or</w:t>
            </w:r>
          </w:p>
          <w:p w14:paraId="2178AF04" w14:textId="77777777" w:rsidR="00426ACB" w:rsidRPr="001A6D28" w:rsidRDefault="00426ACB" w:rsidP="003816F6">
            <w:pPr>
              <w:numPr>
                <w:ilvl w:val="0"/>
                <w:numId w:val="30"/>
              </w:numPr>
              <w:spacing w:before="40" w:after="40" w:line="259" w:lineRule="auto"/>
              <w:rPr>
                <w:rFonts w:ascii="Arial Narrow" w:hAnsi="Arial Narrow"/>
              </w:rPr>
            </w:pPr>
            <w:r w:rsidRPr="001A6D28">
              <w:rPr>
                <w:rFonts w:ascii="Arial Narrow" w:hAnsi="Arial Narrow"/>
              </w:rPr>
              <w:t>Area postrema syndrome (otherwise unexplained hiccups or nausea/vomiting) or</w:t>
            </w:r>
          </w:p>
          <w:p w14:paraId="2DDEE3C0" w14:textId="77777777" w:rsidR="00426ACB" w:rsidRPr="001A6D28" w:rsidRDefault="00426ACB" w:rsidP="003816F6">
            <w:pPr>
              <w:numPr>
                <w:ilvl w:val="0"/>
                <w:numId w:val="30"/>
              </w:numPr>
              <w:spacing w:before="40" w:after="40" w:line="259" w:lineRule="auto"/>
              <w:rPr>
                <w:rFonts w:ascii="Arial Narrow" w:hAnsi="Arial Narrow"/>
              </w:rPr>
            </w:pPr>
            <w:r w:rsidRPr="001A6D28">
              <w:rPr>
                <w:rFonts w:ascii="Arial Narrow" w:hAnsi="Arial Narrow"/>
              </w:rPr>
              <w:t>Acute brainstem syndrome or</w:t>
            </w:r>
          </w:p>
          <w:p w14:paraId="5AD41889" w14:textId="77777777" w:rsidR="00426ACB" w:rsidRPr="001A6D28" w:rsidRDefault="00426ACB" w:rsidP="003816F6">
            <w:pPr>
              <w:numPr>
                <w:ilvl w:val="0"/>
                <w:numId w:val="30"/>
              </w:numPr>
              <w:spacing w:before="40" w:after="40" w:line="259" w:lineRule="auto"/>
              <w:rPr>
                <w:rFonts w:ascii="Arial Narrow" w:hAnsi="Arial Narrow"/>
              </w:rPr>
            </w:pPr>
            <w:r w:rsidRPr="001A6D28">
              <w:rPr>
                <w:rFonts w:ascii="Arial Narrow" w:hAnsi="Arial Narrow"/>
              </w:rPr>
              <w:t>Symptomatic narcolepsy or acute diencephalic clinical syndrome with typical NMOSD MRI lesions or</w:t>
            </w:r>
          </w:p>
          <w:p w14:paraId="15BE2D2B" w14:textId="77777777" w:rsidR="00426ACB" w:rsidRPr="001A6D28" w:rsidRDefault="00426ACB" w:rsidP="003816F6">
            <w:pPr>
              <w:numPr>
                <w:ilvl w:val="0"/>
                <w:numId w:val="30"/>
              </w:numPr>
              <w:spacing w:before="40" w:after="40" w:line="259" w:lineRule="auto"/>
              <w:rPr>
                <w:rFonts w:ascii="Arial Narrow" w:hAnsi="Arial Narrow"/>
              </w:rPr>
            </w:pPr>
            <w:r w:rsidRPr="001A6D28">
              <w:rPr>
                <w:rFonts w:ascii="Arial Narrow" w:hAnsi="Arial Narrow"/>
              </w:rPr>
              <w:t>Symptomatic cerebral syndrome with typical NMOSD MRI lesions or</w:t>
            </w:r>
          </w:p>
          <w:p w14:paraId="3BD78597" w14:textId="77777777" w:rsidR="00426ACB" w:rsidRPr="001A6D28" w:rsidRDefault="00426ACB" w:rsidP="003816F6">
            <w:pPr>
              <w:numPr>
                <w:ilvl w:val="0"/>
                <w:numId w:val="30"/>
              </w:numPr>
              <w:spacing w:before="40" w:after="40" w:line="259" w:lineRule="auto"/>
              <w:rPr>
                <w:rFonts w:ascii="Arial Narrow" w:hAnsi="Arial Narrow"/>
              </w:rPr>
            </w:pPr>
            <w:r w:rsidRPr="001A6D28">
              <w:rPr>
                <w:rFonts w:ascii="Arial Narrow" w:hAnsi="Arial Narrow"/>
              </w:rPr>
              <w:t>Monophasic neuromyelitis optica (no recurrence; simultaneous or closely related optic neuritis and LETM within 30 days) or</w:t>
            </w:r>
          </w:p>
          <w:p w14:paraId="562CC9D2" w14:textId="77777777" w:rsidR="00426ACB" w:rsidRPr="001A6D28" w:rsidRDefault="00426ACB" w:rsidP="003816F6">
            <w:pPr>
              <w:numPr>
                <w:ilvl w:val="0"/>
                <w:numId w:val="30"/>
              </w:numPr>
              <w:spacing w:before="40" w:after="40" w:line="259" w:lineRule="auto"/>
              <w:rPr>
                <w:rFonts w:ascii="Arial Narrow" w:hAnsi="Arial Narrow"/>
              </w:rPr>
            </w:pPr>
            <w:r w:rsidRPr="001A6D28">
              <w:rPr>
                <w:rFonts w:ascii="Arial Narrow" w:hAnsi="Arial Narrow"/>
              </w:rPr>
              <w:t>Patient has poor recovery from multiple sclerosis relapses</w:t>
            </w:r>
          </w:p>
          <w:p w14:paraId="0F476093" w14:textId="77777777" w:rsidR="00426ACB" w:rsidRPr="001A6D28" w:rsidRDefault="00426ACB" w:rsidP="009220A7">
            <w:pPr>
              <w:spacing w:before="40" w:after="40" w:line="259" w:lineRule="auto"/>
              <w:ind w:left="0"/>
              <w:rPr>
                <w:rFonts w:ascii="Arial Narrow" w:hAnsi="Arial Narrow"/>
                <w:vertAlign w:val="superscript"/>
              </w:rPr>
            </w:pPr>
          </w:p>
          <w:p w14:paraId="40508E5E" w14:textId="77777777" w:rsidR="00426ACB" w:rsidRPr="001A6D28" w:rsidRDefault="00426ACB" w:rsidP="009220A7">
            <w:pPr>
              <w:spacing w:before="40" w:after="40" w:line="259" w:lineRule="auto"/>
              <w:ind w:left="0"/>
              <w:rPr>
                <w:rFonts w:ascii="Arial Narrow" w:hAnsi="Arial Narrow"/>
              </w:rPr>
            </w:pPr>
            <w:r w:rsidRPr="001A6D28">
              <w:rPr>
                <w:rFonts w:ascii="Arial Narrow" w:hAnsi="Arial Narrow"/>
              </w:rPr>
              <w:t>(Item is subject to rule 26)</w:t>
            </w:r>
          </w:p>
          <w:p w14:paraId="6D727101" w14:textId="77777777" w:rsidR="00426ACB" w:rsidRPr="001A6D28" w:rsidRDefault="00426ACB" w:rsidP="009220A7">
            <w:pPr>
              <w:spacing w:before="40" w:after="40" w:line="259" w:lineRule="auto"/>
              <w:ind w:left="0"/>
              <w:rPr>
                <w:rFonts w:ascii="Arial Narrow" w:hAnsi="Arial Narrow"/>
              </w:rPr>
            </w:pPr>
          </w:p>
          <w:p w14:paraId="5A6630CB" w14:textId="77777777" w:rsidR="00426ACB" w:rsidRPr="001A6D28" w:rsidRDefault="00426ACB" w:rsidP="009220A7">
            <w:pPr>
              <w:spacing w:before="40" w:after="40" w:line="259" w:lineRule="auto"/>
              <w:ind w:left="0"/>
              <w:rPr>
                <w:rFonts w:ascii="Arial Narrow" w:hAnsi="Arial Narrow"/>
              </w:rPr>
            </w:pPr>
            <w:r w:rsidRPr="001A6D28">
              <w:rPr>
                <w:rFonts w:ascii="Arial Narrow" w:hAnsi="Arial Narrow"/>
              </w:rPr>
              <w:t>This item is to be requested by a specialist or consultant physician.</w:t>
            </w:r>
          </w:p>
          <w:p w14:paraId="1D6AB849" w14:textId="77777777" w:rsidR="00426ACB" w:rsidRPr="001A6D28" w:rsidRDefault="00426ACB" w:rsidP="009220A7">
            <w:pPr>
              <w:spacing w:before="40" w:after="40" w:line="259" w:lineRule="auto"/>
              <w:ind w:left="0"/>
              <w:rPr>
                <w:rFonts w:ascii="Arial Narrow" w:hAnsi="Arial Narrow"/>
              </w:rPr>
            </w:pPr>
          </w:p>
          <w:p w14:paraId="222C8883" w14:textId="77777777" w:rsidR="00426ACB" w:rsidRPr="001A6D28" w:rsidRDefault="00426ACB" w:rsidP="009220A7">
            <w:pPr>
              <w:spacing w:before="40" w:after="40" w:line="259" w:lineRule="auto"/>
              <w:ind w:left="0"/>
              <w:rPr>
                <w:rFonts w:ascii="Arial Narrow" w:hAnsi="Arial Narrow"/>
              </w:rPr>
            </w:pPr>
            <w:r w:rsidRPr="001A6D28">
              <w:rPr>
                <w:rFonts w:ascii="Arial Narrow" w:hAnsi="Arial Narrow"/>
              </w:rPr>
              <w:t>Payable not more than 4 times in any 12 month period</w:t>
            </w:r>
          </w:p>
          <w:p w14:paraId="217DC1B7" w14:textId="77777777" w:rsidR="00426ACB" w:rsidRPr="001A6D28" w:rsidRDefault="00426ACB" w:rsidP="009220A7">
            <w:pPr>
              <w:spacing w:before="40" w:after="40" w:line="259" w:lineRule="auto"/>
              <w:ind w:left="0"/>
              <w:rPr>
                <w:rFonts w:ascii="Arial Narrow" w:hAnsi="Arial Narrow"/>
              </w:rPr>
            </w:pPr>
          </w:p>
          <w:p w14:paraId="707D3ED4" w14:textId="77777777" w:rsidR="00426ACB" w:rsidRPr="001A6D28" w:rsidRDefault="00426ACB" w:rsidP="009220A7">
            <w:pPr>
              <w:spacing w:before="40" w:after="40" w:line="259" w:lineRule="auto"/>
              <w:ind w:left="0"/>
              <w:rPr>
                <w:rFonts w:ascii="Arial Narrow" w:hAnsi="Arial Narrow"/>
              </w:rPr>
            </w:pPr>
            <w:r w:rsidRPr="001A6D28">
              <w:rPr>
                <w:rFonts w:ascii="Arial Narrow" w:hAnsi="Arial Narrow"/>
              </w:rPr>
              <w:t>Fee: $43.00     Benefit: 75% = $32.20     85% = $36.50</w:t>
            </w:r>
          </w:p>
        </w:tc>
      </w:tr>
    </w:tbl>
    <w:p w14:paraId="26D5A195" w14:textId="77777777" w:rsidR="00E8621A" w:rsidRDefault="00E8621A" w:rsidP="00E8621A">
      <w:pPr>
        <w:pStyle w:val="Tablenotes0"/>
      </w:pPr>
      <w:r>
        <w:t>AQP4</w:t>
      </w:r>
      <w:r w:rsidR="001A6D28">
        <w:t xml:space="preserve"> </w:t>
      </w:r>
      <w:r>
        <w:t>= aquaporin-4; NMOSD</w:t>
      </w:r>
      <w:r w:rsidR="001A6D28">
        <w:t xml:space="preserve"> </w:t>
      </w:r>
      <w:r>
        <w:t>=</w:t>
      </w:r>
      <w:r w:rsidR="001A6D28">
        <w:t xml:space="preserve"> </w:t>
      </w:r>
      <w:r>
        <w:t>neuromyelitis optica spectrum disorders</w:t>
      </w:r>
    </w:p>
    <w:p w14:paraId="6CA48953" w14:textId="2ADB9BDA" w:rsidR="00426ACB" w:rsidRDefault="00426ACB" w:rsidP="00E8621A">
      <w:pPr>
        <w:pStyle w:val="Tablenotes0"/>
      </w:pPr>
      <w:r>
        <w:rPr>
          <w:vertAlign w:val="superscript"/>
        </w:rPr>
        <w:t xml:space="preserve">a </w:t>
      </w:r>
      <w:r>
        <w:t xml:space="preserve">LETM defined as a spinal cord lesion that extends over 3 or more </w:t>
      </w:r>
      <w:r w:rsidR="000848F9">
        <w:t>vertebrae segments (Wingerchuk</w:t>
      </w:r>
      <w:r>
        <w:t xml:space="preserve"> et al. 2015)</w:t>
      </w:r>
    </w:p>
    <w:p w14:paraId="45F6C7D2" w14:textId="77777777" w:rsidR="00437279" w:rsidRPr="00426ACB" w:rsidRDefault="00437279" w:rsidP="00E8621A">
      <w:pPr>
        <w:pStyle w:val="Tablenotes0"/>
      </w:pPr>
    </w:p>
    <w:p w14:paraId="7F3517D4" w14:textId="77777777" w:rsidR="00ED65EE" w:rsidRPr="00680EE9" w:rsidRDefault="00ED65EE" w:rsidP="00ED65EE">
      <w:pPr>
        <w:pStyle w:val="ESNumberedSectionHeading"/>
        <w:numPr>
          <w:ilvl w:val="0"/>
          <w:numId w:val="0"/>
        </w:numPr>
        <w:jc w:val="both"/>
      </w:pPr>
      <w:bookmarkStart w:id="42" w:name="_Toc39588250"/>
      <w:r w:rsidRPr="00680EE9">
        <w:t>Population</w:t>
      </w:r>
      <w:bookmarkEnd w:id="42"/>
    </w:p>
    <w:p w14:paraId="32E028C3" w14:textId="77777777" w:rsidR="00967FEA" w:rsidRDefault="00967FEA" w:rsidP="00967FEA">
      <w:r>
        <w:t xml:space="preserve">The target population </w:t>
      </w:r>
      <w:r w:rsidR="003C0DDE">
        <w:t>is</w:t>
      </w:r>
      <w:r>
        <w:t xml:space="preserve"> those suspected of having NMOSD</w:t>
      </w:r>
      <w:r w:rsidR="003C0DDE">
        <w:t>.</w:t>
      </w:r>
    </w:p>
    <w:p w14:paraId="5C888759" w14:textId="77777777" w:rsidR="00967FEA" w:rsidRPr="00FC0F62" w:rsidRDefault="00967FEA" w:rsidP="00967FEA">
      <w:r>
        <w:t xml:space="preserve">NMOSD is a rare but severe inflammatory autoimmune disorder of the CNS. The condition predominantly involves the optic nerves and spinal cord, and is characterised by attacks of optic </w:t>
      </w:r>
      <w:r w:rsidRPr="00FC0F62">
        <w:t xml:space="preserve">neuritis (ON) and longitudinally extensive transverse myelitis (LETM). </w:t>
      </w:r>
    </w:p>
    <w:p w14:paraId="7CBD383F" w14:textId="3EC2D38E" w:rsidR="00D45DD9" w:rsidRPr="00FC0F62" w:rsidRDefault="00967FEA" w:rsidP="00E85CBE">
      <w:r w:rsidRPr="00FC0F62">
        <w:t xml:space="preserve">There are no clinical features that are disease specific for NMOSD, as ON and myelitis also </w:t>
      </w:r>
      <w:r w:rsidR="00E85CBE" w:rsidRPr="00FC0F62">
        <w:t xml:space="preserve">commonly </w:t>
      </w:r>
      <w:r w:rsidRPr="00FC0F62">
        <w:t xml:space="preserve">occur in typical MS. The presence of AQP4-Abs supports the </w:t>
      </w:r>
      <w:r w:rsidR="00737195" w:rsidRPr="00FC0F62">
        <w:t xml:space="preserve">differential </w:t>
      </w:r>
      <w:r w:rsidRPr="00FC0F62">
        <w:t>diagnosis of NMOSD from MS and other autoimmune disorders of the CNS.</w:t>
      </w:r>
      <w:r w:rsidR="00880DD4" w:rsidRPr="00FC0F62">
        <w:t xml:space="preserve"> </w:t>
      </w:r>
      <w:r w:rsidR="00D45DD9" w:rsidRPr="00FC0F62">
        <w:t xml:space="preserve">Although an accurate proportion of AQP4-Ab positive to negative cases of NMOSD in Australia has been difficult to determine, recent studies suggest that as many as 90% of patients with NMOSD are AQP4-Ab positive in this country </w:t>
      </w:r>
      <w:r w:rsidR="00AC01FD" w:rsidRPr="00FC0F62">
        <w:fldChar w:fldCharType="begin">
          <w:fldData xml:space="preserve">PEVuZE5vdGU+PENpdGU+PEF1dGhvcj5CdWtoYXJpPC9BdXRob3I+PFllYXI+MjAyMDwvWWVhcj48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==
</w:fldData>
        </w:fldChar>
      </w:r>
      <w:r w:rsidR="00D96694" w:rsidRPr="00FC0F62">
        <w:instrText xml:space="preserve"> ADDIN EN.CITE </w:instrText>
      </w:r>
      <w:r w:rsidR="00D96694" w:rsidRPr="00FC0F62">
        <w:fldChar w:fldCharType="begin">
          <w:fldData xml:space="preserve">PEVuZE5vdGU+PENpdGU+PEF1dGhvcj5CdWtoYXJpPC9BdXRob3I+PFllYXI+MjAyMDwvWWVhcj48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==
</w:fldData>
        </w:fldChar>
      </w:r>
      <w:r w:rsidR="00D96694" w:rsidRPr="00FC0F62">
        <w:instrText xml:space="preserve"> ADDIN EN.CITE.DATA </w:instrText>
      </w:r>
      <w:r w:rsidR="00D96694" w:rsidRPr="00FC0F62">
        <w:fldChar w:fldCharType="end"/>
      </w:r>
      <w:r w:rsidR="00AC01FD" w:rsidRPr="00FC0F62">
        <w:fldChar w:fldCharType="separate"/>
      </w:r>
      <w:r w:rsidR="00AC01FD" w:rsidRPr="00FC0F62">
        <w:rPr>
          <w:noProof/>
        </w:rPr>
        <w:t>(Bukhari et al. 2020; Bukhari et al. 2017)</w:t>
      </w:r>
      <w:r w:rsidR="00AC01FD" w:rsidRPr="00FC0F62">
        <w:fldChar w:fldCharType="end"/>
      </w:r>
      <w:r w:rsidR="00D45DD9" w:rsidRPr="00FC0F62">
        <w:t xml:space="preserve">. </w:t>
      </w:r>
    </w:p>
    <w:p w14:paraId="0223BDB4" w14:textId="7E57072F" w:rsidR="00D85D5A" w:rsidRDefault="00D45DD9" w:rsidP="00E85CBE">
      <w:r w:rsidRPr="00FC0F62">
        <w:t>R</w:t>
      </w:r>
      <w:r w:rsidR="00880DD4" w:rsidRPr="00FC0F62">
        <w:t xml:space="preserve">ecent Australian data collected from clinical pathology laboratories suggest </w:t>
      </w:r>
      <w:r w:rsidRPr="00FC0F62">
        <w:t xml:space="preserve">that </w:t>
      </w:r>
      <w:r w:rsidR="00880DD4" w:rsidRPr="00FC0F62">
        <w:t xml:space="preserve">the diagnostic yield of AQP4-Ab seropositivity </w:t>
      </w:r>
      <w:r w:rsidRPr="00FC0F62">
        <w:t>i</w:t>
      </w:r>
      <w:r w:rsidR="00880DD4" w:rsidRPr="00FC0F62">
        <w:t>s between 2.9% and 5.4%</w:t>
      </w:r>
      <w:r w:rsidR="00D85D5A" w:rsidRPr="00FC0F62">
        <w:t xml:space="preserve">. Data from </w:t>
      </w:r>
      <w:r w:rsidR="00590643" w:rsidRPr="00FC0F62">
        <w:t>Pathology</w:t>
      </w:r>
      <w:r w:rsidR="00452999" w:rsidRPr="00FC0F62">
        <w:t xml:space="preserve"> </w:t>
      </w:r>
      <w:r w:rsidR="00D85D5A" w:rsidRPr="00FC0F62">
        <w:t>Q</w:t>
      </w:r>
      <w:r w:rsidR="00452999" w:rsidRPr="00FC0F62">
        <w:t>ueensland</w:t>
      </w:r>
      <w:r w:rsidR="00D85D5A" w:rsidRPr="00FC0F62">
        <w:t xml:space="preserve"> indicated that there were 51 AQP4-Ab positive patients identified form 1</w:t>
      </w:r>
      <w:r w:rsidR="005C2333" w:rsidRPr="00FC0F62">
        <w:t>,</w:t>
      </w:r>
      <w:r w:rsidR="00D85D5A" w:rsidRPr="00FC0F62">
        <w:t xml:space="preserve">596 tested over 5 years (2.9%), while PathWest identified 13 AQP4-Ab positive patients from 240 tested in 2019 (5.4%). In comparison to data found in the literature, the yield in Australia is low, and reflects that a relatively broad population undergoes testing in this country. </w:t>
      </w:r>
      <w:r w:rsidR="007F05EE" w:rsidRPr="00FC0F62">
        <w:t>Amongst those found negative for AQP4-Ab there are likely to be patients with a range of neurological diseases, including NMOSD and MS</w:t>
      </w:r>
      <w:r w:rsidR="00E85CBE" w:rsidRPr="00FC0F62">
        <w:t>.</w:t>
      </w:r>
      <w:r w:rsidR="00E85CBE">
        <w:t xml:space="preserve"> </w:t>
      </w:r>
    </w:p>
    <w:p w14:paraId="30315CC3" w14:textId="77777777" w:rsidR="00D85D5A" w:rsidRPr="00FC0F62" w:rsidRDefault="00D85D5A" w:rsidP="00E85CBE">
      <w:r w:rsidRPr="00FC0F62">
        <w:lastRenderedPageBreak/>
        <w:t>PathWest</w:t>
      </w:r>
      <w:r w:rsidR="005C2333" w:rsidRPr="00FC0F62">
        <w:t xml:space="preserve"> Laboratory</w:t>
      </w:r>
      <w:r w:rsidRPr="00FC0F62">
        <w:t xml:space="preserve"> </w:t>
      </w:r>
      <w:r w:rsidR="007F05EE" w:rsidRPr="00FC0F62">
        <w:t xml:space="preserve">also </w:t>
      </w:r>
      <w:r w:rsidRPr="00FC0F62">
        <w:t>provided data on MOG-Ab testing. Of 132 patients tested for MOG-Ab in 2019, 21 were found positive (15.9%).</w:t>
      </w:r>
      <w:r w:rsidR="007F05EE" w:rsidRPr="00FC0F62">
        <w:t xml:space="preserve"> However is it not known what proportion of those tested were suspected of NMSOD.</w:t>
      </w:r>
    </w:p>
    <w:p w14:paraId="70C06B6C" w14:textId="2F337B54" w:rsidR="00982E60" w:rsidRPr="00FC0F62" w:rsidRDefault="00982E60" w:rsidP="00E85CBE">
      <w:r w:rsidRPr="00FC0F62">
        <w:t>Those</w:t>
      </w:r>
      <w:r w:rsidR="009D3BCC" w:rsidRPr="00FC0F62">
        <w:t xml:space="preserve"> with </w:t>
      </w:r>
      <w:r w:rsidR="00AD0DCD" w:rsidRPr="00FC0F62">
        <w:t xml:space="preserve">suspected </w:t>
      </w:r>
      <w:r w:rsidR="009D3BCC" w:rsidRPr="00FC0F62">
        <w:t>NMOSD</w:t>
      </w:r>
      <w:r w:rsidRPr="00FC0F62">
        <w:t xml:space="preserve"> who have neither AQP4 or MOG antibodies may have a delay in their clinical diagnosis of NMOSD, </w:t>
      </w:r>
      <w:r w:rsidR="009D3BCC" w:rsidRPr="00FC0F62">
        <w:t>or may</w:t>
      </w:r>
      <w:r w:rsidRPr="00FC0F62">
        <w:t xml:space="preserve"> be misdiagnosed as having MS </w:t>
      </w:r>
      <w:r w:rsidR="00D96694" w:rsidRPr="00FC0F62">
        <w:t xml:space="preserve">or another CNS disorder </w:t>
      </w:r>
      <w:r w:rsidRPr="00FC0F62">
        <w:t xml:space="preserve">in the interim (until they develop further clinical features which allows diagnosis). </w:t>
      </w:r>
    </w:p>
    <w:p w14:paraId="20E60320" w14:textId="77777777" w:rsidR="00E85CBE" w:rsidRPr="00FC0F62" w:rsidRDefault="00E85CBE" w:rsidP="00E85CBE">
      <w:r w:rsidRPr="00FC0F62">
        <w:t xml:space="preserve">The 2015 NMOSD diagnostic criteria has assigned individuals with MOG-Abs to the NMOSD. </w:t>
      </w:r>
    </w:p>
    <w:p w14:paraId="3312A3E3" w14:textId="77777777" w:rsidR="00967FEA" w:rsidRPr="00FC0F62" w:rsidRDefault="00967FEA" w:rsidP="00967FEA">
      <w:r w:rsidRPr="00FC0F62">
        <w:t xml:space="preserve">The NMOSD term more broadly encompasses a number of very closely related conditions, and in 2015 the IPND defined the following NMOSD criteria: </w:t>
      </w:r>
    </w:p>
    <w:p w14:paraId="6D261D52" w14:textId="77777777" w:rsidR="00967FEA" w:rsidRPr="00FC0F62" w:rsidRDefault="00967FEA" w:rsidP="003816F6">
      <w:pPr>
        <w:pStyle w:val="ListParagraph"/>
        <w:numPr>
          <w:ilvl w:val="0"/>
          <w:numId w:val="46"/>
        </w:numPr>
        <w:spacing w:after="200" w:line="276" w:lineRule="auto"/>
        <w:contextualSpacing/>
      </w:pPr>
      <w:r w:rsidRPr="00FC0F62">
        <w:t xml:space="preserve">individuals with limited or inaugural forms of NMO (e.g. first attack LETM or recurrent or bilateral ON) who were at high risk for future attacks; </w:t>
      </w:r>
    </w:p>
    <w:p w14:paraId="6A3FB52B" w14:textId="77777777" w:rsidR="00967FEA" w:rsidRDefault="00967FEA" w:rsidP="003816F6">
      <w:pPr>
        <w:pStyle w:val="ListParagraph"/>
        <w:numPr>
          <w:ilvl w:val="0"/>
          <w:numId w:val="46"/>
        </w:numPr>
        <w:spacing w:after="200" w:line="276" w:lineRule="auto"/>
        <w:contextualSpacing/>
      </w:pPr>
      <w:r>
        <w:t xml:space="preserve">those with cerebral, diencephalic and brainstem lesions that occurred in a minority of patients with otherwise typical NMO; </w:t>
      </w:r>
    </w:p>
    <w:p w14:paraId="29161F7E" w14:textId="77777777" w:rsidR="00967FEA" w:rsidRDefault="00967FEA" w:rsidP="003816F6">
      <w:pPr>
        <w:pStyle w:val="ListParagraph"/>
        <w:numPr>
          <w:ilvl w:val="0"/>
          <w:numId w:val="46"/>
        </w:numPr>
        <w:spacing w:after="200" w:line="276" w:lineRule="auto"/>
        <w:contextualSpacing/>
      </w:pPr>
      <w:r>
        <w:t>those with AQP4-Ab positive NMO with coexisting autoimmune disorders (e.g. systemic lupus erythematosus or Sj</w:t>
      </w:r>
      <w:r w:rsidRPr="00810344">
        <w:rPr>
          <w:rFonts w:cs="Calibri"/>
        </w:rPr>
        <w:t>ö</w:t>
      </w:r>
      <w:r>
        <w:t xml:space="preserve">gren syndrome); and </w:t>
      </w:r>
    </w:p>
    <w:p w14:paraId="50C2FBB1" w14:textId="77777777" w:rsidR="00967FEA" w:rsidRDefault="00967FEA" w:rsidP="003816F6">
      <w:pPr>
        <w:pStyle w:val="ListParagraph"/>
        <w:numPr>
          <w:ilvl w:val="0"/>
          <w:numId w:val="46"/>
        </w:numPr>
        <w:spacing w:after="200" w:line="276" w:lineRule="auto"/>
        <w:contextualSpacing/>
      </w:pPr>
      <w:r>
        <w:t xml:space="preserve">those diagnosed with opticospinal MS, an MS phenotype prominent in Asia and distinguished from Western MS. </w:t>
      </w:r>
    </w:p>
    <w:p w14:paraId="633E83C0" w14:textId="77777777" w:rsidR="00967FEA" w:rsidRPr="00FC0F62" w:rsidRDefault="00967FEA" w:rsidP="00967FEA">
      <w:r w:rsidRPr="00FC0F62">
        <w:t xml:space="preserve">Treatment for NMOSD is different from MS treatment, </w:t>
      </w:r>
      <w:r w:rsidR="00513955" w:rsidRPr="00FC0F62">
        <w:t>which</w:t>
      </w:r>
      <w:r w:rsidRPr="00FC0F62">
        <w:t xml:space="preserve"> if used can worsen the disease outcome of NMOSD patients. </w:t>
      </w:r>
    </w:p>
    <w:p w14:paraId="70513D68" w14:textId="4B4CA826" w:rsidR="00E85CBE" w:rsidRDefault="00967FEA" w:rsidP="00E85CBE">
      <w:r w:rsidRPr="00FC0F62">
        <w:t>NMOSD is a rare disease</w:t>
      </w:r>
      <w:r w:rsidR="00AD0DCD" w:rsidRPr="00FC0F62">
        <w:t xml:space="preserve"> in comparison to MS in Australia</w:t>
      </w:r>
      <w:r w:rsidRPr="00FC0F62">
        <w:t xml:space="preserve">. </w:t>
      </w:r>
      <w:r w:rsidR="00AD0DCD" w:rsidRPr="00FC0F62">
        <w:t xml:space="preserve">MS was estimated to affect 25,600 people in 2017 and have a prevalence of 103.7/100,000 </w:t>
      </w:r>
      <w:r w:rsidR="00D96694" w:rsidRPr="00FC0F62">
        <w:fldChar w:fldCharType="begin"/>
      </w:r>
      <w:r w:rsidR="00A400A2" w:rsidRPr="00FC0F62">
        <w:instrText xml:space="preserve"> ADDIN EN.CITE &lt;EndNote&gt;&lt;Cite&gt;&lt;Author&gt;MS Australia&lt;/Author&gt;&lt;Year&gt;2019&lt;/Year&gt;&lt;RecNum&gt;101&lt;/RecNum&gt;&lt;DisplayText&gt;(MS Australia 2019)&lt;/DisplayText&gt;&lt;record&gt;&lt;rec-number&gt;101&lt;/rec-number&gt;&lt;foreign-keys&gt;&lt;key app="EN" db-id="r25zptaswpdzade29ws5pf9gx55ztppatt20" timestamp="1587534024"&gt;101&lt;/key&gt;&lt;key app="ENWeb" db-id=""&gt;0&lt;/key&gt;&lt;/foreign-keys&gt;&lt;ref-type name="Web Page"&gt;12&lt;/ref-type&gt;&lt;contributors&gt;&lt;authors&gt;&lt;author&gt;MS Australia, &lt;/author&gt;&lt;/authors&gt;&lt;/contributors&gt;&lt;titles&gt;&lt;title&gt;Key facts and figures about multiple sclerosis&lt;/title&gt;&lt;secondary-title&gt;MS Australia&lt;/secondary-title&gt;&lt;/titles&gt;&lt;volume&gt;2020&lt;/volume&gt;&lt;number&gt;5 May&lt;/number&gt;&lt;dates&gt;&lt;year&gt;2019&lt;/year&gt;&lt;pub-dates&gt;&lt;date&gt;June 2019&lt;/date&gt;&lt;/pub-dates&gt;&lt;/dates&gt;&lt;pub-location&gt;Australia&lt;/pub-location&gt;&lt;publisher&gt;MS Australia&lt;/publisher&gt;&lt;urls&gt;&lt;related-urls&gt;&lt;url&gt;https://www.msaustralia.org.au/publications/media-facts-and-figures-about-ms&lt;/url&gt;&lt;/related-urls&gt;&lt;/urls&gt;&lt;/record&gt;&lt;/Cite&gt;&lt;/EndNote&gt;</w:instrText>
      </w:r>
      <w:r w:rsidR="00D96694" w:rsidRPr="00FC0F62">
        <w:fldChar w:fldCharType="separate"/>
      </w:r>
      <w:r w:rsidR="00D96694" w:rsidRPr="00FC0F62">
        <w:rPr>
          <w:noProof/>
        </w:rPr>
        <w:t>(MS Australia 2019)</w:t>
      </w:r>
      <w:r w:rsidR="00D96694" w:rsidRPr="00FC0F62">
        <w:fldChar w:fldCharType="end"/>
      </w:r>
      <w:r w:rsidR="00AD0DCD" w:rsidRPr="00FC0F62">
        <w:t>. Published data</w:t>
      </w:r>
      <w:r w:rsidR="0094058C" w:rsidRPr="00FC0F62">
        <w:t xml:space="preserve"> </w:t>
      </w:r>
      <w:r w:rsidR="00AD0DCD" w:rsidRPr="00FC0F62">
        <w:t xml:space="preserve">suggests that NMO or NMOSD make up </w:t>
      </w:r>
      <w:r w:rsidR="0094058C" w:rsidRPr="00FC0F62">
        <w:t xml:space="preserve">approximately 3.7% </w:t>
      </w:r>
      <w:r w:rsidR="00AD0DCD" w:rsidRPr="00FC0F62">
        <w:t xml:space="preserve">of all demyelinating CNS disease </w:t>
      </w:r>
      <w:r w:rsidR="0094058C" w:rsidRPr="00FC0F62">
        <w:t>in Western Australia</w:t>
      </w:r>
      <w:r w:rsidR="00BE113A" w:rsidRPr="00FC0F62">
        <w:t>, although because the study predated the inclusion of AQP4 testing in diagnostic criteria</w:t>
      </w:r>
      <w:r w:rsidR="0094058C" w:rsidRPr="00FC0F62">
        <w:t xml:space="preserve"> </w:t>
      </w:r>
      <w:r w:rsidR="00BE113A" w:rsidRPr="00FC0F62">
        <w:t xml:space="preserve">it is likely to be inaccurate </w:t>
      </w:r>
      <w:r w:rsidR="00AC01FD" w:rsidRPr="00FC0F62">
        <w:fldChar w:fldCharType="begin">
          <w:fldData xml:space="preserve">PEVuZE5vdGU+PENpdGU+PEF1dGhvcj5XdTwvQXV0aG9yPjxZZWFyPjIwMDg8L1llYXI+PFJlY051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</w:fldData>
        </w:fldChar>
      </w:r>
      <w:r w:rsidR="00AC01FD" w:rsidRPr="00FC0F62">
        <w:instrText xml:space="preserve"> ADDIN EN.CITE </w:instrText>
      </w:r>
      <w:r w:rsidR="00AC01FD" w:rsidRPr="00FC0F62">
        <w:fldChar w:fldCharType="begin">
          <w:fldData xml:space="preserve">PEVuZE5vdGU+PENpdGU+PEF1dGhvcj5XdTwvQXV0aG9yPjxZZWFyPjIwMDg8L1llYXI+PFJlY051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</w:fldData>
        </w:fldChar>
      </w:r>
      <w:r w:rsidR="00AC01FD" w:rsidRPr="00FC0F62">
        <w:instrText xml:space="preserve"> ADDIN EN.CITE.DATA </w:instrText>
      </w:r>
      <w:r w:rsidR="00AC01FD" w:rsidRPr="00FC0F62">
        <w:fldChar w:fldCharType="end"/>
      </w:r>
      <w:r w:rsidR="00AC01FD" w:rsidRPr="00FC0F62">
        <w:fldChar w:fldCharType="separate"/>
      </w:r>
      <w:r w:rsidR="00AC01FD" w:rsidRPr="00FC0F62">
        <w:rPr>
          <w:noProof/>
        </w:rPr>
        <w:t>(Wu et al. 2008)</w:t>
      </w:r>
      <w:r w:rsidR="00AC01FD" w:rsidRPr="00FC0F62">
        <w:fldChar w:fldCharType="end"/>
      </w:r>
      <w:r w:rsidR="00AD0DCD" w:rsidRPr="00FC0F62">
        <w:t xml:space="preserve">. </w:t>
      </w:r>
      <w:r w:rsidR="00E85CBE" w:rsidRPr="00FC0F62">
        <w:t xml:space="preserve">Patient numbers (clinical expert advice) indicated </w:t>
      </w:r>
      <w:r w:rsidR="00513955" w:rsidRPr="00FC0F62">
        <w:t xml:space="preserve">the </w:t>
      </w:r>
      <w:r w:rsidR="00E85CBE" w:rsidRPr="00FC0F62">
        <w:t xml:space="preserve">prevalence of NMOSD to be between 500 and 600 patients in total </w:t>
      </w:r>
      <w:r w:rsidR="00513955" w:rsidRPr="00FC0F62">
        <w:t>in Australia</w:t>
      </w:r>
      <w:r w:rsidR="005A5B17" w:rsidRPr="00FC0F62">
        <w:t xml:space="preserve"> </w:t>
      </w:r>
      <w:r w:rsidR="00E85CBE" w:rsidRPr="00FC0F62">
        <w:t>(indicating a prevalence of 2-2.3 per 100,000). This is higher than that estimated by two Australian studies (section B4.1) with a prevalence of NMOSD of between 0.70 and 1.9 per</w:t>
      </w:r>
      <w:r w:rsidR="00E85CBE">
        <w:t xml:space="preserve"> 100,000 patients. The crude NMOSD incidence was estimated to be 0.37 per million per year. </w:t>
      </w:r>
    </w:p>
    <w:p w14:paraId="77ADA4C1" w14:textId="77777777" w:rsidR="00ED65EE" w:rsidRPr="00183E4D" w:rsidRDefault="00ED65EE" w:rsidP="00ED65EE">
      <w:pPr>
        <w:pStyle w:val="ESNumberedSectionHeading"/>
        <w:numPr>
          <w:ilvl w:val="0"/>
          <w:numId w:val="0"/>
        </w:numPr>
        <w:jc w:val="both"/>
      </w:pPr>
      <w:bookmarkStart w:id="43" w:name="_Toc395200744"/>
      <w:bookmarkStart w:id="44" w:name="_Toc39588251"/>
      <w:r w:rsidRPr="00183E4D">
        <w:t>Comparator Details</w:t>
      </w:r>
      <w:bookmarkEnd w:id="43"/>
      <w:bookmarkEnd w:id="44"/>
      <w:r w:rsidRPr="00183E4D">
        <w:t xml:space="preserve"> </w:t>
      </w:r>
    </w:p>
    <w:p w14:paraId="5B96888E" w14:textId="77777777" w:rsidR="00E85CBE" w:rsidRDefault="00E85CBE" w:rsidP="00E85CBE">
      <w:r w:rsidRPr="00EE64A6">
        <w:t xml:space="preserve">Following clinical input, </w:t>
      </w:r>
      <w:r>
        <w:t xml:space="preserve">the comparator chosen for assessing the clinical validity was diagnosis of NMOSD based on the 2015 IPND. According to the IPND, diagnosis of NMOSD </w:t>
      </w:r>
      <w:r w:rsidRPr="0018599D">
        <w:rPr>
          <w:i/>
        </w:rPr>
        <w:t>without</w:t>
      </w:r>
      <w:r>
        <w:t xml:space="preserve"> AQP4-Ab testing requires identification of two core clinical characteristics, and at least one of the core clinical characteristics has to be ON, acute myelitis or area postrema syndrome. </w:t>
      </w:r>
      <w:r w:rsidR="0023551F">
        <w:t xml:space="preserve">For the diagnosis of NMOSD </w:t>
      </w:r>
      <w:r w:rsidR="0023551F" w:rsidRPr="0018599D">
        <w:rPr>
          <w:i/>
        </w:rPr>
        <w:t>with</w:t>
      </w:r>
      <w:r w:rsidR="0023551F">
        <w:t xml:space="preserve"> AQP4-Ab testing, only one of the </w:t>
      </w:r>
      <w:r w:rsidR="00FA464F">
        <w:t>above</w:t>
      </w:r>
      <w:r w:rsidR="0023551F">
        <w:t xml:space="preserve">-listed core clinical characteristics are required. </w:t>
      </w:r>
      <w:r>
        <w:t>The diagnostic pathway may vary slightly depending on which symptom/s appear first. Additionally, supportive characteristics in cerebral, spinal cord or optic nerve MRI are required</w:t>
      </w:r>
      <w:r w:rsidR="0023551F">
        <w:t xml:space="preserve"> with or without AQP4-Ab testing.</w:t>
      </w:r>
      <w:r w:rsidR="00666B29">
        <w:t xml:space="preserve"> </w:t>
      </w:r>
    </w:p>
    <w:p w14:paraId="3901A6F3" w14:textId="77777777" w:rsidR="00967FEA" w:rsidRDefault="00967FEA" w:rsidP="00967FEA">
      <w:r>
        <w:t xml:space="preserve">The IPND diagnostic criteria for NMOSD is contained in </w:t>
      </w:r>
      <w:r w:rsidR="00BA4770">
        <w:fldChar w:fldCharType="begin"/>
      </w:r>
      <w:r w:rsidR="00BA4770">
        <w:instrText xml:space="preserve"> REF _Ref33191314 \h </w:instrText>
      </w:r>
      <w:r w:rsidR="00BA4770">
        <w:fldChar w:fldCharType="separate"/>
      </w:r>
      <w:r w:rsidR="00BA4770" w:rsidRPr="00183E4D">
        <w:t xml:space="preserve">Appendix </w:t>
      </w:r>
      <w:r w:rsidR="00BA4770">
        <w:rPr>
          <w:noProof/>
        </w:rPr>
        <w:t>F</w:t>
      </w:r>
      <w:r w:rsidR="00BA4770">
        <w:fldChar w:fldCharType="end"/>
      </w:r>
      <w:r>
        <w:t xml:space="preserve">.  </w:t>
      </w:r>
    </w:p>
    <w:p w14:paraId="0F6E7952" w14:textId="77777777" w:rsidR="00967FEA" w:rsidRDefault="00967FEA" w:rsidP="00967FEA">
      <w:r>
        <w:t xml:space="preserve">The financial implications of a new MBS item for AQP4-Ab and/or MOG-Ab testing </w:t>
      </w:r>
      <w:r w:rsidR="00513955">
        <w:t>have been</w:t>
      </w:r>
      <w:r>
        <w:t xml:space="preserve"> </w:t>
      </w:r>
      <w:r w:rsidR="00761483">
        <w:t xml:space="preserve">considered </w:t>
      </w:r>
      <w:r>
        <w:t>against current</w:t>
      </w:r>
      <w:r w:rsidR="00761483">
        <w:t xml:space="preserve"> practice</w:t>
      </w:r>
      <w:r>
        <w:t xml:space="preserve">, i.e. AQP4-Ab testing </w:t>
      </w:r>
      <w:r w:rsidR="00761483">
        <w:t>rebated under</w:t>
      </w:r>
      <w:r>
        <w:t xml:space="preserve"> MBS item </w:t>
      </w:r>
      <w:r w:rsidR="00761483">
        <w:t xml:space="preserve">71165 or </w:t>
      </w:r>
      <w:r>
        <w:t>71119</w:t>
      </w:r>
      <w:r w:rsidR="00761483">
        <w:t>.</w:t>
      </w:r>
      <w:r>
        <w:t xml:space="preserve"> </w:t>
      </w:r>
    </w:p>
    <w:p w14:paraId="1C30E561" w14:textId="77777777" w:rsidR="00ED65EE" w:rsidRPr="00183E4D" w:rsidRDefault="00ED65EE" w:rsidP="00ED65EE">
      <w:pPr>
        <w:pStyle w:val="ESNumberedSectionHeading"/>
        <w:numPr>
          <w:ilvl w:val="0"/>
          <w:numId w:val="0"/>
        </w:numPr>
        <w:jc w:val="both"/>
      </w:pPr>
      <w:bookmarkStart w:id="45" w:name="_Toc39588252"/>
      <w:bookmarkEnd w:id="38"/>
      <w:bookmarkEnd w:id="39"/>
      <w:r>
        <w:lastRenderedPageBreak/>
        <w:t>Clinical management algorithm(s)</w:t>
      </w:r>
      <w:bookmarkEnd w:id="45"/>
    </w:p>
    <w:p w14:paraId="1ADC829F" w14:textId="37A945B9" w:rsidR="0018599D" w:rsidRDefault="0018599D" w:rsidP="00916EEA">
      <w:r>
        <w:t xml:space="preserve">The clinical algorithm for historical management can be seen in </w:t>
      </w:r>
      <w:r>
        <w:fldChar w:fldCharType="begin"/>
      </w:r>
      <w:r>
        <w:instrText xml:space="preserve"> REF _Ref21605155 \h  \* MERGEFORMAT </w:instrText>
      </w:r>
      <w:r>
        <w:fldChar w:fldCharType="separate"/>
      </w:r>
      <w:r w:rsidR="00437279" w:rsidRPr="00BE08AB">
        <w:t xml:space="preserve">Figure </w:t>
      </w:r>
      <w:r w:rsidR="00437279">
        <w:t>4</w:t>
      </w:r>
      <w:r>
        <w:fldChar w:fldCharType="end"/>
      </w:r>
      <w:r>
        <w:t>, and for current management in</w:t>
      </w:r>
      <w:r w:rsidR="00F17AD6">
        <w:t xml:space="preserve"> </w:t>
      </w:r>
      <w:r>
        <w:fldChar w:fldCharType="begin"/>
      </w:r>
      <w:r>
        <w:instrText xml:space="preserve"> REF _Ref21605138 \h  \* MERGEFORMAT </w:instrText>
      </w:r>
      <w:r>
        <w:fldChar w:fldCharType="separate"/>
      </w:r>
      <w:r w:rsidR="00437279" w:rsidRPr="00BE08AB">
        <w:t xml:space="preserve">Figure </w:t>
      </w:r>
      <w:r w:rsidR="00437279">
        <w:t>5</w:t>
      </w:r>
      <w:r>
        <w:fldChar w:fldCharType="end"/>
      </w:r>
      <w:r>
        <w:t xml:space="preserve"> </w:t>
      </w:r>
      <w:r w:rsidR="00590643">
        <w:t xml:space="preserve">and </w:t>
      </w:r>
      <w:r w:rsidR="00437279">
        <w:fldChar w:fldCharType="begin"/>
      </w:r>
      <w:r w:rsidR="00437279">
        <w:instrText xml:space="preserve"> REF _Ref23158832 \h </w:instrText>
      </w:r>
      <w:r w:rsidR="00437279">
        <w:fldChar w:fldCharType="separate"/>
      </w:r>
      <w:r w:rsidR="00437279" w:rsidRPr="00BE08AB">
        <w:t xml:space="preserve">Figure </w:t>
      </w:r>
      <w:r w:rsidR="00437279">
        <w:rPr>
          <w:noProof/>
        </w:rPr>
        <w:t>6</w:t>
      </w:r>
      <w:r w:rsidR="00437279">
        <w:fldChar w:fldCharType="end"/>
      </w:r>
      <w:r>
        <w:t>.</w:t>
      </w:r>
    </w:p>
    <w:p w14:paraId="188BD313" w14:textId="77777777" w:rsidR="00916EEA" w:rsidRDefault="00916EEA" w:rsidP="00916EEA">
      <w:r>
        <w:t xml:space="preserve">The AQP4-Ab and MOG-Ab tests are proposed </w:t>
      </w:r>
      <w:r w:rsidR="00513955">
        <w:t xml:space="preserve">for use in </w:t>
      </w:r>
      <w:r>
        <w:t>diagnos</w:t>
      </w:r>
      <w:r w:rsidR="00513955">
        <w:t>ing</w:t>
      </w:r>
      <w:r>
        <w:t xml:space="preserve"> </w:t>
      </w:r>
      <w:r w:rsidR="00E85CBE">
        <w:t xml:space="preserve">AQP4-Ab </w:t>
      </w:r>
      <w:r>
        <w:t>NMOSD</w:t>
      </w:r>
      <w:r w:rsidR="00E85CBE">
        <w:t xml:space="preserve"> and MOG-Ab NMOSD</w:t>
      </w:r>
      <w:r>
        <w:t>. Current standard of care for patients suspected of having NMOSD, is diagnosis based not only on the clinical picture (symptoms) and the imaging examinations, but also on the detection of serum AQP4-Abs and/or MOG-Abs.</w:t>
      </w:r>
    </w:p>
    <w:p w14:paraId="472D340D" w14:textId="77777777" w:rsidR="00916EEA" w:rsidRDefault="00916EEA" w:rsidP="00916EEA">
      <w:r>
        <w:rPr>
          <w:noProof/>
        </w:rPr>
        <w:t xml:space="preserve">When brain and/or spinal cord MRI is negative or not typical for MS, and MRI is indicative of NMOSD, </w:t>
      </w:r>
      <w:r>
        <w:t>there are two diagnostic options:</w:t>
      </w:r>
    </w:p>
    <w:p w14:paraId="2C32C0BF" w14:textId="77777777" w:rsidR="00916EEA" w:rsidRDefault="00916EEA" w:rsidP="003816F6">
      <w:pPr>
        <w:pStyle w:val="ListParagraph"/>
        <w:numPr>
          <w:ilvl w:val="0"/>
          <w:numId w:val="47"/>
        </w:numPr>
        <w:spacing w:after="200" w:line="276" w:lineRule="auto"/>
        <w:contextualSpacing/>
      </w:pPr>
      <w:r>
        <w:t xml:space="preserve">serum AQP4-Ab testing </w:t>
      </w:r>
      <w:r w:rsidRPr="00A409C9">
        <w:t>(</w:t>
      </w:r>
      <w:r w:rsidRPr="00A409C9">
        <w:fldChar w:fldCharType="begin"/>
      </w:r>
      <w:r w:rsidRPr="00A409C9">
        <w:instrText xml:space="preserve"> REF _Ref21605138 \h </w:instrText>
      </w:r>
      <w:r>
        <w:instrText xml:space="preserve"> \* MERGEFORMAT </w:instrText>
      </w:r>
      <w:r w:rsidRPr="00A409C9">
        <w:fldChar w:fldCharType="separate"/>
      </w:r>
      <w:r w:rsidR="00F17AD6" w:rsidRPr="00BE08AB">
        <w:t xml:space="preserve">Figure </w:t>
      </w:r>
      <w:r w:rsidR="00F17AD6">
        <w:t>5</w:t>
      </w:r>
      <w:r w:rsidRPr="00A409C9">
        <w:fldChar w:fldCharType="end"/>
      </w:r>
      <w:r>
        <w:t>; Section A6)</w:t>
      </w:r>
      <w:r w:rsidR="00513955">
        <w:t xml:space="preserve"> followed by MOG-Ab testing in negative cases</w:t>
      </w:r>
      <w:r>
        <w:t xml:space="preserve"> </w:t>
      </w:r>
    </w:p>
    <w:p w14:paraId="32193A0D" w14:textId="69E2C5D0" w:rsidR="00916EEA" w:rsidRDefault="00916EEA" w:rsidP="00916EEA">
      <w:pPr>
        <w:ind w:left="720"/>
      </w:pPr>
      <w:r>
        <w:t>A positive serum test for AQP4-Abs is confirmatory for AQP4</w:t>
      </w:r>
      <w:r w:rsidR="00A63D8A">
        <w:t>-Ab</w:t>
      </w:r>
      <w:r>
        <w:t xml:space="preserve"> NMOSD. When serum AQP4-</w:t>
      </w:r>
      <w:r w:rsidRPr="00FC0F62">
        <w:t xml:space="preserve">Ab testing is negative, serum MOG-Ab testing is recommended. A positive MOG-Ab test is indicative of </w:t>
      </w:r>
      <w:r w:rsidR="00AA7433" w:rsidRPr="00FC0F62">
        <w:t xml:space="preserve">MOG-Ab NMOSD </w:t>
      </w:r>
      <w:r w:rsidRPr="00FC0F62">
        <w:t>diagnosis. When MOG-Ab testing is negative, additional testing is recommended</w:t>
      </w:r>
      <w:r w:rsidR="00B2493A" w:rsidRPr="00FC0F62">
        <w:t xml:space="preserve"> (</w:t>
      </w:r>
      <w:r w:rsidR="00590643" w:rsidRPr="00FC0F62">
        <w:t>e.g.,</w:t>
      </w:r>
      <w:r w:rsidR="00B2493A" w:rsidRPr="00FC0F62">
        <w:t xml:space="preserve"> MRI/oligoclonal bands (OCB) testing</w:t>
      </w:r>
      <w:r w:rsidR="00C517F7" w:rsidRPr="00FC0F62">
        <w:t>,</w:t>
      </w:r>
      <w:r w:rsidR="00B2493A" w:rsidRPr="00FC0F62">
        <w:t xml:space="preserve"> immunoglobulin G (IgG) index testing)</w:t>
      </w:r>
      <w:r w:rsidRPr="00FC0F62">
        <w:t xml:space="preserve">. </w:t>
      </w:r>
    </w:p>
    <w:p w14:paraId="0CD4D653" w14:textId="77777777" w:rsidR="00916EEA" w:rsidRDefault="00513955" w:rsidP="003816F6">
      <w:pPr>
        <w:pStyle w:val="ListParagraph"/>
        <w:numPr>
          <w:ilvl w:val="0"/>
          <w:numId w:val="47"/>
        </w:numPr>
        <w:spacing w:after="200" w:line="276" w:lineRule="auto"/>
        <w:contextualSpacing/>
      </w:pPr>
      <w:r>
        <w:t xml:space="preserve">concurrent </w:t>
      </w:r>
      <w:r w:rsidR="00916EEA">
        <w:t>serum AQP4-Ab and MOG-Ab testing (</w:t>
      </w:r>
      <w:r w:rsidR="00916EEA" w:rsidRPr="00A409C9">
        <w:fldChar w:fldCharType="begin"/>
      </w:r>
      <w:r w:rsidR="00916EEA" w:rsidRPr="00A409C9">
        <w:instrText xml:space="preserve"> REF _Ref23158832 \h </w:instrText>
      </w:r>
      <w:r w:rsidR="00916EEA">
        <w:instrText xml:space="preserve"> \* MERGEFORMAT </w:instrText>
      </w:r>
      <w:r w:rsidR="00916EEA" w:rsidRPr="00A409C9">
        <w:fldChar w:fldCharType="separate"/>
      </w:r>
      <w:r w:rsidR="00F17AD6" w:rsidRPr="00BE08AB">
        <w:t xml:space="preserve">Figure </w:t>
      </w:r>
      <w:r w:rsidR="00F17AD6">
        <w:t>6</w:t>
      </w:r>
      <w:r w:rsidR="00916EEA" w:rsidRPr="00A409C9">
        <w:fldChar w:fldCharType="end"/>
      </w:r>
      <w:r w:rsidR="00916EEA">
        <w:t xml:space="preserve">; Section A6) </w:t>
      </w:r>
    </w:p>
    <w:p w14:paraId="5C2EDA35" w14:textId="77777777" w:rsidR="00916EEA" w:rsidRDefault="00916EEA" w:rsidP="00916EEA">
      <w:pPr>
        <w:ind w:left="720"/>
      </w:pPr>
      <w:r>
        <w:t>A positive serum test for either AQP4-Ab or MOG-Ab is confirmatory for AQP4</w:t>
      </w:r>
      <w:r w:rsidR="00A63D8A">
        <w:t>-Ab</w:t>
      </w:r>
      <w:r>
        <w:t xml:space="preserve"> NMOSD or </w:t>
      </w:r>
      <w:r w:rsidR="00AA7433">
        <w:t>MOG-Ab NMOSD</w:t>
      </w:r>
      <w:r>
        <w:t xml:space="preserve">, respectively. Should both serum antibody tests be deemed negative for their respective diagnosis conditions, then additional testing is recommended including </w:t>
      </w:r>
      <w:r w:rsidR="00A23C26">
        <w:t>oligoclonal bands (</w:t>
      </w:r>
      <w:r>
        <w:t>OCB</w:t>
      </w:r>
      <w:r w:rsidR="00A23C26">
        <w:t>)</w:t>
      </w:r>
      <w:r>
        <w:t xml:space="preserve">, </w:t>
      </w:r>
      <w:r w:rsidR="00C35DC8">
        <w:t>immunoglobulin G (</w:t>
      </w:r>
      <w:r>
        <w:t>IgG</w:t>
      </w:r>
      <w:r w:rsidR="00C35DC8">
        <w:t>)</w:t>
      </w:r>
      <w:r>
        <w:t xml:space="preserve"> or AQP4-Ab testing in the </w:t>
      </w:r>
      <w:r w:rsidR="0090061B">
        <w:t>cerebrospinal fluid (</w:t>
      </w:r>
      <w:r>
        <w:t>CSF</w:t>
      </w:r>
      <w:r w:rsidR="0090061B">
        <w:t>)</w:t>
      </w:r>
      <w:r>
        <w:t xml:space="preserve"> to determine a differential diagnosis of MS or AQP4</w:t>
      </w:r>
      <w:r w:rsidR="00A63D8A">
        <w:t>-Ab</w:t>
      </w:r>
      <w:r>
        <w:t xml:space="preserve"> NMOSD or </w:t>
      </w:r>
      <w:r w:rsidR="00AB471B">
        <w:t>MOG-Ab NMOSD</w:t>
      </w:r>
      <w:r>
        <w:t>.</w:t>
      </w:r>
    </w:p>
    <w:p w14:paraId="0C761BF8" w14:textId="77777777" w:rsidR="00916EEA" w:rsidRDefault="00916EEA" w:rsidP="00916EEA">
      <w:r>
        <w:t>If a diagnosis is made, then treatment is prescribed according to the diagnosis.</w:t>
      </w:r>
    </w:p>
    <w:p w14:paraId="2A1B9E1C" w14:textId="77777777" w:rsidR="00ED65EE" w:rsidRPr="00183E4D" w:rsidRDefault="00ED65EE" w:rsidP="00ED65EE">
      <w:pPr>
        <w:pStyle w:val="ESNumberedSectionHeading"/>
        <w:numPr>
          <w:ilvl w:val="0"/>
          <w:numId w:val="0"/>
        </w:numPr>
        <w:jc w:val="both"/>
      </w:pPr>
      <w:bookmarkStart w:id="46" w:name="_Toc395200746"/>
      <w:bookmarkStart w:id="47" w:name="_Toc39588253"/>
      <w:bookmarkStart w:id="48" w:name="_Toc379118058"/>
      <w:bookmarkStart w:id="49" w:name="_Toc379118250"/>
      <w:bookmarkStart w:id="50" w:name="_Toc381796434"/>
      <w:r w:rsidRPr="00183E4D">
        <w:t>Key Differences in the Delivery of the Proposed Medical Service and the Main Comparator</w:t>
      </w:r>
      <w:bookmarkEnd w:id="46"/>
      <w:bookmarkEnd w:id="47"/>
      <w:r w:rsidRPr="00183E4D">
        <w:t xml:space="preserve"> </w:t>
      </w:r>
    </w:p>
    <w:p w14:paraId="008D67AD" w14:textId="4E60F621" w:rsidR="00E85CBE" w:rsidRDefault="00E85CBE" w:rsidP="00E85CBE">
      <w:r>
        <w:t>The main difference between the proposed medical service (</w:t>
      </w:r>
      <w:r w:rsidR="00513955">
        <w:t xml:space="preserve">diagnosis by </w:t>
      </w:r>
      <w:r>
        <w:t>AQP4-Ab and MOG-Ab</w:t>
      </w:r>
      <w:r w:rsidR="001858E1">
        <w:t xml:space="preserve"> testing</w:t>
      </w:r>
      <w:r>
        <w:t xml:space="preserve">) and comparator (historical NMOSD diagnosis) is AQP4-Ab and MOG-Ab testing. According to the current international clinical recommendations </w:t>
      </w:r>
      <w:r w:rsidR="00156621">
        <w:fldChar w:fldCharType="begin"/>
      </w:r>
      <w:r w:rsidR="00646E7C">
        <w:instrText xml:space="preserve"> ADDIN EN.CITE &lt;EndNote&gt;&lt;Cite&gt;&lt;Author&gt;Wingerchuk&lt;/Author&gt;&lt;Year&gt;2015&lt;/Year&gt;&lt;RecNum&gt;35&lt;/RecNum&gt;&lt;DisplayText&gt;(Wingerchuk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fldChar w:fldCharType="separate"/>
      </w:r>
      <w:r w:rsidR="00646E7C">
        <w:rPr>
          <w:noProof/>
        </w:rPr>
        <w:t>(Wingerchuk et al. 2015)</w:t>
      </w:r>
      <w:r w:rsidR="00156621">
        <w:fldChar w:fldCharType="end"/>
      </w:r>
      <w:r>
        <w:t>, antibody testing should be included in the diagnostic pathway for NMOSD. Historically, diagnosis was based on clinical characteristics alone, and required sufficient development of symptoms to make a definitive NMOSD diagnosis. Testing for AQP4 and MOG-Abs would allow faster time to diagnosis in the current scenario, ameliorating the severity of symptoms with appropriate treatments. In a historical scenario, NMOSD patients are likely to have been treated as though they had a diagnosis of non-classical MS. Evidence in the published literature shows that some MS treatments are not effective and may eve</w:t>
      </w:r>
      <w:r w:rsidR="00590643">
        <w:t>n be damaging in NMOSD patients. I</w:t>
      </w:r>
      <w:r>
        <w:t xml:space="preserve">t is therefore thought to be preferential that a differential diagnosis be made as early as possible for these patients. </w:t>
      </w:r>
    </w:p>
    <w:p w14:paraId="4BCF009C" w14:textId="77777777" w:rsidR="00ED65EE" w:rsidRPr="00183E4D" w:rsidRDefault="00ED65EE" w:rsidP="00ED65EE">
      <w:pPr>
        <w:pStyle w:val="ESNumberedSectionHeading"/>
        <w:numPr>
          <w:ilvl w:val="0"/>
          <w:numId w:val="0"/>
        </w:numPr>
        <w:jc w:val="both"/>
      </w:pPr>
      <w:bookmarkStart w:id="51" w:name="_Toc395200747"/>
      <w:bookmarkStart w:id="52" w:name="_Toc39588254"/>
      <w:r w:rsidRPr="00183E4D">
        <w:t>Clinical Claim</w:t>
      </w:r>
      <w:bookmarkEnd w:id="51"/>
      <w:bookmarkEnd w:id="52"/>
    </w:p>
    <w:p w14:paraId="5F573351" w14:textId="77777777" w:rsidR="00916EEA" w:rsidRDefault="00916EEA" w:rsidP="00916EEA">
      <w:r w:rsidRPr="00FC0F62">
        <w:t xml:space="preserve">The Applicant </w:t>
      </w:r>
      <w:r w:rsidR="00BB13CC" w:rsidRPr="00FC0F62">
        <w:t xml:space="preserve">(the Royal College of Pathologists Australasia, RCPA) </w:t>
      </w:r>
      <w:r w:rsidRPr="00FC0F62">
        <w:t>has not submitted a clinical claim.</w:t>
      </w:r>
      <w:r w:rsidR="00543F91" w:rsidRPr="00FC0F62">
        <w:t xml:space="preserve"> It is expected that AQP4-Ab testing with/without MOG-Ab testing will have non-inferior safety and superior effectiveness to clinical diagnosis alone for th</w:t>
      </w:r>
      <w:r w:rsidR="00083BE9" w:rsidRPr="00FC0F62">
        <w:t>e</w:t>
      </w:r>
      <w:r w:rsidR="00543F91" w:rsidRPr="00FC0F62">
        <w:t xml:space="preserve"> diagnosis of NMOSD.</w:t>
      </w:r>
      <w:r w:rsidR="00543F91">
        <w:t xml:space="preserve"> </w:t>
      </w:r>
    </w:p>
    <w:p w14:paraId="2F589D24" w14:textId="77777777" w:rsidR="00092155" w:rsidRPr="00183E4D" w:rsidRDefault="00092155" w:rsidP="00092155">
      <w:pPr>
        <w:pStyle w:val="ESNumberedSectionHeading"/>
        <w:numPr>
          <w:ilvl w:val="0"/>
          <w:numId w:val="0"/>
        </w:numPr>
      </w:pPr>
      <w:bookmarkStart w:id="53" w:name="_Toc39588255"/>
      <w:bookmarkStart w:id="54" w:name="_Toc395200748"/>
      <w:r w:rsidRPr="00E17C41">
        <w:lastRenderedPageBreak/>
        <w:t>Approach T</w:t>
      </w:r>
      <w:r w:rsidRPr="00183E4D">
        <w:t xml:space="preserve">aken to the </w:t>
      </w:r>
      <w:r w:rsidRPr="00183E4D">
        <w:rPr>
          <w:rStyle w:val="Heading3Char"/>
        </w:rPr>
        <w:t>E</w:t>
      </w:r>
      <w:r w:rsidRPr="00183E4D">
        <w:t xml:space="preserve">vidence </w:t>
      </w:r>
      <w:r w:rsidRPr="00183E4D">
        <w:rPr>
          <w:rStyle w:val="Heading3Char"/>
        </w:rPr>
        <w:t>A</w:t>
      </w:r>
      <w:r w:rsidRPr="00183E4D">
        <w:t>ssessment</w:t>
      </w:r>
      <w:bookmarkEnd w:id="53"/>
    </w:p>
    <w:p w14:paraId="75914B70" w14:textId="77777777" w:rsidR="00092155" w:rsidRDefault="00092155" w:rsidP="00092155">
      <w:r>
        <w:t>The medical literature was searched on 23</w:t>
      </w:r>
      <w:r w:rsidRPr="007318F0">
        <w:rPr>
          <w:vertAlign w:val="superscript"/>
        </w:rPr>
        <w:t>rd</w:t>
      </w:r>
      <w:r>
        <w:t xml:space="preserve"> October 2019 to identify relevant studies and systematic reviews published during the period from the inception of the literature database to the date of the search. Searches were conducted of the literature databases described in </w:t>
      </w:r>
      <w:r>
        <w:fldChar w:fldCharType="begin"/>
      </w:r>
      <w:r>
        <w:instrText xml:space="preserve"> REF _Ref31898356 \h </w:instrText>
      </w:r>
      <w:r>
        <w:fldChar w:fldCharType="separate"/>
      </w:r>
      <w:r w:rsidRPr="00183E4D">
        <w:t xml:space="preserve">Appendix </w:t>
      </w:r>
      <w:r>
        <w:rPr>
          <w:noProof/>
        </w:rPr>
        <w:t>B</w:t>
      </w:r>
      <w:r>
        <w:fldChar w:fldCharType="end"/>
      </w:r>
      <w:r>
        <w:t>. Attempts were also made to source unpublished or grey literature. Samples of other sources searched</w:t>
      </w:r>
      <w:r w:rsidR="00513955">
        <w:t>,</w:t>
      </w:r>
      <w:r>
        <w:t xml:space="preserve"> including clinical trial registries, specialty websites and </w:t>
      </w:r>
      <w:r w:rsidR="00480DDB">
        <w:t>Health Technology Assessment (</w:t>
      </w:r>
      <w:r>
        <w:t>HTA</w:t>
      </w:r>
      <w:r w:rsidR="00480DDB">
        <w:t>)</w:t>
      </w:r>
      <w:r>
        <w:t xml:space="preserve"> organisations</w:t>
      </w:r>
      <w:r w:rsidR="00513955">
        <w:t>,</w:t>
      </w:r>
      <w:r>
        <w:t xml:space="preserve"> are also provided in </w:t>
      </w:r>
      <w:r>
        <w:fldChar w:fldCharType="begin"/>
      </w:r>
      <w:r>
        <w:instrText xml:space="preserve"> REF _Ref31898356 \h </w:instrText>
      </w:r>
      <w:r>
        <w:fldChar w:fldCharType="separate"/>
      </w:r>
      <w:r w:rsidRPr="00183E4D">
        <w:t xml:space="preserve">Appendix </w:t>
      </w:r>
      <w:r>
        <w:rPr>
          <w:noProof/>
        </w:rPr>
        <w:t>B</w:t>
      </w:r>
      <w:r>
        <w:fldChar w:fldCharType="end"/>
      </w:r>
      <w:r>
        <w:t xml:space="preserve">. Search terms used for the PubMed biomedical bibliographic citation database are described in </w:t>
      </w:r>
      <w:r>
        <w:fldChar w:fldCharType="begin"/>
      </w:r>
      <w:r>
        <w:instrText xml:space="preserve"> REF _Ref363722464 \h </w:instrText>
      </w:r>
      <w:r>
        <w:fldChar w:fldCharType="separate"/>
      </w:r>
      <w:r w:rsidRPr="001C769F">
        <w:t xml:space="preserve">Table </w:t>
      </w:r>
      <w:r>
        <w:rPr>
          <w:noProof/>
        </w:rPr>
        <w:t>13</w:t>
      </w:r>
      <w:r>
        <w:fldChar w:fldCharType="end"/>
      </w:r>
      <w:r>
        <w:t xml:space="preserve">, Section B1.1. A summary of the </w:t>
      </w:r>
      <w:r w:rsidR="0018599D">
        <w:t>P</w:t>
      </w:r>
      <w:r>
        <w:t xml:space="preserve">PICO criteria can be found in Section A9. </w:t>
      </w:r>
    </w:p>
    <w:p w14:paraId="6207EDF6" w14:textId="77777777" w:rsidR="00092155" w:rsidRDefault="00092155" w:rsidP="00092155">
      <w:r>
        <w:t xml:space="preserve">Selection of studies was </w:t>
      </w:r>
      <w:r w:rsidR="0082596E">
        <w:t>conducted</w:t>
      </w:r>
      <w:r>
        <w:t xml:space="preserve"> by </w:t>
      </w:r>
      <w:r w:rsidR="004B683F">
        <w:t>two</w:t>
      </w:r>
      <w:r>
        <w:t xml:space="preserve"> reviewer</w:t>
      </w:r>
      <w:r w:rsidR="004B683F">
        <w:t>s</w:t>
      </w:r>
      <w:r>
        <w:t xml:space="preserve">, with </w:t>
      </w:r>
      <w:r w:rsidR="004B683F">
        <w:t xml:space="preserve">duplicate reviewing performed on </w:t>
      </w:r>
      <w:r>
        <w:t xml:space="preserve">a random sample (10%). Studies were excluded if they did not meet the </w:t>
      </w:r>
      <w:r w:rsidR="0018599D">
        <w:t>P</w:t>
      </w:r>
      <w:r>
        <w:t>PICO criteria, such as if the patients were not suspected of having NMOSD, the article did not address pre-specified outcomes</w:t>
      </w:r>
      <w:r w:rsidR="0082596E">
        <w:t>,</w:t>
      </w:r>
      <w:r>
        <w:t xml:space="preserve"> or </w:t>
      </w:r>
      <w:r w:rsidR="0082596E">
        <w:t xml:space="preserve">it </w:t>
      </w:r>
      <w:r>
        <w:t xml:space="preserve">provided inadequate data. Studies performed on animals, and articles written in languages other than English were also excluded, unless the English written abstract indicated the article was of higher level evidence, in which case it was included for further consideration. Study profiles of each included study are provided in </w:t>
      </w:r>
      <w:r>
        <w:fldChar w:fldCharType="begin"/>
      </w:r>
      <w:r>
        <w:instrText xml:space="preserve"> REF _Ref364237249 \h </w:instrText>
      </w:r>
      <w:r>
        <w:fldChar w:fldCharType="separate"/>
      </w:r>
      <w:r w:rsidRPr="00183E4D">
        <w:t xml:space="preserve">Appendix </w:t>
      </w:r>
      <w:r>
        <w:rPr>
          <w:noProof/>
        </w:rPr>
        <w:t>C</w:t>
      </w:r>
      <w:r>
        <w:fldChar w:fldCharType="end"/>
      </w:r>
      <w:r>
        <w:t xml:space="preserve">. </w:t>
      </w:r>
    </w:p>
    <w:p w14:paraId="6540F452" w14:textId="77777777" w:rsidR="00092155" w:rsidRDefault="004B683F" w:rsidP="00092155">
      <w:r>
        <w:t xml:space="preserve">Included studies were assessed for quality using an appraisal tool appropriate to the study design. </w:t>
      </w:r>
      <w:r w:rsidR="00092155">
        <w:t>The GRADE of the evidence was determined by appraising the risk of bias within individual studies</w:t>
      </w:r>
      <w:r w:rsidR="00D06994">
        <w:t>;</w:t>
      </w:r>
      <w:r w:rsidR="00092155">
        <w:t xml:space="preserve"> appraising the precision, size of effect and clinical importance of the results reported in the evidence base as they related to the pre-specified primary outcomes</w:t>
      </w:r>
      <w:r w:rsidR="00D06994">
        <w:t>;</w:t>
      </w:r>
      <w:r w:rsidR="00092155">
        <w:t xml:space="preserve"> rating the overall quality of the evidence per outcome, across studies</w:t>
      </w:r>
      <w:r w:rsidR="00D06994">
        <w:t>;</w:t>
      </w:r>
      <w:r w:rsidR="00092155">
        <w:t xml:space="preserve"> and integrating this evidence (across outcomes) for conclusions about the net benefit of AQP4-Ab and MOG-Ab testing in the context of Australian clinical practice.</w:t>
      </w:r>
    </w:p>
    <w:p w14:paraId="07E9D498" w14:textId="77777777" w:rsidR="00092155" w:rsidRDefault="00092155" w:rsidP="00092155">
      <w:r w:rsidRPr="00102E27">
        <w:t>Due to the absence of direct evidence, a linked evidence approach was taken.</w:t>
      </w:r>
    </w:p>
    <w:p w14:paraId="308D86CA" w14:textId="77777777" w:rsidR="00092155" w:rsidRPr="00D92E04" w:rsidRDefault="00092155" w:rsidP="00092155">
      <w:pPr>
        <w:pStyle w:val="ESNumberedSectionHeading"/>
        <w:numPr>
          <w:ilvl w:val="0"/>
          <w:numId w:val="0"/>
        </w:numPr>
      </w:pPr>
      <w:bookmarkStart w:id="55" w:name="_Toc10116515"/>
      <w:bookmarkStart w:id="56" w:name="_Toc11242074"/>
      <w:bookmarkStart w:id="57" w:name="_Toc39588256"/>
      <w:bookmarkEnd w:id="54"/>
      <w:r w:rsidRPr="00D92E04">
        <w:t>Characteristics of the Evidence Base</w:t>
      </w:r>
      <w:bookmarkEnd w:id="55"/>
      <w:bookmarkEnd w:id="56"/>
      <w:bookmarkEnd w:id="57"/>
    </w:p>
    <w:p w14:paraId="4078B65E" w14:textId="15A39523" w:rsidR="001858E1" w:rsidRPr="00DD7513" w:rsidRDefault="0094479B" w:rsidP="001858E1">
      <w:r>
        <w:fldChar w:fldCharType="begin"/>
      </w:r>
      <w:r>
        <w:instrText xml:space="preserve"> REF _Ref33538091 \h </w:instrText>
      </w:r>
      <w:r>
        <w:fldChar w:fldCharType="separate"/>
      </w:r>
      <w:r w:rsidR="006250F4" w:rsidRPr="00ED3965">
        <w:t xml:space="preserve">Table </w:t>
      </w:r>
      <w:r w:rsidR="006250F4">
        <w:rPr>
          <w:noProof/>
        </w:rPr>
        <w:t>2</w:t>
      </w:r>
      <w:r>
        <w:fldChar w:fldCharType="end"/>
      </w:r>
      <w:r>
        <w:t xml:space="preserve"> provides a summary of the key studies that were included in the systematic review.</w:t>
      </w:r>
      <w:r w:rsidR="001858E1">
        <w:t xml:space="preserve"> No studies were identified </w:t>
      </w:r>
      <w:r w:rsidR="00D166B9">
        <w:t xml:space="preserve">that reported </w:t>
      </w:r>
      <w:r w:rsidR="001858E1">
        <w:t xml:space="preserve">direct </w:t>
      </w:r>
      <w:r w:rsidR="004B683F">
        <w:t>effectiveness</w:t>
      </w:r>
      <w:r w:rsidR="001858E1">
        <w:t xml:space="preserve"> or safety of AQP4-Ab or MOG-Ab testing. </w:t>
      </w:r>
      <w:r w:rsidR="004E197A">
        <w:t>T</w:t>
      </w:r>
      <w:r w:rsidR="001858E1" w:rsidRPr="004551FF">
        <w:t>wo</w:t>
      </w:r>
      <w:r w:rsidR="001858E1">
        <w:t xml:space="preserve"> </w:t>
      </w:r>
      <w:r w:rsidR="004E197A">
        <w:t xml:space="preserve">studies </w:t>
      </w:r>
      <w:r w:rsidR="001858E1">
        <w:t xml:space="preserve">were included </w:t>
      </w:r>
      <w:r w:rsidR="004E197A">
        <w:t xml:space="preserve">that </w:t>
      </w:r>
      <w:r w:rsidR="001858E1">
        <w:t>provid</w:t>
      </w:r>
      <w:r w:rsidR="004E197A">
        <w:t>ed</w:t>
      </w:r>
      <w:r w:rsidR="001858E1">
        <w:t xml:space="preserve"> evidence on analytical validity, </w:t>
      </w:r>
      <w:r w:rsidR="004551FF">
        <w:t xml:space="preserve">24 </w:t>
      </w:r>
      <w:r w:rsidR="001858E1">
        <w:t xml:space="preserve">were included on clinical validity, </w:t>
      </w:r>
      <w:r w:rsidR="00D06994">
        <w:t xml:space="preserve">and </w:t>
      </w:r>
      <w:r w:rsidR="00D166B9">
        <w:t xml:space="preserve">21 </w:t>
      </w:r>
      <w:r w:rsidR="001858E1">
        <w:t xml:space="preserve">were included on clinical utility </w:t>
      </w:r>
      <w:r w:rsidR="004551FF">
        <w:t>(</w:t>
      </w:r>
      <w:r w:rsidR="001858E1">
        <w:t>includ</w:t>
      </w:r>
      <w:r w:rsidR="004551FF">
        <w:t xml:space="preserve">ing </w:t>
      </w:r>
      <w:r w:rsidR="00D166B9">
        <w:t xml:space="preserve">14 </w:t>
      </w:r>
      <w:r w:rsidR="004551FF">
        <w:t>on</w:t>
      </w:r>
      <w:r w:rsidR="001858E1">
        <w:t xml:space="preserve"> therapeutic effectiveness</w:t>
      </w:r>
      <w:r w:rsidR="004551FF">
        <w:t>)</w:t>
      </w:r>
      <w:r w:rsidR="001858E1">
        <w:t>. The majority of studies were of moderate to high risk of bias</w:t>
      </w:r>
      <w:r w:rsidR="00D06994">
        <w:t>, primarily due to their retrospective observational designs</w:t>
      </w:r>
      <w:r w:rsidR="001858E1">
        <w:t xml:space="preserve">. Characteristics of all included studies </w:t>
      </w:r>
      <w:r w:rsidR="00D06994">
        <w:t xml:space="preserve">are </w:t>
      </w:r>
      <w:r w:rsidR="001858E1">
        <w:t xml:space="preserve">displayed in </w:t>
      </w:r>
      <w:r w:rsidR="00437279">
        <w:fldChar w:fldCharType="begin"/>
      </w:r>
      <w:r w:rsidR="00437279">
        <w:instrText xml:space="preserve"> REF _Ref190841600 \h </w:instrText>
      </w:r>
      <w:r w:rsidR="00437279">
        <w:fldChar w:fldCharType="separate"/>
      </w:r>
      <w:r w:rsidR="00437279" w:rsidRPr="00183E4D">
        <w:t xml:space="preserve">Appendix </w:t>
      </w:r>
      <w:r w:rsidR="00437279">
        <w:rPr>
          <w:noProof/>
        </w:rPr>
        <w:t>C</w:t>
      </w:r>
      <w:r w:rsidR="00437279">
        <w:fldChar w:fldCharType="end"/>
      </w:r>
      <w:r w:rsidR="001858E1">
        <w:t xml:space="preserve">. An additional two studies that were provided by the Department of Health in relation to this Application were included in </w:t>
      </w:r>
      <w:r w:rsidR="001858E1">
        <w:fldChar w:fldCharType="begin"/>
      </w:r>
      <w:r w:rsidR="001858E1">
        <w:instrText xml:space="preserve"> REF _Ref33019823 \h  \* MERGEFORMAT </w:instrText>
      </w:r>
      <w:r w:rsidR="001858E1">
        <w:fldChar w:fldCharType="separate"/>
      </w:r>
      <w:r w:rsidR="006250F4" w:rsidRPr="00FC2669">
        <w:t>Appendix H</w:t>
      </w:r>
      <w:r w:rsidR="001858E1">
        <w:fldChar w:fldCharType="end"/>
      </w:r>
      <w:r w:rsidR="004B683F">
        <w:t xml:space="preserve">. These articles provide evidence </w:t>
      </w:r>
      <w:r w:rsidR="001858E1">
        <w:t xml:space="preserve">specifically </w:t>
      </w:r>
      <w:r w:rsidR="004B683F">
        <w:t>comparing</w:t>
      </w:r>
      <w:r w:rsidR="001858E1">
        <w:t xml:space="preserve"> cell-based assay detection methods for AQP4-Abs. These, however, were not counted as part of the analytical validity studies. </w:t>
      </w:r>
    </w:p>
    <w:p w14:paraId="71F91CD2" w14:textId="06FD72A5" w:rsidR="00092155" w:rsidRPr="00183E4D" w:rsidRDefault="00092155" w:rsidP="00092155">
      <w:pPr>
        <w:pStyle w:val="Caption"/>
        <w:rPr>
          <w:snapToGrid w:val="0"/>
          <w:lang w:eastAsia="en-US"/>
        </w:rPr>
      </w:pPr>
      <w:bookmarkStart w:id="58" w:name="_Ref33538091"/>
      <w:bookmarkStart w:id="59" w:name="_Toc39580783"/>
      <w:r w:rsidRPr="00ED3965">
        <w:t xml:space="preserve">Table </w:t>
      </w:r>
      <w:fldSimple w:instr=" SEQ Table \* ARABIC ">
        <w:r w:rsidR="00FA7BCD">
          <w:rPr>
            <w:noProof/>
          </w:rPr>
          <w:t>2</w:t>
        </w:r>
      </w:fldSimple>
      <w:bookmarkEnd w:id="58"/>
      <w:r w:rsidRPr="00183E4D">
        <w:tab/>
      </w:r>
      <w:r w:rsidR="00177753">
        <w:t>F</w:t>
      </w:r>
      <w:r w:rsidRPr="00183E4D">
        <w:rPr>
          <w:snapToGrid w:val="0"/>
          <w:lang w:eastAsia="en-US"/>
        </w:rPr>
        <w:t xml:space="preserve">eatures of the </w:t>
      </w:r>
      <w:r w:rsidR="00177753">
        <w:rPr>
          <w:snapToGrid w:val="0"/>
          <w:lang w:eastAsia="en-US"/>
        </w:rPr>
        <w:t xml:space="preserve">key studies </w:t>
      </w:r>
      <w:r w:rsidRPr="00183E4D">
        <w:rPr>
          <w:snapToGrid w:val="0"/>
          <w:lang w:eastAsia="en-US"/>
        </w:rPr>
        <w:t>included</w:t>
      </w:r>
      <w:r w:rsidR="00D06994">
        <w:rPr>
          <w:snapToGrid w:val="0"/>
          <w:lang w:eastAsia="en-US"/>
        </w:rPr>
        <w:t xml:space="preserve"> in the</w:t>
      </w:r>
      <w:r w:rsidRPr="00183E4D">
        <w:rPr>
          <w:snapToGrid w:val="0"/>
          <w:lang w:eastAsia="en-US"/>
        </w:rPr>
        <w:t xml:space="preserve"> </w:t>
      </w:r>
      <w:r>
        <w:rPr>
          <w:snapToGrid w:val="0"/>
          <w:lang w:eastAsia="en-US"/>
        </w:rPr>
        <w:t>linked evidence</w:t>
      </w:r>
      <w:bookmarkEnd w:id="59"/>
      <w:r>
        <w:rPr>
          <w:snapToGrid w:val="0"/>
          <w:lang w:eastAsia="en-US"/>
        </w:rPr>
        <w:t xml:space="preserve"> </w:t>
      </w:r>
    </w:p>
    <w:tbl>
      <w:tblPr>
        <w:tblStyle w:val="TableGrid1"/>
        <w:tblW w:w="4985" w:type="pct"/>
        <w:tblLook w:val="04A0" w:firstRow="1" w:lastRow="0" w:firstColumn="1" w:lastColumn="0" w:noHBand="0" w:noVBand="1"/>
        <w:tblCaption w:val="TTable 2 Features of the key studies included in the linked evidence "/>
        <w:tblDescription w:val="This table provides a summary of the key features of each study included in the linked evidence base - including the study authors, sample size, study design and duration, risk of bias in the results, patient population characteristics, key outcomes measured, and whether the results were used in the economic evaluation in the report."/>
      </w:tblPr>
      <w:tblGrid>
        <w:gridCol w:w="2000"/>
        <w:gridCol w:w="5366"/>
        <w:gridCol w:w="1623"/>
      </w:tblGrid>
      <w:tr w:rsidR="00092155" w:rsidRPr="00447C83" w14:paraId="77D2F82D" w14:textId="77777777" w:rsidTr="00396F0C">
        <w:trPr>
          <w:cnfStyle w:val="100000000000" w:firstRow="1" w:lastRow="0" w:firstColumn="0" w:lastColumn="0" w:oddVBand="0" w:evenVBand="0" w:oddHBand="0" w:evenHBand="0" w:firstRowFirstColumn="0" w:firstRowLastColumn="0" w:lastRowFirstColumn="0" w:lastRowLastColumn="0"/>
        </w:trPr>
        <w:tc>
          <w:tcPr>
            <w:tcW w:w="1112" w:type="pct"/>
          </w:tcPr>
          <w:p w14:paraId="7CD39AF9" w14:textId="77777777" w:rsidR="00092155" w:rsidRPr="00447C83" w:rsidRDefault="00092155" w:rsidP="00092155">
            <w:pPr>
              <w:ind w:left="112" w:hanging="24"/>
              <w:contextualSpacing/>
              <w:jc w:val="left"/>
              <w:rPr>
                <w:rFonts w:ascii="Arial Narrow" w:hAnsi="Arial Narrow"/>
                <w:b/>
                <w:snapToGrid w:val="0"/>
                <w:lang w:eastAsia="en-US"/>
              </w:rPr>
            </w:pPr>
            <w:r w:rsidRPr="00447C83">
              <w:rPr>
                <w:rFonts w:ascii="Arial Narrow" w:hAnsi="Arial Narrow"/>
                <w:b/>
                <w:snapToGrid w:val="0"/>
                <w:lang w:eastAsia="en-US"/>
              </w:rPr>
              <w:t>Type of Evidence</w:t>
            </w:r>
          </w:p>
        </w:tc>
        <w:tc>
          <w:tcPr>
            <w:tcW w:w="2985" w:type="pct"/>
          </w:tcPr>
          <w:p w14:paraId="5CED37DE" w14:textId="77777777" w:rsidR="00092155" w:rsidRPr="00447C83" w:rsidRDefault="00092155" w:rsidP="00092155">
            <w:pPr>
              <w:ind w:left="112" w:hanging="24"/>
              <w:contextualSpacing/>
              <w:jc w:val="left"/>
              <w:rPr>
                <w:rFonts w:ascii="Arial Narrow" w:hAnsi="Arial Narrow"/>
                <w:b/>
                <w:snapToGrid w:val="0"/>
                <w:lang w:eastAsia="en-US"/>
              </w:rPr>
            </w:pPr>
            <w:r w:rsidRPr="00447C83">
              <w:rPr>
                <w:rFonts w:ascii="Arial Narrow" w:hAnsi="Arial Narrow"/>
                <w:b/>
                <w:snapToGrid w:val="0"/>
                <w:lang w:eastAsia="en-US"/>
              </w:rPr>
              <w:t>Description</w:t>
            </w:r>
          </w:p>
        </w:tc>
        <w:tc>
          <w:tcPr>
            <w:tcW w:w="903" w:type="pct"/>
          </w:tcPr>
          <w:p w14:paraId="138531C4" w14:textId="77777777" w:rsidR="00092155" w:rsidRPr="00447C83" w:rsidRDefault="00092155" w:rsidP="00092155">
            <w:pPr>
              <w:ind w:left="112" w:hanging="24"/>
              <w:contextualSpacing/>
              <w:jc w:val="left"/>
              <w:rPr>
                <w:rFonts w:ascii="Arial Narrow" w:hAnsi="Arial Narrow"/>
                <w:b/>
                <w:snapToGrid w:val="0"/>
                <w:lang w:eastAsia="en-US"/>
              </w:rPr>
            </w:pPr>
            <w:r w:rsidRPr="00447C83">
              <w:rPr>
                <w:rFonts w:ascii="Arial Narrow" w:hAnsi="Arial Narrow"/>
                <w:b/>
                <w:snapToGrid w:val="0"/>
                <w:lang w:eastAsia="en-US"/>
              </w:rPr>
              <w:t>Number</w:t>
            </w:r>
          </w:p>
        </w:tc>
      </w:tr>
      <w:tr w:rsidR="00092155" w:rsidRPr="00092155" w14:paraId="53FCDA51" w14:textId="77777777" w:rsidTr="00396F0C">
        <w:tc>
          <w:tcPr>
            <w:tcW w:w="1112" w:type="pct"/>
          </w:tcPr>
          <w:p w14:paraId="7387DD97" w14:textId="77777777" w:rsidR="00092155" w:rsidRPr="00092155" w:rsidRDefault="00092155" w:rsidP="004B683F">
            <w:pPr>
              <w:ind w:left="112" w:hanging="24"/>
              <w:contextualSpacing/>
              <w:jc w:val="left"/>
              <w:rPr>
                <w:rFonts w:ascii="Arial Narrow" w:hAnsi="Arial Narrow"/>
                <w:snapToGrid w:val="0"/>
                <w:highlight w:val="cyan"/>
                <w:lang w:eastAsia="en-US"/>
              </w:rPr>
            </w:pPr>
            <w:r w:rsidRPr="00092155">
              <w:rPr>
                <w:rFonts w:ascii="Arial Narrow" w:hAnsi="Arial Narrow"/>
                <w:snapToGrid w:val="0"/>
                <w:lang w:eastAsia="en-US"/>
              </w:rPr>
              <w:t>Diagnostic performance (Analytical validity)</w:t>
            </w:r>
            <w:r w:rsidR="004B683F" w:rsidRPr="00092155">
              <w:rPr>
                <w:rFonts w:ascii="Arial Narrow" w:hAnsi="Arial Narrow"/>
                <w:snapToGrid w:val="0"/>
                <w:lang w:eastAsia="en-US"/>
              </w:rPr>
              <w:t xml:space="preserve"> </w:t>
            </w:r>
            <w:r w:rsidRPr="00092155">
              <w:rPr>
                <w:rFonts w:ascii="Arial Narrow" w:hAnsi="Arial Narrow"/>
                <w:snapToGrid w:val="0"/>
                <w:lang w:eastAsia="en-US"/>
              </w:rPr>
              <w:t>(Section B3)</w:t>
            </w:r>
          </w:p>
        </w:tc>
        <w:tc>
          <w:tcPr>
            <w:tcW w:w="2985" w:type="pct"/>
          </w:tcPr>
          <w:p w14:paraId="3E4CE4D0" w14:textId="77777777" w:rsidR="00092155" w:rsidRPr="00092155" w:rsidRDefault="00092155" w:rsidP="00092155">
            <w:pPr>
              <w:ind w:left="112" w:hanging="24"/>
              <w:contextualSpacing/>
              <w:jc w:val="left"/>
              <w:rPr>
                <w:rFonts w:ascii="Arial Narrow" w:hAnsi="Arial Narrow"/>
                <w:snapToGrid w:val="0"/>
                <w:lang w:eastAsia="en-US"/>
              </w:rPr>
            </w:pPr>
            <w:r w:rsidRPr="00092155">
              <w:rPr>
                <w:rFonts w:ascii="Arial Narrow" w:hAnsi="Arial Narrow"/>
                <w:snapToGrid w:val="0"/>
                <w:lang w:eastAsia="en-US"/>
              </w:rPr>
              <w:sym w:font="Wingdings" w:char="F0E0"/>
            </w:r>
            <w:r w:rsidRPr="00092155">
              <w:rPr>
                <w:rFonts w:ascii="Arial Narrow" w:hAnsi="Arial Narrow"/>
                <w:snapToGrid w:val="0"/>
                <w:lang w:eastAsia="en-US"/>
              </w:rPr>
              <w:t xml:space="preserve"> One study compared the diagnostic performance of 21 assays including cell-based assays, in detecting serum AQP4-Abs from 15 diagnostic centres;</w:t>
            </w:r>
          </w:p>
          <w:p w14:paraId="26F2DC40" w14:textId="77777777" w:rsidR="00092155" w:rsidRPr="00092155" w:rsidRDefault="00092155" w:rsidP="00092155">
            <w:pPr>
              <w:ind w:left="112" w:hanging="24"/>
              <w:contextualSpacing/>
              <w:jc w:val="left"/>
              <w:rPr>
                <w:rFonts w:ascii="Arial Narrow" w:hAnsi="Arial Narrow"/>
                <w:snapToGrid w:val="0"/>
                <w:lang w:eastAsia="en-US"/>
              </w:rPr>
            </w:pPr>
            <w:r w:rsidRPr="00092155">
              <w:rPr>
                <w:rFonts w:ascii="Arial Narrow" w:hAnsi="Arial Narrow"/>
                <w:snapToGrid w:val="0"/>
                <w:lang w:eastAsia="en-US"/>
              </w:rPr>
              <w:sym w:font="Wingdings" w:char="F0E0"/>
            </w:r>
            <w:r w:rsidRPr="00092155">
              <w:rPr>
                <w:rFonts w:ascii="Arial Narrow" w:hAnsi="Arial Narrow"/>
                <w:snapToGrid w:val="0"/>
                <w:lang w:eastAsia="en-US"/>
              </w:rPr>
              <w:t xml:space="preserve"> One study compared the diagnostic performance of cell-based assay testing for AQP4-Abs in CSF versus serum</w:t>
            </w:r>
          </w:p>
        </w:tc>
        <w:tc>
          <w:tcPr>
            <w:tcW w:w="903" w:type="pct"/>
          </w:tcPr>
          <w:p w14:paraId="4DF8512D" w14:textId="77777777" w:rsidR="00092155" w:rsidRPr="00092155" w:rsidRDefault="00092155" w:rsidP="00092155">
            <w:pPr>
              <w:ind w:left="112" w:hanging="24"/>
              <w:contextualSpacing/>
              <w:jc w:val="left"/>
              <w:rPr>
                <w:rFonts w:ascii="Arial Narrow" w:hAnsi="Arial Narrow"/>
                <w:snapToGrid w:val="0"/>
                <w:lang w:eastAsia="en-US"/>
              </w:rPr>
            </w:pPr>
            <w:r w:rsidRPr="00092155">
              <w:rPr>
                <w:rFonts w:ascii="Arial Narrow" w:hAnsi="Arial Narrow"/>
                <w:snapToGrid w:val="0"/>
                <w:lang w:eastAsia="en-US"/>
              </w:rPr>
              <w:t>k=2</w:t>
            </w:r>
          </w:p>
          <w:p w14:paraId="4A4F0197" w14:textId="77777777" w:rsidR="00092155" w:rsidRPr="00092155" w:rsidRDefault="00092155" w:rsidP="00092155">
            <w:pPr>
              <w:ind w:left="112" w:hanging="24"/>
              <w:contextualSpacing/>
              <w:jc w:val="left"/>
              <w:rPr>
                <w:rFonts w:ascii="Arial Narrow" w:hAnsi="Arial Narrow"/>
                <w:snapToGrid w:val="0"/>
                <w:highlight w:val="cyan"/>
                <w:lang w:eastAsia="en-US"/>
              </w:rPr>
            </w:pPr>
            <w:r w:rsidRPr="00092155">
              <w:rPr>
                <w:rFonts w:ascii="Arial Narrow" w:hAnsi="Arial Narrow"/>
                <w:snapToGrid w:val="0"/>
                <w:lang w:eastAsia="en-US"/>
              </w:rPr>
              <w:t>n=138</w:t>
            </w:r>
          </w:p>
        </w:tc>
      </w:tr>
      <w:tr w:rsidR="00092155" w:rsidRPr="00092155" w14:paraId="0698C8AE" w14:textId="77777777" w:rsidTr="00396F0C">
        <w:tc>
          <w:tcPr>
            <w:tcW w:w="1112" w:type="pct"/>
          </w:tcPr>
          <w:p w14:paraId="265034D0" w14:textId="77777777" w:rsidR="00092155" w:rsidRPr="00092155" w:rsidRDefault="00092155" w:rsidP="00092155">
            <w:pPr>
              <w:ind w:left="112" w:hanging="24"/>
              <w:contextualSpacing/>
              <w:jc w:val="left"/>
              <w:rPr>
                <w:rFonts w:ascii="Arial Narrow" w:hAnsi="Arial Narrow"/>
                <w:snapToGrid w:val="0"/>
                <w:vertAlign w:val="superscript"/>
                <w:lang w:eastAsia="en-US"/>
              </w:rPr>
            </w:pPr>
            <w:r w:rsidRPr="00092155">
              <w:rPr>
                <w:rFonts w:ascii="Arial Narrow" w:hAnsi="Arial Narrow"/>
                <w:snapToGrid w:val="0"/>
                <w:lang w:eastAsia="en-US"/>
              </w:rPr>
              <w:t>Clinical validity</w:t>
            </w:r>
          </w:p>
          <w:p w14:paraId="6E06CBCD" w14:textId="77777777" w:rsidR="00092155" w:rsidRPr="00092155" w:rsidRDefault="00092155" w:rsidP="00092155">
            <w:pPr>
              <w:ind w:left="112" w:hanging="24"/>
              <w:contextualSpacing/>
              <w:jc w:val="left"/>
              <w:rPr>
                <w:rFonts w:ascii="Arial Narrow" w:hAnsi="Arial Narrow"/>
                <w:snapToGrid w:val="0"/>
                <w:lang w:eastAsia="en-US"/>
              </w:rPr>
            </w:pPr>
            <w:r w:rsidRPr="00092155">
              <w:rPr>
                <w:rFonts w:ascii="Arial Narrow" w:hAnsi="Arial Narrow"/>
                <w:snapToGrid w:val="0"/>
                <w:lang w:eastAsia="en-US"/>
              </w:rPr>
              <w:t>(Section B4)</w:t>
            </w:r>
          </w:p>
        </w:tc>
        <w:tc>
          <w:tcPr>
            <w:tcW w:w="2985" w:type="pct"/>
          </w:tcPr>
          <w:p w14:paraId="15C5792D" w14:textId="77777777" w:rsidR="00092155" w:rsidRPr="00092155" w:rsidRDefault="00092155" w:rsidP="00092155">
            <w:pPr>
              <w:ind w:left="112" w:hanging="24"/>
              <w:contextualSpacing/>
              <w:jc w:val="left"/>
              <w:rPr>
                <w:rFonts w:ascii="Arial Narrow" w:hAnsi="Arial Narrow"/>
                <w:snapToGrid w:val="0"/>
                <w:lang w:eastAsia="en-US"/>
              </w:rPr>
            </w:pPr>
            <w:r w:rsidRPr="00092155">
              <w:rPr>
                <w:rFonts w:ascii="Arial Narrow" w:hAnsi="Arial Narrow"/>
                <w:snapToGrid w:val="0"/>
                <w:lang w:eastAsia="en-US"/>
              </w:rPr>
              <w:sym w:font="Wingdings" w:char="F0E0"/>
            </w:r>
            <w:r w:rsidRPr="00092155">
              <w:rPr>
                <w:rFonts w:ascii="Arial Narrow" w:hAnsi="Arial Narrow"/>
                <w:snapToGrid w:val="0"/>
                <w:lang w:eastAsia="en-US"/>
              </w:rPr>
              <w:t xml:space="preserve"> Diagnostic Accuracy</w:t>
            </w:r>
            <w:r w:rsidR="004B683F">
              <w:rPr>
                <w:rFonts w:ascii="Arial Narrow" w:hAnsi="Arial Narrow"/>
                <w:snapToGrid w:val="0"/>
                <w:lang w:eastAsia="en-US"/>
              </w:rPr>
              <w:t>:</w:t>
            </w:r>
            <w:r w:rsidRPr="00092155">
              <w:rPr>
                <w:rFonts w:ascii="Arial Narrow" w:hAnsi="Arial Narrow"/>
                <w:snapToGrid w:val="0"/>
                <w:lang w:eastAsia="en-US"/>
              </w:rPr>
              <w:t xml:space="preserve"> </w:t>
            </w:r>
            <w:r w:rsidR="004B683F">
              <w:rPr>
                <w:rFonts w:ascii="Arial Narrow" w:hAnsi="Arial Narrow"/>
                <w:snapToGrid w:val="0"/>
                <w:lang w:eastAsia="en-US"/>
              </w:rPr>
              <w:t>AQP4-Ab test data w</w:t>
            </w:r>
            <w:r w:rsidR="00D06994">
              <w:rPr>
                <w:rFonts w:ascii="Arial Narrow" w:hAnsi="Arial Narrow"/>
                <w:snapToGrid w:val="0"/>
                <w:lang w:eastAsia="en-US"/>
              </w:rPr>
              <w:t>ere</w:t>
            </w:r>
            <w:r w:rsidR="004B683F">
              <w:rPr>
                <w:rFonts w:ascii="Arial Narrow" w:hAnsi="Arial Narrow"/>
                <w:snapToGrid w:val="0"/>
                <w:lang w:eastAsia="en-US"/>
              </w:rPr>
              <w:t xml:space="preserve"> extracted from </w:t>
            </w:r>
            <w:r w:rsidRPr="00092155">
              <w:rPr>
                <w:rFonts w:ascii="Arial Narrow" w:hAnsi="Arial Narrow"/>
                <w:snapToGrid w:val="0"/>
                <w:lang w:eastAsia="en-US"/>
              </w:rPr>
              <w:t xml:space="preserve">retrospective cohorts with before and after test data. Study populations </w:t>
            </w:r>
            <w:r w:rsidR="004B683F">
              <w:rPr>
                <w:rFonts w:ascii="Arial Narrow" w:hAnsi="Arial Narrow"/>
                <w:snapToGrid w:val="0"/>
                <w:lang w:eastAsia="en-US"/>
              </w:rPr>
              <w:t xml:space="preserve">were those with </w:t>
            </w:r>
            <w:r w:rsidRPr="00092155">
              <w:rPr>
                <w:rFonts w:ascii="Arial Narrow" w:hAnsi="Arial Narrow"/>
                <w:snapToGrid w:val="0"/>
                <w:lang w:eastAsia="en-US"/>
              </w:rPr>
              <w:t xml:space="preserve">CNS symptoms including ADS, ON, </w:t>
            </w:r>
            <w:r w:rsidRPr="00092155">
              <w:rPr>
                <w:rFonts w:ascii="Arial Narrow" w:hAnsi="Arial Narrow"/>
                <w:snapToGrid w:val="0"/>
                <w:lang w:eastAsia="en-US"/>
              </w:rPr>
              <w:lastRenderedPageBreak/>
              <w:t>LETM and ABS</w:t>
            </w:r>
            <w:r w:rsidR="001459EE">
              <w:rPr>
                <w:rFonts w:ascii="Arial Narrow" w:hAnsi="Arial Narrow"/>
                <w:snapToGrid w:val="0"/>
                <w:lang w:eastAsia="en-US"/>
              </w:rPr>
              <w:t>;</w:t>
            </w:r>
            <w:r w:rsidRPr="00092155">
              <w:rPr>
                <w:rFonts w:ascii="Arial Narrow" w:hAnsi="Arial Narrow"/>
                <w:snapToGrid w:val="0"/>
                <w:lang w:eastAsia="en-US"/>
              </w:rPr>
              <w:t xml:space="preserve"> all </w:t>
            </w:r>
            <w:r w:rsidR="001459EE">
              <w:rPr>
                <w:rFonts w:ascii="Arial Narrow" w:hAnsi="Arial Narrow"/>
                <w:snapToGrid w:val="0"/>
                <w:lang w:eastAsia="en-US"/>
              </w:rPr>
              <w:t xml:space="preserve">were compared with diagnosis by the </w:t>
            </w:r>
            <w:r w:rsidRPr="00092155">
              <w:rPr>
                <w:rFonts w:ascii="Arial Narrow" w:hAnsi="Arial Narrow"/>
                <w:snapToGrid w:val="0"/>
                <w:lang w:eastAsia="en-US"/>
              </w:rPr>
              <w:t xml:space="preserve">2015 IPND diagnostic criteria </w:t>
            </w:r>
          </w:p>
          <w:p w14:paraId="53C67702" w14:textId="77777777" w:rsidR="00092155" w:rsidRPr="00092155" w:rsidRDefault="00092155" w:rsidP="00092155">
            <w:pPr>
              <w:ind w:left="112" w:hanging="24"/>
              <w:contextualSpacing/>
              <w:jc w:val="left"/>
              <w:rPr>
                <w:rFonts w:ascii="Arial Narrow" w:hAnsi="Arial Narrow"/>
                <w:snapToGrid w:val="0"/>
                <w:lang w:eastAsia="en-US"/>
              </w:rPr>
            </w:pPr>
          </w:p>
          <w:p w14:paraId="7FD06263" w14:textId="77777777" w:rsidR="00092155" w:rsidRPr="00092155" w:rsidRDefault="00092155" w:rsidP="00092155">
            <w:pPr>
              <w:ind w:left="112" w:hanging="24"/>
              <w:contextualSpacing/>
              <w:jc w:val="left"/>
              <w:rPr>
                <w:rFonts w:ascii="Arial Narrow" w:hAnsi="Arial Narrow"/>
                <w:snapToGrid w:val="0"/>
                <w:lang w:eastAsia="en-US"/>
              </w:rPr>
            </w:pPr>
            <w:r w:rsidRPr="00092155">
              <w:rPr>
                <w:rFonts w:ascii="Arial Narrow" w:hAnsi="Arial Narrow"/>
                <w:snapToGrid w:val="0"/>
                <w:lang w:eastAsia="en-US"/>
              </w:rPr>
              <w:sym w:font="Wingdings" w:char="F0E0"/>
            </w:r>
            <w:r w:rsidRPr="00092155">
              <w:rPr>
                <w:rFonts w:ascii="Arial Narrow" w:hAnsi="Arial Narrow"/>
                <w:snapToGrid w:val="0"/>
                <w:lang w:eastAsia="en-US"/>
              </w:rPr>
              <w:t xml:space="preserve"> Diagnostic Yield</w:t>
            </w:r>
            <w:r w:rsidR="001459EE">
              <w:rPr>
                <w:rFonts w:ascii="Arial Narrow" w:hAnsi="Arial Narrow"/>
                <w:snapToGrid w:val="0"/>
                <w:lang w:eastAsia="en-US"/>
              </w:rPr>
              <w:t>:</w:t>
            </w:r>
            <w:r w:rsidRPr="00092155">
              <w:rPr>
                <w:rFonts w:ascii="Arial Narrow" w:hAnsi="Arial Narrow"/>
                <w:snapToGrid w:val="0"/>
                <w:lang w:eastAsia="en-US"/>
              </w:rPr>
              <w:t xml:space="preserve"> data were obtained </w:t>
            </w:r>
            <w:r w:rsidR="00D06994">
              <w:rPr>
                <w:rFonts w:ascii="Arial Narrow" w:hAnsi="Arial Narrow"/>
                <w:snapToGrid w:val="0"/>
                <w:lang w:eastAsia="en-US"/>
              </w:rPr>
              <w:t xml:space="preserve">from </w:t>
            </w:r>
            <w:r w:rsidR="001459EE">
              <w:rPr>
                <w:rFonts w:ascii="Arial Narrow" w:hAnsi="Arial Narrow"/>
                <w:snapToGrid w:val="0"/>
                <w:lang w:eastAsia="en-US"/>
              </w:rPr>
              <w:t>p</w:t>
            </w:r>
            <w:r w:rsidRPr="00092155">
              <w:rPr>
                <w:rFonts w:ascii="Arial Narrow" w:hAnsi="Arial Narrow"/>
                <w:snapToGrid w:val="0"/>
                <w:lang w:eastAsia="en-US"/>
              </w:rPr>
              <w:t xml:space="preserve">opulations </w:t>
            </w:r>
            <w:r w:rsidR="00D06994">
              <w:rPr>
                <w:rFonts w:ascii="Arial Narrow" w:hAnsi="Arial Narrow"/>
                <w:snapToGrid w:val="0"/>
                <w:lang w:eastAsia="en-US"/>
              </w:rPr>
              <w:t xml:space="preserve">with </w:t>
            </w:r>
            <w:r w:rsidRPr="00092155">
              <w:rPr>
                <w:rFonts w:ascii="Arial Narrow" w:hAnsi="Arial Narrow"/>
                <w:snapToGrid w:val="0"/>
                <w:lang w:eastAsia="en-US"/>
              </w:rPr>
              <w:t>ON or LETM</w:t>
            </w:r>
            <w:r w:rsidR="00D06994">
              <w:rPr>
                <w:rFonts w:ascii="Arial Narrow" w:hAnsi="Arial Narrow"/>
                <w:snapToGrid w:val="0"/>
                <w:lang w:eastAsia="en-US"/>
              </w:rPr>
              <w:t>,</w:t>
            </w:r>
            <w:r w:rsidRPr="00092155">
              <w:rPr>
                <w:rFonts w:ascii="Arial Narrow" w:hAnsi="Arial Narrow"/>
                <w:snapToGrid w:val="0"/>
                <w:lang w:eastAsia="en-US"/>
              </w:rPr>
              <w:t xml:space="preserve"> and with or suspected of having NMO or NMOSD</w:t>
            </w:r>
            <w:r w:rsidR="001459EE">
              <w:rPr>
                <w:rFonts w:ascii="Arial Narrow" w:hAnsi="Arial Narrow"/>
                <w:snapToGrid w:val="0"/>
                <w:lang w:eastAsia="en-US"/>
              </w:rPr>
              <w:t xml:space="preserve"> who were tested for AQP4-Ab and/or MOG-Abs</w:t>
            </w:r>
          </w:p>
          <w:p w14:paraId="785B67EC" w14:textId="77777777" w:rsidR="00092155" w:rsidRPr="00092155" w:rsidRDefault="00092155" w:rsidP="00092155">
            <w:pPr>
              <w:ind w:left="112" w:hanging="24"/>
              <w:contextualSpacing/>
              <w:jc w:val="left"/>
              <w:rPr>
                <w:rFonts w:ascii="Arial Narrow" w:hAnsi="Arial Narrow"/>
                <w:snapToGrid w:val="0"/>
                <w:lang w:eastAsia="en-US"/>
              </w:rPr>
            </w:pPr>
          </w:p>
          <w:p w14:paraId="65AEC197" w14:textId="77777777" w:rsidR="00092155" w:rsidRPr="00092155" w:rsidRDefault="00092155" w:rsidP="00D06994">
            <w:pPr>
              <w:ind w:left="112" w:hanging="24"/>
              <w:contextualSpacing/>
              <w:jc w:val="left"/>
              <w:rPr>
                <w:rFonts w:ascii="Arial Narrow" w:hAnsi="Arial Narrow"/>
                <w:snapToGrid w:val="0"/>
                <w:lang w:eastAsia="en-US"/>
              </w:rPr>
            </w:pPr>
            <w:r w:rsidRPr="00092155">
              <w:rPr>
                <w:rFonts w:ascii="Arial Narrow" w:hAnsi="Arial Narrow"/>
                <w:snapToGrid w:val="0"/>
                <w:lang w:eastAsia="en-US"/>
              </w:rPr>
              <w:sym w:font="Wingdings" w:char="F0E0"/>
            </w:r>
            <w:r w:rsidRPr="00092155">
              <w:rPr>
                <w:rFonts w:ascii="Arial Narrow" w:hAnsi="Arial Narrow"/>
                <w:snapToGrid w:val="0"/>
                <w:lang w:eastAsia="en-US"/>
              </w:rPr>
              <w:t xml:space="preserve"> </w:t>
            </w:r>
            <w:r w:rsidRPr="000A34C9">
              <w:rPr>
                <w:rFonts w:ascii="Arial Narrow" w:hAnsi="Arial Narrow"/>
                <w:snapToGrid w:val="0"/>
                <w:lang w:eastAsia="en-US"/>
              </w:rPr>
              <w:t>Prognosis</w:t>
            </w:r>
            <w:r w:rsidR="000A34C9">
              <w:rPr>
                <w:rFonts w:ascii="Arial Narrow" w:hAnsi="Arial Narrow"/>
                <w:snapToGrid w:val="0"/>
                <w:lang w:eastAsia="en-US"/>
              </w:rPr>
              <w:t>:</w:t>
            </w:r>
            <w:r w:rsidRPr="00092155">
              <w:rPr>
                <w:rFonts w:ascii="Arial Narrow" w:hAnsi="Arial Narrow"/>
                <w:snapToGrid w:val="0"/>
                <w:lang w:eastAsia="en-US"/>
              </w:rPr>
              <w:t xml:space="preserve"> </w:t>
            </w:r>
            <w:r w:rsidR="000A34C9">
              <w:rPr>
                <w:rFonts w:ascii="Arial Narrow" w:hAnsi="Arial Narrow"/>
                <w:snapToGrid w:val="0"/>
                <w:lang w:eastAsia="en-US"/>
              </w:rPr>
              <w:t>data w</w:t>
            </w:r>
            <w:r w:rsidR="00D06994">
              <w:rPr>
                <w:rFonts w:ascii="Arial Narrow" w:hAnsi="Arial Narrow"/>
                <w:snapToGrid w:val="0"/>
                <w:lang w:eastAsia="en-US"/>
              </w:rPr>
              <w:t>ere</w:t>
            </w:r>
            <w:r w:rsidR="000A34C9">
              <w:rPr>
                <w:rFonts w:ascii="Arial Narrow" w:hAnsi="Arial Narrow"/>
                <w:snapToGrid w:val="0"/>
                <w:lang w:eastAsia="en-US"/>
              </w:rPr>
              <w:t xml:space="preserve"> obtained from one systematic review and retrospective case series with before and after data. The systematic review compared visual impairment between seropositive and seronegative </w:t>
            </w:r>
            <w:r w:rsidR="000C2B3B">
              <w:rPr>
                <w:rFonts w:ascii="Arial Narrow" w:hAnsi="Arial Narrow"/>
                <w:snapToGrid w:val="0"/>
                <w:lang w:eastAsia="en-US"/>
              </w:rPr>
              <w:t xml:space="preserve">AQP4-Ab </w:t>
            </w:r>
            <w:r w:rsidR="000A34C9">
              <w:rPr>
                <w:rFonts w:ascii="Arial Narrow" w:hAnsi="Arial Narrow"/>
                <w:snapToGrid w:val="0"/>
                <w:lang w:eastAsia="en-US"/>
              </w:rPr>
              <w:t>patients. Other study outcomes included rate of conversion from first event to NMOSD, relapse rate of initial symptoms, EDSS and recovery rate from initial symptoms</w:t>
            </w:r>
            <w:r w:rsidR="000C2B3B">
              <w:rPr>
                <w:rFonts w:ascii="Arial Narrow" w:hAnsi="Arial Narrow"/>
                <w:snapToGrid w:val="0"/>
                <w:lang w:eastAsia="en-US"/>
              </w:rPr>
              <w:t xml:space="preserve"> in patients tested for AQP4 and/or MOG-Abs</w:t>
            </w:r>
          </w:p>
        </w:tc>
        <w:tc>
          <w:tcPr>
            <w:tcW w:w="903" w:type="pct"/>
          </w:tcPr>
          <w:p w14:paraId="7C45BD9B" w14:textId="77777777" w:rsidR="00092155" w:rsidRDefault="009665C7" w:rsidP="00092155">
            <w:pPr>
              <w:ind w:left="112" w:hanging="24"/>
              <w:contextualSpacing/>
              <w:jc w:val="left"/>
              <w:rPr>
                <w:rFonts w:ascii="Arial Narrow" w:hAnsi="Arial Narrow"/>
                <w:snapToGrid w:val="0"/>
                <w:lang w:eastAsia="en-US"/>
              </w:rPr>
            </w:pPr>
            <w:r>
              <w:rPr>
                <w:rFonts w:ascii="Arial Narrow" w:hAnsi="Arial Narrow"/>
                <w:snapToGrid w:val="0"/>
                <w:lang w:eastAsia="en-US"/>
              </w:rPr>
              <w:lastRenderedPageBreak/>
              <w:t>k=</w:t>
            </w:r>
            <w:r w:rsidR="005E6E11">
              <w:rPr>
                <w:rFonts w:ascii="Arial Narrow" w:hAnsi="Arial Narrow"/>
                <w:snapToGrid w:val="0"/>
                <w:lang w:eastAsia="en-US"/>
              </w:rPr>
              <w:t>23</w:t>
            </w:r>
          </w:p>
          <w:p w14:paraId="68725E4E" w14:textId="65ECB64A" w:rsidR="00092155" w:rsidRPr="00092155" w:rsidRDefault="000A34C9" w:rsidP="00437279">
            <w:pPr>
              <w:ind w:left="112" w:hanging="24"/>
              <w:contextualSpacing/>
              <w:jc w:val="left"/>
              <w:rPr>
                <w:rFonts w:ascii="Arial Narrow" w:hAnsi="Arial Narrow"/>
                <w:snapToGrid w:val="0"/>
                <w:lang w:eastAsia="en-US"/>
              </w:rPr>
            </w:pPr>
            <w:r>
              <w:rPr>
                <w:rFonts w:ascii="Arial Narrow" w:hAnsi="Arial Narrow"/>
                <w:snapToGrid w:val="0"/>
                <w:lang w:eastAsia="en-US"/>
              </w:rPr>
              <w:t>n=</w:t>
            </w:r>
            <w:r w:rsidR="0040516C">
              <w:rPr>
                <w:rFonts w:ascii="Arial Narrow" w:hAnsi="Arial Narrow"/>
                <w:snapToGrid w:val="0"/>
                <w:lang w:eastAsia="en-US"/>
              </w:rPr>
              <w:t>5,756</w:t>
            </w:r>
          </w:p>
        </w:tc>
      </w:tr>
      <w:tr w:rsidR="00092155" w:rsidRPr="00092155" w14:paraId="6909A909" w14:textId="77777777" w:rsidTr="00396F0C">
        <w:tc>
          <w:tcPr>
            <w:tcW w:w="1112" w:type="pct"/>
          </w:tcPr>
          <w:p w14:paraId="2E5775BB" w14:textId="77777777" w:rsidR="00092155" w:rsidRPr="00092155" w:rsidRDefault="00092155" w:rsidP="00092155">
            <w:pPr>
              <w:ind w:left="112" w:hanging="24"/>
              <w:contextualSpacing/>
              <w:jc w:val="left"/>
              <w:rPr>
                <w:rFonts w:ascii="Arial Narrow" w:hAnsi="Arial Narrow"/>
                <w:snapToGrid w:val="0"/>
                <w:lang w:eastAsia="en-US"/>
              </w:rPr>
            </w:pPr>
            <w:r w:rsidRPr="00092155">
              <w:rPr>
                <w:rFonts w:ascii="Arial Narrow" w:hAnsi="Arial Narrow"/>
                <w:snapToGrid w:val="0"/>
                <w:lang w:eastAsia="en-US"/>
              </w:rPr>
              <w:t>Clinical Utility (Therapeutic efficacy) (Section B5)</w:t>
            </w:r>
          </w:p>
        </w:tc>
        <w:tc>
          <w:tcPr>
            <w:tcW w:w="2985" w:type="pct"/>
          </w:tcPr>
          <w:p w14:paraId="6C4C5B73" w14:textId="77777777" w:rsidR="00092155" w:rsidRDefault="00EA5F2A" w:rsidP="00EA5F2A">
            <w:pPr>
              <w:ind w:left="112" w:hanging="24"/>
              <w:contextualSpacing/>
              <w:jc w:val="left"/>
              <w:rPr>
                <w:rFonts w:ascii="Arial Narrow" w:hAnsi="Arial Narrow"/>
                <w:snapToGrid w:val="0"/>
                <w:lang w:eastAsia="en-US"/>
              </w:rPr>
            </w:pPr>
            <w:r w:rsidRPr="00092155">
              <w:rPr>
                <w:rFonts w:ascii="Arial Narrow" w:hAnsi="Arial Narrow"/>
                <w:snapToGrid w:val="0"/>
                <w:lang w:eastAsia="en-US"/>
              </w:rPr>
              <w:sym w:font="Wingdings" w:char="F0E0"/>
            </w:r>
            <w:r w:rsidRPr="00092155">
              <w:rPr>
                <w:rFonts w:ascii="Arial Narrow" w:hAnsi="Arial Narrow"/>
                <w:snapToGrid w:val="0"/>
                <w:lang w:eastAsia="en-US"/>
              </w:rPr>
              <w:t xml:space="preserve"> </w:t>
            </w:r>
            <w:r>
              <w:rPr>
                <w:rFonts w:ascii="Arial Narrow" w:hAnsi="Arial Narrow"/>
                <w:snapToGrid w:val="0"/>
                <w:lang w:eastAsia="en-US"/>
              </w:rPr>
              <w:t xml:space="preserve">Change in patient management: Studies </w:t>
            </w:r>
            <w:r w:rsidR="00092155" w:rsidRPr="00092155">
              <w:rPr>
                <w:rFonts w:ascii="Arial Narrow" w:hAnsi="Arial Narrow"/>
                <w:snapToGrid w:val="0"/>
                <w:lang w:eastAsia="en-US"/>
              </w:rPr>
              <w:t xml:space="preserve">included adults and/or children diagnosed with NMOSD or other </w:t>
            </w:r>
            <w:r>
              <w:rPr>
                <w:rFonts w:ascii="Arial Narrow" w:hAnsi="Arial Narrow"/>
                <w:snapToGrid w:val="0"/>
                <w:lang w:eastAsia="en-US"/>
              </w:rPr>
              <w:t xml:space="preserve">CNS </w:t>
            </w:r>
            <w:r w:rsidR="00092155" w:rsidRPr="00092155">
              <w:rPr>
                <w:rFonts w:ascii="Arial Narrow" w:hAnsi="Arial Narrow"/>
                <w:snapToGrid w:val="0"/>
                <w:lang w:eastAsia="en-US"/>
              </w:rPr>
              <w:t xml:space="preserve">inflammatory diseases </w:t>
            </w:r>
            <w:r>
              <w:rPr>
                <w:rFonts w:ascii="Arial Narrow" w:hAnsi="Arial Narrow"/>
                <w:snapToGrid w:val="0"/>
                <w:lang w:eastAsia="en-US"/>
              </w:rPr>
              <w:t>who had been tested for AQP4-Abs. The impact of test results on patient management was determined, including time to diagnosis, change in diagnosis and clinician agreement in diagnosis</w:t>
            </w:r>
          </w:p>
          <w:p w14:paraId="485D46C9" w14:textId="77777777" w:rsidR="00D50040" w:rsidRPr="00092155" w:rsidRDefault="00D50040" w:rsidP="00D06994">
            <w:pPr>
              <w:ind w:left="112" w:hanging="24"/>
              <w:contextualSpacing/>
              <w:jc w:val="left"/>
              <w:rPr>
                <w:rFonts w:ascii="Arial Narrow" w:hAnsi="Arial Narrow"/>
                <w:snapToGrid w:val="0"/>
                <w:lang w:eastAsia="en-US"/>
              </w:rPr>
            </w:pPr>
            <w:r w:rsidRPr="00092155">
              <w:rPr>
                <w:rFonts w:ascii="Arial Narrow" w:hAnsi="Arial Narrow"/>
                <w:snapToGrid w:val="0"/>
                <w:lang w:eastAsia="en-US"/>
              </w:rPr>
              <w:sym w:font="Wingdings" w:char="F0E0"/>
            </w:r>
            <w:r>
              <w:rPr>
                <w:rFonts w:ascii="Arial Narrow" w:hAnsi="Arial Narrow"/>
                <w:snapToGrid w:val="0"/>
                <w:lang w:eastAsia="en-US"/>
              </w:rPr>
              <w:t>Therapeutic effectiveness: data w</w:t>
            </w:r>
            <w:r w:rsidR="00D06994">
              <w:rPr>
                <w:rFonts w:ascii="Arial Narrow" w:hAnsi="Arial Narrow"/>
                <w:snapToGrid w:val="0"/>
                <w:lang w:eastAsia="en-US"/>
              </w:rPr>
              <w:t>ere</w:t>
            </w:r>
            <w:r>
              <w:rPr>
                <w:rFonts w:ascii="Arial Narrow" w:hAnsi="Arial Narrow"/>
                <w:snapToGrid w:val="0"/>
                <w:lang w:eastAsia="en-US"/>
              </w:rPr>
              <w:t xml:space="preserve"> obtained from one systematic review and other studies including RCT, cohort</w:t>
            </w:r>
            <w:r w:rsidR="00F55FA1">
              <w:rPr>
                <w:rFonts w:ascii="Arial Narrow" w:hAnsi="Arial Narrow"/>
                <w:snapToGrid w:val="0"/>
                <w:lang w:eastAsia="en-US"/>
              </w:rPr>
              <w:t>s</w:t>
            </w:r>
            <w:r>
              <w:rPr>
                <w:rFonts w:ascii="Arial Narrow" w:hAnsi="Arial Narrow"/>
                <w:snapToGrid w:val="0"/>
                <w:lang w:eastAsia="en-US"/>
              </w:rPr>
              <w:t xml:space="preserve"> and case series. </w:t>
            </w:r>
            <w:r w:rsidR="000C2B3B">
              <w:rPr>
                <w:rFonts w:ascii="Arial Narrow" w:hAnsi="Arial Narrow"/>
                <w:snapToGrid w:val="0"/>
                <w:lang w:eastAsia="en-US"/>
              </w:rPr>
              <w:t xml:space="preserve">The systematic review evaluated the efficacy of rituximab. Other studies provided outcomes related to impact of patient management changes (e.g. early versus late treatment) or therapeutic effectiveness and safety of medication in patients tested for AQP4 or MOG Abs </w:t>
            </w:r>
          </w:p>
        </w:tc>
        <w:tc>
          <w:tcPr>
            <w:tcW w:w="903" w:type="pct"/>
          </w:tcPr>
          <w:p w14:paraId="3D71582C" w14:textId="77777777" w:rsidR="00977545" w:rsidRDefault="00092155" w:rsidP="00977545">
            <w:pPr>
              <w:ind w:left="112" w:hanging="24"/>
              <w:contextualSpacing/>
              <w:jc w:val="left"/>
              <w:rPr>
                <w:rFonts w:ascii="Arial Narrow" w:hAnsi="Arial Narrow"/>
                <w:snapToGrid w:val="0"/>
                <w:lang w:eastAsia="en-US"/>
              </w:rPr>
            </w:pPr>
            <w:r w:rsidRPr="00092155">
              <w:rPr>
                <w:rFonts w:ascii="Arial Narrow" w:hAnsi="Arial Narrow"/>
                <w:snapToGrid w:val="0"/>
                <w:lang w:eastAsia="en-US"/>
              </w:rPr>
              <w:t>k=</w:t>
            </w:r>
            <w:r w:rsidR="005E6E11">
              <w:rPr>
                <w:rFonts w:ascii="Arial Narrow" w:hAnsi="Arial Narrow"/>
                <w:snapToGrid w:val="0"/>
                <w:lang w:eastAsia="en-US"/>
              </w:rPr>
              <w:t>22</w:t>
            </w:r>
          </w:p>
          <w:p w14:paraId="405070F1" w14:textId="77777777" w:rsidR="00092155" w:rsidRPr="00092155" w:rsidRDefault="00092155" w:rsidP="0040516C">
            <w:pPr>
              <w:ind w:left="112" w:hanging="24"/>
              <w:contextualSpacing/>
              <w:jc w:val="left"/>
              <w:rPr>
                <w:rFonts w:ascii="Arial Narrow" w:hAnsi="Arial Narrow"/>
                <w:snapToGrid w:val="0"/>
                <w:lang w:eastAsia="en-US"/>
              </w:rPr>
            </w:pPr>
            <w:r w:rsidRPr="00092155">
              <w:rPr>
                <w:rFonts w:ascii="Arial Narrow" w:hAnsi="Arial Narrow"/>
                <w:snapToGrid w:val="0"/>
                <w:lang w:eastAsia="en-US"/>
              </w:rPr>
              <w:t>n=</w:t>
            </w:r>
            <w:r w:rsidR="0040516C">
              <w:rPr>
                <w:rFonts w:ascii="Arial Narrow" w:hAnsi="Arial Narrow"/>
                <w:snapToGrid w:val="0"/>
                <w:lang w:eastAsia="en-US"/>
              </w:rPr>
              <w:t>3.166</w:t>
            </w:r>
          </w:p>
        </w:tc>
      </w:tr>
    </w:tbl>
    <w:p w14:paraId="32A6B628" w14:textId="77777777" w:rsidR="00092155" w:rsidRPr="007050B9" w:rsidRDefault="004E2874" w:rsidP="007050B9">
      <w:pPr>
        <w:pStyle w:val="Tablenotes0"/>
      </w:pPr>
      <w:r>
        <w:t>ABS = acute brainstem syndrome; ADS = acquired demyelination syndromes; AQP4-Abs = aquaporin 4 antibodies; CNS = central nervous system; CSF = cerebrospinal fluid; EDSS = ex</w:t>
      </w:r>
      <w:r w:rsidR="005B097D">
        <w:t>panded</w:t>
      </w:r>
      <w:r>
        <w:t xml:space="preserve"> disability status scale; IPND = International Panel for NMO Diagnosis; LETM = longitudinally extensive transverse myelitis; MOG-Abs = myelin oligodendrocyte glycoprotein antibodies; NMO = neuromyelitis optica; NMOSD = neuromyelitis optica spectrum disorders; ON = optic neuritis; RCT = randomised controlled trial</w:t>
      </w:r>
    </w:p>
    <w:p w14:paraId="40A6E7FC" w14:textId="77777777" w:rsidR="00ED65EE" w:rsidRPr="00183E4D" w:rsidRDefault="00ED65EE" w:rsidP="00ED65EE">
      <w:pPr>
        <w:pStyle w:val="Heading3"/>
        <w:jc w:val="both"/>
      </w:pPr>
      <w:bookmarkStart w:id="60" w:name="_Toc395200750"/>
      <w:bookmarkStart w:id="61" w:name="_Toc39588257"/>
      <w:bookmarkEnd w:id="48"/>
      <w:bookmarkEnd w:id="49"/>
      <w:bookmarkEnd w:id="50"/>
      <w:r w:rsidRPr="00183E4D">
        <w:t>Results</w:t>
      </w:r>
      <w:bookmarkEnd w:id="60"/>
      <w:bookmarkEnd w:id="61"/>
    </w:p>
    <w:p w14:paraId="5E1E8503" w14:textId="77777777" w:rsidR="00ED65EE" w:rsidRDefault="00ED65EE" w:rsidP="00ED65EE">
      <w:pPr>
        <w:pStyle w:val="Heading4"/>
        <w:jc w:val="both"/>
      </w:pPr>
      <w:r w:rsidRPr="00183E4D">
        <w:t xml:space="preserve">Safety </w:t>
      </w:r>
    </w:p>
    <w:p w14:paraId="53E1B575" w14:textId="77777777" w:rsidR="0075285F" w:rsidRDefault="0075285F" w:rsidP="0075285F">
      <w:r w:rsidRPr="0075285F">
        <w:t xml:space="preserve">The literature search did not identify any studies that </w:t>
      </w:r>
      <w:r w:rsidR="00FF0E7C">
        <w:t>directly assessed</w:t>
      </w:r>
      <w:r w:rsidRPr="0075285F">
        <w:t xml:space="preserve"> the safety of AQP4-Ab and MOG-Ab testing in those suspected of NMOSD. The safety (adverse events) associated with NMOSD treatments relevant to the Australian setting are discussed in </w:t>
      </w:r>
      <w:r w:rsidR="00FF0E7C">
        <w:t>association with management changes (</w:t>
      </w:r>
      <w:r w:rsidRPr="0075285F">
        <w:t>Section B5.2.4</w:t>
      </w:r>
      <w:r w:rsidR="00001152">
        <w:tab/>
        <w:t>Safety</w:t>
      </w:r>
      <w:r w:rsidR="00FF0E7C">
        <w:t>)</w:t>
      </w:r>
      <w:r w:rsidRPr="0075285F">
        <w:t xml:space="preserve">. </w:t>
      </w:r>
    </w:p>
    <w:p w14:paraId="14FB1C87" w14:textId="77777777" w:rsidR="00ED65EE" w:rsidRDefault="00ED65EE" w:rsidP="00ED65EE">
      <w:pPr>
        <w:pStyle w:val="Heading5"/>
      </w:pPr>
      <w:r>
        <w:t>Test adverse events</w:t>
      </w:r>
    </w:p>
    <w:p w14:paraId="0082246A" w14:textId="26374B7E" w:rsidR="00FF0E7C" w:rsidRPr="0071212A" w:rsidRDefault="00FF0E7C" w:rsidP="00FF0E7C">
      <w:r>
        <w:t xml:space="preserve">Testing performed on a blood sample is unlikely to result in any adverse effects. It is understood from clinical advice that CSF sampling is not likely to occur for the sole purpose of AQP4-Ab and MOG-Ab testing. Rather, testing of CSF would only occur using samples collected from prior diagnostic investigations such as </w:t>
      </w:r>
      <w:r w:rsidR="00767DEA">
        <w:t>OCB</w:t>
      </w:r>
      <w:r>
        <w:t>, which require CSF samples. Therefore</w:t>
      </w:r>
      <w:r w:rsidR="00437279">
        <w:t>,</w:t>
      </w:r>
      <w:r>
        <w:t xml:space="preserve"> there </w:t>
      </w:r>
      <w:r w:rsidR="005A5B17">
        <w:t>are</w:t>
      </w:r>
      <w:r>
        <w:t xml:space="preserve"> not expected to be adverse events as a result of CSF sampling. </w:t>
      </w:r>
    </w:p>
    <w:p w14:paraId="1BBBA0EB" w14:textId="77777777" w:rsidR="00ED65EE" w:rsidRPr="0071212A" w:rsidRDefault="00ED65EE" w:rsidP="00ED65EE">
      <w:pPr>
        <w:pStyle w:val="Heading5"/>
      </w:pPr>
      <w:r>
        <w:t>Adverse events from change in management</w:t>
      </w:r>
    </w:p>
    <w:p w14:paraId="081929DF" w14:textId="05D3A062" w:rsidR="0075285F" w:rsidRDefault="005F4482" w:rsidP="00D56D81">
      <w:pPr>
        <w:spacing w:before="240"/>
      </w:pPr>
      <w:r>
        <w:t>Data on adverse events w</w:t>
      </w:r>
      <w:r w:rsidR="00761624">
        <w:t>ere</w:t>
      </w:r>
      <w:r>
        <w:t xml:space="preserve"> taken from </w:t>
      </w:r>
      <w:r w:rsidR="0075285F" w:rsidRPr="0075285F">
        <w:t xml:space="preserve">seven studies </w:t>
      </w:r>
      <w:r>
        <w:t xml:space="preserve">that </w:t>
      </w:r>
      <w:r w:rsidR="0075285F" w:rsidRPr="0075285F">
        <w:t>reported on the safety of treatment</w:t>
      </w:r>
      <w:r w:rsidR="00DE1360">
        <w:t>s</w:t>
      </w:r>
      <w:r w:rsidR="0075285F" w:rsidRPr="0075285F">
        <w:t xml:space="preserve"> used in the management of NMOSD</w:t>
      </w:r>
      <w:r w:rsidR="00D56D81">
        <w:t xml:space="preserve">. </w:t>
      </w:r>
      <w:r w:rsidR="00D166B9">
        <w:t xml:space="preserve">One systematic review of rituximab </w:t>
      </w:r>
      <w:r w:rsidR="00734081">
        <w:t xml:space="preserve">(RTX) </w:t>
      </w:r>
      <w:r w:rsidR="00D166B9">
        <w:t xml:space="preserve">therapy </w:t>
      </w:r>
      <w:r w:rsidR="00DE1360">
        <w:t>for</w:t>
      </w:r>
      <w:r w:rsidR="00D166B9">
        <w:t xml:space="preserve"> NMOSD reported on adverse events</w:t>
      </w:r>
      <w:r w:rsidR="003E265F">
        <w:t xml:space="preserve"> </w:t>
      </w:r>
      <w:r w:rsidR="003E265F">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 </w:instrText>
      </w:r>
      <w:r w:rsidR="00511EDB">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EN.CITE.DATA </w:instrText>
      </w:r>
      <w:r w:rsidR="00511EDB">
        <w:fldChar w:fldCharType="end"/>
      </w:r>
      <w:r w:rsidR="003E265F">
        <w:fldChar w:fldCharType="separate"/>
      </w:r>
      <w:r w:rsidR="00511EDB">
        <w:rPr>
          <w:noProof/>
        </w:rPr>
        <w:t>(Gao et al. 2019)</w:t>
      </w:r>
      <w:r w:rsidR="003E265F">
        <w:fldChar w:fldCharType="end"/>
      </w:r>
      <w:r w:rsidR="00D166B9">
        <w:t xml:space="preserve"> Of the</w:t>
      </w:r>
      <w:r w:rsidR="00DE1360">
        <w:t xml:space="preserve"> six</w:t>
      </w:r>
      <w:r w:rsidR="00D166B9">
        <w:t xml:space="preserve"> primary studies, o</w:t>
      </w:r>
      <w:r w:rsidR="00D56D81">
        <w:t>nly one randomised patients to a treatment</w:t>
      </w:r>
      <w:r w:rsidR="00F24DEF">
        <w:t xml:space="preserve"> (eculizumab</w:t>
      </w:r>
      <w:r w:rsidR="00F218E8">
        <w:t>,</w:t>
      </w:r>
      <w:r w:rsidR="00734081">
        <w:t xml:space="preserve"> ECZ)</w:t>
      </w:r>
      <w:r w:rsidR="00D56D81">
        <w:t xml:space="preserve"> or placebo, </w:t>
      </w:r>
      <w:r w:rsidR="00B177C6">
        <w:fldChar w:fldCharType="begin"/>
      </w:r>
      <w:r w:rsidR="001E4BD1">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sidR="00B177C6">
        <w:fldChar w:fldCharType="separate"/>
      </w:r>
      <w:r w:rsidR="001E4BD1">
        <w:rPr>
          <w:noProof/>
        </w:rPr>
        <w:t>(Pittock et al. 2019)</w:t>
      </w:r>
      <w:r w:rsidR="00B177C6">
        <w:fldChar w:fldCharType="end"/>
      </w:r>
      <w:r w:rsidR="00D56D81">
        <w:t>and the others were single armed studies or performed a post-hoc comparison of treatments.</w:t>
      </w:r>
      <w:r w:rsidR="00F24DEF">
        <w:t xml:space="preserve"> The treatments given for NMOSD in the studies were </w:t>
      </w:r>
      <w:r w:rsidR="00734081">
        <w:t>RTX</w:t>
      </w:r>
      <w:r w:rsidR="00F24DEF">
        <w:t xml:space="preserve">, </w:t>
      </w:r>
      <w:r w:rsidR="00734081">
        <w:t>ECZ</w:t>
      </w:r>
      <w:r w:rsidR="00F24DEF">
        <w:t>, plasma exchange</w:t>
      </w:r>
      <w:r w:rsidR="00734081">
        <w:t xml:space="preserve"> (PLEX)</w:t>
      </w:r>
      <w:r w:rsidR="00F24DEF">
        <w:t xml:space="preserve">, mycophenolate mofetil </w:t>
      </w:r>
      <w:r w:rsidR="00734081">
        <w:t xml:space="preserve">(MMF) </w:t>
      </w:r>
      <w:r w:rsidR="00F24DEF">
        <w:t>and azathioprine</w:t>
      </w:r>
      <w:r w:rsidR="00734081">
        <w:t xml:space="preserve"> (AZA)</w:t>
      </w:r>
      <w:r w:rsidR="00F24DEF">
        <w:t>.</w:t>
      </w:r>
    </w:p>
    <w:p w14:paraId="48680E77" w14:textId="77777777" w:rsidR="00D56D81" w:rsidRDefault="00D56D81" w:rsidP="00D56D81">
      <w:pPr>
        <w:spacing w:before="240"/>
      </w:pPr>
      <w:r>
        <w:lastRenderedPageBreak/>
        <w:t xml:space="preserve">Serious adverse event rates were found to range from 0.8 to 13.8% across treatments, </w:t>
      </w:r>
      <w:r w:rsidR="00D67810">
        <w:t>ECZ</w:t>
      </w:r>
      <w:r>
        <w:t xml:space="preserve"> having the highest and </w:t>
      </w:r>
      <w:r w:rsidR="00D67810">
        <w:t>RTZ</w:t>
      </w:r>
      <w:r>
        <w:t xml:space="preserve"> having the lowest serious adverse events rate.</w:t>
      </w:r>
      <w:r w:rsidR="003855CC">
        <w:t xml:space="preserve"> I</w:t>
      </w:r>
      <w:r>
        <w:t xml:space="preserve">t was not possible to tell if </w:t>
      </w:r>
      <w:r w:rsidR="005A5B17">
        <w:t>the</w:t>
      </w:r>
      <w:r>
        <w:t xml:space="preserve"> events were associated with </w:t>
      </w:r>
      <w:r w:rsidR="004B4D9D">
        <w:t xml:space="preserve">the </w:t>
      </w:r>
      <w:r>
        <w:t>treatment in the studies, except where it was specifically stated in one study. For this reason</w:t>
      </w:r>
      <w:r w:rsidR="004B4D9D">
        <w:t>,</w:t>
      </w:r>
      <w:r>
        <w:t xml:space="preserve"> and because of the non-comparative study designs</w:t>
      </w:r>
      <w:r w:rsidR="004B4D9D">
        <w:t xml:space="preserve"> and small sample sizes</w:t>
      </w:r>
      <w:r>
        <w:t xml:space="preserve">, the adverse event data </w:t>
      </w:r>
      <w:r w:rsidR="00DE1360">
        <w:t>sh</w:t>
      </w:r>
      <w:r>
        <w:t xml:space="preserve">ould be considered with caution. </w:t>
      </w:r>
    </w:p>
    <w:p w14:paraId="5AFFC122" w14:textId="77777777" w:rsidR="00CE0DCE" w:rsidRDefault="00585D05" w:rsidP="00D56D81">
      <w:pPr>
        <w:spacing w:before="240"/>
      </w:pPr>
      <w:r>
        <w:t xml:space="preserve">There was insufficient evidence meeting the </w:t>
      </w:r>
      <w:r w:rsidR="00DE1360">
        <w:t>eligibility</w:t>
      </w:r>
      <w:r>
        <w:t xml:space="preserve"> criteria for any conclusions to be made about the safety of AQP4-Ab or MOG-Ab testing for monitoring disease status in patients diagnosed with NMOSD.</w:t>
      </w:r>
    </w:p>
    <w:p w14:paraId="20A12C0A" w14:textId="77777777" w:rsidR="00ED65EE" w:rsidRPr="00183E4D" w:rsidRDefault="00ED65EE" w:rsidP="00ED65EE">
      <w:pPr>
        <w:pStyle w:val="Heading4"/>
        <w:jc w:val="both"/>
      </w:pPr>
      <w:r w:rsidRPr="00183E4D">
        <w:t xml:space="preserve">Effectiveness </w:t>
      </w:r>
    </w:p>
    <w:p w14:paraId="62234AAE" w14:textId="77777777" w:rsidR="00ED65EE" w:rsidRPr="000A77C8" w:rsidRDefault="00ED65EE" w:rsidP="00ED65EE">
      <w:pPr>
        <w:pStyle w:val="Heading5"/>
      </w:pPr>
      <w:r>
        <w:t>Direct effectiveness</w:t>
      </w:r>
    </w:p>
    <w:p w14:paraId="7EF4E740" w14:textId="77777777" w:rsidR="00585D05" w:rsidRDefault="00585D05" w:rsidP="00585D05">
      <w:r>
        <w:t>There was no direct evidence identified that met the inclusion criteria. A linked evidence approach was undertaken to answer the research questions.</w:t>
      </w:r>
    </w:p>
    <w:p w14:paraId="14586DA0" w14:textId="77777777" w:rsidR="00ED65EE" w:rsidRDefault="00ED65EE" w:rsidP="003855CC">
      <w:pPr>
        <w:pStyle w:val="Heading4"/>
      </w:pPr>
      <w:r>
        <w:t>Effectiveness from linked evidence</w:t>
      </w:r>
    </w:p>
    <w:p w14:paraId="1F7251D8" w14:textId="77777777" w:rsidR="0075285F" w:rsidRDefault="0075285F" w:rsidP="005B2DCE">
      <w:pPr>
        <w:pStyle w:val="Heading5"/>
      </w:pPr>
      <w:r w:rsidRPr="0075285F">
        <w:t>Diagnostic performance</w:t>
      </w:r>
    </w:p>
    <w:p w14:paraId="7FBA8037" w14:textId="277A0F81" w:rsidR="001858E1" w:rsidRDefault="004B4D9D" w:rsidP="001858E1">
      <w:r w:rsidRPr="004B4D9D">
        <w:t xml:space="preserve">There is no reference standard for diagnostic accuracy for detecting AQP4-Abs in patients suspected of NMOSD. It was understood from the literature, </w:t>
      </w:r>
      <w:r w:rsidR="00156621">
        <w:fldChar w:fldCharType="begin">
          <w:fldData xml:space="preserve">PEVuZE5vdGU+PENpdGU+PEF1dGhvcj5QcmFpbjwvQXV0aG9yPjxZZWFyPjIwMTk8L1llYXI+PFJl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</w:fldData>
        </w:fldChar>
      </w:r>
      <w:r w:rsidR="000967CF">
        <w:instrText xml:space="preserve"> ADDIN EN.CITE </w:instrText>
      </w:r>
      <w:r w:rsidR="000967CF">
        <w:fldChar w:fldCharType="begin">
          <w:fldData xml:space="preserve">PEVuZE5vdGU+PENpdGU+PEF1dGhvcj5QcmFpbjwvQXV0aG9yPjxZZWFyPjIwMTk8L1llYXI+PFJl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</w:fldData>
        </w:fldChar>
      </w:r>
      <w:r w:rsidR="000967CF">
        <w:instrText xml:space="preserve"> ADDIN EN.CITE.DATA </w:instrText>
      </w:r>
      <w:r w:rsidR="000967CF">
        <w:fldChar w:fldCharType="end"/>
      </w:r>
      <w:r w:rsidR="00156621">
        <w:fldChar w:fldCharType="separate"/>
      </w:r>
      <w:r w:rsidR="000967CF">
        <w:rPr>
          <w:noProof/>
        </w:rPr>
        <w:t>(Prain et al. 2019; Waters et al. 2012)</w:t>
      </w:r>
      <w:r w:rsidR="00156621">
        <w:fldChar w:fldCharType="end"/>
      </w:r>
      <w:r w:rsidRPr="004B4D9D">
        <w:t xml:space="preserve"> and accepted by PASC, that cell-based assays are the best performers for AQP4-Ab and MOG-Ab testing, rather than enzyme-linked immunosorbent assays (ELISA) or indirect immunofluorescence (IIF) assays. </w:t>
      </w:r>
      <w:r w:rsidR="00590643" w:rsidRPr="004B4D9D">
        <w:t>Therefore,</w:t>
      </w:r>
      <w:r w:rsidRPr="004B4D9D">
        <w:t xml:space="preserve"> test performance was limited to a concordance analysis between different types of cell-based assays. The implication of this is that we are able to say whether cell-based assays agree with each other, but not if they are able to give an accurate detection of AQP4-Abs.</w:t>
      </w:r>
    </w:p>
    <w:p w14:paraId="30D5B963" w14:textId="77777777" w:rsidR="001858E1" w:rsidRDefault="001858E1" w:rsidP="001858E1">
      <w:r>
        <w:t xml:space="preserve">Results of </w:t>
      </w:r>
      <w:r w:rsidR="0023602F">
        <w:t xml:space="preserve">the </w:t>
      </w:r>
      <w:r>
        <w:t xml:space="preserve">concordance analysis </w:t>
      </w:r>
      <w:r w:rsidRPr="001858E1">
        <w:t>(</w:t>
      </w:r>
      <w:r w:rsidRPr="001858E1">
        <w:fldChar w:fldCharType="begin"/>
      </w:r>
      <w:r w:rsidRPr="001858E1">
        <w:instrText xml:space="preserve"> REF _Ref32219378 \h </w:instrText>
      </w:r>
      <w:r>
        <w:instrText xml:space="preserve"> \* MERGEFORMAT </w:instrText>
      </w:r>
      <w:r w:rsidRPr="001858E1">
        <w:fldChar w:fldCharType="separate"/>
      </w:r>
      <w:r w:rsidR="003E2CD8" w:rsidRPr="003E2CD8">
        <w:t xml:space="preserve">Table </w:t>
      </w:r>
      <w:r w:rsidR="003E2CD8">
        <w:t>3</w:t>
      </w:r>
      <w:r w:rsidRPr="001858E1">
        <w:fldChar w:fldCharType="end"/>
      </w:r>
      <w:r w:rsidRPr="001858E1">
        <w:t>)</w:t>
      </w:r>
      <w:r>
        <w:t xml:space="preserve">, based on limited evidence (two studies), suggest that all serum cell-based assays tended to agree with each other when detecting AQP4-Abs. </w:t>
      </w:r>
      <w:r w:rsidR="00BE1B46">
        <w:t>Concordance</w:t>
      </w:r>
      <w:r w:rsidRPr="0028492F">
        <w:t xml:space="preserve"> between three</w:t>
      </w:r>
      <w:r w:rsidR="004B4D9D">
        <w:t xml:space="preserve"> cell-based assay methodologies</w:t>
      </w:r>
      <w:r w:rsidRPr="0028492F">
        <w:t xml:space="preserve"> </w:t>
      </w:r>
      <w:r w:rsidR="004B4D9D">
        <w:t>(</w:t>
      </w:r>
      <w:r w:rsidRPr="0028492F">
        <w:t xml:space="preserve">live and fixed cell-based assays and </w:t>
      </w:r>
      <w:r>
        <w:t>fluorescence-activating cell sorting (</w:t>
      </w:r>
      <w:r w:rsidRPr="0028492F">
        <w:t>FACS</w:t>
      </w:r>
      <w:r>
        <w:t>)</w:t>
      </w:r>
      <w:r w:rsidR="004B4D9D">
        <w:t>)</w:t>
      </w:r>
      <w:r w:rsidRPr="0028492F">
        <w:t xml:space="preserve"> showed that all three assays agreed with each other in the detection of AQP4-Abs. The </w:t>
      </w:r>
      <w:r w:rsidR="00767DEA">
        <w:t>positive percent agreement (</w:t>
      </w:r>
      <w:r w:rsidRPr="0028492F">
        <w:t>PPA</w:t>
      </w:r>
      <w:r w:rsidR="00767DEA">
        <w:t>)</w:t>
      </w:r>
      <w:r w:rsidRPr="0028492F">
        <w:t xml:space="preserve"> for all three assays ranged from 96-100%. There was </w:t>
      </w:r>
      <w:r w:rsidR="00F24DEF">
        <w:t>lower</w:t>
      </w:r>
      <w:r w:rsidRPr="0028492F">
        <w:t xml:space="preserve"> agreement </w:t>
      </w:r>
      <w:r w:rsidR="001D19E2">
        <w:t>(expressed as negative percent agreement</w:t>
      </w:r>
      <w:r w:rsidR="00F24DEF">
        <w:t>,</w:t>
      </w:r>
      <w:r w:rsidR="001D19E2">
        <w:t xml:space="preserve"> NPA) </w:t>
      </w:r>
      <w:r w:rsidRPr="0028492F">
        <w:t xml:space="preserve">between the three assays for detecting AQP4-Abs </w:t>
      </w:r>
      <w:r w:rsidR="00F24DEF">
        <w:t>negative</w:t>
      </w:r>
      <w:r w:rsidR="00F24DEF" w:rsidRPr="0028492F">
        <w:t xml:space="preserve"> </w:t>
      </w:r>
      <w:r w:rsidRPr="0028492F">
        <w:t xml:space="preserve">serum samples, where fixed cell (NPA 81%) and FACS (NPA 85%) were less likely to agree with live cell-based assay (NPA) 100%) for </w:t>
      </w:r>
      <w:r w:rsidR="00F24DEF">
        <w:t xml:space="preserve">a </w:t>
      </w:r>
      <w:r w:rsidRPr="0028492F">
        <w:t>negative AQP4-Ab</w:t>
      </w:r>
      <w:r w:rsidR="00F24DEF">
        <w:t xml:space="preserve"> result</w:t>
      </w:r>
      <w:r w:rsidRPr="0028492F">
        <w:t xml:space="preserve">. </w:t>
      </w:r>
      <w:r w:rsidRPr="0075285F">
        <w:t xml:space="preserve"> </w:t>
      </w:r>
    </w:p>
    <w:p w14:paraId="1235EB1A" w14:textId="3458BFCE" w:rsidR="0075285F" w:rsidRPr="0075285F" w:rsidRDefault="0075285F" w:rsidP="00A87AE2">
      <w:pPr>
        <w:pStyle w:val="TableHeading"/>
      </w:pPr>
      <w:bookmarkStart w:id="62" w:name="_Ref32219378"/>
      <w:bookmarkStart w:id="63" w:name="_Toc39580784"/>
      <w:r w:rsidRPr="0075285F">
        <w:t xml:space="preserve">Table </w:t>
      </w:r>
      <w:r w:rsidRPr="0075285F">
        <w:fldChar w:fldCharType="begin"/>
      </w:r>
      <w:r w:rsidRPr="0075285F">
        <w:instrText xml:space="preserve"> SEQ Table \* ARABIC </w:instrText>
      </w:r>
      <w:r w:rsidRPr="0075285F">
        <w:fldChar w:fldCharType="separate"/>
      </w:r>
      <w:r w:rsidR="00FA7BCD">
        <w:rPr>
          <w:noProof/>
        </w:rPr>
        <w:t>3</w:t>
      </w:r>
      <w:r w:rsidRPr="0075285F">
        <w:rPr>
          <w:noProof/>
        </w:rPr>
        <w:fldChar w:fldCharType="end"/>
      </w:r>
      <w:bookmarkEnd w:id="62"/>
      <w:r w:rsidRPr="0075285F">
        <w:tab/>
        <w:t>Concordance between live and fixed cell-based assays and flow cytometry assays using serum samples</w:t>
      </w:r>
      <w:bookmarkEnd w:id="63"/>
    </w:p>
    <w:tbl>
      <w:tblPr>
        <w:tblStyle w:val="TableGrid1"/>
        <w:tblW w:w="4984" w:type="pct"/>
        <w:tblInd w:w="28" w:type="dxa"/>
        <w:tblCellMar>
          <w:left w:w="28" w:type="dxa"/>
          <w:right w:w="28" w:type="dxa"/>
        </w:tblCellMar>
        <w:tblLook w:val="04A0" w:firstRow="1" w:lastRow="0" w:firstColumn="1" w:lastColumn="0" w:noHBand="0" w:noVBand="1"/>
        <w:tblCaption w:val="Table 3 Concordance between live and fixed cell-based assays and flow cytometry assays using serum samples"/>
        <w:tblDescription w:val="This table provides a comparison of the positive percent agreement and negative percent agreement  (with confidence intervals) betwen live cell based assays, fixed cell based assyas and fluoresence-activating sell-sorting assays testing for AQP4 antibodies."/>
      </w:tblPr>
      <w:tblGrid>
        <w:gridCol w:w="960"/>
        <w:gridCol w:w="1700"/>
        <w:gridCol w:w="1560"/>
        <w:gridCol w:w="1700"/>
        <w:gridCol w:w="1573"/>
        <w:gridCol w:w="1494"/>
      </w:tblGrid>
      <w:tr w:rsidR="0075285F" w:rsidRPr="0075285F" w14:paraId="5716E0FF" w14:textId="77777777" w:rsidTr="002E3B10">
        <w:trPr>
          <w:cnfStyle w:val="100000000000" w:firstRow="1" w:lastRow="0" w:firstColumn="0" w:lastColumn="0" w:oddVBand="0" w:evenVBand="0" w:oddHBand="0" w:evenHBand="0" w:firstRowFirstColumn="0" w:firstRowLastColumn="0" w:lastRowFirstColumn="0" w:lastRowLastColumn="0"/>
        </w:trPr>
        <w:tc>
          <w:tcPr>
            <w:tcW w:w="534" w:type="pct"/>
            <w:shd w:val="clear" w:color="auto" w:fill="auto"/>
          </w:tcPr>
          <w:p w14:paraId="3988F9A5" w14:textId="77777777" w:rsidR="0075285F" w:rsidRPr="0075285F" w:rsidRDefault="0075285F" w:rsidP="0075285F">
            <w:pPr>
              <w:keepNext/>
              <w:keepLines/>
              <w:contextualSpacing/>
              <w:jc w:val="left"/>
              <w:rPr>
                <w:rFonts w:ascii="Arial Narrow" w:hAnsi="Arial Narrow"/>
                <w:b/>
                <w:snapToGrid w:val="0"/>
                <w:lang w:eastAsia="en-US"/>
              </w:rPr>
            </w:pPr>
            <w:r w:rsidRPr="0075285F">
              <w:rPr>
                <w:rFonts w:ascii="Arial Narrow" w:hAnsi="Arial Narrow"/>
                <w:b/>
                <w:snapToGrid w:val="0"/>
                <w:lang w:eastAsia="en-US"/>
              </w:rPr>
              <w:t>Test type</w:t>
            </w:r>
          </w:p>
        </w:tc>
        <w:tc>
          <w:tcPr>
            <w:tcW w:w="946" w:type="pct"/>
          </w:tcPr>
          <w:p w14:paraId="56DE076E" w14:textId="77777777" w:rsidR="0075285F" w:rsidRPr="0075285F" w:rsidRDefault="0075285F" w:rsidP="0075285F">
            <w:pPr>
              <w:keepNext/>
              <w:keepLines/>
              <w:contextualSpacing/>
              <w:jc w:val="left"/>
              <w:rPr>
                <w:rFonts w:ascii="Arial Narrow" w:hAnsi="Arial Narrow"/>
                <w:b/>
                <w:snapToGrid w:val="0"/>
                <w:lang w:eastAsia="en-US"/>
              </w:rPr>
            </w:pPr>
            <w:r w:rsidRPr="0075285F">
              <w:rPr>
                <w:rFonts w:ascii="Arial Narrow" w:hAnsi="Arial Narrow"/>
                <w:b/>
                <w:snapToGrid w:val="0"/>
                <w:lang w:eastAsia="en-US"/>
              </w:rPr>
              <w:t>N tests</w:t>
            </w:r>
            <w:r w:rsidR="001858E1">
              <w:rPr>
                <w:rFonts w:ascii="Arial Narrow" w:hAnsi="Arial Narrow"/>
                <w:b/>
                <w:snapToGrid w:val="0"/>
                <w:lang w:eastAsia="en-US"/>
              </w:rPr>
              <w:t xml:space="preserve"> compared</w:t>
            </w:r>
            <w:r w:rsidRPr="0075285F">
              <w:rPr>
                <w:rFonts w:ascii="Arial Narrow" w:hAnsi="Arial Narrow"/>
                <w:b/>
                <w:snapToGrid w:val="0"/>
                <w:lang w:eastAsia="en-US"/>
              </w:rPr>
              <w:t xml:space="preserve">/ </w:t>
            </w:r>
          </w:p>
          <w:p w14:paraId="1ECFF4A9" w14:textId="77777777" w:rsidR="0075285F" w:rsidRPr="0075285F" w:rsidRDefault="0075285F" w:rsidP="0023602F">
            <w:pPr>
              <w:keepNext/>
              <w:keepLines/>
              <w:contextualSpacing/>
              <w:jc w:val="left"/>
              <w:rPr>
                <w:rFonts w:ascii="Arial Narrow" w:hAnsi="Arial Narrow"/>
                <w:b/>
                <w:snapToGrid w:val="0"/>
                <w:highlight w:val="cyan"/>
                <w:lang w:eastAsia="en-US"/>
              </w:rPr>
            </w:pPr>
            <w:r w:rsidRPr="0075285F">
              <w:rPr>
                <w:rFonts w:ascii="Arial Narrow" w:hAnsi="Arial Narrow"/>
                <w:b/>
                <w:snapToGrid w:val="0"/>
                <w:lang w:eastAsia="en-US"/>
              </w:rPr>
              <w:t xml:space="preserve">N </w:t>
            </w:r>
            <w:r w:rsidR="001858E1">
              <w:rPr>
                <w:rFonts w:ascii="Arial Narrow" w:hAnsi="Arial Narrow"/>
                <w:b/>
                <w:snapToGrid w:val="0"/>
                <w:lang w:eastAsia="en-US"/>
              </w:rPr>
              <w:t xml:space="preserve">NMO/NMOSD </w:t>
            </w:r>
            <w:r w:rsidRPr="0075285F">
              <w:rPr>
                <w:rFonts w:ascii="Arial Narrow" w:hAnsi="Arial Narrow"/>
                <w:b/>
                <w:snapToGrid w:val="0"/>
                <w:lang w:eastAsia="en-US"/>
              </w:rPr>
              <w:t>cases</w:t>
            </w:r>
          </w:p>
        </w:tc>
        <w:tc>
          <w:tcPr>
            <w:tcW w:w="868" w:type="pct"/>
            <w:shd w:val="clear" w:color="auto" w:fill="auto"/>
          </w:tcPr>
          <w:p w14:paraId="2AE9A7E0" w14:textId="77777777" w:rsidR="0075285F" w:rsidRPr="0075285F" w:rsidRDefault="0075285F" w:rsidP="0075285F">
            <w:pPr>
              <w:keepNext/>
              <w:keepLines/>
              <w:contextualSpacing/>
              <w:jc w:val="left"/>
              <w:rPr>
                <w:rFonts w:ascii="Arial Narrow" w:hAnsi="Arial Narrow"/>
                <w:b/>
                <w:snapToGrid w:val="0"/>
                <w:highlight w:val="cyan"/>
                <w:lang w:eastAsia="en-US"/>
              </w:rPr>
            </w:pPr>
            <w:r w:rsidRPr="0075285F">
              <w:rPr>
                <w:rFonts w:ascii="Arial Narrow" w:hAnsi="Arial Narrow"/>
                <w:b/>
                <w:snapToGrid w:val="0"/>
                <w:lang w:eastAsia="en-US"/>
              </w:rPr>
              <w:t xml:space="preserve">PPA % Range or Combined (95% CI) </w:t>
            </w:r>
          </w:p>
        </w:tc>
        <w:tc>
          <w:tcPr>
            <w:tcW w:w="946" w:type="pct"/>
            <w:shd w:val="clear" w:color="auto" w:fill="auto"/>
          </w:tcPr>
          <w:p w14:paraId="60DA03DB" w14:textId="77777777" w:rsidR="0075285F" w:rsidRPr="0075285F" w:rsidRDefault="0075285F" w:rsidP="0075285F">
            <w:pPr>
              <w:keepNext/>
              <w:keepLines/>
              <w:contextualSpacing/>
              <w:jc w:val="left"/>
              <w:rPr>
                <w:rFonts w:ascii="Arial Narrow" w:hAnsi="Arial Narrow"/>
                <w:b/>
                <w:snapToGrid w:val="0"/>
                <w:lang w:eastAsia="en-US"/>
              </w:rPr>
            </w:pPr>
            <w:r w:rsidRPr="0075285F">
              <w:rPr>
                <w:rFonts w:ascii="Arial Narrow" w:hAnsi="Arial Narrow"/>
                <w:b/>
                <w:snapToGrid w:val="0"/>
                <w:lang w:eastAsia="en-US"/>
              </w:rPr>
              <w:t>95% CI (lower and upper range)</w:t>
            </w:r>
          </w:p>
        </w:tc>
        <w:tc>
          <w:tcPr>
            <w:tcW w:w="875" w:type="pct"/>
            <w:shd w:val="clear" w:color="auto" w:fill="auto"/>
          </w:tcPr>
          <w:p w14:paraId="26D2CD57" w14:textId="77777777" w:rsidR="0075285F" w:rsidRPr="0075285F" w:rsidRDefault="0075285F" w:rsidP="0075285F">
            <w:pPr>
              <w:keepNext/>
              <w:keepLines/>
              <w:contextualSpacing/>
              <w:jc w:val="left"/>
              <w:rPr>
                <w:rFonts w:ascii="Arial Narrow" w:hAnsi="Arial Narrow"/>
                <w:b/>
                <w:snapToGrid w:val="0"/>
                <w:lang w:eastAsia="en-US"/>
              </w:rPr>
            </w:pPr>
            <w:r w:rsidRPr="0075285F">
              <w:rPr>
                <w:rFonts w:ascii="Arial Narrow" w:hAnsi="Arial Narrow"/>
                <w:b/>
                <w:snapToGrid w:val="0"/>
                <w:lang w:eastAsia="en-US"/>
              </w:rPr>
              <w:t>NPA % Range or Combined (95% CI</w:t>
            </w:r>
          </w:p>
        </w:tc>
        <w:tc>
          <w:tcPr>
            <w:tcW w:w="831" w:type="pct"/>
          </w:tcPr>
          <w:p w14:paraId="001C41D9" w14:textId="77777777" w:rsidR="0075285F" w:rsidRPr="0075285F" w:rsidRDefault="0075285F" w:rsidP="0075285F">
            <w:pPr>
              <w:keepNext/>
              <w:keepLines/>
              <w:contextualSpacing/>
              <w:jc w:val="left"/>
              <w:rPr>
                <w:rFonts w:ascii="Arial Narrow" w:hAnsi="Arial Narrow"/>
                <w:b/>
                <w:snapToGrid w:val="0"/>
                <w:lang w:eastAsia="en-US"/>
              </w:rPr>
            </w:pPr>
            <w:r w:rsidRPr="0075285F">
              <w:rPr>
                <w:rFonts w:ascii="Arial Narrow" w:hAnsi="Arial Narrow"/>
                <w:b/>
                <w:snapToGrid w:val="0"/>
                <w:lang w:eastAsia="en-US"/>
              </w:rPr>
              <w:t>95% CI (lower and upper range)</w:t>
            </w:r>
          </w:p>
        </w:tc>
      </w:tr>
      <w:tr w:rsidR="0075285F" w:rsidRPr="0075285F" w14:paraId="63629BED" w14:textId="77777777" w:rsidTr="002E3B10">
        <w:trPr>
          <w:trHeight w:val="289"/>
        </w:trPr>
        <w:tc>
          <w:tcPr>
            <w:tcW w:w="534" w:type="pct"/>
            <w:tcBorders>
              <w:bottom w:val="nil"/>
            </w:tcBorders>
            <w:shd w:val="clear" w:color="auto" w:fill="auto"/>
          </w:tcPr>
          <w:p w14:paraId="23C27533"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Live CBA</w:t>
            </w:r>
          </w:p>
        </w:tc>
        <w:tc>
          <w:tcPr>
            <w:tcW w:w="946" w:type="pct"/>
          </w:tcPr>
          <w:p w14:paraId="7616F03A"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3/101</w:t>
            </w:r>
            <w:r w:rsidRPr="0075285F">
              <w:rPr>
                <w:rFonts w:ascii="Arial Narrow" w:hAnsi="Arial Narrow"/>
                <w:snapToGrid w:val="0"/>
                <w:vertAlign w:val="superscript"/>
                <w:lang w:eastAsia="en-US"/>
              </w:rPr>
              <w:t>a</w:t>
            </w:r>
            <w:r w:rsidRPr="0075285F">
              <w:rPr>
                <w:rFonts w:ascii="Arial Narrow" w:hAnsi="Arial Narrow"/>
                <w:snapToGrid w:val="0"/>
                <w:lang w:eastAsia="en-US"/>
              </w:rPr>
              <w:t xml:space="preserve"> </w:t>
            </w:r>
          </w:p>
        </w:tc>
        <w:tc>
          <w:tcPr>
            <w:tcW w:w="868" w:type="pct"/>
            <w:shd w:val="clear" w:color="auto" w:fill="auto"/>
          </w:tcPr>
          <w:p w14:paraId="690AE4F1"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97-100</w:t>
            </w:r>
          </w:p>
        </w:tc>
        <w:tc>
          <w:tcPr>
            <w:tcW w:w="946" w:type="pct"/>
            <w:shd w:val="clear" w:color="auto" w:fill="auto"/>
          </w:tcPr>
          <w:p w14:paraId="61FDE5C3"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(91,100) (95,100)</w:t>
            </w:r>
          </w:p>
        </w:tc>
        <w:tc>
          <w:tcPr>
            <w:tcW w:w="875" w:type="pct"/>
            <w:shd w:val="clear" w:color="auto" w:fill="auto"/>
          </w:tcPr>
          <w:p w14:paraId="64645F7A"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96-100</w:t>
            </w:r>
          </w:p>
        </w:tc>
        <w:tc>
          <w:tcPr>
            <w:tcW w:w="831" w:type="pct"/>
          </w:tcPr>
          <w:p w14:paraId="79AFABE6"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(80,100) (87,100)</w:t>
            </w:r>
          </w:p>
        </w:tc>
      </w:tr>
      <w:tr w:rsidR="0075285F" w:rsidRPr="0075285F" w14:paraId="1BC60504" w14:textId="77777777" w:rsidTr="002E3B10">
        <w:trPr>
          <w:trHeight w:val="279"/>
        </w:trPr>
        <w:tc>
          <w:tcPr>
            <w:tcW w:w="534" w:type="pct"/>
            <w:tcBorders>
              <w:bottom w:val="nil"/>
            </w:tcBorders>
            <w:shd w:val="clear" w:color="auto" w:fill="auto"/>
            <w:vAlign w:val="center"/>
          </w:tcPr>
          <w:p w14:paraId="5904B939"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Fixed CBA</w:t>
            </w:r>
          </w:p>
        </w:tc>
        <w:tc>
          <w:tcPr>
            <w:tcW w:w="946" w:type="pct"/>
          </w:tcPr>
          <w:p w14:paraId="2542AFA7" w14:textId="77777777" w:rsidR="0075285F" w:rsidRPr="0075285F" w:rsidRDefault="0075285F" w:rsidP="0075285F">
            <w:pPr>
              <w:keepNext/>
              <w:keepLines/>
              <w:contextualSpacing/>
              <w:jc w:val="left"/>
              <w:rPr>
                <w:rFonts w:ascii="Arial Narrow" w:hAnsi="Arial Narrow"/>
                <w:snapToGrid w:val="0"/>
                <w:vertAlign w:val="superscript"/>
                <w:lang w:eastAsia="en-US"/>
              </w:rPr>
            </w:pPr>
            <w:r w:rsidRPr="0075285F">
              <w:rPr>
                <w:rFonts w:ascii="Arial Narrow" w:hAnsi="Arial Narrow"/>
                <w:snapToGrid w:val="0"/>
                <w:lang w:eastAsia="en-US"/>
              </w:rPr>
              <w:t>11/238</w:t>
            </w:r>
            <w:r w:rsidRPr="0075285F">
              <w:rPr>
                <w:rFonts w:ascii="Arial Narrow" w:hAnsi="Arial Narrow"/>
                <w:snapToGrid w:val="0"/>
                <w:vertAlign w:val="superscript"/>
                <w:lang w:eastAsia="en-US"/>
              </w:rPr>
              <w:t>b</w:t>
            </w:r>
          </w:p>
        </w:tc>
        <w:tc>
          <w:tcPr>
            <w:tcW w:w="868" w:type="pct"/>
            <w:shd w:val="clear" w:color="auto" w:fill="auto"/>
          </w:tcPr>
          <w:p w14:paraId="0A595B62"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100 (93,100)</w:t>
            </w:r>
          </w:p>
        </w:tc>
        <w:tc>
          <w:tcPr>
            <w:tcW w:w="946" w:type="pct"/>
            <w:shd w:val="clear" w:color="auto" w:fill="auto"/>
          </w:tcPr>
          <w:p w14:paraId="21137D8B"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(79,95) (95,100)</w:t>
            </w:r>
          </w:p>
        </w:tc>
        <w:tc>
          <w:tcPr>
            <w:tcW w:w="875" w:type="pct"/>
            <w:shd w:val="clear" w:color="auto" w:fill="auto"/>
          </w:tcPr>
          <w:p w14:paraId="03C40728"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81 (76,86)</w:t>
            </w:r>
          </w:p>
        </w:tc>
        <w:tc>
          <w:tcPr>
            <w:tcW w:w="831" w:type="pct"/>
          </w:tcPr>
          <w:p w14:paraId="12532BDA"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(50,81) (77,100)</w:t>
            </w:r>
          </w:p>
        </w:tc>
      </w:tr>
      <w:tr w:rsidR="0075285F" w:rsidRPr="0075285F" w14:paraId="46BCACDF" w14:textId="77777777" w:rsidTr="002E3B10">
        <w:trPr>
          <w:trHeight w:val="269"/>
        </w:trPr>
        <w:tc>
          <w:tcPr>
            <w:tcW w:w="534" w:type="pct"/>
            <w:tcBorders>
              <w:top w:val="single" w:sz="4" w:space="0" w:color="auto"/>
              <w:bottom w:val="single" w:sz="4" w:space="0" w:color="auto"/>
            </w:tcBorders>
            <w:shd w:val="clear" w:color="auto" w:fill="auto"/>
            <w:vAlign w:val="center"/>
          </w:tcPr>
          <w:p w14:paraId="16BB347C"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FACS</w:t>
            </w:r>
          </w:p>
        </w:tc>
        <w:tc>
          <w:tcPr>
            <w:tcW w:w="946" w:type="pct"/>
          </w:tcPr>
          <w:p w14:paraId="26D93E35" w14:textId="77777777" w:rsidR="0075285F" w:rsidRPr="0075285F" w:rsidRDefault="0075285F" w:rsidP="0075285F">
            <w:pPr>
              <w:keepNext/>
              <w:keepLines/>
              <w:contextualSpacing/>
              <w:jc w:val="left"/>
              <w:rPr>
                <w:rFonts w:ascii="Arial Narrow" w:hAnsi="Arial Narrow"/>
                <w:snapToGrid w:val="0"/>
                <w:vertAlign w:val="superscript"/>
                <w:lang w:eastAsia="en-US"/>
              </w:rPr>
            </w:pPr>
            <w:r w:rsidRPr="0075285F">
              <w:rPr>
                <w:rFonts w:ascii="Arial Narrow" w:hAnsi="Arial Narrow"/>
                <w:snapToGrid w:val="0"/>
                <w:lang w:eastAsia="en-US"/>
              </w:rPr>
              <w:t>4/101</w:t>
            </w:r>
            <w:r w:rsidRPr="0075285F">
              <w:rPr>
                <w:rFonts w:ascii="Arial Narrow" w:hAnsi="Arial Narrow"/>
                <w:snapToGrid w:val="0"/>
                <w:vertAlign w:val="superscript"/>
                <w:lang w:eastAsia="en-US"/>
              </w:rPr>
              <w:t>a</w:t>
            </w:r>
          </w:p>
        </w:tc>
        <w:tc>
          <w:tcPr>
            <w:tcW w:w="868" w:type="pct"/>
            <w:shd w:val="clear" w:color="auto" w:fill="auto"/>
          </w:tcPr>
          <w:p w14:paraId="773443D4"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96 (92,98)</w:t>
            </w:r>
          </w:p>
        </w:tc>
        <w:tc>
          <w:tcPr>
            <w:tcW w:w="946" w:type="pct"/>
            <w:shd w:val="clear" w:color="auto" w:fill="auto"/>
          </w:tcPr>
          <w:p w14:paraId="2B1B0E48"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(84,97) (94,100)</w:t>
            </w:r>
          </w:p>
        </w:tc>
        <w:tc>
          <w:tcPr>
            <w:tcW w:w="875" w:type="pct"/>
            <w:shd w:val="clear" w:color="auto" w:fill="auto"/>
          </w:tcPr>
          <w:p w14:paraId="47FFBA25"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85 (55,97)</w:t>
            </w:r>
          </w:p>
        </w:tc>
        <w:tc>
          <w:tcPr>
            <w:tcW w:w="831" w:type="pct"/>
          </w:tcPr>
          <w:p w14:paraId="3894FD0D" w14:textId="77777777" w:rsidR="0075285F" w:rsidRPr="0075285F" w:rsidRDefault="0075285F" w:rsidP="0075285F">
            <w:pPr>
              <w:keepNext/>
              <w:keepLines/>
              <w:contextualSpacing/>
              <w:jc w:val="left"/>
              <w:rPr>
                <w:rFonts w:ascii="Arial Narrow" w:hAnsi="Arial Narrow"/>
                <w:snapToGrid w:val="0"/>
                <w:lang w:eastAsia="en-US"/>
              </w:rPr>
            </w:pPr>
            <w:r w:rsidRPr="0075285F">
              <w:rPr>
                <w:rFonts w:ascii="Arial Narrow" w:hAnsi="Arial Narrow"/>
                <w:snapToGrid w:val="0"/>
                <w:lang w:eastAsia="en-US"/>
              </w:rPr>
              <w:t>(39,70) (85,100)</w:t>
            </w:r>
          </w:p>
        </w:tc>
      </w:tr>
    </w:tbl>
    <w:p w14:paraId="4F40B5FC" w14:textId="77777777" w:rsidR="0075285F" w:rsidRPr="0075285F" w:rsidRDefault="0075285F" w:rsidP="0075285F">
      <w:pPr>
        <w:keepNext/>
        <w:keepLines/>
        <w:spacing w:after="120" w:line="240" w:lineRule="auto"/>
        <w:contextualSpacing/>
        <w:jc w:val="left"/>
        <w:rPr>
          <w:rFonts w:ascii="Arial Narrow" w:hAnsi="Arial Narrow" w:cs="Arial"/>
          <w:snapToGrid w:val="0"/>
          <w:sz w:val="18"/>
          <w:szCs w:val="20"/>
          <w:lang w:eastAsia="en-US"/>
        </w:rPr>
      </w:pPr>
      <w:r w:rsidRPr="0075285F">
        <w:rPr>
          <w:rFonts w:ascii="Arial Narrow" w:hAnsi="Arial Narrow" w:cs="Arial"/>
          <w:snapToGrid w:val="0"/>
          <w:sz w:val="18"/>
          <w:szCs w:val="20"/>
          <w:lang w:eastAsia="en-US"/>
        </w:rPr>
        <w:t xml:space="preserve">CBA = cell-based assay; FACS = fluorescence-activating cell sorting; NPA = negative percentage agreement; PPA = positive percentage agreement </w:t>
      </w:r>
    </w:p>
    <w:p w14:paraId="00926FA0" w14:textId="77777777" w:rsidR="0075285F" w:rsidRPr="0075285F" w:rsidRDefault="0075285F" w:rsidP="0075285F">
      <w:pPr>
        <w:keepNext/>
        <w:keepLines/>
        <w:spacing w:after="120" w:line="240" w:lineRule="auto"/>
        <w:contextualSpacing/>
        <w:jc w:val="left"/>
        <w:rPr>
          <w:rFonts w:ascii="Arial Narrow" w:hAnsi="Arial Narrow" w:cs="Arial"/>
          <w:snapToGrid w:val="0"/>
          <w:sz w:val="18"/>
          <w:szCs w:val="20"/>
          <w:lang w:eastAsia="en-US"/>
        </w:rPr>
      </w:pPr>
      <w:r w:rsidRPr="0075285F">
        <w:rPr>
          <w:rFonts w:ascii="Arial Narrow" w:hAnsi="Arial Narrow" w:cs="Arial"/>
          <w:snapToGrid w:val="0"/>
          <w:sz w:val="18"/>
          <w:szCs w:val="20"/>
          <w:vertAlign w:val="superscript"/>
          <w:lang w:eastAsia="en-US"/>
        </w:rPr>
        <w:t xml:space="preserve">a </w:t>
      </w:r>
      <w:r w:rsidRPr="0075285F">
        <w:rPr>
          <w:rFonts w:ascii="Arial Narrow" w:hAnsi="Arial Narrow" w:cs="Arial"/>
          <w:snapToGrid w:val="0"/>
          <w:sz w:val="18"/>
          <w:szCs w:val="20"/>
          <w:lang w:eastAsia="en-US"/>
        </w:rPr>
        <w:t>Study by Waters et al. 2016</w:t>
      </w:r>
    </w:p>
    <w:p w14:paraId="468FE275" w14:textId="1A8E41E0" w:rsidR="001858E1" w:rsidRPr="00F21581" w:rsidRDefault="0075285F" w:rsidP="00F21581">
      <w:pPr>
        <w:keepNext/>
        <w:keepLines/>
        <w:spacing w:after="240" w:line="240" w:lineRule="auto"/>
        <w:jc w:val="left"/>
        <w:rPr>
          <w:rFonts w:ascii="Arial Narrow" w:hAnsi="Arial Narrow" w:cs="Arial"/>
          <w:snapToGrid w:val="0"/>
          <w:sz w:val="18"/>
          <w:szCs w:val="20"/>
          <w:lang w:eastAsia="en-US"/>
        </w:rPr>
      </w:pPr>
      <w:r w:rsidRPr="0075285F">
        <w:rPr>
          <w:rFonts w:ascii="Arial Narrow" w:hAnsi="Arial Narrow" w:cs="Arial"/>
          <w:snapToGrid w:val="0"/>
          <w:sz w:val="18"/>
          <w:szCs w:val="20"/>
          <w:vertAlign w:val="superscript"/>
          <w:lang w:eastAsia="en-US"/>
        </w:rPr>
        <w:t xml:space="preserve">b </w:t>
      </w:r>
      <w:r w:rsidRPr="0075285F">
        <w:rPr>
          <w:rFonts w:ascii="Arial Narrow" w:hAnsi="Arial Narrow" w:cs="Arial"/>
          <w:snapToGrid w:val="0"/>
          <w:sz w:val="18"/>
          <w:szCs w:val="20"/>
          <w:lang w:eastAsia="en-US"/>
        </w:rPr>
        <w:t>total includes10 tests and 193 number of cases in study by Waters et al. 2016 and 1 test and 45 number of cases in study by Jarius et al 2010</w:t>
      </w:r>
    </w:p>
    <w:p w14:paraId="18EF85AD" w14:textId="7E8A8235" w:rsidR="001858E1" w:rsidRPr="0075285F" w:rsidRDefault="001858E1" w:rsidP="001858E1">
      <w:r>
        <w:t>Testing of CSF for AQP4-Abs is not as reliable as serum testing, based on results of one study. T</w:t>
      </w:r>
      <w:r w:rsidRPr="00FC2669">
        <w:t xml:space="preserve">he </w:t>
      </w:r>
      <w:r w:rsidR="00D433D9">
        <w:t>concordance</w:t>
      </w:r>
      <w:r w:rsidRPr="00FC2669">
        <w:t xml:space="preserve"> between serum </w:t>
      </w:r>
      <w:r w:rsidR="007A15C6">
        <w:t>and</w:t>
      </w:r>
      <w:r w:rsidRPr="00FC2669">
        <w:t xml:space="preserve"> CSF samples to detect AQP4-Abs showed that 32% of cases found to be AQP4-Ab positive in serum, were not found to be positive in CSF. The PPA for serum and CSF </w:t>
      </w:r>
      <w:r w:rsidRPr="00FC2669">
        <w:lastRenderedPageBreak/>
        <w:t>was 100% and 68%, respectively. The NPA was the same for both serum and CSF (100%).</w:t>
      </w:r>
      <w:r>
        <w:t xml:space="preserve"> </w:t>
      </w:r>
      <w:r w:rsidR="003E2CD8">
        <w:fldChar w:fldCharType="begin"/>
      </w:r>
      <w:r w:rsidR="003E2CD8">
        <w:instrText xml:space="preserve"> REF _Ref34730822 \h </w:instrText>
      </w:r>
      <w:r w:rsidR="003E2CD8">
        <w:fldChar w:fldCharType="separate"/>
      </w:r>
      <w:r w:rsidR="003E2CD8">
        <w:t xml:space="preserve">Figure </w:t>
      </w:r>
      <w:r w:rsidR="003E2CD8">
        <w:rPr>
          <w:noProof/>
        </w:rPr>
        <w:t>1</w:t>
      </w:r>
      <w:r w:rsidR="003E2CD8">
        <w:fldChar w:fldCharType="end"/>
      </w:r>
      <w:r w:rsidRPr="00A62790">
        <w:t xml:space="preserve"> pr</w:t>
      </w:r>
      <w:r w:rsidRPr="0075285F">
        <w:t xml:space="preserve">ovides a summary of results. </w:t>
      </w:r>
      <w:r w:rsidR="00CC1B32">
        <w:t xml:space="preserve">The lack of concordance between detection of AQP4-Abs in serum versus CSF is consistent with </w:t>
      </w:r>
      <w:r w:rsidR="00CC1B32" w:rsidRPr="00F8453D">
        <w:t xml:space="preserve">Wingerchuk et al. </w:t>
      </w:r>
      <w:r w:rsidR="00156621">
        <w:fldChar w:fldCharType="begin"/>
      </w:r>
      <w:r w:rsidR="00437279">
        <w:instrText xml:space="preserve"> ADDIN EN.CITE &lt;EndNote&gt;&lt;Cite ExcludeAuth="1"&gt;&lt;Author&gt;Wingerchuk&lt;/Author&gt;&lt;Year&gt;2015&lt;/Year&gt;&lt;RecNum&gt;35&lt;/RecNum&gt;&lt;IDText&gt;177-189&lt;/IDText&gt;&lt;DisplayText&gt;(2015)&lt;/DisplayText&gt;&lt;record&gt;&lt;rec-number&gt;35&lt;/rec-number&gt;&lt;foreign-keys&gt;&lt;key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fldChar w:fldCharType="separate"/>
      </w:r>
      <w:r w:rsidR="00437279">
        <w:rPr>
          <w:noProof/>
        </w:rPr>
        <w:t>(2015)</w:t>
      </w:r>
      <w:r w:rsidR="00156621">
        <w:fldChar w:fldCharType="end"/>
      </w:r>
      <w:r w:rsidR="00CC1B32" w:rsidRPr="00F8453D">
        <w:t xml:space="preserve"> who reported that cases of AQP4-Ab detection in CSF, when they have not been detected in serum</w:t>
      </w:r>
      <w:r w:rsidR="004B4D9D">
        <w:t>,</w:t>
      </w:r>
      <w:r w:rsidR="00CC1B32" w:rsidRPr="00F8453D">
        <w:t xml:space="preserve"> are rare, and routine CSF testing for AQP4-Ab testing in seronegative patients is not recommended.</w:t>
      </w:r>
    </w:p>
    <w:p w14:paraId="37E7ED81" w14:textId="77777777" w:rsidR="0075285F" w:rsidRPr="0075285F" w:rsidRDefault="0075285F" w:rsidP="00CC1B32">
      <w:pPr>
        <w:spacing w:after="0"/>
        <w:rPr>
          <w:rFonts w:ascii="Arial Narrow" w:hAnsi="Arial Narrow" w:cs="Arial"/>
          <w:snapToGrid w:val="0"/>
          <w:sz w:val="18"/>
          <w:szCs w:val="20"/>
          <w:lang w:eastAsia="en-US"/>
        </w:rPr>
      </w:pPr>
      <w:r w:rsidRPr="00AD76F4">
        <w:rPr>
          <w:noProof/>
        </w:rPr>
        <w:drawing>
          <wp:inline distT="0" distB="0" distL="0" distR="0" wp14:anchorId="44F1C53E" wp14:editId="013B5F10">
            <wp:extent cx="5731510" cy="1215390"/>
            <wp:effectExtent l="0" t="0" r="2540" b="0"/>
            <wp:docPr id="8" name="Picture 8" descr="A summary of the positive percent agreement and negative percent agreement amongst serum AQP4 anitbody test and amongst cerebrospinal fluid AQP4 antibody tests." title="Figure 1 Concordance between assay samples using seruma versus cerebrospinal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238"/>
                    <a:stretch/>
                  </pic:blipFill>
                  <pic:spPr bwMode="auto">
                    <a:xfrm>
                      <a:off x="0" y="0"/>
                      <a:ext cx="5731510" cy="1215390"/>
                    </a:xfrm>
                    <a:prstGeom prst="rect">
                      <a:avLst/>
                    </a:prstGeom>
                    <a:noFill/>
                    <a:ln>
                      <a:noFill/>
                    </a:ln>
                    <a:extLst>
                      <a:ext uri="{53640926-AAD7-44D8-BBD7-CCE9431645EC}">
                        <a14:shadowObscured xmlns:a14="http://schemas.microsoft.com/office/drawing/2010/main"/>
                      </a:ext>
                    </a:extLst>
                  </pic:spPr>
                </pic:pic>
              </a:graphicData>
            </a:graphic>
          </wp:inline>
        </w:drawing>
      </w:r>
    </w:p>
    <w:p w14:paraId="578F356B" w14:textId="6D6C1B6B" w:rsidR="00CC1B32" w:rsidRPr="0075285F" w:rsidRDefault="00590F2A" w:rsidP="00590F2A">
      <w:pPr>
        <w:pStyle w:val="Caption"/>
      </w:pPr>
      <w:bookmarkStart w:id="64" w:name="_Ref34730822"/>
      <w:bookmarkStart w:id="65" w:name="_Toc79672132"/>
      <w:r>
        <w:t xml:space="preserve">Figure </w:t>
      </w:r>
      <w:fldSimple w:instr=" SEQ Figure \* ARABIC ">
        <w:r w:rsidR="00E27E7E">
          <w:rPr>
            <w:noProof/>
          </w:rPr>
          <w:t>1</w:t>
        </w:r>
      </w:fldSimple>
      <w:bookmarkEnd w:id="64"/>
      <w:r w:rsidR="00CC1B32" w:rsidRPr="0075285F">
        <w:tab/>
      </w:r>
      <w:r w:rsidR="00CC1B32">
        <w:t>Concordance</w:t>
      </w:r>
      <w:r w:rsidR="00CC1B32" w:rsidRPr="0075285F">
        <w:t xml:space="preserve"> </w:t>
      </w:r>
      <w:r w:rsidR="00CC1B32">
        <w:t>between</w:t>
      </w:r>
      <w:r w:rsidR="00CC1B32" w:rsidRPr="0075285F">
        <w:t xml:space="preserve"> assay samples using serum</w:t>
      </w:r>
      <w:r w:rsidR="00CC1B32" w:rsidRPr="0075285F">
        <w:rPr>
          <w:vertAlign w:val="superscript"/>
        </w:rPr>
        <w:t xml:space="preserve">a </w:t>
      </w:r>
      <w:r w:rsidR="00CC1B32" w:rsidRPr="0075285F">
        <w:t>versus cerebrospinal fluid</w:t>
      </w:r>
      <w:bookmarkEnd w:id="65"/>
    </w:p>
    <w:p w14:paraId="2C01359F" w14:textId="77777777" w:rsidR="00CC1B32" w:rsidRDefault="00CC1B32" w:rsidP="00CC1B32">
      <w:pPr>
        <w:spacing w:after="0"/>
        <w:rPr>
          <w:rFonts w:ascii="Arial Narrow" w:hAnsi="Arial Narrow" w:cs="Arial"/>
          <w:snapToGrid w:val="0"/>
          <w:sz w:val="18"/>
          <w:szCs w:val="20"/>
          <w:lang w:eastAsia="en-US"/>
        </w:rPr>
      </w:pPr>
      <w:r w:rsidRPr="0075285F">
        <w:rPr>
          <w:rFonts w:ascii="Arial Narrow" w:hAnsi="Arial Narrow" w:cs="Arial"/>
          <w:snapToGrid w:val="0"/>
          <w:sz w:val="18"/>
          <w:szCs w:val="20"/>
          <w:lang w:eastAsia="en-US"/>
        </w:rPr>
        <w:t>CSF = cerebrospinal fluid</w:t>
      </w:r>
    </w:p>
    <w:p w14:paraId="4572CFE1" w14:textId="77777777" w:rsidR="00CC1B32" w:rsidRPr="0075285F" w:rsidRDefault="00CC1B32" w:rsidP="00CC1B32">
      <w:pPr>
        <w:spacing w:after="0"/>
        <w:rPr>
          <w:rFonts w:ascii="Arial Narrow" w:hAnsi="Arial Narrow" w:cs="Arial"/>
          <w:snapToGrid w:val="0"/>
          <w:sz w:val="18"/>
          <w:szCs w:val="20"/>
          <w:lang w:eastAsia="en-US"/>
        </w:rPr>
      </w:pPr>
      <w:r w:rsidRPr="0075285F">
        <w:rPr>
          <w:rFonts w:ascii="Arial Narrow" w:hAnsi="Arial Narrow" w:cs="Arial"/>
          <w:snapToGrid w:val="0"/>
          <w:sz w:val="18"/>
          <w:szCs w:val="20"/>
          <w:vertAlign w:val="superscript"/>
          <w:lang w:eastAsia="en-US"/>
        </w:rPr>
        <w:t xml:space="preserve">a </w:t>
      </w:r>
      <w:r w:rsidRPr="0075285F">
        <w:rPr>
          <w:rFonts w:ascii="Arial Narrow" w:hAnsi="Arial Narrow" w:cs="Arial"/>
          <w:snapToGrid w:val="0"/>
          <w:sz w:val="18"/>
          <w:szCs w:val="20"/>
          <w:lang w:eastAsia="en-US"/>
        </w:rPr>
        <w:t>fixed cell-based assay used</w:t>
      </w:r>
    </w:p>
    <w:p w14:paraId="609DD0A4" w14:textId="77777777" w:rsidR="0075285F" w:rsidRPr="0075285F" w:rsidRDefault="0075285F" w:rsidP="0075285F"/>
    <w:p w14:paraId="2159FE9E" w14:textId="77777777" w:rsidR="003855CC" w:rsidRPr="003855CC" w:rsidRDefault="003855CC" w:rsidP="005B2DCE">
      <w:pPr>
        <w:pStyle w:val="Heading5"/>
      </w:pPr>
      <w:r w:rsidRPr="003855CC">
        <w:t>Clinical validity</w:t>
      </w:r>
    </w:p>
    <w:p w14:paraId="1489C17A" w14:textId="77777777" w:rsidR="00F81977" w:rsidRDefault="00F81977" w:rsidP="00A642B3">
      <w:pPr>
        <w:spacing w:after="80"/>
      </w:pPr>
      <w:r>
        <w:t>There were issues associated with the intervention and the clinical reference standard that prevented diagnostic accuracy data from being reliable. The clinical reference standard (diagnosis of NMOSD based in the 2015 IPND criteria) includes or is likely to include the AQP4-Ab test and therefore is at risk of incorporation bias. Issues associate</w:t>
      </w:r>
      <w:r w:rsidR="001D57C7">
        <w:t>d</w:t>
      </w:r>
      <w:r>
        <w:t xml:space="preserve"> with the test which prevent data collected from the relevant literature </w:t>
      </w:r>
      <w:r w:rsidR="004B4D9D">
        <w:t xml:space="preserve">being reliable, </w:t>
      </w:r>
      <w:r>
        <w:t>include the following:</w:t>
      </w:r>
    </w:p>
    <w:p w14:paraId="03D02324" w14:textId="77777777" w:rsidR="00F81977" w:rsidRDefault="00F81977" w:rsidP="003816F6">
      <w:pPr>
        <w:pStyle w:val="ListParagraph"/>
        <w:numPr>
          <w:ilvl w:val="0"/>
          <w:numId w:val="23"/>
        </w:numPr>
        <w:spacing w:after="80"/>
        <w:ind w:left="714" w:hanging="357"/>
      </w:pPr>
      <w:r>
        <w:t>a negative test result for AQP4-Ab does not rule out a NMOSD diagnosis;</w:t>
      </w:r>
    </w:p>
    <w:p w14:paraId="62E0C9EF" w14:textId="77777777" w:rsidR="00F81977" w:rsidRDefault="005B2DCE" w:rsidP="003816F6">
      <w:pPr>
        <w:pStyle w:val="ListParagraph"/>
        <w:numPr>
          <w:ilvl w:val="0"/>
          <w:numId w:val="23"/>
        </w:numPr>
        <w:spacing w:after="80"/>
        <w:ind w:left="714" w:hanging="357"/>
      </w:pPr>
      <w:r>
        <w:t>i</w:t>
      </w:r>
      <w:r w:rsidR="00F81977">
        <w:t xml:space="preserve">n the literature, a reported patient record of AQP4-Ab </w:t>
      </w:r>
      <w:r w:rsidR="001D57C7">
        <w:t>negative</w:t>
      </w:r>
      <w:r w:rsidR="00F81977">
        <w:t xml:space="preserve"> may also mean </w:t>
      </w:r>
      <w:r w:rsidR="00273AB7">
        <w:t>sero</w:t>
      </w:r>
      <w:r w:rsidR="00F81977">
        <w:t>status is not available for the purposes of calculating sensitivity;</w:t>
      </w:r>
    </w:p>
    <w:p w14:paraId="64AFB5F5" w14:textId="77777777" w:rsidR="00F81977" w:rsidRDefault="005B2DCE" w:rsidP="003816F6">
      <w:pPr>
        <w:pStyle w:val="ListParagraph"/>
        <w:numPr>
          <w:ilvl w:val="0"/>
          <w:numId w:val="23"/>
        </w:numPr>
        <w:ind w:left="714" w:hanging="357"/>
      </w:pPr>
      <w:r>
        <w:t>i</w:t>
      </w:r>
      <w:r w:rsidR="00F81977">
        <w:t xml:space="preserve">t </w:t>
      </w:r>
      <w:r w:rsidR="001D57C7">
        <w:t xml:space="preserve">was </w:t>
      </w:r>
      <w:r w:rsidR="00F81977">
        <w:t xml:space="preserve">assumed by clinicians that AQP4-Ab positive is definitive for a diagnosis of NMOSD, therefore making it difficult to </w:t>
      </w:r>
      <w:r>
        <w:t>determine false positive cases.</w:t>
      </w:r>
    </w:p>
    <w:p w14:paraId="43E45391" w14:textId="77777777" w:rsidR="005B2DCE" w:rsidRDefault="005B2DCE" w:rsidP="005B2DCE">
      <w:r>
        <w:t>Yield data for AQP4-Ab testing was determined from retrospective studies of patient cohorts in early stages of disease development.</w:t>
      </w:r>
      <w:r w:rsidR="00465183">
        <w:t xml:space="preserve"> A prevalence of approximatel</w:t>
      </w:r>
      <w:r>
        <w:t xml:space="preserve">y 34% </w:t>
      </w:r>
      <w:r w:rsidR="00465183">
        <w:t xml:space="preserve">for </w:t>
      </w:r>
      <w:r>
        <w:t xml:space="preserve">NMOSD cases was calculated from the yield data for patients </w:t>
      </w:r>
      <w:r w:rsidR="00465183">
        <w:t xml:space="preserve">having one symptom (for example LETM, ON or </w:t>
      </w:r>
      <w:r w:rsidR="001D57C7">
        <w:t>acquired brainstem syndrome (</w:t>
      </w:r>
      <w:r w:rsidR="00465183">
        <w:t>ABS</w:t>
      </w:r>
      <w:r w:rsidR="001D57C7">
        <w:t>)</w:t>
      </w:r>
      <w:r w:rsidR="00465183">
        <w:t xml:space="preserve">) and </w:t>
      </w:r>
      <w:r>
        <w:t xml:space="preserve">meeting the </w:t>
      </w:r>
      <w:r w:rsidR="00465183">
        <w:t>suspected NMOSD PPICO</w:t>
      </w:r>
      <w:r>
        <w:t xml:space="preserve"> criteria</w:t>
      </w:r>
      <w:r w:rsidR="00273AB7">
        <w:t>.</w:t>
      </w:r>
      <w:r>
        <w:t xml:space="preserve"> </w:t>
      </w:r>
      <w:r w:rsidR="00063250">
        <w:t>Prevalence was found to be similar (43%) in one Australian based study, but</w:t>
      </w:r>
      <w:r>
        <w:t xml:space="preserve"> did not match that determined from Australian data collected from clinical pathology </w:t>
      </w:r>
      <w:r w:rsidR="00465183">
        <w:t>laboratories</w:t>
      </w:r>
      <w:r>
        <w:t xml:space="preserve"> performing the test. AQP4-Ab and/or MOG-Ab testing is performed in a </w:t>
      </w:r>
      <w:r w:rsidR="00465183">
        <w:t>broader</w:t>
      </w:r>
      <w:r>
        <w:t xml:space="preserve"> population in </w:t>
      </w:r>
      <w:r w:rsidR="00465183">
        <w:t>Australia</w:t>
      </w:r>
      <w:r>
        <w:t xml:space="preserve">, </w:t>
      </w:r>
      <w:r w:rsidR="00465183">
        <w:t>with a</w:t>
      </w:r>
      <w:r>
        <w:t xml:space="preserve"> </w:t>
      </w:r>
      <w:r w:rsidR="00465183">
        <w:t>prevalence</w:t>
      </w:r>
      <w:r>
        <w:t xml:space="preserve"> of NMOSD cases </w:t>
      </w:r>
      <w:r w:rsidR="00465183">
        <w:t xml:space="preserve">of </w:t>
      </w:r>
      <w:r w:rsidR="00A642B3">
        <w:t xml:space="preserve">2.9% for QLD (Including tests from SA) and </w:t>
      </w:r>
      <w:r w:rsidR="004236DD">
        <w:t xml:space="preserve">5.4% for </w:t>
      </w:r>
      <w:r w:rsidR="00A642B3">
        <w:t>WA</w:t>
      </w:r>
      <w:r w:rsidR="004236DD">
        <w:t xml:space="preserve">, </w:t>
      </w:r>
      <w:r w:rsidR="00465183">
        <w:t xml:space="preserve">calculated </w:t>
      </w:r>
      <w:r w:rsidR="00273AB7">
        <w:t>from</w:t>
      </w:r>
      <w:r w:rsidR="00465183">
        <w:t xml:space="preserve"> the tested population. </w:t>
      </w:r>
      <w:r>
        <w:t xml:space="preserve"> </w:t>
      </w:r>
    </w:p>
    <w:p w14:paraId="2966BA2B" w14:textId="565CB346" w:rsidR="00F81977" w:rsidRDefault="00F81977" w:rsidP="005B2DCE">
      <w:r>
        <w:t>There is no clinical reference standard for MOG-Ab testing</w:t>
      </w:r>
      <w:r w:rsidR="00C05467" w:rsidRPr="00C05467">
        <w:t xml:space="preserve"> </w:t>
      </w:r>
      <w:r w:rsidR="00C05467">
        <w:t xml:space="preserve">and so </w:t>
      </w:r>
      <w:r w:rsidR="00590643">
        <w:t xml:space="preserve">its </w:t>
      </w:r>
      <w:r w:rsidR="00C05467">
        <w:t>accuracy could not be assessed, and only yield data w</w:t>
      </w:r>
      <w:r w:rsidR="008F2AFA">
        <w:t>ere</w:t>
      </w:r>
      <w:r w:rsidR="00C05467">
        <w:t xml:space="preserve"> reported for this test</w:t>
      </w:r>
      <w:r w:rsidR="005B2DCE">
        <w:t xml:space="preserve">. </w:t>
      </w:r>
      <w:r w:rsidR="00310C5E">
        <w:t xml:space="preserve">In some </w:t>
      </w:r>
      <w:r w:rsidR="00004174">
        <w:t>studies,</w:t>
      </w:r>
      <w:r w:rsidR="00310C5E">
        <w:t xml:space="preserve"> all patients were tested for MOG-Ab whereas in others only those testing negative for AQP4-Ab were tested, so it is difficult to compare the outcome across studies.</w:t>
      </w:r>
    </w:p>
    <w:p w14:paraId="6500CAF3" w14:textId="77777777" w:rsidR="005B2DCE" w:rsidRDefault="00F81977" w:rsidP="003855CC">
      <w:r>
        <w:t>In the absence of relevant diagnostic accuracy data from the clinical setting, prognostic data</w:t>
      </w:r>
      <w:r w:rsidR="0057056C">
        <w:t xml:space="preserve"> have provided a step in the linked evidence. Studies comparing the longitudinal outcomes for patients testing positive or negative for AQP4-Ab indicate</w:t>
      </w:r>
      <w:r>
        <w:t xml:space="preserve"> that the presence of AQP4 antibodies identifies a group of patients at risk of clinically significant</w:t>
      </w:r>
      <w:r w:rsidR="004B4D9D">
        <w:t>ly</w:t>
      </w:r>
      <w:r>
        <w:t xml:space="preserve"> worse outcomes amongst those </w:t>
      </w:r>
      <w:r w:rsidRPr="00547A82">
        <w:rPr>
          <w:i/>
        </w:rPr>
        <w:t>suspected</w:t>
      </w:r>
      <w:r>
        <w:t xml:space="preserve"> of NMOSD. </w:t>
      </w:r>
      <w:r w:rsidR="00710F5C">
        <w:t xml:space="preserve">Visual impairment, rate of legal blindness, rate of diagnosis with NMO/NMOSD and </w:t>
      </w:r>
      <w:r w:rsidR="002E53A4">
        <w:t xml:space="preserve">annualised relapse </w:t>
      </w:r>
      <w:r w:rsidR="002E53A4">
        <w:lastRenderedPageBreak/>
        <w:t>rate (</w:t>
      </w:r>
      <w:r w:rsidR="00710F5C">
        <w:t>ARR</w:t>
      </w:r>
      <w:r w:rsidR="002E53A4">
        <w:t>)</w:t>
      </w:r>
      <w:r w:rsidR="00710F5C">
        <w:t xml:space="preserve"> were all found to be worse after a minimum follow-up period of 1 year in patients found positive for AQP4-Ab compared to those who tested negative</w:t>
      </w:r>
      <w:r w:rsidR="00DF5820">
        <w:t>,</w:t>
      </w:r>
      <w:r w:rsidR="00710F5C">
        <w:t xml:space="preserve"> amongst those who were suspected of NM</w:t>
      </w:r>
      <w:r w:rsidR="004B4D9D">
        <w:t>OSD</w:t>
      </w:r>
      <w:r w:rsidR="00710F5C">
        <w:t xml:space="preserve"> due to the presence of one or more symptoms. </w:t>
      </w:r>
    </w:p>
    <w:p w14:paraId="6A76C97B" w14:textId="09618570" w:rsidR="007F03EC" w:rsidRDefault="007F03EC" w:rsidP="003855CC">
      <w:r>
        <w:t>This data w</w:t>
      </w:r>
      <w:r w:rsidR="008F2AFA">
        <w:t>ere</w:t>
      </w:r>
      <w:r>
        <w:t xml:space="preserve"> supported by results of a systematic review in which visual outcomes were found to be worse for patients who were AQP4-Ab positive compared to those testing negative,</w:t>
      </w:r>
      <w:r w:rsidRPr="007F03EC">
        <w:t xml:space="preserve"> </w:t>
      </w:r>
      <w:r>
        <w:t xml:space="preserve">amongst those </w:t>
      </w:r>
      <w:r w:rsidRPr="002647F8">
        <w:rPr>
          <w:i/>
        </w:rPr>
        <w:t>diagnosed</w:t>
      </w:r>
      <w:r>
        <w:t xml:space="preserve"> with NMO or NMOSD. </w:t>
      </w:r>
      <w:r w:rsidR="005B2DCE">
        <w:t>There were similar but less consistent prognostic data for MOG-Ab testing</w:t>
      </w:r>
      <w:r w:rsidR="0063099E">
        <w:t xml:space="preserve"> performed in those suspected of NMOSD</w:t>
      </w:r>
      <w:r>
        <w:t>, suggesting that those who were MOG-Ab positive had worse outcomes than those testing negative.</w:t>
      </w:r>
      <w:r w:rsidR="0063099E">
        <w:t xml:space="preserve"> </w:t>
      </w:r>
    </w:p>
    <w:p w14:paraId="6A1C6187" w14:textId="77777777" w:rsidR="003855CC" w:rsidRDefault="003855CC" w:rsidP="005B2DCE">
      <w:pPr>
        <w:pStyle w:val="Heading5"/>
      </w:pPr>
      <w:r w:rsidRPr="003855CC">
        <w:t>Clinical utility</w:t>
      </w:r>
    </w:p>
    <w:p w14:paraId="5DD65CD2" w14:textId="77777777" w:rsidR="003855CC" w:rsidRDefault="003855CC" w:rsidP="003855CC">
      <w:r>
        <w:t xml:space="preserve">There was evidence to show that patients are diagnosed earlier when </w:t>
      </w:r>
      <w:r w:rsidR="00121A06">
        <w:t xml:space="preserve">diagnosis is based on the </w:t>
      </w:r>
      <w:r w:rsidR="00063250">
        <w:t xml:space="preserve">2015 </w:t>
      </w:r>
      <w:r w:rsidR="00C9097F">
        <w:t xml:space="preserve">IPND </w:t>
      </w:r>
      <w:r w:rsidR="00063250">
        <w:t>criteria compared to those diagnosed by the 2006 criteria</w:t>
      </w:r>
      <w:r w:rsidR="00121A06">
        <w:t>, when testing was not as strongly emphasised</w:t>
      </w:r>
      <w:r>
        <w:t>. The association between testing and earlier diagnosis was strong, but the confidence in the results was reduced by the risk of bias in the retrospective observational study designs.</w:t>
      </w:r>
    </w:p>
    <w:p w14:paraId="03B3C9E5" w14:textId="77777777" w:rsidR="00ED65EE" w:rsidRDefault="00ED65EE" w:rsidP="003816F6">
      <w:pPr>
        <w:pStyle w:val="Heading6"/>
        <w:numPr>
          <w:ilvl w:val="0"/>
          <w:numId w:val="9"/>
        </w:numPr>
      </w:pPr>
      <w:r>
        <w:t>Therapeutic efficacy (change in management)</w:t>
      </w:r>
    </w:p>
    <w:p w14:paraId="2355155C" w14:textId="77777777" w:rsidR="00DA204F" w:rsidRPr="00DA204F" w:rsidRDefault="00DA204F" w:rsidP="00DA204F">
      <w:r>
        <w:t xml:space="preserve">Evidence from one study </w:t>
      </w:r>
      <w:r w:rsidRPr="00DA204F">
        <w:t>show</w:t>
      </w:r>
      <w:r>
        <w:t>ed</w:t>
      </w:r>
      <w:r w:rsidRPr="00DA204F">
        <w:t xml:space="preserve"> that patients are diagnosed earlier </w:t>
      </w:r>
      <w:r w:rsidR="00063250">
        <w:t>usi</w:t>
      </w:r>
      <w:r w:rsidR="00EF0230">
        <w:t>n</w:t>
      </w:r>
      <w:r w:rsidR="00063250">
        <w:t xml:space="preserve">g the </w:t>
      </w:r>
      <w:r w:rsidR="00C9097F">
        <w:t xml:space="preserve">2015 </w:t>
      </w:r>
      <w:r w:rsidR="00063250">
        <w:t>IPND criteria compared to those diagnosed by the 2006</w:t>
      </w:r>
      <w:r w:rsidRPr="00DA204F">
        <w:t xml:space="preserve"> </w:t>
      </w:r>
      <w:r w:rsidR="00C9097F">
        <w:t xml:space="preserve">criteria </w:t>
      </w:r>
      <w:r w:rsidRPr="00DA204F">
        <w:t>(11 versus 53 months). The time to diagnosis was measured retrospectively in patients with central nervous system inflammatory disease</w:t>
      </w:r>
      <w:r w:rsidR="00547A82">
        <w:t>,</w:t>
      </w:r>
      <w:r w:rsidRPr="00DA204F">
        <w:t xml:space="preserve"> which is broader than the population of interest (those suspected o</w:t>
      </w:r>
      <w:r w:rsidR="00AD3CE3">
        <w:t>f</w:t>
      </w:r>
      <w:r w:rsidRPr="00DA204F">
        <w:t xml:space="preserve"> NMOSD</w:t>
      </w:r>
      <w:r w:rsidR="0033301E">
        <w:t>). In more selected populations, this effect may be reduced</w:t>
      </w:r>
      <w:r w:rsidRPr="00F10CDF">
        <w:t xml:space="preserve"> </w:t>
      </w:r>
      <w:r w:rsidR="00874A93">
        <w:t>but is unlikely to</w:t>
      </w:r>
      <w:r w:rsidR="0033301E">
        <w:t xml:space="preserve"> be negated.</w:t>
      </w:r>
    </w:p>
    <w:p w14:paraId="1221229F" w14:textId="7DB63AAF" w:rsidR="00DA204F" w:rsidRPr="00DA204F" w:rsidRDefault="00DA204F" w:rsidP="00DA204F">
      <w:r>
        <w:t xml:space="preserve">Further </w:t>
      </w:r>
      <w:r w:rsidRPr="00DA204F">
        <w:t>evidence show</w:t>
      </w:r>
      <w:r>
        <w:t>ed</w:t>
      </w:r>
      <w:r w:rsidRPr="00DA204F">
        <w:t xml:space="preserve"> that more patients suspected of NMOSD are diagnosed </w:t>
      </w:r>
      <w:r>
        <w:t>by</w:t>
      </w:r>
      <w:r w:rsidRPr="00DA204F">
        <w:t xml:space="preserve"> the 2015 IPND criteria than </w:t>
      </w:r>
      <w:r>
        <w:t>by</w:t>
      </w:r>
      <w:r w:rsidRPr="00DA204F">
        <w:t xml:space="preserve"> the 2006 criteria</w:t>
      </w:r>
      <w:r w:rsidR="0033301E">
        <w:t xml:space="preserve"> (OR [95% CI] of diagnosis range: 1.76 [1.04, 2.94] to 2.48 [1.93, 3.19]).</w:t>
      </w:r>
      <w:r>
        <w:t xml:space="preserve"> </w:t>
      </w:r>
      <w:r w:rsidR="0033301E">
        <w:t xml:space="preserve">This is </w:t>
      </w:r>
      <w:r>
        <w:t xml:space="preserve">possibly because of the more recent </w:t>
      </w:r>
      <w:r w:rsidRPr="00DA204F">
        <w:t xml:space="preserve">emphasis of AQP4-Ab testing. Under the 2006 </w:t>
      </w:r>
      <w:r w:rsidR="00590643" w:rsidRPr="00DA204F">
        <w:t>criteria,</w:t>
      </w:r>
      <w:r w:rsidRPr="00DA204F">
        <w:t xml:space="preserve"> patients </w:t>
      </w:r>
      <w:r w:rsidR="004B4D9D">
        <w:t>may</w:t>
      </w:r>
      <w:r w:rsidRPr="00DA204F">
        <w:t xml:space="preserve"> wait longer for a definitive NMOSD diagnosis </w:t>
      </w:r>
      <w:r w:rsidR="004B4D9D">
        <w:t>because it</w:t>
      </w:r>
      <w:r w:rsidRPr="00DA204F">
        <w:t xml:space="preserve"> is likely to require the occurrence of additional clinical features. </w:t>
      </w:r>
    </w:p>
    <w:p w14:paraId="1C39EA15" w14:textId="77777777" w:rsidR="00DA204F" w:rsidRPr="00DA204F" w:rsidRDefault="00DA204F" w:rsidP="00DA204F">
      <w:pPr>
        <w:rPr>
          <w:b/>
        </w:rPr>
      </w:pPr>
      <w:r w:rsidRPr="00DA204F">
        <w:t xml:space="preserve">The association between AQP4-Ab testing and earlier diagnosis was strong, but the confidence in the results was reduced by the risk of bias in the retrospective observational study designs. (GRADE: LOW </w:t>
      </w:r>
      <w:r w:rsidRPr="00A27630">
        <w:rPr>
          <w:rFonts w:ascii="Cambria Math" w:hAnsi="Cambria Math" w:cs="Cambria Math"/>
          <w:color w:val="00B050"/>
        </w:rPr>
        <w:t>⨁⨁</w:t>
      </w:r>
      <w:r w:rsidRPr="00A27630">
        <w:rPr>
          <w:rFonts w:ascii="Cambria Math" w:hAnsi="Cambria Math" w:cs="Cambria Math"/>
          <w:color w:val="FF0000"/>
        </w:rPr>
        <w:t>⨀⨀</w:t>
      </w:r>
      <w:r w:rsidRPr="00DA204F">
        <w:t>)</w:t>
      </w:r>
    </w:p>
    <w:p w14:paraId="74D5E392" w14:textId="77777777" w:rsidR="00DA204F" w:rsidRPr="00DA204F" w:rsidRDefault="00DA204F" w:rsidP="00DA204F">
      <w:r w:rsidRPr="00DA204F">
        <w:t>There was no evidence to determine if MOG-Ab testing impacted on the time to diagnosis for patients suspected of NMOSD.</w:t>
      </w:r>
    </w:p>
    <w:p w14:paraId="4C883DDE" w14:textId="4944C7CB" w:rsidR="00ED65EE" w:rsidRPr="005C4455" w:rsidRDefault="00A0425E" w:rsidP="00DA204F">
      <w:r>
        <w:t xml:space="preserve">There were two cross-sectional studies reporting change in management outcomes of interest. </w:t>
      </w:r>
      <w:r w:rsidR="00DA204F" w:rsidRPr="00DA204F">
        <w:t xml:space="preserve">In a quality of life questionnaire, </w:t>
      </w:r>
      <w:r>
        <w:t>out of 195 NMO and NMOSD patients,</w:t>
      </w:r>
      <w:r w:rsidR="00DA204F" w:rsidRPr="00DA204F">
        <w:t xml:space="preserve"> 65</w:t>
      </w:r>
      <w:r>
        <w:t>.8</w:t>
      </w:r>
      <w:r w:rsidR="00DA204F" w:rsidRPr="00DA204F">
        <w:t>% had been given a prior incorrect diagnosis</w:t>
      </w:r>
      <w:r>
        <w:t>, MS being the most common (41.4%).</w:t>
      </w:r>
      <w:r w:rsidR="00DA204F" w:rsidRPr="00DA204F">
        <w:t xml:space="preserve"> </w:t>
      </w:r>
      <w:r>
        <w:t xml:space="preserve">Patients </w:t>
      </w:r>
      <w:r w:rsidR="00DA204F" w:rsidRPr="00DA204F">
        <w:t xml:space="preserve">were concerned about the amount of time it took to get correct diagnosis (0 to 40 years; mean 3.3 ± 6.3 years), and </w:t>
      </w:r>
      <w:r>
        <w:t>receiv</w:t>
      </w:r>
      <w:r w:rsidR="004B4D9D">
        <w:t>e</w:t>
      </w:r>
      <w:r>
        <w:t xml:space="preserve"> </w:t>
      </w:r>
      <w:r w:rsidR="00DA204F" w:rsidRPr="00DA204F">
        <w:t>an effective treatment. Once a correct diagnosis had been given, the mean time it took to receive treatment was 6 months ± 1.7 years (range 0 – 11 years)</w:t>
      </w:r>
      <w:r>
        <w:t>, indicating that the primary delay to getting treatment was the time taken to diagnosis</w:t>
      </w:r>
      <w:r w:rsidR="00DA204F" w:rsidRPr="00DA204F">
        <w:t xml:space="preserve">. </w:t>
      </w:r>
      <w:r w:rsidR="0033301E">
        <w:t>In a second,</w:t>
      </w:r>
      <w:r w:rsidR="00DA204F" w:rsidRPr="00DA204F">
        <w:t xml:space="preserve"> small cross-sectional </w:t>
      </w:r>
      <w:r w:rsidR="00590643" w:rsidRPr="00DA204F">
        <w:t>study,</w:t>
      </w:r>
      <w:r w:rsidR="00DA204F" w:rsidRPr="00DA204F">
        <w:t xml:space="preserve"> </w:t>
      </w:r>
      <w:r w:rsidR="0033301E">
        <w:t xml:space="preserve">it was </w:t>
      </w:r>
      <w:r w:rsidR="00DA204F" w:rsidRPr="00DA204F">
        <w:t>found that there was considerable disagreement between specialists when diagnosing patients with suspected NMOSD or MS, a</w:t>
      </w:r>
      <w:r w:rsidR="002C69E5">
        <w:t>t</w:t>
      </w:r>
      <w:r w:rsidR="00DA204F" w:rsidRPr="00DA204F">
        <w:t xml:space="preserve"> least partly due to the overlapping symptoms between the conditions.</w:t>
      </w:r>
      <w:r>
        <w:t xml:space="preserve"> It is likely that AQP4-Ab testing may reduce the confusion over diagnoses.</w:t>
      </w:r>
    </w:p>
    <w:p w14:paraId="21BA41CC" w14:textId="77777777" w:rsidR="00ED65EE" w:rsidRDefault="00ED65EE" w:rsidP="003816F6">
      <w:pPr>
        <w:pStyle w:val="Heading6"/>
        <w:numPr>
          <w:ilvl w:val="0"/>
          <w:numId w:val="9"/>
        </w:numPr>
      </w:pPr>
      <w:r>
        <w:t>Therapeutic effectiveness (health benefit from change in management)</w:t>
      </w:r>
    </w:p>
    <w:p w14:paraId="017AE1EA" w14:textId="6034F577" w:rsidR="009C2E0C" w:rsidRDefault="008C1B84" w:rsidP="003855CC">
      <w:r>
        <w:t>Studies assessing t</w:t>
      </w:r>
      <w:r w:rsidR="009C2E0C">
        <w:t>reatments that are likely to be used in the Australian setting</w:t>
      </w:r>
      <w:r w:rsidRPr="008C1B84">
        <w:t xml:space="preserve"> </w:t>
      </w:r>
      <w:r>
        <w:t>were included</w:t>
      </w:r>
      <w:r w:rsidR="009C2E0C">
        <w:t xml:space="preserve">. Assessment of treatments in NMOSD patients were made using comparisons of early versus late </w:t>
      </w:r>
      <w:r w:rsidR="009C2E0C">
        <w:lastRenderedPageBreak/>
        <w:t xml:space="preserve">treatment, NMOSD specific treatment versus MS treatment, treatment versus </w:t>
      </w:r>
      <w:r w:rsidR="005B0E41">
        <w:t xml:space="preserve">standard </w:t>
      </w:r>
      <w:r w:rsidR="00590643">
        <w:t>immunosuppressant</w:t>
      </w:r>
      <w:r w:rsidR="009C2E0C">
        <w:t xml:space="preserve"> treatment</w:t>
      </w:r>
      <w:r>
        <w:t xml:space="preserve"> (</w:t>
      </w:r>
      <w:r w:rsidR="005B0E41">
        <w:t>intravenous methylprednisolone (IVMP) or</w:t>
      </w:r>
      <w:r w:rsidR="005B0E41" w:rsidRPr="005B0E41">
        <w:t xml:space="preserve"> glucocorticoids alone</w:t>
      </w:r>
      <w:r w:rsidRPr="005B0E41">
        <w:t>)</w:t>
      </w:r>
      <w:r w:rsidR="009C2E0C">
        <w:t>, or treatment versus placebo.</w:t>
      </w:r>
    </w:p>
    <w:p w14:paraId="62398754" w14:textId="77777777" w:rsidR="009C2E0C" w:rsidRDefault="003855CC" w:rsidP="009C2E0C">
      <w:pPr>
        <w:spacing w:before="240"/>
      </w:pPr>
      <w:r>
        <w:t xml:space="preserve">Early PLEX treatment resulted in a greater chance of complete improvement, while early AZA treatment led to a longer remission time when compared to delayed treatment. Early IVMP treatment in NMOSD patients with ON resulted in better visual outcomes compared to late treatment. Delay of treatment in all three studies </w:t>
      </w:r>
      <w:r w:rsidR="00E12765">
        <w:t xml:space="preserve">assessing ON treatments </w:t>
      </w:r>
      <w:r>
        <w:t xml:space="preserve">led to worse </w:t>
      </w:r>
      <w:r w:rsidR="00E12765">
        <w:t>visual outcomes</w:t>
      </w:r>
      <w:r>
        <w:t xml:space="preserve">. In the study of NMOSD patients with ON, delay of treatment beyond as little as 4 days after an ON attack led to </w:t>
      </w:r>
      <w:r w:rsidR="00E12765">
        <w:t>worse visual outcomes</w:t>
      </w:r>
      <w:r w:rsidR="00E12765">
        <w:rPr>
          <w:rStyle w:val="FootnoteReference"/>
        </w:rPr>
        <w:footnoteReference w:id="2"/>
      </w:r>
      <w:r>
        <w:t xml:space="preserve">. </w:t>
      </w:r>
    </w:p>
    <w:p w14:paraId="540979A2" w14:textId="77777777" w:rsidR="003855CC" w:rsidRDefault="008C1B84" w:rsidP="009C2E0C">
      <w:pPr>
        <w:spacing w:before="240"/>
      </w:pPr>
      <w:r>
        <w:t xml:space="preserve">Early treatment </w:t>
      </w:r>
      <w:r w:rsidR="009C2E0C">
        <w:t xml:space="preserve">(PLEX, AZA or IVMP) for NMOSD patients </w:t>
      </w:r>
      <w:r>
        <w:t>resulted in</w:t>
      </w:r>
      <w:r w:rsidR="009C2E0C">
        <w:t xml:space="preserve"> better treatment effectiveness when compared to late treatment. </w:t>
      </w:r>
      <w:r w:rsidR="003855CC">
        <w:t xml:space="preserve">Although </w:t>
      </w:r>
      <w:r w:rsidR="009C2E0C">
        <w:t xml:space="preserve">there was a strong to very strong association between early treatment and better outcomes, </w:t>
      </w:r>
      <w:r w:rsidR="003855CC">
        <w:t xml:space="preserve">confidence </w:t>
      </w:r>
      <w:r w:rsidR="00A27630">
        <w:t>was reduced by the risk of bias in the retrospective observational study designs and</w:t>
      </w:r>
      <w:r w:rsidR="003855CC">
        <w:t xml:space="preserve"> the </w:t>
      </w:r>
      <w:r w:rsidR="00A27630">
        <w:t>outcome certainty</w:t>
      </w:r>
      <w:r w:rsidR="003855CC">
        <w:t xml:space="preserve"> was moderate wh</w:t>
      </w:r>
      <w:r w:rsidR="00A27630">
        <w:t xml:space="preserve">en assessed by GRADE. (GRADE: </w:t>
      </w:r>
      <w:r w:rsidR="00A27630" w:rsidRPr="00D4733A">
        <w:rPr>
          <w:rFonts w:ascii="Cambria Math" w:hAnsi="Cambria Math"/>
          <w:color w:val="00B050"/>
        </w:rPr>
        <w:t>⨁⨁⨁</w:t>
      </w:r>
      <w:r w:rsidR="00A27630" w:rsidRPr="00D4733A">
        <w:rPr>
          <w:rFonts w:ascii="Cambria Math" w:hAnsi="Cambria Math" w:cs="Cambria Math"/>
          <w:color w:val="C00000"/>
        </w:rPr>
        <w:t>⨀</w:t>
      </w:r>
      <w:r w:rsidR="00A27630">
        <w:rPr>
          <w:rFonts w:ascii="Cambria Math" w:hAnsi="Cambria Math" w:cs="Cambria Math"/>
          <w:color w:val="C00000"/>
        </w:rPr>
        <w:t xml:space="preserve"> </w:t>
      </w:r>
      <w:r w:rsidR="00A27630" w:rsidRPr="00A27630">
        <w:t>MODERATE)</w:t>
      </w:r>
    </w:p>
    <w:p w14:paraId="0A8C122C" w14:textId="4DB96199" w:rsidR="003855CC" w:rsidRDefault="003855CC" w:rsidP="003855CC">
      <w:pPr>
        <w:spacing w:before="240"/>
      </w:pPr>
      <w:r>
        <w:t xml:space="preserve">Therapies for NMOSD (PLEX, RTX, AZA and ECZ) were more effective overall than placebo, </w:t>
      </w:r>
      <w:r w:rsidR="005B0E41">
        <w:t xml:space="preserve">standard </w:t>
      </w:r>
      <w:r w:rsidR="005B0E41" w:rsidRPr="005B0E41">
        <w:t>immunosuppressant therapy (IVMP, glucocorticoids) alone</w:t>
      </w:r>
      <w:r>
        <w:t xml:space="preserve"> or MS treatment (interferon beta)</w:t>
      </w:r>
      <w:r w:rsidR="00CC317A">
        <w:t>,</w:t>
      </w:r>
      <w:r w:rsidR="008C1B84">
        <w:t xml:space="preserve"> when assessed by change in </w:t>
      </w:r>
      <w:r w:rsidR="000F6227">
        <w:t>expanded disability status scale (</w:t>
      </w:r>
      <w:r w:rsidR="008C1B84">
        <w:t>EDSS</w:t>
      </w:r>
      <w:r w:rsidR="000F6227">
        <w:t>)</w:t>
      </w:r>
      <w:r w:rsidR="008C1B84">
        <w:t xml:space="preserve"> and </w:t>
      </w:r>
      <w:r w:rsidR="000F6227">
        <w:t>annualised relapse rate (</w:t>
      </w:r>
      <w:r w:rsidR="008C1B84">
        <w:t>ARR</w:t>
      </w:r>
      <w:r w:rsidR="000F6227">
        <w:t>)</w:t>
      </w:r>
      <w:r>
        <w:t xml:space="preserve">. The association between better </w:t>
      </w:r>
      <w:r w:rsidR="008C1B84">
        <w:t>EDSS and ARR outcomes</w:t>
      </w:r>
      <w:r>
        <w:t xml:space="preserve"> and NMOSD treatment</w:t>
      </w:r>
      <w:r w:rsidR="008C1B84">
        <w:t>,</w:t>
      </w:r>
      <w:r>
        <w:t xml:space="preserve"> </w:t>
      </w:r>
      <w:r w:rsidR="008C1B84">
        <w:t>compared to interferon beta</w:t>
      </w:r>
      <w:r w:rsidR="004B4D9D">
        <w:t>,</w:t>
      </w:r>
      <w:r w:rsidR="008C1B84">
        <w:t xml:space="preserve"> </w:t>
      </w:r>
      <w:r>
        <w:t xml:space="preserve">was strong and there was moderate </w:t>
      </w:r>
      <w:r w:rsidR="00A27630">
        <w:t>certainty</w:t>
      </w:r>
      <w:r>
        <w:t xml:space="preserve"> in this outcome when assessed by GRADE. One exception to this trend was evidence from a </w:t>
      </w:r>
      <w:r w:rsidR="00A54515">
        <w:t>ran</w:t>
      </w:r>
      <w:r w:rsidR="00740D7E">
        <w:t>d</w:t>
      </w:r>
      <w:r w:rsidR="00A54515">
        <w:t>omised controlled trial (</w:t>
      </w:r>
      <w:r>
        <w:t>RCT</w:t>
      </w:r>
      <w:r w:rsidR="00A54515">
        <w:t>)</w:t>
      </w:r>
      <w:r>
        <w:t xml:space="preserve"> comparing ECZ treatment to placebo. The study found a very strong association for an improved ARR in ECZ treated patients, but a lower level of association between ECZ and EDSS</w:t>
      </w:r>
      <w:r w:rsidR="00990480">
        <w:t xml:space="preserve"> </w:t>
      </w:r>
      <w:r>
        <w:t>at follow-up</w:t>
      </w:r>
      <w:r w:rsidR="008C1B84">
        <w:t xml:space="preserve">. </w:t>
      </w:r>
      <w:r w:rsidR="002076A6">
        <w:t>C</w:t>
      </w:r>
      <w:r w:rsidR="008C1B84">
        <w:t>hange in EDSS, rather than EDSS at follow-up</w:t>
      </w:r>
      <w:r>
        <w:t xml:space="preserve"> </w:t>
      </w:r>
      <w:r w:rsidR="002076A6">
        <w:t>may</w:t>
      </w:r>
      <w:r w:rsidR="008C1B84">
        <w:t xml:space="preserve"> have detected a difference between group</w:t>
      </w:r>
      <w:r w:rsidR="002076A6">
        <w:t>s, as</w:t>
      </w:r>
      <w:r w:rsidR="002076A6" w:rsidRPr="002076A6">
        <w:t xml:space="preserve"> </w:t>
      </w:r>
      <w:r w:rsidR="002076A6">
        <w:t>there was improvement in patients given ECZ and placebo in the trial</w:t>
      </w:r>
      <w:r w:rsidR="008C1B84">
        <w:t>.</w:t>
      </w:r>
      <w:r>
        <w:t xml:space="preserve"> </w:t>
      </w:r>
      <w:r w:rsidR="00A27630">
        <w:t xml:space="preserve">(GRADE: </w:t>
      </w:r>
      <w:r w:rsidR="00A27630" w:rsidRPr="00D4733A">
        <w:rPr>
          <w:rFonts w:ascii="Cambria Math" w:hAnsi="Cambria Math"/>
          <w:color w:val="00B050"/>
        </w:rPr>
        <w:t>⨁⨁⨁</w:t>
      </w:r>
      <w:r w:rsidR="00A27630" w:rsidRPr="00D4733A">
        <w:rPr>
          <w:rFonts w:ascii="Cambria Math" w:hAnsi="Cambria Math" w:cs="Cambria Math"/>
          <w:color w:val="C00000"/>
        </w:rPr>
        <w:t>⨀</w:t>
      </w:r>
      <w:r w:rsidR="00A27630">
        <w:rPr>
          <w:rFonts w:ascii="Cambria Math" w:hAnsi="Cambria Math" w:cs="Cambria Math"/>
          <w:color w:val="C00000"/>
        </w:rPr>
        <w:t xml:space="preserve"> </w:t>
      </w:r>
      <w:r w:rsidR="00A27630" w:rsidRPr="00A27630">
        <w:t>MODERATE)</w:t>
      </w:r>
    </w:p>
    <w:p w14:paraId="3AA1DF0D" w14:textId="77777777" w:rsidR="0038059C" w:rsidRDefault="0038059C" w:rsidP="002647F8">
      <w:pPr>
        <w:pStyle w:val="Heading4"/>
      </w:pPr>
      <w:r>
        <w:t>Summary of findings for AQP4-Ab testing</w:t>
      </w:r>
    </w:p>
    <w:p w14:paraId="6EF6D0FC" w14:textId="0032FB95" w:rsidR="002B6198" w:rsidRDefault="00A27630" w:rsidP="002B6198">
      <w:r>
        <w:t xml:space="preserve">A summary of likely outcomes for </w:t>
      </w:r>
      <w:r w:rsidR="00BC0125">
        <w:t xml:space="preserve">tested </w:t>
      </w:r>
      <w:r>
        <w:t xml:space="preserve">patients </w:t>
      </w:r>
      <w:r w:rsidR="005B7611">
        <w:t>with AQP4-Ab for the diagnosis of NMOSD, who have</w:t>
      </w:r>
      <w:r>
        <w:t xml:space="preserve"> true positive, true negative, false positive and false negative test results</w:t>
      </w:r>
      <w:r w:rsidR="005B7611">
        <w:t>,</w:t>
      </w:r>
      <w:r>
        <w:t xml:space="preserve"> can be seen in </w:t>
      </w:r>
      <w:r w:rsidRPr="005B7611">
        <w:fldChar w:fldCharType="begin"/>
      </w:r>
      <w:r w:rsidRPr="005B7611">
        <w:instrText xml:space="preserve"> REF _Ref33442890 \h </w:instrText>
      </w:r>
      <w:r w:rsidR="005B7611">
        <w:instrText xml:space="preserve"> \* MERGEFORMAT </w:instrText>
      </w:r>
      <w:r w:rsidRPr="005B7611">
        <w:fldChar w:fldCharType="separate"/>
      </w:r>
      <w:r w:rsidR="006250F4" w:rsidRPr="005B7611">
        <w:t xml:space="preserve">Table </w:t>
      </w:r>
      <w:r w:rsidR="006250F4">
        <w:rPr>
          <w:noProof/>
        </w:rPr>
        <w:t>4</w:t>
      </w:r>
      <w:r w:rsidRPr="005B7611">
        <w:fldChar w:fldCharType="end"/>
      </w:r>
      <w:r w:rsidRPr="005B7611">
        <w:t>.</w:t>
      </w:r>
      <w:r>
        <w:t xml:space="preserve"> </w:t>
      </w:r>
    </w:p>
    <w:p w14:paraId="0DBC3688" w14:textId="45D5DF6B" w:rsidR="00ED65EE" w:rsidRDefault="00ED65EE" w:rsidP="002F0966">
      <w:pPr>
        <w:pStyle w:val="Caption"/>
        <w:keepLines/>
        <w:ind w:left="720" w:hanging="720"/>
        <w:rPr>
          <w:rFonts w:cs="Arial"/>
          <w:snapToGrid w:val="0"/>
          <w:szCs w:val="16"/>
          <w:lang w:eastAsia="en-US"/>
        </w:rPr>
      </w:pPr>
      <w:bookmarkStart w:id="66" w:name="_Ref33442890"/>
      <w:bookmarkStart w:id="67" w:name="_Toc39580785"/>
      <w:r w:rsidRPr="005B7611">
        <w:t xml:space="preserve">Table </w:t>
      </w:r>
      <w:fldSimple w:instr=" SEQ Table \* ARABIC ">
        <w:r w:rsidR="00FA7BCD">
          <w:rPr>
            <w:noProof/>
          </w:rPr>
          <w:t>4</w:t>
        </w:r>
      </w:fldSimple>
      <w:bookmarkEnd w:id="66"/>
      <w:r w:rsidRPr="005B7611">
        <w:tab/>
      </w:r>
      <w:r w:rsidR="005B7611">
        <w:t xml:space="preserve">Summary of findings for the linked evidence of AQP4-Ab testing for patients who are suspected of </w:t>
      </w:r>
      <w:r w:rsidR="005B7611">
        <w:rPr>
          <w:rFonts w:cs="Arial"/>
          <w:snapToGrid w:val="0"/>
          <w:szCs w:val="16"/>
          <w:lang w:eastAsia="en-US"/>
        </w:rPr>
        <w:t>NMOSD</w:t>
      </w:r>
      <w:bookmarkEnd w:id="67"/>
    </w:p>
    <w:tbl>
      <w:tblPr>
        <w:tblStyle w:val="TableGrid"/>
        <w:tblW w:w="9209"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Caption w:val="Table 4 Summary of findings for the linked evidence of AQP4-Ab testing for patients who are suspected of NMOSD"/>
        <w:tblDescription w:val="Summary of findings table describing likely outcomes for true positives, true negatives, false positives and false negatives after testing for AQP4- antibodies."/>
      </w:tblPr>
      <w:tblGrid>
        <w:gridCol w:w="1739"/>
        <w:gridCol w:w="7470"/>
      </w:tblGrid>
      <w:tr w:rsidR="00BC0125" w:rsidRPr="00BC0125" w14:paraId="2B8D192A" w14:textId="77777777" w:rsidTr="00BC0125">
        <w:trPr>
          <w:tblHeader/>
        </w:trPr>
        <w:tc>
          <w:tcPr>
            <w:tcW w:w="1739" w:type="dxa"/>
            <w:shd w:val="clear" w:color="auto" w:fill="D0CECE" w:themeFill="background2" w:themeFillShade="E6"/>
          </w:tcPr>
          <w:p w14:paraId="0884B0F0" w14:textId="77777777" w:rsidR="00BC0125" w:rsidRPr="00BC0125" w:rsidRDefault="00BC0125" w:rsidP="00447C83">
            <w:pPr>
              <w:pStyle w:val="TableHeading"/>
              <w:ind w:left="0"/>
            </w:pPr>
            <w:r w:rsidRPr="00BC0125">
              <w:t>Outcomes</w:t>
            </w:r>
          </w:p>
        </w:tc>
        <w:tc>
          <w:tcPr>
            <w:tcW w:w="7470" w:type="dxa"/>
            <w:shd w:val="clear" w:color="auto" w:fill="D0CECE" w:themeFill="background2" w:themeFillShade="E6"/>
          </w:tcPr>
          <w:p w14:paraId="65849D22" w14:textId="77777777" w:rsidR="00BC0125" w:rsidRPr="00BC0125" w:rsidRDefault="00BC0125" w:rsidP="00447C83">
            <w:pPr>
              <w:pStyle w:val="TableHeading"/>
              <w:ind w:left="0"/>
            </w:pPr>
            <w:r w:rsidRPr="00BC0125">
              <w:t>Comments</w:t>
            </w:r>
          </w:p>
        </w:tc>
      </w:tr>
      <w:tr w:rsidR="00D353C1" w14:paraId="50CCBCAA" w14:textId="77777777" w:rsidTr="00BC0125">
        <w:tc>
          <w:tcPr>
            <w:tcW w:w="1739" w:type="dxa"/>
          </w:tcPr>
          <w:p w14:paraId="5F0B24BE" w14:textId="77777777" w:rsidR="00D353C1" w:rsidRPr="002D0E9A" w:rsidRDefault="00D353C1" w:rsidP="00447C83">
            <w:pPr>
              <w:pStyle w:val="TableText0"/>
              <w:ind w:left="0"/>
            </w:pPr>
            <w:r>
              <w:t>True positives</w:t>
            </w:r>
          </w:p>
        </w:tc>
        <w:tc>
          <w:tcPr>
            <w:tcW w:w="7470" w:type="dxa"/>
          </w:tcPr>
          <w:p w14:paraId="498D679D" w14:textId="77777777" w:rsidR="00D353C1" w:rsidRPr="004A196F" w:rsidRDefault="00D353C1" w:rsidP="00447C83">
            <w:pPr>
              <w:pStyle w:val="TableText0"/>
              <w:ind w:left="0"/>
            </w:pPr>
            <w:r>
              <w:t>Patients are likely to benefit from earlier diagnosis and treatment. Earlier treatment can be effective in reducing disability and relapse rate. There is a risk of serious side effects from treatments.</w:t>
            </w:r>
          </w:p>
        </w:tc>
      </w:tr>
      <w:tr w:rsidR="00D353C1" w14:paraId="55909DD0" w14:textId="77777777" w:rsidTr="00BC0125">
        <w:tc>
          <w:tcPr>
            <w:tcW w:w="1739" w:type="dxa"/>
          </w:tcPr>
          <w:p w14:paraId="596E9C4C" w14:textId="77777777" w:rsidR="00D353C1" w:rsidRPr="002D0E9A" w:rsidRDefault="00D353C1" w:rsidP="00447C83">
            <w:pPr>
              <w:pStyle w:val="TableText0"/>
              <w:ind w:left="0"/>
            </w:pPr>
            <w:r>
              <w:t>True negatives</w:t>
            </w:r>
          </w:p>
        </w:tc>
        <w:tc>
          <w:tcPr>
            <w:tcW w:w="7470" w:type="dxa"/>
          </w:tcPr>
          <w:p w14:paraId="036F07F3" w14:textId="77777777" w:rsidR="00D353C1" w:rsidRPr="004A196F" w:rsidRDefault="00D353C1" w:rsidP="00447C83">
            <w:pPr>
              <w:pStyle w:val="TableText0"/>
              <w:ind w:left="0"/>
            </w:pPr>
            <w:r>
              <w:t xml:space="preserve">Patients are likely to </w:t>
            </w:r>
            <w:r w:rsidR="004B4D9D">
              <w:t>undergo</w:t>
            </w:r>
            <w:r>
              <w:t xml:space="preserve"> further test</w:t>
            </w:r>
            <w:r w:rsidR="004B4D9D">
              <w:t>ing</w:t>
            </w:r>
            <w:r>
              <w:t xml:space="preserve"> to correctly classify their inflammatory demyelinating disease. </w:t>
            </w:r>
          </w:p>
        </w:tc>
      </w:tr>
      <w:tr w:rsidR="00D353C1" w14:paraId="476491C4" w14:textId="77777777" w:rsidTr="00BC0125">
        <w:tc>
          <w:tcPr>
            <w:tcW w:w="1739" w:type="dxa"/>
          </w:tcPr>
          <w:p w14:paraId="280318AB" w14:textId="77777777" w:rsidR="00D353C1" w:rsidRPr="002D0E9A" w:rsidRDefault="00D353C1" w:rsidP="00447C83">
            <w:pPr>
              <w:pStyle w:val="TableText0"/>
              <w:ind w:left="0"/>
            </w:pPr>
            <w:r>
              <w:t>False positives</w:t>
            </w:r>
          </w:p>
        </w:tc>
        <w:tc>
          <w:tcPr>
            <w:tcW w:w="7470" w:type="dxa"/>
          </w:tcPr>
          <w:p w14:paraId="19D62560" w14:textId="77777777" w:rsidR="00D353C1" w:rsidRPr="004A196F" w:rsidRDefault="00D353C1" w:rsidP="00447C83">
            <w:pPr>
              <w:pStyle w:val="TableText0"/>
              <w:ind w:left="0"/>
            </w:pPr>
            <w:r>
              <w:t>Unlikely to be recognised in a clinical setting. If a false positive result is suspected (for example in a control test) a retest could be considered.</w:t>
            </w:r>
          </w:p>
        </w:tc>
      </w:tr>
      <w:tr w:rsidR="00D353C1" w14:paraId="7D70F576" w14:textId="77777777" w:rsidTr="00BC0125">
        <w:tc>
          <w:tcPr>
            <w:tcW w:w="1739" w:type="dxa"/>
          </w:tcPr>
          <w:p w14:paraId="7838E763" w14:textId="77777777" w:rsidR="00D353C1" w:rsidRPr="002D0E9A" w:rsidRDefault="00D353C1" w:rsidP="00447C83">
            <w:pPr>
              <w:pStyle w:val="TableText0"/>
              <w:ind w:left="0"/>
            </w:pPr>
            <w:r>
              <w:lastRenderedPageBreak/>
              <w:t>False negatives</w:t>
            </w:r>
          </w:p>
        </w:tc>
        <w:tc>
          <w:tcPr>
            <w:tcW w:w="7470" w:type="dxa"/>
          </w:tcPr>
          <w:p w14:paraId="3A11C357" w14:textId="77777777" w:rsidR="00D353C1" w:rsidRDefault="00D353C1" w:rsidP="00447C83">
            <w:pPr>
              <w:pStyle w:val="TableText0"/>
              <w:ind w:left="0"/>
            </w:pPr>
            <w:r>
              <w:t xml:space="preserve">Patients are likely to be treated as though they are </w:t>
            </w:r>
            <w:r w:rsidR="00FE391B">
              <w:t>suspected</w:t>
            </w:r>
            <w:r>
              <w:t xml:space="preserve"> of NMOSD. Effective treatment may be delayed as a diagnosis may not be definitive until further symptoms occur. Delayed treatment may result in worse health outcomes. </w:t>
            </w:r>
          </w:p>
          <w:p w14:paraId="567FBC8B" w14:textId="77777777" w:rsidR="00D353C1" w:rsidRPr="004A196F" w:rsidRDefault="00D353C1" w:rsidP="00447C83">
            <w:pPr>
              <w:pStyle w:val="TableText0"/>
              <w:ind w:left="0"/>
            </w:pPr>
            <w:r>
              <w:t>Alternatively patients may be treated as though they have MS and receive ineffective treatment.</w:t>
            </w:r>
          </w:p>
        </w:tc>
      </w:tr>
    </w:tbl>
    <w:p w14:paraId="7185AF51" w14:textId="77777777" w:rsidR="00D353C1" w:rsidRDefault="005B7611" w:rsidP="00BC0125">
      <w:pPr>
        <w:pStyle w:val="Tablenotes0"/>
      </w:pPr>
      <w:r>
        <w:t xml:space="preserve">AQP4-Ab – aquaporin 4 antibodies; </w:t>
      </w:r>
      <w:r w:rsidR="00BC0125">
        <w:t>MS = multiple sclerosis; NMOSD = neuromyelitis optica spectrum disorder</w:t>
      </w:r>
    </w:p>
    <w:p w14:paraId="30A3B595" w14:textId="77777777" w:rsidR="0099376D" w:rsidRDefault="0099376D" w:rsidP="00BC0125">
      <w:pPr>
        <w:pStyle w:val="Tablenotes0"/>
      </w:pPr>
    </w:p>
    <w:p w14:paraId="76499F10" w14:textId="77777777" w:rsidR="003816F6" w:rsidRPr="00FC0F62" w:rsidRDefault="00B61F57" w:rsidP="003816F6">
      <w:pPr>
        <w:pStyle w:val="Heading4"/>
      </w:pPr>
      <w:r w:rsidRPr="00FC0F62">
        <w:t>Antibody status in the NMOSD population</w:t>
      </w:r>
    </w:p>
    <w:p w14:paraId="437BE3AF" w14:textId="35CA2ACE" w:rsidR="0099376D" w:rsidRPr="00FC0F62" w:rsidRDefault="00B61F57" w:rsidP="00B61F57">
      <w:r w:rsidRPr="00FC0F62">
        <w:t xml:space="preserve">Data provided from Australian laboratories on AQP4 and MOG antibody tests performed did not permit the calculation of the proportion of AQP4-Ab positive and negative, or MOG-Ab positive and negative NMOSD cases. </w:t>
      </w:r>
      <w:r w:rsidRPr="00FC0F62">
        <w:fldChar w:fldCharType="begin"/>
      </w:r>
      <w:r w:rsidRPr="00FC0F62">
        <w:instrText xml:space="preserve"> REF _Ref38534567 \h  \* MERGEFORMAT </w:instrText>
      </w:r>
      <w:r w:rsidRPr="00FC0F62">
        <w:fldChar w:fldCharType="separate"/>
      </w:r>
      <w:r w:rsidRPr="00FC0F62">
        <w:t xml:space="preserve">Table </w:t>
      </w:r>
      <w:r w:rsidRPr="00FC0F62">
        <w:rPr>
          <w:noProof/>
        </w:rPr>
        <w:t>5</w:t>
      </w:r>
      <w:r w:rsidRPr="00FC0F62">
        <w:fldChar w:fldCharType="end"/>
      </w:r>
      <w:r w:rsidRPr="00FC0F62">
        <w:t xml:space="preserve"> provides estimated proportions, based on a single European (Caucasian) study identified that reported AQP4-Ab and MOG-Ab yield in 74 adult NMOSD patients </w:t>
      </w:r>
      <w:r w:rsidRPr="00FC0F62">
        <w:fldChar w:fldCharType="begin">
          <w:fldData xml:space="preserve">PEVuZE5vdGU+PENpdGU+PEF1dGhvcj5EcnVsb3ZpYzwvQXV0aG9yPjxZZWFyPjIwMTk8L1llYXI+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</w:fldData>
        </w:fldChar>
      </w:r>
      <w:r w:rsidRPr="00FC0F62">
        <w:instrText xml:space="preserve"> ADDIN EN.CITE </w:instrText>
      </w:r>
      <w:r w:rsidRPr="00FC0F62">
        <w:fldChar w:fldCharType="begin">
          <w:fldData xml:space="preserve">PEVuZE5vdGU+PENpdGU+PEF1dGhvcj5EcnVsb3ZpYzwvQXV0aG9yPjxZZWFyPjIwMTk8L1llYXI+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</w:fldData>
        </w:fldChar>
      </w:r>
      <w:r w:rsidRPr="00FC0F62">
        <w:instrText xml:space="preserve"> ADDIN EN.CITE.DATA </w:instrText>
      </w:r>
      <w:r w:rsidRPr="00FC0F62">
        <w:fldChar w:fldCharType="end"/>
      </w:r>
      <w:r w:rsidRPr="00FC0F62">
        <w:fldChar w:fldCharType="separate"/>
      </w:r>
      <w:r w:rsidRPr="00FC0F62">
        <w:rPr>
          <w:noProof/>
        </w:rPr>
        <w:t>(Drulovic et al. 2019)</w:t>
      </w:r>
      <w:r w:rsidRPr="00FC0F62">
        <w:fldChar w:fldCharType="end"/>
      </w:r>
      <w:r w:rsidRPr="00FC0F62">
        <w:t xml:space="preserve"> (see also Section B4.1.5, </w:t>
      </w:r>
      <w:r w:rsidRPr="00FC0F62">
        <w:fldChar w:fldCharType="begin"/>
      </w:r>
      <w:r w:rsidRPr="00FC0F62">
        <w:instrText xml:space="preserve"> REF _Ref27753457 \h  \* MERGEFORMAT </w:instrText>
      </w:r>
      <w:r w:rsidRPr="00FC0F62">
        <w:fldChar w:fldCharType="separate"/>
      </w:r>
      <w:r w:rsidRPr="00FC0F62">
        <w:t xml:space="preserve">Table </w:t>
      </w:r>
      <w:r w:rsidRPr="00FC0F62">
        <w:rPr>
          <w:noProof/>
        </w:rPr>
        <w:t>22</w:t>
      </w:r>
      <w:r w:rsidRPr="00FC0F62">
        <w:fldChar w:fldCharType="end"/>
      </w:r>
      <w:r w:rsidRPr="00FC0F62">
        <w:t xml:space="preserve">). For comparison, the range of proportions in adults with NMO or NMOSD reported in studies from around the world is given in italics in </w:t>
      </w:r>
      <w:r w:rsidR="00657B2A" w:rsidRPr="00FC0F62">
        <w:fldChar w:fldCharType="begin"/>
      </w:r>
      <w:r w:rsidR="00657B2A" w:rsidRPr="00FC0F62">
        <w:instrText xml:space="preserve"> REF _Ref38983508 \h </w:instrText>
      </w:r>
      <w:r w:rsidR="00FC0F62">
        <w:instrText xml:space="preserve"> \* MERGEFORMAT </w:instrText>
      </w:r>
      <w:r w:rsidR="00657B2A" w:rsidRPr="00FC0F62">
        <w:fldChar w:fldCharType="separate"/>
      </w:r>
      <w:r w:rsidR="00657B2A" w:rsidRPr="00FC0F62">
        <w:t xml:space="preserve">Table </w:t>
      </w:r>
      <w:r w:rsidR="00657B2A" w:rsidRPr="00FC0F62">
        <w:rPr>
          <w:noProof/>
        </w:rPr>
        <w:t>5</w:t>
      </w:r>
      <w:r w:rsidR="00657B2A" w:rsidRPr="00FC0F62">
        <w:fldChar w:fldCharType="end"/>
      </w:r>
      <w:r w:rsidRPr="00FC0F62">
        <w:t xml:space="preserve"> (for more detail see </w:t>
      </w:r>
      <w:r w:rsidRPr="00FC0F62">
        <w:fldChar w:fldCharType="begin"/>
      </w:r>
      <w:r w:rsidRPr="00FC0F62">
        <w:instrText xml:space="preserve"> REF _Ref27753180 \h  \* MERGEFORMAT </w:instrText>
      </w:r>
      <w:r w:rsidRPr="00FC0F62">
        <w:fldChar w:fldCharType="separate"/>
      </w:r>
      <w:r w:rsidRPr="00FC0F62">
        <w:t xml:space="preserve">Table </w:t>
      </w:r>
      <w:r w:rsidRPr="00FC0F62">
        <w:rPr>
          <w:noProof/>
        </w:rPr>
        <w:t>22</w:t>
      </w:r>
      <w:r w:rsidRPr="00FC0F62">
        <w:fldChar w:fldCharType="end"/>
      </w:r>
      <w:r w:rsidRPr="00FC0F62">
        <w:t>). Data for MS and other CNS conditions is not available.</w:t>
      </w:r>
    </w:p>
    <w:p w14:paraId="02DA9BCD" w14:textId="0FD88D65" w:rsidR="0099376D" w:rsidRPr="00FC0F62" w:rsidRDefault="00657B2A" w:rsidP="00657B2A">
      <w:pPr>
        <w:pStyle w:val="Caption"/>
      </w:pPr>
      <w:bookmarkStart w:id="68" w:name="_Ref38983508"/>
      <w:bookmarkStart w:id="69" w:name="_Toc39580786"/>
      <w:r w:rsidRPr="00FC0F62">
        <w:t xml:space="preserve">Table </w:t>
      </w:r>
      <w:fldSimple w:instr=" SEQ Table \* ARABIC ">
        <w:r w:rsidR="00FA7BCD" w:rsidRPr="00FC0F62">
          <w:rPr>
            <w:noProof/>
          </w:rPr>
          <w:t>5</w:t>
        </w:r>
      </w:fldSimple>
      <w:bookmarkEnd w:id="68"/>
      <w:r w:rsidR="00C8675B" w:rsidRPr="00FC0F62">
        <w:tab/>
      </w:r>
      <w:r w:rsidR="003816F6" w:rsidRPr="00FC0F62">
        <w:t>Estima</w:t>
      </w:r>
      <w:r w:rsidR="00C8675B" w:rsidRPr="00FC0F62">
        <w:t xml:space="preserve">ted proportions of AQP4 and MOG positive and negative </w:t>
      </w:r>
      <w:r w:rsidR="005139C9" w:rsidRPr="00FC0F62">
        <w:t>adults</w:t>
      </w:r>
      <w:r w:rsidR="00C8675B" w:rsidRPr="00FC0F62">
        <w:t xml:space="preserve"> with demyelinating CNS disorders</w:t>
      </w:r>
      <w:bookmarkEnd w:id="69"/>
    </w:p>
    <w:tbl>
      <w:tblPr>
        <w:tblStyle w:val="TableGrid"/>
        <w:tblW w:w="0" w:type="auto"/>
        <w:tblLook w:val="04A0" w:firstRow="1" w:lastRow="0" w:firstColumn="1" w:lastColumn="0" w:noHBand="0" w:noVBand="1"/>
        <w:tblCaption w:val="Table 5 Estimated proportions of AQP4 and MOG positive and negative adults with demyelinating CNS disorders"/>
        <w:tblDescription w:val="Estimated proportions of AQP4 and MOG antibody positive cases and negative cases reported in a caucasian population, and the range reported in studies from across the world."/>
      </w:tblPr>
      <w:tblGrid>
        <w:gridCol w:w="1980"/>
        <w:gridCol w:w="1626"/>
        <w:gridCol w:w="1803"/>
        <w:gridCol w:w="1803"/>
        <w:gridCol w:w="1804"/>
      </w:tblGrid>
      <w:tr w:rsidR="00743D8F" w:rsidRPr="00FC0F62" w14:paraId="2126743C" w14:textId="77777777" w:rsidTr="003816F6">
        <w:tc>
          <w:tcPr>
            <w:tcW w:w="1980" w:type="dxa"/>
          </w:tcPr>
          <w:p w14:paraId="77F8D0E8" w14:textId="1BE1C1DD" w:rsidR="00743D8F" w:rsidRPr="00FC0F62" w:rsidRDefault="00743D8F" w:rsidP="00284047">
            <w:pPr>
              <w:pStyle w:val="Tabletext"/>
              <w:ind w:left="0"/>
              <w:rPr>
                <w:b/>
              </w:rPr>
            </w:pPr>
            <w:r w:rsidRPr="00FC0F62">
              <w:rPr>
                <w:b/>
              </w:rPr>
              <w:t>CNS Condition</w:t>
            </w:r>
          </w:p>
        </w:tc>
        <w:tc>
          <w:tcPr>
            <w:tcW w:w="1626" w:type="dxa"/>
          </w:tcPr>
          <w:p w14:paraId="1DEEF47F" w14:textId="77777777" w:rsidR="00743D8F" w:rsidRPr="00FC0F62" w:rsidRDefault="00743D8F" w:rsidP="00284047">
            <w:pPr>
              <w:pStyle w:val="Tabletext"/>
              <w:ind w:left="0"/>
              <w:rPr>
                <w:b/>
              </w:rPr>
            </w:pPr>
            <w:r w:rsidRPr="00FC0F62">
              <w:rPr>
                <w:b/>
              </w:rPr>
              <w:t>AQP4 +ve</w:t>
            </w:r>
          </w:p>
          <w:p w14:paraId="1F735755" w14:textId="3CA0BA7A" w:rsidR="00743D8F" w:rsidRPr="00FC0F62" w:rsidRDefault="00743D8F" w:rsidP="00284047">
            <w:pPr>
              <w:pStyle w:val="Tabletext"/>
              <w:ind w:left="0"/>
              <w:rPr>
                <w:b/>
              </w:rPr>
            </w:pPr>
            <w:r w:rsidRPr="00FC0F62">
              <w:rPr>
                <w:b/>
              </w:rPr>
              <w:t>MOG -ve</w:t>
            </w:r>
          </w:p>
        </w:tc>
        <w:tc>
          <w:tcPr>
            <w:tcW w:w="1803" w:type="dxa"/>
          </w:tcPr>
          <w:p w14:paraId="302D259E" w14:textId="0326BE4D" w:rsidR="00743D8F" w:rsidRPr="00FC0F62" w:rsidRDefault="00743D8F" w:rsidP="00284047">
            <w:pPr>
              <w:pStyle w:val="Tabletext"/>
              <w:ind w:left="0"/>
              <w:rPr>
                <w:b/>
              </w:rPr>
            </w:pPr>
            <w:r w:rsidRPr="00FC0F62">
              <w:rPr>
                <w:b/>
              </w:rPr>
              <w:t>AQP4 -ve</w:t>
            </w:r>
          </w:p>
          <w:p w14:paraId="26EA25E2" w14:textId="794EB500" w:rsidR="00743D8F" w:rsidRPr="00FC0F62" w:rsidRDefault="00743D8F" w:rsidP="00284047">
            <w:pPr>
              <w:pStyle w:val="Tabletext"/>
              <w:ind w:left="0"/>
              <w:rPr>
                <w:b/>
              </w:rPr>
            </w:pPr>
            <w:r w:rsidRPr="00FC0F62">
              <w:rPr>
                <w:b/>
              </w:rPr>
              <w:t>MOG +ve</w:t>
            </w:r>
          </w:p>
        </w:tc>
        <w:tc>
          <w:tcPr>
            <w:tcW w:w="1803" w:type="dxa"/>
          </w:tcPr>
          <w:p w14:paraId="2D80E936" w14:textId="065E7FFD" w:rsidR="00743D8F" w:rsidRPr="00FC0F62" w:rsidRDefault="00743D8F" w:rsidP="00284047">
            <w:pPr>
              <w:pStyle w:val="Tabletext"/>
              <w:ind w:left="0"/>
              <w:rPr>
                <w:b/>
              </w:rPr>
            </w:pPr>
            <w:r w:rsidRPr="00FC0F62">
              <w:rPr>
                <w:b/>
              </w:rPr>
              <w:t>AQP4 -ve</w:t>
            </w:r>
          </w:p>
          <w:p w14:paraId="7FBC05F2" w14:textId="457F7A95" w:rsidR="00743D8F" w:rsidRPr="00FC0F62" w:rsidRDefault="00743D8F" w:rsidP="00284047">
            <w:pPr>
              <w:pStyle w:val="Tabletext"/>
              <w:ind w:left="0"/>
              <w:rPr>
                <w:b/>
              </w:rPr>
            </w:pPr>
            <w:r w:rsidRPr="00FC0F62">
              <w:rPr>
                <w:b/>
              </w:rPr>
              <w:t>MOG -ve</w:t>
            </w:r>
          </w:p>
        </w:tc>
        <w:tc>
          <w:tcPr>
            <w:tcW w:w="1804" w:type="dxa"/>
          </w:tcPr>
          <w:p w14:paraId="7A25B1A7" w14:textId="77777777" w:rsidR="00743D8F" w:rsidRPr="00FC0F62" w:rsidRDefault="00743D8F" w:rsidP="00284047">
            <w:pPr>
              <w:pStyle w:val="Tabletext"/>
              <w:ind w:left="0"/>
              <w:rPr>
                <w:b/>
              </w:rPr>
            </w:pPr>
            <w:r w:rsidRPr="00FC0F62">
              <w:rPr>
                <w:b/>
              </w:rPr>
              <w:t>AQP4 +ve</w:t>
            </w:r>
          </w:p>
          <w:p w14:paraId="6B3D139E" w14:textId="507F3218" w:rsidR="00743D8F" w:rsidRPr="00FC0F62" w:rsidRDefault="00743D8F" w:rsidP="00284047">
            <w:pPr>
              <w:pStyle w:val="Tabletext"/>
              <w:ind w:left="0"/>
              <w:rPr>
                <w:b/>
              </w:rPr>
            </w:pPr>
            <w:r w:rsidRPr="00FC0F62">
              <w:rPr>
                <w:b/>
              </w:rPr>
              <w:t>MOG +ve</w:t>
            </w:r>
          </w:p>
        </w:tc>
      </w:tr>
      <w:tr w:rsidR="00743D8F" w:rsidRPr="00FC0F62" w14:paraId="42B8AB77" w14:textId="77777777" w:rsidTr="003816F6">
        <w:tc>
          <w:tcPr>
            <w:tcW w:w="1980" w:type="dxa"/>
          </w:tcPr>
          <w:p w14:paraId="1012B1DB" w14:textId="77777777" w:rsidR="00743D8F" w:rsidRPr="00FC0F62" w:rsidRDefault="00743D8F" w:rsidP="003816F6">
            <w:pPr>
              <w:pStyle w:val="Tabletext"/>
              <w:ind w:left="0"/>
            </w:pPr>
            <w:r w:rsidRPr="00FC0F62">
              <w:t>NMOSD</w:t>
            </w:r>
          </w:p>
          <w:p w14:paraId="383DEB23" w14:textId="2693FCEC" w:rsidR="00743D8F" w:rsidRPr="00FC0F62" w:rsidRDefault="00743D8F" w:rsidP="003816F6">
            <w:pPr>
              <w:pStyle w:val="Tabletext"/>
              <w:numPr>
                <w:ilvl w:val="0"/>
                <w:numId w:val="54"/>
              </w:numPr>
            </w:pPr>
            <w:r w:rsidRPr="00FC0F62">
              <w:t xml:space="preserve">Data from single </w:t>
            </w:r>
            <w:r w:rsidR="000E4046" w:rsidRPr="00FC0F62">
              <w:t>European</w:t>
            </w:r>
            <w:r w:rsidRPr="00FC0F62">
              <w:t xml:space="preserve"> study of 74 adults</w:t>
            </w:r>
          </w:p>
          <w:p w14:paraId="5B45E18F" w14:textId="3A72699E" w:rsidR="00743D8F" w:rsidRPr="00FC0F62" w:rsidRDefault="00743D8F" w:rsidP="003816F6">
            <w:pPr>
              <w:pStyle w:val="Tabletext"/>
              <w:numPr>
                <w:ilvl w:val="0"/>
                <w:numId w:val="54"/>
              </w:numPr>
              <w:rPr>
                <w:i/>
              </w:rPr>
            </w:pPr>
            <w:r w:rsidRPr="00FC0F62">
              <w:rPr>
                <w:i/>
              </w:rPr>
              <w:t>Range from global studies</w:t>
            </w:r>
          </w:p>
        </w:tc>
        <w:tc>
          <w:tcPr>
            <w:tcW w:w="1626" w:type="dxa"/>
          </w:tcPr>
          <w:p w14:paraId="55185A69" w14:textId="77777777" w:rsidR="00743D8F" w:rsidRPr="00FC0F62" w:rsidRDefault="00743D8F" w:rsidP="003816F6">
            <w:pPr>
              <w:pStyle w:val="Tabletext"/>
              <w:ind w:left="0"/>
            </w:pPr>
          </w:p>
          <w:p w14:paraId="22513EEB" w14:textId="77777777" w:rsidR="00743D8F" w:rsidRPr="00FC0F62" w:rsidRDefault="00743D8F" w:rsidP="003816F6">
            <w:pPr>
              <w:pStyle w:val="Tabletext"/>
              <w:ind w:left="0"/>
            </w:pPr>
            <w:r w:rsidRPr="00FC0F62">
              <w:t>89.2% of total</w:t>
            </w:r>
            <w:r w:rsidRPr="00FC0F62">
              <w:rPr>
                <w:vertAlign w:val="superscript"/>
              </w:rPr>
              <w:t>a</w:t>
            </w:r>
          </w:p>
          <w:p w14:paraId="22EB1AE5" w14:textId="21E78FDF" w:rsidR="00743D8F" w:rsidRPr="00FC0F62" w:rsidRDefault="00743D8F" w:rsidP="003816F6">
            <w:pPr>
              <w:pStyle w:val="Tabletext"/>
              <w:ind w:left="0"/>
              <w:rPr>
                <w:i/>
              </w:rPr>
            </w:pPr>
            <w:r w:rsidRPr="00FC0F62">
              <w:br/>
            </w:r>
            <w:r w:rsidRPr="00FC0F62">
              <w:br/>
            </w:r>
            <w:r w:rsidRPr="00FC0F62">
              <w:rPr>
                <w:i/>
              </w:rPr>
              <w:t>40.9%-89.2% of total</w:t>
            </w:r>
          </w:p>
        </w:tc>
        <w:tc>
          <w:tcPr>
            <w:tcW w:w="1803" w:type="dxa"/>
          </w:tcPr>
          <w:p w14:paraId="60DD5650" w14:textId="77777777" w:rsidR="00743D8F" w:rsidRPr="00FC0F62" w:rsidRDefault="00743D8F" w:rsidP="00CC317A">
            <w:pPr>
              <w:pStyle w:val="TableText0"/>
              <w:ind w:left="0"/>
            </w:pPr>
          </w:p>
          <w:p w14:paraId="26453652" w14:textId="162058DF" w:rsidR="00743D8F" w:rsidRPr="00FC0F62" w:rsidRDefault="00743D8F" w:rsidP="00CC317A">
            <w:pPr>
              <w:pStyle w:val="TableText0"/>
              <w:ind w:left="0"/>
            </w:pPr>
            <w:r w:rsidRPr="00FC0F62">
              <w:t xml:space="preserve">28.6% of AQP4 –ve </w:t>
            </w:r>
            <w:r w:rsidRPr="00FC0F62">
              <w:br/>
              <w:t>(2.7% of total)</w:t>
            </w:r>
            <w:r w:rsidRPr="00FC0F62">
              <w:rPr>
                <w:vertAlign w:val="superscript"/>
              </w:rPr>
              <w:t>a</w:t>
            </w:r>
            <w:r w:rsidR="00CC317A" w:rsidRPr="00FC0F62">
              <w:rPr>
                <w:vertAlign w:val="superscript"/>
              </w:rPr>
              <w:br/>
            </w:r>
          </w:p>
          <w:p w14:paraId="307384E8" w14:textId="4C50D92D" w:rsidR="00743D8F" w:rsidRPr="00FC0F62" w:rsidRDefault="00743D8F" w:rsidP="003816F6">
            <w:pPr>
              <w:pStyle w:val="Tabletext"/>
              <w:ind w:left="0"/>
              <w:rPr>
                <w:i/>
              </w:rPr>
            </w:pPr>
            <w:r w:rsidRPr="00FC0F62">
              <w:rPr>
                <w:i/>
              </w:rPr>
              <w:t>0%-29% of AQP4 –ve cases</w:t>
            </w:r>
          </w:p>
        </w:tc>
        <w:tc>
          <w:tcPr>
            <w:tcW w:w="1803" w:type="dxa"/>
          </w:tcPr>
          <w:p w14:paraId="5A09C56E" w14:textId="77777777" w:rsidR="00743D8F" w:rsidRPr="00FC0F62" w:rsidRDefault="00743D8F" w:rsidP="00CC317A">
            <w:pPr>
              <w:pStyle w:val="TableText0"/>
              <w:ind w:left="0"/>
            </w:pPr>
          </w:p>
          <w:p w14:paraId="43E7FBC8" w14:textId="432DB97F" w:rsidR="00743D8F" w:rsidRPr="00FC0F62" w:rsidRDefault="00743D8F" w:rsidP="00CC317A">
            <w:pPr>
              <w:pStyle w:val="TableText0"/>
              <w:ind w:left="0"/>
            </w:pPr>
            <w:r w:rsidRPr="00FC0F62">
              <w:t xml:space="preserve">71.4% of AQP4 –ve </w:t>
            </w:r>
            <w:r w:rsidRPr="00FC0F62">
              <w:br/>
              <w:t>(6.8% of total)</w:t>
            </w:r>
            <w:r w:rsidRPr="00FC0F62">
              <w:rPr>
                <w:vertAlign w:val="superscript"/>
              </w:rPr>
              <w:t>a</w:t>
            </w:r>
            <w:r w:rsidR="00CC317A" w:rsidRPr="00FC0F62">
              <w:rPr>
                <w:vertAlign w:val="superscript"/>
              </w:rPr>
              <w:br/>
            </w:r>
          </w:p>
          <w:p w14:paraId="5ABE7738" w14:textId="576C0311" w:rsidR="00743D8F" w:rsidRPr="00FC0F62" w:rsidRDefault="00743D8F" w:rsidP="003816F6">
            <w:pPr>
              <w:pStyle w:val="Tabletext"/>
              <w:ind w:left="0"/>
              <w:rPr>
                <w:i/>
              </w:rPr>
            </w:pPr>
            <w:r w:rsidRPr="00FC0F62">
              <w:rPr>
                <w:i/>
              </w:rPr>
              <w:t>71%-100% of AQP4 –ve cases</w:t>
            </w:r>
          </w:p>
        </w:tc>
        <w:tc>
          <w:tcPr>
            <w:tcW w:w="1804" w:type="dxa"/>
          </w:tcPr>
          <w:p w14:paraId="2F82E1F3" w14:textId="77777777" w:rsidR="00743D8F" w:rsidRPr="00FC0F62" w:rsidRDefault="00743D8F" w:rsidP="00CC317A">
            <w:pPr>
              <w:pStyle w:val="TableText0"/>
              <w:ind w:left="0"/>
            </w:pPr>
          </w:p>
          <w:p w14:paraId="4B22FA13" w14:textId="77777777" w:rsidR="00743D8F" w:rsidRPr="00FC0F62" w:rsidRDefault="00743D8F" w:rsidP="00CC317A">
            <w:pPr>
              <w:pStyle w:val="TableText0"/>
              <w:ind w:left="0"/>
            </w:pPr>
            <w:r w:rsidRPr="00FC0F62">
              <w:t>0%</w:t>
            </w:r>
            <w:r w:rsidRPr="00FC0F62">
              <w:rPr>
                <w:vertAlign w:val="superscript"/>
              </w:rPr>
              <w:t>b</w:t>
            </w:r>
            <w:r w:rsidRPr="00FC0F62">
              <w:t xml:space="preserve"> </w:t>
            </w:r>
          </w:p>
          <w:p w14:paraId="57F08F5C" w14:textId="17E079BB" w:rsidR="00743D8F" w:rsidRPr="00FC0F62" w:rsidRDefault="00743D8F" w:rsidP="003816F6">
            <w:pPr>
              <w:pStyle w:val="Tabletext"/>
              <w:ind w:left="0"/>
              <w:rPr>
                <w:i/>
              </w:rPr>
            </w:pPr>
            <w:r w:rsidRPr="00FC0F62">
              <w:br/>
            </w:r>
            <w:r w:rsidRPr="00FC0F62">
              <w:br/>
            </w:r>
            <w:r w:rsidRPr="00FC0F62">
              <w:rPr>
                <w:i/>
              </w:rPr>
              <w:t>0%</w:t>
            </w:r>
            <w:r w:rsidRPr="00FC0F62">
              <w:rPr>
                <w:i/>
              </w:rPr>
              <w:br/>
              <w:t>Rare cases reported</w:t>
            </w:r>
          </w:p>
        </w:tc>
      </w:tr>
      <w:tr w:rsidR="00743D8F" w:rsidRPr="00FC0F62" w14:paraId="2EB5503E" w14:textId="77777777" w:rsidTr="003816F6">
        <w:trPr>
          <w:trHeight w:val="70"/>
        </w:trPr>
        <w:tc>
          <w:tcPr>
            <w:tcW w:w="1980" w:type="dxa"/>
          </w:tcPr>
          <w:p w14:paraId="4196D56A" w14:textId="454C06EC" w:rsidR="00743D8F" w:rsidRPr="00FC0F62" w:rsidRDefault="00743D8F" w:rsidP="003816F6">
            <w:pPr>
              <w:pStyle w:val="Tabletext"/>
              <w:ind w:left="0"/>
            </w:pPr>
            <w:r w:rsidRPr="00FC0F62">
              <w:t>MS</w:t>
            </w:r>
          </w:p>
        </w:tc>
        <w:tc>
          <w:tcPr>
            <w:tcW w:w="1626" w:type="dxa"/>
          </w:tcPr>
          <w:p w14:paraId="52860D89" w14:textId="2F8A3EB2" w:rsidR="00743D8F" w:rsidRPr="00FC0F62" w:rsidRDefault="00743D8F" w:rsidP="003816F6">
            <w:pPr>
              <w:pStyle w:val="Tabletext"/>
              <w:ind w:left="0"/>
            </w:pPr>
            <w:r w:rsidRPr="00FC0F62">
              <w:t>Approx 0%</w:t>
            </w:r>
          </w:p>
        </w:tc>
        <w:tc>
          <w:tcPr>
            <w:tcW w:w="1803" w:type="dxa"/>
          </w:tcPr>
          <w:p w14:paraId="7BC22C4A" w14:textId="65CCC34F" w:rsidR="00743D8F" w:rsidRPr="00FC0F62" w:rsidRDefault="00743D8F" w:rsidP="003816F6">
            <w:pPr>
              <w:pStyle w:val="Tabletext"/>
              <w:ind w:left="0"/>
            </w:pPr>
            <w:r w:rsidRPr="00FC0F62">
              <w:t>Approx 0%</w:t>
            </w:r>
          </w:p>
        </w:tc>
        <w:tc>
          <w:tcPr>
            <w:tcW w:w="1803" w:type="dxa"/>
          </w:tcPr>
          <w:p w14:paraId="632A05D2" w14:textId="662BF315" w:rsidR="00743D8F" w:rsidRPr="00FC0F62" w:rsidRDefault="00743D8F" w:rsidP="003816F6">
            <w:pPr>
              <w:pStyle w:val="Tabletext"/>
              <w:ind w:left="0"/>
            </w:pPr>
            <w:r w:rsidRPr="00FC0F62">
              <w:t>Approx 0%</w:t>
            </w:r>
          </w:p>
        </w:tc>
        <w:tc>
          <w:tcPr>
            <w:tcW w:w="1804" w:type="dxa"/>
          </w:tcPr>
          <w:p w14:paraId="5E2E3BB4" w14:textId="53BF2BCC" w:rsidR="00743D8F" w:rsidRPr="00FC0F62" w:rsidRDefault="00743D8F" w:rsidP="003816F6">
            <w:pPr>
              <w:pStyle w:val="Tabletext"/>
              <w:ind w:left="0"/>
            </w:pPr>
            <w:r w:rsidRPr="00FC0F62">
              <w:t>Approx 0%</w:t>
            </w:r>
          </w:p>
        </w:tc>
      </w:tr>
      <w:tr w:rsidR="00743D8F" w:rsidRPr="00FC0F62" w14:paraId="446C36EE" w14:textId="77777777" w:rsidTr="003816F6">
        <w:tc>
          <w:tcPr>
            <w:tcW w:w="1980" w:type="dxa"/>
          </w:tcPr>
          <w:p w14:paraId="7CD42AEB" w14:textId="39D927EC" w:rsidR="00743D8F" w:rsidRPr="00FC0F62" w:rsidRDefault="00743D8F" w:rsidP="003816F6">
            <w:pPr>
              <w:pStyle w:val="Tabletext"/>
              <w:ind w:left="0"/>
            </w:pPr>
            <w:r w:rsidRPr="00FC0F62">
              <w:t>Neither NMOSD or MS</w:t>
            </w:r>
          </w:p>
        </w:tc>
        <w:tc>
          <w:tcPr>
            <w:tcW w:w="1626" w:type="dxa"/>
          </w:tcPr>
          <w:p w14:paraId="727F75C0" w14:textId="289D056C" w:rsidR="00743D8F" w:rsidRPr="00FC0F62" w:rsidRDefault="00743D8F" w:rsidP="003816F6">
            <w:pPr>
              <w:pStyle w:val="Tabletext"/>
              <w:ind w:left="0"/>
            </w:pPr>
            <w:r w:rsidRPr="00FC0F62">
              <w:t>Approx 0%</w:t>
            </w:r>
          </w:p>
        </w:tc>
        <w:tc>
          <w:tcPr>
            <w:tcW w:w="1803" w:type="dxa"/>
          </w:tcPr>
          <w:p w14:paraId="1ED534AC" w14:textId="13FC12C6" w:rsidR="00743D8F" w:rsidRPr="00FC0F62" w:rsidRDefault="00743D8F" w:rsidP="003816F6">
            <w:pPr>
              <w:pStyle w:val="Tabletext"/>
              <w:ind w:left="0"/>
            </w:pPr>
            <w:r w:rsidRPr="00FC0F62">
              <w:t>Cases are likely but no data available</w:t>
            </w:r>
          </w:p>
        </w:tc>
        <w:tc>
          <w:tcPr>
            <w:tcW w:w="1803" w:type="dxa"/>
          </w:tcPr>
          <w:p w14:paraId="74526FF1" w14:textId="024EF246" w:rsidR="00743D8F" w:rsidRPr="00FC0F62" w:rsidRDefault="00743D8F" w:rsidP="003816F6">
            <w:pPr>
              <w:pStyle w:val="Tabletext"/>
              <w:ind w:left="0"/>
            </w:pPr>
            <w:r w:rsidRPr="00FC0F62">
              <w:t>Cases are likely but no data available</w:t>
            </w:r>
          </w:p>
        </w:tc>
        <w:tc>
          <w:tcPr>
            <w:tcW w:w="1804" w:type="dxa"/>
          </w:tcPr>
          <w:p w14:paraId="199D5901" w14:textId="000B0839" w:rsidR="00743D8F" w:rsidRPr="00FC0F62" w:rsidRDefault="00743D8F" w:rsidP="003816F6">
            <w:pPr>
              <w:pStyle w:val="Tabletext"/>
              <w:ind w:left="0"/>
            </w:pPr>
            <w:r w:rsidRPr="00FC0F62">
              <w:t>Approx 0%</w:t>
            </w:r>
          </w:p>
        </w:tc>
      </w:tr>
    </w:tbl>
    <w:p w14:paraId="44E030D0" w14:textId="408B4D99" w:rsidR="003816F6" w:rsidRPr="00FC0F62" w:rsidRDefault="002A0C45" w:rsidP="003816F6">
      <w:pPr>
        <w:pStyle w:val="Tablenotes0"/>
      </w:pPr>
      <w:r w:rsidRPr="00FC0F62">
        <w:t>AQP4 = aquaporin 4 antibodies; MOG = myelin oligodendrocyte glycoprotein antibodies; MS = multiple sclerosis; NMOSD = neuromyelitis optica spectrum disorder</w:t>
      </w:r>
    </w:p>
    <w:p w14:paraId="45798F7A" w14:textId="0BC94EC9" w:rsidR="00743D8F" w:rsidRPr="00FC0F62" w:rsidRDefault="003816F6" w:rsidP="003816F6">
      <w:pPr>
        <w:pStyle w:val="Tablenotes0"/>
      </w:pPr>
      <w:r w:rsidRPr="00FC0F62">
        <w:rPr>
          <w:vertAlign w:val="superscript"/>
        </w:rPr>
        <w:t xml:space="preserve">a </w:t>
      </w:r>
      <w:r w:rsidRPr="00FC0F62">
        <w:t xml:space="preserve">Based on data from Drulovic et al, 2019 </w:t>
      </w:r>
      <w:r w:rsidRPr="00FC0F62">
        <w:fldChar w:fldCharType="begin">
          <w:fldData xml:space="preserve">PEVuZE5vdGU+PENpdGU+PEF1dGhvcj5EcnVsb3ZpYzwvQXV0aG9yPjxZZWFyPjIwMTk8L1llYXI+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</w:fldData>
        </w:fldChar>
      </w:r>
      <w:r w:rsidRPr="00FC0F62">
        <w:instrText xml:space="preserve"> ADDIN EN.CITE </w:instrText>
      </w:r>
      <w:r w:rsidRPr="00FC0F62">
        <w:fldChar w:fldCharType="begin">
          <w:fldData xml:space="preserve">PEVuZE5vdGU+PENpdGU+PEF1dGhvcj5EcnVsb3ZpYzwvQXV0aG9yPjxZZWFyPjIwMTk8L1llYXI+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</w:fldData>
        </w:fldChar>
      </w:r>
      <w:r w:rsidRPr="00FC0F62">
        <w:instrText xml:space="preserve"> ADDIN EN.CITE.DATA </w:instrText>
      </w:r>
      <w:r w:rsidRPr="00FC0F62">
        <w:fldChar w:fldCharType="end"/>
      </w:r>
      <w:r w:rsidRPr="00FC0F62">
        <w:fldChar w:fldCharType="separate"/>
      </w:r>
      <w:r w:rsidRPr="00FC0F62">
        <w:rPr>
          <w:noProof/>
        </w:rPr>
        <w:t>(Drulovic et al. 2019)</w:t>
      </w:r>
      <w:r w:rsidRPr="00FC0F62">
        <w:fldChar w:fldCharType="end"/>
      </w:r>
    </w:p>
    <w:p w14:paraId="0186E00E" w14:textId="215018B2" w:rsidR="003816F6" w:rsidRPr="00FC0F62" w:rsidRDefault="003816F6" w:rsidP="003816F6">
      <w:pPr>
        <w:pStyle w:val="Tablenotes0"/>
      </w:pPr>
      <w:r w:rsidRPr="00FC0F62">
        <w:rPr>
          <w:vertAlign w:val="superscript"/>
        </w:rPr>
        <w:t xml:space="preserve">b </w:t>
      </w:r>
      <w:r w:rsidRPr="00FC0F62">
        <w:t xml:space="preserve">Cases are documented but rare </w:t>
      </w:r>
    </w:p>
    <w:p w14:paraId="5994C74D" w14:textId="25528E29" w:rsidR="00D94D5B" w:rsidRPr="00FC0F62" w:rsidRDefault="00D94D5B" w:rsidP="00CC317A">
      <w:pPr>
        <w:pStyle w:val="Tablenotes0"/>
      </w:pPr>
    </w:p>
    <w:p w14:paraId="3BAEB807" w14:textId="40899072" w:rsidR="00BC0125" w:rsidRDefault="00BC0125" w:rsidP="00D353C1">
      <w:pPr>
        <w:rPr>
          <w:lang w:eastAsia="en-US"/>
        </w:rPr>
      </w:pPr>
      <w:r w:rsidRPr="00FC0F62">
        <w:rPr>
          <w:lang w:eastAsia="en-US"/>
        </w:rPr>
        <w:t xml:space="preserve">A summary of the balance of benefits and harms </w:t>
      </w:r>
      <w:r w:rsidR="005B7611" w:rsidRPr="00FC0F62">
        <w:rPr>
          <w:lang w:eastAsia="en-US"/>
        </w:rPr>
        <w:t xml:space="preserve">for the critical outcomes assessing </w:t>
      </w:r>
      <w:r w:rsidRPr="00FC0F62">
        <w:rPr>
          <w:lang w:eastAsia="en-US"/>
        </w:rPr>
        <w:t>AQP4-Ab and MOG-Ab testing for NMOSD diagnosis</w:t>
      </w:r>
      <w:r>
        <w:rPr>
          <w:lang w:eastAsia="en-US"/>
        </w:rPr>
        <w:t xml:space="preserve"> can be seen </w:t>
      </w:r>
      <w:r w:rsidR="005B7611">
        <w:rPr>
          <w:lang w:eastAsia="en-US"/>
        </w:rPr>
        <w:t xml:space="preserve">in </w:t>
      </w:r>
      <w:r w:rsidR="005B7611">
        <w:rPr>
          <w:lang w:eastAsia="en-US"/>
        </w:rPr>
        <w:fldChar w:fldCharType="begin"/>
      </w:r>
      <w:r w:rsidR="005B7611">
        <w:rPr>
          <w:lang w:eastAsia="en-US"/>
        </w:rPr>
        <w:instrText xml:space="preserve"> REF _Ref33002067 \h </w:instrText>
      </w:r>
      <w:r w:rsidR="005B7611">
        <w:rPr>
          <w:lang w:eastAsia="en-US"/>
        </w:rPr>
      </w:r>
      <w:r w:rsidR="005B7611">
        <w:rPr>
          <w:lang w:eastAsia="en-US"/>
        </w:rPr>
        <w:fldChar w:fldCharType="separate"/>
      </w:r>
      <w:r w:rsidR="00480604" w:rsidRPr="00BA413E">
        <w:t xml:space="preserve">Table </w:t>
      </w:r>
      <w:r w:rsidR="00480604">
        <w:rPr>
          <w:noProof/>
        </w:rPr>
        <w:t>68</w:t>
      </w:r>
      <w:r w:rsidR="005B7611">
        <w:rPr>
          <w:lang w:eastAsia="en-US"/>
        </w:rPr>
        <w:fldChar w:fldCharType="end"/>
      </w:r>
      <w:r w:rsidR="005B7611">
        <w:rPr>
          <w:lang w:eastAsia="en-US"/>
        </w:rPr>
        <w:t xml:space="preserve"> </w:t>
      </w:r>
      <w:r w:rsidR="00F47F8F">
        <w:rPr>
          <w:lang w:eastAsia="en-US"/>
        </w:rPr>
        <w:t xml:space="preserve">and </w:t>
      </w:r>
      <w:r w:rsidR="005B7611">
        <w:rPr>
          <w:lang w:eastAsia="en-US"/>
        </w:rPr>
        <w:fldChar w:fldCharType="begin"/>
      </w:r>
      <w:r w:rsidR="005B7611">
        <w:rPr>
          <w:lang w:eastAsia="en-US"/>
        </w:rPr>
        <w:instrText xml:space="preserve"> REF _Ref33021356 \h </w:instrText>
      </w:r>
      <w:r w:rsidR="005B7611">
        <w:rPr>
          <w:lang w:eastAsia="en-US"/>
        </w:rPr>
      </w:r>
      <w:r w:rsidR="005B7611">
        <w:rPr>
          <w:lang w:eastAsia="en-US"/>
        </w:rPr>
        <w:fldChar w:fldCharType="separate"/>
      </w:r>
      <w:r w:rsidR="00480604">
        <w:t xml:space="preserve">Table </w:t>
      </w:r>
      <w:r w:rsidR="00480604">
        <w:rPr>
          <w:noProof/>
        </w:rPr>
        <w:t>69</w:t>
      </w:r>
      <w:r w:rsidR="005B7611">
        <w:rPr>
          <w:lang w:eastAsia="en-US"/>
        </w:rPr>
        <w:fldChar w:fldCharType="end"/>
      </w:r>
      <w:r w:rsidR="005B7611">
        <w:rPr>
          <w:lang w:eastAsia="en-US"/>
        </w:rPr>
        <w:t>.</w:t>
      </w:r>
    </w:p>
    <w:p w14:paraId="22103EBD" w14:textId="77777777" w:rsidR="00E43C2A" w:rsidRDefault="002C4299" w:rsidP="002C4299">
      <w:pPr>
        <w:pStyle w:val="Heading4"/>
        <w:jc w:val="both"/>
      </w:pPr>
      <w:r>
        <w:t>Impact of repeat testing/monitoring</w:t>
      </w:r>
    </w:p>
    <w:p w14:paraId="6443AE9A" w14:textId="77777777" w:rsidR="00E43C2A" w:rsidRPr="00F719C3" w:rsidRDefault="00E43C2A" w:rsidP="00E43C2A">
      <w:r>
        <w:t>Due to only limited evidence provided by two studies containing small sample sizes, and of low evidence quality, no conclusion can be drawn regarding the association between the presence of AQP4-</w:t>
      </w:r>
      <w:r w:rsidR="002C4299">
        <w:t xml:space="preserve">Abs and prediction of relapse. </w:t>
      </w:r>
    </w:p>
    <w:p w14:paraId="138E30E6" w14:textId="77777777" w:rsidR="00F47F8F" w:rsidRDefault="00F47F8F" w:rsidP="00DA5F27"/>
    <w:p w14:paraId="50F6B10F" w14:textId="7926F6D4" w:rsidR="00DA5F27" w:rsidRDefault="00DA5F27" w:rsidP="00DA5F27">
      <w:pPr>
        <w:rPr>
          <w:b/>
        </w:rPr>
      </w:pPr>
      <w:r w:rsidRPr="00DA6A48">
        <w:t xml:space="preserve">On the basis of the evidence profile (summarised in </w:t>
      </w:r>
      <w:r w:rsidRPr="00DA6A48">
        <w:fldChar w:fldCharType="begin"/>
      </w:r>
      <w:r w:rsidRPr="00DA6A48">
        <w:instrText xml:space="preserve"> REF _Ref33002067 \h </w:instrText>
      </w:r>
      <w:r>
        <w:instrText xml:space="preserve"> \* MERGEFORMAT </w:instrText>
      </w:r>
      <w:r w:rsidRPr="00DA6A48">
        <w:fldChar w:fldCharType="separate"/>
      </w:r>
      <w:r w:rsidR="00480604" w:rsidRPr="00BA413E">
        <w:t xml:space="preserve">Table </w:t>
      </w:r>
      <w:r w:rsidR="00480604">
        <w:rPr>
          <w:noProof/>
        </w:rPr>
        <w:t>68</w:t>
      </w:r>
      <w:r w:rsidRPr="00DA6A48">
        <w:fldChar w:fldCharType="end"/>
      </w:r>
      <w:r w:rsidRPr="00DA6A48">
        <w:t xml:space="preserve"> </w:t>
      </w:r>
      <w:r w:rsidR="00F47F8F">
        <w:t xml:space="preserve">and </w:t>
      </w:r>
      <w:r w:rsidR="00F47F8F">
        <w:fldChar w:fldCharType="begin"/>
      </w:r>
      <w:r w:rsidR="00F47F8F">
        <w:instrText xml:space="preserve"> REF _Ref33021356 \h </w:instrText>
      </w:r>
      <w:r w:rsidR="00F47F8F">
        <w:fldChar w:fldCharType="separate"/>
      </w:r>
      <w:r w:rsidR="00480604">
        <w:t xml:space="preserve">Table </w:t>
      </w:r>
      <w:r w:rsidR="00480604">
        <w:rPr>
          <w:noProof/>
        </w:rPr>
        <w:t>69</w:t>
      </w:r>
      <w:r w:rsidR="00F47F8F">
        <w:fldChar w:fldCharType="end"/>
      </w:r>
      <w:r w:rsidRPr="00DA6A48">
        <w:t xml:space="preserve">), </w:t>
      </w:r>
      <w:r w:rsidRPr="00DA6A48">
        <w:rPr>
          <w:b/>
        </w:rPr>
        <w:t xml:space="preserve">it is suggested that, relative to diagnosis </w:t>
      </w:r>
      <w:r>
        <w:rPr>
          <w:b/>
        </w:rPr>
        <w:t xml:space="preserve">of NMOSD </w:t>
      </w:r>
      <w:r w:rsidRPr="00DA6A48">
        <w:rPr>
          <w:b/>
        </w:rPr>
        <w:t xml:space="preserve">without AQP4-Ab testing, diagnosis with testing and associated treatments </w:t>
      </w:r>
      <w:r w:rsidRPr="00FC0F62">
        <w:rPr>
          <w:b/>
        </w:rPr>
        <w:t xml:space="preserve">has </w:t>
      </w:r>
      <w:r w:rsidR="008D217B" w:rsidRPr="00FC0F62">
        <w:rPr>
          <w:b/>
        </w:rPr>
        <w:t xml:space="preserve">non-inferior </w:t>
      </w:r>
      <w:r w:rsidRPr="00FC0F62">
        <w:rPr>
          <w:b/>
        </w:rPr>
        <w:t>safety</w:t>
      </w:r>
      <w:r w:rsidRPr="00DA6A48">
        <w:rPr>
          <w:b/>
        </w:rPr>
        <w:t xml:space="preserve"> and superior effectiveness.</w:t>
      </w:r>
    </w:p>
    <w:p w14:paraId="22F36D8F" w14:textId="77777777" w:rsidR="00DA5F27" w:rsidRPr="00214F43" w:rsidRDefault="00DA5F27" w:rsidP="00DA5F27">
      <w:r w:rsidRPr="009E4632">
        <w:t>Due to limited evidence</w:t>
      </w:r>
      <w:r>
        <w:rPr>
          <w:b/>
        </w:rPr>
        <w:t>, it is suggested that, diagnosis of NMOSD with MOG-Ab testing, relative to diagnosis of NMOSD without MOG-Ab testing, has uncertain safety and uncertain effectiveness</w:t>
      </w:r>
      <w:r w:rsidR="00F47F8F">
        <w:rPr>
          <w:b/>
        </w:rPr>
        <w:t>.</w:t>
      </w:r>
    </w:p>
    <w:p w14:paraId="6FBECA02" w14:textId="77777777" w:rsidR="00D353C1" w:rsidRDefault="00F47F8F" w:rsidP="00D353C1">
      <w:pPr>
        <w:rPr>
          <w:b/>
          <w:lang w:eastAsia="en-US"/>
        </w:rPr>
      </w:pPr>
      <w:r w:rsidRPr="00F47F8F">
        <w:rPr>
          <w:lang w:eastAsia="en-US"/>
        </w:rPr>
        <w:lastRenderedPageBreak/>
        <w:t>Due to limited evidence</w:t>
      </w:r>
      <w:r w:rsidRPr="00F47F8F">
        <w:rPr>
          <w:b/>
          <w:lang w:eastAsia="en-US"/>
        </w:rPr>
        <w:t xml:space="preserve">, it is suggested that, </w:t>
      </w:r>
      <w:r w:rsidR="00AF7660">
        <w:rPr>
          <w:b/>
          <w:lang w:eastAsia="en-US"/>
        </w:rPr>
        <w:t xml:space="preserve">retesting or </w:t>
      </w:r>
      <w:r>
        <w:rPr>
          <w:b/>
          <w:lang w:eastAsia="en-US"/>
        </w:rPr>
        <w:t>monitoring</w:t>
      </w:r>
      <w:r w:rsidRPr="00F47F8F">
        <w:rPr>
          <w:b/>
          <w:lang w:eastAsia="en-US"/>
        </w:rPr>
        <w:t xml:space="preserve"> of NMOSD with </w:t>
      </w:r>
      <w:r>
        <w:rPr>
          <w:b/>
          <w:lang w:eastAsia="en-US"/>
        </w:rPr>
        <w:t xml:space="preserve">AQP4-AB or </w:t>
      </w:r>
      <w:r w:rsidRPr="00F47F8F">
        <w:rPr>
          <w:b/>
          <w:lang w:eastAsia="en-US"/>
        </w:rPr>
        <w:t xml:space="preserve">MOG-Ab testing, relative to </w:t>
      </w:r>
      <w:r w:rsidR="00AF7660">
        <w:rPr>
          <w:b/>
          <w:lang w:eastAsia="en-US"/>
        </w:rPr>
        <w:t xml:space="preserve">retesting or </w:t>
      </w:r>
      <w:r>
        <w:rPr>
          <w:b/>
          <w:lang w:eastAsia="en-US"/>
        </w:rPr>
        <w:t>monitoring</w:t>
      </w:r>
      <w:r w:rsidRPr="00F47F8F">
        <w:rPr>
          <w:b/>
          <w:lang w:eastAsia="en-US"/>
        </w:rPr>
        <w:t xml:space="preserve"> of NMOSD without </w:t>
      </w:r>
      <w:r>
        <w:rPr>
          <w:b/>
          <w:lang w:eastAsia="en-US"/>
        </w:rPr>
        <w:t xml:space="preserve">AQP4-Ab or </w:t>
      </w:r>
      <w:r w:rsidRPr="00F47F8F">
        <w:rPr>
          <w:b/>
          <w:lang w:eastAsia="en-US"/>
        </w:rPr>
        <w:t>MOG-Ab testing, has uncertain safety and uncertain effectiveness</w:t>
      </w:r>
      <w:r>
        <w:rPr>
          <w:b/>
          <w:lang w:eastAsia="en-US"/>
        </w:rPr>
        <w:t>.</w:t>
      </w:r>
    </w:p>
    <w:p w14:paraId="05589E60" w14:textId="77777777" w:rsidR="00F47F8F" w:rsidRPr="00D353C1" w:rsidRDefault="00F47F8F" w:rsidP="00D353C1">
      <w:pPr>
        <w:rPr>
          <w:lang w:eastAsia="en-US"/>
        </w:rPr>
      </w:pPr>
    </w:p>
    <w:p w14:paraId="33C06EDD" w14:textId="77777777" w:rsidR="00B35E47" w:rsidRPr="00B35E47" w:rsidRDefault="00B35E47" w:rsidP="006E2BA9">
      <w:pPr>
        <w:pStyle w:val="Heading3"/>
      </w:pPr>
      <w:bookmarkStart w:id="70" w:name="_Toc395200751"/>
      <w:bookmarkStart w:id="71" w:name="_Toc34212219"/>
      <w:bookmarkStart w:id="72" w:name="_Toc39588258"/>
      <w:bookmarkStart w:id="73" w:name="_Toc379118059"/>
      <w:bookmarkStart w:id="74" w:name="_Toc379118251"/>
      <w:bookmarkStart w:id="75" w:name="_Toc381796435"/>
      <w:bookmarkStart w:id="76" w:name="_Toc379118060"/>
      <w:bookmarkStart w:id="77" w:name="_Toc379118252"/>
      <w:r w:rsidRPr="00B35E47">
        <w:t>Translation Issues</w:t>
      </w:r>
      <w:bookmarkEnd w:id="70"/>
      <w:bookmarkEnd w:id="71"/>
      <w:bookmarkEnd w:id="72"/>
    </w:p>
    <w:p w14:paraId="7BB5B628" w14:textId="77777777" w:rsidR="00BC1110" w:rsidRDefault="00BC1110" w:rsidP="00BC1110">
      <w:r>
        <w:t>A number of translation issues were identified and have been addressed to facilitate development of  an economic model in the Australian population.</w:t>
      </w:r>
    </w:p>
    <w:p w14:paraId="051A1638" w14:textId="2994694A" w:rsidR="00BC1110" w:rsidRDefault="00BC1110" w:rsidP="00BC1110">
      <w:r>
        <w:t xml:space="preserve">The </w:t>
      </w:r>
      <w:r w:rsidRPr="00B35E47">
        <w:t xml:space="preserve">applicability issues </w:t>
      </w:r>
      <w:r>
        <w:t>associated</w:t>
      </w:r>
      <w:r w:rsidR="000E4046">
        <w:t xml:space="preserve"> </w:t>
      </w:r>
      <w:r>
        <w:t>with the clinical evidence identified in the systematic review related to:</w:t>
      </w:r>
    </w:p>
    <w:p w14:paraId="54D31538" w14:textId="7B8D1CF8" w:rsidR="00BC1110" w:rsidRDefault="00BC1110" w:rsidP="003816F6">
      <w:pPr>
        <w:pStyle w:val="ListParagraph"/>
        <w:numPr>
          <w:ilvl w:val="0"/>
          <w:numId w:val="53"/>
        </w:numPr>
      </w:pPr>
      <w:r>
        <w:t>T</w:t>
      </w:r>
      <w:r w:rsidRPr="00B35E47">
        <w:t xml:space="preserve">he diagnostic measures associated with NMOSD-Ab </w:t>
      </w:r>
      <w:r w:rsidR="000E4046" w:rsidRPr="00B35E47">
        <w:t>testing</w:t>
      </w:r>
      <w:r w:rsidR="000E4046">
        <w:t>.</w:t>
      </w:r>
      <w:r>
        <w:t xml:space="preserve"> Australian laboratory data suggested that the diagnostic yields identified in published studies were not representative of the Australian population being tested, therefore Australian data will be used in the economic model.</w:t>
      </w:r>
    </w:p>
    <w:p w14:paraId="40E1EBFF" w14:textId="41BF6190" w:rsidR="00BC1110" w:rsidRPr="00B35E47" w:rsidRDefault="00BC1110" w:rsidP="003816F6">
      <w:pPr>
        <w:pStyle w:val="ListParagraph"/>
        <w:numPr>
          <w:ilvl w:val="0"/>
          <w:numId w:val="53"/>
        </w:numPr>
      </w:pPr>
      <w:r>
        <w:t>T</w:t>
      </w:r>
      <w:r w:rsidRPr="00B35E47">
        <w:t xml:space="preserve">he treatment patterns and outcomes associated with </w:t>
      </w:r>
      <w:r>
        <w:t xml:space="preserve">identified </w:t>
      </w:r>
      <w:r w:rsidRPr="00B35E47">
        <w:t>NMOSD therapies</w:t>
      </w:r>
      <w:r>
        <w:t>.</w:t>
      </w:r>
      <w:r w:rsidDel="009F547C">
        <w:t xml:space="preserve"> </w:t>
      </w:r>
      <w:r>
        <w:t xml:space="preserve">. </w:t>
      </w:r>
      <w:r w:rsidR="000E4046">
        <w:t>However,</w:t>
      </w:r>
      <w:r>
        <w:t xml:space="preserve"> additional published literature did suggest that Australian treatment patterns were consistent with those already identified.</w:t>
      </w:r>
    </w:p>
    <w:p w14:paraId="362769A2" w14:textId="25F8281D" w:rsidR="00BC1110" w:rsidRPr="00B35E47" w:rsidRDefault="00BC1110" w:rsidP="00BC1110">
      <w:r w:rsidRPr="00B35E47">
        <w:t>A</w:t>
      </w:r>
      <w:r>
        <w:t xml:space="preserve">n </w:t>
      </w:r>
      <w:r w:rsidRPr="00B35E47">
        <w:t>extrapolation issue</w:t>
      </w:r>
      <w:r>
        <w:t xml:space="preserve"> identified was; what </w:t>
      </w:r>
      <w:r w:rsidR="000E4046">
        <w:t>are the</w:t>
      </w:r>
      <w:r>
        <w:t xml:space="preserve"> expected patterns of </w:t>
      </w:r>
      <w:r w:rsidRPr="00B35E47">
        <w:t>health resource use</w:t>
      </w:r>
      <w:r>
        <w:t xml:space="preserve"> that would occur over the </w:t>
      </w:r>
      <w:r w:rsidRPr="00B35E47">
        <w:t>long-term</w:t>
      </w:r>
      <w:r>
        <w:t xml:space="preserve">, for both </w:t>
      </w:r>
      <w:r w:rsidRPr="00B35E47">
        <w:t>maintenance</w:t>
      </w:r>
      <w:r>
        <w:t xml:space="preserve"> treatment</w:t>
      </w:r>
      <w:r w:rsidRPr="00B35E47">
        <w:t xml:space="preserve"> and </w:t>
      </w:r>
      <w:r>
        <w:t xml:space="preserve">for </w:t>
      </w:r>
      <w:r w:rsidRPr="00B35E47">
        <w:t>treating</w:t>
      </w:r>
      <w:r>
        <w:t xml:space="preserve"> repeat acute </w:t>
      </w:r>
      <w:r w:rsidRPr="00B35E47">
        <w:t>attacks</w:t>
      </w:r>
      <w:r>
        <w:t>? This was addressed by identifying published articles describing Australian NMOSD treatment.</w:t>
      </w:r>
    </w:p>
    <w:p w14:paraId="55B567FF" w14:textId="6EED708E" w:rsidR="00B35E47" w:rsidRPr="00B35E47" w:rsidRDefault="00BC1110" w:rsidP="00BC1110">
      <w:r>
        <w:t xml:space="preserve">Finally, to enable a cost-utility model, there was a </w:t>
      </w:r>
      <w:r w:rsidRPr="00B35E47">
        <w:t>transform</w:t>
      </w:r>
      <w:r>
        <w:t>ation issue, as the health outcomes identified in clinical trials needed to be translated into health states with specified utility values</w:t>
      </w:r>
      <w:r w:rsidR="000E4046">
        <w:t xml:space="preserve">; </w:t>
      </w:r>
      <w:r w:rsidR="000E4046" w:rsidRPr="00B35E47">
        <w:t>i.e</w:t>
      </w:r>
      <w:r w:rsidRPr="00B35E47">
        <w:t xml:space="preserve">. EDSS scores mapped to </w:t>
      </w:r>
      <w:r>
        <w:t xml:space="preserve">a </w:t>
      </w:r>
      <w:r w:rsidRPr="00B35E47">
        <w:t xml:space="preserve">health utility index to provide health state </w:t>
      </w:r>
      <w:r>
        <w:t xml:space="preserve">utility </w:t>
      </w:r>
      <w:r w:rsidRPr="00B35E47">
        <w:t>values</w:t>
      </w:r>
      <w:r>
        <w:t xml:space="preserve"> (HSUV)</w:t>
      </w:r>
      <w:r w:rsidRPr="00B35E47">
        <w:t xml:space="preserve"> in </w:t>
      </w:r>
      <w:r>
        <w:t>quality-adjusted life years (</w:t>
      </w:r>
      <w:r w:rsidRPr="00B35E47">
        <w:t>QALYs</w:t>
      </w:r>
      <w:r>
        <w:t xml:space="preserve">). </w:t>
      </w:r>
      <w:r w:rsidRPr="00B35E47">
        <w:t xml:space="preserve"> </w:t>
      </w:r>
      <w:r>
        <w:t xml:space="preserve">Only one study directly calculated utility values </w:t>
      </w:r>
      <w:r w:rsidRPr="00B35E47">
        <w:t xml:space="preserve">of patients with MS or NMOSD in Thailand using </w:t>
      </w:r>
      <w:r>
        <w:t xml:space="preserve">the </w:t>
      </w:r>
      <w:r w:rsidRPr="00B35E47">
        <w:t xml:space="preserve">Thai version of EuroQoL Five Dimension with three levels (EQ-5D-3L) instrument. No significant difference was identified between MS and NMOSD in terms of health utility score. This study also reported HSUVs for MS and NMOSD mapped to </w:t>
      </w:r>
      <w:r>
        <w:t>EDSS</w:t>
      </w:r>
      <w:r w:rsidRPr="00B35E47">
        <w:t xml:space="preserve"> scores</w:t>
      </w:r>
      <w:r>
        <w:t>.</w:t>
      </w:r>
      <w:r w:rsidRPr="00B35E47">
        <w:t xml:space="preserve"> Several studies have reported that there is no significant difference in terms of health utility scores between MS and NMOS</w:t>
      </w:r>
      <w:r>
        <w:t>D.</w:t>
      </w:r>
      <w:r w:rsidRPr="00B35E47">
        <w:t xml:space="preserve"> Therefore, HSUVs published in Australian study for MS are used for modelled health states no/mild disability and severe disability in the base-case analysis.</w:t>
      </w:r>
    </w:p>
    <w:p w14:paraId="2B639853" w14:textId="77777777" w:rsidR="00B35E47" w:rsidRPr="00B35E47" w:rsidRDefault="00B35E47" w:rsidP="006E2BA9">
      <w:pPr>
        <w:pStyle w:val="Heading3"/>
      </w:pPr>
      <w:bookmarkStart w:id="78" w:name="_Toc395200752"/>
      <w:bookmarkStart w:id="79" w:name="_Toc34212220"/>
      <w:bookmarkStart w:id="80" w:name="_Toc39588259"/>
      <w:r w:rsidRPr="00B35E47">
        <w:t xml:space="preserve">Economic </w:t>
      </w:r>
      <w:bookmarkEnd w:id="73"/>
      <w:bookmarkEnd w:id="74"/>
      <w:bookmarkEnd w:id="75"/>
      <w:r w:rsidRPr="00B35E47">
        <w:t>Evaluation</w:t>
      </w:r>
      <w:bookmarkEnd w:id="78"/>
      <w:bookmarkEnd w:id="79"/>
      <w:bookmarkEnd w:id="80"/>
    </w:p>
    <w:p w14:paraId="26D77734" w14:textId="664C1C06" w:rsidR="00E45F50" w:rsidRPr="00B35E47" w:rsidRDefault="00E45F50" w:rsidP="00E45F50">
      <w:r w:rsidRPr="00B35E47">
        <w:t xml:space="preserve">The clinical evaluation suggested that, relative to the no antibody testing, the AQP4-Ab testing has non-inferior safety and superior effectiveness. </w:t>
      </w:r>
      <w:r w:rsidR="006462EA">
        <w:t>T</w:t>
      </w:r>
      <w:r w:rsidR="006462EA" w:rsidRPr="00B35E47">
        <w:t xml:space="preserve">herefore a cost-utility </w:t>
      </w:r>
      <w:r w:rsidR="000E4046" w:rsidRPr="00B35E47">
        <w:t>analysis</w:t>
      </w:r>
      <w:r w:rsidR="006462EA" w:rsidRPr="00B35E47">
        <w:t xml:space="preserve"> </w:t>
      </w:r>
      <w:r w:rsidR="006462EA">
        <w:t>was performed</w:t>
      </w:r>
      <w:r w:rsidRPr="00B35E47">
        <w:t xml:space="preserve"> for the economic evaluation.</w:t>
      </w:r>
    </w:p>
    <w:p w14:paraId="3304D192" w14:textId="4586AC9C" w:rsidR="00E45F50" w:rsidRPr="00B35E47" w:rsidRDefault="00E45F50" w:rsidP="00E45F50">
      <w:pPr>
        <w:spacing w:after="0" w:line="240" w:lineRule="auto"/>
      </w:pPr>
      <w:bookmarkStart w:id="81" w:name="_Ref379404328"/>
      <w:r w:rsidRPr="00B35E47">
        <w:t xml:space="preserve">A summary of the key characteristics of the economic evaluation is given in </w:t>
      </w:r>
      <w:r w:rsidRPr="00B35E47">
        <w:fldChar w:fldCharType="begin"/>
      </w:r>
      <w:r w:rsidRPr="00B35E47">
        <w:instrText xml:space="preserve"> REF _Ref379483368 \h </w:instrText>
      </w:r>
      <w:r w:rsidRPr="00B35E47">
        <w:fldChar w:fldCharType="separate"/>
      </w:r>
      <w:r w:rsidR="00657B2A" w:rsidRPr="00B35E47">
        <w:t xml:space="preserve">Table </w:t>
      </w:r>
      <w:r w:rsidR="00657B2A">
        <w:rPr>
          <w:noProof/>
        </w:rPr>
        <w:t>6</w:t>
      </w:r>
      <w:r w:rsidRPr="00B35E47">
        <w:fldChar w:fldCharType="end"/>
      </w:r>
      <w:r w:rsidRPr="00B35E47">
        <w:t>.</w:t>
      </w:r>
    </w:p>
    <w:p w14:paraId="5AE8930C" w14:textId="77777777" w:rsidR="00E45F50" w:rsidRPr="00B35E47" w:rsidRDefault="00E45F50" w:rsidP="00E45F50">
      <w:pPr>
        <w:spacing w:after="0" w:line="240" w:lineRule="auto"/>
      </w:pPr>
    </w:p>
    <w:p w14:paraId="275E185D" w14:textId="30D91C7D" w:rsidR="00E45F50" w:rsidRPr="00B35E47" w:rsidRDefault="00E45F50" w:rsidP="00E45F50">
      <w:pPr>
        <w:pStyle w:val="Caption"/>
      </w:pPr>
      <w:bookmarkStart w:id="82" w:name="_Ref379483368"/>
      <w:bookmarkStart w:id="83" w:name="_Ref394419656"/>
      <w:bookmarkStart w:id="84" w:name="_Toc34212099"/>
      <w:bookmarkStart w:id="85" w:name="_Toc36054786"/>
      <w:bookmarkStart w:id="86" w:name="_Toc39580787"/>
      <w:r w:rsidRPr="00B35E47">
        <w:lastRenderedPageBreak/>
        <w:t xml:space="preserve">Table </w:t>
      </w:r>
      <w:fldSimple w:instr=" SEQ Table \* ARABIC ">
        <w:r w:rsidR="00FA7BCD">
          <w:rPr>
            <w:noProof/>
          </w:rPr>
          <w:t>6</w:t>
        </w:r>
      </w:fldSimple>
      <w:bookmarkEnd w:id="81"/>
      <w:bookmarkEnd w:id="82"/>
      <w:r w:rsidRPr="00B35E47">
        <w:tab/>
        <w:t>Summary of the economic evaluation</w:t>
      </w:r>
      <w:bookmarkEnd w:id="83"/>
      <w:bookmarkEnd w:id="84"/>
      <w:bookmarkEnd w:id="85"/>
      <w:bookmarkEnd w:id="86"/>
      <w:r w:rsidRPr="00B35E47">
        <w:t xml:space="preserve"> </w:t>
      </w:r>
    </w:p>
    <w:tbl>
      <w:tblPr>
        <w:tblStyle w:val="TableGrid1"/>
        <w:tblW w:w="5000" w:type="pct"/>
        <w:tblLook w:val="01E0" w:firstRow="1" w:lastRow="1" w:firstColumn="1" w:lastColumn="1" w:noHBand="0" w:noVBand="0"/>
        <w:tblCaption w:val="Summary of the economic evaluation "/>
        <w:tblDescription w:val="This table describes the key constructs of the economic evaluation that is provided in the assessment report."/>
      </w:tblPr>
      <w:tblGrid>
        <w:gridCol w:w="3107"/>
        <w:gridCol w:w="5909"/>
      </w:tblGrid>
      <w:tr w:rsidR="00E45F50" w:rsidRPr="00B35E47" w14:paraId="45C703CF" w14:textId="77777777" w:rsidTr="00E45F50">
        <w:trPr>
          <w:cnfStyle w:val="100000000000" w:firstRow="1" w:lastRow="0" w:firstColumn="0" w:lastColumn="0" w:oddVBand="0" w:evenVBand="0" w:oddHBand="0" w:evenHBand="0" w:firstRowFirstColumn="0" w:firstRowLastColumn="0" w:lastRowFirstColumn="0" w:lastRowLastColumn="0"/>
          <w:trHeight w:val="20"/>
        </w:trPr>
        <w:tc>
          <w:tcPr>
            <w:tcW w:w="1723" w:type="pct"/>
            <w:tcBorders>
              <w:top w:val="single" w:sz="4" w:space="0" w:color="auto"/>
              <w:left w:val="single" w:sz="4" w:space="0" w:color="auto"/>
              <w:bottom w:val="single" w:sz="4" w:space="0" w:color="auto"/>
              <w:right w:val="single" w:sz="4" w:space="0" w:color="auto"/>
            </w:tcBorders>
          </w:tcPr>
          <w:p w14:paraId="5FD97BEE" w14:textId="77777777" w:rsidR="00E45F50" w:rsidRPr="00B35E47" w:rsidRDefault="00E45F50" w:rsidP="00720F38">
            <w:pPr>
              <w:keepNext/>
              <w:jc w:val="left"/>
              <w:rPr>
                <w:rFonts w:ascii="Arial Narrow" w:hAnsi="Arial Narrow"/>
                <w:b/>
                <w:lang w:eastAsia="en-US"/>
              </w:rPr>
            </w:pPr>
            <w:r w:rsidRPr="00B35E47">
              <w:rPr>
                <w:rFonts w:ascii="Arial Narrow" w:hAnsi="Arial Narrow"/>
                <w:b/>
                <w:lang w:eastAsia="en-US"/>
              </w:rPr>
              <w:t>Perspective</w:t>
            </w:r>
          </w:p>
        </w:tc>
        <w:tc>
          <w:tcPr>
            <w:tcW w:w="3277" w:type="pct"/>
            <w:tcBorders>
              <w:top w:val="single" w:sz="4" w:space="0" w:color="auto"/>
              <w:left w:val="single" w:sz="4" w:space="0" w:color="auto"/>
              <w:bottom w:val="single" w:sz="4" w:space="0" w:color="auto"/>
              <w:right w:val="single" w:sz="4" w:space="0" w:color="auto"/>
            </w:tcBorders>
          </w:tcPr>
          <w:p w14:paraId="357432A0" w14:textId="77777777" w:rsidR="00E45F50" w:rsidRPr="00B35E47" w:rsidRDefault="00E45F50" w:rsidP="00720F38">
            <w:pPr>
              <w:contextualSpacing/>
              <w:jc w:val="left"/>
              <w:rPr>
                <w:rFonts w:ascii="Arial Narrow" w:hAnsi="Arial Narrow"/>
                <w:lang w:eastAsia="en-US"/>
              </w:rPr>
            </w:pPr>
            <w:r w:rsidRPr="00B35E47">
              <w:rPr>
                <w:rFonts w:ascii="Arial Narrow" w:hAnsi="Arial Narrow"/>
                <w:lang w:eastAsia="en-US"/>
              </w:rPr>
              <w:t>Australian healthcare</w:t>
            </w:r>
          </w:p>
        </w:tc>
      </w:tr>
      <w:tr w:rsidR="00E45F50" w:rsidRPr="00B35E47" w14:paraId="114E9951" w14:textId="77777777" w:rsidTr="00E45F50">
        <w:trPr>
          <w:trHeight w:val="20"/>
        </w:trPr>
        <w:tc>
          <w:tcPr>
            <w:tcW w:w="1723" w:type="pct"/>
            <w:tcBorders>
              <w:top w:val="single" w:sz="4" w:space="0" w:color="auto"/>
              <w:left w:val="single" w:sz="4" w:space="0" w:color="auto"/>
              <w:bottom w:val="single" w:sz="4" w:space="0" w:color="auto"/>
              <w:right w:val="single" w:sz="4" w:space="0" w:color="auto"/>
            </w:tcBorders>
          </w:tcPr>
          <w:p w14:paraId="7EE9F450" w14:textId="77777777" w:rsidR="00E45F50" w:rsidRPr="00B35E47" w:rsidRDefault="00E45F50" w:rsidP="00720F38">
            <w:pPr>
              <w:keepNext/>
              <w:jc w:val="left"/>
              <w:rPr>
                <w:rFonts w:ascii="Arial Narrow" w:hAnsi="Arial Narrow"/>
                <w:b/>
                <w:lang w:eastAsia="en-US"/>
              </w:rPr>
            </w:pPr>
            <w:r w:rsidRPr="00B35E47">
              <w:rPr>
                <w:rFonts w:ascii="Arial Narrow" w:hAnsi="Arial Narrow"/>
                <w:b/>
                <w:lang w:eastAsia="en-US"/>
              </w:rPr>
              <w:t>Comparator</w:t>
            </w:r>
          </w:p>
        </w:tc>
        <w:tc>
          <w:tcPr>
            <w:tcW w:w="3277" w:type="pct"/>
            <w:tcBorders>
              <w:top w:val="single" w:sz="4" w:space="0" w:color="auto"/>
              <w:left w:val="single" w:sz="4" w:space="0" w:color="auto"/>
              <w:bottom w:val="single" w:sz="4" w:space="0" w:color="auto"/>
              <w:right w:val="single" w:sz="4" w:space="0" w:color="auto"/>
            </w:tcBorders>
          </w:tcPr>
          <w:p w14:paraId="704E9247" w14:textId="77777777" w:rsidR="00E45F50" w:rsidRPr="00B35E47" w:rsidRDefault="00E45F50" w:rsidP="00720F38">
            <w:pPr>
              <w:contextualSpacing/>
              <w:jc w:val="left"/>
              <w:rPr>
                <w:rFonts w:ascii="Arial Narrow" w:hAnsi="Arial Narrow"/>
                <w:lang w:eastAsia="en-US"/>
              </w:rPr>
            </w:pPr>
            <w:r w:rsidRPr="00B35E47">
              <w:rPr>
                <w:rFonts w:ascii="Arial Narrow" w:hAnsi="Arial Narrow"/>
                <w:lang w:eastAsia="en-US"/>
              </w:rPr>
              <w:t>No NMOSD-antibody testing</w:t>
            </w:r>
          </w:p>
        </w:tc>
      </w:tr>
      <w:tr w:rsidR="00E45F50" w:rsidRPr="00B35E47" w14:paraId="61D2CB82" w14:textId="77777777" w:rsidTr="00E45F50">
        <w:trPr>
          <w:trHeight w:val="20"/>
        </w:trPr>
        <w:tc>
          <w:tcPr>
            <w:tcW w:w="1723" w:type="pct"/>
            <w:tcBorders>
              <w:top w:val="single" w:sz="4" w:space="0" w:color="auto"/>
              <w:left w:val="single" w:sz="4" w:space="0" w:color="auto"/>
              <w:bottom w:val="single" w:sz="4" w:space="0" w:color="auto"/>
              <w:right w:val="single" w:sz="4" w:space="0" w:color="auto"/>
            </w:tcBorders>
          </w:tcPr>
          <w:p w14:paraId="0F5C8515" w14:textId="77777777" w:rsidR="00E45F50" w:rsidRPr="00B35E47" w:rsidRDefault="00E45F50" w:rsidP="00720F38">
            <w:pPr>
              <w:keepNext/>
              <w:jc w:val="left"/>
              <w:rPr>
                <w:rFonts w:ascii="Arial Narrow" w:hAnsi="Arial Narrow"/>
                <w:b/>
                <w:lang w:eastAsia="en-US"/>
              </w:rPr>
            </w:pPr>
            <w:r w:rsidRPr="00B35E47">
              <w:rPr>
                <w:rFonts w:ascii="Arial Narrow" w:hAnsi="Arial Narrow"/>
                <w:b/>
                <w:lang w:eastAsia="en-US"/>
              </w:rPr>
              <w:t>Type of economic evaluation</w:t>
            </w:r>
          </w:p>
        </w:tc>
        <w:tc>
          <w:tcPr>
            <w:tcW w:w="3277" w:type="pct"/>
            <w:tcBorders>
              <w:top w:val="single" w:sz="4" w:space="0" w:color="auto"/>
              <w:left w:val="single" w:sz="4" w:space="0" w:color="auto"/>
              <w:bottom w:val="single" w:sz="4" w:space="0" w:color="auto"/>
              <w:right w:val="single" w:sz="4" w:space="0" w:color="auto"/>
            </w:tcBorders>
          </w:tcPr>
          <w:p w14:paraId="6B6A2322" w14:textId="77777777" w:rsidR="00E45F50" w:rsidRPr="00B35E47" w:rsidRDefault="00E45F50" w:rsidP="00720F38">
            <w:pPr>
              <w:contextualSpacing/>
              <w:jc w:val="left"/>
              <w:rPr>
                <w:rFonts w:ascii="Arial Narrow" w:hAnsi="Arial Narrow"/>
                <w:lang w:eastAsia="en-US"/>
              </w:rPr>
            </w:pPr>
            <w:r w:rsidRPr="00B35E47">
              <w:rPr>
                <w:rFonts w:ascii="Arial Narrow" w:hAnsi="Arial Narrow"/>
                <w:lang w:eastAsia="en-US"/>
              </w:rPr>
              <w:t>Cost-effectiveness, cost-utility, cost-minimisation.</w:t>
            </w:r>
          </w:p>
        </w:tc>
      </w:tr>
      <w:tr w:rsidR="00E45F50" w:rsidRPr="00B35E47" w14:paraId="67A9B850" w14:textId="77777777" w:rsidTr="00E45F50">
        <w:trPr>
          <w:trHeight w:val="20"/>
        </w:trPr>
        <w:tc>
          <w:tcPr>
            <w:tcW w:w="1723" w:type="pct"/>
            <w:tcBorders>
              <w:top w:val="single" w:sz="4" w:space="0" w:color="auto"/>
              <w:left w:val="single" w:sz="4" w:space="0" w:color="auto"/>
              <w:bottom w:val="single" w:sz="4" w:space="0" w:color="auto"/>
              <w:right w:val="single" w:sz="4" w:space="0" w:color="auto"/>
            </w:tcBorders>
          </w:tcPr>
          <w:p w14:paraId="6ED61350" w14:textId="77777777" w:rsidR="00E45F50" w:rsidRPr="00B35E47" w:rsidRDefault="00E45F50" w:rsidP="00720F38">
            <w:pPr>
              <w:keepNext/>
              <w:jc w:val="left"/>
              <w:rPr>
                <w:rFonts w:ascii="Arial Narrow" w:hAnsi="Arial Narrow"/>
                <w:b/>
                <w:lang w:eastAsia="en-US"/>
              </w:rPr>
            </w:pPr>
            <w:r w:rsidRPr="00B35E47">
              <w:rPr>
                <w:rFonts w:ascii="Arial Narrow" w:hAnsi="Arial Narrow"/>
                <w:b/>
                <w:lang w:eastAsia="en-US"/>
              </w:rPr>
              <w:t>Sources of evidence</w:t>
            </w:r>
          </w:p>
        </w:tc>
        <w:tc>
          <w:tcPr>
            <w:tcW w:w="3277" w:type="pct"/>
            <w:tcBorders>
              <w:top w:val="single" w:sz="4" w:space="0" w:color="auto"/>
              <w:left w:val="single" w:sz="4" w:space="0" w:color="auto"/>
              <w:bottom w:val="single" w:sz="4" w:space="0" w:color="auto"/>
              <w:right w:val="single" w:sz="4" w:space="0" w:color="auto"/>
            </w:tcBorders>
          </w:tcPr>
          <w:p w14:paraId="25AFE325" w14:textId="77777777" w:rsidR="00E45F50" w:rsidRPr="00B35E47" w:rsidRDefault="00E45F50" w:rsidP="00720F38">
            <w:pPr>
              <w:contextualSpacing/>
              <w:jc w:val="left"/>
              <w:rPr>
                <w:rFonts w:ascii="Arial Narrow" w:hAnsi="Arial Narrow"/>
                <w:lang w:eastAsia="en-US"/>
              </w:rPr>
            </w:pPr>
            <w:r w:rsidRPr="00B35E47">
              <w:rPr>
                <w:rFonts w:ascii="Arial Narrow" w:hAnsi="Arial Narrow"/>
                <w:lang w:eastAsia="en-US"/>
              </w:rPr>
              <w:t xml:space="preserve">Systematic review and clinical expert advice </w:t>
            </w:r>
          </w:p>
        </w:tc>
      </w:tr>
      <w:tr w:rsidR="00E45F50" w:rsidRPr="00B35E47" w14:paraId="50D867C1" w14:textId="77777777" w:rsidTr="00E45F50">
        <w:trPr>
          <w:trHeight w:val="20"/>
        </w:trPr>
        <w:tc>
          <w:tcPr>
            <w:tcW w:w="1723" w:type="pct"/>
            <w:tcBorders>
              <w:top w:val="single" w:sz="4" w:space="0" w:color="auto"/>
              <w:left w:val="single" w:sz="4" w:space="0" w:color="auto"/>
              <w:bottom w:val="single" w:sz="4" w:space="0" w:color="auto"/>
              <w:right w:val="single" w:sz="4" w:space="0" w:color="auto"/>
            </w:tcBorders>
            <w:hideMark/>
          </w:tcPr>
          <w:p w14:paraId="7510C5E7" w14:textId="77777777" w:rsidR="00E45F50" w:rsidRPr="00B35E47" w:rsidRDefault="00E45F50" w:rsidP="00720F38">
            <w:pPr>
              <w:keepNext/>
              <w:jc w:val="left"/>
              <w:rPr>
                <w:rFonts w:ascii="Arial Narrow" w:hAnsi="Arial Narrow"/>
                <w:b/>
                <w:lang w:eastAsia="en-US"/>
              </w:rPr>
            </w:pPr>
            <w:r w:rsidRPr="00B35E47">
              <w:rPr>
                <w:rFonts w:ascii="Arial Narrow" w:hAnsi="Arial Narrow"/>
                <w:b/>
                <w:lang w:eastAsia="en-US"/>
              </w:rPr>
              <w:t>Time horizon</w:t>
            </w:r>
          </w:p>
        </w:tc>
        <w:tc>
          <w:tcPr>
            <w:tcW w:w="3277" w:type="pct"/>
            <w:tcBorders>
              <w:top w:val="single" w:sz="4" w:space="0" w:color="auto"/>
              <w:left w:val="single" w:sz="4" w:space="0" w:color="auto"/>
              <w:bottom w:val="single" w:sz="4" w:space="0" w:color="auto"/>
              <w:right w:val="single" w:sz="4" w:space="0" w:color="auto"/>
            </w:tcBorders>
            <w:hideMark/>
          </w:tcPr>
          <w:p w14:paraId="1F851DE4" w14:textId="05FB6846" w:rsidR="00E45F50" w:rsidRPr="00D65B15" w:rsidRDefault="00E45F50" w:rsidP="00720F38">
            <w:pPr>
              <w:contextualSpacing/>
              <w:jc w:val="left"/>
              <w:rPr>
                <w:rFonts w:ascii="Arial Narrow" w:hAnsi="Arial Narrow"/>
                <w:vertAlign w:val="superscript"/>
                <w:lang w:eastAsia="en-US"/>
              </w:rPr>
            </w:pPr>
            <w:r>
              <w:rPr>
                <w:rFonts w:ascii="Arial Narrow" w:hAnsi="Arial Narrow"/>
                <w:lang w:eastAsia="en-US"/>
              </w:rPr>
              <w:t>Until the correct diagnosis is reached and treatment is initiated in both patient arms</w:t>
            </w:r>
            <w:r w:rsidR="004E5C57">
              <w:rPr>
                <w:rFonts w:ascii="Arial Narrow" w:hAnsi="Arial Narrow"/>
                <w:lang w:eastAsia="en-US"/>
              </w:rPr>
              <w:t xml:space="preserve">; 3.5 </w:t>
            </w:r>
            <w:r w:rsidR="004E5C57" w:rsidRPr="00B35E47">
              <w:rPr>
                <w:rFonts w:ascii="Arial Narrow" w:hAnsi="Arial Narrow"/>
                <w:lang w:eastAsia="en-US"/>
              </w:rPr>
              <w:t>years</w:t>
            </w:r>
            <w:r w:rsidR="004E5C57">
              <w:rPr>
                <w:rFonts w:ascii="Arial Narrow" w:hAnsi="Arial Narrow"/>
                <w:lang w:eastAsia="en-US"/>
              </w:rPr>
              <w:t xml:space="preserve"> (14 cycles)</w:t>
            </w:r>
            <w:r w:rsidR="004E5C57" w:rsidRPr="00B35E47">
              <w:rPr>
                <w:rFonts w:ascii="Arial Narrow" w:hAnsi="Arial Narrow"/>
                <w:lang w:eastAsia="en-US"/>
              </w:rPr>
              <w:t xml:space="preserve"> in the base case</w:t>
            </w:r>
            <w:r>
              <w:rPr>
                <w:rFonts w:ascii="Arial Narrow" w:hAnsi="Arial Narrow"/>
                <w:vertAlign w:val="superscript"/>
                <w:lang w:eastAsia="en-US"/>
              </w:rPr>
              <w:t>1</w:t>
            </w:r>
          </w:p>
        </w:tc>
      </w:tr>
      <w:tr w:rsidR="00E45F50" w:rsidRPr="00B35E47" w14:paraId="5C301157" w14:textId="77777777" w:rsidTr="00E45F50">
        <w:trPr>
          <w:trHeight w:val="20"/>
        </w:trPr>
        <w:tc>
          <w:tcPr>
            <w:tcW w:w="1723" w:type="pct"/>
            <w:tcBorders>
              <w:top w:val="single" w:sz="4" w:space="0" w:color="auto"/>
              <w:left w:val="single" w:sz="4" w:space="0" w:color="auto"/>
              <w:bottom w:val="single" w:sz="4" w:space="0" w:color="auto"/>
              <w:right w:val="single" w:sz="4" w:space="0" w:color="auto"/>
            </w:tcBorders>
            <w:hideMark/>
          </w:tcPr>
          <w:p w14:paraId="19112C3C" w14:textId="77777777" w:rsidR="00E45F50" w:rsidRPr="00B35E47" w:rsidRDefault="00E45F50" w:rsidP="00720F38">
            <w:pPr>
              <w:keepNext/>
              <w:jc w:val="left"/>
              <w:rPr>
                <w:rFonts w:ascii="Arial Narrow" w:hAnsi="Arial Narrow"/>
                <w:b/>
                <w:lang w:eastAsia="en-US"/>
              </w:rPr>
            </w:pPr>
            <w:r w:rsidRPr="00B35E47">
              <w:rPr>
                <w:rFonts w:ascii="Arial Narrow" w:hAnsi="Arial Narrow"/>
                <w:b/>
                <w:lang w:eastAsia="en-US"/>
              </w:rPr>
              <w:t>Outcomes</w:t>
            </w:r>
          </w:p>
        </w:tc>
        <w:tc>
          <w:tcPr>
            <w:tcW w:w="3277" w:type="pct"/>
            <w:tcBorders>
              <w:top w:val="single" w:sz="4" w:space="0" w:color="auto"/>
              <w:left w:val="single" w:sz="4" w:space="0" w:color="auto"/>
              <w:bottom w:val="single" w:sz="4" w:space="0" w:color="auto"/>
              <w:right w:val="single" w:sz="4" w:space="0" w:color="auto"/>
            </w:tcBorders>
          </w:tcPr>
          <w:p w14:paraId="42DABA76" w14:textId="77777777" w:rsidR="00E45F50" w:rsidRPr="00B35E47" w:rsidRDefault="00E45F50" w:rsidP="00720F38">
            <w:pPr>
              <w:contextualSpacing/>
              <w:jc w:val="left"/>
              <w:rPr>
                <w:rFonts w:ascii="Arial Narrow" w:hAnsi="Arial Narrow"/>
                <w:lang w:eastAsia="en-US"/>
              </w:rPr>
            </w:pPr>
            <w:r w:rsidRPr="00B35E47">
              <w:rPr>
                <w:rFonts w:ascii="Arial Narrow" w:hAnsi="Arial Narrow"/>
                <w:lang w:eastAsia="en-US"/>
              </w:rPr>
              <w:t>Cost per quality-adjusted life year (QALY)</w:t>
            </w:r>
          </w:p>
        </w:tc>
      </w:tr>
      <w:tr w:rsidR="00E45F50" w:rsidRPr="00B35E47" w14:paraId="1AE6FFCB" w14:textId="77777777" w:rsidTr="00E45F50">
        <w:trPr>
          <w:trHeight w:val="20"/>
        </w:trPr>
        <w:tc>
          <w:tcPr>
            <w:tcW w:w="1723" w:type="pct"/>
            <w:tcBorders>
              <w:top w:val="single" w:sz="4" w:space="0" w:color="auto"/>
              <w:left w:val="single" w:sz="4" w:space="0" w:color="auto"/>
              <w:bottom w:val="single" w:sz="4" w:space="0" w:color="auto"/>
              <w:right w:val="single" w:sz="4" w:space="0" w:color="auto"/>
            </w:tcBorders>
            <w:hideMark/>
          </w:tcPr>
          <w:p w14:paraId="3B161398" w14:textId="77777777" w:rsidR="00E45F50" w:rsidRPr="00B35E47" w:rsidRDefault="00E45F50" w:rsidP="00720F38">
            <w:pPr>
              <w:keepNext/>
              <w:jc w:val="left"/>
              <w:rPr>
                <w:rFonts w:ascii="Arial Narrow" w:hAnsi="Arial Narrow"/>
                <w:b/>
                <w:lang w:eastAsia="en-US"/>
              </w:rPr>
            </w:pPr>
            <w:r w:rsidRPr="00B35E47">
              <w:rPr>
                <w:rFonts w:ascii="Arial Narrow" w:hAnsi="Arial Narrow"/>
                <w:b/>
                <w:lang w:eastAsia="en-US"/>
              </w:rPr>
              <w:t>Methods used to generate results</w:t>
            </w:r>
          </w:p>
        </w:tc>
        <w:tc>
          <w:tcPr>
            <w:tcW w:w="3277" w:type="pct"/>
            <w:tcBorders>
              <w:top w:val="single" w:sz="4" w:space="0" w:color="auto"/>
              <w:left w:val="single" w:sz="4" w:space="0" w:color="auto"/>
              <w:bottom w:val="single" w:sz="4" w:space="0" w:color="auto"/>
              <w:right w:val="single" w:sz="4" w:space="0" w:color="auto"/>
            </w:tcBorders>
          </w:tcPr>
          <w:p w14:paraId="58FA71A7" w14:textId="593E1178" w:rsidR="00E45F50" w:rsidRPr="00B35E47" w:rsidRDefault="006462EA" w:rsidP="00720F38">
            <w:pPr>
              <w:contextualSpacing/>
              <w:jc w:val="left"/>
              <w:rPr>
                <w:rFonts w:ascii="Arial Narrow" w:hAnsi="Arial Narrow"/>
                <w:lang w:eastAsia="en-US"/>
              </w:rPr>
            </w:pPr>
            <w:r w:rsidRPr="00B35E47">
              <w:rPr>
                <w:rFonts w:ascii="Arial Narrow" w:hAnsi="Arial Narrow"/>
                <w:lang w:eastAsia="en-US"/>
              </w:rPr>
              <w:t>Decision tree</w:t>
            </w:r>
            <w:r>
              <w:rPr>
                <w:rFonts w:ascii="Arial Narrow" w:hAnsi="Arial Narrow"/>
                <w:lang w:eastAsia="en-US"/>
              </w:rPr>
              <w:t xml:space="preserve"> to initial </w:t>
            </w:r>
            <w:r w:rsidR="000E4046">
              <w:rPr>
                <w:rFonts w:ascii="Arial Narrow" w:hAnsi="Arial Narrow"/>
                <w:lang w:eastAsia="en-US"/>
              </w:rPr>
              <w:t>diagnosis</w:t>
            </w:r>
            <w:r>
              <w:rPr>
                <w:rFonts w:ascii="Arial Narrow" w:hAnsi="Arial Narrow"/>
                <w:lang w:eastAsia="en-US"/>
              </w:rPr>
              <w:t xml:space="preserve">, then </w:t>
            </w:r>
            <w:r w:rsidRPr="00B35E47">
              <w:rPr>
                <w:rFonts w:ascii="Arial Narrow" w:hAnsi="Arial Narrow"/>
                <w:lang w:eastAsia="en-US"/>
              </w:rPr>
              <w:t>Markov model</w:t>
            </w:r>
            <w:r>
              <w:rPr>
                <w:rFonts w:ascii="Arial Narrow" w:hAnsi="Arial Narrow"/>
                <w:lang w:eastAsia="en-US"/>
              </w:rPr>
              <w:t>s for disease pathway.</w:t>
            </w:r>
          </w:p>
        </w:tc>
      </w:tr>
      <w:tr w:rsidR="00E45F50" w:rsidRPr="00B35E47" w14:paraId="451FE09D" w14:textId="77777777" w:rsidTr="00E45F50">
        <w:trPr>
          <w:trHeight w:val="20"/>
        </w:trPr>
        <w:tc>
          <w:tcPr>
            <w:tcW w:w="1723" w:type="pct"/>
            <w:tcBorders>
              <w:top w:val="single" w:sz="4" w:space="0" w:color="auto"/>
              <w:left w:val="single" w:sz="4" w:space="0" w:color="auto"/>
              <w:bottom w:val="single" w:sz="4" w:space="0" w:color="auto"/>
              <w:right w:val="single" w:sz="4" w:space="0" w:color="auto"/>
            </w:tcBorders>
          </w:tcPr>
          <w:p w14:paraId="2AEFC658" w14:textId="77777777" w:rsidR="00E45F50" w:rsidRPr="00B35E47" w:rsidRDefault="00E45F50" w:rsidP="00720F38">
            <w:pPr>
              <w:keepNext/>
              <w:jc w:val="left"/>
              <w:rPr>
                <w:rFonts w:ascii="Arial Narrow" w:hAnsi="Arial Narrow"/>
                <w:b/>
                <w:lang w:eastAsia="en-US"/>
              </w:rPr>
            </w:pPr>
            <w:r>
              <w:rPr>
                <w:rFonts w:ascii="Arial Narrow" w:hAnsi="Arial Narrow"/>
                <w:b/>
                <w:lang w:eastAsia="en-US"/>
              </w:rPr>
              <w:t>Health states</w:t>
            </w:r>
          </w:p>
        </w:tc>
        <w:tc>
          <w:tcPr>
            <w:tcW w:w="3277" w:type="pct"/>
            <w:tcBorders>
              <w:top w:val="single" w:sz="4" w:space="0" w:color="auto"/>
              <w:left w:val="single" w:sz="4" w:space="0" w:color="auto"/>
              <w:bottom w:val="single" w:sz="4" w:space="0" w:color="auto"/>
              <w:right w:val="single" w:sz="4" w:space="0" w:color="auto"/>
            </w:tcBorders>
          </w:tcPr>
          <w:p w14:paraId="4B98EF44" w14:textId="77777777" w:rsidR="00E45F50" w:rsidRPr="00B35E47" w:rsidRDefault="00E45F50" w:rsidP="00720F38">
            <w:pPr>
              <w:contextualSpacing/>
              <w:jc w:val="left"/>
              <w:rPr>
                <w:rFonts w:ascii="Arial Narrow" w:hAnsi="Arial Narrow"/>
                <w:lang w:eastAsia="en-US"/>
              </w:rPr>
            </w:pPr>
            <w:r w:rsidRPr="00B35E47">
              <w:rPr>
                <w:rFonts w:ascii="Arial Narrow" w:hAnsi="Arial Narrow"/>
                <w:lang w:eastAsia="en-US"/>
              </w:rPr>
              <w:t xml:space="preserve">Disease with </w:t>
            </w:r>
            <w:r>
              <w:rPr>
                <w:rFonts w:ascii="Arial Narrow" w:hAnsi="Arial Narrow"/>
                <w:lang w:eastAsia="en-US"/>
              </w:rPr>
              <w:t xml:space="preserve">no </w:t>
            </w:r>
            <w:r w:rsidRPr="00B35E47">
              <w:rPr>
                <w:rFonts w:ascii="Arial Narrow" w:hAnsi="Arial Narrow"/>
                <w:lang w:eastAsia="en-US"/>
              </w:rPr>
              <w:t>or mil</w:t>
            </w:r>
            <w:r>
              <w:rPr>
                <w:rFonts w:ascii="Arial Narrow" w:hAnsi="Arial Narrow"/>
                <w:lang w:eastAsia="en-US"/>
              </w:rPr>
              <w:t>d</w:t>
            </w:r>
            <w:r w:rsidRPr="00B35E47">
              <w:rPr>
                <w:rFonts w:ascii="Arial Narrow" w:hAnsi="Arial Narrow"/>
                <w:lang w:eastAsia="en-US"/>
              </w:rPr>
              <w:t xml:space="preserve"> disability, disease with </w:t>
            </w:r>
            <w:r>
              <w:rPr>
                <w:rFonts w:ascii="Arial Narrow" w:hAnsi="Arial Narrow"/>
                <w:lang w:eastAsia="en-US"/>
              </w:rPr>
              <w:t xml:space="preserve">moderate–severe </w:t>
            </w:r>
            <w:r w:rsidRPr="00B35E47">
              <w:rPr>
                <w:rFonts w:ascii="Arial Narrow" w:hAnsi="Arial Narrow"/>
                <w:lang w:eastAsia="en-US"/>
              </w:rPr>
              <w:t>disability</w:t>
            </w:r>
            <w:r>
              <w:rPr>
                <w:rFonts w:ascii="Arial Narrow" w:hAnsi="Arial Narrow"/>
                <w:lang w:eastAsia="en-US"/>
              </w:rPr>
              <w:t>,</w:t>
            </w:r>
            <w:r w:rsidRPr="00B35E47">
              <w:rPr>
                <w:rFonts w:ascii="Arial Narrow" w:hAnsi="Arial Narrow"/>
                <w:lang w:eastAsia="en-US"/>
              </w:rPr>
              <w:t xml:space="preserve"> and death</w:t>
            </w:r>
            <w:r>
              <w:rPr>
                <w:rFonts w:ascii="Arial Narrow" w:hAnsi="Arial Narrow"/>
                <w:lang w:eastAsia="en-US"/>
              </w:rPr>
              <w:t>. The model also includes two temporary health states of mild and severe relapse.</w:t>
            </w:r>
          </w:p>
        </w:tc>
      </w:tr>
      <w:tr w:rsidR="00E45F50" w:rsidRPr="00B35E47" w14:paraId="39AAFFC7" w14:textId="77777777" w:rsidTr="00E45F50">
        <w:trPr>
          <w:trHeight w:val="20"/>
        </w:trPr>
        <w:tc>
          <w:tcPr>
            <w:tcW w:w="1723" w:type="pct"/>
            <w:tcBorders>
              <w:top w:val="single" w:sz="4" w:space="0" w:color="auto"/>
              <w:left w:val="single" w:sz="4" w:space="0" w:color="auto"/>
              <w:bottom w:val="single" w:sz="4" w:space="0" w:color="auto"/>
              <w:right w:val="single" w:sz="4" w:space="0" w:color="auto"/>
            </w:tcBorders>
            <w:hideMark/>
          </w:tcPr>
          <w:p w14:paraId="72F8C9DD" w14:textId="77777777" w:rsidR="00E45F50" w:rsidRPr="00B35E47" w:rsidRDefault="00E45F50" w:rsidP="00720F38">
            <w:pPr>
              <w:keepNext/>
              <w:jc w:val="left"/>
              <w:rPr>
                <w:rFonts w:ascii="Arial Narrow" w:hAnsi="Arial Narrow"/>
                <w:b/>
                <w:lang w:eastAsia="en-US"/>
              </w:rPr>
            </w:pPr>
            <w:r w:rsidRPr="00B35E47">
              <w:rPr>
                <w:rFonts w:ascii="Arial Narrow" w:hAnsi="Arial Narrow"/>
                <w:b/>
                <w:lang w:eastAsia="en-US"/>
              </w:rPr>
              <w:t>C</w:t>
            </w:r>
            <w:r>
              <w:rPr>
                <w:rFonts w:ascii="Arial Narrow" w:hAnsi="Arial Narrow"/>
                <w:b/>
                <w:lang w:eastAsia="en-US"/>
              </w:rPr>
              <w:t>ycle length</w:t>
            </w:r>
          </w:p>
        </w:tc>
        <w:tc>
          <w:tcPr>
            <w:tcW w:w="3277" w:type="pct"/>
            <w:tcBorders>
              <w:top w:val="single" w:sz="4" w:space="0" w:color="auto"/>
              <w:left w:val="single" w:sz="4" w:space="0" w:color="auto"/>
              <w:bottom w:val="single" w:sz="4" w:space="0" w:color="auto"/>
              <w:right w:val="single" w:sz="4" w:space="0" w:color="auto"/>
            </w:tcBorders>
          </w:tcPr>
          <w:p w14:paraId="4D651387" w14:textId="02A139BD" w:rsidR="00E45F50" w:rsidRPr="00B35E47" w:rsidRDefault="004E5C57" w:rsidP="00720F38">
            <w:pPr>
              <w:contextualSpacing/>
              <w:jc w:val="left"/>
              <w:rPr>
                <w:rFonts w:ascii="Arial Narrow" w:hAnsi="Arial Narrow"/>
                <w:lang w:eastAsia="en-US"/>
              </w:rPr>
            </w:pPr>
            <w:r>
              <w:rPr>
                <w:rFonts w:ascii="Arial Narrow" w:hAnsi="Arial Narrow"/>
                <w:lang w:eastAsia="en-US"/>
              </w:rPr>
              <w:t>Three months (quarterly): based on average duration of relapse.</w:t>
            </w:r>
          </w:p>
        </w:tc>
      </w:tr>
      <w:tr w:rsidR="00E45F50" w:rsidRPr="00B35E47" w14:paraId="6A1301A1" w14:textId="77777777" w:rsidTr="00E45F50">
        <w:trPr>
          <w:trHeight w:val="20"/>
        </w:trPr>
        <w:tc>
          <w:tcPr>
            <w:tcW w:w="1723" w:type="pct"/>
            <w:tcBorders>
              <w:top w:val="single" w:sz="4" w:space="0" w:color="auto"/>
              <w:left w:val="single" w:sz="4" w:space="0" w:color="auto"/>
              <w:bottom w:val="single" w:sz="4" w:space="0" w:color="auto"/>
              <w:right w:val="single" w:sz="4" w:space="0" w:color="auto"/>
            </w:tcBorders>
            <w:hideMark/>
          </w:tcPr>
          <w:p w14:paraId="7023580C" w14:textId="77777777" w:rsidR="00E45F50" w:rsidRPr="00B35E47" w:rsidRDefault="00E45F50" w:rsidP="00720F38">
            <w:pPr>
              <w:keepNext/>
              <w:jc w:val="left"/>
              <w:rPr>
                <w:rFonts w:ascii="Arial Narrow" w:hAnsi="Arial Narrow"/>
                <w:b/>
                <w:lang w:eastAsia="en-US"/>
              </w:rPr>
            </w:pPr>
            <w:r w:rsidRPr="00B35E47">
              <w:rPr>
                <w:rFonts w:ascii="Arial Narrow" w:hAnsi="Arial Narrow"/>
                <w:b/>
                <w:lang w:eastAsia="en-US"/>
              </w:rPr>
              <w:t>Discount rate</w:t>
            </w:r>
          </w:p>
        </w:tc>
        <w:tc>
          <w:tcPr>
            <w:tcW w:w="3277" w:type="pct"/>
            <w:tcBorders>
              <w:top w:val="single" w:sz="4" w:space="0" w:color="auto"/>
              <w:left w:val="single" w:sz="4" w:space="0" w:color="auto"/>
              <w:bottom w:val="single" w:sz="4" w:space="0" w:color="auto"/>
              <w:right w:val="single" w:sz="4" w:space="0" w:color="auto"/>
            </w:tcBorders>
          </w:tcPr>
          <w:p w14:paraId="16F5ADA3" w14:textId="77777777" w:rsidR="00E45F50" w:rsidRPr="00B35E47" w:rsidRDefault="00E45F50" w:rsidP="00720F38">
            <w:pPr>
              <w:contextualSpacing/>
              <w:jc w:val="left"/>
              <w:rPr>
                <w:rFonts w:ascii="Arial Narrow" w:hAnsi="Arial Narrow"/>
                <w:lang w:eastAsia="en-US"/>
              </w:rPr>
            </w:pPr>
            <w:r w:rsidRPr="00B35E47">
              <w:rPr>
                <w:rFonts w:ascii="Arial Narrow" w:hAnsi="Arial Narrow"/>
                <w:lang w:eastAsia="en-US"/>
              </w:rPr>
              <w:t>5%</w:t>
            </w:r>
            <w:r>
              <w:rPr>
                <w:rFonts w:ascii="Arial Narrow" w:hAnsi="Arial Narrow"/>
                <w:lang w:eastAsia="en-US"/>
              </w:rPr>
              <w:t xml:space="preserve"> for both costs and outcomes</w:t>
            </w:r>
          </w:p>
        </w:tc>
      </w:tr>
      <w:tr w:rsidR="00E45F50" w:rsidRPr="00B35E47" w14:paraId="321A99A0" w14:textId="77777777" w:rsidTr="00E45F50">
        <w:trPr>
          <w:trHeight w:val="20"/>
        </w:trPr>
        <w:tc>
          <w:tcPr>
            <w:tcW w:w="1723" w:type="pct"/>
            <w:tcBorders>
              <w:top w:val="single" w:sz="4" w:space="0" w:color="auto"/>
              <w:left w:val="single" w:sz="4" w:space="0" w:color="auto"/>
              <w:bottom w:val="single" w:sz="4" w:space="0" w:color="auto"/>
              <w:right w:val="single" w:sz="4" w:space="0" w:color="auto"/>
            </w:tcBorders>
            <w:hideMark/>
          </w:tcPr>
          <w:p w14:paraId="76327F43" w14:textId="77777777" w:rsidR="00E45F50" w:rsidRPr="00B35E47" w:rsidRDefault="00E45F50" w:rsidP="00720F38">
            <w:pPr>
              <w:keepNext/>
              <w:jc w:val="left"/>
              <w:rPr>
                <w:rFonts w:ascii="Arial Narrow" w:hAnsi="Arial Narrow"/>
                <w:b/>
                <w:lang w:eastAsia="en-US"/>
              </w:rPr>
            </w:pPr>
            <w:r w:rsidRPr="00B35E47">
              <w:rPr>
                <w:rFonts w:ascii="Arial Narrow" w:hAnsi="Arial Narrow"/>
                <w:b/>
                <w:lang w:eastAsia="en-US"/>
              </w:rPr>
              <w:t>Software packages used</w:t>
            </w:r>
          </w:p>
        </w:tc>
        <w:tc>
          <w:tcPr>
            <w:tcW w:w="3277" w:type="pct"/>
            <w:tcBorders>
              <w:top w:val="single" w:sz="4" w:space="0" w:color="auto"/>
              <w:left w:val="single" w:sz="4" w:space="0" w:color="auto"/>
              <w:bottom w:val="single" w:sz="4" w:space="0" w:color="auto"/>
              <w:right w:val="single" w:sz="4" w:space="0" w:color="auto"/>
            </w:tcBorders>
          </w:tcPr>
          <w:p w14:paraId="0A491E43" w14:textId="77777777" w:rsidR="00E45F50" w:rsidRPr="00B35E47" w:rsidRDefault="00E45F50" w:rsidP="00720F38">
            <w:pPr>
              <w:contextualSpacing/>
              <w:jc w:val="left"/>
              <w:rPr>
                <w:rFonts w:ascii="Arial Narrow" w:hAnsi="Arial Narrow"/>
                <w:lang w:eastAsia="en-US"/>
              </w:rPr>
            </w:pPr>
            <w:r w:rsidRPr="00B35E47">
              <w:rPr>
                <w:rFonts w:ascii="Arial Narrow" w:hAnsi="Arial Narrow"/>
                <w:lang w:eastAsia="en-US"/>
              </w:rPr>
              <w:t>TreeAge Pro</w:t>
            </w:r>
            <w:r>
              <w:rPr>
                <w:rFonts w:ascii="Arial Narrow" w:hAnsi="Arial Narrow"/>
                <w:lang w:eastAsia="en-US"/>
              </w:rPr>
              <w:t xml:space="preserve"> Healthcare 2020</w:t>
            </w:r>
            <w:r w:rsidRPr="00606C7F">
              <w:rPr>
                <w:rFonts w:ascii="Arial Narrow" w:hAnsi="Arial Narrow"/>
                <w:lang w:eastAsia="en-US"/>
              </w:rPr>
              <w:t>®</w:t>
            </w:r>
          </w:p>
        </w:tc>
      </w:tr>
    </w:tbl>
    <w:p w14:paraId="41846C30" w14:textId="77777777" w:rsidR="00E45F50" w:rsidRDefault="00E45F50" w:rsidP="00E45F50">
      <w:pPr>
        <w:widowControl w:val="0"/>
        <w:spacing w:after="120" w:line="240" w:lineRule="auto"/>
        <w:contextualSpacing/>
        <w:jc w:val="left"/>
        <w:rPr>
          <w:rFonts w:ascii="Arial Narrow" w:hAnsi="Arial Narrow" w:cs="Arial"/>
          <w:snapToGrid w:val="0"/>
          <w:sz w:val="18"/>
          <w:szCs w:val="20"/>
          <w:lang w:eastAsia="en-US"/>
        </w:rPr>
      </w:pPr>
      <w:r w:rsidRPr="00D65B15">
        <w:rPr>
          <w:rFonts w:ascii="Arial Narrow" w:hAnsi="Arial Narrow" w:cs="Arial"/>
          <w:snapToGrid w:val="0"/>
          <w:sz w:val="18"/>
          <w:szCs w:val="20"/>
          <w:vertAlign w:val="superscript"/>
          <w:lang w:eastAsia="en-US"/>
        </w:rPr>
        <w:t>1</w:t>
      </w:r>
      <w:r>
        <w:rPr>
          <w:rFonts w:ascii="Arial Narrow" w:hAnsi="Arial Narrow" w:cs="Arial"/>
          <w:snapToGrid w:val="0"/>
          <w:sz w:val="18"/>
          <w:szCs w:val="20"/>
          <w:lang w:eastAsia="en-US"/>
        </w:rPr>
        <w:t xml:space="preserve"> Time horizon is equivalent to </w:t>
      </w:r>
      <w:r w:rsidRPr="007234FA">
        <w:rPr>
          <w:rFonts w:ascii="Arial Narrow" w:hAnsi="Arial Narrow" w:cs="Arial"/>
          <w:snapToGrid w:val="0"/>
          <w:sz w:val="18"/>
          <w:szCs w:val="20"/>
          <w:lang w:eastAsia="en-US"/>
        </w:rPr>
        <w:t>mean time to correct NMSOD diagnosis in the longer of the two arms (long enough to capture the effects of delayed diagnosis)</w:t>
      </w:r>
      <w:r>
        <w:rPr>
          <w:rFonts w:ascii="Arial Narrow" w:hAnsi="Arial Narrow" w:cs="Arial"/>
          <w:snapToGrid w:val="0"/>
          <w:sz w:val="18"/>
          <w:szCs w:val="20"/>
          <w:lang w:eastAsia="en-US"/>
        </w:rPr>
        <w:t>.</w:t>
      </w:r>
    </w:p>
    <w:p w14:paraId="23E62200" w14:textId="6CB80AF0" w:rsidR="00FE43B3" w:rsidRPr="00F21581" w:rsidRDefault="00E45F50" w:rsidP="00F21581">
      <w:pPr>
        <w:widowControl w:val="0"/>
        <w:spacing w:after="240" w:line="240" w:lineRule="auto"/>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NMOSD = neuromyelitis optica spectrum disorder</w:t>
      </w:r>
    </w:p>
    <w:p w14:paraId="2F08AE38" w14:textId="37286637" w:rsidR="006462EA" w:rsidRDefault="006462EA" w:rsidP="006462EA">
      <w:r>
        <w:t xml:space="preserve">The economic model starts with </w:t>
      </w:r>
      <w:r w:rsidRPr="00B35E47">
        <w:t>patients presenting with clinical symptoms suggestive of NMO/NMOSD</w:t>
      </w:r>
      <w:r>
        <w:t>. T</w:t>
      </w:r>
      <w:r w:rsidRPr="00B35E47">
        <w:t xml:space="preserve">he </w:t>
      </w:r>
      <w:r>
        <w:t xml:space="preserve">decision is between the </w:t>
      </w:r>
      <w:r w:rsidRPr="00B35E47">
        <w:t xml:space="preserve">proposed </w:t>
      </w:r>
      <w:r>
        <w:t xml:space="preserve">intervention (pathology testing </w:t>
      </w:r>
      <w:r w:rsidRPr="00B35E47">
        <w:t>to investigate the presence of NMOSD by the detection of AQP4-Abs</w:t>
      </w:r>
      <w:r>
        <w:t xml:space="preserve"> and/</w:t>
      </w:r>
      <w:r w:rsidRPr="00B35E47">
        <w:t>or MOG-Abs</w:t>
      </w:r>
      <w:r>
        <w:t xml:space="preserve">) to inform ongoing </w:t>
      </w:r>
      <w:r w:rsidR="000E4046">
        <w:t>clinical</w:t>
      </w:r>
      <w:r>
        <w:t xml:space="preserve"> management) vs clinical diagnostic criteria alone to inform ongoing clinical management. Ongoing clinical management (treatment) and disease progression (relapse and disability) is then modelled. </w:t>
      </w:r>
    </w:p>
    <w:p w14:paraId="7B105BAE" w14:textId="77777777" w:rsidR="006462EA" w:rsidRDefault="006462EA" w:rsidP="006462EA">
      <w:r>
        <w:t xml:space="preserve">Based on the clinical literature, </w:t>
      </w:r>
      <w:r w:rsidRPr="00B35E47">
        <w:t>patients who test positive for AQP4-Ab</w:t>
      </w:r>
      <w:r>
        <w:t>, or receive a correct diagnosis without testing,</w:t>
      </w:r>
      <w:r w:rsidRPr="00B35E47">
        <w:t xml:space="preserve"> </w:t>
      </w:r>
      <w:r>
        <w:t xml:space="preserve">receive appropriate </w:t>
      </w:r>
      <w:r w:rsidRPr="00B35E47">
        <w:t xml:space="preserve">immunosuppressive therapy </w:t>
      </w:r>
      <w:r>
        <w:t xml:space="preserve">promptly. Subsequently they will </w:t>
      </w:r>
      <w:r w:rsidRPr="00B35E47">
        <w:t xml:space="preserve">have </w:t>
      </w:r>
      <w:r>
        <w:t xml:space="preserve">a </w:t>
      </w:r>
      <w:r w:rsidRPr="00B35E47">
        <w:t>reduced risk of relapse and associated disability</w:t>
      </w:r>
      <w:r>
        <w:t>.</w:t>
      </w:r>
    </w:p>
    <w:p w14:paraId="3D9A0B09" w14:textId="77777777" w:rsidR="006462EA" w:rsidRDefault="006462EA" w:rsidP="006462EA">
      <w:r>
        <w:t xml:space="preserve">The remaining </w:t>
      </w:r>
      <w:r w:rsidRPr="00B35E47">
        <w:t xml:space="preserve">patients will </w:t>
      </w:r>
      <w:r>
        <w:t xml:space="preserve">initially </w:t>
      </w:r>
      <w:r w:rsidRPr="00B35E47">
        <w:t>either receive multiple sclerosis disease modifying treatment (</w:t>
      </w:r>
      <w:r>
        <w:t xml:space="preserve">which are harmful in NMOSD) </w:t>
      </w:r>
      <w:r w:rsidRPr="00B35E47">
        <w:t xml:space="preserve">or no treatment. </w:t>
      </w:r>
      <w:r>
        <w:t>However, it</w:t>
      </w:r>
      <w:r w:rsidRPr="00B35E47">
        <w:t xml:space="preserve"> is assumed that these patients will </w:t>
      </w:r>
      <w:r>
        <w:t xml:space="preserve">receive ongoing medical attention, and eventually on clinical grounds, </w:t>
      </w:r>
      <w:r w:rsidRPr="00B35E47">
        <w:t xml:space="preserve">the correct diagnosis </w:t>
      </w:r>
      <w:r>
        <w:t xml:space="preserve">would be reached (and then </w:t>
      </w:r>
      <w:r w:rsidRPr="00B35E47">
        <w:t>correct NMOSD treatment</w:t>
      </w:r>
      <w:r>
        <w:t xml:space="preserve"> initiated). This event (correct diagnosis and treatment initiation) is modelled to occur at </w:t>
      </w:r>
      <w:r w:rsidRPr="00B35E47">
        <w:t xml:space="preserve">the mean time to </w:t>
      </w:r>
      <w:r>
        <w:t xml:space="preserve">NMO/NMOSD </w:t>
      </w:r>
      <w:r w:rsidRPr="00B35E47">
        <w:t>diagnosis</w:t>
      </w:r>
      <w:r>
        <w:t>, based on the clinical data</w:t>
      </w:r>
      <w:r w:rsidRPr="00B35E47">
        <w:t>.</w:t>
      </w:r>
    </w:p>
    <w:p w14:paraId="5889A615" w14:textId="77777777" w:rsidR="006462EA" w:rsidRPr="00B35E47" w:rsidRDefault="006462EA" w:rsidP="006462EA">
      <w:r>
        <w:t>Some additional</w:t>
      </w:r>
      <w:r w:rsidRPr="00B35E47">
        <w:t xml:space="preserve"> structural assumptions of the model are:</w:t>
      </w:r>
    </w:p>
    <w:p w14:paraId="33B5624D" w14:textId="7321A98F" w:rsidR="006462EA" w:rsidRPr="00B35E47" w:rsidRDefault="006462EA" w:rsidP="003816F6">
      <w:pPr>
        <w:numPr>
          <w:ilvl w:val="0"/>
          <w:numId w:val="50"/>
        </w:numPr>
      </w:pPr>
      <w:r w:rsidRPr="00B35E47">
        <w:t>Relapses are classified according to the disease severity</w:t>
      </w:r>
      <w:r w:rsidR="004E5C57">
        <w:t xml:space="preserve"> (mild or severe)</w:t>
      </w:r>
      <w:r w:rsidR="004E5C57" w:rsidRPr="00B35E47">
        <w:t>.</w:t>
      </w:r>
    </w:p>
    <w:p w14:paraId="5088E250" w14:textId="77777777" w:rsidR="006462EA" w:rsidRDefault="006462EA" w:rsidP="003816F6">
      <w:pPr>
        <w:numPr>
          <w:ilvl w:val="0"/>
          <w:numId w:val="50"/>
        </w:numPr>
      </w:pPr>
      <w:r w:rsidRPr="00B35E47">
        <w:t>Patient in health state ‘disease with moderate–severe disability cannot return to health state ‘disease with no/mild disability’, thus indicating a confirmation of disability progression following a severe relapse.</w:t>
      </w:r>
    </w:p>
    <w:p w14:paraId="2E5EF5B3" w14:textId="30B69B0B" w:rsidR="006462EA" w:rsidRDefault="006462EA" w:rsidP="003816F6">
      <w:pPr>
        <w:numPr>
          <w:ilvl w:val="0"/>
          <w:numId w:val="50"/>
        </w:numPr>
      </w:pPr>
      <w:r>
        <w:t>It is assumed that a</w:t>
      </w:r>
      <w:r w:rsidRPr="00B35E47">
        <w:t>fter the nominated mean time to correct diagnosis, all diagnosed patients will be receiving correct treatment with immunosuppressive therapies, which are considered to have similar treatment efficacy</w:t>
      </w:r>
      <w:r>
        <w:t>,</w:t>
      </w:r>
      <w:r w:rsidRPr="00B35E47">
        <w:t xml:space="preserve"> irrespective of the time on treatment.</w:t>
      </w:r>
      <w:r>
        <w:t xml:space="preserve"> </w:t>
      </w:r>
      <w:r w:rsidR="000E4046">
        <w:t>Therefore,</w:t>
      </w:r>
      <w:r>
        <w:t xml:space="preserve"> the </w:t>
      </w:r>
      <w:r w:rsidR="004E5C57">
        <w:t xml:space="preserve">base case </w:t>
      </w:r>
      <w:r>
        <w:t xml:space="preserve">modelled time horizon is </w:t>
      </w:r>
      <w:r w:rsidRPr="00731514">
        <w:t xml:space="preserve">to </w:t>
      </w:r>
      <w:r w:rsidR="004E5C57">
        <w:t>the ‘</w:t>
      </w:r>
      <w:r w:rsidRPr="00731514">
        <w:t>mean time to correct NMSOD diagnosi</w:t>
      </w:r>
      <w:r>
        <w:t>s</w:t>
      </w:r>
      <w:r w:rsidR="004E5C57">
        <w:t>’</w:t>
      </w:r>
      <w:r>
        <w:t xml:space="preserve"> in the longer of the two arms. </w:t>
      </w:r>
    </w:p>
    <w:p w14:paraId="0C049751" w14:textId="77777777" w:rsidR="006462EA" w:rsidRPr="00B35E47" w:rsidRDefault="006462EA" w:rsidP="003816F6">
      <w:pPr>
        <w:numPr>
          <w:ilvl w:val="0"/>
          <w:numId w:val="50"/>
        </w:numPr>
      </w:pPr>
      <w:r>
        <w:t xml:space="preserve">Patients with no/mild disability (in remission or with mild relapse) are assumed to have mortality risk similar to the general population. Patients in remission with moderate–severe disability are assumed to have a mortality risk associated with disease disability. Patients with </w:t>
      </w:r>
      <w:r>
        <w:lastRenderedPageBreak/>
        <w:t>severe relapse (irrespective of disease severity) and patients with moderate–severe disability and mild relapse are assumed to have mortality risk associated with the disease relapse.</w:t>
      </w:r>
    </w:p>
    <w:p w14:paraId="64DCC068" w14:textId="77777777" w:rsidR="00E45F50" w:rsidRDefault="00E45F50" w:rsidP="00E45F50">
      <w:r w:rsidRPr="000923F7">
        <w:t>The base-case analysis assumes that only AQP4-Ab testing is performed. Additional scenario analyses consider the alternative of concurrent or sequential MOG-Ab testing.</w:t>
      </w:r>
    </w:p>
    <w:p w14:paraId="03CE4CB2" w14:textId="7DD5F7CC" w:rsidR="00E45F50" w:rsidRDefault="00E45F50" w:rsidP="00E45F50">
      <w:r w:rsidRPr="000923F7">
        <w:t xml:space="preserve">The overall expected costs and outcomes, and incremental costs and outcomes per patient associated with the </w:t>
      </w:r>
      <w:r>
        <w:t>NMOSD-Ab</w:t>
      </w:r>
      <w:r w:rsidRPr="000923F7">
        <w:t xml:space="preserve"> test and comparator in the model, with the base case assumptions, are presented in</w:t>
      </w:r>
      <w:r>
        <w:t xml:space="preserve"> </w:t>
      </w:r>
      <w:r>
        <w:fldChar w:fldCharType="begin"/>
      </w:r>
      <w:r>
        <w:instrText xml:space="preserve"> REF _Ref38026864 \h </w:instrText>
      </w:r>
      <w:r>
        <w:fldChar w:fldCharType="separate"/>
      </w:r>
      <w:r w:rsidR="00657B2A" w:rsidRPr="00E45F50">
        <w:t xml:space="preserve">Table </w:t>
      </w:r>
      <w:r w:rsidR="00657B2A">
        <w:rPr>
          <w:noProof/>
        </w:rPr>
        <w:t>7</w:t>
      </w:r>
      <w:r>
        <w:fldChar w:fldCharType="end"/>
      </w:r>
      <w:r>
        <w:t>.</w:t>
      </w:r>
    </w:p>
    <w:p w14:paraId="1C610642" w14:textId="4104810F" w:rsidR="00E45F50" w:rsidRPr="00E45F50" w:rsidRDefault="00E45F50" w:rsidP="00E45F50">
      <w:pPr>
        <w:pStyle w:val="Caption"/>
      </w:pPr>
      <w:bookmarkStart w:id="87" w:name="_Ref38026864"/>
      <w:bookmarkStart w:id="88" w:name="_Toc39580788"/>
      <w:r w:rsidRPr="00E45F50">
        <w:t xml:space="preserve">Table </w:t>
      </w:r>
      <w:fldSimple w:instr=" SEQ Table \* ARABIC ">
        <w:r w:rsidR="00FA7BCD">
          <w:rPr>
            <w:noProof/>
          </w:rPr>
          <w:t>7</w:t>
        </w:r>
      </w:fldSimple>
      <w:bookmarkEnd w:id="87"/>
      <w:r w:rsidRPr="00E45F50">
        <w:tab/>
        <w:t>Costs and effectiveness for base-case analysis, AQP4-Ab testing only</w:t>
      </w:r>
      <w:bookmarkEnd w:id="88"/>
    </w:p>
    <w:tbl>
      <w:tblPr>
        <w:tblStyle w:val="TableGrid"/>
        <w:tblW w:w="5000" w:type="pct"/>
        <w:tblLook w:val="04A0" w:firstRow="1" w:lastRow="0" w:firstColumn="1" w:lastColumn="0" w:noHBand="0" w:noVBand="1"/>
        <w:tblCaption w:val="Costs and effectiveness for base-case analysis, AQP4-Ab testing only"/>
        <w:tblDescription w:val="Costs and effectiveness for base-case analysis, AQP4-Ab testing only"/>
      </w:tblPr>
      <w:tblGrid>
        <w:gridCol w:w="3258"/>
        <w:gridCol w:w="2124"/>
        <w:gridCol w:w="1843"/>
        <w:gridCol w:w="1791"/>
      </w:tblGrid>
      <w:tr w:rsidR="00E45F50" w14:paraId="0EB51AB5" w14:textId="77777777" w:rsidTr="00720F38">
        <w:tc>
          <w:tcPr>
            <w:tcW w:w="1807" w:type="pct"/>
          </w:tcPr>
          <w:p w14:paraId="5139D14A" w14:textId="77777777" w:rsidR="00E45F50" w:rsidRDefault="00E45F50" w:rsidP="00447C83">
            <w:pPr>
              <w:pStyle w:val="TableHeading"/>
              <w:ind w:left="0"/>
            </w:pPr>
            <w:r>
              <w:t>Description</w:t>
            </w:r>
          </w:p>
        </w:tc>
        <w:tc>
          <w:tcPr>
            <w:tcW w:w="1178" w:type="pct"/>
          </w:tcPr>
          <w:p w14:paraId="321EF061" w14:textId="46A0FA5F" w:rsidR="00E45F50" w:rsidRDefault="000E4046" w:rsidP="00447C83">
            <w:pPr>
              <w:pStyle w:val="TableHeading"/>
              <w:ind w:left="0"/>
            </w:pPr>
            <w:r>
              <w:t>Average</w:t>
            </w:r>
            <w:r w:rsidR="00E45F50">
              <w:t xml:space="preserve"> cost per patient</w:t>
            </w:r>
          </w:p>
        </w:tc>
        <w:tc>
          <w:tcPr>
            <w:tcW w:w="1022" w:type="pct"/>
          </w:tcPr>
          <w:p w14:paraId="67F893AD" w14:textId="77777777" w:rsidR="00E45F50" w:rsidRDefault="00E45F50" w:rsidP="00447C83">
            <w:pPr>
              <w:pStyle w:val="TableHeading"/>
              <w:ind w:left="0"/>
            </w:pPr>
            <w:r>
              <w:t>QALYs</w:t>
            </w:r>
          </w:p>
        </w:tc>
        <w:tc>
          <w:tcPr>
            <w:tcW w:w="993" w:type="pct"/>
          </w:tcPr>
          <w:p w14:paraId="464636E7" w14:textId="77777777" w:rsidR="00E45F50" w:rsidRDefault="00E45F50" w:rsidP="00447C83">
            <w:pPr>
              <w:pStyle w:val="TableHeading"/>
              <w:ind w:left="0"/>
            </w:pPr>
            <w:r>
              <w:t>Relapses</w:t>
            </w:r>
          </w:p>
        </w:tc>
      </w:tr>
      <w:tr w:rsidR="00487864" w14:paraId="2D34D182" w14:textId="77777777" w:rsidTr="00720F38">
        <w:tc>
          <w:tcPr>
            <w:tcW w:w="1807" w:type="pct"/>
          </w:tcPr>
          <w:p w14:paraId="54CE3C9D" w14:textId="77777777" w:rsidR="00487864" w:rsidRDefault="00487864" w:rsidP="002D2C8F">
            <w:pPr>
              <w:pStyle w:val="TableText0"/>
              <w:ind w:left="0"/>
            </w:pPr>
            <w:r>
              <w:t>NMOSD-Ab testing</w:t>
            </w:r>
          </w:p>
        </w:tc>
        <w:tc>
          <w:tcPr>
            <w:tcW w:w="1178" w:type="pct"/>
          </w:tcPr>
          <w:p w14:paraId="06F828FB" w14:textId="771D1DB6" w:rsidR="00487864" w:rsidRDefault="00487864" w:rsidP="002D2C8F">
            <w:pPr>
              <w:pStyle w:val="TableText0"/>
              <w:ind w:left="0"/>
              <w:jc w:val="right"/>
            </w:pPr>
            <w:r w:rsidRPr="00A4573C">
              <w:t>$1,271</w:t>
            </w:r>
          </w:p>
        </w:tc>
        <w:tc>
          <w:tcPr>
            <w:tcW w:w="1022" w:type="pct"/>
          </w:tcPr>
          <w:p w14:paraId="7948E5C5" w14:textId="3309CF3F" w:rsidR="00487864" w:rsidRDefault="00487864" w:rsidP="002D2C8F">
            <w:pPr>
              <w:pStyle w:val="TableText0"/>
              <w:ind w:left="0"/>
              <w:jc w:val="right"/>
            </w:pPr>
            <w:r w:rsidRPr="00DB31E4">
              <w:t>0.1093</w:t>
            </w:r>
          </w:p>
        </w:tc>
        <w:tc>
          <w:tcPr>
            <w:tcW w:w="993" w:type="pct"/>
          </w:tcPr>
          <w:p w14:paraId="7CA3A66E" w14:textId="1A606EBE" w:rsidR="00487864" w:rsidRDefault="00487864" w:rsidP="002D2C8F">
            <w:pPr>
              <w:pStyle w:val="TableText0"/>
              <w:ind w:left="0"/>
              <w:jc w:val="right"/>
            </w:pPr>
            <w:r w:rsidRPr="007C4F52">
              <w:t>0.0818</w:t>
            </w:r>
          </w:p>
        </w:tc>
      </w:tr>
      <w:tr w:rsidR="00487864" w14:paraId="4C046A16" w14:textId="77777777" w:rsidTr="00720F38">
        <w:tc>
          <w:tcPr>
            <w:tcW w:w="1807" w:type="pct"/>
          </w:tcPr>
          <w:p w14:paraId="5E563254" w14:textId="77777777" w:rsidR="00487864" w:rsidRDefault="00487864" w:rsidP="002D2C8F">
            <w:pPr>
              <w:pStyle w:val="TableText0"/>
              <w:ind w:left="0"/>
            </w:pPr>
            <w:r>
              <w:t>No Ab testing</w:t>
            </w:r>
          </w:p>
        </w:tc>
        <w:tc>
          <w:tcPr>
            <w:tcW w:w="1178" w:type="pct"/>
          </w:tcPr>
          <w:p w14:paraId="2BD5B302" w14:textId="0085341D" w:rsidR="00487864" w:rsidRDefault="00487864" w:rsidP="002D2C8F">
            <w:pPr>
              <w:pStyle w:val="TableText0"/>
              <w:ind w:left="0"/>
              <w:jc w:val="right"/>
            </w:pPr>
            <w:r w:rsidRPr="00A4573C">
              <w:t>$1,995</w:t>
            </w:r>
          </w:p>
        </w:tc>
        <w:tc>
          <w:tcPr>
            <w:tcW w:w="1022" w:type="pct"/>
          </w:tcPr>
          <w:p w14:paraId="40411C2F" w14:textId="112CDBC9" w:rsidR="00487864" w:rsidRDefault="00487864" w:rsidP="002D2C8F">
            <w:pPr>
              <w:pStyle w:val="TableText0"/>
              <w:ind w:left="0"/>
              <w:jc w:val="right"/>
            </w:pPr>
            <w:r w:rsidRPr="00DB31E4">
              <w:t>0.1060</w:t>
            </w:r>
          </w:p>
        </w:tc>
        <w:tc>
          <w:tcPr>
            <w:tcW w:w="993" w:type="pct"/>
          </w:tcPr>
          <w:p w14:paraId="1CE3035B" w14:textId="00F857AF" w:rsidR="00487864" w:rsidRDefault="00487864" w:rsidP="002D2C8F">
            <w:pPr>
              <w:pStyle w:val="TableText0"/>
              <w:ind w:left="0"/>
              <w:jc w:val="right"/>
            </w:pPr>
            <w:r w:rsidRPr="007C4F52">
              <w:t>0.1319</w:t>
            </w:r>
          </w:p>
        </w:tc>
      </w:tr>
      <w:tr w:rsidR="00487864" w:rsidRPr="00D2308B" w14:paraId="37A3F324" w14:textId="77777777" w:rsidTr="00720F38">
        <w:tc>
          <w:tcPr>
            <w:tcW w:w="1807" w:type="pct"/>
          </w:tcPr>
          <w:p w14:paraId="6066B864" w14:textId="77777777" w:rsidR="00487864" w:rsidRPr="00D2308B" w:rsidRDefault="00487864" w:rsidP="002D2C8F">
            <w:pPr>
              <w:pStyle w:val="TableText0"/>
              <w:ind w:left="0"/>
            </w:pPr>
            <w:r w:rsidRPr="00D2308B">
              <w:t>Increment (Ab testing – No Ab testing)</w:t>
            </w:r>
          </w:p>
        </w:tc>
        <w:tc>
          <w:tcPr>
            <w:tcW w:w="1178" w:type="pct"/>
          </w:tcPr>
          <w:p w14:paraId="5FBCAB78" w14:textId="52489340" w:rsidR="00487864" w:rsidRPr="00211C17" w:rsidRDefault="00487864" w:rsidP="002D2C8F">
            <w:pPr>
              <w:pStyle w:val="TableText0"/>
              <w:ind w:left="0"/>
              <w:jc w:val="right"/>
            </w:pPr>
            <w:r w:rsidRPr="0004678C">
              <w:t>–$723</w:t>
            </w:r>
          </w:p>
        </w:tc>
        <w:tc>
          <w:tcPr>
            <w:tcW w:w="1022" w:type="pct"/>
          </w:tcPr>
          <w:p w14:paraId="640AFDF2" w14:textId="4545E910" w:rsidR="00487864" w:rsidRPr="00D2308B" w:rsidRDefault="00487864" w:rsidP="002D2C8F">
            <w:pPr>
              <w:pStyle w:val="TableText0"/>
              <w:ind w:left="0"/>
              <w:jc w:val="right"/>
            </w:pPr>
            <w:r w:rsidRPr="0004678C">
              <w:t>0.0034</w:t>
            </w:r>
          </w:p>
        </w:tc>
        <w:tc>
          <w:tcPr>
            <w:tcW w:w="993" w:type="pct"/>
          </w:tcPr>
          <w:p w14:paraId="14BD2793" w14:textId="260ADA3D" w:rsidR="00487864" w:rsidRPr="00D2308B" w:rsidRDefault="00487864" w:rsidP="002D2C8F">
            <w:pPr>
              <w:pStyle w:val="TableText0"/>
              <w:ind w:left="0"/>
              <w:jc w:val="right"/>
            </w:pPr>
            <w:r w:rsidRPr="0004678C">
              <w:t>–0.0501</w:t>
            </w:r>
          </w:p>
        </w:tc>
      </w:tr>
    </w:tbl>
    <w:p w14:paraId="27B38385" w14:textId="77777777" w:rsidR="00E45F50" w:rsidRDefault="00E45F50" w:rsidP="00E45F50">
      <w:pPr>
        <w:pStyle w:val="Tablenotes0"/>
      </w:pPr>
      <w:r>
        <w:t>Ab = antibody; AQP4 = aquaporin 4; NMOSD = neuromyelitis optica; QALY = Quality-adjusted life year</w:t>
      </w:r>
    </w:p>
    <w:p w14:paraId="4781602F" w14:textId="3A8EE032" w:rsidR="006462EA" w:rsidRDefault="006462EA" w:rsidP="006462EA">
      <w:r>
        <w:t xml:space="preserve">The model estimates that when AQP4-Ab testing is used for the diagnosis of NMOSD </w:t>
      </w:r>
      <w:r w:rsidR="00487864">
        <w:t>(</w:t>
      </w:r>
      <w:r w:rsidR="00487864">
        <w:fldChar w:fldCharType="begin"/>
      </w:r>
      <w:r w:rsidR="00487864">
        <w:instrText xml:space="preserve"> REF _Ref38026864 \h </w:instrText>
      </w:r>
      <w:r w:rsidR="00487864">
        <w:fldChar w:fldCharType="separate"/>
      </w:r>
      <w:r w:rsidR="00487864" w:rsidRPr="00E45F50">
        <w:t xml:space="preserve">Table </w:t>
      </w:r>
      <w:r w:rsidR="00487864">
        <w:rPr>
          <w:noProof/>
        </w:rPr>
        <w:t>7</w:t>
      </w:r>
      <w:r w:rsidR="00487864">
        <w:fldChar w:fldCharType="end"/>
      </w:r>
      <w:r w:rsidR="00487864">
        <w:t>)</w:t>
      </w:r>
      <w:r>
        <w:t xml:space="preserve"> it results in an average cost saving of $</w:t>
      </w:r>
      <w:r w:rsidR="00487864">
        <w:t>723</w:t>
      </w:r>
      <w:r>
        <w:t xml:space="preserve"> and a gain of 0.</w:t>
      </w:r>
      <w:r w:rsidR="00487864">
        <w:t xml:space="preserve">0034 </w:t>
      </w:r>
      <w:r>
        <w:t>additional QALYs, compared with no AQP4-Ab testing i.e., AQP4-Ab</w:t>
      </w:r>
      <w:r w:rsidRPr="00726D75">
        <w:t xml:space="preserve"> testing </w:t>
      </w:r>
      <w:r>
        <w:t>is</w:t>
      </w:r>
      <w:r w:rsidRPr="00726D75">
        <w:t xml:space="preserve"> dominant </w:t>
      </w:r>
      <w:r>
        <w:t>(</w:t>
      </w:r>
      <w:r w:rsidRPr="00726D75">
        <w:t xml:space="preserve">in the South-East quadrant of cost-effectiveness plane) compared with no </w:t>
      </w:r>
      <w:r>
        <w:t>Ab</w:t>
      </w:r>
      <w:r w:rsidRPr="00726D75">
        <w:t xml:space="preserve"> testing</w:t>
      </w:r>
      <w:r>
        <w:t>.</w:t>
      </w:r>
    </w:p>
    <w:p w14:paraId="2CC95E2F" w14:textId="3444AE17" w:rsidR="00E45F50" w:rsidRDefault="006462EA" w:rsidP="006462EA">
      <w:r>
        <w:t xml:space="preserve">Additionally, testing results in </w:t>
      </w:r>
      <w:r w:rsidR="00487864">
        <w:t>5</w:t>
      </w:r>
      <w:r>
        <w:t xml:space="preserve">% fewer relapses than where no Ab-testing is available. </w:t>
      </w:r>
      <w:r w:rsidR="00E45F50">
        <w:t xml:space="preserve">This is due to the test facilitating rapid diagnosis and appropriate treatment, such that there is less relapse and </w:t>
      </w:r>
      <w:r w:rsidR="000E4046">
        <w:t>progressed</w:t>
      </w:r>
      <w:r w:rsidR="00E45F50">
        <w:t xml:space="preserve"> disease; resulting in quality of life benefits, and also cost offsets associated with fewer treatment requirements associated with relapse/progressed disease. The savings associated with less relapse/progressed disease outweigh the additional, relatively small, cost of testing. </w:t>
      </w:r>
    </w:p>
    <w:p w14:paraId="1E3AC3A1" w14:textId="77777777" w:rsidR="006462EA" w:rsidRDefault="006462EA" w:rsidP="006462EA">
      <w:r w:rsidRPr="00726D75">
        <w:t xml:space="preserve">The </w:t>
      </w:r>
      <w:r>
        <w:t>sensitivity analysi</w:t>
      </w:r>
      <w:r w:rsidRPr="00726D75">
        <w:t xml:space="preserve">s </w:t>
      </w:r>
      <w:r>
        <w:t>results showed</w:t>
      </w:r>
      <w:r w:rsidRPr="00726D75">
        <w:t xml:space="preserve"> that the </w:t>
      </w:r>
      <w:r>
        <w:t>AQP4-Ab</w:t>
      </w:r>
      <w:r w:rsidRPr="00726D75">
        <w:t xml:space="preserve"> testing strategy </w:t>
      </w:r>
      <w:r>
        <w:t xml:space="preserve">remains </w:t>
      </w:r>
      <w:r w:rsidRPr="00726D75">
        <w:t>less costly and more effective (dominant</w:t>
      </w:r>
      <w:r>
        <w:t>)</w:t>
      </w:r>
      <w:r w:rsidRPr="00726D75">
        <w:t xml:space="preserve"> compared with no </w:t>
      </w:r>
      <w:r>
        <w:t>Ab</w:t>
      </w:r>
      <w:r w:rsidRPr="00726D75">
        <w:t xml:space="preserve"> testing, for </w:t>
      </w:r>
      <w:r>
        <w:t>alternative model inputs</w:t>
      </w:r>
      <w:r w:rsidRPr="00726D75">
        <w:t xml:space="preserve"> </w:t>
      </w:r>
      <w:r>
        <w:t xml:space="preserve">or parameters </w:t>
      </w:r>
      <w:r w:rsidRPr="00726D75">
        <w:t>assessed.</w:t>
      </w:r>
      <w:r>
        <w:t xml:space="preserve"> </w:t>
      </w:r>
    </w:p>
    <w:p w14:paraId="58756AB3" w14:textId="2C5252AF" w:rsidR="00E45F50" w:rsidRDefault="00E45F50" w:rsidP="00E45F50">
      <w:r>
        <w:t xml:space="preserve">Key sensitivity analyses are presented in </w:t>
      </w:r>
      <w:r>
        <w:fldChar w:fldCharType="begin"/>
      </w:r>
      <w:r>
        <w:instrText xml:space="preserve"> REF _Ref10808525 \h </w:instrText>
      </w:r>
      <w:r>
        <w:fldChar w:fldCharType="separate"/>
      </w:r>
      <w:r w:rsidR="00657B2A" w:rsidRPr="00E45F50">
        <w:t xml:space="preserve">Table </w:t>
      </w:r>
      <w:r w:rsidR="00657B2A">
        <w:rPr>
          <w:noProof/>
        </w:rPr>
        <w:t>8</w:t>
      </w:r>
      <w:r>
        <w:fldChar w:fldCharType="end"/>
      </w:r>
      <w:r>
        <w:t>.</w:t>
      </w:r>
    </w:p>
    <w:p w14:paraId="2B8B44BF" w14:textId="12C96D53" w:rsidR="00E45F50" w:rsidRPr="00E45F50" w:rsidRDefault="00E45F50" w:rsidP="00E45F50">
      <w:pPr>
        <w:pStyle w:val="Caption"/>
      </w:pPr>
      <w:bookmarkStart w:id="89" w:name="_Ref10808525"/>
      <w:bookmarkStart w:id="90" w:name="_Toc11240510"/>
      <w:bookmarkStart w:id="91" w:name="_Toc39580789"/>
      <w:r w:rsidRPr="00E45F50">
        <w:t xml:space="preserve">Table </w:t>
      </w:r>
      <w:fldSimple w:instr=" SEQ Table \* ARABIC ">
        <w:r w:rsidR="00FA7BCD">
          <w:rPr>
            <w:noProof/>
          </w:rPr>
          <w:t>8</w:t>
        </w:r>
      </w:fldSimple>
      <w:bookmarkEnd w:id="89"/>
      <w:r w:rsidRPr="00E45F50">
        <w:tab/>
        <w:t>Key drivers of the economic model</w:t>
      </w:r>
      <w:bookmarkEnd w:id="90"/>
      <w:bookmarkEnd w:id="91"/>
    </w:p>
    <w:tbl>
      <w:tblPr>
        <w:tblStyle w:val="TableGrid1"/>
        <w:tblW w:w="5000" w:type="pct"/>
        <w:tblCellMar>
          <w:left w:w="28" w:type="dxa"/>
          <w:right w:w="28" w:type="dxa"/>
        </w:tblCellMar>
        <w:tblLook w:val="04A0" w:firstRow="1" w:lastRow="0" w:firstColumn="1" w:lastColumn="0" w:noHBand="0" w:noVBand="1"/>
        <w:tblCaption w:val="Key drivers of the economic model"/>
        <w:tblDescription w:val="This table describes what factors and assumptions in the economic model affect the incremental cost-effectiveness to the greatest extent."/>
      </w:tblPr>
      <w:tblGrid>
        <w:gridCol w:w="1838"/>
        <w:gridCol w:w="1702"/>
        <w:gridCol w:w="2268"/>
        <w:gridCol w:w="3208"/>
      </w:tblGrid>
      <w:tr w:rsidR="00E45F50" w:rsidRPr="00CE1E1E" w14:paraId="3129B136" w14:textId="77777777" w:rsidTr="00720F38">
        <w:trPr>
          <w:cnfStyle w:val="100000000000" w:firstRow="1" w:lastRow="0" w:firstColumn="0" w:lastColumn="0" w:oddVBand="0" w:evenVBand="0" w:oddHBand="0" w:evenHBand="0" w:firstRowFirstColumn="0" w:firstRowLastColumn="0" w:lastRowFirstColumn="0" w:lastRowLastColumn="0"/>
          <w:tblHeader/>
        </w:trPr>
        <w:tc>
          <w:tcPr>
            <w:tcW w:w="1019" w:type="pct"/>
            <w:shd w:val="clear" w:color="auto" w:fill="auto"/>
            <w:vAlign w:val="center"/>
          </w:tcPr>
          <w:p w14:paraId="18D9268F" w14:textId="77777777" w:rsidR="00E45F50" w:rsidRPr="00CE1E1E" w:rsidRDefault="00E45F50" w:rsidP="00A87AE2">
            <w:pPr>
              <w:pStyle w:val="TableHeading"/>
            </w:pPr>
            <w:r w:rsidRPr="00CE1E1E">
              <w:t>Description</w:t>
            </w:r>
          </w:p>
        </w:tc>
        <w:tc>
          <w:tcPr>
            <w:tcW w:w="944" w:type="pct"/>
            <w:shd w:val="clear" w:color="auto" w:fill="auto"/>
            <w:vAlign w:val="center"/>
          </w:tcPr>
          <w:p w14:paraId="5DA90740" w14:textId="77777777" w:rsidR="00E45F50" w:rsidRPr="00CE1E1E" w:rsidRDefault="00E45F50" w:rsidP="00A87AE2">
            <w:pPr>
              <w:pStyle w:val="TableHeading"/>
            </w:pPr>
            <w:r w:rsidRPr="00CE1E1E">
              <w:t>Method/Value</w:t>
            </w:r>
          </w:p>
        </w:tc>
        <w:tc>
          <w:tcPr>
            <w:tcW w:w="1258" w:type="pct"/>
            <w:vAlign w:val="center"/>
          </w:tcPr>
          <w:p w14:paraId="38881125" w14:textId="77777777" w:rsidR="00E45F50" w:rsidRPr="00CE1E1E" w:rsidRDefault="00E45F50" w:rsidP="00A87AE2">
            <w:pPr>
              <w:pStyle w:val="TableHeading"/>
            </w:pPr>
            <w:r w:rsidRPr="00CE1E1E">
              <w:t xml:space="preserve">Increment in cost per </w:t>
            </w:r>
            <w:r>
              <w:t>QALY</w:t>
            </w:r>
            <w:r w:rsidRPr="00CE1E1E">
              <w:t xml:space="preserve"> (lower value, higher value) (base-case:</w:t>
            </w:r>
            <w:r>
              <w:t xml:space="preserve"> Dominant, –$72,156)</w:t>
            </w:r>
          </w:p>
        </w:tc>
        <w:tc>
          <w:tcPr>
            <w:tcW w:w="1779" w:type="pct"/>
            <w:shd w:val="clear" w:color="auto" w:fill="auto"/>
            <w:vAlign w:val="center"/>
          </w:tcPr>
          <w:p w14:paraId="57068BB0" w14:textId="77777777" w:rsidR="00E45F50" w:rsidRPr="00CE1E1E" w:rsidRDefault="00E45F50" w:rsidP="00A87AE2">
            <w:pPr>
              <w:pStyle w:val="TableHeading"/>
            </w:pPr>
            <w:r w:rsidRPr="00CE1E1E">
              <w:t>Impact</w:t>
            </w:r>
          </w:p>
        </w:tc>
      </w:tr>
      <w:tr w:rsidR="00487864" w:rsidRPr="0005059F" w14:paraId="1E8F494E" w14:textId="77777777" w:rsidTr="004E5C57">
        <w:tc>
          <w:tcPr>
            <w:tcW w:w="1019" w:type="pct"/>
            <w:shd w:val="clear" w:color="auto" w:fill="auto"/>
            <w:vAlign w:val="center"/>
          </w:tcPr>
          <w:p w14:paraId="35302F3D" w14:textId="77777777" w:rsidR="00487864" w:rsidRPr="0005059F" w:rsidRDefault="00487864" w:rsidP="004E5C57">
            <w:pPr>
              <w:pStyle w:val="TableText0"/>
            </w:pPr>
            <w:r w:rsidRPr="00865946">
              <w:t xml:space="preserve">Proportion of patients receiving </w:t>
            </w:r>
            <w:r>
              <w:t>rituximab</w:t>
            </w:r>
          </w:p>
        </w:tc>
        <w:tc>
          <w:tcPr>
            <w:tcW w:w="944" w:type="pct"/>
            <w:shd w:val="clear" w:color="auto" w:fill="auto"/>
            <w:vAlign w:val="center"/>
          </w:tcPr>
          <w:p w14:paraId="14910E4E" w14:textId="77777777" w:rsidR="00487864" w:rsidRPr="0005059F" w:rsidRDefault="00487864" w:rsidP="004E5C57">
            <w:pPr>
              <w:pStyle w:val="TableText0"/>
            </w:pPr>
            <w:r>
              <w:t>Values changed from 20% to 80%</w:t>
            </w:r>
          </w:p>
        </w:tc>
        <w:tc>
          <w:tcPr>
            <w:tcW w:w="1258" w:type="pct"/>
            <w:vAlign w:val="center"/>
          </w:tcPr>
          <w:p w14:paraId="1BDE8355" w14:textId="0A440B73" w:rsidR="00487864" w:rsidRDefault="00487864" w:rsidP="004E5C57">
            <w:pPr>
              <w:pStyle w:val="TableText0"/>
              <w:jc w:val="center"/>
            </w:pPr>
            <w:r>
              <w:t>–</w:t>
            </w:r>
            <w:r w:rsidR="00440E86">
              <w:t>$301</w:t>
            </w:r>
            <w:r>
              <w:t>,</w:t>
            </w:r>
            <w:r w:rsidR="00440E86">
              <w:t>756</w:t>
            </w:r>
            <w:r>
              <w:t>, –</w:t>
            </w:r>
            <w:r w:rsidRPr="00487864">
              <w:t>$</w:t>
            </w:r>
            <w:r w:rsidR="00440E86">
              <w:t>64,292</w:t>
            </w:r>
          </w:p>
        </w:tc>
        <w:tc>
          <w:tcPr>
            <w:tcW w:w="1779" w:type="pct"/>
            <w:shd w:val="clear" w:color="auto" w:fill="auto"/>
            <w:vAlign w:val="center"/>
          </w:tcPr>
          <w:p w14:paraId="426101CF" w14:textId="1D645473" w:rsidR="00487864" w:rsidRPr="0005059F" w:rsidRDefault="00487864" w:rsidP="004E5C57">
            <w:pPr>
              <w:pStyle w:val="TableText0"/>
            </w:pPr>
            <w:r>
              <w:t>Dominant across tested range. However, higher proportions of patients receiving rituximab increase the treatment costs in the intervention arm resulting in lower cost-savings.</w:t>
            </w:r>
          </w:p>
        </w:tc>
      </w:tr>
      <w:tr w:rsidR="006462EA" w:rsidRPr="0005059F" w14:paraId="129AA38F" w14:textId="77777777" w:rsidTr="004E5C57">
        <w:tc>
          <w:tcPr>
            <w:tcW w:w="1019" w:type="pct"/>
            <w:shd w:val="clear" w:color="auto" w:fill="auto"/>
            <w:vAlign w:val="center"/>
          </w:tcPr>
          <w:p w14:paraId="27802907" w14:textId="6F7800E8" w:rsidR="006462EA" w:rsidRPr="0005059F" w:rsidRDefault="006462EA" w:rsidP="004E5C57">
            <w:pPr>
              <w:pStyle w:val="TableText0"/>
            </w:pPr>
            <w:r w:rsidRPr="00865946">
              <w:t xml:space="preserve">Time horizon </w:t>
            </w:r>
            <w:r>
              <w:t>(base-case: 3.</w:t>
            </w:r>
            <w:r w:rsidR="00487864">
              <w:t xml:space="preserve">5 </w:t>
            </w:r>
            <w:r>
              <w:t>years</w:t>
            </w:r>
            <w:r w:rsidR="00487864">
              <w:t>, i.e. 14 quarters)</w:t>
            </w:r>
          </w:p>
        </w:tc>
        <w:tc>
          <w:tcPr>
            <w:tcW w:w="944" w:type="pct"/>
            <w:shd w:val="clear" w:color="auto" w:fill="auto"/>
            <w:vAlign w:val="center"/>
          </w:tcPr>
          <w:p w14:paraId="7AB2C529" w14:textId="70AEA262" w:rsidR="006462EA" w:rsidRPr="0005059F" w:rsidRDefault="006462EA" w:rsidP="004E5C57">
            <w:pPr>
              <w:pStyle w:val="TableText0"/>
            </w:pPr>
            <w:r>
              <w:t>Values changed from 2 to 30 years</w:t>
            </w:r>
            <w:r w:rsidR="00487864">
              <w:t xml:space="preserve"> (8 to 120 quarters)</w:t>
            </w:r>
          </w:p>
        </w:tc>
        <w:tc>
          <w:tcPr>
            <w:tcW w:w="1258" w:type="pct"/>
            <w:vAlign w:val="center"/>
          </w:tcPr>
          <w:p w14:paraId="3742AB02" w14:textId="56778D3A" w:rsidR="006462EA" w:rsidRDefault="00487864" w:rsidP="004E5C57">
            <w:pPr>
              <w:pStyle w:val="TableText0"/>
              <w:jc w:val="center"/>
            </w:pPr>
            <w:r>
              <w:t>–$</w:t>
            </w:r>
            <w:r w:rsidR="00440E86">
              <w:t>259,707</w:t>
            </w:r>
            <w:r>
              <w:t>, –</w:t>
            </w:r>
            <w:r w:rsidRPr="00487864">
              <w:t>$52,</w:t>
            </w:r>
            <w:r w:rsidR="00440E86">
              <w:t>410</w:t>
            </w:r>
          </w:p>
        </w:tc>
        <w:tc>
          <w:tcPr>
            <w:tcW w:w="1779" w:type="pct"/>
            <w:shd w:val="clear" w:color="auto" w:fill="auto"/>
            <w:vAlign w:val="center"/>
          </w:tcPr>
          <w:p w14:paraId="13A741F9" w14:textId="5FA970E2" w:rsidR="006462EA" w:rsidRPr="0005059F" w:rsidRDefault="006462EA" w:rsidP="004E5C57">
            <w:pPr>
              <w:pStyle w:val="TableText0"/>
            </w:pPr>
            <w:r>
              <w:t>Dominant across tested range.</w:t>
            </w:r>
          </w:p>
        </w:tc>
      </w:tr>
    </w:tbl>
    <w:p w14:paraId="32203C99" w14:textId="01EB741C" w:rsidR="00657B2A" w:rsidRDefault="00E45F50" w:rsidP="00E45F50">
      <w:pPr>
        <w:pStyle w:val="Tablenotes0"/>
      </w:pPr>
      <w:r>
        <w:t>QALY = quality adjusted life-years</w:t>
      </w:r>
    </w:p>
    <w:p w14:paraId="1D3FD644" w14:textId="77777777" w:rsidR="00E45F50" w:rsidRPr="00B35E47" w:rsidRDefault="00E45F50" w:rsidP="00E45F50">
      <w:r>
        <w:t xml:space="preserve">Although a number of assumptions were required to develop the model and data inputs were uncertain, particularly given the historical nature of the comparison, the fact that the sensitivity analyses consistently yielded dominant results (resource savings and health outcome benefits) for NMOSD-Ab testing compared with no testing, this would suggest that, despite the limitations or any </w:t>
      </w:r>
      <w:r>
        <w:lastRenderedPageBreak/>
        <w:t>inaccuracies that may exist in the model, it is unlikely that antibody testing for NMO/NMOSD would not be cost-effective in practice.</w:t>
      </w:r>
    </w:p>
    <w:p w14:paraId="1DC36912" w14:textId="77777777" w:rsidR="00B35E47" w:rsidRPr="00B35E47" w:rsidRDefault="00B35E47" w:rsidP="006E2BA9">
      <w:pPr>
        <w:pStyle w:val="Heading3"/>
      </w:pPr>
      <w:bookmarkStart w:id="92" w:name="_Toc259437725"/>
      <w:bookmarkStart w:id="93" w:name="_Toc395200753"/>
      <w:bookmarkStart w:id="94" w:name="_Toc34212221"/>
      <w:bookmarkStart w:id="95" w:name="_Toc39588260"/>
      <w:r w:rsidRPr="00B35E47">
        <w:t>Estimated Extent of Use and Financial Im</w:t>
      </w:r>
      <w:bookmarkEnd w:id="92"/>
      <w:r w:rsidRPr="00B35E47">
        <w:t>plications</w:t>
      </w:r>
      <w:bookmarkEnd w:id="93"/>
      <w:bookmarkEnd w:id="94"/>
      <w:bookmarkEnd w:id="95"/>
    </w:p>
    <w:p w14:paraId="6CA297C0" w14:textId="77777777" w:rsidR="00B35E47" w:rsidRPr="00FC0F62" w:rsidRDefault="00B35E47" w:rsidP="00B35E47">
      <w:pPr>
        <w:rPr>
          <w:sz w:val="24"/>
        </w:rPr>
      </w:pPr>
      <w:r w:rsidRPr="00B35E47">
        <w:t xml:space="preserve">NMOSD antibody (AQP4-Ab and MOG-Ab) testing is currently performed in Australia, and has been funded under MBS items 71119 or 71165 for more than 10 years. Therefore, a market-based approach is used to estimate the financial implications of a potential listing of NMOSD antibody testing on the </w:t>
      </w:r>
      <w:r w:rsidRPr="00FC0F62">
        <w:t>MBS.</w:t>
      </w:r>
    </w:p>
    <w:p w14:paraId="34A49424" w14:textId="41717CF2" w:rsidR="00E45F50" w:rsidRDefault="00E45F50" w:rsidP="00B35E47">
      <w:r w:rsidRPr="00FC0F62">
        <w:t xml:space="preserve">Market data suggested that a growth rate of 6–18% per annum has been observed in the number of AQP4-Ab </w:t>
      </w:r>
      <w:r w:rsidR="006E1782" w:rsidRPr="00FC0F62">
        <w:t xml:space="preserve">tests requested in the last two to </w:t>
      </w:r>
      <w:r w:rsidRPr="00FC0F62">
        <w:t>three years. The base case analysis assumes that the MBS listing of NMOSD-Ab test would increase the number of patients tested for AQP4 ± MOG-Ab tests by 20% in the first year of listing (due to increased access, additional sequential MOG-Ab testing and lower patient co-payments), and then an ongoing growth rate of 15% p.a. is assumed over the next four years of listing.</w:t>
      </w:r>
    </w:p>
    <w:p w14:paraId="28D3F86E" w14:textId="2C0B627B" w:rsidR="00B35E47" w:rsidRPr="00B35E47" w:rsidRDefault="00B35E47" w:rsidP="00B35E47">
      <w:r w:rsidRPr="00B35E47">
        <w:t xml:space="preserve">The financial implications to the MBS resulting from the proposed listing of NMOSD-Ab testing are summarised in </w:t>
      </w:r>
      <w:r w:rsidRPr="00B35E47">
        <w:fldChar w:fldCharType="begin"/>
      </w:r>
      <w:r w:rsidRPr="00B35E47">
        <w:instrText xml:space="preserve"> REF _Ref36048889 \h </w:instrText>
      </w:r>
      <w:r w:rsidR="00512E83">
        <w:instrText xml:space="preserve"> \* MERGEFORMAT </w:instrText>
      </w:r>
      <w:r w:rsidRPr="00B35E47">
        <w:fldChar w:fldCharType="separate"/>
      </w:r>
      <w:r w:rsidR="00833463" w:rsidRPr="00B35E47">
        <w:t xml:space="preserve">Table </w:t>
      </w:r>
      <w:r w:rsidR="00833463">
        <w:rPr>
          <w:noProof/>
        </w:rPr>
        <w:t>9</w:t>
      </w:r>
      <w:r w:rsidRPr="00B35E47">
        <w:fldChar w:fldCharType="end"/>
      </w:r>
      <w:r w:rsidRPr="00B35E47">
        <w:fldChar w:fldCharType="begin"/>
      </w:r>
      <w:r w:rsidRPr="00B35E47">
        <w:instrText xml:space="preserve"> REF _Ref395200179 \h  \* MERGEFORMAT </w:instrText>
      </w:r>
      <w:r w:rsidRPr="00B35E47">
        <w:fldChar w:fldCharType="end"/>
      </w:r>
      <w:r w:rsidRPr="00B35E47">
        <w:t>. It is estimated that the proposed MBS listing of NMOSD-Ab testing will result in net cost to the MBS of $141,000 in first year increasing to $311,000 in the fifth year.</w:t>
      </w:r>
    </w:p>
    <w:p w14:paraId="66EE5526" w14:textId="0AA483E5" w:rsidR="00B35E47" w:rsidRPr="00B35E47" w:rsidRDefault="00B35E47" w:rsidP="00A87AE2">
      <w:pPr>
        <w:pStyle w:val="TableHeading"/>
      </w:pPr>
      <w:bookmarkStart w:id="96" w:name="_Ref36048889"/>
      <w:bookmarkStart w:id="97" w:name="_Toc39580790"/>
      <w:r w:rsidRPr="00B35E47">
        <w:t xml:space="preserve">Table </w:t>
      </w:r>
      <w:r w:rsidRPr="00B35E47">
        <w:fldChar w:fldCharType="begin"/>
      </w:r>
      <w:r w:rsidRPr="00B35E47">
        <w:instrText xml:space="preserve"> SEQ Table \* ARABIC </w:instrText>
      </w:r>
      <w:r w:rsidRPr="00B35E47">
        <w:fldChar w:fldCharType="separate"/>
      </w:r>
      <w:r w:rsidR="00FA7BCD">
        <w:rPr>
          <w:noProof/>
        </w:rPr>
        <w:t>9</w:t>
      </w:r>
      <w:r w:rsidRPr="00B35E47">
        <w:rPr>
          <w:noProof/>
        </w:rPr>
        <w:fldChar w:fldCharType="end"/>
      </w:r>
      <w:bookmarkEnd w:id="96"/>
      <w:r w:rsidRPr="00B35E47">
        <w:tab/>
        <w:t>Total costs to the MBS associated with NMOSD-Ab testing</w:t>
      </w:r>
      <w:bookmarkEnd w:id="97"/>
    </w:p>
    <w:tbl>
      <w:tblPr>
        <w:tblStyle w:val="TableGrid1"/>
        <w:tblW w:w="4877" w:type="pct"/>
        <w:tblLook w:val="04A0" w:firstRow="1" w:lastRow="0" w:firstColumn="1" w:lastColumn="0" w:noHBand="0" w:noVBand="1"/>
        <w:tblCaption w:val="Table 9 Total costs to the MBS associated with NMOSD-Ab testing"/>
        <w:tblDescription w:val="This table provides a summary of the financial impact of the proposed new medical service over the next five years."/>
      </w:tblPr>
      <w:tblGrid>
        <w:gridCol w:w="2156"/>
        <w:gridCol w:w="1328"/>
        <w:gridCol w:w="1328"/>
        <w:gridCol w:w="1328"/>
        <w:gridCol w:w="1328"/>
        <w:gridCol w:w="1326"/>
      </w:tblGrid>
      <w:tr w:rsidR="00B35E47" w:rsidRPr="00B35E47" w14:paraId="00490A4F" w14:textId="77777777" w:rsidTr="00AA3CC8">
        <w:trPr>
          <w:cnfStyle w:val="100000000000" w:firstRow="1" w:lastRow="0" w:firstColumn="0" w:lastColumn="0" w:oddVBand="0" w:evenVBand="0" w:oddHBand="0" w:evenHBand="0" w:firstRowFirstColumn="0" w:firstRowLastColumn="0" w:lastRowFirstColumn="0" w:lastRowLastColumn="0"/>
          <w:trHeight w:val="300"/>
          <w:tblHeader/>
        </w:trPr>
        <w:tc>
          <w:tcPr>
            <w:tcW w:w="1226" w:type="pct"/>
            <w:tcBorders>
              <w:bottom w:val="single" w:sz="4" w:space="0" w:color="auto"/>
            </w:tcBorders>
            <w:shd w:val="clear" w:color="auto" w:fill="auto"/>
            <w:vAlign w:val="center"/>
          </w:tcPr>
          <w:p w14:paraId="60456DB1" w14:textId="77777777" w:rsidR="00B35E47" w:rsidRPr="00B35E47" w:rsidRDefault="00B35E47" w:rsidP="00B35E47">
            <w:pPr>
              <w:keepNext/>
              <w:jc w:val="center"/>
              <w:rPr>
                <w:rFonts w:ascii="Arial Narrow" w:hAnsi="Arial Narrow"/>
                <w:b/>
                <w:lang w:eastAsia="en-US"/>
              </w:rPr>
            </w:pPr>
            <w:r w:rsidRPr="00B35E47">
              <w:rPr>
                <w:rFonts w:ascii="Arial Narrow" w:hAnsi="Arial Narrow"/>
                <w:b/>
                <w:color w:val="FFFFFF" w:themeColor="background1"/>
                <w:lang w:eastAsia="en-US"/>
              </w:rPr>
              <w:t>-</w:t>
            </w:r>
          </w:p>
        </w:tc>
        <w:tc>
          <w:tcPr>
            <w:tcW w:w="755" w:type="pct"/>
            <w:tcBorders>
              <w:bottom w:val="single" w:sz="4" w:space="0" w:color="auto"/>
            </w:tcBorders>
            <w:vAlign w:val="center"/>
          </w:tcPr>
          <w:p w14:paraId="628E05CD" w14:textId="77777777" w:rsidR="00B35E47" w:rsidRPr="00B35E47" w:rsidRDefault="00B35E47" w:rsidP="00B35E47">
            <w:pPr>
              <w:keepNext/>
              <w:jc w:val="center"/>
              <w:rPr>
                <w:rFonts w:ascii="Arial Narrow" w:hAnsi="Arial Narrow"/>
                <w:b/>
                <w:i/>
                <w:lang w:eastAsia="en-US"/>
              </w:rPr>
            </w:pPr>
            <w:r w:rsidRPr="00B35E47">
              <w:rPr>
                <w:rFonts w:ascii="Arial Narrow" w:hAnsi="Arial Narrow"/>
                <w:b/>
                <w:lang w:eastAsia="en-US"/>
              </w:rPr>
              <w:t>2020–21</w:t>
            </w:r>
          </w:p>
        </w:tc>
        <w:tc>
          <w:tcPr>
            <w:tcW w:w="755" w:type="pct"/>
            <w:tcBorders>
              <w:bottom w:val="single" w:sz="4" w:space="0" w:color="auto"/>
            </w:tcBorders>
            <w:shd w:val="clear" w:color="auto" w:fill="auto"/>
            <w:vAlign w:val="center"/>
          </w:tcPr>
          <w:p w14:paraId="7D8175E4" w14:textId="77777777" w:rsidR="00B35E47" w:rsidRPr="00B35E47" w:rsidRDefault="00B35E47" w:rsidP="00B35E47">
            <w:pPr>
              <w:keepNext/>
              <w:jc w:val="center"/>
              <w:rPr>
                <w:rFonts w:ascii="Arial Narrow" w:hAnsi="Arial Narrow"/>
                <w:b/>
                <w:i/>
                <w:lang w:eastAsia="en-US"/>
              </w:rPr>
            </w:pPr>
            <w:r w:rsidRPr="00B35E47">
              <w:rPr>
                <w:rFonts w:ascii="Arial Narrow" w:hAnsi="Arial Narrow"/>
                <w:b/>
                <w:lang w:eastAsia="en-US"/>
              </w:rPr>
              <w:t>2021–22</w:t>
            </w:r>
          </w:p>
        </w:tc>
        <w:tc>
          <w:tcPr>
            <w:tcW w:w="755" w:type="pct"/>
            <w:tcBorders>
              <w:bottom w:val="single" w:sz="4" w:space="0" w:color="auto"/>
            </w:tcBorders>
            <w:shd w:val="clear" w:color="auto" w:fill="auto"/>
            <w:vAlign w:val="center"/>
          </w:tcPr>
          <w:p w14:paraId="6A94A5A9" w14:textId="77777777" w:rsidR="00B35E47" w:rsidRPr="00B35E47" w:rsidRDefault="00B35E47" w:rsidP="00B35E47">
            <w:pPr>
              <w:keepNext/>
              <w:jc w:val="center"/>
              <w:rPr>
                <w:rFonts w:ascii="Arial Narrow" w:hAnsi="Arial Narrow"/>
                <w:b/>
                <w:i/>
                <w:lang w:eastAsia="en-US"/>
              </w:rPr>
            </w:pPr>
            <w:r w:rsidRPr="00B35E47">
              <w:rPr>
                <w:rFonts w:ascii="Arial Narrow" w:hAnsi="Arial Narrow"/>
                <w:b/>
                <w:lang w:eastAsia="en-US"/>
              </w:rPr>
              <w:t>2022–23</w:t>
            </w:r>
          </w:p>
        </w:tc>
        <w:tc>
          <w:tcPr>
            <w:tcW w:w="755" w:type="pct"/>
            <w:tcBorders>
              <w:bottom w:val="single" w:sz="4" w:space="0" w:color="auto"/>
            </w:tcBorders>
            <w:shd w:val="clear" w:color="auto" w:fill="auto"/>
            <w:vAlign w:val="center"/>
          </w:tcPr>
          <w:p w14:paraId="63A42BB8" w14:textId="77777777" w:rsidR="00B35E47" w:rsidRPr="00B35E47" w:rsidRDefault="00B35E47" w:rsidP="00B35E47">
            <w:pPr>
              <w:keepNext/>
              <w:jc w:val="center"/>
              <w:rPr>
                <w:rFonts w:ascii="Arial Narrow" w:hAnsi="Arial Narrow"/>
                <w:b/>
                <w:i/>
                <w:lang w:eastAsia="en-US"/>
              </w:rPr>
            </w:pPr>
            <w:r w:rsidRPr="00B35E47">
              <w:rPr>
                <w:rFonts w:ascii="Arial Narrow" w:hAnsi="Arial Narrow"/>
                <w:b/>
                <w:lang w:eastAsia="en-US"/>
              </w:rPr>
              <w:t>2023–24</w:t>
            </w:r>
          </w:p>
        </w:tc>
        <w:tc>
          <w:tcPr>
            <w:tcW w:w="754" w:type="pct"/>
            <w:tcBorders>
              <w:bottom w:val="single" w:sz="4" w:space="0" w:color="auto"/>
            </w:tcBorders>
            <w:shd w:val="clear" w:color="auto" w:fill="auto"/>
            <w:vAlign w:val="center"/>
          </w:tcPr>
          <w:p w14:paraId="2C2E1E31" w14:textId="77777777" w:rsidR="00B35E47" w:rsidRPr="00B35E47" w:rsidRDefault="00B35E47" w:rsidP="00B35E47">
            <w:pPr>
              <w:keepNext/>
              <w:jc w:val="center"/>
              <w:rPr>
                <w:rFonts w:ascii="Arial Narrow" w:hAnsi="Arial Narrow"/>
                <w:b/>
                <w:i/>
                <w:lang w:eastAsia="en-US"/>
              </w:rPr>
            </w:pPr>
            <w:r w:rsidRPr="00B35E47">
              <w:rPr>
                <w:rFonts w:ascii="Arial Narrow" w:hAnsi="Arial Narrow"/>
                <w:b/>
                <w:lang w:eastAsia="en-US"/>
              </w:rPr>
              <w:t>2024–25</w:t>
            </w:r>
          </w:p>
        </w:tc>
      </w:tr>
      <w:tr w:rsidR="00B35E47" w:rsidRPr="00B35E47" w14:paraId="04683E8E" w14:textId="77777777" w:rsidTr="00AA3CC8">
        <w:trPr>
          <w:trHeight w:val="300"/>
        </w:trPr>
        <w:tc>
          <w:tcPr>
            <w:tcW w:w="1226" w:type="pct"/>
            <w:tcBorders>
              <w:bottom w:val="single" w:sz="4" w:space="0" w:color="auto"/>
              <w:right w:val="nil"/>
            </w:tcBorders>
            <w:shd w:val="clear" w:color="auto" w:fill="auto"/>
          </w:tcPr>
          <w:p w14:paraId="0D1D1746" w14:textId="77777777" w:rsidR="00B35E47" w:rsidRPr="00B35E47" w:rsidRDefault="00B35E47" w:rsidP="00B35E47">
            <w:pPr>
              <w:contextualSpacing/>
              <w:jc w:val="left"/>
              <w:rPr>
                <w:rFonts w:ascii="Arial Narrow" w:hAnsi="Arial Narrow"/>
                <w:b/>
                <w:highlight w:val="cyan"/>
                <w:lang w:eastAsia="en-US"/>
              </w:rPr>
            </w:pPr>
            <w:r w:rsidRPr="00B35E47">
              <w:rPr>
                <w:rFonts w:ascii="Arial Narrow" w:hAnsi="Arial Narrow"/>
                <w:b/>
                <w:lang w:eastAsia="en-US"/>
              </w:rPr>
              <w:t>Proposed test</w:t>
            </w:r>
          </w:p>
        </w:tc>
        <w:tc>
          <w:tcPr>
            <w:tcW w:w="755" w:type="pct"/>
            <w:tcBorders>
              <w:left w:val="nil"/>
              <w:bottom w:val="single" w:sz="4" w:space="0" w:color="auto"/>
              <w:right w:val="nil"/>
            </w:tcBorders>
          </w:tcPr>
          <w:p w14:paraId="3012901B" w14:textId="77777777" w:rsidR="00B35E47" w:rsidRPr="00B35E47" w:rsidRDefault="00B35E47" w:rsidP="00B35E47">
            <w:pPr>
              <w:contextualSpacing/>
              <w:jc w:val="left"/>
              <w:rPr>
                <w:rFonts w:ascii="Arial Narrow" w:hAnsi="Arial Narrow"/>
                <w:b/>
                <w:color w:val="FFFFFF" w:themeColor="background1"/>
                <w:lang w:eastAsia="en-US"/>
              </w:rPr>
            </w:pPr>
          </w:p>
        </w:tc>
        <w:tc>
          <w:tcPr>
            <w:tcW w:w="755" w:type="pct"/>
            <w:tcBorders>
              <w:left w:val="nil"/>
              <w:bottom w:val="single" w:sz="4" w:space="0" w:color="auto"/>
              <w:right w:val="nil"/>
            </w:tcBorders>
            <w:shd w:val="clear" w:color="auto" w:fill="auto"/>
          </w:tcPr>
          <w:p w14:paraId="532F1C16" w14:textId="77777777" w:rsidR="00B35E47" w:rsidRPr="00B35E47" w:rsidRDefault="00B35E47" w:rsidP="00B35E47">
            <w:pPr>
              <w:contextualSpacing/>
              <w:jc w:val="left"/>
              <w:rPr>
                <w:rFonts w:ascii="Arial Narrow" w:hAnsi="Arial Narrow"/>
                <w:b/>
                <w:color w:val="FFFFFF" w:themeColor="background1"/>
                <w:lang w:eastAsia="en-US"/>
              </w:rPr>
            </w:pPr>
          </w:p>
        </w:tc>
        <w:tc>
          <w:tcPr>
            <w:tcW w:w="755" w:type="pct"/>
            <w:tcBorders>
              <w:left w:val="nil"/>
              <w:bottom w:val="single" w:sz="4" w:space="0" w:color="auto"/>
              <w:right w:val="nil"/>
            </w:tcBorders>
            <w:shd w:val="clear" w:color="auto" w:fill="auto"/>
          </w:tcPr>
          <w:p w14:paraId="5155631A" w14:textId="77777777" w:rsidR="00B35E47" w:rsidRPr="00B35E47" w:rsidRDefault="00B35E47" w:rsidP="00B35E47">
            <w:pPr>
              <w:contextualSpacing/>
              <w:jc w:val="left"/>
              <w:rPr>
                <w:rFonts w:ascii="Arial Narrow" w:hAnsi="Arial Narrow"/>
                <w:b/>
                <w:color w:val="FFFFFF" w:themeColor="background1"/>
                <w:lang w:eastAsia="en-US"/>
              </w:rPr>
            </w:pPr>
          </w:p>
        </w:tc>
        <w:tc>
          <w:tcPr>
            <w:tcW w:w="755" w:type="pct"/>
            <w:tcBorders>
              <w:left w:val="nil"/>
              <w:bottom w:val="single" w:sz="4" w:space="0" w:color="auto"/>
              <w:right w:val="nil"/>
            </w:tcBorders>
            <w:shd w:val="clear" w:color="auto" w:fill="auto"/>
          </w:tcPr>
          <w:p w14:paraId="53C7BC34" w14:textId="77777777" w:rsidR="00B35E47" w:rsidRPr="00B35E47" w:rsidRDefault="00B35E47" w:rsidP="00B35E47">
            <w:pPr>
              <w:contextualSpacing/>
              <w:jc w:val="left"/>
              <w:rPr>
                <w:rFonts w:ascii="Arial Narrow" w:hAnsi="Arial Narrow"/>
                <w:b/>
                <w:color w:val="FFFFFF" w:themeColor="background1"/>
                <w:lang w:eastAsia="en-US"/>
              </w:rPr>
            </w:pPr>
          </w:p>
        </w:tc>
        <w:tc>
          <w:tcPr>
            <w:tcW w:w="754" w:type="pct"/>
            <w:tcBorders>
              <w:left w:val="nil"/>
              <w:bottom w:val="single" w:sz="4" w:space="0" w:color="auto"/>
              <w:right w:val="single" w:sz="4" w:space="0" w:color="auto"/>
            </w:tcBorders>
            <w:shd w:val="clear" w:color="auto" w:fill="auto"/>
          </w:tcPr>
          <w:p w14:paraId="308BF5FA" w14:textId="77777777" w:rsidR="00B35E47" w:rsidRPr="00B35E47" w:rsidRDefault="00B35E47" w:rsidP="00B35E47">
            <w:pPr>
              <w:contextualSpacing/>
              <w:jc w:val="left"/>
              <w:rPr>
                <w:rFonts w:ascii="Arial Narrow" w:hAnsi="Arial Narrow"/>
                <w:b/>
                <w:color w:val="FFFFFF" w:themeColor="background1"/>
                <w:lang w:eastAsia="en-US"/>
              </w:rPr>
            </w:pPr>
          </w:p>
        </w:tc>
      </w:tr>
      <w:tr w:rsidR="00B35E47" w:rsidRPr="00B35E47" w14:paraId="0897A7C1" w14:textId="77777777" w:rsidTr="00AA3CC8">
        <w:trPr>
          <w:trHeight w:val="300"/>
        </w:trPr>
        <w:tc>
          <w:tcPr>
            <w:tcW w:w="1226" w:type="pct"/>
            <w:tcBorders>
              <w:right w:val="single" w:sz="4" w:space="0" w:color="auto"/>
            </w:tcBorders>
            <w:shd w:val="clear" w:color="auto" w:fill="auto"/>
          </w:tcPr>
          <w:p w14:paraId="2E34930C" w14:textId="77777777" w:rsidR="00B35E47" w:rsidRPr="00B35E47" w:rsidRDefault="00B35E47" w:rsidP="00B35E47">
            <w:pPr>
              <w:contextualSpacing/>
              <w:jc w:val="left"/>
              <w:rPr>
                <w:rFonts w:ascii="Arial Narrow" w:hAnsi="Arial Narrow"/>
                <w:highlight w:val="cyan"/>
                <w:lang w:eastAsia="en-US"/>
              </w:rPr>
            </w:pPr>
            <w:r w:rsidRPr="00B35E47">
              <w:rPr>
                <w:rFonts w:ascii="Arial Narrow" w:hAnsi="Arial Narrow"/>
                <w:lang w:eastAsia="en-US"/>
              </w:rPr>
              <w:t>Number of services</w:t>
            </w:r>
          </w:p>
        </w:tc>
        <w:tc>
          <w:tcPr>
            <w:tcW w:w="755" w:type="pct"/>
            <w:tcBorders>
              <w:left w:val="single" w:sz="4" w:space="0" w:color="auto"/>
              <w:right w:val="single" w:sz="4" w:space="0" w:color="auto"/>
            </w:tcBorders>
            <w:vAlign w:val="center"/>
          </w:tcPr>
          <w:p w14:paraId="31F9F573"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lang w:eastAsia="en-US"/>
              </w:rPr>
              <w:t>10,122</w:t>
            </w:r>
          </w:p>
        </w:tc>
        <w:tc>
          <w:tcPr>
            <w:tcW w:w="755" w:type="pct"/>
            <w:tcBorders>
              <w:left w:val="single" w:sz="4" w:space="0" w:color="auto"/>
              <w:right w:val="single" w:sz="4" w:space="0" w:color="auto"/>
            </w:tcBorders>
            <w:shd w:val="clear" w:color="auto" w:fill="auto"/>
            <w:vAlign w:val="center"/>
          </w:tcPr>
          <w:p w14:paraId="5D49F832"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lang w:eastAsia="en-US"/>
              </w:rPr>
              <w:t>11,641</w:t>
            </w:r>
          </w:p>
        </w:tc>
        <w:tc>
          <w:tcPr>
            <w:tcW w:w="755" w:type="pct"/>
            <w:tcBorders>
              <w:left w:val="single" w:sz="4" w:space="0" w:color="auto"/>
              <w:right w:val="single" w:sz="4" w:space="0" w:color="auto"/>
            </w:tcBorders>
            <w:shd w:val="clear" w:color="auto" w:fill="auto"/>
            <w:vAlign w:val="center"/>
          </w:tcPr>
          <w:p w14:paraId="79C37193"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lang w:eastAsia="en-US"/>
              </w:rPr>
              <w:t>13,387</w:t>
            </w:r>
          </w:p>
        </w:tc>
        <w:tc>
          <w:tcPr>
            <w:tcW w:w="755" w:type="pct"/>
            <w:tcBorders>
              <w:left w:val="single" w:sz="4" w:space="0" w:color="auto"/>
              <w:right w:val="single" w:sz="4" w:space="0" w:color="auto"/>
            </w:tcBorders>
            <w:shd w:val="clear" w:color="auto" w:fill="auto"/>
            <w:vAlign w:val="center"/>
          </w:tcPr>
          <w:p w14:paraId="59E90551"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lang w:eastAsia="en-US"/>
              </w:rPr>
              <w:t>15,395</w:t>
            </w:r>
          </w:p>
        </w:tc>
        <w:tc>
          <w:tcPr>
            <w:tcW w:w="754" w:type="pct"/>
            <w:tcBorders>
              <w:left w:val="single" w:sz="4" w:space="0" w:color="auto"/>
              <w:right w:val="single" w:sz="4" w:space="0" w:color="auto"/>
            </w:tcBorders>
            <w:shd w:val="clear" w:color="auto" w:fill="auto"/>
            <w:vAlign w:val="center"/>
          </w:tcPr>
          <w:p w14:paraId="5B7DEA70"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lang w:eastAsia="en-US"/>
              </w:rPr>
              <w:t>17,704</w:t>
            </w:r>
          </w:p>
        </w:tc>
      </w:tr>
      <w:tr w:rsidR="00B35E47" w:rsidRPr="00B35E47" w14:paraId="49DB1B6B" w14:textId="77777777" w:rsidTr="00AA3CC8">
        <w:trPr>
          <w:trHeight w:val="300"/>
        </w:trPr>
        <w:tc>
          <w:tcPr>
            <w:tcW w:w="1226" w:type="pct"/>
            <w:tcBorders>
              <w:right w:val="single" w:sz="4" w:space="0" w:color="auto"/>
            </w:tcBorders>
            <w:shd w:val="clear" w:color="auto" w:fill="auto"/>
          </w:tcPr>
          <w:p w14:paraId="3D0B3B28" w14:textId="77777777" w:rsidR="00B35E47" w:rsidRPr="00B35E47" w:rsidRDefault="00B35E47" w:rsidP="00B35E47">
            <w:pPr>
              <w:contextualSpacing/>
              <w:jc w:val="left"/>
              <w:rPr>
                <w:rFonts w:ascii="Arial Narrow" w:hAnsi="Arial Narrow"/>
                <w:highlight w:val="cyan"/>
                <w:lang w:eastAsia="en-US"/>
              </w:rPr>
            </w:pPr>
            <w:r w:rsidRPr="00B35E47">
              <w:rPr>
                <w:rFonts w:ascii="Arial Narrow" w:hAnsi="Arial Narrow"/>
                <w:lang w:eastAsia="en-US"/>
              </w:rPr>
              <w:t>Cost to the MBS</w:t>
            </w:r>
          </w:p>
        </w:tc>
        <w:tc>
          <w:tcPr>
            <w:tcW w:w="755" w:type="pct"/>
            <w:tcBorders>
              <w:left w:val="single" w:sz="4" w:space="0" w:color="auto"/>
              <w:right w:val="single" w:sz="4" w:space="0" w:color="auto"/>
            </w:tcBorders>
            <w:vAlign w:val="bottom"/>
          </w:tcPr>
          <w:p w14:paraId="72E92F2A"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cs="Calibri"/>
                <w:color w:val="000000"/>
                <w:lang w:eastAsia="en-US"/>
              </w:rPr>
              <w:t>$368,230</w:t>
            </w:r>
          </w:p>
        </w:tc>
        <w:tc>
          <w:tcPr>
            <w:tcW w:w="755" w:type="pct"/>
            <w:tcBorders>
              <w:left w:val="single" w:sz="4" w:space="0" w:color="auto"/>
              <w:right w:val="single" w:sz="4" w:space="0" w:color="auto"/>
            </w:tcBorders>
            <w:shd w:val="clear" w:color="auto" w:fill="auto"/>
            <w:vAlign w:val="bottom"/>
          </w:tcPr>
          <w:p w14:paraId="76C362F4"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cs="Calibri"/>
                <w:color w:val="000000"/>
                <w:lang w:eastAsia="en-US"/>
              </w:rPr>
              <w:t>$423,465</w:t>
            </w:r>
          </w:p>
        </w:tc>
        <w:tc>
          <w:tcPr>
            <w:tcW w:w="755" w:type="pct"/>
            <w:tcBorders>
              <w:left w:val="single" w:sz="4" w:space="0" w:color="auto"/>
              <w:right w:val="single" w:sz="4" w:space="0" w:color="auto"/>
            </w:tcBorders>
            <w:shd w:val="clear" w:color="auto" w:fill="auto"/>
            <w:vAlign w:val="bottom"/>
          </w:tcPr>
          <w:p w14:paraId="40B81EDB"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cs="Calibri"/>
                <w:color w:val="000000"/>
                <w:lang w:eastAsia="en-US"/>
              </w:rPr>
              <w:t>$486,984</w:t>
            </w:r>
          </w:p>
        </w:tc>
        <w:tc>
          <w:tcPr>
            <w:tcW w:w="755" w:type="pct"/>
            <w:tcBorders>
              <w:left w:val="single" w:sz="4" w:space="0" w:color="auto"/>
              <w:bottom w:val="single" w:sz="4" w:space="0" w:color="auto"/>
              <w:right w:val="single" w:sz="4" w:space="0" w:color="auto"/>
            </w:tcBorders>
            <w:shd w:val="clear" w:color="auto" w:fill="auto"/>
            <w:vAlign w:val="bottom"/>
          </w:tcPr>
          <w:p w14:paraId="728486E8"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cs="Calibri"/>
                <w:color w:val="000000"/>
                <w:lang w:eastAsia="en-US"/>
              </w:rPr>
              <w:t>$560,032</w:t>
            </w:r>
          </w:p>
        </w:tc>
        <w:tc>
          <w:tcPr>
            <w:tcW w:w="754" w:type="pct"/>
            <w:tcBorders>
              <w:left w:val="single" w:sz="4" w:space="0" w:color="auto"/>
              <w:bottom w:val="single" w:sz="4" w:space="0" w:color="auto"/>
              <w:right w:val="single" w:sz="4" w:space="0" w:color="auto"/>
            </w:tcBorders>
            <w:shd w:val="clear" w:color="auto" w:fill="auto"/>
            <w:vAlign w:val="bottom"/>
          </w:tcPr>
          <w:p w14:paraId="613859D5"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cs="Calibri"/>
                <w:color w:val="000000"/>
                <w:lang w:eastAsia="en-US"/>
              </w:rPr>
              <w:t>$644,037</w:t>
            </w:r>
          </w:p>
        </w:tc>
      </w:tr>
      <w:tr w:rsidR="00B35E47" w:rsidRPr="00B35E47" w14:paraId="519C4223" w14:textId="77777777" w:rsidTr="00AA3CC8">
        <w:trPr>
          <w:trHeight w:val="300"/>
        </w:trPr>
        <w:tc>
          <w:tcPr>
            <w:tcW w:w="1226" w:type="pct"/>
            <w:tcBorders>
              <w:right w:val="nil"/>
            </w:tcBorders>
            <w:shd w:val="clear" w:color="auto" w:fill="auto"/>
          </w:tcPr>
          <w:p w14:paraId="75B7A5F2" w14:textId="77777777" w:rsidR="00B35E47" w:rsidRPr="00B35E47" w:rsidRDefault="00B35E47" w:rsidP="00B35E47">
            <w:pPr>
              <w:contextualSpacing/>
              <w:jc w:val="left"/>
              <w:rPr>
                <w:rFonts w:ascii="Arial Narrow" w:hAnsi="Arial Narrow"/>
                <w:b/>
                <w:lang w:eastAsia="en-US"/>
              </w:rPr>
            </w:pPr>
            <w:r w:rsidRPr="00B35E47">
              <w:rPr>
                <w:rFonts w:ascii="Arial Narrow" w:hAnsi="Arial Narrow"/>
                <w:b/>
                <w:lang w:eastAsia="en-US"/>
              </w:rPr>
              <w:t>MBS services offset</w:t>
            </w:r>
          </w:p>
        </w:tc>
        <w:tc>
          <w:tcPr>
            <w:tcW w:w="755" w:type="pct"/>
            <w:tcBorders>
              <w:left w:val="nil"/>
              <w:right w:val="nil"/>
            </w:tcBorders>
            <w:vAlign w:val="center"/>
          </w:tcPr>
          <w:p w14:paraId="21661918"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b/>
                <w:color w:val="FFFFFF" w:themeColor="background1"/>
                <w:lang w:eastAsia="en-US"/>
              </w:rPr>
              <w:t>-</w:t>
            </w:r>
          </w:p>
        </w:tc>
        <w:tc>
          <w:tcPr>
            <w:tcW w:w="755" w:type="pct"/>
            <w:tcBorders>
              <w:left w:val="nil"/>
              <w:right w:val="nil"/>
            </w:tcBorders>
            <w:shd w:val="clear" w:color="auto" w:fill="auto"/>
            <w:vAlign w:val="center"/>
          </w:tcPr>
          <w:p w14:paraId="64DD8203"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b/>
                <w:color w:val="FFFFFF" w:themeColor="background1"/>
                <w:lang w:eastAsia="en-US"/>
              </w:rPr>
              <w:t>-</w:t>
            </w:r>
          </w:p>
        </w:tc>
        <w:tc>
          <w:tcPr>
            <w:tcW w:w="755" w:type="pct"/>
            <w:tcBorders>
              <w:left w:val="nil"/>
              <w:right w:val="nil"/>
            </w:tcBorders>
            <w:shd w:val="clear" w:color="auto" w:fill="auto"/>
            <w:vAlign w:val="center"/>
          </w:tcPr>
          <w:p w14:paraId="20D19432"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b/>
                <w:color w:val="FFFFFF" w:themeColor="background1"/>
                <w:lang w:eastAsia="en-US"/>
              </w:rPr>
              <w:t>-</w:t>
            </w:r>
          </w:p>
        </w:tc>
        <w:tc>
          <w:tcPr>
            <w:tcW w:w="755" w:type="pct"/>
            <w:tcBorders>
              <w:left w:val="nil"/>
              <w:right w:val="nil"/>
            </w:tcBorders>
            <w:shd w:val="clear" w:color="auto" w:fill="auto"/>
            <w:vAlign w:val="center"/>
          </w:tcPr>
          <w:p w14:paraId="232EF33F"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b/>
                <w:color w:val="FFFFFF" w:themeColor="background1"/>
                <w:lang w:eastAsia="en-US"/>
              </w:rPr>
              <w:t>-</w:t>
            </w:r>
          </w:p>
        </w:tc>
        <w:tc>
          <w:tcPr>
            <w:tcW w:w="754" w:type="pct"/>
            <w:tcBorders>
              <w:left w:val="nil"/>
              <w:right w:val="single" w:sz="4" w:space="0" w:color="auto"/>
            </w:tcBorders>
            <w:shd w:val="clear" w:color="auto" w:fill="auto"/>
            <w:vAlign w:val="center"/>
          </w:tcPr>
          <w:p w14:paraId="5B366A63" w14:textId="77777777" w:rsidR="00B35E47" w:rsidRPr="00B35E47" w:rsidRDefault="00B35E47" w:rsidP="00B35E47">
            <w:pPr>
              <w:contextualSpacing/>
              <w:jc w:val="right"/>
              <w:rPr>
                <w:rFonts w:ascii="Arial Narrow" w:hAnsi="Arial Narrow"/>
                <w:b/>
                <w:color w:val="FFFFFF" w:themeColor="background1"/>
                <w:lang w:eastAsia="en-US"/>
              </w:rPr>
            </w:pPr>
            <w:r w:rsidRPr="00B35E47">
              <w:rPr>
                <w:rFonts w:ascii="Arial Narrow" w:hAnsi="Arial Narrow"/>
                <w:b/>
                <w:color w:val="FFFFFF" w:themeColor="background1"/>
                <w:lang w:eastAsia="en-US"/>
              </w:rPr>
              <w:t>-</w:t>
            </w:r>
          </w:p>
        </w:tc>
      </w:tr>
      <w:tr w:rsidR="00B35E47" w:rsidRPr="00B35E47" w14:paraId="72A5C1B0" w14:textId="77777777" w:rsidTr="00AA3CC8">
        <w:trPr>
          <w:trHeight w:val="300"/>
        </w:trPr>
        <w:tc>
          <w:tcPr>
            <w:tcW w:w="1226" w:type="pct"/>
            <w:shd w:val="clear" w:color="auto" w:fill="auto"/>
          </w:tcPr>
          <w:p w14:paraId="72A22150" w14:textId="77777777" w:rsidR="00B35E47" w:rsidRPr="00B35E47" w:rsidRDefault="00B35E47" w:rsidP="00B35E47">
            <w:pPr>
              <w:contextualSpacing/>
              <w:jc w:val="left"/>
              <w:rPr>
                <w:rFonts w:ascii="Arial Narrow" w:hAnsi="Arial Narrow"/>
                <w:lang w:eastAsia="en-US"/>
              </w:rPr>
            </w:pPr>
            <w:r w:rsidRPr="00B35E47">
              <w:rPr>
                <w:rFonts w:ascii="Arial Narrow" w:hAnsi="Arial Narrow"/>
                <w:lang w:eastAsia="en-US"/>
              </w:rPr>
              <w:t>Number of services</w:t>
            </w:r>
          </w:p>
        </w:tc>
        <w:tc>
          <w:tcPr>
            <w:tcW w:w="755" w:type="pct"/>
            <w:vAlign w:val="center"/>
          </w:tcPr>
          <w:p w14:paraId="50E4E9C8" w14:textId="77777777" w:rsidR="00B35E47" w:rsidRPr="00B35E47" w:rsidRDefault="00B35E47" w:rsidP="00B35E47">
            <w:pPr>
              <w:contextualSpacing/>
              <w:jc w:val="right"/>
              <w:rPr>
                <w:rFonts w:ascii="Arial Narrow" w:hAnsi="Arial Narrow"/>
                <w:lang w:eastAsia="en-US"/>
              </w:rPr>
            </w:pPr>
            <w:r w:rsidRPr="00B35E47">
              <w:rPr>
                <w:rFonts w:ascii="Arial Narrow" w:hAnsi="Arial Narrow" w:cs="Calibri"/>
                <w:color w:val="000000"/>
                <w:lang w:eastAsia="en-US"/>
              </w:rPr>
              <w:t>9,205</w:t>
            </w:r>
          </w:p>
        </w:tc>
        <w:tc>
          <w:tcPr>
            <w:tcW w:w="755" w:type="pct"/>
            <w:shd w:val="clear" w:color="auto" w:fill="auto"/>
            <w:vAlign w:val="center"/>
          </w:tcPr>
          <w:p w14:paraId="78E970E6" w14:textId="77777777" w:rsidR="00B35E47" w:rsidRPr="00B35E47" w:rsidRDefault="00B35E47" w:rsidP="00B35E47">
            <w:pPr>
              <w:contextualSpacing/>
              <w:jc w:val="right"/>
              <w:rPr>
                <w:rFonts w:ascii="Arial Narrow" w:hAnsi="Arial Narrow"/>
                <w:lang w:eastAsia="en-US"/>
              </w:rPr>
            </w:pPr>
            <w:r w:rsidRPr="00B35E47">
              <w:rPr>
                <w:rFonts w:ascii="Arial Narrow" w:hAnsi="Arial Narrow" w:cs="Calibri"/>
                <w:color w:val="000000"/>
                <w:lang w:eastAsia="en-US"/>
              </w:rPr>
              <w:t>10,125</w:t>
            </w:r>
          </w:p>
        </w:tc>
        <w:tc>
          <w:tcPr>
            <w:tcW w:w="755" w:type="pct"/>
            <w:shd w:val="clear" w:color="auto" w:fill="auto"/>
            <w:vAlign w:val="center"/>
          </w:tcPr>
          <w:p w14:paraId="2E9D2031" w14:textId="77777777" w:rsidR="00B35E47" w:rsidRPr="00B35E47" w:rsidRDefault="00B35E47" w:rsidP="00B35E47">
            <w:pPr>
              <w:contextualSpacing/>
              <w:jc w:val="right"/>
              <w:rPr>
                <w:rFonts w:ascii="Arial Narrow" w:hAnsi="Arial Narrow"/>
                <w:lang w:eastAsia="en-US"/>
              </w:rPr>
            </w:pPr>
            <w:r w:rsidRPr="00B35E47">
              <w:rPr>
                <w:rFonts w:ascii="Arial Narrow" w:hAnsi="Arial Narrow" w:cs="Calibri"/>
                <w:color w:val="000000"/>
                <w:lang w:eastAsia="en-US"/>
              </w:rPr>
              <w:t>11,138</w:t>
            </w:r>
          </w:p>
        </w:tc>
        <w:tc>
          <w:tcPr>
            <w:tcW w:w="755" w:type="pct"/>
            <w:shd w:val="clear" w:color="auto" w:fill="auto"/>
            <w:vAlign w:val="center"/>
          </w:tcPr>
          <w:p w14:paraId="5CE8BC5C" w14:textId="77777777" w:rsidR="00B35E47" w:rsidRPr="00B35E47" w:rsidRDefault="00B35E47" w:rsidP="00B35E47">
            <w:pPr>
              <w:contextualSpacing/>
              <w:jc w:val="right"/>
              <w:rPr>
                <w:rFonts w:ascii="Arial Narrow" w:hAnsi="Arial Narrow"/>
                <w:lang w:eastAsia="en-US"/>
              </w:rPr>
            </w:pPr>
            <w:r w:rsidRPr="00B35E47">
              <w:rPr>
                <w:rFonts w:ascii="Arial Narrow" w:hAnsi="Arial Narrow" w:cs="Calibri"/>
                <w:color w:val="000000"/>
                <w:lang w:eastAsia="en-US"/>
              </w:rPr>
              <w:t>12,251</w:t>
            </w:r>
          </w:p>
        </w:tc>
        <w:tc>
          <w:tcPr>
            <w:tcW w:w="754" w:type="pct"/>
            <w:shd w:val="clear" w:color="auto" w:fill="auto"/>
            <w:vAlign w:val="center"/>
          </w:tcPr>
          <w:p w14:paraId="678EF6FA" w14:textId="77777777" w:rsidR="00B35E47" w:rsidRPr="00B35E47" w:rsidRDefault="00B35E47" w:rsidP="00B35E47">
            <w:pPr>
              <w:contextualSpacing/>
              <w:jc w:val="right"/>
              <w:rPr>
                <w:rFonts w:ascii="Arial Narrow" w:hAnsi="Arial Narrow"/>
                <w:lang w:eastAsia="en-US"/>
              </w:rPr>
            </w:pPr>
            <w:r w:rsidRPr="00B35E47">
              <w:rPr>
                <w:rFonts w:ascii="Arial Narrow" w:hAnsi="Arial Narrow" w:cs="Calibri"/>
                <w:color w:val="000000"/>
                <w:lang w:eastAsia="en-US"/>
              </w:rPr>
              <w:t>13,477</w:t>
            </w:r>
          </w:p>
        </w:tc>
      </w:tr>
      <w:tr w:rsidR="00B35E47" w:rsidRPr="00B35E47" w14:paraId="417B3ABD" w14:textId="77777777" w:rsidTr="00AA3CC8">
        <w:trPr>
          <w:trHeight w:val="315"/>
        </w:trPr>
        <w:tc>
          <w:tcPr>
            <w:tcW w:w="1226" w:type="pct"/>
            <w:tcBorders>
              <w:bottom w:val="single" w:sz="4" w:space="0" w:color="auto"/>
            </w:tcBorders>
            <w:shd w:val="clear" w:color="auto" w:fill="auto"/>
          </w:tcPr>
          <w:p w14:paraId="5C047A37" w14:textId="77777777" w:rsidR="00B35E47" w:rsidRPr="00B35E47" w:rsidRDefault="00B35E47" w:rsidP="00B35E47">
            <w:pPr>
              <w:contextualSpacing/>
              <w:jc w:val="left"/>
              <w:rPr>
                <w:rFonts w:ascii="Arial Narrow" w:hAnsi="Arial Narrow"/>
                <w:lang w:eastAsia="en-US"/>
              </w:rPr>
            </w:pPr>
            <w:r w:rsidRPr="00B35E47">
              <w:rPr>
                <w:rFonts w:ascii="Arial Narrow" w:hAnsi="Arial Narrow"/>
                <w:lang w:eastAsia="en-US"/>
              </w:rPr>
              <w:t>Cost to the MBS</w:t>
            </w:r>
          </w:p>
        </w:tc>
        <w:tc>
          <w:tcPr>
            <w:tcW w:w="755" w:type="pct"/>
            <w:tcBorders>
              <w:bottom w:val="single" w:sz="4" w:space="0" w:color="auto"/>
            </w:tcBorders>
            <w:vAlign w:val="bottom"/>
          </w:tcPr>
          <w:p w14:paraId="32D184CB" w14:textId="77777777" w:rsidR="00B35E47" w:rsidRPr="00B35E47" w:rsidRDefault="00B35E47" w:rsidP="00B35E47">
            <w:pPr>
              <w:contextualSpacing/>
              <w:jc w:val="right"/>
              <w:rPr>
                <w:rFonts w:ascii="Arial Narrow" w:hAnsi="Arial Narrow"/>
                <w:lang w:eastAsia="en-US"/>
              </w:rPr>
            </w:pPr>
            <w:r w:rsidRPr="00B35E47">
              <w:rPr>
                <w:rFonts w:ascii="Arial Narrow" w:hAnsi="Arial Narrow" w:cs="Calibri"/>
                <w:color w:val="000000"/>
                <w:lang w:eastAsia="en-US"/>
              </w:rPr>
              <w:t>$227,422</w:t>
            </w:r>
          </w:p>
        </w:tc>
        <w:tc>
          <w:tcPr>
            <w:tcW w:w="755" w:type="pct"/>
            <w:tcBorders>
              <w:bottom w:val="single" w:sz="4" w:space="0" w:color="auto"/>
            </w:tcBorders>
            <w:shd w:val="clear" w:color="auto" w:fill="auto"/>
            <w:vAlign w:val="bottom"/>
          </w:tcPr>
          <w:p w14:paraId="2AE04068" w14:textId="77777777" w:rsidR="00B35E47" w:rsidRPr="00B35E47" w:rsidRDefault="00B35E47" w:rsidP="00B35E47">
            <w:pPr>
              <w:contextualSpacing/>
              <w:jc w:val="right"/>
              <w:rPr>
                <w:rFonts w:ascii="Arial Narrow" w:hAnsi="Arial Narrow"/>
                <w:lang w:eastAsia="en-US"/>
              </w:rPr>
            </w:pPr>
            <w:r w:rsidRPr="00B35E47">
              <w:rPr>
                <w:rFonts w:ascii="Arial Narrow" w:hAnsi="Arial Narrow" w:cs="Calibri"/>
                <w:color w:val="000000"/>
                <w:lang w:eastAsia="en-US"/>
              </w:rPr>
              <w:t>$250,165</w:t>
            </w:r>
          </w:p>
        </w:tc>
        <w:tc>
          <w:tcPr>
            <w:tcW w:w="755" w:type="pct"/>
            <w:tcBorders>
              <w:bottom w:val="single" w:sz="4" w:space="0" w:color="auto"/>
            </w:tcBorders>
            <w:shd w:val="clear" w:color="auto" w:fill="auto"/>
            <w:vAlign w:val="bottom"/>
          </w:tcPr>
          <w:p w14:paraId="78139564" w14:textId="77777777" w:rsidR="00B35E47" w:rsidRPr="00B35E47" w:rsidRDefault="00B35E47" w:rsidP="00B35E47">
            <w:pPr>
              <w:contextualSpacing/>
              <w:jc w:val="right"/>
              <w:rPr>
                <w:rFonts w:ascii="Arial Narrow" w:hAnsi="Arial Narrow"/>
                <w:lang w:eastAsia="en-US"/>
              </w:rPr>
            </w:pPr>
            <w:r w:rsidRPr="00B35E47">
              <w:rPr>
                <w:rFonts w:ascii="Arial Narrow" w:hAnsi="Arial Narrow" w:cs="Calibri"/>
                <w:color w:val="000000"/>
                <w:lang w:eastAsia="en-US"/>
              </w:rPr>
              <w:t>$275,181</w:t>
            </w:r>
          </w:p>
        </w:tc>
        <w:tc>
          <w:tcPr>
            <w:tcW w:w="755" w:type="pct"/>
            <w:tcBorders>
              <w:bottom w:val="single" w:sz="4" w:space="0" w:color="auto"/>
            </w:tcBorders>
            <w:shd w:val="clear" w:color="auto" w:fill="auto"/>
            <w:vAlign w:val="bottom"/>
          </w:tcPr>
          <w:p w14:paraId="225725B3" w14:textId="77777777" w:rsidR="00B35E47" w:rsidRPr="00B35E47" w:rsidRDefault="00B35E47" w:rsidP="00B35E47">
            <w:pPr>
              <w:contextualSpacing/>
              <w:jc w:val="right"/>
              <w:rPr>
                <w:rFonts w:ascii="Arial Narrow" w:hAnsi="Arial Narrow"/>
                <w:lang w:eastAsia="en-US"/>
              </w:rPr>
            </w:pPr>
            <w:r w:rsidRPr="00B35E47">
              <w:rPr>
                <w:rFonts w:ascii="Arial Narrow" w:hAnsi="Arial Narrow" w:cs="Calibri"/>
                <w:color w:val="000000"/>
                <w:lang w:eastAsia="en-US"/>
              </w:rPr>
              <w:t>$302,699</w:t>
            </w:r>
          </w:p>
        </w:tc>
        <w:tc>
          <w:tcPr>
            <w:tcW w:w="754" w:type="pct"/>
            <w:tcBorders>
              <w:bottom w:val="single" w:sz="4" w:space="0" w:color="auto"/>
            </w:tcBorders>
            <w:shd w:val="clear" w:color="auto" w:fill="auto"/>
            <w:vAlign w:val="bottom"/>
          </w:tcPr>
          <w:p w14:paraId="044E0DFC" w14:textId="77777777" w:rsidR="00B35E47" w:rsidRPr="00B35E47" w:rsidRDefault="00B35E47" w:rsidP="00B35E47">
            <w:pPr>
              <w:contextualSpacing/>
              <w:jc w:val="right"/>
              <w:rPr>
                <w:rFonts w:ascii="Arial Narrow" w:hAnsi="Arial Narrow"/>
                <w:lang w:eastAsia="en-US"/>
              </w:rPr>
            </w:pPr>
            <w:r w:rsidRPr="00B35E47">
              <w:rPr>
                <w:rFonts w:ascii="Arial Narrow" w:hAnsi="Arial Narrow" w:cs="Calibri"/>
                <w:color w:val="000000"/>
                <w:lang w:eastAsia="en-US"/>
              </w:rPr>
              <w:t>$332,969</w:t>
            </w:r>
          </w:p>
        </w:tc>
      </w:tr>
      <w:tr w:rsidR="00B35E47" w:rsidRPr="00B35E47" w14:paraId="23A16FC6" w14:textId="77777777" w:rsidTr="00AA3CC8">
        <w:trPr>
          <w:trHeight w:val="315"/>
        </w:trPr>
        <w:tc>
          <w:tcPr>
            <w:tcW w:w="1226" w:type="pct"/>
            <w:shd w:val="clear" w:color="auto" w:fill="auto"/>
          </w:tcPr>
          <w:p w14:paraId="2F89355C" w14:textId="77777777" w:rsidR="00B35E47" w:rsidRPr="00B35E47" w:rsidRDefault="00B35E47" w:rsidP="00B35E47">
            <w:pPr>
              <w:contextualSpacing/>
              <w:jc w:val="left"/>
              <w:rPr>
                <w:rFonts w:ascii="Arial Narrow" w:hAnsi="Arial Narrow"/>
                <w:b/>
                <w:lang w:eastAsia="en-US"/>
              </w:rPr>
            </w:pPr>
            <w:r w:rsidRPr="00B35E47">
              <w:rPr>
                <w:rFonts w:ascii="Arial Narrow" w:hAnsi="Arial Narrow"/>
                <w:b/>
                <w:lang w:eastAsia="en-US"/>
              </w:rPr>
              <w:t>Net cost to the MBS</w:t>
            </w:r>
          </w:p>
        </w:tc>
        <w:tc>
          <w:tcPr>
            <w:tcW w:w="755" w:type="pct"/>
            <w:vAlign w:val="bottom"/>
          </w:tcPr>
          <w:p w14:paraId="3DD0D5F3" w14:textId="77777777" w:rsidR="00B35E47" w:rsidRPr="00B35E47" w:rsidRDefault="00B35E47" w:rsidP="00B35E47">
            <w:pPr>
              <w:contextualSpacing/>
              <w:jc w:val="right"/>
              <w:rPr>
                <w:rFonts w:ascii="Arial Narrow" w:hAnsi="Arial Narrow"/>
                <w:b/>
                <w:lang w:eastAsia="en-US"/>
              </w:rPr>
            </w:pPr>
            <w:r w:rsidRPr="00B35E47">
              <w:rPr>
                <w:rFonts w:ascii="Arial Narrow" w:hAnsi="Arial Narrow" w:cs="Calibri"/>
                <w:b/>
                <w:bCs/>
                <w:color w:val="000000"/>
                <w:lang w:eastAsia="en-US"/>
              </w:rPr>
              <w:t>$140,808</w:t>
            </w:r>
          </w:p>
        </w:tc>
        <w:tc>
          <w:tcPr>
            <w:tcW w:w="755" w:type="pct"/>
            <w:shd w:val="clear" w:color="auto" w:fill="auto"/>
            <w:vAlign w:val="bottom"/>
          </w:tcPr>
          <w:p w14:paraId="0FACA8B7" w14:textId="77777777" w:rsidR="00B35E47" w:rsidRPr="00B35E47" w:rsidRDefault="00B35E47" w:rsidP="00B35E47">
            <w:pPr>
              <w:contextualSpacing/>
              <w:jc w:val="right"/>
              <w:rPr>
                <w:rFonts w:ascii="Arial Narrow" w:hAnsi="Arial Narrow"/>
                <w:b/>
                <w:lang w:eastAsia="en-US"/>
              </w:rPr>
            </w:pPr>
            <w:r w:rsidRPr="00B35E47">
              <w:rPr>
                <w:rFonts w:ascii="Arial Narrow" w:hAnsi="Arial Narrow" w:cs="Calibri"/>
                <w:b/>
                <w:bCs/>
                <w:color w:val="000000"/>
                <w:lang w:eastAsia="en-US"/>
              </w:rPr>
              <w:t>$173,300</w:t>
            </w:r>
          </w:p>
        </w:tc>
        <w:tc>
          <w:tcPr>
            <w:tcW w:w="755" w:type="pct"/>
            <w:shd w:val="clear" w:color="auto" w:fill="auto"/>
            <w:vAlign w:val="bottom"/>
          </w:tcPr>
          <w:p w14:paraId="6DD13B5C" w14:textId="77777777" w:rsidR="00B35E47" w:rsidRPr="00B35E47" w:rsidRDefault="00B35E47" w:rsidP="00B35E47">
            <w:pPr>
              <w:contextualSpacing/>
              <w:jc w:val="right"/>
              <w:rPr>
                <w:rFonts w:ascii="Arial Narrow" w:hAnsi="Arial Narrow"/>
                <w:b/>
                <w:lang w:eastAsia="en-US"/>
              </w:rPr>
            </w:pPr>
            <w:r w:rsidRPr="00B35E47">
              <w:rPr>
                <w:rFonts w:ascii="Arial Narrow" w:hAnsi="Arial Narrow" w:cs="Calibri"/>
                <w:b/>
                <w:bCs/>
                <w:color w:val="000000"/>
                <w:lang w:eastAsia="en-US"/>
              </w:rPr>
              <w:t>$211,803</w:t>
            </w:r>
          </w:p>
        </w:tc>
        <w:tc>
          <w:tcPr>
            <w:tcW w:w="755" w:type="pct"/>
            <w:shd w:val="clear" w:color="auto" w:fill="auto"/>
            <w:vAlign w:val="bottom"/>
          </w:tcPr>
          <w:p w14:paraId="0EDF322F" w14:textId="77777777" w:rsidR="00B35E47" w:rsidRPr="00B35E47" w:rsidRDefault="00B35E47" w:rsidP="00B35E47">
            <w:pPr>
              <w:contextualSpacing/>
              <w:jc w:val="right"/>
              <w:rPr>
                <w:rFonts w:ascii="Arial Narrow" w:hAnsi="Arial Narrow"/>
                <w:b/>
                <w:lang w:eastAsia="en-US"/>
              </w:rPr>
            </w:pPr>
            <w:r w:rsidRPr="00B35E47">
              <w:rPr>
                <w:rFonts w:ascii="Arial Narrow" w:hAnsi="Arial Narrow" w:cs="Calibri"/>
                <w:b/>
                <w:bCs/>
                <w:color w:val="000000"/>
                <w:lang w:eastAsia="en-US"/>
              </w:rPr>
              <w:t>$257,333</w:t>
            </w:r>
          </w:p>
        </w:tc>
        <w:tc>
          <w:tcPr>
            <w:tcW w:w="754" w:type="pct"/>
            <w:shd w:val="clear" w:color="auto" w:fill="auto"/>
            <w:vAlign w:val="bottom"/>
          </w:tcPr>
          <w:p w14:paraId="2394EEFF" w14:textId="77777777" w:rsidR="00B35E47" w:rsidRPr="00B35E47" w:rsidRDefault="00B35E47" w:rsidP="00B35E47">
            <w:pPr>
              <w:contextualSpacing/>
              <w:jc w:val="right"/>
              <w:rPr>
                <w:rFonts w:ascii="Arial Narrow" w:hAnsi="Arial Narrow"/>
                <w:b/>
                <w:lang w:eastAsia="en-US"/>
              </w:rPr>
            </w:pPr>
            <w:r w:rsidRPr="00B35E47">
              <w:rPr>
                <w:rFonts w:ascii="Arial Narrow" w:hAnsi="Arial Narrow" w:cs="Calibri"/>
                <w:b/>
                <w:bCs/>
                <w:color w:val="000000"/>
                <w:lang w:eastAsia="en-US"/>
              </w:rPr>
              <w:t>$311,068</w:t>
            </w:r>
          </w:p>
        </w:tc>
      </w:tr>
    </w:tbl>
    <w:p w14:paraId="419DDFCB" w14:textId="1BD94B67" w:rsidR="00ED65EE" w:rsidRPr="00F21581" w:rsidRDefault="00B35E47" w:rsidP="00F21581">
      <w:pPr>
        <w:widowControl w:val="0"/>
        <w:spacing w:after="240" w:line="240" w:lineRule="auto"/>
        <w:jc w:val="left"/>
        <w:rPr>
          <w:rFonts w:ascii="Arial" w:hAnsi="Arial" w:cs="Arial"/>
          <w:snapToGrid w:val="0"/>
          <w:sz w:val="18"/>
          <w:szCs w:val="20"/>
          <w:lang w:eastAsia="en-US"/>
        </w:rPr>
      </w:pPr>
      <w:r w:rsidRPr="00B35E47">
        <w:rPr>
          <w:rFonts w:ascii="Arial Narrow" w:hAnsi="Arial Narrow" w:cs="Arial"/>
          <w:snapToGrid w:val="0"/>
          <w:sz w:val="18"/>
          <w:szCs w:val="20"/>
          <w:lang w:eastAsia="en-US"/>
        </w:rPr>
        <w:t>NMOSD = neuromyelitis optica spectrum disorders; MBS = Medicare Benefits Schedule</w:t>
      </w:r>
    </w:p>
    <w:p w14:paraId="609F3E8C" w14:textId="244D01EB" w:rsidR="00E45F50" w:rsidRPr="00FC0F62" w:rsidRDefault="002D2C8F" w:rsidP="00ED65EE">
      <w:pPr>
        <w:spacing w:after="0" w:line="240" w:lineRule="auto"/>
      </w:pPr>
      <w:r w:rsidRPr="00FC0F62">
        <w:t>The net costs to the MBS due to the proposed listing are largely driven by the expected increase in the number of current services due to proposed listing. The growth rate in the expected number of NMOSD-Ab tests has a high impact on the financial implications. The net costs to MBS are also sensitive to the assumed proportions for which existing AQP4-Ab test services are claimed under items 71119 and 71165, due to the differences in MBS rebates associated with these items.</w:t>
      </w:r>
    </w:p>
    <w:p w14:paraId="582F5C7F" w14:textId="77777777" w:rsidR="00ED65EE" w:rsidRDefault="009E1C05" w:rsidP="00ED65EE">
      <w:pPr>
        <w:pStyle w:val="Heading3"/>
      </w:pPr>
      <w:bookmarkStart w:id="98" w:name="_Toc39588261"/>
      <w:bookmarkStart w:id="99" w:name="_Toc395200754"/>
      <w:r w:rsidRPr="00FC0F62">
        <w:t>Stakeholder</w:t>
      </w:r>
      <w:r w:rsidR="00ED65EE" w:rsidRPr="00FC0F62">
        <w:t xml:space="preserve"> impact summary</w:t>
      </w:r>
      <w:bookmarkEnd w:id="98"/>
    </w:p>
    <w:p w14:paraId="2BFC5399" w14:textId="77777777" w:rsidR="009E1C05" w:rsidRDefault="009E1C05" w:rsidP="009E1C05">
      <w:r>
        <w:t>There was no public consultation for this Application.</w:t>
      </w:r>
    </w:p>
    <w:p w14:paraId="0A1FD7CC" w14:textId="60903467" w:rsidR="00ED65EE" w:rsidRPr="00183E4D" w:rsidRDefault="009E1C05" w:rsidP="00ED65EE">
      <w:r>
        <w:t xml:space="preserve">Letters were received from the Royal Australian and New Zealand College of Ophthalmologists (RANZCO) and the Australian and New Zealand Association of Neurologists (ANZAN) during the PICO confirmation development stage. They supported the availability of AQP4-Ab and MOG-Ab testing on the MBS. </w:t>
      </w:r>
      <w:bookmarkEnd w:id="76"/>
      <w:bookmarkEnd w:id="77"/>
      <w:bookmarkEnd w:id="99"/>
    </w:p>
    <w:p w14:paraId="02A65DF7" w14:textId="77777777" w:rsidR="00ED65EE" w:rsidRPr="00183E4D" w:rsidRDefault="00ED65EE" w:rsidP="00ED65EE">
      <w:pPr>
        <w:sectPr w:rsidR="00ED65EE" w:rsidRPr="00183E4D" w:rsidSect="001229D7">
          <w:headerReference w:type="even" r:id="rId21"/>
          <w:headerReference w:type="default" r:id="rId22"/>
          <w:headerReference w:type="first" r:id="rId23"/>
          <w:type w:val="oddPage"/>
          <w:pgSz w:w="11906" w:h="16838"/>
          <w:pgMar w:top="1440" w:right="1440" w:bottom="1440" w:left="1440" w:header="720" w:footer="720" w:gutter="0"/>
          <w:paperSrc w:first="2" w:other="2"/>
          <w:cols w:space="720"/>
        </w:sectPr>
      </w:pPr>
    </w:p>
    <w:p w14:paraId="436F90B1" w14:textId="77777777" w:rsidR="00ED65EE" w:rsidRDefault="00ED65EE" w:rsidP="00ED65EE">
      <w:pPr>
        <w:pStyle w:val="Heading1"/>
        <w:jc w:val="both"/>
      </w:pPr>
      <w:bookmarkStart w:id="100" w:name="_Toc355274699"/>
      <w:bookmarkStart w:id="101" w:name="_Ref363826811"/>
      <w:bookmarkStart w:id="102" w:name="_Toc379118061"/>
      <w:bookmarkStart w:id="103" w:name="_Toc381796437"/>
      <w:bookmarkStart w:id="104" w:name="_Toc39588262"/>
      <w:bookmarkStart w:id="105" w:name="_Toc451749499"/>
      <w:r>
        <w:lastRenderedPageBreak/>
        <w:t>Acronyms and A</w:t>
      </w:r>
      <w:r w:rsidRPr="00183E4D">
        <w:t>bbreviations</w:t>
      </w:r>
      <w:bookmarkEnd w:id="100"/>
      <w:bookmarkEnd w:id="101"/>
      <w:bookmarkEnd w:id="102"/>
      <w:bookmarkEnd w:id="103"/>
      <w:bookmarkEnd w:id="104"/>
      <w:r w:rsidRPr="00183E4D">
        <w:t xml:space="preserve"> </w:t>
      </w:r>
    </w:p>
    <w:bookmarkEnd w:id="105"/>
    <w:p w14:paraId="2A0EA67A" w14:textId="77777777" w:rsidR="00ED65EE" w:rsidRDefault="00ED65EE" w:rsidP="007E1FF0">
      <w:pPr>
        <w:tabs>
          <w:tab w:val="left" w:pos="2694"/>
        </w:tabs>
        <w:spacing w:line="240" w:lineRule="auto"/>
      </w:pPr>
      <w:r>
        <w:t>A</w:t>
      </w:r>
      <w:r w:rsidR="00DE0DC1">
        <w:t>BS</w:t>
      </w:r>
      <w:r>
        <w:tab/>
      </w:r>
      <w:r w:rsidR="00DE0DC1">
        <w:t>acute brainstem syndrome</w:t>
      </w:r>
    </w:p>
    <w:p w14:paraId="0F156E70" w14:textId="77777777" w:rsidR="00DE0DC1" w:rsidRDefault="00DE0DC1" w:rsidP="007E1FF0">
      <w:pPr>
        <w:tabs>
          <w:tab w:val="left" w:pos="2694"/>
        </w:tabs>
        <w:spacing w:line="240" w:lineRule="auto"/>
      </w:pPr>
      <w:r>
        <w:t>ADS</w:t>
      </w:r>
      <w:r>
        <w:tab/>
        <w:t>acquired demyelination syndrome</w:t>
      </w:r>
    </w:p>
    <w:p w14:paraId="443A898A" w14:textId="77777777" w:rsidR="00DE0DC1" w:rsidRDefault="00DE0DC1" w:rsidP="007E1FF0">
      <w:pPr>
        <w:tabs>
          <w:tab w:val="left" w:pos="2694"/>
        </w:tabs>
        <w:spacing w:line="240" w:lineRule="auto"/>
      </w:pPr>
      <w:r>
        <w:t>AQP4-Ab</w:t>
      </w:r>
      <w:r w:rsidR="005D7343">
        <w:t>/</w:t>
      </w:r>
      <w:r>
        <w:t>s</w:t>
      </w:r>
      <w:r>
        <w:tab/>
        <w:t>aquaporin 4 antibod</w:t>
      </w:r>
      <w:r w:rsidR="005D7343">
        <w:t>y/antibodies</w:t>
      </w:r>
      <w:r>
        <w:t xml:space="preserve"> (also AQP4-IgG)</w:t>
      </w:r>
    </w:p>
    <w:p w14:paraId="14BB5E95" w14:textId="77777777" w:rsidR="00B7077F" w:rsidRDefault="00B7077F" w:rsidP="007E1FF0">
      <w:pPr>
        <w:tabs>
          <w:tab w:val="left" w:pos="2694"/>
        </w:tabs>
        <w:spacing w:line="240" w:lineRule="auto"/>
      </w:pPr>
      <w:r>
        <w:t>ARR</w:t>
      </w:r>
      <w:r>
        <w:tab/>
        <w:t>annualised relapse rate</w:t>
      </w:r>
    </w:p>
    <w:p w14:paraId="73283FBC" w14:textId="77777777" w:rsidR="005A0C04" w:rsidRDefault="005A0C04" w:rsidP="007E1FF0">
      <w:pPr>
        <w:tabs>
          <w:tab w:val="left" w:pos="2694"/>
        </w:tabs>
        <w:spacing w:line="240" w:lineRule="auto"/>
        <w:rPr>
          <w:rFonts w:asciiTheme="minorHAnsi" w:hAnsiTheme="minorHAnsi"/>
          <w:color w:val="000000"/>
          <w:szCs w:val="24"/>
        </w:rPr>
      </w:pPr>
      <w:r>
        <w:t>AZA</w:t>
      </w:r>
      <w:r>
        <w:tab/>
        <w:t>azathioprine</w:t>
      </w:r>
    </w:p>
    <w:p w14:paraId="6A2205AE" w14:textId="77777777" w:rsidR="00ED65EE" w:rsidRDefault="00ED65EE" w:rsidP="007E1FF0">
      <w:pPr>
        <w:tabs>
          <w:tab w:val="left" w:pos="2694"/>
        </w:tabs>
        <w:spacing w:line="240" w:lineRule="auto"/>
        <w:rPr>
          <w:rFonts w:asciiTheme="minorHAnsi" w:hAnsiTheme="minorHAnsi"/>
          <w:color w:val="000000"/>
          <w:szCs w:val="24"/>
        </w:rPr>
      </w:pPr>
      <w:r>
        <w:t>CI</w:t>
      </w:r>
      <w:r>
        <w:tab/>
      </w:r>
      <w:r>
        <w:rPr>
          <w:rFonts w:asciiTheme="minorHAnsi" w:hAnsiTheme="minorHAnsi"/>
          <w:color w:val="000000"/>
          <w:szCs w:val="24"/>
        </w:rPr>
        <w:t>confidence interval</w:t>
      </w:r>
    </w:p>
    <w:p w14:paraId="3640E41D" w14:textId="77777777" w:rsidR="00DE0DC1" w:rsidRDefault="00DE0DC1" w:rsidP="007E1FF0">
      <w:pPr>
        <w:tabs>
          <w:tab w:val="left" w:pos="2694"/>
        </w:tabs>
        <w:spacing w:line="240" w:lineRule="auto"/>
        <w:rPr>
          <w:rFonts w:asciiTheme="minorHAnsi" w:hAnsiTheme="minorHAnsi"/>
          <w:color w:val="000000"/>
          <w:szCs w:val="24"/>
        </w:rPr>
      </w:pPr>
      <w:r>
        <w:rPr>
          <w:rFonts w:asciiTheme="minorHAnsi" w:hAnsiTheme="minorHAnsi"/>
          <w:color w:val="000000"/>
          <w:szCs w:val="24"/>
        </w:rPr>
        <w:t>CNS</w:t>
      </w:r>
      <w:r>
        <w:rPr>
          <w:rFonts w:asciiTheme="minorHAnsi" w:hAnsiTheme="minorHAnsi"/>
          <w:color w:val="000000"/>
          <w:szCs w:val="24"/>
        </w:rPr>
        <w:tab/>
        <w:t>central nervous system</w:t>
      </w:r>
    </w:p>
    <w:p w14:paraId="727C08B2" w14:textId="77777777" w:rsidR="00DE0DC1" w:rsidRDefault="00DE0DC1" w:rsidP="007E1FF0">
      <w:pPr>
        <w:tabs>
          <w:tab w:val="left" w:pos="2694"/>
        </w:tabs>
        <w:spacing w:line="240" w:lineRule="auto"/>
        <w:rPr>
          <w:rFonts w:asciiTheme="minorHAnsi" w:hAnsiTheme="minorHAnsi"/>
          <w:color w:val="000000"/>
          <w:szCs w:val="24"/>
        </w:rPr>
      </w:pPr>
      <w:r>
        <w:rPr>
          <w:rFonts w:asciiTheme="minorHAnsi" w:hAnsiTheme="minorHAnsi"/>
          <w:color w:val="000000"/>
          <w:szCs w:val="24"/>
        </w:rPr>
        <w:t>CSF</w:t>
      </w:r>
      <w:r>
        <w:rPr>
          <w:rFonts w:asciiTheme="minorHAnsi" w:hAnsiTheme="minorHAnsi"/>
          <w:color w:val="000000"/>
          <w:szCs w:val="24"/>
        </w:rPr>
        <w:tab/>
        <w:t>cerebrospinal fluid</w:t>
      </w:r>
    </w:p>
    <w:p w14:paraId="1B667E8A" w14:textId="77777777" w:rsidR="005A0C04" w:rsidRDefault="005A0C04" w:rsidP="007E1FF0">
      <w:pPr>
        <w:tabs>
          <w:tab w:val="left" w:pos="2694"/>
        </w:tabs>
        <w:spacing w:line="240" w:lineRule="auto"/>
        <w:rPr>
          <w:rFonts w:asciiTheme="minorHAnsi" w:hAnsiTheme="minorHAnsi"/>
          <w:color w:val="000000"/>
          <w:szCs w:val="24"/>
        </w:rPr>
      </w:pPr>
      <w:r>
        <w:rPr>
          <w:rFonts w:asciiTheme="minorHAnsi" w:hAnsiTheme="minorHAnsi"/>
          <w:color w:val="000000"/>
          <w:szCs w:val="24"/>
        </w:rPr>
        <w:t>ECZ</w:t>
      </w:r>
      <w:r>
        <w:rPr>
          <w:rFonts w:asciiTheme="minorHAnsi" w:hAnsiTheme="minorHAnsi"/>
          <w:color w:val="000000"/>
          <w:szCs w:val="24"/>
        </w:rPr>
        <w:tab/>
        <w:t>eculizumab</w:t>
      </w:r>
    </w:p>
    <w:p w14:paraId="461140EF" w14:textId="77777777" w:rsidR="00B7077F" w:rsidRDefault="00B7077F" w:rsidP="007E1FF0">
      <w:pPr>
        <w:tabs>
          <w:tab w:val="left" w:pos="2694"/>
        </w:tabs>
        <w:spacing w:line="240" w:lineRule="auto"/>
        <w:rPr>
          <w:rFonts w:asciiTheme="minorHAnsi" w:hAnsiTheme="minorHAnsi"/>
          <w:color w:val="000000"/>
          <w:szCs w:val="24"/>
        </w:rPr>
      </w:pPr>
      <w:r>
        <w:rPr>
          <w:rFonts w:asciiTheme="minorHAnsi" w:hAnsiTheme="minorHAnsi"/>
          <w:color w:val="000000"/>
          <w:szCs w:val="24"/>
        </w:rPr>
        <w:t>EDSS</w:t>
      </w:r>
      <w:r>
        <w:rPr>
          <w:rFonts w:asciiTheme="minorHAnsi" w:hAnsiTheme="minorHAnsi"/>
          <w:color w:val="000000"/>
          <w:szCs w:val="24"/>
        </w:rPr>
        <w:tab/>
      </w:r>
      <w:r w:rsidR="00EB1189">
        <w:rPr>
          <w:rFonts w:asciiTheme="minorHAnsi" w:hAnsiTheme="minorHAnsi"/>
          <w:color w:val="000000"/>
          <w:szCs w:val="24"/>
        </w:rPr>
        <w:t>expanded</w:t>
      </w:r>
      <w:r>
        <w:rPr>
          <w:rFonts w:asciiTheme="minorHAnsi" w:hAnsiTheme="minorHAnsi"/>
          <w:color w:val="000000"/>
          <w:szCs w:val="24"/>
        </w:rPr>
        <w:t xml:space="preserve"> disability status scale</w:t>
      </w:r>
    </w:p>
    <w:p w14:paraId="1EF4F1A2" w14:textId="77777777" w:rsidR="003C1BBD" w:rsidRDefault="003C1BBD" w:rsidP="007E1FF0">
      <w:pPr>
        <w:tabs>
          <w:tab w:val="left" w:pos="2694"/>
        </w:tabs>
        <w:spacing w:line="240" w:lineRule="auto"/>
        <w:rPr>
          <w:rFonts w:asciiTheme="minorHAnsi" w:hAnsiTheme="minorHAnsi"/>
          <w:color w:val="000000"/>
          <w:szCs w:val="24"/>
        </w:rPr>
      </w:pPr>
      <w:r>
        <w:rPr>
          <w:rFonts w:asciiTheme="minorHAnsi" w:hAnsiTheme="minorHAnsi"/>
          <w:color w:val="000000"/>
          <w:szCs w:val="24"/>
        </w:rPr>
        <w:t>ELISA</w:t>
      </w:r>
      <w:r>
        <w:rPr>
          <w:rFonts w:asciiTheme="minorHAnsi" w:hAnsiTheme="minorHAnsi"/>
          <w:color w:val="000000"/>
          <w:szCs w:val="24"/>
        </w:rPr>
        <w:tab/>
        <w:t>enzyme-linked immunosorbent assay</w:t>
      </w:r>
    </w:p>
    <w:p w14:paraId="35E6A167" w14:textId="77777777" w:rsidR="003C1BBD" w:rsidRDefault="003C1BBD" w:rsidP="007E1FF0">
      <w:pPr>
        <w:tabs>
          <w:tab w:val="left" w:pos="2694"/>
        </w:tabs>
        <w:spacing w:line="240" w:lineRule="auto"/>
        <w:rPr>
          <w:rFonts w:asciiTheme="minorHAnsi" w:hAnsiTheme="minorHAnsi"/>
          <w:color w:val="000000"/>
          <w:szCs w:val="24"/>
        </w:rPr>
      </w:pPr>
      <w:r>
        <w:rPr>
          <w:rFonts w:asciiTheme="minorHAnsi" w:hAnsiTheme="minorHAnsi"/>
          <w:color w:val="000000"/>
          <w:szCs w:val="24"/>
        </w:rPr>
        <w:t>FACS</w:t>
      </w:r>
      <w:r>
        <w:rPr>
          <w:rFonts w:asciiTheme="minorHAnsi" w:hAnsiTheme="minorHAnsi"/>
          <w:color w:val="000000"/>
          <w:szCs w:val="24"/>
        </w:rPr>
        <w:tab/>
      </w:r>
      <w:r w:rsidRPr="003C1BBD">
        <w:rPr>
          <w:rFonts w:asciiTheme="minorHAnsi" w:hAnsiTheme="minorHAnsi"/>
          <w:color w:val="000000"/>
          <w:szCs w:val="24"/>
        </w:rPr>
        <w:t>fluorescence-activated cell sorting</w:t>
      </w:r>
    </w:p>
    <w:p w14:paraId="6BCAC62E" w14:textId="77777777" w:rsidR="00DE0DC1" w:rsidRPr="00183E4D" w:rsidRDefault="00DE0DC1" w:rsidP="007E1FF0">
      <w:pPr>
        <w:tabs>
          <w:tab w:val="left" w:pos="2694"/>
        </w:tabs>
        <w:spacing w:line="240" w:lineRule="auto"/>
      </w:pPr>
      <w:r>
        <w:t>HR-NMO</w:t>
      </w:r>
      <w:r>
        <w:tab/>
        <w:t>high risk of conversion to NMO</w:t>
      </w:r>
    </w:p>
    <w:p w14:paraId="5D21C3C7" w14:textId="77777777" w:rsidR="00ED65EE" w:rsidRPr="00183E4D" w:rsidRDefault="00ED65EE" w:rsidP="007E1FF0">
      <w:pPr>
        <w:tabs>
          <w:tab w:val="left" w:pos="2694"/>
        </w:tabs>
        <w:spacing w:line="240" w:lineRule="auto"/>
      </w:pPr>
      <w:r>
        <w:rPr>
          <w:rFonts w:asciiTheme="minorHAnsi" w:hAnsiTheme="minorHAnsi"/>
          <w:color w:val="000000"/>
          <w:szCs w:val="24"/>
        </w:rPr>
        <w:t>HRQoL</w:t>
      </w:r>
      <w:r w:rsidRPr="00183E4D">
        <w:tab/>
      </w:r>
      <w:r>
        <w:rPr>
          <w:rFonts w:asciiTheme="minorHAnsi" w:hAnsiTheme="minorHAnsi"/>
          <w:color w:val="000000"/>
          <w:szCs w:val="24"/>
        </w:rPr>
        <w:t>health-related quality of life</w:t>
      </w:r>
    </w:p>
    <w:p w14:paraId="736086E0" w14:textId="77777777" w:rsidR="00ED65EE" w:rsidRDefault="00ED65EE" w:rsidP="007E1FF0">
      <w:pPr>
        <w:tabs>
          <w:tab w:val="left" w:pos="2694"/>
        </w:tabs>
        <w:spacing w:line="240" w:lineRule="auto"/>
      </w:pPr>
      <w:r w:rsidRPr="00183E4D">
        <w:t>HTA</w:t>
      </w:r>
      <w:r w:rsidRPr="00183E4D">
        <w:tab/>
        <w:t>health technology assessment</w:t>
      </w:r>
    </w:p>
    <w:p w14:paraId="59233A8E" w14:textId="77777777" w:rsidR="003C1BBD" w:rsidRDefault="003C1BBD" w:rsidP="007E1FF0">
      <w:pPr>
        <w:tabs>
          <w:tab w:val="left" w:pos="2694"/>
        </w:tabs>
        <w:spacing w:line="240" w:lineRule="auto"/>
      </w:pPr>
      <w:r w:rsidRPr="00183E4D">
        <w:t>ICER</w:t>
      </w:r>
      <w:r w:rsidRPr="00183E4D">
        <w:tab/>
        <w:t>incremental cost-effectiveness ratio</w:t>
      </w:r>
    </w:p>
    <w:p w14:paraId="378A4B1A" w14:textId="77777777" w:rsidR="005D7343" w:rsidRDefault="005D7343" w:rsidP="007E1FF0">
      <w:pPr>
        <w:tabs>
          <w:tab w:val="left" w:pos="2694"/>
        </w:tabs>
        <w:spacing w:line="240" w:lineRule="auto"/>
      </w:pPr>
      <w:r>
        <w:t>IDD</w:t>
      </w:r>
      <w:r>
        <w:tab/>
        <w:t>inflammatory demyelinating disorder</w:t>
      </w:r>
    </w:p>
    <w:p w14:paraId="4F700567" w14:textId="77777777" w:rsidR="00DE0DC1" w:rsidRDefault="00DE0DC1" w:rsidP="007E1FF0">
      <w:pPr>
        <w:tabs>
          <w:tab w:val="left" w:pos="2694"/>
        </w:tabs>
        <w:spacing w:line="240" w:lineRule="auto"/>
      </w:pPr>
      <w:r>
        <w:t>IIDD</w:t>
      </w:r>
      <w:r>
        <w:tab/>
        <w:t>idiopathic inflammatory demyelinating disease</w:t>
      </w:r>
    </w:p>
    <w:p w14:paraId="178C1BE9" w14:textId="77777777" w:rsidR="003C1BBD" w:rsidRDefault="003C1BBD" w:rsidP="007E1FF0">
      <w:pPr>
        <w:tabs>
          <w:tab w:val="left" w:pos="2694"/>
        </w:tabs>
        <w:spacing w:line="240" w:lineRule="auto"/>
      </w:pPr>
      <w:r>
        <w:t>IIF</w:t>
      </w:r>
      <w:r>
        <w:tab/>
      </w:r>
      <w:r w:rsidR="0058036D">
        <w:t xml:space="preserve">indirect </w:t>
      </w:r>
      <w:r>
        <w:t>immunofluorescence</w:t>
      </w:r>
    </w:p>
    <w:p w14:paraId="751764CD" w14:textId="77777777" w:rsidR="005A0C04" w:rsidRPr="00183E4D" w:rsidRDefault="005A0C04" w:rsidP="007E1FF0">
      <w:pPr>
        <w:tabs>
          <w:tab w:val="left" w:pos="2694"/>
        </w:tabs>
        <w:spacing w:line="240" w:lineRule="auto"/>
      </w:pPr>
      <w:r>
        <w:t>IVMP</w:t>
      </w:r>
      <w:r>
        <w:tab/>
        <w:t>intravenous methylprednisolone</w:t>
      </w:r>
    </w:p>
    <w:p w14:paraId="1D82FE4B" w14:textId="77777777" w:rsidR="005D7343" w:rsidRDefault="005D7343" w:rsidP="007E1FF0">
      <w:pPr>
        <w:tabs>
          <w:tab w:val="left" w:pos="2694"/>
        </w:tabs>
        <w:spacing w:line="240" w:lineRule="auto"/>
      </w:pPr>
      <w:r>
        <w:t>LETM</w:t>
      </w:r>
      <w:r>
        <w:tab/>
        <w:t>longitudinally extensive transverse myelitis</w:t>
      </w:r>
    </w:p>
    <w:p w14:paraId="4562336D" w14:textId="77777777" w:rsidR="007E1FF0" w:rsidRDefault="007E1FF0" w:rsidP="007E1FF0">
      <w:pPr>
        <w:tabs>
          <w:tab w:val="left" w:pos="2694"/>
        </w:tabs>
        <w:spacing w:line="240" w:lineRule="auto"/>
        <w:ind w:left="2694" w:hanging="2694"/>
      </w:pPr>
      <w:r>
        <w:t>MARD</w:t>
      </w:r>
      <w:r>
        <w:tab/>
        <w:t>myelin oligodendrocyte glycoprotein antibody-related demyelination</w:t>
      </w:r>
    </w:p>
    <w:p w14:paraId="635BAE91" w14:textId="77777777" w:rsidR="00ED65EE" w:rsidRDefault="00ED65EE" w:rsidP="007E1FF0">
      <w:pPr>
        <w:tabs>
          <w:tab w:val="left" w:pos="2694"/>
        </w:tabs>
        <w:spacing w:line="240" w:lineRule="auto"/>
      </w:pPr>
      <w:r w:rsidRPr="00183E4D">
        <w:t>MBS</w:t>
      </w:r>
      <w:r w:rsidRPr="00183E4D">
        <w:tab/>
        <w:t>Medicare Benefits Schedule</w:t>
      </w:r>
    </w:p>
    <w:p w14:paraId="4F44E5F0" w14:textId="77777777" w:rsidR="005A0C04" w:rsidRPr="00183E4D" w:rsidRDefault="005A0C04" w:rsidP="007E1FF0">
      <w:pPr>
        <w:tabs>
          <w:tab w:val="left" w:pos="2694"/>
        </w:tabs>
        <w:spacing w:line="240" w:lineRule="auto"/>
      </w:pPr>
      <w:r>
        <w:t>MMF</w:t>
      </w:r>
      <w:r>
        <w:tab/>
        <w:t>mycophenolate mofetil</w:t>
      </w:r>
    </w:p>
    <w:p w14:paraId="21360C4B" w14:textId="4262866F" w:rsidR="005D7343" w:rsidRDefault="000E4046" w:rsidP="007E1FF0">
      <w:pPr>
        <w:tabs>
          <w:tab w:val="left" w:pos="2694"/>
        </w:tabs>
        <w:spacing w:line="240" w:lineRule="auto"/>
      </w:pPr>
      <w:r>
        <w:t>MOG-Ab</w:t>
      </w:r>
      <w:r w:rsidR="005D7343">
        <w:tab/>
        <w:t>myelin oligodendrocyte glycoprotein antibody</w:t>
      </w:r>
    </w:p>
    <w:p w14:paraId="31826680" w14:textId="77777777" w:rsidR="00710FA2" w:rsidRDefault="00710FA2" w:rsidP="007E1FF0">
      <w:pPr>
        <w:tabs>
          <w:tab w:val="left" w:pos="2694"/>
        </w:tabs>
        <w:spacing w:line="240" w:lineRule="auto"/>
      </w:pPr>
      <w:r>
        <w:t>MRI</w:t>
      </w:r>
      <w:r>
        <w:tab/>
        <w:t>magnetic resonance imaging</w:t>
      </w:r>
    </w:p>
    <w:p w14:paraId="72A2FA63" w14:textId="77777777" w:rsidR="000378F4" w:rsidRPr="00183E4D" w:rsidRDefault="000378F4" w:rsidP="007E1FF0">
      <w:pPr>
        <w:tabs>
          <w:tab w:val="left" w:pos="2694"/>
        </w:tabs>
        <w:spacing w:line="240" w:lineRule="auto"/>
      </w:pPr>
      <w:r>
        <w:t>MS</w:t>
      </w:r>
      <w:r>
        <w:tab/>
        <w:t>multiple sclerosis</w:t>
      </w:r>
    </w:p>
    <w:p w14:paraId="716CA983" w14:textId="77777777" w:rsidR="00ED65EE" w:rsidRDefault="00ED65EE" w:rsidP="007E1FF0">
      <w:pPr>
        <w:tabs>
          <w:tab w:val="left" w:pos="2694"/>
        </w:tabs>
        <w:spacing w:line="240" w:lineRule="auto"/>
      </w:pPr>
      <w:r w:rsidRPr="00183E4D">
        <w:t>MSAC</w:t>
      </w:r>
      <w:r w:rsidRPr="00183E4D">
        <w:tab/>
        <w:t>Medical Services Advisory Committee</w:t>
      </w:r>
    </w:p>
    <w:p w14:paraId="70B0090A" w14:textId="77777777" w:rsidR="004C302E" w:rsidRDefault="004C302E" w:rsidP="007E1FF0">
      <w:pPr>
        <w:tabs>
          <w:tab w:val="left" w:pos="2694"/>
        </w:tabs>
        <w:spacing w:line="240" w:lineRule="auto"/>
      </w:pPr>
      <w:r>
        <w:t>NMO</w:t>
      </w:r>
      <w:r>
        <w:tab/>
        <w:t>neuromyelitis optica</w:t>
      </w:r>
    </w:p>
    <w:p w14:paraId="2C57A79D" w14:textId="77777777" w:rsidR="007807D4" w:rsidRDefault="007807D4" w:rsidP="007E1FF0">
      <w:pPr>
        <w:tabs>
          <w:tab w:val="left" w:pos="2694"/>
        </w:tabs>
        <w:spacing w:line="240" w:lineRule="auto"/>
      </w:pPr>
      <w:r>
        <w:t>NMOSD</w:t>
      </w:r>
      <w:r>
        <w:tab/>
        <w:t>neuromyelitis optica spectrum disorders</w:t>
      </w:r>
    </w:p>
    <w:p w14:paraId="39C609ED" w14:textId="77777777" w:rsidR="00AA6F26" w:rsidRDefault="00AA6F26" w:rsidP="007E1FF0">
      <w:pPr>
        <w:tabs>
          <w:tab w:val="left" w:pos="2694"/>
        </w:tabs>
        <w:spacing w:line="240" w:lineRule="auto"/>
      </w:pPr>
      <w:r>
        <w:lastRenderedPageBreak/>
        <w:t>NPA</w:t>
      </w:r>
      <w:r>
        <w:tab/>
        <w:t>negative percent agreement</w:t>
      </w:r>
    </w:p>
    <w:p w14:paraId="7D77A568" w14:textId="77777777" w:rsidR="006509D6" w:rsidRDefault="006509D6" w:rsidP="007E1FF0">
      <w:pPr>
        <w:tabs>
          <w:tab w:val="left" w:pos="2694"/>
        </w:tabs>
        <w:spacing w:line="240" w:lineRule="auto"/>
      </w:pPr>
      <w:r>
        <w:t>NPV</w:t>
      </w:r>
      <w:r>
        <w:tab/>
        <w:t>negative predictive value</w:t>
      </w:r>
    </w:p>
    <w:p w14:paraId="72117E97" w14:textId="77777777" w:rsidR="005A0C04" w:rsidRDefault="005A0C04" w:rsidP="007E1FF0">
      <w:pPr>
        <w:tabs>
          <w:tab w:val="left" w:pos="2694"/>
        </w:tabs>
        <w:spacing w:line="240" w:lineRule="auto"/>
      </w:pPr>
      <w:r>
        <w:t>OCB</w:t>
      </w:r>
      <w:r>
        <w:tab/>
        <w:t>oligoclonal bands</w:t>
      </w:r>
    </w:p>
    <w:p w14:paraId="243251C8" w14:textId="77777777" w:rsidR="007807D4" w:rsidRPr="00183E4D" w:rsidRDefault="006D7E18" w:rsidP="007E1FF0">
      <w:pPr>
        <w:tabs>
          <w:tab w:val="left" w:pos="2694"/>
        </w:tabs>
        <w:spacing w:line="240" w:lineRule="auto"/>
      </w:pPr>
      <w:r>
        <w:t>ON</w:t>
      </w:r>
      <w:r>
        <w:tab/>
        <w:t>optic neuritis</w:t>
      </w:r>
    </w:p>
    <w:p w14:paraId="397820ED" w14:textId="77777777" w:rsidR="00ED65EE" w:rsidRDefault="00ED65EE" w:rsidP="007E1FF0">
      <w:pPr>
        <w:tabs>
          <w:tab w:val="left" w:pos="2694"/>
        </w:tabs>
        <w:spacing w:line="240" w:lineRule="auto"/>
        <w:rPr>
          <w:rFonts w:asciiTheme="minorHAnsi" w:hAnsiTheme="minorHAnsi"/>
          <w:color w:val="000000"/>
          <w:szCs w:val="24"/>
        </w:rPr>
      </w:pPr>
      <w:r>
        <w:t>PASC</w:t>
      </w:r>
      <w:r>
        <w:tab/>
      </w:r>
      <w:r>
        <w:rPr>
          <w:rFonts w:asciiTheme="minorHAnsi" w:hAnsiTheme="minorHAnsi"/>
          <w:color w:val="000000"/>
          <w:szCs w:val="24"/>
        </w:rPr>
        <w:t>PICO Confirmation Advisory Sub-Committee of the MSAC</w:t>
      </w:r>
    </w:p>
    <w:p w14:paraId="5093F193" w14:textId="77777777" w:rsidR="005A0C04" w:rsidRDefault="005A0C04" w:rsidP="007E1FF0">
      <w:pPr>
        <w:tabs>
          <w:tab w:val="left" w:pos="2694"/>
        </w:tabs>
        <w:spacing w:line="240" w:lineRule="auto"/>
        <w:rPr>
          <w:rFonts w:asciiTheme="minorHAnsi" w:hAnsiTheme="minorHAnsi"/>
          <w:color w:val="000000"/>
          <w:szCs w:val="24"/>
        </w:rPr>
      </w:pPr>
      <w:r>
        <w:rPr>
          <w:rFonts w:asciiTheme="minorHAnsi" w:hAnsiTheme="minorHAnsi"/>
          <w:color w:val="000000"/>
          <w:szCs w:val="24"/>
        </w:rPr>
        <w:t>PLEX</w:t>
      </w:r>
      <w:r>
        <w:rPr>
          <w:rFonts w:asciiTheme="minorHAnsi" w:hAnsiTheme="minorHAnsi"/>
          <w:color w:val="000000"/>
          <w:szCs w:val="24"/>
        </w:rPr>
        <w:tab/>
        <w:t>plasma exchange</w:t>
      </w:r>
    </w:p>
    <w:p w14:paraId="56A76732" w14:textId="77777777" w:rsidR="00863C1B" w:rsidRDefault="00863C1B" w:rsidP="007E1FF0">
      <w:pPr>
        <w:tabs>
          <w:tab w:val="left" w:pos="2694"/>
        </w:tabs>
        <w:spacing w:line="240" w:lineRule="auto"/>
        <w:rPr>
          <w:rFonts w:asciiTheme="minorHAnsi" w:hAnsiTheme="minorHAnsi"/>
          <w:color w:val="000000"/>
          <w:szCs w:val="24"/>
        </w:rPr>
      </w:pPr>
      <w:r>
        <w:rPr>
          <w:rFonts w:asciiTheme="minorHAnsi" w:hAnsiTheme="minorHAnsi"/>
          <w:color w:val="000000"/>
          <w:szCs w:val="24"/>
        </w:rPr>
        <w:t>PPA</w:t>
      </w:r>
      <w:r>
        <w:rPr>
          <w:rFonts w:asciiTheme="minorHAnsi" w:hAnsiTheme="minorHAnsi"/>
          <w:color w:val="000000"/>
          <w:szCs w:val="24"/>
        </w:rPr>
        <w:tab/>
      </w:r>
      <w:r w:rsidR="00AA6F26">
        <w:rPr>
          <w:rFonts w:asciiTheme="minorHAnsi" w:hAnsiTheme="minorHAnsi"/>
          <w:color w:val="000000"/>
          <w:szCs w:val="24"/>
        </w:rPr>
        <w:t>positive percent agreement</w:t>
      </w:r>
    </w:p>
    <w:p w14:paraId="6F2EDE59" w14:textId="77777777" w:rsidR="006509D6" w:rsidRDefault="006509D6" w:rsidP="007E1FF0">
      <w:pPr>
        <w:tabs>
          <w:tab w:val="left" w:pos="2694"/>
        </w:tabs>
        <w:spacing w:line="240" w:lineRule="auto"/>
        <w:rPr>
          <w:rFonts w:asciiTheme="minorHAnsi" w:hAnsiTheme="minorHAnsi"/>
          <w:color w:val="000000"/>
          <w:szCs w:val="24"/>
        </w:rPr>
      </w:pPr>
      <w:r>
        <w:rPr>
          <w:rFonts w:asciiTheme="minorHAnsi" w:hAnsiTheme="minorHAnsi"/>
          <w:color w:val="000000"/>
          <w:szCs w:val="24"/>
        </w:rPr>
        <w:t>PPV</w:t>
      </w:r>
      <w:r>
        <w:rPr>
          <w:rFonts w:asciiTheme="minorHAnsi" w:hAnsiTheme="minorHAnsi"/>
          <w:color w:val="000000"/>
          <w:szCs w:val="24"/>
        </w:rPr>
        <w:tab/>
        <w:t>positive predictive value</w:t>
      </w:r>
    </w:p>
    <w:p w14:paraId="7414FFD4" w14:textId="77777777" w:rsidR="00ED65EE" w:rsidRDefault="00ED65EE" w:rsidP="007E1FF0">
      <w:pPr>
        <w:tabs>
          <w:tab w:val="left" w:pos="2694"/>
        </w:tabs>
        <w:spacing w:line="240" w:lineRule="auto"/>
      </w:pPr>
      <w:r>
        <w:t>QALY</w:t>
      </w:r>
      <w:r w:rsidRPr="00183E4D">
        <w:tab/>
      </w:r>
      <w:r>
        <w:t>Quality adjusted life year</w:t>
      </w:r>
    </w:p>
    <w:p w14:paraId="64A75FD3" w14:textId="77777777" w:rsidR="00DE0DC1" w:rsidRDefault="00DE0DC1" w:rsidP="007E1FF0">
      <w:pPr>
        <w:tabs>
          <w:tab w:val="left" w:pos="2694"/>
        </w:tabs>
        <w:spacing w:line="240" w:lineRule="auto"/>
      </w:pPr>
      <w:r>
        <w:t>QoL</w:t>
      </w:r>
      <w:r>
        <w:tab/>
        <w:t>quality of life</w:t>
      </w:r>
    </w:p>
    <w:p w14:paraId="04140C94" w14:textId="77777777" w:rsidR="003C1BBD" w:rsidRDefault="003C1BBD" w:rsidP="007E1FF0">
      <w:pPr>
        <w:tabs>
          <w:tab w:val="left" w:pos="2694"/>
        </w:tabs>
        <w:spacing w:line="240" w:lineRule="auto"/>
      </w:pPr>
      <w:r>
        <w:t>RDS</w:t>
      </w:r>
      <w:r>
        <w:tab/>
        <w:t>relapsing acquired demyelinating syndrome</w:t>
      </w:r>
    </w:p>
    <w:p w14:paraId="103344F6" w14:textId="77777777" w:rsidR="005A0C04" w:rsidRDefault="005A0C04" w:rsidP="007E1FF0">
      <w:pPr>
        <w:tabs>
          <w:tab w:val="left" w:pos="2694"/>
        </w:tabs>
        <w:spacing w:line="240" w:lineRule="auto"/>
      </w:pPr>
      <w:r>
        <w:t>RTX</w:t>
      </w:r>
      <w:r>
        <w:tab/>
        <w:t>rituximab</w:t>
      </w:r>
    </w:p>
    <w:p w14:paraId="19E957E1" w14:textId="77777777" w:rsidR="00377C09" w:rsidRPr="00183E4D" w:rsidRDefault="00377C09" w:rsidP="007E1FF0">
      <w:pPr>
        <w:tabs>
          <w:tab w:val="left" w:pos="2694"/>
        </w:tabs>
        <w:spacing w:line="240" w:lineRule="auto"/>
      </w:pPr>
      <w:r>
        <w:t>T-IIF</w:t>
      </w:r>
      <w:r>
        <w:tab/>
        <w:t>tissue-based immunofluorescence test</w:t>
      </w:r>
    </w:p>
    <w:p w14:paraId="27DD034B" w14:textId="77777777" w:rsidR="00C745D9" w:rsidRDefault="00C745D9" w:rsidP="00ED65EE">
      <w:pPr>
        <w:tabs>
          <w:tab w:val="left" w:pos="2943"/>
        </w:tabs>
        <w:spacing w:line="240" w:lineRule="auto"/>
      </w:pPr>
    </w:p>
    <w:p w14:paraId="64D422B2" w14:textId="77777777" w:rsidR="00ED65EE" w:rsidRPr="00183E4D" w:rsidRDefault="00ED65EE" w:rsidP="00ED65EE">
      <w:pPr>
        <w:pStyle w:val="Heading1"/>
        <w:jc w:val="both"/>
      </w:pPr>
      <w:bookmarkStart w:id="106" w:name="_Toc39588263"/>
      <w:r w:rsidRPr="00183E4D">
        <w:lastRenderedPageBreak/>
        <w:t>Section A</w:t>
      </w:r>
      <w:r w:rsidRPr="00183E4D">
        <w:tab/>
        <w:t>Context</w:t>
      </w:r>
      <w:bookmarkEnd w:id="106"/>
    </w:p>
    <w:p w14:paraId="3943E753" w14:textId="77777777" w:rsidR="00AE7DC7" w:rsidRPr="00AE7DC7" w:rsidRDefault="00AE7DC7" w:rsidP="00AE7DC7">
      <w:r w:rsidRPr="00AE7DC7">
        <w:t>This Departmental contracted assessment report (DCAR) of aquaporin 4 antibody (AQP4-Ab) and myelin oligodendrocyte glycoprotein antibody (MOG-Ab) testing for the diagnosis and monitoring of neuromyelitis optica spectrum disorder</w:t>
      </w:r>
      <w:r w:rsidR="007807D4">
        <w:t>s</w:t>
      </w:r>
      <w:r w:rsidRPr="00AE7DC7">
        <w:t xml:space="preserve"> (NMOSD) 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7D0E1AC3" w14:textId="77777777" w:rsidR="00AE7DC7" w:rsidRPr="00AE7DC7" w:rsidRDefault="00AE7DC7" w:rsidP="00AE7DC7">
      <w:r w:rsidRPr="00AE7DC7">
        <w:t>The Pathology Clinical Committee (PCC) – Immunology recommended to the MSAC that a new MBS item be created to investigate the presence of AQP4-Ab in serum and/or cerebrospinal fluid (CSF). Although AQP4-Ab testing has been in clinical use for 10 years</w:t>
      </w:r>
      <w:r w:rsidR="0026533B">
        <w:t>.</w:t>
      </w:r>
      <w:r w:rsidRPr="00AE7DC7">
        <w:t xml:space="preserve"> </w:t>
      </w:r>
      <w:r w:rsidR="0026533B">
        <w:t xml:space="preserve"> T</w:t>
      </w:r>
      <w:r w:rsidR="0026533B" w:rsidRPr="00AE7DC7">
        <w:t xml:space="preserve">he </w:t>
      </w:r>
      <w:r w:rsidR="0026533B">
        <w:t xml:space="preserve">MBS Review Taskforce stated that the AQP4-Ab tests were currently billed through the generic MBS item 71119 and that this </w:t>
      </w:r>
      <w:r w:rsidR="0026533B" w:rsidRPr="00AE7DC7">
        <w:t xml:space="preserve">was funded at a lower level than providers currently billed for the test. </w:t>
      </w:r>
      <w:r w:rsidRPr="00AE7DC7">
        <w:t xml:space="preserve">Subsequent to the PCC’s </w:t>
      </w:r>
      <w:r w:rsidR="0026533B">
        <w:t xml:space="preserve">and MBS Review Taskforce </w:t>
      </w:r>
      <w:r w:rsidRPr="00AE7DC7">
        <w:t xml:space="preserve">recommendations, clinical input has recommended that testing for MOG-Ab should also be included as an item on the MBS, to accommodate those individuals who present with clinical symptoms representative of NMOSD, but who test negative for AQP4-Abs. </w:t>
      </w:r>
    </w:p>
    <w:p w14:paraId="2125B336" w14:textId="77777777" w:rsidR="00AE7DC7" w:rsidRPr="00AE7DC7" w:rsidRDefault="00AE7DC7" w:rsidP="00AE7DC7">
      <w:r w:rsidRPr="00AE7DC7">
        <w:t>Adelaide Health Technology Assessment (AHTA) has been commissioned by the Australian Government Department of Health to conduct a systematic literature review and economic evaluation of AQP4-Ab and MOG-Ab testing. This assessment has been undertaken in order to inform MSAC’s decision-making regarding whether the proposed medical service should be</w:t>
      </w:r>
      <w:r w:rsidR="0026533B" w:rsidRPr="0026533B">
        <w:t xml:space="preserve"> </w:t>
      </w:r>
      <w:r w:rsidR="0026533B">
        <w:t>re-listed with a specific item number and increased</w:t>
      </w:r>
      <w:r w:rsidR="0026533B" w:rsidRPr="00AE7DC7">
        <w:t xml:space="preserve"> </w:t>
      </w:r>
      <w:r w:rsidR="0026533B">
        <w:t>p</w:t>
      </w:r>
      <w:r w:rsidRPr="00AE7DC7">
        <w:t xml:space="preserve">ublic </w:t>
      </w:r>
      <w:r w:rsidR="0026533B" w:rsidRPr="00AE7DC7">
        <w:t>fund</w:t>
      </w:r>
      <w:r w:rsidR="0026533B">
        <w:t>ing</w:t>
      </w:r>
      <w:r w:rsidRPr="00AE7DC7">
        <w:t xml:space="preserve">. </w:t>
      </w:r>
    </w:p>
    <w:p w14:paraId="3E58E892" w14:textId="77777777" w:rsidR="00AE7DC7" w:rsidRPr="00AE7DC7" w:rsidRDefault="00AE7DC7" w:rsidP="00AE7DC7">
      <w:r w:rsidRPr="0036728F">
        <w:t>Appendix A</w:t>
      </w:r>
      <w:r w:rsidRPr="00AE7DC7">
        <w:t xml:space="preserve"> provides a list of the people involved in the development of this assessment report, including clinical experts that provided input. Clinical guidance was provided from various sources which included private pathology providers, </w:t>
      </w:r>
      <w:r w:rsidR="00707132">
        <w:t xml:space="preserve">the Royal College of Pathologists Australasia (RCPA), </w:t>
      </w:r>
      <w:r w:rsidRPr="00AE7DC7">
        <w:t>members of the P</w:t>
      </w:r>
      <w:r w:rsidR="00417CB0">
        <w:t>CC</w:t>
      </w:r>
      <w:r w:rsidR="00C76EFA">
        <w:t>-Immunology</w:t>
      </w:r>
      <w:r w:rsidRPr="00AE7DC7">
        <w:t xml:space="preserve"> (MBS Review Taskforce), and specialists. </w:t>
      </w:r>
    </w:p>
    <w:p w14:paraId="73DF0D97" w14:textId="77777777" w:rsidR="00AE7DC7" w:rsidRDefault="00AE7DC7" w:rsidP="00AE7DC7">
      <w:r w:rsidRPr="00AE7DC7">
        <w:t xml:space="preserve">The proposed use of AQP4-Ab and MOG-Ab testing for NMOSD in Australian clinical practice was outlined in a PICO Confirmation that was presented to the PICO Confirmation Advisory SubCommittee (PASC) on 6 December 2019. </w:t>
      </w:r>
      <w:r w:rsidR="00707132">
        <w:t>The</w:t>
      </w:r>
      <w:r w:rsidR="00707132" w:rsidRPr="00AE7DC7">
        <w:t xml:space="preserve"> PICO Confirmation outlining the proposed use of </w:t>
      </w:r>
      <w:r w:rsidR="00707132">
        <w:t>antibody testing for NMOSD</w:t>
      </w:r>
      <w:r w:rsidR="00707132" w:rsidRPr="00AE7DC7">
        <w:t xml:space="preserve"> in Australian clinical practice was </w:t>
      </w:r>
      <w:r w:rsidR="00707132" w:rsidRPr="0036728F">
        <w:t>ratified by</w:t>
      </w:r>
      <w:r w:rsidR="00707132" w:rsidRPr="00AE7DC7">
        <w:t xml:space="preserve"> the PICO Confirmation Advisory SubCommittee (PASC).</w:t>
      </w:r>
    </w:p>
    <w:p w14:paraId="4F1950EA" w14:textId="77777777" w:rsidR="006250F4" w:rsidRPr="00AE7DC7" w:rsidRDefault="006250F4" w:rsidP="00AE7DC7"/>
    <w:p w14:paraId="194212FA" w14:textId="77777777" w:rsidR="00ED65EE" w:rsidRPr="00183E4D" w:rsidRDefault="00ED65EE" w:rsidP="00B27F54">
      <w:pPr>
        <w:pStyle w:val="Heading2"/>
        <w:numPr>
          <w:ilvl w:val="0"/>
          <w:numId w:val="8"/>
        </w:numPr>
      </w:pPr>
      <w:bookmarkStart w:id="107" w:name="_Toc39588264"/>
      <w:r>
        <w:t>Items in the agreed PICO Confirmation</w:t>
      </w:r>
      <w:bookmarkEnd w:id="107"/>
    </w:p>
    <w:p w14:paraId="7A4CE70B" w14:textId="33068D46" w:rsidR="00D600BE" w:rsidRPr="00D600BE" w:rsidRDefault="00AE7DC7" w:rsidP="00D600BE">
      <w:r w:rsidRPr="00AE7DC7">
        <w:t xml:space="preserve">This contracted assessment of antibody testing for NMOSD addresses most of the </w:t>
      </w:r>
      <w:r w:rsidR="00333A74">
        <w:t>P</w:t>
      </w:r>
      <w:r w:rsidRPr="00AE7DC7">
        <w:t>PICO</w:t>
      </w:r>
      <w:r w:rsidR="00707132">
        <w:t xml:space="preserve"> (</w:t>
      </w:r>
      <w:r w:rsidR="00333A74">
        <w:t xml:space="preserve">prior tests, </w:t>
      </w:r>
      <w:r w:rsidR="00707132">
        <w:t>population, intervention, comparator and outcome)</w:t>
      </w:r>
      <w:r w:rsidRPr="00AE7DC7">
        <w:t xml:space="preserve"> elements that were pre-specified in the PICO Confirmation </w:t>
      </w:r>
      <w:r w:rsidR="0028198F">
        <w:t>that was ratified by PASC.</w:t>
      </w:r>
      <w:r w:rsidRPr="00AE7DC7">
        <w:t xml:space="preserve"> </w:t>
      </w:r>
      <w:r w:rsidR="00707132">
        <w:t>Accordingly, t</w:t>
      </w:r>
      <w:r w:rsidRPr="00AE7DC7">
        <w:t>he approach presented in the PICO Confirmation</w:t>
      </w:r>
      <w:r w:rsidR="00707132">
        <w:t xml:space="preserve"> was followed.</w:t>
      </w:r>
      <w:r w:rsidRPr="00AE7DC7">
        <w:t xml:space="preserve"> </w:t>
      </w:r>
      <w:r w:rsidR="00D600BE" w:rsidRPr="00D600BE">
        <w:t>There was no direct evidence</w:t>
      </w:r>
      <w:r w:rsidR="00707132">
        <w:t xml:space="preserve"> for antibody testing for diagnosis or monitoring of NMOSD</w:t>
      </w:r>
      <w:r w:rsidR="00D600BE" w:rsidRPr="00D600BE">
        <w:t xml:space="preserve"> identified in the literature search, therefore the linked evidence approach proposed in the PICO Confirmation was used in the assessment.</w:t>
      </w:r>
    </w:p>
    <w:p w14:paraId="73488B20" w14:textId="77777777" w:rsidR="00D600BE" w:rsidRPr="00D600BE" w:rsidRDefault="00707132" w:rsidP="00D600BE">
      <w:r>
        <w:lastRenderedPageBreak/>
        <w:t xml:space="preserve">Diagnosis by the 2015 International Panel for </w:t>
      </w:r>
      <w:r w:rsidR="00F95241">
        <w:t>Neuromyelitis optica (N</w:t>
      </w:r>
      <w:r>
        <w:t>MO</w:t>
      </w:r>
      <w:r w:rsidR="00F95241">
        <w:t>)</w:t>
      </w:r>
      <w:r>
        <w:t xml:space="preserve"> Diagnosis (IPND) criteria was the accepted </w:t>
      </w:r>
      <w:r w:rsidR="00D600BE" w:rsidRPr="00D600BE">
        <w:t xml:space="preserve">clinical reference standard </w:t>
      </w:r>
      <w:r>
        <w:t xml:space="preserve">used </w:t>
      </w:r>
      <w:r w:rsidR="00D600BE" w:rsidRPr="00D600BE">
        <w:t xml:space="preserve">to assess clinical validity. However, comparison of AQP4-Ab and MOG-Ab testing with the IPND criteria presents the problem of incorporation bias (see Section B4.1.1 for further information), making the calculation of diagnostic accuracy unreliable. A number of other issues </w:t>
      </w:r>
      <w:r w:rsidR="00761624">
        <w:t>also</w:t>
      </w:r>
      <w:r w:rsidR="00D600BE" w:rsidRPr="00D600BE">
        <w:t xml:space="preserve"> arose in the assessment that make it difficult to rely on diagnostic accuracy measurement of AQP4-Ab testing. These issues are further described in Section B4.1.</w:t>
      </w:r>
    </w:p>
    <w:p w14:paraId="410E4DD3" w14:textId="77777777" w:rsidR="00D600BE" w:rsidRPr="00D600BE" w:rsidRDefault="00D600BE" w:rsidP="00D600BE">
      <w:r w:rsidRPr="00D600BE">
        <w:t xml:space="preserve">Due to the unreliability of the data on sensitivity, specificity, </w:t>
      </w:r>
      <w:r w:rsidR="0086412D">
        <w:t>negative predictive value (</w:t>
      </w:r>
      <w:r w:rsidRPr="00D600BE">
        <w:t>NPV</w:t>
      </w:r>
      <w:r w:rsidR="0086412D">
        <w:t>)</w:t>
      </w:r>
      <w:r w:rsidRPr="00D600BE">
        <w:t xml:space="preserve"> and </w:t>
      </w:r>
      <w:r w:rsidR="0086412D">
        <w:t>positive predictive value (</w:t>
      </w:r>
      <w:r w:rsidRPr="00D600BE">
        <w:t>PPV</w:t>
      </w:r>
      <w:r w:rsidR="0086412D">
        <w:t>)</w:t>
      </w:r>
      <w:r w:rsidRPr="00D600BE">
        <w:t xml:space="preserve"> of AQP4-Ab and MOG-Ab testing in the clinical setting, a prognostic evidence section has been included (Section B4.2). The reasoning is that if testing shows a difference in prognosis between those </w:t>
      </w:r>
      <w:r w:rsidR="00707132">
        <w:t xml:space="preserve">suspected of NMOSD </w:t>
      </w:r>
      <w:r w:rsidRPr="00D600BE">
        <w:t>found positive and negative</w:t>
      </w:r>
      <w:r w:rsidR="00761624">
        <w:t>,</w:t>
      </w:r>
      <w:r w:rsidRPr="00D600BE">
        <w:t xml:space="preserve"> then this step can contribute to the linked evidence. Remaining steps of linked evidence were included to show </w:t>
      </w:r>
      <w:r w:rsidR="00AD26C7">
        <w:t>how testing impacts patient management</w:t>
      </w:r>
      <w:r w:rsidR="00761624" w:rsidRPr="00D600BE">
        <w:t xml:space="preserve"> </w:t>
      </w:r>
      <w:r w:rsidRPr="00D600BE">
        <w:t>(Section B5.1) and that their health outcomes benefit as a result of management changes (Section B5.2).</w:t>
      </w:r>
    </w:p>
    <w:p w14:paraId="5CCC7397" w14:textId="77777777" w:rsidR="00D600BE" w:rsidRPr="00D600BE" w:rsidRDefault="00D600BE" w:rsidP="00D600BE">
      <w:r w:rsidRPr="00D600BE">
        <w:t xml:space="preserve">A large proportion of the relevant articles identified in the literature search were retrospective case series with before-and-after testing data. The criteria for the comparators in the PICO Confirmation were met primarily in the articles providing evidence for the clinical utility of AQP4-Ab testing. </w:t>
      </w:r>
    </w:p>
    <w:p w14:paraId="2A7B3CD3" w14:textId="77777777" w:rsidR="00D600BE" w:rsidRDefault="00D600BE" w:rsidP="00D600BE">
      <w:r w:rsidRPr="00D600BE">
        <w:t>The majority of evidence identified related to AQP4-Ab testing. There was little evidence related to MOG-Ab testing that met the PICO criteria. Because MOG-Ab can be found across a number of autoimmune conditions, it was often not possible to separate data for those at risk of NMOSD.</w:t>
      </w:r>
    </w:p>
    <w:p w14:paraId="54D943BE" w14:textId="77777777" w:rsidR="00707132" w:rsidRDefault="00707132" w:rsidP="00707132">
      <w:r>
        <w:t>There was very little evidence meeting the literature search inclusion criteria for monitoring NMOSD by antibody testing. This question of monitoring has been addressed separately in Section B6.</w:t>
      </w:r>
    </w:p>
    <w:p w14:paraId="2E08A8BD" w14:textId="77777777" w:rsidR="00707132" w:rsidRPr="00D600BE" w:rsidRDefault="00707132" w:rsidP="00D600BE"/>
    <w:p w14:paraId="1D3E36E6" w14:textId="77777777" w:rsidR="00ED65EE" w:rsidRPr="00183E4D" w:rsidRDefault="00ED65EE" w:rsidP="00B27F54">
      <w:pPr>
        <w:pStyle w:val="Heading2"/>
        <w:numPr>
          <w:ilvl w:val="0"/>
          <w:numId w:val="8"/>
        </w:numPr>
      </w:pPr>
      <w:bookmarkStart w:id="108" w:name="_Toc39588265"/>
      <w:bookmarkStart w:id="109" w:name="_Toc381796441"/>
      <w:r w:rsidRPr="00183E4D">
        <w:t>Proposed Medical Service</w:t>
      </w:r>
      <w:bookmarkEnd w:id="108"/>
    </w:p>
    <w:bookmarkEnd w:id="109"/>
    <w:p w14:paraId="76CCE008" w14:textId="77777777" w:rsidR="0002553B" w:rsidRPr="0002553B" w:rsidRDefault="0002553B" w:rsidP="0002553B">
      <w:r w:rsidRPr="0002553B">
        <w:t>The proposed medical service, is to test for antibodies against aquaporin 4 (AQP4) and against myelin oligodendrocyte glycoprotein (MOG)</w:t>
      </w:r>
      <w:r w:rsidR="00707132">
        <w:t xml:space="preserve"> to identify patients with NMOSD</w:t>
      </w:r>
      <w:r w:rsidRPr="0002553B">
        <w:t xml:space="preserve">. </w:t>
      </w:r>
    </w:p>
    <w:p w14:paraId="2CBB81E0" w14:textId="5E6F63DB" w:rsidR="0002553B" w:rsidRDefault="0002553B" w:rsidP="0002553B">
      <w:r w:rsidRPr="0002553B">
        <w:t xml:space="preserve">AQP4-Ab testing is used to differentially diagnose individuals with NMOSD, from multiple sclerosis (MS) and other autoimmune disorders of the central nervous system (CNS) </w:t>
      </w:r>
      <w:r w:rsidR="00156621">
        <w:fldChar w:fldCharType="begin"/>
      </w:r>
      <w:r w:rsidR="00156621">
        <w:instrText xml:space="preserve"> ADDIN EN.CITE &lt;EndNote&gt;&lt;Cite&gt;&lt;Author&gt;Sellner&lt;/Author&gt;&lt;Year&gt;2010&lt;/Year&gt;&lt;RecNum&gt;27&lt;/RecNum&gt;&lt;IDText&gt;1019-32&lt;/IDText&gt;&lt;DisplayText&gt;(Sellner et al. 2010)&lt;/DisplayText&gt;&lt;record&gt;&lt;rec-number&gt;27&lt;/rec-number&gt;&lt;foreign-keys&gt;&lt;key app="EN" db-id="r25zptaswpdzade29ws5pf9gx55ztppatt20" timestamp="1576104081"&gt;27&lt;/key&gt;&lt;/foreign-keys&gt;&lt;ref-type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156621">
        <w:fldChar w:fldCharType="separate"/>
      </w:r>
      <w:r w:rsidR="00156621">
        <w:rPr>
          <w:noProof/>
        </w:rPr>
        <w:t>(Sellner et al. 2010)</w:t>
      </w:r>
      <w:r w:rsidR="00156621">
        <w:fldChar w:fldCharType="end"/>
      </w:r>
      <w:r w:rsidRPr="0002553B">
        <w:t xml:space="preserve">. Despite considerable overlap in clinical features between NMOSD and other autoimmune disorders of the CNS, including MS </w:t>
      </w:r>
      <w:r w:rsidR="00156621">
        <w:fldChar w:fldCharType="begin">
          <w:fldData xml:space="preserve">PEVuZE5vdGU+PENpdGU+PEF1dGhvcj5UcmVic3Q8L0F1dGhvcj48WWVhcj4yMDE0PC9ZZWFyPjxS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</w:fldData>
        </w:fldChar>
      </w:r>
      <w:r w:rsidR="0087595F">
        <w:instrText xml:space="preserve"> ADDIN EN.CITE </w:instrText>
      </w:r>
      <w:r w:rsidR="0087595F">
        <w:fldChar w:fldCharType="begin">
          <w:fldData xml:space="preserve">PEVuZE5vdGU+PENpdGU+PEF1dGhvcj5UcmVic3Q8L0F1dGhvcj48WWVhcj4yMDE0PC9ZZWFyPjxS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</w:fldData>
        </w:fldChar>
      </w:r>
      <w:r w:rsidR="0087595F">
        <w:instrText xml:space="preserve"> ADDIN EN.CITE.DATA </w:instrText>
      </w:r>
      <w:r w:rsidR="0087595F">
        <w:fldChar w:fldCharType="end"/>
      </w:r>
      <w:r w:rsidR="00156621">
        <w:fldChar w:fldCharType="separate"/>
      </w:r>
      <w:r w:rsidR="00126162">
        <w:rPr>
          <w:noProof/>
        </w:rPr>
        <w:t>(Sellner et al. 2010; Trebst et al. 2014)</w:t>
      </w:r>
      <w:r w:rsidR="00156621">
        <w:fldChar w:fldCharType="end"/>
      </w:r>
      <w:r w:rsidRPr="0002553B">
        <w:t xml:space="preserve">, AQP4-Abs are not found in individuals with MS, and AQP4-Ab testing allows early diagnosis and treatment of NMOSD </w:t>
      </w:r>
      <w:r w:rsidR="00156621">
        <w:fldChar w:fldCharType="begin"/>
      </w:r>
      <w:r w:rsidR="00156621">
        <w:instrText xml:space="preserve"> ADDIN EN.CITE &lt;EndNote&gt;&lt;Cite&gt;&lt;Author&gt;Mader&lt;/Author&gt;&lt;Year&gt;2019&lt;/Year&gt;&lt;RecNum&gt;20&lt;/RecNum&gt;&lt;IDText&gt;1-16&lt;/IDText&gt;&lt;DisplayText&gt;(Mader &amp;amp; Brimberg 2019)&lt;/DisplayText&gt;&lt;record&gt;&lt;rec-number&gt;20&lt;/rec-number&gt;&lt;foreign-keys&gt;&lt;key app="EN" db-id="r25zptaswpdzade29ws5pf9gx55ztppatt20" timestamp="1576104079"&gt;20&lt;/key&gt;&lt;/foreign-keys&gt;&lt;ref-type name="Journal Article"&gt;17&lt;/ref-type&gt;&lt;contributors&gt;&lt;authors&gt;&lt;author&gt;Mader, S.&lt;/author&gt;&lt;author&gt;Brimberg, L.&lt;/author&gt;&lt;/authors&gt;&lt;/contributors&gt;&lt;auth-address&gt;Institute of Clinical Neuroimmunology, Biomedical Center and University Hospital, Ludwig-Maximilians University Munich, D-82152 Martinsried, Germany. Simone.Mader@med.uni-muenchen.de.&amp;#xD;The Feinstein Institute for Medical Research, The Center for Autoimmune, Musculoskeletal and Hematopoietic Diseases, Northwell Health System, Manhasset, NY 11030, USA. lbrimberg@northwell.edu.&lt;/auth-address&gt;&lt;titles&gt;&lt;title&gt;Aquaporin-4 Water Channel in the Brain and Its Implication for Health and Disease&lt;/title&gt;&lt;secondary-title&gt;Cells&lt;/secondary-title&gt;&lt;/titles&gt;&lt;periodical&gt;&lt;full-title&gt;Cells&lt;/full-title&gt;&lt;/periodical&gt;&lt;pages&gt;1-16&lt;/pages&gt;&lt;volume&gt;8&lt;/volume&gt;&lt;number&gt;2&lt;/number&gt;&lt;edition&gt;2019/01/30&lt;/edition&gt;&lt;keywords&gt;&lt;keyword&gt;aquaporin-4&lt;/keyword&gt;&lt;keyword&gt;autoantibodies&lt;/keyword&gt;&lt;keyword&gt;development&lt;/keyword&gt;&lt;keyword&gt;disease&lt;/keyword&gt;&lt;keyword&gt;glymphatic system&lt;/keyword&gt;&lt;keyword&gt;neuromyelitis optica spectrum disorder&lt;/keyword&gt;&lt;/keywords&gt;&lt;dates&gt;&lt;year&gt;2019&lt;/year&gt;&lt;pub-dates&gt;&lt;date&gt;Jan 27&lt;/date&gt;&lt;/pub-dates&gt;&lt;/dates&gt;&lt;isbn&gt;2073-4409 (Print)&amp;#xD;2073-4409 (Linking)&lt;/isbn&gt;&lt;accession-num&gt;30691235&lt;/accession-num&gt;&lt;urls&gt;&lt;/urls&gt;&lt;custom2&gt;PMC6406241&lt;/custom2&gt;&lt;electronic-resource-num&gt;10.3390/cells8020090&lt;/electronic-resource-num&gt;&lt;remote-database-provider&gt;NLM&lt;/remote-database-provider&gt;&lt;language&gt;eng&lt;/language&gt;&lt;/record&gt;&lt;/Cite&gt;&lt;/EndNote&gt;</w:instrText>
      </w:r>
      <w:r w:rsidR="00156621">
        <w:fldChar w:fldCharType="separate"/>
      </w:r>
      <w:r w:rsidR="00156621">
        <w:rPr>
          <w:noProof/>
        </w:rPr>
        <w:t>(Mader &amp; Brimberg 2019)</w:t>
      </w:r>
      <w:r w:rsidR="00156621">
        <w:fldChar w:fldCharType="end"/>
      </w:r>
      <w:r w:rsidRPr="0002553B">
        <w:t xml:space="preserve">. The early differential diagnosis of NMOSD is important, as the natural history of untreated NMOSD is significantly worse than that of MS </w:t>
      </w:r>
      <w:r w:rsidRPr="0002553B">
        <w:fldChar w:fldCharType="begin"/>
      </w:r>
      <w:r w:rsidR="00156621">
        <w:instrText xml:space="preserve"> ADDIN EN.CITE &lt;EndNote&gt;&lt;Cite&gt;&lt;Author&gt;Sellner&lt;/Author&gt;&lt;Year&gt;2010&lt;/Year&gt;&lt;RecNum&gt;27&lt;/RecNum&gt;&lt;IDText&gt;1019-32&lt;/IDText&gt;&lt;DisplayText&gt;(Sellner et al. 2010)&lt;/DisplayText&gt;&lt;record&gt;&lt;rec-number&gt;27&lt;/rec-number&gt;&lt;foreign-keys&gt;&lt;key app="EN" db-id="r25zptaswpdzade29ws5pf9gx55ztppatt20" timestamp="1576104081"&gt;27&lt;/key&gt;&lt;/foreign-keys&gt;&lt;ref-type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Pr="0002553B">
        <w:fldChar w:fldCharType="separate"/>
      </w:r>
      <w:r w:rsidRPr="0002553B">
        <w:rPr>
          <w:noProof/>
        </w:rPr>
        <w:t>(Sellner et al. 2010)</w:t>
      </w:r>
      <w:r w:rsidRPr="0002553B">
        <w:fldChar w:fldCharType="end"/>
      </w:r>
      <w:r w:rsidRPr="0002553B">
        <w:t xml:space="preserve">, and some treatments that are used for MS are not effective in the treatment of NMOSD. Evidence suggests some MS treatments may even worsen the disease outcome of individuals with NMOSD </w:t>
      </w:r>
      <w:r w:rsidRPr="0002553B">
        <w:fldChar w:fldCharType="begin">
          <w:fldData xml:space="preserve">PEVuZE5vdGU+PENpdGU+PEF1dGhvcj5MYWxhbjwvQXV0aG9yPjxZZWFyPjIwMTI8L1llYXI+PFJl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</w:fldData>
        </w:fldChar>
      </w:r>
      <w:r w:rsidR="00156621">
        <w:instrText xml:space="preserve"> ADDIN EN.CITE </w:instrText>
      </w:r>
      <w:r w:rsidR="00156621">
        <w:fldChar w:fldCharType="begin">
          <w:fldData xml:space="preserve">PEVuZE5vdGU+PENpdGU+PEF1dGhvcj5MYWxhbjwvQXV0aG9yPjxZZWFyPjIwMTI8L1llYXI+PFJl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</w:fldData>
        </w:fldChar>
      </w:r>
      <w:r w:rsidR="00156621">
        <w:instrText xml:space="preserve"> ADDIN EN.CITE.DATA </w:instrText>
      </w:r>
      <w:r w:rsidR="00156621">
        <w:fldChar w:fldCharType="end"/>
      </w:r>
      <w:r w:rsidRPr="0002553B">
        <w:fldChar w:fldCharType="separate"/>
      </w:r>
      <w:r w:rsidRPr="0002553B">
        <w:rPr>
          <w:noProof/>
        </w:rPr>
        <w:t>(Lalan et al. 2012; Mader &amp; Brimberg 2019)</w:t>
      </w:r>
      <w:r w:rsidRPr="0002553B">
        <w:fldChar w:fldCharType="end"/>
      </w:r>
      <w:r w:rsidRPr="0002553B">
        <w:t>.</w:t>
      </w:r>
    </w:p>
    <w:p w14:paraId="307248AA" w14:textId="57E3243D" w:rsidR="00906E45" w:rsidRPr="0002553B" w:rsidRDefault="00906E45" w:rsidP="0002553B">
      <w:r w:rsidRPr="00FC0F62">
        <w:t>For those  patients suspected of having NMOSD, but who do not test positive for antibodies to AQP4 or MOG, their management will depend on whether the clinician determines that they are likely to still have NMOSD, or are more likely to have a non-</w:t>
      </w:r>
      <w:r w:rsidR="000E4046" w:rsidRPr="00FC0F62">
        <w:t>progressive</w:t>
      </w:r>
      <w:r w:rsidRPr="00FC0F62">
        <w:t xml:space="preserve"> neurological condition (for example non-relapsing ON) or an alternative progressive condition such as MS. Those who are assumed to have MS but truly have NMOSD will not respond to MS treatment, and are likely to develop further clinical features of NMOSD and therefore be clinically diagnosed as having antibody-negative NMOSD after a delay.</w:t>
      </w:r>
    </w:p>
    <w:p w14:paraId="2B5A76E1" w14:textId="77777777" w:rsidR="0002553B" w:rsidRPr="0002553B" w:rsidRDefault="0002553B" w:rsidP="0002553B">
      <w:r w:rsidRPr="0002553B">
        <w:lastRenderedPageBreak/>
        <w:t xml:space="preserve">MOG-Ab testing is used to differentially diagnose individuals with MOG antibody-related demyelination (MARD) in individuals who present with clinical symptoms representative of NMOSD, but who test negative for AQP4-Abs. MARD is considered a disorder under NMOSD </w:t>
      </w:r>
      <w:r w:rsidR="00156621">
        <w:fldChar w:fldCharType="begin"/>
      </w:r>
      <w:r w:rsidR="00156621">
        <w:instrText xml:space="preserve"> ADDIN EN.CITE &lt;EndNote&gt;&lt;Cite&gt;&lt;Author&gt;Borisow&lt;/Author&gt;&lt;Year&gt;2018&lt;/Year&gt;&lt;RecNum&gt;2&lt;/RecNum&gt;&lt;IDText&gt;1-15&lt;/IDText&gt;&lt;DisplayText&gt;(Borisow et al. 2018)&lt;/DisplayText&gt;&lt;record&gt;&lt;rec-number&gt;2&lt;/rec-number&gt;&lt;foreign-keys&gt;&lt;key app="EN" db-id="r25zptaswpdzade29ws5pf9gx55ztppatt20" timestamp="1576104076"&gt;2&lt;/key&gt;&lt;/foreign-keys&gt;&lt;ref-type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156621">
        <w:fldChar w:fldCharType="separate"/>
      </w:r>
      <w:r w:rsidR="00156621">
        <w:rPr>
          <w:noProof/>
        </w:rPr>
        <w:t>(Borisow et al. 2018)</w:t>
      </w:r>
      <w:r w:rsidR="00156621">
        <w:fldChar w:fldCharType="end"/>
      </w:r>
      <w:r w:rsidRPr="0002553B">
        <w:t>.</w:t>
      </w:r>
    </w:p>
    <w:p w14:paraId="488F5667" w14:textId="77777777" w:rsidR="0002553B" w:rsidRPr="0002553B" w:rsidRDefault="0002553B" w:rsidP="0002553B">
      <w:r w:rsidRPr="0002553B">
        <w:t xml:space="preserve">The PCC – Immunology recognised, that although AQP4-Ab testing has been in clinical practice for approximately 10 years, currently the test is not listed as a specific item on the MBS </w:t>
      </w:r>
      <w:r w:rsidRPr="0002553B">
        <w:fldChar w:fldCharType="begin"/>
      </w:r>
      <w:r w:rsidR="00156621">
        <w:instrText xml:space="preserve"> ADDIN EN.CITE &lt;EndNote&gt;&lt;Cite&gt;&lt;Author&gt;PCC-Immunology&lt;/Author&gt;&lt;Year&gt;2018&lt;/Year&gt;&lt;RecNum&gt;22&lt;/RecNum&gt;&lt;DisplayText&gt;(PCC-Immunology 2018)&lt;/DisplayText&gt;&lt;record&gt;&lt;rec-number&gt;22&lt;/rec-number&gt;&lt;foreign-keys&gt;&lt;key app="EN" db-id="r25zptaswpdzade29ws5pf9gx55ztppatt20" timestamp="1576104080"&gt;22&lt;/key&gt;&lt;/foreign-keys&gt;&lt;ref-type name="Report"&gt;27&lt;/ref-type&gt;&lt;contributors&gt;&lt;authors&gt;&lt;author&gt;PCC-Immunology&lt;/author&gt;&lt;/authors&gt;&lt;/contributors&gt;&lt;titles&gt;&lt;title&gt;Report from the  Pathology-Clinical-Committee-Immunology&lt;/title&gt;&lt;secondary-title&gt;Medicare Benefits Schedule Review Taskforce&lt;/secondary-title&gt;&lt;/titles&gt;&lt;volume&gt;Feb 2018&lt;/volume&gt;&lt;dates&gt;&lt;year&gt;2018&lt;/year&gt;&lt;/dates&gt;&lt;pub-location&gt;Canberra, Australia&lt;/pub-location&gt;&lt;publisher&gt;Department of Health, Commonwealth of Australia&lt;/publisher&gt;&lt;urls&gt;&lt;/urls&gt;&lt;/record&gt;&lt;/Cite&gt;&lt;/EndNote&gt;</w:instrText>
      </w:r>
      <w:r w:rsidRPr="0002553B">
        <w:fldChar w:fldCharType="separate"/>
      </w:r>
      <w:r w:rsidRPr="0002553B">
        <w:rPr>
          <w:noProof/>
        </w:rPr>
        <w:t>(PCC-Immunology 2018)</w:t>
      </w:r>
      <w:r w:rsidRPr="0002553B">
        <w:fldChar w:fldCharType="end"/>
      </w:r>
      <w:r w:rsidRPr="0002553B">
        <w:t xml:space="preserve">. Rather, AQP4-Ab testing is </w:t>
      </w:r>
      <w:r w:rsidR="00982C26">
        <w:t>claimed</w:t>
      </w:r>
      <w:r w:rsidRPr="0002553B">
        <w:t xml:space="preserve"> under a MBS generic item number 71119 – ‘antibodies to tissue antigens not elsewhere specified‘ </w:t>
      </w:r>
      <w:r w:rsidRPr="0002553B">
        <w:fldChar w:fldCharType="begin"/>
      </w:r>
      <w:r w:rsidR="00156621">
        <w:instrText xml:space="preserve"> ADDIN EN.CITE &lt;EndNote&gt;&lt;Cite&gt;&lt;Author&gt;PCC-Immunology&lt;/Author&gt;&lt;Year&gt;2018&lt;/Year&gt;&lt;RecNum&gt;22&lt;/RecNum&gt;&lt;DisplayText&gt;(PCC-Immunology 2018)&lt;/DisplayText&gt;&lt;record&gt;&lt;rec-number&gt;22&lt;/rec-number&gt;&lt;foreign-keys&gt;&lt;key app="EN" db-id="r25zptaswpdzade29ws5pf9gx55ztppatt20" timestamp="1576104080"&gt;22&lt;/key&gt;&lt;/foreign-keys&gt;&lt;ref-type name="Report"&gt;27&lt;/ref-type&gt;&lt;contributors&gt;&lt;authors&gt;&lt;author&gt;PCC-Immunology&lt;/author&gt;&lt;/authors&gt;&lt;/contributors&gt;&lt;titles&gt;&lt;title&gt;Report from the  Pathology-Clinical-Committee-Immunology&lt;/title&gt;&lt;secondary-title&gt;Medicare Benefits Schedule Review Taskforce&lt;/secondary-title&gt;&lt;/titles&gt;&lt;volume&gt;Feb 2018&lt;/volume&gt;&lt;dates&gt;&lt;year&gt;2018&lt;/year&gt;&lt;/dates&gt;&lt;pub-location&gt;Canberra, Australia&lt;/pub-location&gt;&lt;publisher&gt;Department of Health, Commonwealth of Australia&lt;/publisher&gt;&lt;urls&gt;&lt;/urls&gt;&lt;/record&gt;&lt;/Cite&gt;&lt;/EndNote&gt;</w:instrText>
      </w:r>
      <w:r w:rsidRPr="0002553B">
        <w:fldChar w:fldCharType="separate"/>
      </w:r>
      <w:r w:rsidRPr="0002553B">
        <w:rPr>
          <w:noProof/>
        </w:rPr>
        <w:t>(PCC-Immunology 2018)</w:t>
      </w:r>
      <w:r w:rsidRPr="0002553B">
        <w:fldChar w:fldCharType="end"/>
      </w:r>
      <w:r w:rsidRPr="0002553B">
        <w:t>. The PCC</w:t>
      </w:r>
      <w:r w:rsidR="00DC2412">
        <w:t>-Immunology</w:t>
      </w:r>
      <w:r w:rsidRPr="0002553B">
        <w:t xml:space="preserve"> has proposed that a new item number for AQP4-Ab testing be created, </w:t>
      </w:r>
      <w:r w:rsidR="004F70C9">
        <w:t>stating that</w:t>
      </w:r>
      <w:r w:rsidRPr="0002553B">
        <w:t xml:space="preserve"> the current MBS item does not reflect current clinical practice and is funded at a lower level than providers currently bill for this testing </w:t>
      </w:r>
      <w:r w:rsidRPr="0002553B">
        <w:fldChar w:fldCharType="begin"/>
      </w:r>
      <w:r w:rsidR="00156621">
        <w:instrText xml:space="preserve"> ADDIN EN.CITE &lt;EndNote&gt;&lt;Cite&gt;&lt;Author&gt;PCC-Immunology&lt;/Author&gt;&lt;Year&gt;2018&lt;/Year&gt;&lt;RecNum&gt;22&lt;/RecNum&gt;&lt;DisplayText&gt;(PCC-Immunology 2018)&lt;/DisplayText&gt;&lt;record&gt;&lt;rec-number&gt;22&lt;/rec-number&gt;&lt;foreign-keys&gt;&lt;key app="EN" db-id="r25zptaswpdzade29ws5pf9gx55ztppatt20" timestamp="1576104080"&gt;22&lt;/key&gt;&lt;/foreign-keys&gt;&lt;ref-type name="Report"&gt;27&lt;/ref-type&gt;&lt;contributors&gt;&lt;authors&gt;&lt;author&gt;PCC-Immunology&lt;/author&gt;&lt;/authors&gt;&lt;/contributors&gt;&lt;titles&gt;&lt;title&gt;Report from the  Pathology-Clinical-Committee-Immunology&lt;/title&gt;&lt;secondary-title&gt;Medicare Benefits Schedule Review Taskforce&lt;/secondary-title&gt;&lt;/titles&gt;&lt;volume&gt;Feb 2018&lt;/volume&gt;&lt;dates&gt;&lt;year&gt;2018&lt;/year&gt;&lt;/dates&gt;&lt;pub-location&gt;Canberra, Australia&lt;/pub-location&gt;&lt;publisher&gt;Department of Health, Commonwealth of Australia&lt;/publisher&gt;&lt;urls&gt;&lt;/urls&gt;&lt;/record&gt;&lt;/Cite&gt;&lt;/EndNote&gt;</w:instrText>
      </w:r>
      <w:r w:rsidRPr="0002553B">
        <w:fldChar w:fldCharType="separate"/>
      </w:r>
      <w:r w:rsidRPr="0002553B">
        <w:rPr>
          <w:noProof/>
        </w:rPr>
        <w:t>(PCC-Immunology 2018)</w:t>
      </w:r>
      <w:r w:rsidRPr="0002553B">
        <w:fldChar w:fldCharType="end"/>
      </w:r>
      <w:r w:rsidRPr="0002553B">
        <w:t xml:space="preserve">. </w:t>
      </w:r>
    </w:p>
    <w:p w14:paraId="3DF27DE4" w14:textId="77777777" w:rsidR="0002553B" w:rsidRPr="0002553B" w:rsidRDefault="0002553B" w:rsidP="0002553B">
      <w:r w:rsidRPr="0002553B">
        <w:t xml:space="preserve">AQP4-Ab </w:t>
      </w:r>
      <w:r w:rsidRPr="00764EC2">
        <w:t>and</w:t>
      </w:r>
      <w:r w:rsidRPr="00333A74">
        <w:t xml:space="preserve"> </w:t>
      </w:r>
      <w:r w:rsidRPr="00764EC2">
        <w:t>MOG-Ab</w:t>
      </w:r>
      <w:r w:rsidRPr="00333A74">
        <w:t xml:space="preserve"> testing are mainly used by neurologists to diagnose NMOSD and while </w:t>
      </w:r>
      <w:r w:rsidR="008B2D2F">
        <w:t>the tests are</w:t>
      </w:r>
      <w:r w:rsidRPr="0002553B">
        <w:t xml:space="preserve"> predominantly used for diagnosis only, subsequent AQP4-Ab and MOG-Ab testing may be used in already diagnosed individuals, for monitoring disease exacerbations and relapse </w:t>
      </w:r>
      <w:r w:rsidR="00156621">
        <w:fldChar w:fldCharType="begin">
          <w:fldData xml:space="preserve">PEVuZE5vdGU+PENpdGU+PEF1dGhvcj5Cb3Jpc293PC9BdXRob3I+PFllYXI+MjAxODwvWWVhcj48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</w:fldData>
        </w:fldChar>
      </w:r>
      <w:r w:rsidR="00156621">
        <w:instrText xml:space="preserve"> ADDIN EN.CITE </w:instrText>
      </w:r>
      <w:r w:rsidR="00156621">
        <w:fldChar w:fldCharType="begin">
          <w:fldData xml:space="preserve">PEVuZE5vdGU+PENpdGU+PEF1dGhvcj5Cb3Jpc293PC9BdXRob3I+PFllYXI+MjAxODwvWWVhcj48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</w:fldData>
        </w:fldChar>
      </w:r>
      <w:r w:rsidR="00156621">
        <w:instrText xml:space="preserve"> ADDIN EN.CITE.DATA </w:instrText>
      </w:r>
      <w:r w:rsidR="00156621">
        <w:fldChar w:fldCharType="end"/>
      </w:r>
      <w:r w:rsidR="00156621">
        <w:fldChar w:fldCharType="separate"/>
      </w:r>
      <w:r w:rsidR="00156621">
        <w:rPr>
          <w:noProof/>
        </w:rPr>
        <w:t>(Borisow et al. 2018; PCC-Immunology 2018)</w:t>
      </w:r>
      <w:r w:rsidR="00156621">
        <w:fldChar w:fldCharType="end"/>
      </w:r>
      <w:r w:rsidRPr="0002553B">
        <w:t xml:space="preserve">. For MOG-Ab testing, there is no definite consensus regarding regular monitoring, however it has been suggested that re-testing at 6-12 month intervals may be beneficial </w:t>
      </w:r>
      <w:r w:rsidR="00156621">
        <w:fldChar w:fldCharType="begin">
          <w:fldData xml:space="preserve">PEVuZE5vdGU+PENpdGU+PEF1dGhvcj5XeW5mb3JkLVRob21hczwvQXV0aG9yPjxZZWFyPjIwMTk8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</w:fldData>
        </w:fldChar>
      </w:r>
      <w:r w:rsidR="00AC01FD">
        <w:instrText xml:space="preserve"> ADDIN EN.CITE </w:instrText>
      </w:r>
      <w:r w:rsidR="00AC01FD">
        <w:fldChar w:fldCharType="begin">
          <w:fldData xml:space="preserve">PEVuZE5vdGU+PENpdGU+PEF1dGhvcj5XeW5mb3JkLVRob21hczwvQXV0aG9yPjxZZWFyPjIwMTk8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</w:fldData>
        </w:fldChar>
      </w:r>
      <w:r w:rsidR="00AC01FD">
        <w:instrText xml:space="preserve"> ADDIN EN.CITE.DATA </w:instrText>
      </w:r>
      <w:r w:rsidR="00AC01FD">
        <w:fldChar w:fldCharType="end"/>
      </w:r>
      <w:r w:rsidR="00156621">
        <w:fldChar w:fldCharType="separate"/>
      </w:r>
      <w:r w:rsidR="00156621">
        <w:rPr>
          <w:noProof/>
        </w:rPr>
        <w:t>(Wynford-Thomas, Jacob &amp; Tomassini 2019)</w:t>
      </w:r>
      <w:r w:rsidR="00156621">
        <w:fldChar w:fldCharType="end"/>
      </w:r>
      <w:r w:rsidRPr="0002553B">
        <w:t xml:space="preserve">. </w:t>
      </w:r>
      <w:r w:rsidR="00150CBA">
        <w:t xml:space="preserve">As acknowledged in the ratified PICO document, (p. 21 &amp; 23) clinical advice indicated that patients already diagnosed with NMOSD may be monitored by regular antibody testing (AQP4 or MOG) up to four times a year, to ascertain whether there is an increase in antibody presence or activity. However, the PASC considered it unlikely that testing would be done four times in a year, </w:t>
      </w:r>
      <w:r w:rsidR="00333A74">
        <w:t>although</w:t>
      </w:r>
      <w:r w:rsidR="00150CBA">
        <w:t xml:space="preserve"> there is little evidence about this. </w:t>
      </w:r>
      <w:r w:rsidRPr="0002553B">
        <w:t xml:space="preserve"> </w:t>
      </w:r>
    </w:p>
    <w:p w14:paraId="1AD470D1" w14:textId="0A2CCACC" w:rsidR="0002553B" w:rsidRPr="0002553B" w:rsidRDefault="0002553B" w:rsidP="0002553B">
      <w:r w:rsidRPr="0002553B">
        <w:t>AQP4-Ab testing has been supported by the IPND</w:t>
      </w:r>
      <w:r w:rsidR="008B2D2F">
        <w:t xml:space="preserve"> </w:t>
      </w:r>
      <w:r w:rsidRPr="0002553B">
        <w:fldChar w:fldCharType="begin"/>
      </w:r>
      <w:r w:rsidR="00646E7C">
        <w:instrText xml:space="preserve"> ADDIN EN.CITE &lt;EndNote&gt;&lt;Cite&gt;&lt;Author&gt;Wingerchuk&lt;/Author&gt;&lt;Year&gt;2015&lt;/Year&gt;&lt;RecNum&gt;35&lt;/RecNum&gt;&lt;IDText&gt;177&lt;/IDText&gt;&lt;DisplayText&gt;(Wingerchuk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Pr="0002553B">
        <w:fldChar w:fldCharType="separate"/>
      </w:r>
      <w:r w:rsidR="00646E7C">
        <w:rPr>
          <w:noProof/>
        </w:rPr>
        <w:t>(Wingerchuk et al. 2015)</w:t>
      </w:r>
      <w:r w:rsidRPr="0002553B">
        <w:fldChar w:fldCharType="end"/>
      </w:r>
      <w:r w:rsidRPr="0002553B">
        <w:t xml:space="preserve"> and the European Federation of Neurological Societies (EFNS)</w:t>
      </w:r>
      <w:r w:rsidRPr="0002553B">
        <w:fldChar w:fldCharType="begin"/>
      </w:r>
      <w:r w:rsidR="00156621">
        <w:instrText xml:space="preserve"> ADDIN EN.CITE &lt;EndNote&gt;&lt;Cite&gt;&lt;Author&gt;Sellner&lt;/Author&gt;&lt;Year&gt;2010&lt;/Year&gt;&lt;RecNum&gt;27&lt;/RecNum&gt;&lt;IDText&gt;1019-32&lt;/IDText&gt;&lt;DisplayText&gt;(Sellner et al. 2010)&lt;/DisplayText&gt;&lt;record&gt;&lt;rec-number&gt;27&lt;/rec-number&gt;&lt;foreign-keys&gt;&lt;key app="EN" db-id="r25zptaswpdzade29ws5pf9gx55ztppatt20" timestamp="1576104081"&gt;27&lt;/key&gt;&lt;/foreign-keys&gt;&lt;ref-type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Pr="0002553B">
        <w:fldChar w:fldCharType="separate"/>
      </w:r>
      <w:r w:rsidRPr="0002553B">
        <w:rPr>
          <w:noProof/>
        </w:rPr>
        <w:t>(Sellner et al. 2010)</w:t>
      </w:r>
      <w:r w:rsidRPr="0002553B">
        <w:fldChar w:fldCharType="end"/>
      </w:r>
      <w:r w:rsidRPr="0002553B">
        <w:t xml:space="preserve">. IPND stated that the role of MOG-Abs in disease pathogenesis remains undetermined. </w:t>
      </w:r>
    </w:p>
    <w:p w14:paraId="62F8C55C" w14:textId="5BC9C3BE" w:rsidR="0002553B" w:rsidRPr="0002553B" w:rsidRDefault="0002553B" w:rsidP="0002553B">
      <w:r w:rsidRPr="0002553B">
        <w:t>Antibody testing for AQP4 and MOG can be performed in serum or CSF</w:t>
      </w:r>
      <w:r w:rsidR="008B2D2F">
        <w:t>,</w:t>
      </w:r>
      <w:r w:rsidRPr="0002553B">
        <w:t xml:space="preserve"> although testing in CSF is not routinely recommended as both antibodies are produced mainly extrathecally and are therefore less frequent in CSF than in serum </w:t>
      </w:r>
      <w:r w:rsidR="00156621">
        <w:fldChar w:fldCharType="begin"/>
      </w:r>
      <w:r w:rsidR="00156621">
        <w:instrText xml:space="preserve"> ADDIN EN.CITE &lt;EndNote&gt;&lt;Cite&gt;&lt;Author&gt;Borisow&lt;/Author&gt;&lt;Year&gt;2018&lt;/Year&gt;&lt;RecNum&gt;2&lt;/RecNum&gt;&lt;IDText&gt;1-15&lt;/IDText&gt;&lt;DisplayText&gt;(Borisow et al. 2018)&lt;/DisplayText&gt;&lt;record&gt;&lt;rec-number&gt;2&lt;/rec-number&gt;&lt;foreign-keys&gt;&lt;key app="EN" db-id="r25zptaswpdzade29ws5pf9gx55ztppatt20" timestamp="1576104076"&gt;2&lt;/key&gt;&lt;/foreign-keys&gt;&lt;ref-type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156621">
        <w:fldChar w:fldCharType="separate"/>
      </w:r>
      <w:r w:rsidR="00156621">
        <w:rPr>
          <w:noProof/>
        </w:rPr>
        <w:t>(Borisow et al. 2018)</w:t>
      </w:r>
      <w:r w:rsidR="00156621">
        <w:fldChar w:fldCharType="end"/>
      </w:r>
      <w:r w:rsidRPr="0002553B">
        <w:t xml:space="preserve">. CSF testing of AQP4-Ab seronegative patients may be considered in selected cases, especially in individuals with additional confounding serum autoantibodies that may lead to uninterpretable or false-positive assay </w:t>
      </w:r>
      <w:r w:rsidR="008B2D2F" w:rsidRPr="0002553B">
        <w:t xml:space="preserve">results </w:t>
      </w:r>
      <w:r w:rsidR="00156621">
        <w:fldChar w:fldCharType="begin"/>
      </w:r>
      <w:r w:rsidR="00646E7C">
        <w:instrText xml:space="preserve"> ADDIN EN.CITE &lt;EndNote&gt;&lt;Cite&gt;&lt;Author&gt;Wingerchuk&lt;/Author&gt;&lt;Year&gt;2015&lt;/Year&gt;&lt;RecNum&gt;35&lt;/RecNum&gt;&lt;IDText&gt;177&lt;/IDText&gt;&lt;DisplayText&gt;(Wingerchuk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fldChar w:fldCharType="separate"/>
      </w:r>
      <w:r w:rsidR="00646E7C">
        <w:rPr>
          <w:noProof/>
        </w:rPr>
        <w:t>(Wingerchuk et al. 2015)</w:t>
      </w:r>
      <w:r w:rsidR="00156621">
        <w:fldChar w:fldCharType="end"/>
      </w:r>
      <w:r w:rsidRPr="0002553B">
        <w:t xml:space="preserve">. </w:t>
      </w:r>
      <w:r w:rsidR="004D1894">
        <w:t xml:space="preserve">The PASC (p.11, ratified PICO document) noted that, although testing of serum is preferred to CSF, CSF testing may be used in some clinical situations. The applicant confirmed that the number of CSF tests conducted is small, but agreed it must remain an available option and therefore be evaluated in the assessment. </w:t>
      </w:r>
    </w:p>
    <w:p w14:paraId="33E5E7E1" w14:textId="242BB6F5" w:rsidR="00833463" w:rsidRPr="00A9748F" w:rsidRDefault="0002553B" w:rsidP="00A9748F">
      <w:pPr>
        <w:rPr>
          <w:u w:color="FF0000"/>
        </w:rPr>
      </w:pPr>
      <w:r w:rsidRPr="0002553B">
        <w:rPr>
          <w:u w:color="FF0000"/>
        </w:rPr>
        <w:t xml:space="preserve">A total of six different serum AQP4-Ab assays are available, and include cell-based assays, tissue based immunofluorescence (T-IIF), enzyme-linked immunosorbent assay (ELISA), and immunoprecipitation measured by either radioimmunoprecipitation assay (RIPA) or fluorescence immunoprecipitation assay (FIPA). The published literature indicates that the most accurate assay type is a </w:t>
      </w:r>
      <w:r w:rsidR="002D67CE">
        <w:rPr>
          <w:u w:color="FF0000"/>
        </w:rPr>
        <w:t>cell-based assay</w:t>
      </w:r>
      <w:r w:rsidRPr="0002553B">
        <w:rPr>
          <w:u w:color="FF0000"/>
        </w:rPr>
        <w:t xml:space="preserve"> </w:t>
      </w:r>
      <w:r w:rsidR="00156621">
        <w:rPr>
          <w:u w:color="FF0000"/>
        </w:rPr>
        <w:fldChar w:fldCharType="begin"/>
      </w:r>
      <w:r w:rsidR="00156621">
        <w:rPr>
          <w:u w:color="FF0000"/>
        </w:rPr>
        <w:instrText xml:space="preserve"> ADDIN EN.CITE &lt;EndNote&gt;&lt;Cite&gt;&lt;Author&gt;Borisow&lt;/Author&gt;&lt;Year&gt;2018&lt;/Year&gt;&lt;RecNum&gt;2&lt;/RecNum&gt;&lt;IDText&gt;1-15&lt;/IDText&gt;&lt;DisplayText&gt;(Borisow et al. 2018)&lt;/DisplayText&gt;&lt;record&gt;&lt;rec-number&gt;2&lt;/rec-number&gt;&lt;foreign-keys&gt;&lt;key app="EN" db-id="r25zptaswpdzade29ws5pf9gx55ztppatt20" timestamp="1576104076"&gt;2&lt;/key&gt;&lt;/foreign-keys&gt;&lt;ref-type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156621">
        <w:rPr>
          <w:u w:color="FF0000"/>
        </w:rPr>
        <w:fldChar w:fldCharType="separate"/>
      </w:r>
      <w:r w:rsidR="00156621">
        <w:rPr>
          <w:noProof/>
          <w:u w:color="FF0000"/>
        </w:rPr>
        <w:t>(Borisow et al. 2018)</w:t>
      </w:r>
      <w:r w:rsidR="00156621">
        <w:rPr>
          <w:u w:color="FF0000"/>
        </w:rPr>
        <w:fldChar w:fldCharType="end"/>
      </w:r>
      <w:r w:rsidRPr="0002553B">
        <w:rPr>
          <w:u w:color="FF0000"/>
        </w:rPr>
        <w:t xml:space="preserve">. </w:t>
      </w:r>
      <w:r w:rsidR="00D822FD">
        <w:rPr>
          <w:u w:color="FF0000"/>
        </w:rPr>
        <w:t>Cell-based assays</w:t>
      </w:r>
      <w:r w:rsidRPr="0002553B">
        <w:rPr>
          <w:u w:color="FF0000"/>
        </w:rPr>
        <w:t xml:space="preserve"> are measured either visually or by flow cytometry </w:t>
      </w:r>
      <w:r w:rsidR="0058036D">
        <w:rPr>
          <w:u w:color="FF0000"/>
        </w:rPr>
        <w:t>(</w:t>
      </w:r>
      <w:r w:rsidR="0058036D" w:rsidRPr="003C1BBD">
        <w:rPr>
          <w:rFonts w:asciiTheme="minorHAnsi" w:hAnsiTheme="minorHAnsi"/>
          <w:color w:val="000000"/>
          <w:szCs w:val="24"/>
        </w:rPr>
        <w:t>fluorescence-activated cell sorting</w:t>
      </w:r>
      <w:r w:rsidR="0058036D">
        <w:rPr>
          <w:rFonts w:asciiTheme="minorHAnsi" w:hAnsiTheme="minorHAnsi"/>
          <w:color w:val="000000"/>
          <w:szCs w:val="24"/>
        </w:rPr>
        <w:t xml:space="preserve"> (FACS))</w:t>
      </w:r>
      <w:r w:rsidR="000A19C0">
        <w:rPr>
          <w:rFonts w:asciiTheme="minorHAnsi" w:hAnsiTheme="minorHAnsi"/>
          <w:color w:val="000000"/>
          <w:szCs w:val="24"/>
        </w:rPr>
        <w:t xml:space="preserve"> </w:t>
      </w:r>
      <w:r w:rsidR="00156621">
        <w:rPr>
          <w:u w:color="FF0000"/>
        </w:rPr>
        <w:fldChar w:fldCharType="begin">
          <w:fldData xml:space="preserve">PEVuZE5vdGU+PENpdGU+PEF1dGhvcj5XYXRlcnM8L0F1dGhvcj48WWVhcj4yMDE0PC9ZZWFyPjxS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</w:fldData>
        </w:fldChar>
      </w:r>
      <w:r w:rsidR="000967CF">
        <w:rPr>
          <w:u w:color="FF0000"/>
        </w:rPr>
        <w:instrText xml:space="preserve"> ADDIN EN.CITE </w:instrText>
      </w:r>
      <w:r w:rsidR="000967CF">
        <w:rPr>
          <w:u w:color="FF0000"/>
        </w:rPr>
        <w:fldChar w:fldCharType="begin">
          <w:fldData xml:space="preserve">PEVuZE5vdGU+PENpdGU+PEF1dGhvcj5XYXRlcnM8L0F1dGhvcj48WWVhcj4yMDE0PC9ZZWFyPjxS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</w:fldData>
        </w:fldChar>
      </w:r>
      <w:r w:rsidR="000967CF">
        <w:rPr>
          <w:u w:color="FF0000"/>
        </w:rPr>
        <w:instrText xml:space="preserve"> ADDIN EN.CITE.DATA </w:instrText>
      </w:r>
      <w:r w:rsidR="000967CF">
        <w:rPr>
          <w:u w:color="FF0000"/>
        </w:rPr>
      </w:r>
      <w:r w:rsidR="000967CF">
        <w:rPr>
          <w:u w:color="FF0000"/>
        </w:rPr>
        <w:fldChar w:fldCharType="end"/>
      </w:r>
      <w:r w:rsidR="00156621">
        <w:rPr>
          <w:u w:color="FF0000"/>
        </w:rPr>
      </w:r>
      <w:r w:rsidR="00156621">
        <w:rPr>
          <w:u w:color="FF0000"/>
        </w:rPr>
        <w:fldChar w:fldCharType="separate"/>
      </w:r>
      <w:r w:rsidR="000967CF">
        <w:rPr>
          <w:noProof/>
          <w:u w:color="FF0000"/>
        </w:rPr>
        <w:t>(Waters et al. 2014)</w:t>
      </w:r>
      <w:r w:rsidR="00156621">
        <w:rPr>
          <w:u w:color="FF0000"/>
        </w:rPr>
        <w:fldChar w:fldCharType="end"/>
      </w:r>
      <w:r w:rsidRPr="0002553B">
        <w:rPr>
          <w:u w:color="FF0000"/>
        </w:rPr>
        <w:t xml:space="preserve">. </w:t>
      </w:r>
    </w:p>
    <w:p w14:paraId="12DC9EFB" w14:textId="3E9773EF" w:rsidR="0002553B" w:rsidRDefault="0002553B" w:rsidP="0002553B">
      <w:r w:rsidRPr="0002553B">
        <w:t>Cell-based assay kits (Euroimmune</w:t>
      </w:r>
      <w:r w:rsidRPr="0002553B">
        <w:rPr>
          <w:rFonts w:cs="Calibri"/>
        </w:rPr>
        <w:t>®</w:t>
      </w:r>
      <w:r w:rsidRPr="0002553B">
        <w:t>) that test for AQP4-Ab and MOG-Abs concurrently</w:t>
      </w:r>
      <w:r w:rsidRPr="0002553B">
        <w:rPr>
          <w:vertAlign w:val="superscript"/>
        </w:rPr>
        <w:footnoteReference w:id="3"/>
      </w:r>
      <w:r w:rsidRPr="0002553B">
        <w:t xml:space="preserve"> are used in Australia. Dual assays are transfected with cells expressing the AQP4 and MOG protein, and are </w:t>
      </w:r>
      <w:r w:rsidRPr="0002553B">
        <w:lastRenderedPageBreak/>
        <w:t>therefore able to detect both antibody types. By testing for both antibodies at one time, earlier diagnosis and treatment may be available to patients.</w:t>
      </w:r>
    </w:p>
    <w:p w14:paraId="53477CC0" w14:textId="77777777" w:rsidR="00833463" w:rsidRPr="0002553B" w:rsidRDefault="00833463" w:rsidP="0002553B"/>
    <w:p w14:paraId="34CBC832" w14:textId="77777777" w:rsidR="00ED65EE" w:rsidRPr="00183E4D" w:rsidRDefault="00222093" w:rsidP="00B27F54">
      <w:pPr>
        <w:pStyle w:val="Heading2"/>
        <w:numPr>
          <w:ilvl w:val="0"/>
          <w:numId w:val="8"/>
        </w:numPr>
      </w:pPr>
      <w:bookmarkStart w:id="110" w:name="_Toc381796450"/>
      <w:bookmarkStart w:id="111" w:name="_Toc39588266"/>
      <w:bookmarkStart w:id="112" w:name="_Toc327540865"/>
      <w:bookmarkStart w:id="113" w:name="_Toc379118069"/>
      <w:bookmarkStart w:id="114" w:name="_Toc381796447"/>
      <w:r>
        <w:t>P</w:t>
      </w:r>
      <w:r w:rsidR="00ED65EE" w:rsidRPr="00183E4D">
        <w:t>roposal for Public Funding</w:t>
      </w:r>
      <w:bookmarkEnd w:id="110"/>
      <w:bookmarkEnd w:id="111"/>
    </w:p>
    <w:p w14:paraId="08CBE4CF" w14:textId="3C741211" w:rsidR="0002553B" w:rsidRPr="0002553B" w:rsidRDefault="0002553B" w:rsidP="0002553B">
      <w:r w:rsidRPr="0002553B">
        <w:t>AQP4-Ab testing has been occurring in Australia for more than 10 years under MBS items 71119 or 71165, which are non-specific single antibody test descriptors (</w:t>
      </w:r>
      <w:r w:rsidRPr="0002553B">
        <w:fldChar w:fldCharType="begin"/>
      </w:r>
      <w:r w:rsidRPr="0002553B">
        <w:instrText xml:space="preserve"> REF _Ref20308454 \h  \* MERGEFORMAT </w:instrText>
      </w:r>
      <w:r w:rsidRPr="0002553B">
        <w:fldChar w:fldCharType="separate"/>
      </w:r>
      <w:r w:rsidR="00833463" w:rsidRPr="00DC2B0F">
        <w:t xml:space="preserve">Table </w:t>
      </w:r>
      <w:r w:rsidR="00833463">
        <w:t>11</w:t>
      </w:r>
      <w:r w:rsidRPr="0002553B">
        <w:fldChar w:fldCharType="end"/>
      </w:r>
      <w:r w:rsidRPr="0002553B">
        <w:t>). The PCC</w:t>
      </w:r>
      <w:r w:rsidR="00AD26C7">
        <w:t>-Immunology</w:t>
      </w:r>
      <w:r w:rsidRPr="0002553B">
        <w:t xml:space="preserve"> recommended the creation of a new item number so that the fee more appropriately reflects what providers currently bill for the test. </w:t>
      </w:r>
    </w:p>
    <w:p w14:paraId="111586FC" w14:textId="77777777" w:rsidR="0002553B" w:rsidRDefault="0002553B" w:rsidP="0002553B">
      <w:r w:rsidRPr="0002553B">
        <w:t>The PCC</w:t>
      </w:r>
      <w:r w:rsidR="00BA097A">
        <w:t>-Immunology</w:t>
      </w:r>
      <w:r w:rsidRPr="0002553B">
        <w:t xml:space="preserve"> proposed a single item number for “a test to investigate the presence of neuromyelitis optica by detection of aquaporin</w:t>
      </w:r>
      <w:r w:rsidR="00CB45AA">
        <w:t xml:space="preserve"> </w:t>
      </w:r>
      <w:r w:rsidRPr="0002553B">
        <w:t xml:space="preserve">4 antibodies”. This was amended to include the updated disease term (NMOSD, which is considered to include the subtype of MARD), and to remove the specification of AQP4, to allow for AQP4-Ab, MOG-Ab and any future antibodies to be tested using the same item number. Advice was provided </w:t>
      </w:r>
      <w:r w:rsidR="00333A74">
        <w:t>by PASC</w:t>
      </w:r>
      <w:r w:rsidRPr="0002553B">
        <w:t xml:space="preserve"> that if both AQP4-Ab and MOG-Ab testing occur at the same time, there would be no additional cost, compared to testing for only one antibody.</w:t>
      </w:r>
      <w:r w:rsidR="00420DF2" w:rsidRPr="00420DF2">
        <w:t xml:space="preserve"> </w:t>
      </w:r>
      <w:r w:rsidR="00420DF2">
        <w:t>The proposed item permits both cerebrospinal fluid (CSF) and serum testing.</w:t>
      </w:r>
    </w:p>
    <w:p w14:paraId="01E8245A" w14:textId="013B8CF6" w:rsidR="0002553B" w:rsidRDefault="00333A74" w:rsidP="0002553B">
      <w:r>
        <w:fldChar w:fldCharType="begin"/>
      </w:r>
      <w:r>
        <w:instrText xml:space="preserve"> REF _Ref22036514 \h </w:instrText>
      </w:r>
      <w:r>
        <w:fldChar w:fldCharType="separate"/>
      </w:r>
      <w:r w:rsidR="0014371E" w:rsidRPr="00E8621A">
        <w:t xml:space="preserve">Table </w:t>
      </w:r>
      <w:r w:rsidR="0014371E">
        <w:rPr>
          <w:noProof/>
        </w:rPr>
        <w:t>1</w:t>
      </w:r>
      <w:r>
        <w:fldChar w:fldCharType="end"/>
      </w:r>
      <w:r>
        <w:t xml:space="preserve"> </w:t>
      </w:r>
      <w:r w:rsidR="00A72295">
        <w:t>shows</w:t>
      </w:r>
      <w:r>
        <w:t xml:space="preserve"> the proposed item descriptor for antibody testing for diagnosis or monitoring of NMOSD.</w:t>
      </w:r>
    </w:p>
    <w:p w14:paraId="649B70D1" w14:textId="77777777" w:rsidR="00EA2081" w:rsidRPr="0002553B" w:rsidRDefault="00EA2081" w:rsidP="0002553B"/>
    <w:p w14:paraId="41C74A04" w14:textId="77777777" w:rsidR="00ED65EE" w:rsidRDefault="00ED65EE" w:rsidP="00B27F54">
      <w:pPr>
        <w:pStyle w:val="Heading2"/>
        <w:numPr>
          <w:ilvl w:val="0"/>
          <w:numId w:val="8"/>
        </w:numPr>
      </w:pPr>
      <w:bookmarkStart w:id="115" w:name="_Toc39588267"/>
      <w:bookmarkStart w:id="116" w:name="_Toc379118076"/>
      <w:bookmarkStart w:id="117" w:name="_Toc381796455"/>
      <w:bookmarkStart w:id="118" w:name="_Toc379118072"/>
      <w:bookmarkStart w:id="119" w:name="_Toc355274709"/>
      <w:bookmarkEnd w:id="112"/>
      <w:bookmarkEnd w:id="113"/>
      <w:bookmarkEnd w:id="114"/>
      <w:r>
        <w:t>Proposed Population</w:t>
      </w:r>
      <w:bookmarkEnd w:id="115"/>
    </w:p>
    <w:p w14:paraId="156F5393" w14:textId="77777777" w:rsidR="00222093" w:rsidRPr="00222093" w:rsidRDefault="00222093" w:rsidP="00222093">
      <w:r w:rsidRPr="00222093">
        <w:t>The target population is people suspected of having NMO/NMOSD</w:t>
      </w:r>
      <w:r w:rsidR="00A72295">
        <w:t>.</w:t>
      </w:r>
      <w:r w:rsidRPr="00222093">
        <w:t xml:space="preserve"> </w:t>
      </w:r>
    </w:p>
    <w:p w14:paraId="6AE5E9E5" w14:textId="454CF513" w:rsidR="00222093" w:rsidRPr="00222093" w:rsidRDefault="00222093" w:rsidP="00222093">
      <w:r w:rsidRPr="00222093">
        <w:t xml:space="preserve">NMO (also known as Devic’s disease) is rare, but severe. It is an inflammatory, demyelinating and necrotising, idiopathic, humorally mediated autoimmune disorder of the CNS </w:t>
      </w:r>
      <w:r w:rsidRPr="00222093">
        <w:fldChar w:fldCharType="begin">
          <w:fldData xml:space="preserve">PEVuZE5vdGU+PENpdGU+PEF1dGhvcj5KYXJpdXM8L0F1dGhvcj48WWVhcj4yMDE0PC9ZZWFyPjxS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</w:fldData>
        </w:fldChar>
      </w:r>
      <w:r w:rsidR="00156621">
        <w:instrText xml:space="preserve"> ADDIN EN.CITE </w:instrText>
      </w:r>
      <w:r w:rsidR="00156621">
        <w:fldChar w:fldCharType="begin">
          <w:fldData xml:space="preserve">PEVuZE5vdGU+PENpdGU+PEF1dGhvcj5KYXJpdXM8L0F1dGhvcj48WWVhcj4yMDE0PC9ZZWFyPjxS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</w:fldData>
        </w:fldChar>
      </w:r>
      <w:r w:rsidR="00156621">
        <w:instrText xml:space="preserve"> ADDIN EN.CITE.DATA </w:instrText>
      </w:r>
      <w:r w:rsidR="00156621">
        <w:fldChar w:fldCharType="end"/>
      </w:r>
      <w:r w:rsidRPr="00222093">
        <w:fldChar w:fldCharType="separate"/>
      </w:r>
      <w:r w:rsidRPr="00222093">
        <w:rPr>
          <w:noProof/>
        </w:rPr>
        <w:t>(Jarius, Wildemann &amp; Paul 2014; Sellner et al. 2010)</w:t>
      </w:r>
      <w:r w:rsidRPr="00222093">
        <w:fldChar w:fldCharType="end"/>
      </w:r>
      <w:r w:rsidRPr="00222093">
        <w:t xml:space="preserve">. The condition predominantly involves the optic nerves and spinal cord, and is characterised by attacks of optic neuritis (ON) and longitudinally extensive transverse myelitis (LETM) </w:t>
      </w:r>
      <w:r w:rsidRPr="00222093">
        <w:fldChar w:fldCharType="begin"/>
      </w:r>
      <w:r w:rsidR="00156621">
        <w:instrText xml:space="preserve"> ADDIN EN.CITE &lt;EndNote&gt;&lt;Cite&gt;&lt;Author&gt;Sellner&lt;/Author&gt;&lt;Year&gt;2010&lt;/Year&gt;&lt;RecNum&gt;27&lt;/RecNum&gt;&lt;IDText&gt;1019-32&lt;/IDText&gt;&lt;DisplayText&gt;(Sellner et al. 2010)&lt;/DisplayText&gt;&lt;record&gt;&lt;rec-number&gt;27&lt;/rec-number&gt;&lt;foreign-keys&gt;&lt;key app="EN" db-id="r25zptaswpdzade29ws5pf9gx55ztppatt20" timestamp="1576104081"&gt;27&lt;/key&gt;&lt;/foreign-keys&gt;&lt;ref-type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Pr="00222093">
        <w:fldChar w:fldCharType="separate"/>
      </w:r>
      <w:r w:rsidRPr="00222093">
        <w:rPr>
          <w:noProof/>
        </w:rPr>
        <w:t>(Sellner et al. 2010)</w:t>
      </w:r>
      <w:r w:rsidRPr="00222093">
        <w:fldChar w:fldCharType="end"/>
      </w:r>
      <w:r w:rsidRPr="00222093">
        <w:t>. There are no clinical features that are disease</w:t>
      </w:r>
      <w:r w:rsidR="00A72295">
        <w:t>-</w:t>
      </w:r>
      <w:r w:rsidRPr="00222093">
        <w:t xml:space="preserve">specific for NMO, as ON and myelitis also occur commonly in typical MS </w:t>
      </w:r>
      <w:r w:rsidRPr="00222093">
        <w:fldChar w:fldCharType="begin">
          <w:fldData xml:space="preserve">PEVuZE5vdGU+PENpdGU+PEF1dGhvcj5MYWxhbjwvQXV0aG9yPjxZZWFyPjIwMTI8L1llYXI+PFJl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</w:fldData>
        </w:fldChar>
      </w:r>
      <w:r w:rsidR="00156621">
        <w:instrText xml:space="preserve"> ADDIN EN.CITE </w:instrText>
      </w:r>
      <w:r w:rsidR="00156621">
        <w:fldChar w:fldCharType="begin">
          <w:fldData xml:space="preserve">PEVuZE5vdGU+PENpdGU+PEF1dGhvcj5MYWxhbjwvQXV0aG9yPjxZZWFyPjIwMTI8L1llYXI+PFJl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</w:fldData>
        </w:fldChar>
      </w:r>
      <w:r w:rsidR="00156621">
        <w:instrText xml:space="preserve"> ADDIN EN.CITE.DATA </w:instrText>
      </w:r>
      <w:r w:rsidR="00156621">
        <w:fldChar w:fldCharType="end"/>
      </w:r>
      <w:r w:rsidRPr="00222093">
        <w:fldChar w:fldCharType="separate"/>
      </w:r>
      <w:r w:rsidRPr="00222093">
        <w:rPr>
          <w:noProof/>
        </w:rPr>
        <w:t>(Lalan et al. 2012; Sellner et al. 2010)</w:t>
      </w:r>
      <w:r w:rsidRPr="00222093">
        <w:fldChar w:fldCharType="end"/>
      </w:r>
      <w:r w:rsidRPr="00222093">
        <w:t xml:space="preserve">. Consequently, it was assumed for many decades that NMO was a subform of MS, due to considerable overlap in clinical presentation </w:t>
      </w:r>
      <w:r w:rsidRPr="00222093">
        <w:fldChar w:fldCharType="begin">
          <w:fldData xml:space="preserve">PEVuZE5vdGU+PENpdGU+PEF1dGhvcj5UcmVic3Q8L0F1dGhvcj48WWVhcj4yMDE0PC9ZZWFyPjxS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==
</w:fldData>
        </w:fldChar>
      </w:r>
      <w:r w:rsidR="0087595F">
        <w:instrText xml:space="preserve"> ADDIN EN.CITE </w:instrText>
      </w:r>
      <w:r w:rsidR="0087595F">
        <w:fldChar w:fldCharType="begin">
          <w:fldData xml:space="preserve">PEVuZE5vdGU+PENpdGU+PEF1dGhvcj5UcmVic3Q8L0F1dGhvcj48WWVhcj4yMDE0PC9ZZWFyPjxS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==
</w:fldData>
        </w:fldChar>
      </w:r>
      <w:r w:rsidR="0087595F">
        <w:instrText xml:space="preserve"> ADDIN EN.CITE.DATA </w:instrText>
      </w:r>
      <w:r w:rsidR="0087595F">
        <w:fldChar w:fldCharType="end"/>
      </w:r>
      <w:r w:rsidRPr="00222093">
        <w:fldChar w:fldCharType="separate"/>
      </w:r>
      <w:r w:rsidR="00126162">
        <w:rPr>
          <w:noProof/>
        </w:rPr>
        <w:t>(Jarius, Wildemann &amp; Paul 2014; Trebst et al. 2014)</w:t>
      </w:r>
      <w:r w:rsidRPr="00222093">
        <w:fldChar w:fldCharType="end"/>
      </w:r>
      <w:r w:rsidRPr="00222093">
        <w:t xml:space="preserve">. </w:t>
      </w:r>
    </w:p>
    <w:p w14:paraId="114AD893" w14:textId="6D0D0E90" w:rsidR="00222093" w:rsidRDefault="00222093" w:rsidP="00222093">
      <w:r w:rsidRPr="00222093">
        <w:t>Advances in identification of a much broader range of CNS symptoms than just NMO prompted the proposal to refer to the condition as NMO</w:t>
      </w:r>
      <w:r w:rsidR="002E0C36">
        <w:t>SD</w:t>
      </w:r>
      <w:r w:rsidRPr="00222093">
        <w:t xml:space="preserve"> </w:t>
      </w:r>
      <w:r w:rsidRPr="00222093">
        <w:fldChar w:fldCharType="begin"/>
      </w:r>
      <w:r w:rsidR="00156621">
        <w:instrText xml:space="preserve"> ADDIN EN.CITE &lt;EndNote&gt;&lt;Cite&gt;&lt;Author&gt;Jarius&lt;/Author&gt;&lt;Year&gt;2014&lt;/Year&gt;&lt;RecNum&gt;18&lt;/RecNum&gt;&lt;IDText&gt;149-64&lt;/IDText&gt;&lt;DisplayText&gt;(Jarius, Wildemann &amp;amp; Paul 2014)&lt;/DisplayText&gt;&lt;record&gt;&lt;rec-number&gt;18&lt;/rec-number&gt;&lt;foreign-keys&gt;&lt;key app="EN" db-id="r25zptaswpdzade29ws5pf9gx55ztppatt20" timestamp="1576104079"&gt;18&lt;/key&gt;&lt;/foreign-keys&gt;&lt;ref-type name="Journal Article"&gt;17&lt;/ref-type&gt;&lt;contributors&gt;&lt;authors&gt;&lt;author&gt;Jarius, S.&lt;/author&gt;&lt;author&gt;Wildemann, B.&lt;/author&gt;&lt;author&gt;Paul, F.&lt;/author&gt;&lt;/authors&gt;&lt;/contributors&gt;&lt;auth-address&gt;Molecular Neuroimmunology, Department of Neurology, University of Heidelberg, Heidelberg, Germany.&lt;/auth-address&gt;&lt;titles&gt;&lt;title&gt;Neuromyelitis optica: clinical features, immunopathogenesis and treatment&lt;/title&gt;&lt;secondary-title&gt;Clin Exp Immunol&lt;/secondary-title&gt;&lt;/titles&gt;&lt;periodical&gt;&lt;full-title&gt;Clin Exp Immunol&lt;/full-title&gt;&lt;/periodical&gt;&lt;pages&gt;149-64&lt;/pages&gt;&lt;volume&gt;176&lt;/volume&gt;&lt;number&gt;2&lt;/number&gt;&lt;edition&gt;2014/03/29&lt;/edition&gt;&lt;keywords&gt;&lt;keyword&gt;Antibodies, Monoclonal/ therapeutic use&lt;/keyword&gt;&lt;keyword&gt;Aquaporin 4/immunology&lt;/keyword&gt;&lt;keyword&gt;Autoantibodies/blood/immunology&lt;/keyword&gt;&lt;keyword&gt;Humans&lt;/keyword&gt;&lt;keyword&gt;Immunoglobulin G/blood/immunology&lt;/keyword&gt;&lt;keyword&gt;Immunosuppressive Agents/ therapeutic use&lt;/keyword&gt;&lt;keyword&gt;Neuromyelitis Optica/diagnosis/ drug therapy/ immunology&lt;/keyword&gt;&lt;keyword&gt;Prognosis&lt;/keyword&gt;&lt;keyword&gt;Devic syndrome&lt;/keyword&gt;&lt;keyword&gt;NMO-IgG&lt;/keyword&gt;&lt;keyword&gt;aquaporin-4 antibodies (AQP4)&lt;/keyword&gt;&lt;keyword&gt;diagnosis&lt;/keyword&gt;&lt;keyword&gt;neuromyelitis optica&lt;/keyword&gt;&lt;keyword&gt;pathogenesis&lt;/keyword&gt;&lt;keyword&gt;pathophysiology&lt;/keyword&gt;&lt;keyword&gt;treatment&lt;/keyword&gt;&lt;/keywords&gt;&lt;dates&gt;&lt;year&gt;2014&lt;/year&gt;&lt;pub-dates&gt;&lt;date&gt;May&lt;/date&gt;&lt;/pub-dates&gt;&lt;/dates&gt;&lt;isbn&gt;1365-2249 (Electronic)&amp;#xD;0009-9104 (Linking)&lt;/isbn&gt;&lt;accession-num&gt;24666204&lt;/accession-num&gt;&lt;urls&gt;&lt;/urls&gt;&lt;custom2&gt;PMC3992027&lt;/custom2&gt;&lt;electronic-resource-num&gt;10.1111/cei.12271&lt;/electronic-resource-num&gt;&lt;remote-database-provider&gt;NLM&lt;/remote-database-provider&gt;&lt;language&gt;eng&lt;/language&gt;&lt;/record&gt;&lt;/Cite&gt;&lt;/EndNote&gt;</w:instrText>
      </w:r>
      <w:r w:rsidRPr="00222093">
        <w:fldChar w:fldCharType="separate"/>
      </w:r>
      <w:r w:rsidRPr="00222093">
        <w:rPr>
          <w:noProof/>
        </w:rPr>
        <w:t>(Jarius, Wildemann &amp; Paul 2014)</w:t>
      </w:r>
      <w:r w:rsidRPr="00222093">
        <w:fldChar w:fldCharType="end"/>
      </w:r>
      <w:r w:rsidRPr="00222093">
        <w:t xml:space="preserve">, with the IPND recommending that the terms NMO and NMOSD should be unified </w:t>
      </w:r>
      <w:r w:rsidR="00997CE9">
        <w:fldChar w:fldCharType="begin"/>
      </w:r>
      <w:r w:rsidR="00646E7C">
        <w:instrText xml:space="preserve"> ADDIN EN.CITE &lt;EndNote&gt;&lt;Cite&gt;&lt;Author&gt;Wingerchuk&lt;/Author&gt;&lt;Year&gt;2015&lt;/Year&gt;&lt;RecNum&gt;35&lt;/RecNum&gt;&lt;DisplayText&gt;(Wingerchuk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997CE9">
        <w:fldChar w:fldCharType="separate"/>
      </w:r>
      <w:r w:rsidR="00646E7C">
        <w:rPr>
          <w:noProof/>
        </w:rPr>
        <w:t>(Wingerchuk et al. 2015)</w:t>
      </w:r>
      <w:r w:rsidR="00997CE9">
        <w:fldChar w:fldCharType="end"/>
      </w:r>
      <w:r w:rsidRPr="00222093">
        <w:t xml:space="preserve">. </w:t>
      </w:r>
    </w:p>
    <w:p w14:paraId="7F6345E8" w14:textId="4D60138A" w:rsidR="00AF136F" w:rsidRPr="00AF136F" w:rsidRDefault="00AF136F" w:rsidP="00AF136F">
      <w:r w:rsidRPr="00AF136F">
        <w:t xml:space="preserve">The NMOSD term encompasses a number of very closely related conditions, and in a 2015 publication </w:t>
      </w:r>
      <w:r w:rsidRPr="00AF136F">
        <w:fldChar w:fldCharType="begin"/>
      </w:r>
      <w:r w:rsidR="00646E7C">
        <w:instrText xml:space="preserve"> ADDIN EN.CITE &lt;EndNote&gt;&lt;Cite&gt;&lt;Author&gt;Wingerchuk&lt;/Author&gt;&lt;Year&gt;2015&lt;/Year&gt;&lt;RecNum&gt;35&lt;/RecNum&gt;&lt;DisplayText&gt;(Wingerchuk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Pr="00AF136F">
        <w:fldChar w:fldCharType="separate"/>
      </w:r>
      <w:r w:rsidR="00646E7C">
        <w:rPr>
          <w:noProof/>
        </w:rPr>
        <w:t>(Wingerchuk et al. 2015)</w:t>
      </w:r>
      <w:r w:rsidRPr="00AF136F">
        <w:fldChar w:fldCharType="end"/>
      </w:r>
      <w:r w:rsidRPr="00AF136F">
        <w:t>, the I</w:t>
      </w:r>
      <w:r w:rsidR="00E77804">
        <w:t>PND</w:t>
      </w:r>
      <w:r w:rsidRPr="00AF136F">
        <w:t xml:space="preserve"> defined the following NMOSD criteria:</w:t>
      </w:r>
    </w:p>
    <w:p w14:paraId="1E7DD290" w14:textId="77777777" w:rsidR="00AF136F" w:rsidRPr="00AF136F" w:rsidRDefault="00AF136F" w:rsidP="003816F6">
      <w:pPr>
        <w:numPr>
          <w:ilvl w:val="0"/>
          <w:numId w:val="46"/>
        </w:numPr>
        <w:spacing w:after="200" w:line="276" w:lineRule="auto"/>
        <w:contextualSpacing/>
      </w:pPr>
      <w:r w:rsidRPr="00AF136F">
        <w:t xml:space="preserve">individuals with limited or inaugural forms of NMO (e.g. first attack LETM or recurrent or bilateral ON) who were at high risk for future attacks; </w:t>
      </w:r>
    </w:p>
    <w:p w14:paraId="5C03ACC3" w14:textId="77777777" w:rsidR="00AF136F" w:rsidRPr="00AF136F" w:rsidRDefault="00AF136F" w:rsidP="003816F6">
      <w:pPr>
        <w:numPr>
          <w:ilvl w:val="0"/>
          <w:numId w:val="46"/>
        </w:numPr>
        <w:spacing w:after="200" w:line="276" w:lineRule="auto"/>
        <w:contextualSpacing/>
      </w:pPr>
      <w:r w:rsidRPr="00AF136F">
        <w:t xml:space="preserve">those with cerebral, diencephalic and brainstem lesions that occurred in a minority of patients with otherwise typical NMO; </w:t>
      </w:r>
    </w:p>
    <w:p w14:paraId="14079580" w14:textId="77777777" w:rsidR="00AF136F" w:rsidRPr="00AF136F" w:rsidRDefault="00AF136F" w:rsidP="003816F6">
      <w:pPr>
        <w:numPr>
          <w:ilvl w:val="0"/>
          <w:numId w:val="46"/>
        </w:numPr>
        <w:spacing w:after="200" w:line="276" w:lineRule="auto"/>
        <w:contextualSpacing/>
      </w:pPr>
      <w:r w:rsidRPr="00AF136F">
        <w:t>those with AQP4-Ab positive NMO with coexisting autoimmune disorders (e.g. systemic lupus erythematosus or Sj</w:t>
      </w:r>
      <w:r w:rsidRPr="00AF136F">
        <w:rPr>
          <w:rFonts w:cs="Calibri"/>
        </w:rPr>
        <w:t>ö</w:t>
      </w:r>
      <w:r w:rsidRPr="00AF136F">
        <w:t xml:space="preserve">gren syndrome); and </w:t>
      </w:r>
    </w:p>
    <w:p w14:paraId="01FF0F1E" w14:textId="77777777" w:rsidR="00AF136F" w:rsidRDefault="00AF136F" w:rsidP="003816F6">
      <w:pPr>
        <w:numPr>
          <w:ilvl w:val="0"/>
          <w:numId w:val="46"/>
        </w:numPr>
        <w:spacing w:line="276" w:lineRule="auto"/>
        <w:ind w:left="714" w:hanging="357"/>
      </w:pPr>
      <w:r w:rsidRPr="00AF136F">
        <w:lastRenderedPageBreak/>
        <w:t xml:space="preserve">those diagnosed with opticospinal MS, an MS phenotype prominent in Asia and distinguished from Western MS. </w:t>
      </w:r>
    </w:p>
    <w:p w14:paraId="30F3AD8B" w14:textId="3D5216BE" w:rsidR="00AF136F" w:rsidRPr="00AF136F" w:rsidRDefault="00AF136F" w:rsidP="00AF136F">
      <w:r w:rsidRPr="00AF136F">
        <w:t xml:space="preserve">AQP4-Abs are autoantibodies that bind to the AQP4 water channels, and support the early differential diagnosis of NMOSD from other autoimmune disorders of the CNS, including MS </w:t>
      </w:r>
      <w:r w:rsidRPr="00AF136F">
        <w:fldChar w:fldCharType="begin"/>
      </w:r>
      <w:r w:rsidR="00156621">
        <w:instrText xml:space="preserve"> ADDIN EN.CITE &lt;EndNote&gt;&lt;Cite&gt;&lt;Author&gt;Sellner&lt;/Author&gt;&lt;Year&gt;2010&lt;/Year&gt;&lt;RecNum&gt;27&lt;/RecNum&gt;&lt;IDText&gt;1019-32&lt;/IDText&gt;&lt;DisplayText&gt;(Sellner et al. 2010)&lt;/DisplayText&gt;&lt;record&gt;&lt;rec-number&gt;27&lt;/rec-number&gt;&lt;foreign-keys&gt;&lt;key app="EN" db-id="r25zptaswpdzade29ws5pf9gx55ztppatt20" timestamp="1576104081"&gt;27&lt;/key&gt;&lt;/foreign-keys&gt;&lt;ref-type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Pr="00AF136F">
        <w:fldChar w:fldCharType="separate"/>
      </w:r>
      <w:r w:rsidRPr="00AF136F">
        <w:rPr>
          <w:noProof/>
        </w:rPr>
        <w:t>(Sellner et al. 2010)</w:t>
      </w:r>
      <w:r w:rsidRPr="00AF136F">
        <w:fldChar w:fldCharType="end"/>
      </w:r>
      <w:r w:rsidRPr="00AF136F">
        <w:t xml:space="preserve">. While not everyone with NMOSD has AQP4-Abs, they are present in up to 80% of patients </w:t>
      </w:r>
      <w:r w:rsidRPr="00AF136F">
        <w:fldChar w:fldCharType="begin">
          <w:fldData xml:space="preserve">PEVuZE5vdGU+PENpdGU+PEF1dGhvcj5KYXJpdXM8L0F1dGhvcj48WWVhcj4yMDE0PC9ZZWFyPjxS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</w:fldData>
        </w:fldChar>
      </w:r>
      <w:r w:rsidR="00156621">
        <w:instrText xml:space="preserve"> ADDIN EN.CITE </w:instrText>
      </w:r>
      <w:r w:rsidR="00156621">
        <w:fldChar w:fldCharType="begin">
          <w:fldData xml:space="preserve">PEVuZE5vdGU+PENpdGU+PEF1dGhvcj5KYXJpdXM8L0F1dGhvcj48WWVhcj4yMDE0PC9ZZWFyPjxS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</w:fldData>
        </w:fldChar>
      </w:r>
      <w:r w:rsidR="00156621">
        <w:instrText xml:space="preserve"> ADDIN EN.CITE.DATA </w:instrText>
      </w:r>
      <w:r w:rsidR="00156621">
        <w:fldChar w:fldCharType="end"/>
      </w:r>
      <w:r w:rsidRPr="00AF136F">
        <w:fldChar w:fldCharType="separate"/>
      </w:r>
      <w:r w:rsidRPr="00AF136F">
        <w:rPr>
          <w:noProof/>
        </w:rPr>
        <w:t>(Jarius, Wildemann &amp; Paul 2014; Mader &amp; Brimberg 2019)</w:t>
      </w:r>
      <w:r w:rsidRPr="00AF136F">
        <w:fldChar w:fldCharType="end"/>
      </w:r>
      <w:r w:rsidRPr="00AF136F">
        <w:t xml:space="preserve">. AQP4 water channels are considered an integral constituent of the blood brain barrier </w:t>
      </w:r>
      <w:r w:rsidR="00156621">
        <w:fldChar w:fldCharType="begin"/>
      </w:r>
      <w:r w:rsidR="00156621">
        <w:instrText xml:space="preserve"> ADDIN EN.CITE &lt;EndNote&gt;&lt;Cite&gt;&lt;Author&gt;Jarius&lt;/Author&gt;&lt;Year&gt;2014&lt;/Year&gt;&lt;RecNum&gt;18&lt;/RecNum&gt;&lt;IDText&gt;149-64&lt;/IDText&gt;&lt;DisplayText&gt;(Jarius, Wildemann &amp;amp; Paul 2014)&lt;/DisplayText&gt;&lt;record&gt;&lt;rec-number&gt;18&lt;/rec-number&gt;&lt;foreign-keys&gt;&lt;key app="EN" db-id="r25zptaswpdzade29ws5pf9gx55ztppatt20" timestamp="1576104079"&gt;18&lt;/key&gt;&lt;/foreign-keys&gt;&lt;ref-type name="Journal Article"&gt;17&lt;/ref-type&gt;&lt;contributors&gt;&lt;authors&gt;&lt;author&gt;Jarius, S.&lt;/author&gt;&lt;author&gt;Wildemann, B.&lt;/author&gt;&lt;author&gt;Paul, F.&lt;/author&gt;&lt;/authors&gt;&lt;/contributors&gt;&lt;auth-address&gt;Molecular Neuroimmunology, Department of Neurology, University of Heidelberg, Heidelberg, Germany.&lt;/auth-address&gt;&lt;titles&gt;&lt;title&gt;Neuromyelitis optica: clinical features, immunopathogenesis and treatment&lt;/title&gt;&lt;secondary-title&gt;Clin Exp Immunol&lt;/secondary-title&gt;&lt;/titles&gt;&lt;periodical&gt;&lt;full-title&gt;Clin Exp Immunol&lt;/full-title&gt;&lt;/periodical&gt;&lt;pages&gt;149-64&lt;/pages&gt;&lt;volume&gt;176&lt;/volume&gt;&lt;number&gt;2&lt;/number&gt;&lt;edition&gt;2014/03/29&lt;/edition&gt;&lt;keywords&gt;&lt;keyword&gt;Antibodies, Monoclonal/ therapeutic use&lt;/keyword&gt;&lt;keyword&gt;Aquaporin 4/immunology&lt;/keyword&gt;&lt;keyword&gt;Autoantibodies/blood/immunology&lt;/keyword&gt;&lt;keyword&gt;Humans&lt;/keyword&gt;&lt;keyword&gt;Immunoglobulin G/blood/immunology&lt;/keyword&gt;&lt;keyword&gt;Immunosuppressive Agents/ therapeutic use&lt;/keyword&gt;&lt;keyword&gt;Neuromyelitis Optica/diagnosis/ drug therapy/ immunology&lt;/keyword&gt;&lt;keyword&gt;Prognosis&lt;/keyword&gt;&lt;keyword&gt;Devic syndrome&lt;/keyword&gt;&lt;keyword&gt;NMO-IgG&lt;/keyword&gt;&lt;keyword&gt;aquaporin-4 antibodies (AQP4)&lt;/keyword&gt;&lt;keyword&gt;diagnosis&lt;/keyword&gt;&lt;keyword&gt;neuromyelitis optica&lt;/keyword&gt;&lt;keyword&gt;pathogenesis&lt;/keyword&gt;&lt;keyword&gt;pathophysiology&lt;/keyword&gt;&lt;keyword&gt;treatment&lt;/keyword&gt;&lt;/keywords&gt;&lt;dates&gt;&lt;year&gt;2014&lt;/year&gt;&lt;pub-dates&gt;&lt;date&gt;May&lt;/date&gt;&lt;/pub-dates&gt;&lt;/dates&gt;&lt;isbn&gt;1365-2249 (Electronic)&amp;#xD;0009-9104 (Linking)&lt;/isbn&gt;&lt;accession-num&gt;24666204&lt;/accession-num&gt;&lt;urls&gt;&lt;/urls&gt;&lt;custom2&gt;PMC3992027&lt;/custom2&gt;&lt;electronic-resource-num&gt;10.1111/cei.12271&lt;/electronic-resource-num&gt;&lt;remote-database-provider&gt;NLM&lt;/remote-database-provider&gt;&lt;language&gt;eng&lt;/language&gt;&lt;/record&gt;&lt;/Cite&gt;&lt;/EndNote&gt;</w:instrText>
      </w:r>
      <w:r w:rsidR="00156621">
        <w:fldChar w:fldCharType="separate"/>
      </w:r>
      <w:r w:rsidR="00156621">
        <w:rPr>
          <w:noProof/>
        </w:rPr>
        <w:t>(Jarius, Wildemann &amp; Paul 2014)</w:t>
      </w:r>
      <w:r w:rsidR="00156621">
        <w:fldChar w:fldCharType="end"/>
      </w:r>
      <w:r w:rsidRPr="00AF136F">
        <w:t xml:space="preserve">, and are found in high density on the end feet of astrocytes </w:t>
      </w:r>
      <w:r w:rsidR="00156621">
        <w:fldChar w:fldCharType="begin">
          <w:fldData xml:space="preserve">PEVuZE5vdGU+PENpdGU+PEF1dGhvcj5CdWtoYXJpPC9BdXRob3I+PFllYXI+MjAxNzwvWWVhcj48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</w:fldData>
        </w:fldChar>
      </w:r>
      <w:r w:rsidR="00D96694">
        <w:instrText xml:space="preserve"> ADDIN EN.CITE </w:instrText>
      </w:r>
      <w:r w:rsidR="00D96694">
        <w:fldChar w:fldCharType="begin">
          <w:fldData xml:space="preserve">PEVuZE5vdGU+PENpdGU+PEF1dGhvcj5CdWtoYXJpPC9BdXRob3I+PFllYXI+MjAxNzwvWWVhcj48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</w:fldData>
        </w:fldChar>
      </w:r>
      <w:r w:rsidR="00D96694">
        <w:instrText xml:space="preserve"> ADDIN EN.CITE.DATA </w:instrText>
      </w:r>
      <w:r w:rsidR="00D96694">
        <w:fldChar w:fldCharType="end"/>
      </w:r>
      <w:r w:rsidR="00156621">
        <w:fldChar w:fldCharType="separate"/>
      </w:r>
      <w:r w:rsidR="00156621">
        <w:rPr>
          <w:noProof/>
        </w:rPr>
        <w:t>(Bukhari et al. 2017)</w:t>
      </w:r>
      <w:r w:rsidR="00156621">
        <w:fldChar w:fldCharType="end"/>
      </w:r>
      <w:r w:rsidRPr="00AF136F">
        <w:t xml:space="preserve">. They are the most abundant water channel in the brain, spinal cord and optic nerve </w:t>
      </w:r>
      <w:r w:rsidR="00156621">
        <w:fldChar w:fldCharType="begin"/>
      </w:r>
      <w:r w:rsidR="00156621">
        <w:instrText xml:space="preserve"> ADDIN EN.CITE &lt;EndNote&gt;&lt;Cite&gt;&lt;Author&gt;Mader&lt;/Author&gt;&lt;Year&gt;2019&lt;/Year&gt;&lt;RecNum&gt;20&lt;/RecNum&gt;&lt;IDText&gt;1-16&lt;/IDText&gt;&lt;DisplayText&gt;(Mader &amp;amp; Brimberg 2019)&lt;/DisplayText&gt;&lt;record&gt;&lt;rec-number&gt;20&lt;/rec-number&gt;&lt;foreign-keys&gt;&lt;key app="EN" db-id="r25zptaswpdzade29ws5pf9gx55ztppatt20" timestamp="1576104079"&gt;20&lt;/key&gt;&lt;/foreign-keys&gt;&lt;ref-type name="Journal Article"&gt;17&lt;/ref-type&gt;&lt;contributors&gt;&lt;authors&gt;&lt;author&gt;Mader, S.&lt;/author&gt;&lt;author&gt;Brimberg, L.&lt;/author&gt;&lt;/authors&gt;&lt;/contributors&gt;&lt;auth-address&gt;Institute of Clinical Neuroimmunology, Biomedical Center and University Hospital, Ludwig-Maximilians University Munich, D-82152 Martinsried, Germany. Simone.Mader@med.uni-muenchen.de.&amp;#xD;The Feinstein Institute for Medical Research, The Center for Autoimmune, Musculoskeletal and Hematopoietic Diseases, Northwell Health System, Manhasset, NY 11030, USA. lbrimberg@northwell.edu.&lt;/auth-address&gt;&lt;titles&gt;&lt;title&gt;Aquaporin-4 Water Channel in the Brain and Its Implication for Health and Disease&lt;/title&gt;&lt;secondary-title&gt;Cells&lt;/secondary-title&gt;&lt;/titles&gt;&lt;periodical&gt;&lt;full-title&gt;Cells&lt;/full-title&gt;&lt;/periodical&gt;&lt;pages&gt;1-16&lt;/pages&gt;&lt;volume&gt;8&lt;/volume&gt;&lt;number&gt;2&lt;/number&gt;&lt;edition&gt;2019/01/30&lt;/edition&gt;&lt;keywords&gt;&lt;keyword&gt;aquaporin-4&lt;/keyword&gt;&lt;keyword&gt;autoantibodies&lt;/keyword&gt;&lt;keyword&gt;development&lt;/keyword&gt;&lt;keyword&gt;disease&lt;/keyword&gt;&lt;keyword&gt;glymphatic system&lt;/keyword&gt;&lt;keyword&gt;neuromyelitis optica spectrum disorder&lt;/keyword&gt;&lt;/keywords&gt;&lt;dates&gt;&lt;year&gt;2019&lt;/year&gt;&lt;pub-dates&gt;&lt;date&gt;Jan 27&lt;/date&gt;&lt;/pub-dates&gt;&lt;/dates&gt;&lt;isbn&gt;2073-4409 (Print)&amp;#xD;2073-4409 (Linking)&lt;/isbn&gt;&lt;accession-num&gt;30691235&lt;/accession-num&gt;&lt;urls&gt;&lt;/urls&gt;&lt;custom2&gt;PMC6406241&lt;/custom2&gt;&lt;electronic-resource-num&gt;10.3390/cells8020090&lt;/electronic-resource-num&gt;&lt;remote-database-provider&gt;NLM&lt;/remote-database-provider&gt;&lt;language&gt;eng&lt;/language&gt;&lt;/record&gt;&lt;/Cite&gt;&lt;/EndNote&gt;</w:instrText>
      </w:r>
      <w:r w:rsidR="00156621">
        <w:fldChar w:fldCharType="separate"/>
      </w:r>
      <w:r w:rsidR="00156621">
        <w:rPr>
          <w:noProof/>
        </w:rPr>
        <w:t>(Mader &amp; Brimberg 2019)</w:t>
      </w:r>
      <w:r w:rsidR="00156621">
        <w:fldChar w:fldCharType="end"/>
      </w:r>
      <w:r w:rsidRPr="00AF136F">
        <w:t xml:space="preserve">. In AQP4-Ab positive NMOSD, astrocytes undergo necrosis when exposed to AQP4-Abs </w:t>
      </w:r>
      <w:r w:rsidR="00156621">
        <w:fldChar w:fldCharType="begin"/>
      </w:r>
      <w:r w:rsidR="00156621">
        <w:instrText xml:space="preserve"> ADDIN EN.CITE &lt;EndNote&gt;&lt;Cite&gt;&lt;Author&gt;Sellner&lt;/Author&gt;&lt;Year&gt;2010&lt;/Year&gt;&lt;RecNum&gt;27&lt;/RecNum&gt;&lt;IDText&gt;1019-32&lt;/IDText&gt;&lt;DisplayText&gt;(Sellner et al. 2010)&lt;/DisplayText&gt;&lt;record&gt;&lt;rec-number&gt;27&lt;/rec-number&gt;&lt;foreign-keys&gt;&lt;key app="EN" db-id="r25zptaswpdzade29ws5pf9gx55ztppatt20" timestamp="1576104081"&gt;27&lt;/key&gt;&lt;/foreign-keys&gt;&lt;ref-type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156621">
        <w:fldChar w:fldCharType="separate"/>
      </w:r>
      <w:r w:rsidR="00156621">
        <w:rPr>
          <w:noProof/>
        </w:rPr>
        <w:t>(Sellner et al. 2010)</w:t>
      </w:r>
      <w:r w:rsidR="00156621">
        <w:fldChar w:fldCharType="end"/>
      </w:r>
      <w:r w:rsidRPr="00AF136F">
        <w:t xml:space="preserve"> and tissue damage has been directly contributed to the presence of AQP4-Abs </w:t>
      </w:r>
      <w:r w:rsidR="00156621">
        <w:fldChar w:fldCharType="begin">
          <w:fldData xml:space="preserve">PEVuZE5vdGU+PENpdGU+PEF1dGhvcj5KYXJpdXM8L0F1dGhvcj48WWVhcj4yMDA4PC9ZZWFyPjxS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</w:fldData>
        </w:fldChar>
      </w:r>
      <w:r w:rsidR="00A400A2">
        <w:instrText xml:space="preserve"> ADDIN EN.CITE </w:instrText>
      </w:r>
      <w:r w:rsidR="00A400A2">
        <w:fldChar w:fldCharType="begin">
          <w:fldData xml:space="preserve">PEVuZE5vdGU+PENpdGU+PEF1dGhvcj5KYXJpdXM8L0F1dGhvcj48WWVhcj4yMDA4PC9ZZWFyPjxS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</w:fldData>
        </w:fldChar>
      </w:r>
      <w:r w:rsidR="00A400A2">
        <w:instrText xml:space="preserve"> ADDIN EN.CITE.DATA </w:instrText>
      </w:r>
      <w:r w:rsidR="00A400A2">
        <w:fldChar w:fldCharType="end"/>
      </w:r>
      <w:r w:rsidR="00156621">
        <w:fldChar w:fldCharType="separate"/>
      </w:r>
      <w:r w:rsidR="00A400A2">
        <w:rPr>
          <w:noProof/>
        </w:rPr>
        <w:t>(Jarius et al. 2008)</w:t>
      </w:r>
      <w:r w:rsidR="00156621">
        <w:fldChar w:fldCharType="end"/>
      </w:r>
      <w:r w:rsidRPr="00AF136F">
        <w:t xml:space="preserve">. </w:t>
      </w:r>
    </w:p>
    <w:p w14:paraId="0F557775" w14:textId="5FF9D35D" w:rsidR="00AF136F" w:rsidRPr="00AF136F" w:rsidRDefault="00AF136F" w:rsidP="00AF136F">
      <w:r w:rsidRPr="00AF136F">
        <w:t xml:space="preserve">Recent published literature has reported on the presence of serum antibodies against MOG in AQP4-Ab negative NMOSD individuals </w:t>
      </w:r>
      <w:r w:rsidR="00156621">
        <w:fldChar w:fldCharType="begin">
          <w:fldData xml:space="preserve">PEVuZE5vdGU+PENpdGU+PEF1dGhvcj5Cb3Jpc293PC9BdXRob3I+PFllYXI+MjAxODwvWWVhcj48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eWVhcj48cHViLWRhdGVzPjxkYXRlPk1heTwvZGF0ZT48L3B1Yi1kYXRlcz48L2RhdGVzPjxhY2Nl
c3Npb24tbnVtPjMwNTY5MzgyPC9hY2Nlc3Npb24tbnVtPjx1cmxzPjxyZWxhdGVkLXVybHM+PHVy
bD5odHRwczovL3d3dy5uY2JpLm5sbS5uaWguZ292L3BtYy9hcnRpY2xlcy9QTUM2NDY5NjYyL3Bk
Zi80MTVfMjAxOF9BcnRpY2xlXzkxMjIucGRmPC91cmw+PC9yZWxhdGVkLXVybHM+PC91cmxzPjxl
bGVjdHJvbmljLXJlc291cmNlLW51bT4xMC4xMDA3L3MwMDQxNS0wMTgtOTEyMi0yLiBFcHViIDIw
MTggRGVjIDE5LjwvZWxlY3Ryb25pYy1yZXNvdXJjZS1udW0+PHJlbW90ZS1kYXRhYmFzZS1wcm92
aWRlcj5ObG08L3JlbW90ZS1kYXRhYmFzZS1wcm92aWRlcj48bGFuZ3VhZ2U+ZW5nPC9sYW5ndWFn
ZT48L3JlY29yZD48L0NpdGU+PC9FbmROb3RlPn==
</w:fldData>
        </w:fldChar>
      </w:r>
      <w:r w:rsidR="00AC01FD">
        <w:instrText xml:space="preserve"> ADDIN EN.CITE </w:instrText>
      </w:r>
      <w:r w:rsidR="00AC01FD">
        <w:fldChar w:fldCharType="begin">
          <w:fldData xml:space="preserve">PEVuZE5vdGU+PENpdGU+PEF1dGhvcj5Cb3Jpc293PC9BdXRob3I+PFllYXI+MjAxODwvWWVhcj48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</w:fldData>
        </w:fldChar>
      </w:r>
      <w:r w:rsidR="00AC01FD">
        <w:instrText xml:space="preserve"> ADDIN EN.CITE.DATA </w:instrText>
      </w:r>
      <w:r w:rsidR="00AC01FD">
        <w:fldChar w:fldCharType="end"/>
      </w:r>
      <w:r w:rsidR="00156621">
        <w:fldChar w:fldCharType="separate"/>
      </w:r>
      <w:r w:rsidR="00156621">
        <w:rPr>
          <w:noProof/>
        </w:rPr>
        <w:t>(Borisow et al. 2018; Wynford-Thomas, Jacob &amp; Tomassini 2019)</w:t>
      </w:r>
      <w:r w:rsidR="00156621">
        <w:fldChar w:fldCharType="end"/>
      </w:r>
      <w:r w:rsidRPr="00AF136F">
        <w:t xml:space="preserve">. The 2015 NMOSD diagnostic criteria has assigned individuals with MOG-Abs to the spectrum of NMO disorders. Various terms have been used in the literature to describe the MOG-Abs associated disorder, including MARD </w:t>
      </w:r>
      <w:r w:rsidR="00156621">
        <w:fldChar w:fldCharType="begin"/>
      </w:r>
      <w:r w:rsidR="00156621">
        <w:instrText xml:space="preserve"> ADDIN EN.CITE &lt;EndNote&gt;&lt;Cite&gt;&lt;Author&gt;Borisow&lt;/Author&gt;&lt;Year&gt;2018&lt;/Year&gt;&lt;RecNum&gt;2&lt;/RecNum&gt;&lt;IDText&gt;1-15&lt;/IDText&gt;&lt;DisplayText&gt;(Borisow et al. 2018)&lt;/DisplayText&gt;&lt;record&gt;&lt;rec-number&gt;2&lt;/rec-number&gt;&lt;foreign-keys&gt;&lt;key app="EN" db-id="r25zptaswpdzade29ws5pf9gx55ztppatt20" timestamp="1576104076"&gt;2&lt;/key&gt;&lt;/foreign-keys&gt;&lt;ref-type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156621">
        <w:fldChar w:fldCharType="separate"/>
      </w:r>
      <w:r w:rsidR="00156621">
        <w:rPr>
          <w:noProof/>
        </w:rPr>
        <w:t>(Borisow et al. 2018)</w:t>
      </w:r>
      <w:r w:rsidR="00156621">
        <w:fldChar w:fldCharType="end"/>
      </w:r>
      <w:r w:rsidRPr="00AF136F">
        <w:t xml:space="preserve">. </w:t>
      </w:r>
    </w:p>
    <w:p w14:paraId="5CD47255" w14:textId="2B3B5D9C" w:rsidR="00AF136F" w:rsidRPr="00AF136F" w:rsidRDefault="00AF136F" w:rsidP="00AF136F">
      <w:r w:rsidRPr="00AF136F">
        <w:t xml:space="preserve">MARD is an acute inflammatory, demyelinating CNS disorder, and presents commonly with symptoms of ON and LETM </w:t>
      </w:r>
      <w:r w:rsidR="00156621">
        <w:fldChar w:fldCharType="begin"/>
      </w:r>
      <w:r w:rsidR="00156621">
        <w:instrText xml:space="preserve"> ADDIN EN.CITE &lt;EndNote&gt;&lt;Cite&gt;&lt;Author&gt;Borisow&lt;/Author&gt;&lt;Year&gt;2018&lt;/Year&gt;&lt;RecNum&gt;2&lt;/RecNum&gt;&lt;IDText&gt;1-15&lt;/IDText&gt;&lt;DisplayText&gt;(Borisow et al. 2018)&lt;/DisplayText&gt;&lt;record&gt;&lt;rec-number&gt;2&lt;/rec-number&gt;&lt;foreign-keys&gt;&lt;key app="EN" db-id="r25zptaswpdzade29ws5pf9gx55ztppatt20" timestamp="1576104076"&gt;2&lt;/key&gt;&lt;/foreign-keys&gt;&lt;ref-type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156621">
        <w:fldChar w:fldCharType="separate"/>
      </w:r>
      <w:r w:rsidR="00156621">
        <w:rPr>
          <w:noProof/>
        </w:rPr>
        <w:t>(Borisow et al. 2018)</w:t>
      </w:r>
      <w:r w:rsidR="00156621">
        <w:fldChar w:fldCharType="end"/>
      </w:r>
      <w:r w:rsidRPr="00AF136F">
        <w:t xml:space="preserve">, although the condition occurs in the presence of serum MOG-Abs and does not meet the typical criteria for MS or other neuroinflammatory conditions </w:t>
      </w:r>
      <w:r w:rsidR="00156621">
        <w:fldChar w:fldCharType="begin">
          <w:fldData xml:space="preserve">PEVuZE5vdGU+PENpdGU+PEF1dGhvcj5XeW5mb3JkLVRob21hczwvQXV0aG9yPjxZZWFyPjIwMTk8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</w:fldData>
        </w:fldChar>
      </w:r>
      <w:r w:rsidR="00AC01FD">
        <w:instrText xml:space="preserve"> ADDIN EN.CITE </w:instrText>
      </w:r>
      <w:r w:rsidR="00AC01FD">
        <w:fldChar w:fldCharType="begin">
          <w:fldData xml:space="preserve">PEVuZE5vdGU+PENpdGU+PEF1dGhvcj5XeW5mb3JkLVRob21hczwvQXV0aG9yPjxZZWFyPjIwMTk8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</w:fldData>
        </w:fldChar>
      </w:r>
      <w:r w:rsidR="00AC01FD">
        <w:instrText xml:space="preserve"> ADDIN EN.CITE.DATA </w:instrText>
      </w:r>
      <w:r w:rsidR="00AC01FD">
        <w:fldChar w:fldCharType="end"/>
      </w:r>
      <w:r w:rsidR="00156621">
        <w:fldChar w:fldCharType="separate"/>
      </w:r>
      <w:r w:rsidR="00156621">
        <w:rPr>
          <w:noProof/>
        </w:rPr>
        <w:t>(Wynford-Thomas, Jacob &amp; Tomassini 2019)</w:t>
      </w:r>
      <w:r w:rsidR="00156621">
        <w:fldChar w:fldCharType="end"/>
      </w:r>
      <w:r w:rsidRPr="00AF136F">
        <w:t xml:space="preserve">. MARD is considered milder and less relapsing than AQP4-Ab positive NMOSD </w:t>
      </w:r>
      <w:r w:rsidR="00156621">
        <w:fldChar w:fldCharType="begin">
          <w:fldData xml:space="preserve">PEVuZE5vdGU+PENpdGU+PEF1dGhvcj5KdXJ5bmN6eWs8L0F1dGhvcj48WWVhcj4yMDE3PC9ZZWFy
PjxSZWNOdW0+ODE8L1JlY051bT48SURUZXh0PjMxMjgtMzEzODwvSURUZXh0PjxEaXNwbGF5VGV4
dD4oSnVyeW5jenlrIGV0IGFsLiAyMDE3KTwvRGlzcGxheVRleHQ+PHJlY29yZD48cmVjLW51bWJl
cj44MTwvcmVjLW51bWJlcj48Zm9yZWlnbi1rZXlzPjxrZXkgYXBwPSJFTiIgZGItaWQ9InIyNXpw
dGFzd3BkemFkZTI5d3M1cGY5Z3g1NXp0cHBhdHQyMCIgdGltZXN0YW1wPSIxNTgxNDc5MTQ4Ij44
MTwva2V5PjwvZm9yZWlnbi1rZXlzPjxyZWYtdHlwZSBuYW1lPSJKb3VybmFsIEFydGljbGUiPjE3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D96694">
        <w:instrText xml:space="preserve"> ADDIN EN.CITE </w:instrText>
      </w:r>
      <w:r w:rsidR="00D96694">
        <w:fldChar w:fldCharType="begin">
          <w:fldData xml:space="preserve">PEVuZE5vdGU+PENpdGU+PEF1dGhvcj5KdXJ5bmN6eWs8L0F1dGhvcj48WWVhcj4yMDE3PC9ZZWFy
PjxSZWNOdW0+ODE8L1JlY051bT48SURUZXh0PjMxMjgtMzEzODwvSURUZXh0PjxEaXNwbGF5VGV4
dD4oSnVyeW5jenlrIGV0IGFsLiAyMDE3KTwvRGlzcGxheVRleHQ+PHJlY29yZD48cmVjLW51bWJl
cj44MTwvcmVjLW51bWJlcj48Zm9yZWlnbi1rZXlzPjxrZXkgYXBwPSJFTiIgZGItaWQ9InIyNXpw
dGFzd3BkemFkZTI5d3M1cGY5Z3g1NXp0cHBhdHQyMCIgdGltZXN0YW1wPSIxNTgxNDc5MTQ4Ij44
MTwva2V5PjwvZm9yZWlnbi1rZXlzPjxyZWYtdHlwZSBuYW1lPSJKb3VybmFsIEFydGljbGUiPjE3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D96694">
        <w:instrText xml:space="preserve"> ADDIN EN.CITE.DATA </w:instrText>
      </w:r>
      <w:r w:rsidR="00D96694">
        <w:fldChar w:fldCharType="end"/>
      </w:r>
      <w:r w:rsidR="00156621">
        <w:fldChar w:fldCharType="separate"/>
      </w:r>
      <w:r w:rsidR="00156621">
        <w:rPr>
          <w:noProof/>
        </w:rPr>
        <w:t>(Jurynczyk et al. 2017)</w:t>
      </w:r>
      <w:r w:rsidR="00156621">
        <w:fldChar w:fldCharType="end"/>
      </w:r>
      <w:r w:rsidRPr="00AF136F">
        <w:t xml:space="preserve">. </w:t>
      </w:r>
    </w:p>
    <w:p w14:paraId="5D3314DF" w14:textId="79ED107A" w:rsidR="00AF136F" w:rsidRPr="00AF136F" w:rsidRDefault="00AF136F" w:rsidP="00AF136F">
      <w:r w:rsidRPr="00AF136F">
        <w:t>MOG-Abs target MOG which is a component of myelin, exclusively found in the CNS</w:t>
      </w:r>
      <w:r w:rsidR="00A72295">
        <w:t>,</w:t>
      </w:r>
      <w:r w:rsidRPr="00AF136F">
        <w:t xml:space="preserve"> and localised on the surface of the myelin sheath, cell body and processes of oligodendrocytes</w:t>
      </w:r>
      <w:r w:rsidR="00A72295">
        <w:t>. This</w:t>
      </w:r>
      <w:r w:rsidRPr="00AF136F">
        <w:t xml:space="preserve"> lead</w:t>
      </w:r>
      <w:r w:rsidR="00A72295">
        <w:t>s</w:t>
      </w:r>
      <w:r w:rsidRPr="00AF136F">
        <w:t xml:space="preserve"> to disturbances in the integrity of the blood brain barrier and to CNS inflammation </w:t>
      </w:r>
      <w:r w:rsidR="00156621">
        <w:fldChar w:fldCharType="begin">
          <w:fldData xml:space="preserve">PEVuZE5vdGU+PENpdGU+PEF1dGhvcj5Cb3Jpc293PC9BdXRob3I+PFllYXI+MjAxODwvWWVhcj48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</w:fldData>
        </w:fldChar>
      </w:r>
      <w:r w:rsidR="00D96694">
        <w:instrText xml:space="preserve"> ADDIN EN.CITE </w:instrText>
      </w:r>
      <w:r w:rsidR="00D96694">
        <w:fldChar w:fldCharType="begin">
          <w:fldData xml:space="preserve">PEVuZE5vdGU+PENpdGU+PEF1dGhvcj5Cb3Jpc293PC9BdXRob3I+PFllYXI+MjAxODwvWWVhcj48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</w:fldData>
        </w:fldChar>
      </w:r>
      <w:r w:rsidR="00D96694">
        <w:instrText xml:space="preserve"> ADDIN EN.CITE.DATA </w:instrText>
      </w:r>
      <w:r w:rsidR="00D96694">
        <w:fldChar w:fldCharType="end"/>
      </w:r>
      <w:r w:rsidR="00156621">
        <w:fldChar w:fldCharType="separate"/>
      </w:r>
      <w:r w:rsidR="00156621">
        <w:rPr>
          <w:noProof/>
        </w:rPr>
        <w:t>(Borisow et al. 2018; Ramanathan et al. 2018)</w:t>
      </w:r>
      <w:r w:rsidR="00156621">
        <w:fldChar w:fldCharType="end"/>
      </w:r>
      <w:r w:rsidRPr="00AF136F">
        <w:t xml:space="preserve">. While the exact role of MOG is unclear, it is thought to act as a cellular adhesive molecule, involved in the regulation of oligodendrocyte microtubule stability and mediate complement cascade </w:t>
      </w:r>
      <w:r w:rsidR="00156621">
        <w:fldChar w:fldCharType="begin">
          <w:fldData xml:space="preserve">PEVuZE5vdGU+PENpdGU+PEF1dGhvcj5XeW5mb3JkLVRob21hczwvQXV0aG9yPjxZZWFyPjIwMTk8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</w:fldData>
        </w:fldChar>
      </w:r>
      <w:r w:rsidR="00AC01FD">
        <w:instrText xml:space="preserve"> ADDIN EN.CITE </w:instrText>
      </w:r>
      <w:r w:rsidR="00AC01FD">
        <w:fldChar w:fldCharType="begin">
          <w:fldData xml:space="preserve">PEVuZE5vdGU+PENpdGU+PEF1dGhvcj5XeW5mb3JkLVRob21hczwvQXV0aG9yPjxZZWFyPjIwMTk8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</w:fldData>
        </w:fldChar>
      </w:r>
      <w:r w:rsidR="00AC01FD">
        <w:instrText xml:space="preserve"> ADDIN EN.CITE.DATA </w:instrText>
      </w:r>
      <w:r w:rsidR="00AC01FD">
        <w:fldChar w:fldCharType="end"/>
      </w:r>
      <w:r w:rsidR="00156621">
        <w:fldChar w:fldCharType="separate"/>
      </w:r>
      <w:r w:rsidR="00156621">
        <w:rPr>
          <w:noProof/>
        </w:rPr>
        <w:t>(Wynford-Thomas, Jacob &amp; Tomassini 2019)</w:t>
      </w:r>
      <w:r w:rsidR="00156621">
        <w:fldChar w:fldCharType="end"/>
      </w:r>
      <w:r w:rsidRPr="00AF136F">
        <w:t xml:space="preserve">.  </w:t>
      </w:r>
    </w:p>
    <w:p w14:paraId="0BB4A1BB" w14:textId="3A7FCD1F" w:rsidR="00AF136F" w:rsidRPr="00FC0F62" w:rsidRDefault="00AF136F" w:rsidP="00AF136F">
      <w:r w:rsidRPr="00AF136F">
        <w:t xml:space="preserve">Treatment for AQP4-Ab NMOSD is different from MS treatment, which can worsen the disease outcome of NMOSD patients </w:t>
      </w:r>
      <w:r w:rsidRPr="00AF136F">
        <w:fldChar w:fldCharType="begin">
          <w:fldData xml:space="preserve">PEVuZE5vdGU+PENpdGU+PEF1dGhvcj5MYWxhbjwvQXV0aG9yPjxZZWFyPjIwMTI8L1llYXI+PFJl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</w:fldData>
        </w:fldChar>
      </w:r>
      <w:r w:rsidR="00156621">
        <w:instrText xml:space="preserve"> ADDIN EN.CITE </w:instrText>
      </w:r>
      <w:r w:rsidR="00156621">
        <w:fldChar w:fldCharType="begin">
          <w:fldData xml:space="preserve">PEVuZE5vdGU+PENpdGU+PEF1dGhvcj5MYWxhbjwvQXV0aG9yPjxZZWFyPjIwMTI8L1llYXI+PFJl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</w:fldData>
        </w:fldChar>
      </w:r>
      <w:r w:rsidR="00156621">
        <w:instrText xml:space="preserve"> ADDIN EN.CITE.DATA </w:instrText>
      </w:r>
      <w:r w:rsidR="00156621">
        <w:fldChar w:fldCharType="end"/>
      </w:r>
      <w:r w:rsidRPr="00AF136F">
        <w:fldChar w:fldCharType="separate"/>
      </w:r>
      <w:r w:rsidRPr="00AF136F">
        <w:rPr>
          <w:noProof/>
        </w:rPr>
        <w:t>(Lalan et al. 2012; Mader &amp; Brimberg 2019)</w:t>
      </w:r>
      <w:r w:rsidRPr="00AF136F">
        <w:fldChar w:fldCharType="end"/>
      </w:r>
      <w:r w:rsidRPr="00AF136F">
        <w:t xml:space="preserve">. MS medication (e.g. interferon beta, glatiramer acetate, fingolimod, alemtuzumab and natalizumab) has been shown to have no effect, or to cause harm in individuals with AQP4-Ab NMOSD and </w:t>
      </w:r>
      <w:r w:rsidR="000A0FC8">
        <w:t>M</w:t>
      </w:r>
      <w:r w:rsidR="00EE2C03">
        <w:t>ARD</w:t>
      </w:r>
      <w:r w:rsidRPr="00AF136F">
        <w:t xml:space="preserve"> </w:t>
      </w:r>
      <w:r w:rsidR="00156621">
        <w:fldChar w:fldCharType="begin"/>
      </w:r>
      <w:r w:rsidR="00156621">
        <w:instrText xml:space="preserve"> ADDIN EN.CITE &lt;EndNote&gt;&lt;Cite&gt;&lt;Author&gt;Borisow&lt;/Author&gt;&lt;Year&gt;2018&lt;/Year&gt;&lt;RecNum&gt;2&lt;/RecNum&gt;&lt;IDText&gt;1-15&lt;/IDText&gt;&lt;DisplayText&gt;(Borisow et al. 2018)&lt;/DisplayText&gt;&lt;record&gt;&lt;rec-number&gt;2&lt;/rec-number&gt;&lt;foreign-keys&gt;&lt;key app="EN" db-id="r25zptaswpdzade29ws5pf9gx55ztppatt20" timestamp="1576104076"&gt;2&lt;/key&gt;&lt;/foreign-keys&gt;&lt;ref-type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156621">
        <w:fldChar w:fldCharType="separate"/>
      </w:r>
      <w:r w:rsidR="00156621">
        <w:rPr>
          <w:noProof/>
        </w:rPr>
        <w:t>(Borisow et al. 2018)</w:t>
      </w:r>
      <w:r w:rsidR="00156621">
        <w:fldChar w:fldCharType="end"/>
      </w:r>
      <w:r w:rsidRPr="00AF136F">
        <w:t xml:space="preserve">. Due to lack of clinical evidence around treatment for </w:t>
      </w:r>
      <w:r w:rsidR="00EE2C03">
        <w:t>MARD</w:t>
      </w:r>
      <w:r w:rsidRPr="00AF136F">
        <w:t xml:space="preserve">, current treatment protocols for </w:t>
      </w:r>
      <w:r w:rsidR="000A0FC8">
        <w:t>M</w:t>
      </w:r>
      <w:r w:rsidR="00EE2C03">
        <w:t>ARD</w:t>
      </w:r>
      <w:r w:rsidRPr="00AF136F">
        <w:t xml:space="preserve"> tend to follow those for NMOSD</w:t>
      </w:r>
      <w:r w:rsidR="008D3578">
        <w:t xml:space="preserve"> </w:t>
      </w:r>
      <w:r w:rsidR="00B0479F">
        <w:fldChar w:fldCharType="begin">
          <w:fldData xml:space="preserve">PEVuZE5vdGU+PENpdGU+PEF1dGhvcj5JbGxlcyBaPC9BdXRob3I+PFllYXI+MjAxNjwvWWVhcj48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</w:fldData>
        </w:fldChar>
      </w:r>
      <w:r w:rsidR="00B0479F">
        <w:instrText xml:space="preserve"> ADDIN EN.CITE </w:instrText>
      </w:r>
      <w:r w:rsidR="00B0479F">
        <w:fldChar w:fldCharType="begin">
          <w:fldData xml:space="preserve">PEVuZE5vdGU+PENpdGU+PEF1dGhvcj5JbGxlcyBaPC9BdXRob3I+PFllYXI+MjAxNjwvWWVhcj48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</w:fldData>
        </w:fldChar>
      </w:r>
      <w:r w:rsidR="00B0479F">
        <w:instrText xml:space="preserve"> ADDIN EN.CITE.DATA </w:instrText>
      </w:r>
      <w:r w:rsidR="00B0479F">
        <w:fldChar w:fldCharType="end"/>
      </w:r>
      <w:r w:rsidR="00B0479F">
        <w:fldChar w:fldCharType="separate"/>
      </w:r>
      <w:r w:rsidR="00B0479F">
        <w:rPr>
          <w:noProof/>
        </w:rPr>
        <w:t>(Illes Z 2016; Wynford-Thomas, Jacob &amp; Tomassini 2019)</w:t>
      </w:r>
      <w:r w:rsidR="00B0479F">
        <w:fldChar w:fldCharType="end"/>
      </w:r>
      <w:r w:rsidRPr="00AF136F">
        <w:t xml:space="preserve">. Treatments for AQP4-Ab NMOSD and </w:t>
      </w:r>
      <w:r w:rsidR="000A0FC8">
        <w:t>M</w:t>
      </w:r>
      <w:r w:rsidR="00EE2C03">
        <w:t>ARD</w:t>
      </w:r>
      <w:r w:rsidRPr="00AF136F">
        <w:t xml:space="preserve"> include corticosteroids, immunosuppressants (e.g. azathioprine), </w:t>
      </w:r>
      <w:r w:rsidRPr="00FC0F62">
        <w:t xml:space="preserve">plasmapheresis, intravenous immunoglobulin and anti-CD20 monoclonal antibody (e.g. rituximab) </w:t>
      </w:r>
      <w:r w:rsidRPr="00FC0F62">
        <w:fldChar w:fldCharType="begin">
          <w:fldData xml:space="preserve">PEVuZE5vdGU+PENpdGU+PEF1dGhvcj5UcmVic3Q8L0F1dGhvcj48WWVhcj4yMDE0PC9ZZWFyPjxS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=
</w:fldData>
        </w:fldChar>
      </w:r>
      <w:r w:rsidR="0087595F" w:rsidRPr="00FC0F62">
        <w:instrText xml:space="preserve"> ADDIN EN.CITE </w:instrText>
      </w:r>
      <w:r w:rsidR="0087595F" w:rsidRPr="00FC0F62">
        <w:fldChar w:fldCharType="begin">
          <w:fldData xml:space="preserve">PEVuZE5vdGU+PENpdGU+PEF1dGhvcj5UcmVic3Q8L0F1dGhvcj48WWVhcj4yMDE0PC9ZZWFyPjxS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=
</w:fldData>
        </w:fldChar>
      </w:r>
      <w:r w:rsidR="0087595F" w:rsidRPr="00FC0F62">
        <w:instrText xml:space="preserve"> ADDIN EN.CITE.DATA </w:instrText>
      </w:r>
      <w:r w:rsidR="0087595F" w:rsidRPr="00FC0F62">
        <w:fldChar w:fldCharType="end"/>
      </w:r>
      <w:r w:rsidRPr="00FC0F62">
        <w:fldChar w:fldCharType="separate"/>
      </w:r>
      <w:r w:rsidR="00126162" w:rsidRPr="00FC0F62">
        <w:rPr>
          <w:noProof/>
        </w:rPr>
        <w:t>(Borisow et al. 2018; Trebst et al. 2014; Wynford-Thomas, Jacob &amp; Tomassini 2019)</w:t>
      </w:r>
      <w:r w:rsidRPr="00FC0F62">
        <w:fldChar w:fldCharType="end"/>
      </w:r>
      <w:r w:rsidRPr="00FC0F62">
        <w:t xml:space="preserve">. </w:t>
      </w:r>
    </w:p>
    <w:p w14:paraId="2BAD39EF" w14:textId="77777777" w:rsidR="00FD1DC4" w:rsidRPr="00FC0F62" w:rsidRDefault="00FD1DC4" w:rsidP="00FD1DC4">
      <w:r w:rsidRPr="00FC0F62">
        <w:t xml:space="preserve">Those with suspected NMOSD who have neither AQP4 or MOG antibodies may have a delay in their clinical diagnosis of NMOSD, or may be misdiagnosed as having MS in the interim (until they develop further clinical features which allows diagnosis). </w:t>
      </w:r>
    </w:p>
    <w:p w14:paraId="2F9445BD" w14:textId="77777777" w:rsidR="00FD1DC4" w:rsidRPr="00FC0F62" w:rsidRDefault="00FD1DC4" w:rsidP="00EC177E">
      <w:pPr>
        <w:pStyle w:val="Heading3"/>
      </w:pPr>
      <w:bookmarkStart w:id="120" w:name="_Toc39588268"/>
      <w:r w:rsidRPr="00FC0F62">
        <w:t>AQP4 and MOG testing in the Australian setting</w:t>
      </w:r>
      <w:bookmarkEnd w:id="120"/>
    </w:p>
    <w:p w14:paraId="66443B2D" w14:textId="3343A2F3" w:rsidR="00FD1DC4" w:rsidRPr="00FC0F62" w:rsidRDefault="00FD1DC4" w:rsidP="00FD1DC4">
      <w:r w:rsidRPr="00FC0F62">
        <w:t xml:space="preserve">An accurate proportion of AQP4-Ab positive to negative cases of NMOSD in Australia has been difficult to determine, however, recent studies suggest that as many as 90% of patients with NMOSD are AQP4-Ab positive in this country </w:t>
      </w:r>
      <w:r w:rsidR="00AC01FD" w:rsidRPr="00FC0F62">
        <w:fldChar w:fldCharType="begin">
          <w:fldData xml:space="preserve">PEVuZE5vdGU+PENpdGU+PEF1dGhvcj5CdWtoYXJpPC9BdXRob3I+PFllYXI+MjAyMDwvWWVhcj48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==
</w:fldData>
        </w:fldChar>
      </w:r>
      <w:r w:rsidR="00D96694" w:rsidRPr="00FC0F62">
        <w:instrText xml:space="preserve"> ADDIN EN.CITE </w:instrText>
      </w:r>
      <w:r w:rsidR="00D96694" w:rsidRPr="00FC0F62">
        <w:fldChar w:fldCharType="begin">
          <w:fldData xml:space="preserve">PEVuZE5vdGU+PENpdGU+PEF1dGhvcj5CdWtoYXJpPC9BdXRob3I+PFllYXI+MjAyMDwvWWVhcj48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==
</w:fldData>
        </w:fldChar>
      </w:r>
      <w:r w:rsidR="00D96694" w:rsidRPr="00FC0F62">
        <w:instrText xml:space="preserve"> ADDIN EN.CITE.DATA </w:instrText>
      </w:r>
      <w:r w:rsidR="00D96694" w:rsidRPr="00FC0F62">
        <w:fldChar w:fldCharType="end"/>
      </w:r>
      <w:r w:rsidR="00AC01FD" w:rsidRPr="00FC0F62">
        <w:fldChar w:fldCharType="separate"/>
      </w:r>
      <w:r w:rsidR="00AC01FD" w:rsidRPr="00FC0F62">
        <w:rPr>
          <w:noProof/>
        </w:rPr>
        <w:t>(Bukhari et al. 2020; Bukhari et al. 2017)</w:t>
      </w:r>
      <w:r w:rsidR="00AC01FD" w:rsidRPr="00FC0F62">
        <w:fldChar w:fldCharType="end"/>
      </w:r>
      <w:r w:rsidRPr="00FC0F62">
        <w:t xml:space="preserve">. </w:t>
      </w:r>
    </w:p>
    <w:p w14:paraId="629F0D2E" w14:textId="77777777" w:rsidR="00FD1DC4" w:rsidRPr="00FC0F62" w:rsidRDefault="00FD1DC4" w:rsidP="00FD1DC4">
      <w:r w:rsidRPr="00FC0F62">
        <w:lastRenderedPageBreak/>
        <w:t xml:space="preserve">Recent Australian data collected from clinical pathology laboratories suggest that the diagnostic yield of AQP4-Ab seropositivity is between 2.9% and 5.4%. Data from PathQLD indicated that there were 51 AQP4-Ab positive patients identified form 1596 tested over 5 years (2.9%), while PathWest identified 13 AQP4-Ab positive patients from 240 tested in 2019 (5.4%). In comparison to data found in the literature, the yield in Australia is low, and reflects that a relatively broad population undergoes testing in this country. Because of the broad population tested in Australia, there are a large number testing negative for AQP4-Ab (1545 patients (97.1%) and 227 patients (96.6%) from PathQLD and PathWest respectively). Amongst those found negative for AQP4-Ab there are likely to be patients with a range of neurological diseases, including NMOSD and MS. </w:t>
      </w:r>
    </w:p>
    <w:p w14:paraId="0AC983C4" w14:textId="77777777" w:rsidR="00FD1DC4" w:rsidRPr="00FC0F62" w:rsidRDefault="00FD1DC4" w:rsidP="00FD1DC4">
      <w:r w:rsidRPr="00FC0F62">
        <w:t>PathWest also provided data on MOG-Ab testing. Of 132 patients tested for MOG-Ab in 2019, 21 were found positive (15.9%). However is it not known what proportion of those tested were suspected of NMSOD.</w:t>
      </w:r>
    </w:p>
    <w:p w14:paraId="583F872E" w14:textId="0500BF7A" w:rsidR="00854E32" w:rsidRPr="00FC0F62" w:rsidRDefault="00B735CC" w:rsidP="00333A74">
      <w:r w:rsidRPr="00FC0F62">
        <w:t xml:space="preserve">NMOSD is a rare disease in comparison to MS in Australia. MS was estimated to affect 25,600 people in 2017 and have a prevalence of 103.7/100,000 </w:t>
      </w:r>
      <w:r w:rsidR="00D96694" w:rsidRPr="00FC0F62">
        <w:fldChar w:fldCharType="begin"/>
      </w:r>
      <w:r w:rsidR="00A400A2" w:rsidRPr="00FC0F62">
        <w:instrText xml:space="preserve"> ADDIN EN.CITE &lt;EndNote&gt;&lt;Cite&gt;&lt;Author&gt;MS Australia&lt;/Author&gt;&lt;Year&gt;2019&lt;/Year&gt;&lt;RecNum&gt;101&lt;/RecNum&gt;&lt;DisplayText&gt;(MS Australia 2019)&lt;/DisplayText&gt;&lt;record&gt;&lt;rec-number&gt;101&lt;/rec-number&gt;&lt;foreign-keys&gt;&lt;key app="EN" db-id="r25zptaswpdzade29ws5pf9gx55ztppatt20" timestamp="1587534024"&gt;101&lt;/key&gt;&lt;key app="ENWeb" db-id=""&gt;0&lt;/key&gt;&lt;/foreign-keys&gt;&lt;ref-type name="Web Page"&gt;12&lt;/ref-type&gt;&lt;contributors&gt;&lt;authors&gt;&lt;author&gt;MS Australia, &lt;/author&gt;&lt;/authors&gt;&lt;/contributors&gt;&lt;titles&gt;&lt;title&gt;Key facts and figures about multiple sclerosis&lt;/title&gt;&lt;secondary-title&gt;MS Australia&lt;/secondary-title&gt;&lt;/titles&gt;&lt;volume&gt;2020&lt;/volume&gt;&lt;number&gt;5 May&lt;/number&gt;&lt;dates&gt;&lt;year&gt;2019&lt;/year&gt;&lt;pub-dates&gt;&lt;date&gt;June 2019&lt;/date&gt;&lt;/pub-dates&gt;&lt;/dates&gt;&lt;pub-location&gt;Australia&lt;/pub-location&gt;&lt;publisher&gt;MS Australia&lt;/publisher&gt;&lt;urls&gt;&lt;related-urls&gt;&lt;url&gt;https://www.msaustralia.org.au/publications/media-facts-and-figures-about-ms&lt;/url&gt;&lt;/related-urls&gt;&lt;/urls&gt;&lt;/record&gt;&lt;/Cite&gt;&lt;/EndNote&gt;</w:instrText>
      </w:r>
      <w:r w:rsidR="00D96694" w:rsidRPr="00FC0F62">
        <w:fldChar w:fldCharType="separate"/>
      </w:r>
      <w:r w:rsidR="00D96694" w:rsidRPr="00FC0F62">
        <w:rPr>
          <w:noProof/>
        </w:rPr>
        <w:t>(MS Australia 2019)</w:t>
      </w:r>
      <w:r w:rsidR="00D96694" w:rsidRPr="00FC0F62">
        <w:fldChar w:fldCharType="end"/>
      </w:r>
      <w:r w:rsidRPr="00FC0F62">
        <w:t xml:space="preserve">. Published data suggests that NMO or NMOSD make up approximately 3.7% of all demyelinating CNS disease in Western Australia, although because the study predated the inclusion of AQP4 testing in diagnostic criteria it is likely to be inaccurate </w:t>
      </w:r>
      <w:r w:rsidR="00B956DB" w:rsidRPr="00FC0F62">
        <w:fldChar w:fldCharType="begin">
          <w:fldData xml:space="preserve">PEVuZE5vdGU+PENpdGU+PEF1dGhvcj5XdTwvQXV0aG9yPjxZZWFyPjIwMDg8L1llYXI+PFJlY051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</w:fldData>
        </w:fldChar>
      </w:r>
      <w:r w:rsidR="00B956DB" w:rsidRPr="00FC0F62">
        <w:instrText xml:space="preserve"> ADDIN EN.CITE </w:instrText>
      </w:r>
      <w:r w:rsidR="00B956DB" w:rsidRPr="00FC0F62">
        <w:fldChar w:fldCharType="begin">
          <w:fldData xml:space="preserve">PEVuZE5vdGU+PENpdGU+PEF1dGhvcj5XdTwvQXV0aG9yPjxZZWFyPjIwMDg8L1llYXI+PFJlY051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</w:fldData>
        </w:fldChar>
      </w:r>
      <w:r w:rsidR="00B956DB" w:rsidRPr="00FC0F62">
        <w:instrText xml:space="preserve"> ADDIN EN.CITE.DATA </w:instrText>
      </w:r>
      <w:r w:rsidR="00B956DB" w:rsidRPr="00FC0F62">
        <w:fldChar w:fldCharType="end"/>
      </w:r>
      <w:r w:rsidR="00B956DB" w:rsidRPr="00FC0F62">
        <w:fldChar w:fldCharType="separate"/>
      </w:r>
      <w:r w:rsidR="00B956DB" w:rsidRPr="00FC0F62">
        <w:rPr>
          <w:noProof/>
        </w:rPr>
        <w:t>(Wu et al. 2008)</w:t>
      </w:r>
      <w:r w:rsidR="00B956DB" w:rsidRPr="00FC0F62">
        <w:fldChar w:fldCharType="end"/>
      </w:r>
      <w:r w:rsidR="00B956DB" w:rsidRPr="00FC0F62">
        <w:t>.</w:t>
      </w:r>
    </w:p>
    <w:p w14:paraId="354EEFC3" w14:textId="2DB5C160" w:rsidR="00AF136F" w:rsidRDefault="00AF136F" w:rsidP="00333A74">
      <w:r w:rsidRPr="00FC0F62">
        <w:t xml:space="preserve">The differences and similarities (including clinical features) between AQP4-Ab NMOSD, </w:t>
      </w:r>
      <w:r w:rsidR="000A0FC8" w:rsidRPr="00FC0F62">
        <w:t>M</w:t>
      </w:r>
      <w:r w:rsidR="00D47314" w:rsidRPr="00FC0F62">
        <w:t>ARD</w:t>
      </w:r>
      <w:r w:rsidRPr="00FC0F62">
        <w:t xml:space="preserve"> and MS, are described in </w:t>
      </w:r>
      <w:r w:rsidR="00435219" w:rsidRPr="00FC0F62">
        <w:fldChar w:fldCharType="begin"/>
      </w:r>
      <w:r w:rsidR="00435219" w:rsidRPr="00FC0F62">
        <w:instrText xml:space="preserve"> REF _Ref33173885 \h  \* MERGEFORMAT </w:instrText>
      </w:r>
      <w:r w:rsidR="00435219" w:rsidRPr="00FC0F62">
        <w:fldChar w:fldCharType="separate"/>
      </w:r>
      <w:r w:rsidR="004B21EF" w:rsidRPr="00F6795D">
        <w:t xml:space="preserve">Table </w:t>
      </w:r>
      <w:r w:rsidR="004B21EF">
        <w:t>10</w:t>
      </w:r>
      <w:r w:rsidR="00435219" w:rsidRPr="00FC0F62">
        <w:fldChar w:fldCharType="end"/>
      </w:r>
      <w:r w:rsidR="00435219" w:rsidRPr="00FC0F62">
        <w:t xml:space="preserve">. </w:t>
      </w:r>
      <w:r w:rsidRPr="00FC0F62">
        <w:fldChar w:fldCharType="begin"/>
      </w:r>
      <w:r w:rsidRPr="00FC0F62">
        <w:instrText xml:space="preserve"> REF _Ref33010924 \h </w:instrText>
      </w:r>
      <w:r w:rsidR="00FC0F62">
        <w:instrText xml:space="preserve"> \* MERGEFORMAT </w:instrText>
      </w:r>
      <w:r w:rsidRPr="00FC0F62">
        <w:fldChar w:fldCharType="separate"/>
      </w:r>
      <w:r w:rsidR="004B21EF" w:rsidRPr="00AF136F">
        <w:t xml:space="preserve">Figure </w:t>
      </w:r>
      <w:r w:rsidR="004B21EF">
        <w:rPr>
          <w:noProof/>
        </w:rPr>
        <w:t>2</w:t>
      </w:r>
      <w:r w:rsidRPr="00FC0F62">
        <w:fldChar w:fldCharType="end"/>
      </w:r>
      <w:r w:rsidRPr="00FC0F62">
        <w:t xml:space="preserve"> illustrates the relationship between the known inflammatory demyelinating disorders. There is an overlap of symptoms between </w:t>
      </w:r>
      <w:r w:rsidR="00B4243D" w:rsidRPr="00FC0F62">
        <w:t>MARD and NM</w:t>
      </w:r>
      <w:r w:rsidR="00B4243D">
        <w:t xml:space="preserve">OSD, MOG-Ab positive NMOSD forming a subgroup of the total </w:t>
      </w:r>
      <w:r w:rsidR="00AA653D">
        <w:t>MARD population</w:t>
      </w:r>
      <w:r w:rsidRPr="00AF136F">
        <w:t xml:space="preserve"> </w:t>
      </w:r>
      <w:r w:rsidR="00156621">
        <w:fldChar w:fldCharType="begin"/>
      </w:r>
      <w:r w:rsidR="00A24B34">
        <w:instrText xml:space="preserve"> ADDIN EN.CITE &lt;EndNote&gt;&lt;Cite&gt;&lt;Author&gt;Misu&lt;/Author&gt;&lt;Year&gt;2018&lt;/Year&gt;&lt;RecNum&gt;83&lt;/RecNum&gt;&lt;IDText&gt;9-17&lt;/IDText&gt;&lt;DisplayText&gt;(Misu &amp;amp; Fujihara 2018)&lt;/DisplayText&gt;&lt;record&gt;&lt;rec-number&gt;83&lt;/rec-number&gt;&lt;foreign-keys&gt;&lt;key app="EN" db-id="r25zptaswpdzade29ws5pf9gx55ztppatt20" timestamp="1581912631"&gt;83&lt;/key&gt;&lt;key app="ENWeb" db-id=""&gt;0&lt;/key&gt;&lt;/foreign-keys&gt;&lt;ref-type name="Journal Article"&gt;17&lt;/ref-type&gt;&lt;contributors&gt;&lt;authors&gt;&lt;author&gt;Misu, T.&lt;/author&gt;&lt;author&gt;Fujihara, K.&lt;/author&gt;&lt;/authors&gt;&lt;/contributors&gt;&lt;titles&gt;&lt;title&gt;Neuromyelitis optica spectrum and myelin oligodendrocyte glycoprotein antibody-related disseminated encephalomyelitis&lt;/title&gt;&lt;secondary-title&gt;Clnical and experimental Neuroimmunology&lt;/secondary-title&gt;&lt;/titles&gt;&lt;periodical&gt;&lt;full-title&gt;Clnical and experimental Neuroimmunology&lt;/full-title&gt;&lt;/periodical&gt;&lt;pages&gt;9-17&lt;/pages&gt;&lt;number&gt;10&lt;/number&gt;&lt;dates&gt;&lt;year&gt;2018&lt;/year&gt;&lt;/dates&gt;&lt;urls&gt;&lt;/urls&gt;&lt;/record&gt;&lt;/Cite&gt;&lt;/EndNote&gt;</w:instrText>
      </w:r>
      <w:r w:rsidR="00156621">
        <w:fldChar w:fldCharType="separate"/>
      </w:r>
      <w:r w:rsidR="00A24B34">
        <w:rPr>
          <w:noProof/>
        </w:rPr>
        <w:t>(Misu &amp; Fujihara 2018)</w:t>
      </w:r>
      <w:r w:rsidR="00156621">
        <w:fldChar w:fldCharType="end"/>
      </w:r>
      <w:r w:rsidRPr="00AF136F">
        <w:t xml:space="preserve">. </w:t>
      </w:r>
      <w:r w:rsidRPr="00AF136F">
        <w:rPr>
          <w:b/>
          <w:u w:val="single"/>
        </w:rPr>
        <w:t>It is proposed that only those patients suspected of having NMOSD will be eligible for AQP4-Ab or MOG-Ab testing.</w:t>
      </w:r>
      <w:r w:rsidRPr="00AF136F">
        <w:t xml:space="preserve"> </w:t>
      </w:r>
    </w:p>
    <w:p w14:paraId="1500BADB" w14:textId="1CDB1FE4" w:rsidR="00A9748F" w:rsidRDefault="00A9748F" w:rsidP="00AF136F">
      <w:r w:rsidRPr="00A9748F">
        <w:rPr>
          <w:noProof/>
        </w:rPr>
        <w:drawing>
          <wp:inline distT="0" distB="0" distL="0" distR="0" wp14:anchorId="58B1E915" wp14:editId="3B1F4E79">
            <wp:extent cx="5733415" cy="3495040"/>
            <wp:effectExtent l="0" t="0" r="635" b="0"/>
            <wp:docPr id="18" name="Picture 18" descr="A venn diagram showing the overlap between clinical features and different diagnoses. AQP4-Ab covers most of NMOSD, but a portion will alternatively have MOG-Ab. There is overlap in features with MS. " title="Inflammatory demyelinating diseases of the central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3495040"/>
                    </a:xfrm>
                    <a:prstGeom prst="rect">
                      <a:avLst/>
                    </a:prstGeom>
                  </pic:spPr>
                </pic:pic>
              </a:graphicData>
            </a:graphic>
          </wp:inline>
        </w:drawing>
      </w:r>
    </w:p>
    <w:p w14:paraId="759DC849" w14:textId="531AA813" w:rsidR="00AF136F" w:rsidRPr="00AF136F" w:rsidRDefault="00AF136F" w:rsidP="00A87AE2">
      <w:pPr>
        <w:pStyle w:val="TableHeading"/>
      </w:pPr>
      <w:bookmarkStart w:id="121" w:name="_Ref33010924"/>
      <w:bookmarkStart w:id="122" w:name="_Toc79672133"/>
      <w:r w:rsidRPr="00AF136F">
        <w:t xml:space="preserve">Figure </w:t>
      </w:r>
      <w:r w:rsidRPr="00AF136F">
        <w:fldChar w:fldCharType="begin"/>
      </w:r>
      <w:r w:rsidRPr="00AF136F">
        <w:instrText xml:space="preserve"> SEQ Figure \* ARABIC </w:instrText>
      </w:r>
      <w:r w:rsidRPr="00AF136F">
        <w:fldChar w:fldCharType="separate"/>
      </w:r>
      <w:r w:rsidR="004B21EF">
        <w:rPr>
          <w:noProof/>
        </w:rPr>
        <w:t>2</w:t>
      </w:r>
      <w:r w:rsidRPr="00AF136F">
        <w:rPr>
          <w:noProof/>
        </w:rPr>
        <w:fldChar w:fldCharType="end"/>
      </w:r>
      <w:bookmarkEnd w:id="121"/>
      <w:r w:rsidRPr="00AF136F">
        <w:tab/>
        <w:t>Inflammatory demyelinating diseases of the central nervous system</w:t>
      </w:r>
      <w:bookmarkEnd w:id="122"/>
    </w:p>
    <w:p w14:paraId="41199E31" w14:textId="622F8D44" w:rsidR="00AF136F" w:rsidRPr="00AF136F" w:rsidRDefault="00AF136F" w:rsidP="009220A7">
      <w:pPr>
        <w:pStyle w:val="Tablenotes0"/>
        <w:rPr>
          <w:lang w:val="en-GB" w:eastAsia="ja-JP"/>
        </w:rPr>
      </w:pPr>
      <w:r w:rsidRPr="00AF136F">
        <w:rPr>
          <w:lang w:eastAsia="ja-JP"/>
        </w:rPr>
        <w:t>Source:</w:t>
      </w:r>
      <w:r w:rsidR="00A9748F">
        <w:rPr>
          <w:lang w:eastAsia="ja-JP"/>
        </w:rPr>
        <w:t xml:space="preserve"> Adapted from </w:t>
      </w:r>
      <w:r w:rsidR="00A9748F">
        <w:rPr>
          <w:noProof/>
        </w:rPr>
        <w:t>Misu &amp; Fujihara 2018</w:t>
      </w:r>
    </w:p>
    <w:p w14:paraId="0ED69971" w14:textId="107A1AD2" w:rsidR="00AF136F" w:rsidRPr="00AF136F" w:rsidRDefault="00AF136F" w:rsidP="009220A7">
      <w:pPr>
        <w:pStyle w:val="Tablenotes0"/>
        <w:rPr>
          <w:lang w:val="en-GB" w:eastAsia="ja-JP"/>
        </w:rPr>
      </w:pPr>
      <w:r w:rsidRPr="00AF136F">
        <w:rPr>
          <w:lang w:val="en-GB" w:eastAsia="ja-JP"/>
        </w:rPr>
        <w:t>AQP4-Ab = aquaporin</w:t>
      </w:r>
      <w:r w:rsidR="009220A7">
        <w:rPr>
          <w:lang w:val="en-GB" w:eastAsia="ja-JP"/>
        </w:rPr>
        <w:t xml:space="preserve"> </w:t>
      </w:r>
      <w:r w:rsidRPr="00AF136F">
        <w:rPr>
          <w:lang w:val="en-GB" w:eastAsia="ja-JP"/>
        </w:rPr>
        <w:t xml:space="preserve">4 antibodies; ADEM = acute disseminated encephalomyelitisMS = multiple sclerosis; RRMS = relapsing-remitting multiple sclerosis; </w:t>
      </w:r>
    </w:p>
    <w:p w14:paraId="59C93D25" w14:textId="77777777" w:rsidR="00AF136F" w:rsidRPr="00AF136F" w:rsidRDefault="00AF136F" w:rsidP="009220A7">
      <w:pPr>
        <w:pStyle w:val="Tablenotes0"/>
      </w:pPr>
    </w:p>
    <w:p w14:paraId="183B9E05" w14:textId="77777777" w:rsidR="00AF136F" w:rsidRPr="00AF136F" w:rsidRDefault="00AF136F" w:rsidP="00AF136F">
      <w:r w:rsidRPr="00AF136F">
        <w:t xml:space="preserve">NMSOD is a rare disease. The incidence and prevalence of the NMOSD population is discussed in Section B4.1. </w:t>
      </w:r>
    </w:p>
    <w:p w14:paraId="4229D6AB" w14:textId="77777777" w:rsidR="00AF136F" w:rsidRPr="00AF136F" w:rsidRDefault="00AF136F" w:rsidP="00AF136F"/>
    <w:p w14:paraId="5A1D4871" w14:textId="1396A461" w:rsidR="00AF136F" w:rsidRPr="002E29F7" w:rsidRDefault="00AF136F" w:rsidP="00A87AE2">
      <w:pPr>
        <w:pStyle w:val="TableHeading"/>
      </w:pPr>
      <w:bookmarkStart w:id="123" w:name="_Ref33173885"/>
      <w:bookmarkStart w:id="124" w:name="_Toc39580791"/>
      <w:bookmarkStart w:id="125" w:name="_Ref23248823"/>
      <w:r w:rsidRPr="00F6795D">
        <w:t xml:space="preserve">Table </w:t>
      </w:r>
      <w:r w:rsidRPr="00F6795D">
        <w:fldChar w:fldCharType="begin"/>
      </w:r>
      <w:r w:rsidRPr="00F6795D">
        <w:instrText xml:space="preserve"> SEQ Table \* ARABIC </w:instrText>
      </w:r>
      <w:r w:rsidRPr="00F6795D">
        <w:fldChar w:fldCharType="separate"/>
      </w:r>
      <w:r w:rsidR="00FA7BCD">
        <w:rPr>
          <w:noProof/>
        </w:rPr>
        <w:t>10</w:t>
      </w:r>
      <w:r w:rsidRPr="00F6795D">
        <w:fldChar w:fldCharType="end"/>
      </w:r>
      <w:bookmarkEnd w:id="123"/>
      <w:r w:rsidRPr="00F6795D">
        <w:tab/>
        <w:t>Comparison between AQP4-Ab NMOSD</w:t>
      </w:r>
      <w:r w:rsidRPr="00F6795D">
        <w:rPr>
          <w:vertAlign w:val="superscript"/>
        </w:rPr>
        <w:t>a</w:t>
      </w:r>
      <w:r w:rsidRPr="00F6795D">
        <w:t xml:space="preserve">, </w:t>
      </w:r>
      <w:r w:rsidR="000A0FC8" w:rsidRPr="00F6795D">
        <w:t>M</w:t>
      </w:r>
      <w:r w:rsidR="00B4243D" w:rsidRPr="00F6795D">
        <w:t>ARD</w:t>
      </w:r>
      <w:r w:rsidRPr="00F6795D">
        <w:t xml:space="preserve"> and MS</w:t>
      </w:r>
      <w:bookmarkEnd w:id="124"/>
    </w:p>
    <w:tbl>
      <w:tblPr>
        <w:tblStyle w:val="TableGrid1"/>
        <w:tblW w:w="5000" w:type="pct"/>
        <w:tblLook w:val="04A0" w:firstRow="1" w:lastRow="0" w:firstColumn="1" w:lastColumn="0" w:noHBand="0" w:noVBand="1"/>
        <w:tblCaption w:val="Table 10 Comparison between AQP4-Ab NMOSDa, MARD and MS"/>
        <w:tblDescription w:val="Summary of the differences and similarities between NMOSD, MARD and MS"/>
      </w:tblPr>
      <w:tblGrid>
        <w:gridCol w:w="2256"/>
        <w:gridCol w:w="2255"/>
        <w:gridCol w:w="2255"/>
        <w:gridCol w:w="2253"/>
      </w:tblGrid>
      <w:tr w:rsidR="00AF136F" w:rsidRPr="00FC0F62" w14:paraId="7696EB29" w14:textId="77777777" w:rsidTr="00FC2669">
        <w:trPr>
          <w:cnfStyle w:val="100000000000" w:firstRow="1" w:lastRow="0" w:firstColumn="0" w:lastColumn="0" w:oddVBand="0" w:evenVBand="0" w:oddHBand="0" w:evenHBand="0" w:firstRowFirstColumn="0" w:firstRowLastColumn="0" w:lastRowFirstColumn="0" w:lastRowLastColumn="0"/>
        </w:trPr>
        <w:tc>
          <w:tcPr>
            <w:tcW w:w="1251" w:type="pct"/>
            <w:tcBorders>
              <w:top w:val="single" w:sz="4" w:space="0" w:color="auto"/>
              <w:left w:val="single" w:sz="4" w:space="0" w:color="auto"/>
              <w:bottom w:val="single" w:sz="4" w:space="0" w:color="auto"/>
              <w:right w:val="single" w:sz="4" w:space="0" w:color="auto"/>
            </w:tcBorders>
          </w:tcPr>
          <w:bookmarkEnd w:id="125"/>
          <w:p w14:paraId="30710D97" w14:textId="77777777" w:rsidR="00AF136F" w:rsidRPr="00FC0F62" w:rsidRDefault="00AF136F" w:rsidP="00AF136F">
            <w:pPr>
              <w:keepNext/>
              <w:contextualSpacing/>
              <w:jc w:val="left"/>
              <w:rPr>
                <w:rFonts w:ascii="Arial Narrow" w:eastAsia="Calibri" w:hAnsi="Arial Narrow" w:cs="Times New Roman"/>
                <w:b/>
                <w:bCs/>
                <w:iCs/>
                <w:spacing w:val="5"/>
                <w:lang w:eastAsia="en-US"/>
              </w:rPr>
            </w:pPr>
            <w:r w:rsidRPr="00FC0F62">
              <w:rPr>
                <w:rFonts w:ascii="Arial Narrow" w:eastAsia="Calibri" w:hAnsi="Arial Narrow" w:cs="Times New Roman"/>
                <w:b/>
                <w:bCs/>
                <w:iCs/>
                <w:spacing w:val="5"/>
                <w:lang w:eastAsia="en-US"/>
              </w:rPr>
              <w:t>Comparisons</w:t>
            </w:r>
          </w:p>
        </w:tc>
        <w:tc>
          <w:tcPr>
            <w:tcW w:w="1250" w:type="pct"/>
            <w:tcBorders>
              <w:top w:val="single" w:sz="4" w:space="0" w:color="auto"/>
              <w:left w:val="single" w:sz="4" w:space="0" w:color="auto"/>
              <w:bottom w:val="single" w:sz="4" w:space="0" w:color="auto"/>
              <w:right w:val="single" w:sz="4" w:space="0" w:color="auto"/>
            </w:tcBorders>
          </w:tcPr>
          <w:p w14:paraId="7C231AF7" w14:textId="77777777" w:rsidR="00AF136F" w:rsidRPr="00FC0F62" w:rsidRDefault="00AF136F" w:rsidP="00AF136F">
            <w:pPr>
              <w:keepNext/>
              <w:contextualSpacing/>
              <w:jc w:val="left"/>
              <w:rPr>
                <w:rFonts w:ascii="Arial Narrow" w:hAnsi="Arial Narrow"/>
                <w:b/>
                <w:i/>
                <w:lang w:eastAsia="en-US"/>
              </w:rPr>
            </w:pPr>
            <w:r w:rsidRPr="00FC0F62">
              <w:rPr>
                <w:rFonts w:ascii="Arial Narrow" w:eastAsia="Calibri" w:hAnsi="Arial Narrow" w:cs="Times New Roman"/>
                <w:b/>
                <w:bCs/>
                <w:iCs/>
                <w:spacing w:val="5"/>
                <w:lang w:eastAsia="en-US"/>
              </w:rPr>
              <w:t>AQP4-Ab NMOSD</w:t>
            </w:r>
          </w:p>
        </w:tc>
        <w:tc>
          <w:tcPr>
            <w:tcW w:w="1250" w:type="pct"/>
            <w:tcBorders>
              <w:top w:val="single" w:sz="4" w:space="0" w:color="auto"/>
              <w:left w:val="single" w:sz="4" w:space="0" w:color="auto"/>
              <w:bottom w:val="single" w:sz="4" w:space="0" w:color="auto"/>
              <w:right w:val="single" w:sz="4" w:space="0" w:color="auto"/>
            </w:tcBorders>
          </w:tcPr>
          <w:p w14:paraId="69CE7003" w14:textId="77777777" w:rsidR="00AF136F" w:rsidRPr="00FC0F62" w:rsidRDefault="000A0FC8" w:rsidP="00B4243D">
            <w:pPr>
              <w:keepNext/>
              <w:contextualSpacing/>
              <w:jc w:val="left"/>
              <w:rPr>
                <w:rFonts w:ascii="Arial Narrow" w:eastAsia="Calibri" w:hAnsi="Arial Narrow" w:cs="Times New Roman"/>
                <w:b/>
                <w:bCs/>
                <w:iCs/>
                <w:spacing w:val="5"/>
                <w:lang w:eastAsia="en-US"/>
              </w:rPr>
            </w:pPr>
            <w:r w:rsidRPr="00FC0F62">
              <w:rPr>
                <w:rFonts w:ascii="Arial Narrow" w:eastAsia="Calibri" w:hAnsi="Arial Narrow" w:cs="Times New Roman"/>
                <w:b/>
                <w:bCs/>
                <w:iCs/>
                <w:spacing w:val="5"/>
                <w:lang w:eastAsia="en-US"/>
              </w:rPr>
              <w:t>M</w:t>
            </w:r>
            <w:r w:rsidR="00B4243D" w:rsidRPr="00FC0F62">
              <w:rPr>
                <w:rFonts w:ascii="Arial Narrow" w:eastAsia="Calibri" w:hAnsi="Arial Narrow" w:cs="Times New Roman"/>
                <w:b/>
                <w:bCs/>
                <w:iCs/>
                <w:spacing w:val="5"/>
                <w:lang w:eastAsia="en-US"/>
              </w:rPr>
              <w:t>ARD</w:t>
            </w:r>
          </w:p>
        </w:tc>
        <w:tc>
          <w:tcPr>
            <w:tcW w:w="1249" w:type="pct"/>
            <w:tcBorders>
              <w:top w:val="single" w:sz="4" w:space="0" w:color="auto"/>
              <w:left w:val="single" w:sz="4" w:space="0" w:color="auto"/>
              <w:bottom w:val="single" w:sz="4" w:space="0" w:color="auto"/>
              <w:right w:val="single" w:sz="4" w:space="0" w:color="auto"/>
            </w:tcBorders>
            <w:vAlign w:val="center"/>
          </w:tcPr>
          <w:p w14:paraId="2FAC0DB7" w14:textId="77777777" w:rsidR="00AF136F" w:rsidRPr="00FC0F62" w:rsidRDefault="00AF136F" w:rsidP="00AF136F">
            <w:pPr>
              <w:keepNext/>
              <w:contextualSpacing/>
              <w:jc w:val="left"/>
              <w:rPr>
                <w:rFonts w:ascii="Arial Narrow" w:hAnsi="Arial Narrow"/>
                <w:b/>
                <w:i/>
                <w:lang w:eastAsia="en-US"/>
              </w:rPr>
            </w:pPr>
            <w:r w:rsidRPr="00FC0F62">
              <w:rPr>
                <w:rFonts w:ascii="Arial Narrow" w:eastAsia="Calibri" w:hAnsi="Arial Narrow" w:cs="Times New Roman"/>
                <w:b/>
                <w:bCs/>
                <w:iCs/>
                <w:spacing w:val="5"/>
                <w:lang w:eastAsia="en-US"/>
              </w:rPr>
              <w:t>MS</w:t>
            </w:r>
          </w:p>
        </w:tc>
      </w:tr>
      <w:tr w:rsidR="00AF136F" w:rsidRPr="00FC0F62" w14:paraId="563A8E5D" w14:textId="77777777" w:rsidTr="00FC2669">
        <w:tc>
          <w:tcPr>
            <w:tcW w:w="1251" w:type="pct"/>
            <w:tcBorders>
              <w:top w:val="single" w:sz="4" w:space="0" w:color="auto"/>
              <w:left w:val="single" w:sz="4" w:space="0" w:color="auto"/>
              <w:bottom w:val="single" w:sz="4" w:space="0" w:color="auto"/>
              <w:right w:val="single" w:sz="4" w:space="0" w:color="auto"/>
            </w:tcBorders>
          </w:tcPr>
          <w:p w14:paraId="16C88141"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Antibody testing</w:t>
            </w:r>
          </w:p>
        </w:tc>
        <w:tc>
          <w:tcPr>
            <w:tcW w:w="1250" w:type="pct"/>
            <w:tcBorders>
              <w:top w:val="single" w:sz="4" w:space="0" w:color="auto"/>
              <w:left w:val="single" w:sz="4" w:space="0" w:color="auto"/>
              <w:bottom w:val="single" w:sz="4" w:space="0" w:color="auto"/>
              <w:right w:val="single" w:sz="4" w:space="0" w:color="auto"/>
            </w:tcBorders>
          </w:tcPr>
          <w:p w14:paraId="251349BF" w14:textId="77777777" w:rsidR="00AF136F" w:rsidRPr="00FC0F62" w:rsidRDefault="00AF136F" w:rsidP="005C683E">
            <w:pPr>
              <w:keepNext/>
              <w:contextualSpacing/>
              <w:jc w:val="left"/>
              <w:rPr>
                <w:rFonts w:ascii="Arial Narrow" w:eastAsia="Calibri" w:hAnsi="Arial Narrow" w:cs="Times New Roman"/>
                <w:b/>
                <w:bCs/>
                <w:iCs/>
                <w:spacing w:val="5"/>
                <w:lang w:eastAsia="en-US"/>
              </w:rPr>
            </w:pPr>
            <w:r w:rsidRPr="00FC0F62">
              <w:rPr>
                <w:rFonts w:ascii="Arial Narrow" w:eastAsia="Calibri" w:hAnsi="Arial Narrow" w:cs="Times New Roman"/>
                <w:bCs/>
                <w:iCs/>
                <w:spacing w:val="5"/>
                <w:lang w:eastAsia="en-US"/>
              </w:rPr>
              <w:t>Serum</w:t>
            </w:r>
            <w:r w:rsidRPr="00FC0F62">
              <w:rPr>
                <w:rFonts w:ascii="Arial Narrow" w:eastAsia="Calibri" w:hAnsi="Arial Narrow" w:cs="Times New Roman"/>
                <w:bCs/>
                <w:iCs/>
                <w:spacing w:val="5"/>
                <w:vertAlign w:val="superscript"/>
                <w:lang w:eastAsia="en-US"/>
              </w:rPr>
              <w:t>b</w:t>
            </w:r>
            <w:r w:rsidRPr="00FC0F62">
              <w:rPr>
                <w:rFonts w:ascii="Arial Narrow" w:eastAsia="Calibri" w:hAnsi="Arial Narrow" w:cs="Times New Roman"/>
                <w:bCs/>
                <w:iCs/>
                <w:spacing w:val="5"/>
                <w:lang w:eastAsia="en-US"/>
              </w:rPr>
              <w:t xml:space="preserve"> antibodies to AQP4</w:t>
            </w:r>
            <w:r w:rsidR="00E24A6C" w:rsidRPr="00FC0F62">
              <w:rPr>
                <w:rFonts w:ascii="Arial Narrow" w:eastAsia="Calibri" w:hAnsi="Arial Narrow" w:cs="Times New Roman"/>
                <w:bCs/>
                <w:iCs/>
                <w:spacing w:val="5"/>
                <w:lang w:eastAsia="en-US"/>
              </w:rPr>
              <w:t xml:space="preserve"> in approximately 80%</w:t>
            </w:r>
            <w:r w:rsidR="005C683E" w:rsidRPr="00FC0F62">
              <w:rPr>
                <w:rFonts w:ascii="Arial Narrow" w:eastAsia="Calibri" w:hAnsi="Arial Narrow" w:cs="Times New Roman"/>
                <w:bCs/>
                <w:iCs/>
                <w:spacing w:val="5"/>
                <w:vertAlign w:val="superscript"/>
                <w:lang w:eastAsia="en-US"/>
              </w:rPr>
              <w:t>c</w:t>
            </w:r>
            <w:r w:rsidR="00DD40C5" w:rsidRPr="00FC0F62">
              <w:rPr>
                <w:rFonts w:ascii="Arial Narrow" w:eastAsia="Calibri" w:hAnsi="Arial Narrow" w:cs="Times New Roman"/>
                <w:bCs/>
                <w:iCs/>
                <w:spacing w:val="5"/>
                <w:vertAlign w:val="superscript"/>
                <w:lang w:eastAsia="en-US"/>
              </w:rPr>
              <w:t xml:space="preserve"> </w:t>
            </w:r>
            <w:r w:rsidR="00DD40C5" w:rsidRPr="00FC0F62">
              <w:rPr>
                <w:rFonts w:ascii="Arial Narrow" w:eastAsia="Calibri" w:hAnsi="Arial Narrow" w:cs="Times New Roman"/>
                <w:bCs/>
                <w:iCs/>
                <w:spacing w:val="5"/>
                <w:lang w:eastAsia="en-US"/>
              </w:rPr>
              <w:t>of cases</w:t>
            </w:r>
          </w:p>
        </w:tc>
        <w:tc>
          <w:tcPr>
            <w:tcW w:w="1250" w:type="pct"/>
            <w:tcBorders>
              <w:top w:val="single" w:sz="4" w:space="0" w:color="auto"/>
              <w:left w:val="single" w:sz="4" w:space="0" w:color="auto"/>
              <w:bottom w:val="single" w:sz="4" w:space="0" w:color="auto"/>
              <w:right w:val="single" w:sz="4" w:space="0" w:color="auto"/>
            </w:tcBorders>
          </w:tcPr>
          <w:p w14:paraId="7000E187"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Serum</w:t>
            </w:r>
            <w:r w:rsidRPr="00FC0F62">
              <w:rPr>
                <w:rFonts w:ascii="Arial Narrow" w:eastAsia="Calibri" w:hAnsi="Arial Narrow" w:cs="Times New Roman"/>
                <w:bCs/>
                <w:iCs/>
                <w:spacing w:val="5"/>
                <w:vertAlign w:val="superscript"/>
                <w:lang w:eastAsia="en-US"/>
              </w:rPr>
              <w:t>b</w:t>
            </w:r>
            <w:r w:rsidRPr="00FC0F62">
              <w:rPr>
                <w:rFonts w:ascii="Arial Narrow" w:eastAsia="Calibri" w:hAnsi="Arial Narrow" w:cs="Times New Roman"/>
                <w:bCs/>
                <w:iCs/>
                <w:spacing w:val="5"/>
                <w:lang w:eastAsia="en-US"/>
              </w:rPr>
              <w:t xml:space="preserve"> antibodies to MOG</w:t>
            </w:r>
          </w:p>
        </w:tc>
        <w:tc>
          <w:tcPr>
            <w:tcW w:w="1249" w:type="pct"/>
            <w:tcBorders>
              <w:top w:val="single" w:sz="4" w:space="0" w:color="auto"/>
              <w:left w:val="single" w:sz="4" w:space="0" w:color="auto"/>
              <w:bottom w:val="single" w:sz="4" w:space="0" w:color="auto"/>
              <w:right w:val="single" w:sz="4" w:space="0" w:color="auto"/>
            </w:tcBorders>
          </w:tcPr>
          <w:p w14:paraId="6CD8DA46" w14:textId="6E34844C" w:rsidR="00AF136F" w:rsidRPr="00FC0F62" w:rsidRDefault="00CA4E1F" w:rsidP="00D752A7">
            <w:pPr>
              <w:keepNext/>
              <w:contextualSpacing/>
              <w:jc w:val="left"/>
              <w:rPr>
                <w:rFonts w:ascii="Arial Narrow" w:eastAsia="Calibri" w:hAnsi="Arial Narrow" w:cs="Times New Roman"/>
                <w:b/>
                <w:bCs/>
                <w:iCs/>
                <w:spacing w:val="5"/>
                <w:vertAlign w:val="superscript"/>
                <w:lang w:eastAsia="en-US"/>
              </w:rPr>
            </w:pPr>
            <w:r w:rsidRPr="00FC0F62">
              <w:rPr>
                <w:rFonts w:ascii="Arial Narrow" w:eastAsia="Calibri" w:hAnsi="Arial Narrow" w:cs="Times New Roman"/>
                <w:bCs/>
                <w:iCs/>
                <w:spacing w:val="5"/>
                <w:lang w:eastAsia="en-US"/>
              </w:rPr>
              <w:t>Rarely serum antibodies to AQP4.  MOG (antibodies may be present in Marburg’s disease, also called malignant MS</w:t>
            </w:r>
            <w:r w:rsidRPr="00FC0F62">
              <w:rPr>
                <w:rFonts w:ascii="Arial Narrow" w:eastAsia="Calibri" w:hAnsi="Arial Narrow" w:cs="Times New Roman"/>
                <w:bCs/>
                <w:iCs/>
                <w:spacing w:val="5"/>
                <w:vertAlign w:val="superscript"/>
                <w:lang w:eastAsia="en-US"/>
              </w:rPr>
              <w:t>d)</w:t>
            </w:r>
          </w:p>
        </w:tc>
      </w:tr>
      <w:tr w:rsidR="00AF136F" w:rsidRPr="00FC0F62" w14:paraId="420C52E4" w14:textId="77777777" w:rsidTr="00FC2669">
        <w:tc>
          <w:tcPr>
            <w:tcW w:w="1251" w:type="pct"/>
            <w:tcBorders>
              <w:top w:val="single" w:sz="4" w:space="0" w:color="auto"/>
              <w:left w:val="single" w:sz="4" w:space="0" w:color="auto"/>
              <w:bottom w:val="single" w:sz="4" w:space="0" w:color="auto"/>
              <w:right w:val="single" w:sz="4" w:space="0" w:color="auto"/>
            </w:tcBorders>
          </w:tcPr>
          <w:p w14:paraId="1F746505"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Age</w:t>
            </w:r>
          </w:p>
        </w:tc>
        <w:tc>
          <w:tcPr>
            <w:tcW w:w="1250" w:type="pct"/>
            <w:tcBorders>
              <w:top w:val="single" w:sz="4" w:space="0" w:color="auto"/>
              <w:left w:val="single" w:sz="4" w:space="0" w:color="auto"/>
              <w:bottom w:val="single" w:sz="4" w:space="0" w:color="auto"/>
              <w:right w:val="single" w:sz="4" w:space="0" w:color="auto"/>
            </w:tcBorders>
          </w:tcPr>
          <w:p w14:paraId="4F54457C"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Age of onset late 30’s but can range from childhood to the elderly</w:t>
            </w:r>
          </w:p>
        </w:tc>
        <w:tc>
          <w:tcPr>
            <w:tcW w:w="1250" w:type="pct"/>
            <w:tcBorders>
              <w:top w:val="single" w:sz="4" w:space="0" w:color="auto"/>
              <w:left w:val="single" w:sz="4" w:space="0" w:color="auto"/>
              <w:bottom w:val="single" w:sz="4" w:space="0" w:color="auto"/>
              <w:right w:val="single" w:sz="4" w:space="0" w:color="auto"/>
            </w:tcBorders>
          </w:tcPr>
          <w:p w14:paraId="6EFA89A0"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 xml:space="preserve">Early to mid-30s, but can occur in all decades of life </w:t>
            </w:r>
          </w:p>
        </w:tc>
        <w:tc>
          <w:tcPr>
            <w:tcW w:w="1249" w:type="pct"/>
            <w:tcBorders>
              <w:top w:val="single" w:sz="4" w:space="0" w:color="auto"/>
              <w:left w:val="single" w:sz="4" w:space="0" w:color="auto"/>
              <w:bottom w:val="single" w:sz="4" w:space="0" w:color="auto"/>
              <w:right w:val="single" w:sz="4" w:space="0" w:color="auto"/>
            </w:tcBorders>
          </w:tcPr>
          <w:p w14:paraId="1C7EA854"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Age of onset 20-40 years old</w:t>
            </w:r>
          </w:p>
        </w:tc>
      </w:tr>
      <w:tr w:rsidR="00AF136F" w:rsidRPr="00FC0F62" w14:paraId="1AAFF1EC" w14:textId="77777777" w:rsidTr="00FC2669">
        <w:tc>
          <w:tcPr>
            <w:tcW w:w="1251" w:type="pct"/>
            <w:tcBorders>
              <w:top w:val="single" w:sz="4" w:space="0" w:color="auto"/>
              <w:left w:val="single" w:sz="4" w:space="0" w:color="auto"/>
              <w:bottom w:val="single" w:sz="4" w:space="0" w:color="auto"/>
              <w:right w:val="single" w:sz="4" w:space="0" w:color="auto"/>
            </w:tcBorders>
          </w:tcPr>
          <w:p w14:paraId="6DD4CD64"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Gender</w:t>
            </w:r>
          </w:p>
        </w:tc>
        <w:tc>
          <w:tcPr>
            <w:tcW w:w="1250" w:type="pct"/>
            <w:tcBorders>
              <w:top w:val="single" w:sz="4" w:space="0" w:color="auto"/>
              <w:left w:val="single" w:sz="4" w:space="0" w:color="auto"/>
              <w:bottom w:val="single" w:sz="4" w:space="0" w:color="auto"/>
              <w:right w:val="single" w:sz="4" w:space="0" w:color="auto"/>
            </w:tcBorders>
          </w:tcPr>
          <w:p w14:paraId="17D869FF" w14:textId="347FBBB9" w:rsidR="00AF136F" w:rsidRPr="00FC0F62" w:rsidRDefault="00AF136F" w:rsidP="00DD40C5">
            <w:pPr>
              <w:keepNext/>
              <w:contextualSpacing/>
              <w:jc w:val="left"/>
              <w:rPr>
                <w:rFonts w:ascii="Arial Narrow" w:eastAsia="Calibri" w:hAnsi="Arial Narrow" w:cs="Times New Roman"/>
                <w:bCs/>
                <w:iCs/>
                <w:spacing w:val="5"/>
                <w:vertAlign w:val="superscript"/>
                <w:lang w:eastAsia="en-US"/>
              </w:rPr>
            </w:pPr>
            <w:r w:rsidRPr="00FC0F62">
              <w:rPr>
                <w:rFonts w:ascii="Arial Narrow" w:eastAsia="Calibri" w:hAnsi="Arial Narrow" w:cs="Times New Roman"/>
                <w:bCs/>
                <w:iCs/>
                <w:spacing w:val="5"/>
                <w:lang w:eastAsia="en-US"/>
              </w:rPr>
              <w:t xml:space="preserve">More common in </w:t>
            </w:r>
            <w:r w:rsidR="00DD40C5" w:rsidRPr="00FC0F62">
              <w:rPr>
                <w:rFonts w:ascii="Arial Narrow" w:eastAsia="Calibri" w:hAnsi="Arial Narrow" w:cs="Times New Roman"/>
                <w:bCs/>
                <w:iCs/>
                <w:spacing w:val="5"/>
                <w:lang w:eastAsia="en-US"/>
              </w:rPr>
              <w:t>women</w:t>
            </w:r>
            <w:r w:rsidR="00DD40C5" w:rsidRPr="00FC0F62">
              <w:rPr>
                <w:rFonts w:ascii="Arial Narrow" w:eastAsia="Calibri" w:hAnsi="Arial Narrow" w:cs="Times New Roman"/>
                <w:bCs/>
                <w:iCs/>
                <w:spacing w:val="5"/>
                <w:vertAlign w:val="superscript"/>
                <w:lang w:eastAsia="en-US"/>
              </w:rPr>
              <w:t>e</w:t>
            </w:r>
          </w:p>
        </w:tc>
        <w:tc>
          <w:tcPr>
            <w:tcW w:w="1250" w:type="pct"/>
            <w:tcBorders>
              <w:top w:val="single" w:sz="4" w:space="0" w:color="auto"/>
              <w:left w:val="single" w:sz="4" w:space="0" w:color="auto"/>
              <w:bottom w:val="single" w:sz="4" w:space="0" w:color="auto"/>
              <w:right w:val="single" w:sz="4" w:space="0" w:color="auto"/>
            </w:tcBorders>
          </w:tcPr>
          <w:p w14:paraId="64670811"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Slight predominance in women</w:t>
            </w:r>
          </w:p>
        </w:tc>
        <w:tc>
          <w:tcPr>
            <w:tcW w:w="1249" w:type="pct"/>
            <w:tcBorders>
              <w:top w:val="single" w:sz="4" w:space="0" w:color="auto"/>
              <w:left w:val="single" w:sz="4" w:space="0" w:color="auto"/>
              <w:bottom w:val="single" w:sz="4" w:space="0" w:color="auto"/>
              <w:right w:val="single" w:sz="4" w:space="0" w:color="auto"/>
            </w:tcBorders>
          </w:tcPr>
          <w:p w14:paraId="5FAD695D"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More common in women</w:t>
            </w:r>
          </w:p>
        </w:tc>
      </w:tr>
      <w:tr w:rsidR="00AF136F" w:rsidRPr="00FC0F62" w14:paraId="761348E7" w14:textId="77777777" w:rsidTr="00FC2669">
        <w:tc>
          <w:tcPr>
            <w:tcW w:w="1251" w:type="pct"/>
            <w:tcBorders>
              <w:top w:val="single" w:sz="4" w:space="0" w:color="auto"/>
              <w:left w:val="single" w:sz="4" w:space="0" w:color="auto"/>
              <w:bottom w:val="single" w:sz="4" w:space="0" w:color="auto"/>
              <w:right w:val="single" w:sz="4" w:space="0" w:color="auto"/>
            </w:tcBorders>
          </w:tcPr>
          <w:p w14:paraId="6AE0BC1B"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Ethnicity</w:t>
            </w:r>
          </w:p>
        </w:tc>
        <w:tc>
          <w:tcPr>
            <w:tcW w:w="1250" w:type="pct"/>
            <w:tcBorders>
              <w:top w:val="single" w:sz="4" w:space="0" w:color="auto"/>
              <w:left w:val="single" w:sz="4" w:space="0" w:color="auto"/>
              <w:bottom w:val="single" w:sz="4" w:space="0" w:color="auto"/>
              <w:right w:val="single" w:sz="4" w:space="0" w:color="auto"/>
            </w:tcBorders>
          </w:tcPr>
          <w:p w14:paraId="4A9D3BB0" w14:textId="20272ADD" w:rsidR="00AF136F" w:rsidRPr="00FC0F62" w:rsidRDefault="00AF136F" w:rsidP="00DD40C5">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Relatively rare in Europe. Affects non-whites (e.g. Afro-Brazilians (15%), East Asians (up to 48%) and Indians (9%)</w:t>
            </w:r>
            <w:r w:rsidR="00DD40C5" w:rsidRPr="00FC0F62">
              <w:rPr>
                <w:rFonts w:ascii="Arial Narrow" w:eastAsia="Calibri" w:hAnsi="Arial Narrow" w:cs="Times New Roman"/>
                <w:bCs/>
                <w:iCs/>
                <w:spacing w:val="5"/>
                <w:vertAlign w:val="superscript"/>
                <w:lang w:eastAsia="en-US"/>
              </w:rPr>
              <w:t>f</w:t>
            </w:r>
            <w:r w:rsidR="00DD40C5" w:rsidRPr="00FC0F62">
              <w:rPr>
                <w:rFonts w:ascii="Arial Narrow" w:eastAsia="Calibri" w:hAnsi="Arial Narrow" w:cs="Times New Roman"/>
                <w:bCs/>
                <w:iCs/>
                <w:spacing w:val="5"/>
                <w:lang w:eastAsia="en-US"/>
              </w:rPr>
              <w:t xml:space="preserve"> </w:t>
            </w:r>
          </w:p>
        </w:tc>
        <w:tc>
          <w:tcPr>
            <w:tcW w:w="1250" w:type="pct"/>
            <w:tcBorders>
              <w:top w:val="single" w:sz="4" w:space="0" w:color="auto"/>
              <w:left w:val="single" w:sz="4" w:space="0" w:color="auto"/>
              <w:bottom w:val="single" w:sz="4" w:space="0" w:color="auto"/>
              <w:right w:val="single" w:sz="4" w:space="0" w:color="auto"/>
            </w:tcBorders>
          </w:tcPr>
          <w:p w14:paraId="0D07ADBA" w14:textId="39736639" w:rsidR="00AF136F" w:rsidRPr="00FC0F62" w:rsidRDefault="00AF136F" w:rsidP="000E5F7C">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 xml:space="preserve">No ethnicity </w:t>
            </w:r>
            <w:r w:rsidR="00DD40C5" w:rsidRPr="00FC0F62">
              <w:rPr>
                <w:rFonts w:ascii="Arial Narrow" w:eastAsia="Calibri" w:hAnsi="Arial Narrow" w:cs="Times New Roman"/>
                <w:bCs/>
                <w:iCs/>
                <w:spacing w:val="5"/>
                <w:lang w:eastAsia="en-US"/>
              </w:rPr>
              <w:t>differences</w:t>
            </w:r>
            <w:r w:rsidR="00DD40C5" w:rsidRPr="00FC0F62">
              <w:rPr>
                <w:rFonts w:ascii="Arial Narrow" w:eastAsia="Calibri" w:hAnsi="Arial Narrow" w:cs="Times New Roman"/>
                <w:bCs/>
                <w:iCs/>
                <w:spacing w:val="5"/>
                <w:vertAlign w:val="superscript"/>
                <w:lang w:eastAsia="en-US"/>
              </w:rPr>
              <w:t>g</w:t>
            </w:r>
            <w:r w:rsidR="00DD40C5" w:rsidRPr="00FC0F62">
              <w:rPr>
                <w:rFonts w:ascii="Arial Narrow" w:eastAsia="Calibri" w:hAnsi="Arial Narrow" w:cs="Times New Roman"/>
                <w:bCs/>
                <w:iCs/>
                <w:spacing w:val="5"/>
                <w:lang w:eastAsia="en-US"/>
              </w:rPr>
              <w:t xml:space="preserve"> </w:t>
            </w:r>
            <w:r w:rsidRPr="00FC0F62">
              <w:rPr>
                <w:rFonts w:ascii="Arial Narrow" w:eastAsia="Calibri" w:hAnsi="Arial Narrow" w:cs="Times New Roman"/>
                <w:bCs/>
                <w:iCs/>
                <w:spacing w:val="5"/>
                <w:lang w:eastAsia="en-US"/>
              </w:rPr>
              <w:t xml:space="preserve">although some reports indicate higher in Caucasian </w:t>
            </w:r>
            <w:r w:rsidR="000E5F7C" w:rsidRPr="00FC0F62">
              <w:rPr>
                <w:rFonts w:ascii="Arial Narrow" w:eastAsia="Calibri" w:hAnsi="Arial Narrow" w:cs="Times New Roman"/>
                <w:bCs/>
                <w:iCs/>
                <w:spacing w:val="5"/>
                <w:lang w:eastAsia="en-US"/>
              </w:rPr>
              <w:t>ethnicity</w:t>
            </w:r>
            <w:r w:rsidR="000E5F7C" w:rsidRPr="00FC0F62">
              <w:rPr>
                <w:rFonts w:ascii="Arial Narrow" w:eastAsia="Calibri" w:hAnsi="Arial Narrow" w:cs="Times New Roman"/>
                <w:bCs/>
                <w:iCs/>
                <w:spacing w:val="5"/>
                <w:vertAlign w:val="superscript"/>
                <w:lang w:eastAsia="en-US"/>
              </w:rPr>
              <w:t>h</w:t>
            </w:r>
            <w:r w:rsidR="000E5F7C" w:rsidRPr="00FC0F62">
              <w:rPr>
                <w:rFonts w:ascii="Arial Narrow" w:eastAsia="Calibri" w:hAnsi="Arial Narrow" w:cs="Times New Roman"/>
                <w:bCs/>
                <w:iCs/>
                <w:spacing w:val="5"/>
                <w:lang w:eastAsia="en-US"/>
              </w:rPr>
              <w:t xml:space="preserve">   </w:t>
            </w:r>
          </w:p>
        </w:tc>
        <w:tc>
          <w:tcPr>
            <w:tcW w:w="1249" w:type="pct"/>
            <w:tcBorders>
              <w:top w:val="single" w:sz="4" w:space="0" w:color="auto"/>
              <w:left w:val="single" w:sz="4" w:space="0" w:color="auto"/>
              <w:bottom w:val="single" w:sz="4" w:space="0" w:color="auto"/>
              <w:right w:val="single" w:sz="4" w:space="0" w:color="auto"/>
            </w:tcBorders>
          </w:tcPr>
          <w:p w14:paraId="7AA0636D" w14:textId="394C9526" w:rsidR="00AF136F" w:rsidRPr="00FC0F62" w:rsidRDefault="00AF136F" w:rsidP="000E5F7C">
            <w:pPr>
              <w:keepNext/>
              <w:contextualSpacing/>
              <w:jc w:val="left"/>
              <w:rPr>
                <w:rFonts w:ascii="Arial Narrow" w:eastAsia="Calibri" w:hAnsi="Arial Narrow" w:cs="Times New Roman"/>
                <w:bCs/>
                <w:iCs/>
                <w:spacing w:val="5"/>
                <w:vertAlign w:val="superscript"/>
                <w:lang w:eastAsia="en-US"/>
              </w:rPr>
            </w:pPr>
            <w:r w:rsidRPr="00FC0F62">
              <w:rPr>
                <w:rFonts w:ascii="Arial Narrow" w:eastAsia="Calibri" w:hAnsi="Arial Narrow" w:cs="Times New Roman"/>
                <w:bCs/>
                <w:iCs/>
                <w:spacing w:val="5"/>
                <w:lang w:eastAsia="en-US"/>
              </w:rPr>
              <w:t>More common in Europe compared to NMOSD</w:t>
            </w:r>
            <w:r w:rsidR="00A72295" w:rsidRPr="00FC0F62">
              <w:rPr>
                <w:rFonts w:ascii="Arial Narrow" w:eastAsia="Calibri" w:hAnsi="Arial Narrow" w:cs="Times New Roman"/>
                <w:bCs/>
                <w:iCs/>
                <w:spacing w:val="5"/>
                <w:lang w:eastAsia="en-US"/>
              </w:rPr>
              <w:t>;</w:t>
            </w:r>
            <w:r w:rsidRPr="00FC0F62">
              <w:rPr>
                <w:rFonts w:ascii="Arial Narrow" w:eastAsia="Calibri" w:hAnsi="Arial Narrow" w:cs="Times New Roman"/>
                <w:bCs/>
                <w:iCs/>
                <w:spacing w:val="5"/>
                <w:lang w:eastAsia="en-US"/>
              </w:rPr>
              <w:t xml:space="preserve"> ratio 42.7:1 (MS:NMOSD)</w:t>
            </w:r>
            <w:r w:rsidR="000E5F7C" w:rsidRPr="00FC0F62">
              <w:rPr>
                <w:rFonts w:ascii="Arial Narrow" w:eastAsia="Calibri" w:hAnsi="Arial Narrow" w:cs="Times New Roman"/>
                <w:bCs/>
                <w:iCs/>
                <w:spacing w:val="5"/>
                <w:vertAlign w:val="superscript"/>
                <w:lang w:eastAsia="en-US"/>
              </w:rPr>
              <w:t>i</w:t>
            </w:r>
          </w:p>
        </w:tc>
      </w:tr>
      <w:tr w:rsidR="00AF136F" w:rsidRPr="00FC0F62" w14:paraId="736D2A82" w14:textId="77777777" w:rsidTr="00FC2669">
        <w:tc>
          <w:tcPr>
            <w:tcW w:w="1251" w:type="pct"/>
            <w:tcBorders>
              <w:top w:val="single" w:sz="4" w:space="0" w:color="auto"/>
              <w:left w:val="single" w:sz="4" w:space="0" w:color="auto"/>
              <w:bottom w:val="single" w:sz="4" w:space="0" w:color="auto"/>
              <w:right w:val="single" w:sz="4" w:space="0" w:color="auto"/>
            </w:tcBorders>
          </w:tcPr>
          <w:p w14:paraId="5CE0ACF1" w14:textId="77777777" w:rsidR="00AF136F" w:rsidRPr="00FC0F62" w:rsidRDefault="00AF136F" w:rsidP="00AF136F">
            <w:pPr>
              <w:keepNext/>
              <w:contextualSpacing/>
              <w:jc w:val="left"/>
              <w:rPr>
                <w:rFonts w:ascii="Arial Narrow" w:eastAsia="Calibri" w:hAnsi="Arial Narrow" w:cs="Times New Roman"/>
                <w:b/>
                <w:bCs/>
                <w:iCs/>
                <w:spacing w:val="5"/>
                <w:lang w:eastAsia="en-US"/>
              </w:rPr>
            </w:pPr>
            <w:r w:rsidRPr="00FC0F62">
              <w:rPr>
                <w:rFonts w:ascii="Arial Narrow" w:eastAsia="Calibri" w:hAnsi="Arial Narrow" w:cs="Times New Roman"/>
                <w:b/>
                <w:bCs/>
                <w:iCs/>
                <w:spacing w:val="5"/>
                <w:lang w:eastAsia="en-US"/>
              </w:rPr>
              <w:t xml:space="preserve">Neurological </w:t>
            </w:r>
          </w:p>
          <w:p w14:paraId="32579077"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presentation</w:t>
            </w:r>
          </w:p>
        </w:tc>
        <w:tc>
          <w:tcPr>
            <w:tcW w:w="1250" w:type="pct"/>
            <w:tcBorders>
              <w:top w:val="single" w:sz="4" w:space="0" w:color="auto"/>
              <w:left w:val="single" w:sz="4" w:space="0" w:color="auto"/>
              <w:bottom w:val="single" w:sz="4" w:space="0" w:color="auto"/>
              <w:right w:val="single" w:sz="4" w:space="0" w:color="auto"/>
            </w:tcBorders>
          </w:tcPr>
          <w:p w14:paraId="644DE2D2"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ON usually severe with limited recovery (visual loss more severe than MS); transverse myelitis; intractable nausea with hiccups or vomiting</w:t>
            </w:r>
          </w:p>
        </w:tc>
        <w:tc>
          <w:tcPr>
            <w:tcW w:w="1250" w:type="pct"/>
            <w:tcBorders>
              <w:top w:val="single" w:sz="4" w:space="0" w:color="auto"/>
              <w:left w:val="single" w:sz="4" w:space="0" w:color="auto"/>
              <w:bottom w:val="single" w:sz="4" w:space="0" w:color="auto"/>
              <w:right w:val="single" w:sz="4" w:space="0" w:color="auto"/>
            </w:tcBorders>
          </w:tcPr>
          <w:p w14:paraId="1B0377F8"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Commonly ON at onset (better visual field outcomes compared to NMOSD ON); other presentations include myelitis, ADEM and ADEM-like events</w:t>
            </w:r>
          </w:p>
        </w:tc>
        <w:tc>
          <w:tcPr>
            <w:tcW w:w="1249" w:type="pct"/>
            <w:tcBorders>
              <w:top w:val="single" w:sz="4" w:space="0" w:color="auto"/>
              <w:left w:val="single" w:sz="4" w:space="0" w:color="auto"/>
              <w:bottom w:val="single" w:sz="4" w:space="0" w:color="auto"/>
              <w:right w:val="single" w:sz="4" w:space="0" w:color="auto"/>
            </w:tcBorders>
          </w:tcPr>
          <w:p w14:paraId="6F1E2B39"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ON usually with good recovery (visual loss less severe than NMOSD); other neurological systems involved</w:t>
            </w:r>
          </w:p>
        </w:tc>
      </w:tr>
      <w:tr w:rsidR="00AF136F" w:rsidRPr="00FC0F62" w14:paraId="3D438B83" w14:textId="77777777" w:rsidTr="00FC2669">
        <w:tc>
          <w:tcPr>
            <w:tcW w:w="1251" w:type="pct"/>
            <w:tcBorders>
              <w:top w:val="single" w:sz="4" w:space="0" w:color="auto"/>
              <w:left w:val="single" w:sz="4" w:space="0" w:color="auto"/>
              <w:bottom w:val="single" w:sz="4" w:space="0" w:color="auto"/>
              <w:right w:val="single" w:sz="4" w:space="0" w:color="auto"/>
            </w:tcBorders>
          </w:tcPr>
          <w:p w14:paraId="3E04A05B" w14:textId="77777777" w:rsidR="00AF136F" w:rsidRPr="00FC0F62" w:rsidRDefault="00AF136F" w:rsidP="00AF136F">
            <w:pPr>
              <w:keepNext/>
              <w:contextualSpacing/>
              <w:jc w:val="left"/>
              <w:rPr>
                <w:rFonts w:ascii="Arial Narrow" w:eastAsia="Calibri" w:hAnsi="Arial Narrow" w:cs="Times New Roman"/>
                <w:b/>
                <w:bCs/>
                <w:iCs/>
                <w:spacing w:val="5"/>
                <w:lang w:eastAsia="en-US"/>
              </w:rPr>
            </w:pPr>
            <w:r w:rsidRPr="00FC0F62">
              <w:rPr>
                <w:rFonts w:ascii="Arial Narrow" w:eastAsia="Calibri" w:hAnsi="Arial Narrow" w:cs="Times New Roman"/>
                <w:b/>
                <w:bCs/>
                <w:iCs/>
                <w:spacing w:val="5"/>
                <w:lang w:eastAsia="en-US"/>
              </w:rPr>
              <w:t xml:space="preserve">Brain MRI </w:t>
            </w:r>
          </w:p>
          <w:p w14:paraId="5288A8E3"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findings</w:t>
            </w:r>
          </w:p>
        </w:tc>
        <w:tc>
          <w:tcPr>
            <w:tcW w:w="1250" w:type="pct"/>
            <w:tcBorders>
              <w:top w:val="single" w:sz="4" w:space="0" w:color="auto"/>
              <w:left w:val="single" w:sz="4" w:space="0" w:color="auto"/>
              <w:bottom w:val="single" w:sz="4" w:space="0" w:color="auto"/>
              <w:right w:val="single" w:sz="4" w:space="0" w:color="auto"/>
            </w:tcBorders>
          </w:tcPr>
          <w:p w14:paraId="5FC3E088"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 xml:space="preserve">Brain lesions may initially be absent on MRI at first presentation, but presence of cerebral lesions found in in 60% of cases </w:t>
            </w:r>
          </w:p>
        </w:tc>
        <w:tc>
          <w:tcPr>
            <w:tcW w:w="1250" w:type="pct"/>
            <w:tcBorders>
              <w:top w:val="single" w:sz="4" w:space="0" w:color="auto"/>
              <w:left w:val="single" w:sz="4" w:space="0" w:color="auto"/>
              <w:bottom w:val="single" w:sz="4" w:space="0" w:color="auto"/>
              <w:right w:val="single" w:sz="4" w:space="0" w:color="auto"/>
            </w:tcBorders>
          </w:tcPr>
          <w:p w14:paraId="7889B9F6"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Brain lesions on MRI in approximately 45% at onset. Percentages increase later in course of disease (up to 77%)</w:t>
            </w:r>
          </w:p>
        </w:tc>
        <w:tc>
          <w:tcPr>
            <w:tcW w:w="1249" w:type="pct"/>
            <w:tcBorders>
              <w:top w:val="single" w:sz="4" w:space="0" w:color="auto"/>
              <w:left w:val="single" w:sz="4" w:space="0" w:color="auto"/>
              <w:bottom w:val="single" w:sz="4" w:space="0" w:color="auto"/>
              <w:right w:val="single" w:sz="4" w:space="0" w:color="auto"/>
            </w:tcBorders>
          </w:tcPr>
          <w:p w14:paraId="56B01C89"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Brain lesions present on MRI</w:t>
            </w:r>
          </w:p>
        </w:tc>
      </w:tr>
      <w:tr w:rsidR="00AF136F" w:rsidRPr="00FC0F62" w14:paraId="76447806" w14:textId="77777777" w:rsidTr="00FC2669">
        <w:tc>
          <w:tcPr>
            <w:tcW w:w="1251" w:type="pct"/>
            <w:tcBorders>
              <w:top w:val="single" w:sz="4" w:space="0" w:color="auto"/>
              <w:left w:val="single" w:sz="4" w:space="0" w:color="auto"/>
              <w:bottom w:val="single" w:sz="4" w:space="0" w:color="auto"/>
              <w:right w:val="single" w:sz="4" w:space="0" w:color="auto"/>
            </w:tcBorders>
          </w:tcPr>
          <w:p w14:paraId="634BEEF7" w14:textId="77777777" w:rsidR="00AF136F" w:rsidRPr="00FC0F62" w:rsidRDefault="00AF136F" w:rsidP="00AF136F">
            <w:pPr>
              <w:keepNext/>
              <w:contextualSpacing/>
              <w:jc w:val="left"/>
              <w:rPr>
                <w:rFonts w:ascii="Arial Narrow" w:eastAsia="Calibri" w:hAnsi="Arial Narrow" w:cs="Times New Roman"/>
                <w:b/>
                <w:bCs/>
                <w:iCs/>
                <w:spacing w:val="5"/>
                <w:lang w:eastAsia="en-US"/>
              </w:rPr>
            </w:pPr>
            <w:r w:rsidRPr="00FC0F62">
              <w:rPr>
                <w:rFonts w:ascii="Arial Narrow" w:eastAsia="Calibri" w:hAnsi="Arial Narrow" w:cs="Times New Roman"/>
                <w:b/>
                <w:bCs/>
                <w:iCs/>
                <w:spacing w:val="5"/>
                <w:lang w:eastAsia="en-US"/>
              </w:rPr>
              <w:t xml:space="preserve">Spinal cord MRI </w:t>
            </w:r>
          </w:p>
          <w:p w14:paraId="731B536B"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findings</w:t>
            </w:r>
          </w:p>
        </w:tc>
        <w:tc>
          <w:tcPr>
            <w:tcW w:w="1250" w:type="pct"/>
            <w:tcBorders>
              <w:top w:val="single" w:sz="4" w:space="0" w:color="auto"/>
              <w:left w:val="single" w:sz="4" w:space="0" w:color="auto"/>
              <w:bottom w:val="single" w:sz="4" w:space="0" w:color="auto"/>
              <w:right w:val="single" w:sz="4" w:space="0" w:color="auto"/>
            </w:tcBorders>
          </w:tcPr>
          <w:p w14:paraId="7A5C19F7" w14:textId="77777777" w:rsidR="00AF136F" w:rsidRPr="00FC0F62" w:rsidRDefault="00AF136F" w:rsidP="00AF136F">
            <w:pPr>
              <w:keepNext/>
              <w:contextualSpacing/>
              <w:jc w:val="left"/>
              <w:rPr>
                <w:rFonts w:ascii="Arial Narrow" w:eastAsia="Calibri" w:hAnsi="Arial Narrow" w:cs="Times New Roman"/>
                <w:b/>
                <w:bCs/>
                <w:iCs/>
                <w:spacing w:val="5"/>
                <w:lang w:eastAsia="en-US"/>
              </w:rPr>
            </w:pPr>
            <w:r w:rsidRPr="00FC0F62">
              <w:rPr>
                <w:rFonts w:ascii="Arial Narrow" w:eastAsia="Calibri" w:hAnsi="Arial Narrow" w:cs="Times New Roman"/>
                <w:bCs/>
                <w:iCs/>
                <w:spacing w:val="5"/>
                <w:lang w:eastAsia="en-US"/>
              </w:rPr>
              <w:t>Spinal cord MRI shows LETM (≥ 3 vertebral segments)</w:t>
            </w:r>
          </w:p>
        </w:tc>
        <w:tc>
          <w:tcPr>
            <w:tcW w:w="1250" w:type="pct"/>
            <w:tcBorders>
              <w:top w:val="single" w:sz="4" w:space="0" w:color="auto"/>
              <w:left w:val="single" w:sz="4" w:space="0" w:color="auto"/>
              <w:bottom w:val="single" w:sz="4" w:space="0" w:color="auto"/>
              <w:right w:val="single" w:sz="4" w:space="0" w:color="auto"/>
            </w:tcBorders>
          </w:tcPr>
          <w:p w14:paraId="3A5D20BA"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Abnormal spinal cord MRI in about 50% of cases; lesions more commonly short; in children LETM more common</w:t>
            </w:r>
          </w:p>
        </w:tc>
        <w:tc>
          <w:tcPr>
            <w:tcW w:w="1249" w:type="pct"/>
            <w:tcBorders>
              <w:top w:val="single" w:sz="4" w:space="0" w:color="auto"/>
              <w:left w:val="single" w:sz="4" w:space="0" w:color="auto"/>
              <w:bottom w:val="single" w:sz="4" w:space="0" w:color="auto"/>
              <w:right w:val="single" w:sz="4" w:space="0" w:color="auto"/>
            </w:tcBorders>
          </w:tcPr>
          <w:p w14:paraId="21BD4D20" w14:textId="77777777" w:rsidR="00AF136F" w:rsidRPr="00FC0F62" w:rsidRDefault="00AF136F" w:rsidP="00AF136F">
            <w:pPr>
              <w:keepNext/>
              <w:contextualSpacing/>
              <w:jc w:val="left"/>
              <w:rPr>
                <w:rFonts w:ascii="Arial Narrow" w:eastAsia="Calibri" w:hAnsi="Arial Narrow" w:cs="Times New Roman"/>
                <w:b/>
                <w:bCs/>
                <w:iCs/>
                <w:spacing w:val="5"/>
                <w:lang w:eastAsia="en-US"/>
              </w:rPr>
            </w:pPr>
            <w:r w:rsidRPr="00FC0F62">
              <w:rPr>
                <w:rFonts w:ascii="Arial Narrow" w:eastAsia="Calibri" w:hAnsi="Arial Narrow" w:cs="Times New Roman"/>
                <w:bCs/>
                <w:iCs/>
                <w:spacing w:val="5"/>
                <w:lang w:eastAsia="en-US"/>
              </w:rPr>
              <w:t>Spinal cord MRI shows lesions more commonly short</w:t>
            </w:r>
          </w:p>
        </w:tc>
      </w:tr>
      <w:tr w:rsidR="00AF136F" w:rsidRPr="00FC0F62" w14:paraId="19844A60" w14:textId="77777777" w:rsidTr="00FC2669">
        <w:tc>
          <w:tcPr>
            <w:tcW w:w="1251" w:type="pct"/>
            <w:tcBorders>
              <w:top w:val="single" w:sz="4" w:space="0" w:color="auto"/>
              <w:left w:val="single" w:sz="4" w:space="0" w:color="auto"/>
              <w:bottom w:val="single" w:sz="4" w:space="0" w:color="auto"/>
              <w:right w:val="single" w:sz="4" w:space="0" w:color="auto"/>
            </w:tcBorders>
          </w:tcPr>
          <w:p w14:paraId="3BBD6F3F"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Course of disease</w:t>
            </w:r>
          </w:p>
        </w:tc>
        <w:tc>
          <w:tcPr>
            <w:tcW w:w="1250" w:type="pct"/>
            <w:tcBorders>
              <w:top w:val="single" w:sz="4" w:space="0" w:color="auto"/>
              <w:left w:val="single" w:sz="4" w:space="0" w:color="auto"/>
              <w:bottom w:val="single" w:sz="4" w:space="0" w:color="auto"/>
              <w:right w:val="single" w:sz="4" w:space="0" w:color="auto"/>
            </w:tcBorders>
          </w:tcPr>
          <w:p w14:paraId="6D61A178"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Relapsing disease course</w:t>
            </w:r>
          </w:p>
        </w:tc>
        <w:tc>
          <w:tcPr>
            <w:tcW w:w="1250" w:type="pct"/>
            <w:tcBorders>
              <w:top w:val="single" w:sz="4" w:space="0" w:color="auto"/>
              <w:left w:val="single" w:sz="4" w:space="0" w:color="auto"/>
              <w:bottom w:val="single" w:sz="4" w:space="0" w:color="auto"/>
              <w:right w:val="single" w:sz="4" w:space="0" w:color="auto"/>
            </w:tcBorders>
          </w:tcPr>
          <w:p w14:paraId="557C73C6" w14:textId="66FAA7E0" w:rsidR="00AF136F" w:rsidRPr="00FC0F62" w:rsidRDefault="00895CA5" w:rsidP="00895CA5">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Monophasic</w:t>
            </w:r>
            <w:r w:rsidRPr="00FC0F62">
              <w:rPr>
                <w:rFonts w:ascii="Arial Narrow" w:eastAsia="Calibri" w:hAnsi="Arial Narrow" w:cs="Times New Roman"/>
                <w:bCs/>
                <w:iCs/>
                <w:spacing w:val="5"/>
                <w:vertAlign w:val="superscript"/>
                <w:lang w:eastAsia="en-US"/>
              </w:rPr>
              <w:t>j</w:t>
            </w:r>
            <w:r w:rsidRPr="00FC0F62">
              <w:rPr>
                <w:rFonts w:ascii="Arial Narrow" w:eastAsia="Calibri" w:hAnsi="Arial Narrow" w:cs="Times New Roman"/>
                <w:bCs/>
                <w:iCs/>
                <w:spacing w:val="5"/>
                <w:lang w:eastAsia="en-US"/>
              </w:rPr>
              <w:t xml:space="preserve"> </w:t>
            </w:r>
            <w:r w:rsidR="00AF136F" w:rsidRPr="00FC0F62">
              <w:rPr>
                <w:rFonts w:ascii="Arial Narrow" w:eastAsia="Calibri" w:hAnsi="Arial Narrow" w:cs="Times New Roman"/>
                <w:bCs/>
                <w:iCs/>
                <w:spacing w:val="5"/>
                <w:lang w:eastAsia="en-US"/>
              </w:rPr>
              <w:t>or relapsing disease course</w:t>
            </w:r>
          </w:p>
        </w:tc>
        <w:tc>
          <w:tcPr>
            <w:tcW w:w="1249" w:type="pct"/>
            <w:tcBorders>
              <w:top w:val="single" w:sz="4" w:space="0" w:color="auto"/>
              <w:left w:val="single" w:sz="4" w:space="0" w:color="auto"/>
              <w:bottom w:val="single" w:sz="4" w:space="0" w:color="auto"/>
              <w:right w:val="single" w:sz="4" w:space="0" w:color="auto"/>
            </w:tcBorders>
          </w:tcPr>
          <w:p w14:paraId="22726473"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Relapsing or progressing disease course</w:t>
            </w:r>
          </w:p>
        </w:tc>
      </w:tr>
      <w:tr w:rsidR="00AF136F" w:rsidRPr="00FC0F62" w14:paraId="36C54097" w14:textId="77777777" w:rsidTr="00FC2669">
        <w:tc>
          <w:tcPr>
            <w:tcW w:w="1251" w:type="pct"/>
            <w:tcBorders>
              <w:top w:val="single" w:sz="4" w:space="0" w:color="auto"/>
              <w:left w:val="single" w:sz="4" w:space="0" w:color="auto"/>
              <w:bottom w:val="single" w:sz="4" w:space="0" w:color="auto"/>
              <w:right w:val="single" w:sz="4" w:space="0" w:color="auto"/>
            </w:tcBorders>
          </w:tcPr>
          <w:p w14:paraId="0325FA01"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Type of relapse</w:t>
            </w:r>
          </w:p>
        </w:tc>
        <w:tc>
          <w:tcPr>
            <w:tcW w:w="1250" w:type="pct"/>
            <w:tcBorders>
              <w:top w:val="single" w:sz="4" w:space="0" w:color="auto"/>
              <w:left w:val="single" w:sz="4" w:space="0" w:color="auto"/>
              <w:bottom w:val="single" w:sz="4" w:space="0" w:color="auto"/>
              <w:right w:val="single" w:sz="4" w:space="0" w:color="auto"/>
            </w:tcBorders>
          </w:tcPr>
          <w:p w14:paraId="62F4A385"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ON; LETM</w:t>
            </w:r>
          </w:p>
        </w:tc>
        <w:tc>
          <w:tcPr>
            <w:tcW w:w="1250" w:type="pct"/>
            <w:tcBorders>
              <w:top w:val="single" w:sz="4" w:space="0" w:color="auto"/>
              <w:left w:val="single" w:sz="4" w:space="0" w:color="auto"/>
              <w:bottom w:val="single" w:sz="4" w:space="0" w:color="auto"/>
              <w:right w:val="single" w:sz="4" w:space="0" w:color="auto"/>
            </w:tcBorders>
          </w:tcPr>
          <w:p w14:paraId="5E321722"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Commonly ON (more than in NMOSD)</w:t>
            </w:r>
          </w:p>
        </w:tc>
        <w:tc>
          <w:tcPr>
            <w:tcW w:w="1249" w:type="pct"/>
            <w:tcBorders>
              <w:top w:val="single" w:sz="4" w:space="0" w:color="auto"/>
              <w:left w:val="single" w:sz="4" w:space="0" w:color="auto"/>
              <w:bottom w:val="single" w:sz="4" w:space="0" w:color="auto"/>
              <w:right w:val="single" w:sz="4" w:space="0" w:color="auto"/>
            </w:tcBorders>
          </w:tcPr>
          <w:p w14:paraId="42AE60D2"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Any type of relapse with phenotype predicted by previous relapse phenotype</w:t>
            </w:r>
          </w:p>
        </w:tc>
      </w:tr>
      <w:tr w:rsidR="00AF136F" w:rsidRPr="00FC0F62" w14:paraId="6B420A7F" w14:textId="77777777" w:rsidTr="00FC2669">
        <w:tc>
          <w:tcPr>
            <w:tcW w:w="1251" w:type="pct"/>
            <w:tcBorders>
              <w:top w:val="single" w:sz="4" w:space="0" w:color="auto"/>
              <w:left w:val="single" w:sz="4" w:space="0" w:color="auto"/>
              <w:bottom w:val="single" w:sz="4" w:space="0" w:color="auto"/>
              <w:right w:val="single" w:sz="4" w:space="0" w:color="auto"/>
            </w:tcBorders>
          </w:tcPr>
          <w:p w14:paraId="484BB4B3"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Degree of disability</w:t>
            </w:r>
          </w:p>
        </w:tc>
        <w:tc>
          <w:tcPr>
            <w:tcW w:w="1250" w:type="pct"/>
            <w:tcBorders>
              <w:top w:val="single" w:sz="4" w:space="0" w:color="auto"/>
              <w:left w:val="single" w:sz="4" w:space="0" w:color="auto"/>
              <w:bottom w:val="single" w:sz="4" w:space="0" w:color="auto"/>
              <w:right w:val="single" w:sz="4" w:space="0" w:color="auto"/>
            </w:tcBorders>
          </w:tcPr>
          <w:p w14:paraId="1B601AAF" w14:textId="77777777" w:rsidR="00AF136F" w:rsidRPr="00FC0F62" w:rsidRDefault="00AF136F" w:rsidP="00AF136F">
            <w:pPr>
              <w:keepNext/>
              <w:contextualSpacing/>
              <w:jc w:val="left"/>
              <w:rPr>
                <w:rFonts w:eastAsia="MS Gothic" w:cs="Times New Roman"/>
                <w:bCs/>
                <w:color w:val="4F81BD"/>
                <w:szCs w:val="26"/>
                <w:lang w:eastAsia="en-US"/>
              </w:rPr>
            </w:pPr>
            <w:r w:rsidRPr="00FC0F62">
              <w:rPr>
                <w:rFonts w:ascii="Arial Narrow" w:eastAsia="Calibri" w:hAnsi="Arial Narrow" w:cs="Times New Roman"/>
                <w:bCs/>
                <w:iCs/>
                <w:spacing w:val="5"/>
                <w:lang w:eastAsia="en-US"/>
              </w:rPr>
              <w:t>Repeated attacks are main cause of accumulation of neurological impairment</w:t>
            </w:r>
          </w:p>
        </w:tc>
        <w:tc>
          <w:tcPr>
            <w:tcW w:w="1250" w:type="pct"/>
            <w:tcBorders>
              <w:top w:val="single" w:sz="4" w:space="0" w:color="auto"/>
              <w:left w:val="single" w:sz="4" w:space="0" w:color="auto"/>
              <w:bottom w:val="single" w:sz="4" w:space="0" w:color="auto"/>
              <w:right w:val="single" w:sz="4" w:space="0" w:color="auto"/>
            </w:tcBorders>
          </w:tcPr>
          <w:p w14:paraId="50EC7561"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Disability persists after an attack but may be less severe than NMOSD</w:t>
            </w:r>
          </w:p>
        </w:tc>
        <w:tc>
          <w:tcPr>
            <w:tcW w:w="1249" w:type="pct"/>
            <w:tcBorders>
              <w:top w:val="single" w:sz="4" w:space="0" w:color="auto"/>
              <w:left w:val="single" w:sz="4" w:space="0" w:color="auto"/>
              <w:bottom w:val="single" w:sz="4" w:space="0" w:color="auto"/>
              <w:right w:val="single" w:sz="4" w:space="0" w:color="auto"/>
            </w:tcBorders>
          </w:tcPr>
          <w:p w14:paraId="1A5FE0DC"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Permanent disability is primarily a feature of secondary progression</w:t>
            </w:r>
          </w:p>
        </w:tc>
      </w:tr>
      <w:tr w:rsidR="00AF136F" w:rsidRPr="00FC0F62" w14:paraId="7100E7F6" w14:textId="77777777" w:rsidTr="00FC2669">
        <w:tc>
          <w:tcPr>
            <w:tcW w:w="1251" w:type="pct"/>
            <w:tcBorders>
              <w:top w:val="single" w:sz="4" w:space="0" w:color="auto"/>
              <w:left w:val="single" w:sz="4" w:space="0" w:color="auto"/>
              <w:bottom w:val="single" w:sz="4" w:space="0" w:color="auto"/>
              <w:right w:val="single" w:sz="4" w:space="0" w:color="auto"/>
            </w:tcBorders>
          </w:tcPr>
          <w:p w14:paraId="5F999B47"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
                <w:bCs/>
                <w:iCs/>
                <w:spacing w:val="5"/>
                <w:lang w:eastAsia="en-US"/>
              </w:rPr>
              <w:t>Response to interferon beta treatment</w:t>
            </w:r>
          </w:p>
        </w:tc>
        <w:tc>
          <w:tcPr>
            <w:tcW w:w="1250" w:type="pct"/>
            <w:tcBorders>
              <w:top w:val="single" w:sz="4" w:space="0" w:color="auto"/>
              <w:left w:val="single" w:sz="4" w:space="0" w:color="auto"/>
              <w:bottom w:val="single" w:sz="4" w:space="0" w:color="auto"/>
              <w:right w:val="single" w:sz="4" w:space="0" w:color="auto"/>
            </w:tcBorders>
          </w:tcPr>
          <w:p w14:paraId="22E6D76C"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Worsens with interferon beta treatment</w:t>
            </w:r>
          </w:p>
        </w:tc>
        <w:tc>
          <w:tcPr>
            <w:tcW w:w="1250" w:type="pct"/>
            <w:tcBorders>
              <w:top w:val="single" w:sz="4" w:space="0" w:color="auto"/>
              <w:left w:val="single" w:sz="4" w:space="0" w:color="auto"/>
              <w:bottom w:val="single" w:sz="4" w:space="0" w:color="auto"/>
              <w:right w:val="single" w:sz="4" w:space="0" w:color="auto"/>
            </w:tcBorders>
          </w:tcPr>
          <w:p w14:paraId="0CE321E7"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Worsens with interferon beta treatment</w:t>
            </w:r>
          </w:p>
        </w:tc>
        <w:tc>
          <w:tcPr>
            <w:tcW w:w="1249" w:type="pct"/>
            <w:tcBorders>
              <w:top w:val="single" w:sz="4" w:space="0" w:color="auto"/>
              <w:left w:val="single" w:sz="4" w:space="0" w:color="auto"/>
              <w:bottom w:val="single" w:sz="4" w:space="0" w:color="auto"/>
              <w:right w:val="single" w:sz="4" w:space="0" w:color="auto"/>
            </w:tcBorders>
          </w:tcPr>
          <w:p w14:paraId="00986254" w14:textId="77777777" w:rsidR="00AF136F" w:rsidRPr="00FC0F62" w:rsidRDefault="00AF136F" w:rsidP="00AF136F">
            <w:pPr>
              <w:keepNext/>
              <w:contextualSpacing/>
              <w:jc w:val="left"/>
              <w:rPr>
                <w:rFonts w:ascii="Arial Narrow" w:eastAsia="Calibri" w:hAnsi="Arial Narrow" w:cs="Times New Roman"/>
                <w:bCs/>
                <w:iCs/>
                <w:spacing w:val="5"/>
                <w:lang w:eastAsia="en-US"/>
              </w:rPr>
            </w:pPr>
            <w:r w:rsidRPr="00FC0F62">
              <w:rPr>
                <w:rFonts w:ascii="Arial Narrow" w:eastAsia="Calibri" w:hAnsi="Arial Narrow" w:cs="Times New Roman"/>
                <w:bCs/>
                <w:iCs/>
                <w:spacing w:val="5"/>
                <w:lang w:eastAsia="en-US"/>
              </w:rPr>
              <w:t xml:space="preserve">Treat with interferon beta </w:t>
            </w:r>
          </w:p>
        </w:tc>
      </w:tr>
    </w:tbl>
    <w:p w14:paraId="4ACFB218" w14:textId="77777777" w:rsidR="00AF136F" w:rsidRPr="00FC0F62" w:rsidRDefault="00AF136F" w:rsidP="00AF136F">
      <w:pPr>
        <w:widowControl w:val="0"/>
        <w:spacing w:after="12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lang w:eastAsia="en-US"/>
        </w:rPr>
        <w:t xml:space="preserve">ADEM = acute disseminated encephalomyelitis; AQP4 = aquaporin4; AQP4-Abs = aquaporin4 antibodies; LETM = longitudinal extensive transverse myelitis; </w:t>
      </w:r>
      <w:r w:rsidR="00B4243D" w:rsidRPr="00FC0F62">
        <w:rPr>
          <w:rFonts w:ascii="Arial Narrow" w:hAnsi="Arial Narrow" w:cs="Arial"/>
          <w:snapToGrid w:val="0"/>
          <w:sz w:val="18"/>
          <w:szCs w:val="20"/>
          <w:lang w:eastAsia="en-US"/>
        </w:rPr>
        <w:t xml:space="preserve">MARD = myelin oligodendrocyte glycoprotein; </w:t>
      </w:r>
      <w:r w:rsidRPr="00FC0F62">
        <w:rPr>
          <w:rFonts w:ascii="Arial Narrow" w:hAnsi="Arial Narrow" w:cs="Arial"/>
          <w:snapToGrid w:val="0"/>
          <w:sz w:val="18"/>
          <w:szCs w:val="20"/>
          <w:lang w:eastAsia="en-US"/>
        </w:rPr>
        <w:t>MOG = myelin oligodendrocyte glycoprotein; MRI=magnetic resonance imaging; MS = multiple sclerosis; NMO = neuromyelitis optica; NMOSD = neuromyelitis optica spectrum disorders; ON = optic neuritis</w:t>
      </w:r>
    </w:p>
    <w:p w14:paraId="1CF00D20" w14:textId="77777777" w:rsidR="00AF136F" w:rsidRPr="00FC0F62" w:rsidRDefault="00AF136F" w:rsidP="00AF136F">
      <w:pPr>
        <w:widowControl w:val="0"/>
        <w:spacing w:after="12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vertAlign w:val="superscript"/>
          <w:lang w:eastAsia="en-US"/>
        </w:rPr>
        <w:t xml:space="preserve">a </w:t>
      </w:r>
      <w:r w:rsidRPr="00FC0F62">
        <w:rPr>
          <w:rFonts w:ascii="Arial Narrow" w:hAnsi="Arial Narrow" w:cs="Arial"/>
          <w:snapToGrid w:val="0"/>
          <w:sz w:val="18"/>
          <w:szCs w:val="20"/>
          <w:lang w:eastAsia="en-US"/>
        </w:rPr>
        <w:t>the term NMOSD refers to both NMOSD and NMO</w:t>
      </w:r>
    </w:p>
    <w:p w14:paraId="40344643" w14:textId="77777777" w:rsidR="00AF136F" w:rsidRPr="00FC0F62" w:rsidRDefault="00AF136F" w:rsidP="00AF136F">
      <w:pPr>
        <w:widowControl w:val="0"/>
        <w:spacing w:after="12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vertAlign w:val="superscript"/>
          <w:lang w:eastAsia="en-US"/>
        </w:rPr>
        <w:t xml:space="preserve">b </w:t>
      </w:r>
      <w:r w:rsidRPr="00FC0F62">
        <w:rPr>
          <w:rFonts w:ascii="Arial Narrow" w:hAnsi="Arial Narrow" w:cs="Arial"/>
          <w:snapToGrid w:val="0"/>
          <w:sz w:val="18"/>
          <w:szCs w:val="20"/>
          <w:lang w:eastAsia="en-US"/>
        </w:rPr>
        <w:t xml:space="preserve">standard specimen for AQP4 and MOG antibody testing is serum </w:t>
      </w:r>
    </w:p>
    <w:p w14:paraId="307856AD" w14:textId="77777777" w:rsidR="00DD40C5" w:rsidRPr="00FC0F62" w:rsidRDefault="00DD40C5" w:rsidP="00DD40C5">
      <w:pPr>
        <w:widowControl w:val="0"/>
        <w:spacing w:after="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vertAlign w:val="superscript"/>
          <w:lang w:eastAsia="en-US"/>
        </w:rPr>
        <w:lastRenderedPageBreak/>
        <w:t xml:space="preserve">c </w:t>
      </w:r>
      <w:r w:rsidRPr="00FC0F62">
        <w:rPr>
          <w:rFonts w:ascii="Arial Narrow" w:hAnsi="Arial Narrow" w:cs="Arial"/>
          <w:snapToGrid w:val="0"/>
          <w:sz w:val="18"/>
          <w:szCs w:val="20"/>
          <w:lang w:eastAsia="en-US"/>
        </w:rPr>
        <w:t>based on papers by</w:t>
      </w:r>
      <w:r w:rsidRPr="00FC0F62">
        <w:rPr>
          <w:rFonts w:ascii="Arial Narrow" w:hAnsi="Arial Narrow" w:cs="Arial"/>
          <w:snapToGrid w:val="0"/>
          <w:sz w:val="18"/>
          <w:szCs w:val="20"/>
          <w:vertAlign w:val="superscript"/>
          <w:lang w:eastAsia="en-US"/>
        </w:rPr>
        <w:t xml:space="preserve"> </w:t>
      </w:r>
      <w:r w:rsidRPr="00FC0F62">
        <w:rPr>
          <w:rFonts w:ascii="Arial Narrow" w:hAnsi="Arial Narrow" w:cs="Arial"/>
          <w:snapToGrid w:val="0"/>
          <w:sz w:val="18"/>
          <w:szCs w:val="20"/>
          <w:lang w:eastAsia="en-US"/>
        </w:rPr>
        <w:t>Jarius, Wildemann &amp; Paul (Jarius et al. 2014) and Mader &amp; Brimberg (Mader &amp; Brimberg 2019)</w:t>
      </w:r>
    </w:p>
    <w:p w14:paraId="13A1F8A0" w14:textId="77777777" w:rsidR="00DD40C5" w:rsidRPr="00FC0F62" w:rsidRDefault="00DD40C5" w:rsidP="00DD40C5">
      <w:pPr>
        <w:pStyle w:val="Tablenotes0"/>
        <w:spacing w:after="0"/>
      </w:pPr>
      <w:r w:rsidRPr="00FC0F62">
        <w:rPr>
          <w:vertAlign w:val="superscript"/>
        </w:rPr>
        <w:t xml:space="preserve">d </w:t>
      </w:r>
      <w:r w:rsidRPr="00FC0F62">
        <w:t xml:space="preserve"> Source </w:t>
      </w:r>
      <w:hyperlink r:id="rId25" w:history="1">
        <w:r w:rsidRPr="00FC0F62">
          <w:rPr>
            <w:color w:val="0000FF"/>
            <w:u w:val="single"/>
            <w:lang w:eastAsia="ja-JP"/>
          </w:rPr>
          <w:t>https://onlinelibrary.wiley.com/doi/full/10.1111/cen3.12491</w:t>
        </w:r>
      </w:hyperlink>
    </w:p>
    <w:p w14:paraId="47CBDA6E" w14:textId="5B0E18AC" w:rsidR="00AF136F" w:rsidRPr="00FC0F62" w:rsidRDefault="00DD40C5" w:rsidP="00DD40C5">
      <w:pPr>
        <w:widowControl w:val="0"/>
        <w:spacing w:after="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vertAlign w:val="superscript"/>
          <w:lang w:eastAsia="en-US"/>
        </w:rPr>
        <w:t xml:space="preserve">e </w:t>
      </w:r>
      <w:r w:rsidR="00AF136F" w:rsidRPr="00FC0F62">
        <w:rPr>
          <w:rFonts w:ascii="Arial Narrow" w:hAnsi="Arial Narrow" w:cs="Arial"/>
          <w:snapToGrid w:val="0"/>
          <w:sz w:val="18"/>
          <w:szCs w:val="20"/>
          <w:lang w:eastAsia="en-US"/>
        </w:rPr>
        <w:t>AQP4-Ab negative NMOSD shown to have equal distribution between men and women</w:t>
      </w:r>
    </w:p>
    <w:p w14:paraId="728792A9" w14:textId="269CBEDB" w:rsidR="00AF136F" w:rsidRPr="00FC0F62" w:rsidRDefault="00DD40C5" w:rsidP="00AF136F">
      <w:pPr>
        <w:widowControl w:val="0"/>
        <w:spacing w:after="12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vertAlign w:val="superscript"/>
          <w:lang w:eastAsia="en-US"/>
        </w:rPr>
        <w:t xml:space="preserve">f </w:t>
      </w:r>
      <w:r w:rsidR="00AF136F" w:rsidRPr="00FC0F62">
        <w:rPr>
          <w:rFonts w:ascii="Arial Narrow" w:hAnsi="Arial Narrow" w:cs="Arial"/>
          <w:snapToGrid w:val="0"/>
          <w:sz w:val="18"/>
          <w:szCs w:val="20"/>
          <w:lang w:eastAsia="en-US"/>
        </w:rPr>
        <w:t>figures reported</w:t>
      </w:r>
      <w:r w:rsidR="00AF136F" w:rsidRPr="00FC0F62">
        <w:rPr>
          <w:rFonts w:ascii="Arial Narrow" w:hAnsi="Arial Narrow" w:cs="Arial"/>
          <w:snapToGrid w:val="0"/>
          <w:sz w:val="18"/>
          <w:szCs w:val="20"/>
          <w:vertAlign w:val="superscript"/>
          <w:lang w:eastAsia="en-US"/>
        </w:rPr>
        <w:t xml:space="preserve"> </w:t>
      </w:r>
      <w:r w:rsidR="00AF136F" w:rsidRPr="00FC0F62">
        <w:rPr>
          <w:rFonts w:ascii="Arial Narrow" w:hAnsi="Arial Narrow" w:cs="Arial"/>
          <w:snapToGrid w:val="0"/>
          <w:sz w:val="18"/>
          <w:szCs w:val="20"/>
          <w:lang w:eastAsia="en-US"/>
        </w:rPr>
        <w:t xml:space="preserve">by European Federation of Neurological Societies </w:t>
      </w:r>
      <w:r w:rsidR="00156621" w:rsidRPr="00FC0F62">
        <w:rPr>
          <w:rFonts w:ascii="Arial Narrow" w:hAnsi="Arial Narrow" w:cs="Arial"/>
          <w:snapToGrid w:val="0"/>
          <w:sz w:val="18"/>
          <w:szCs w:val="20"/>
          <w:lang w:eastAsia="en-US"/>
        </w:rPr>
        <w:fldChar w:fldCharType="begin"/>
      </w:r>
      <w:r w:rsidR="00156621" w:rsidRPr="00FC0F62">
        <w:rPr>
          <w:rFonts w:ascii="Arial Narrow" w:hAnsi="Arial Narrow" w:cs="Arial"/>
          <w:snapToGrid w:val="0"/>
          <w:sz w:val="18"/>
          <w:szCs w:val="20"/>
          <w:lang w:eastAsia="en-US"/>
        </w:rPr>
        <w:instrText xml:space="preserve"> ADDIN EN.CITE &lt;EndNote&gt;&lt;Cite&gt;&lt;Author&gt;Sellner&lt;/Author&gt;&lt;Year&gt;2010&lt;/Year&gt;&lt;RecNum&gt;27&lt;/RecNum&gt;&lt;IDText&gt;1019-32&lt;/IDText&gt;&lt;DisplayText&gt;(Sellner et al. 2010)&lt;/DisplayText&gt;&lt;record&gt;&lt;rec-number&gt;27&lt;/rec-number&gt;&lt;foreign-keys&gt;&lt;key app="EN" db-id="r25zptaswpdzade29ws5pf9gx55ztppatt20" timestamp="1576104081"&gt;27&lt;/key&gt;&lt;/foreign-keys&gt;&lt;ref-type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156621" w:rsidRPr="00FC0F62">
        <w:rPr>
          <w:rFonts w:ascii="Arial Narrow" w:hAnsi="Arial Narrow" w:cs="Arial"/>
          <w:snapToGrid w:val="0"/>
          <w:sz w:val="18"/>
          <w:szCs w:val="20"/>
          <w:lang w:eastAsia="en-US"/>
        </w:rPr>
        <w:fldChar w:fldCharType="separate"/>
      </w:r>
      <w:r w:rsidR="00156621" w:rsidRPr="00FC0F62">
        <w:rPr>
          <w:rFonts w:ascii="Arial Narrow" w:hAnsi="Arial Narrow" w:cs="Arial"/>
          <w:noProof/>
          <w:snapToGrid w:val="0"/>
          <w:sz w:val="18"/>
          <w:szCs w:val="20"/>
          <w:lang w:eastAsia="en-US"/>
        </w:rPr>
        <w:t>(Sellner et al. 2010)</w:t>
      </w:r>
      <w:r w:rsidR="00156621" w:rsidRPr="00FC0F62">
        <w:rPr>
          <w:rFonts w:ascii="Arial Narrow" w:hAnsi="Arial Narrow" w:cs="Arial"/>
          <w:snapToGrid w:val="0"/>
          <w:sz w:val="18"/>
          <w:szCs w:val="20"/>
          <w:lang w:eastAsia="en-US"/>
        </w:rPr>
        <w:fldChar w:fldCharType="end"/>
      </w:r>
    </w:p>
    <w:p w14:paraId="56126264" w14:textId="5DBC7B3F" w:rsidR="00AF136F" w:rsidRPr="00FC0F62" w:rsidRDefault="00DD40C5" w:rsidP="00AF136F">
      <w:pPr>
        <w:widowControl w:val="0"/>
        <w:spacing w:after="12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vertAlign w:val="superscript"/>
          <w:lang w:eastAsia="en-US"/>
        </w:rPr>
        <w:t xml:space="preserve">g </w:t>
      </w:r>
      <w:r w:rsidR="00AF136F" w:rsidRPr="00FC0F62">
        <w:rPr>
          <w:rFonts w:ascii="Arial Narrow" w:hAnsi="Arial Narrow" w:cs="Arial"/>
          <w:snapToGrid w:val="0"/>
          <w:sz w:val="18"/>
          <w:szCs w:val="20"/>
          <w:lang w:eastAsia="en-US"/>
        </w:rPr>
        <w:t xml:space="preserve">based on a UK cohort study </w:t>
      </w:r>
      <w:r w:rsidR="00156621" w:rsidRPr="00FC0F62">
        <w:rPr>
          <w:rFonts w:ascii="Arial Narrow" w:hAnsi="Arial Narrow" w:cs="Arial"/>
          <w:snapToGrid w:val="0"/>
          <w:sz w:val="18"/>
          <w:szCs w:val="20"/>
          <w:lang w:eastAsia="en-US"/>
        </w:rPr>
        <w:fldChar w:fldCharType="begin">
          <w:fldData xml:space="preserve">PEVuZE5vdGU+PENpdGU+PEF1dGhvcj5KdXJ5bmN6eWs8L0F1dGhvcj48WWVhcj4yMDE3PC9ZZWFy
PjxSZWNOdW0+ODE8L1JlY051bT48SURUZXh0PjMxMjgtMzEzODwvSURUZXh0PjxEaXNwbGF5VGV4
dD4oSnVyeW5jenlrIGV0IGFsLiAyMDE3KTwvRGlzcGxheVRleHQ+PHJlY29yZD48cmVjLW51bWJl
cj44MTwvcmVjLW51bWJlcj48Zm9yZWlnbi1rZXlzPjxrZXkgYXBwPSJFTiIgZGItaWQ9InIyNXpw
dGFzd3BkemFkZTI5d3M1cGY5Z3g1NXp0cHBhdHQyMCIgdGltZXN0YW1wPSIxNTgxNDc5MTQ4Ij44
MTwva2V5PjwvZm9yZWlnbi1rZXlzPjxyZWYtdHlwZSBuYW1lPSJKb3VybmFsIEFydGljbGUiPjE3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D96694" w:rsidRPr="00FC0F62">
        <w:rPr>
          <w:rFonts w:ascii="Arial Narrow" w:hAnsi="Arial Narrow" w:cs="Arial"/>
          <w:snapToGrid w:val="0"/>
          <w:sz w:val="18"/>
          <w:szCs w:val="20"/>
          <w:lang w:eastAsia="en-US"/>
        </w:rPr>
        <w:instrText xml:space="preserve"> ADDIN EN.CITE </w:instrText>
      </w:r>
      <w:r w:rsidR="00D96694" w:rsidRPr="00FC0F62">
        <w:rPr>
          <w:rFonts w:ascii="Arial Narrow" w:hAnsi="Arial Narrow" w:cs="Arial"/>
          <w:snapToGrid w:val="0"/>
          <w:sz w:val="18"/>
          <w:szCs w:val="20"/>
          <w:lang w:eastAsia="en-US"/>
        </w:rPr>
        <w:fldChar w:fldCharType="begin">
          <w:fldData xml:space="preserve">PEVuZE5vdGU+PENpdGU+PEF1dGhvcj5KdXJ5bmN6eWs8L0F1dGhvcj48WWVhcj4yMDE3PC9ZZWFy
PjxSZWNOdW0+ODE8L1JlY051bT48SURUZXh0PjMxMjgtMzEzODwvSURUZXh0PjxEaXNwbGF5VGV4
dD4oSnVyeW5jenlrIGV0IGFsLiAyMDE3KTwvRGlzcGxheVRleHQ+PHJlY29yZD48cmVjLW51bWJl
cj44MTwvcmVjLW51bWJlcj48Zm9yZWlnbi1rZXlzPjxrZXkgYXBwPSJFTiIgZGItaWQ9InIyNXpw
dGFzd3BkemFkZTI5d3M1cGY5Z3g1NXp0cHBhdHQyMCIgdGltZXN0YW1wPSIxNTgxNDc5MTQ4Ij44
MTwva2V5PjwvZm9yZWlnbi1rZXlzPjxyZWYtdHlwZSBuYW1lPSJKb3VybmFsIEFydGljbGUiPjE3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D96694" w:rsidRPr="00FC0F62">
        <w:rPr>
          <w:rFonts w:ascii="Arial Narrow" w:hAnsi="Arial Narrow" w:cs="Arial"/>
          <w:snapToGrid w:val="0"/>
          <w:sz w:val="18"/>
          <w:szCs w:val="20"/>
          <w:lang w:eastAsia="en-US"/>
        </w:rPr>
        <w:instrText xml:space="preserve"> ADDIN EN.CITE.DATA </w:instrText>
      </w:r>
      <w:r w:rsidR="00D96694" w:rsidRPr="00FC0F62">
        <w:rPr>
          <w:rFonts w:ascii="Arial Narrow" w:hAnsi="Arial Narrow" w:cs="Arial"/>
          <w:snapToGrid w:val="0"/>
          <w:sz w:val="18"/>
          <w:szCs w:val="20"/>
          <w:lang w:eastAsia="en-US"/>
        </w:rPr>
      </w:r>
      <w:r w:rsidR="00D96694" w:rsidRPr="00FC0F62">
        <w:rPr>
          <w:rFonts w:ascii="Arial Narrow" w:hAnsi="Arial Narrow" w:cs="Arial"/>
          <w:snapToGrid w:val="0"/>
          <w:sz w:val="18"/>
          <w:szCs w:val="20"/>
          <w:lang w:eastAsia="en-US"/>
        </w:rPr>
        <w:fldChar w:fldCharType="end"/>
      </w:r>
      <w:r w:rsidR="00156621" w:rsidRPr="00FC0F62">
        <w:rPr>
          <w:rFonts w:ascii="Arial Narrow" w:hAnsi="Arial Narrow" w:cs="Arial"/>
          <w:snapToGrid w:val="0"/>
          <w:sz w:val="18"/>
          <w:szCs w:val="20"/>
          <w:lang w:eastAsia="en-US"/>
        </w:rPr>
      </w:r>
      <w:r w:rsidR="00156621" w:rsidRPr="00FC0F62">
        <w:rPr>
          <w:rFonts w:ascii="Arial Narrow" w:hAnsi="Arial Narrow" w:cs="Arial"/>
          <w:snapToGrid w:val="0"/>
          <w:sz w:val="18"/>
          <w:szCs w:val="20"/>
          <w:lang w:eastAsia="en-US"/>
        </w:rPr>
        <w:fldChar w:fldCharType="separate"/>
      </w:r>
      <w:r w:rsidR="00156621" w:rsidRPr="00FC0F62">
        <w:rPr>
          <w:rFonts w:ascii="Arial Narrow" w:hAnsi="Arial Narrow" w:cs="Arial"/>
          <w:noProof/>
          <w:snapToGrid w:val="0"/>
          <w:sz w:val="18"/>
          <w:szCs w:val="20"/>
          <w:lang w:eastAsia="en-US"/>
        </w:rPr>
        <w:t>(Jurynczyk et al. 2017)</w:t>
      </w:r>
      <w:r w:rsidR="00156621" w:rsidRPr="00FC0F62">
        <w:rPr>
          <w:rFonts w:ascii="Arial Narrow" w:hAnsi="Arial Narrow" w:cs="Arial"/>
          <w:snapToGrid w:val="0"/>
          <w:sz w:val="18"/>
          <w:szCs w:val="20"/>
          <w:lang w:eastAsia="en-US"/>
        </w:rPr>
        <w:fldChar w:fldCharType="end"/>
      </w:r>
      <w:r w:rsidR="00AF136F" w:rsidRPr="00FC0F62">
        <w:rPr>
          <w:rFonts w:ascii="Arial Narrow" w:hAnsi="Arial Narrow" w:cs="Arial"/>
          <w:snapToGrid w:val="0"/>
          <w:sz w:val="18"/>
          <w:szCs w:val="20"/>
          <w:lang w:eastAsia="en-US"/>
        </w:rPr>
        <w:t xml:space="preserve"> </w:t>
      </w:r>
    </w:p>
    <w:p w14:paraId="1A55800E" w14:textId="78B2308D" w:rsidR="00AF136F" w:rsidRPr="00FC0F62" w:rsidRDefault="00DD40C5" w:rsidP="00AF136F">
      <w:pPr>
        <w:widowControl w:val="0"/>
        <w:spacing w:after="12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vertAlign w:val="superscript"/>
          <w:lang w:eastAsia="en-US"/>
        </w:rPr>
        <w:t xml:space="preserve">h </w:t>
      </w:r>
      <w:r w:rsidR="00AF136F" w:rsidRPr="00FC0F62">
        <w:rPr>
          <w:rFonts w:ascii="Arial Narrow" w:hAnsi="Arial Narrow" w:cs="Arial"/>
          <w:snapToGrid w:val="0"/>
          <w:sz w:val="18"/>
          <w:szCs w:val="20"/>
          <w:lang w:eastAsia="en-US"/>
        </w:rPr>
        <w:t>based on paper by Dos Passos et al. 2018</w:t>
      </w:r>
      <w:r w:rsidR="00771F27" w:rsidRPr="00FC0F62">
        <w:rPr>
          <w:rFonts w:ascii="Arial Narrow" w:hAnsi="Arial Narrow" w:cs="Arial"/>
          <w:snapToGrid w:val="0"/>
          <w:sz w:val="18"/>
          <w:szCs w:val="20"/>
          <w:lang w:eastAsia="en-US"/>
        </w:rPr>
        <w:t xml:space="preserve"> </w:t>
      </w:r>
      <w:r w:rsidR="00156621" w:rsidRPr="00FC0F62">
        <w:rPr>
          <w:rFonts w:ascii="Arial Narrow" w:hAnsi="Arial Narrow" w:cs="Arial"/>
          <w:snapToGrid w:val="0"/>
          <w:sz w:val="18"/>
          <w:szCs w:val="20"/>
          <w:lang w:eastAsia="en-US"/>
        </w:rPr>
        <w:fldChar w:fldCharType="begin"/>
      </w:r>
      <w:r w:rsidR="00156621" w:rsidRPr="00FC0F62">
        <w:rPr>
          <w:rFonts w:ascii="Arial Narrow" w:hAnsi="Arial Narrow" w:cs="Arial"/>
          <w:snapToGrid w:val="0"/>
          <w:sz w:val="18"/>
          <w:szCs w:val="20"/>
          <w:lang w:eastAsia="en-US"/>
        </w:rPr>
        <w:instrText xml:space="preserve"> ADDIN EN.CITE &lt;EndNote&gt;&lt;Cite&gt;&lt;Author&gt;Dos Passos&lt;/Author&gt;&lt;Year&gt;2018&lt;/Year&gt;&lt;RecNum&gt;80&lt;/RecNum&gt;&lt;IDText&gt;217-217&lt;/IDText&gt;&lt;DisplayText&gt;(Dos Passos et al. 2018)&lt;/DisplayText&gt;&lt;record&gt;&lt;rec-number&gt;80&lt;/rec-number&gt;&lt;foreign-keys&gt;&lt;key app="EN" db-id="r25zptaswpdzade29ws5pf9gx55ztppatt20" timestamp="1581478722"&gt;80&lt;/key&gt;&lt;/foreign-keys&gt;&lt;ref-type name="Journal Article"&gt;17&lt;/ref-type&gt;&lt;contributors&gt;&lt;authors&gt;&lt;author&gt;Dos Passos, Giordani Rodrigues&lt;/author&gt;&lt;author&gt;Oliveira, Luana Michelli&lt;/author&gt;&lt;author&gt;da Costa, Bruna Klein&lt;/author&gt;&lt;author&gt;Apostolos-Pereira, Samira Luisa&lt;/author&gt;&lt;author&gt;Callegaro, Dagoberto&lt;/author&gt;&lt;author&gt;Fujihara, Kazuo&lt;/author&gt;&lt;author&gt;Sato, Douglas Kazutoshi&lt;/author&gt;&lt;/authors&gt;&lt;/contributors&gt;&lt;titles&gt;&lt;title&gt;MOG-IgG-Associated Optic Neuritis, Encephalitis, and Myelitis: Lessons Learned From Neuromyelitis Optica Spectrum Disorder&lt;/title&gt;&lt;secondary-title&gt;Frontiers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Neurol&lt;/abbr-1&gt;&lt;/alt-periodical&gt;&lt;pages&gt;217-217&lt;/pages&gt;&lt;volume&gt;9&lt;/volume&gt;&lt;keywords&gt;&lt;keyword&gt;encephalitis&lt;/keyword&gt;&lt;keyword&gt;myelin oligodendrocyte glycoprotein antibody&lt;/keyword&gt;&lt;keyword&gt;myelitis&lt;/keyword&gt;&lt;keyword&gt;neuromyelitis optica spectrum disorder&lt;/keyword&gt;&lt;keyword&gt;optic neuritis&lt;/keyword&gt;&lt;/keywords&gt;&lt;dates&gt;&lt;year&gt;2018&lt;/year&gt;&lt;/dates&gt;&lt;publisher&gt;Frontiers Media S.A.&lt;/publisher&gt;&lt;isbn&gt;1664-2295&lt;/isbn&gt;&lt;accession-num&gt;29670575&lt;/accession-num&gt;&lt;urls&gt;&lt;related-urls&gt;&lt;url&gt;https://www.ncbi.nlm.nih.gov/pubmed/29670575&lt;/url&gt;&lt;url&gt;https://www.ncbi.nlm.nih.gov/pmc/articles/PMC5893792/&lt;/url&gt;&lt;url&gt;https://www.ncbi.nlm.nih.gov/pmc/articles/PMC5893792/pdf/fneur-09-00217.pdf&lt;/url&gt;&lt;/related-urls&gt;&lt;/urls&gt;&lt;electronic-resource-num&gt;10.3389/fneur.2018.00217&lt;/electronic-resource-num&gt;&lt;remote-database-name&gt;PubMed&lt;/remote-database-name&gt;&lt;language&gt;eng&lt;/language&gt;&lt;/record&gt;&lt;/Cite&gt;&lt;/EndNote&gt;</w:instrText>
      </w:r>
      <w:r w:rsidR="00156621" w:rsidRPr="00FC0F62">
        <w:rPr>
          <w:rFonts w:ascii="Arial Narrow" w:hAnsi="Arial Narrow" w:cs="Arial"/>
          <w:snapToGrid w:val="0"/>
          <w:sz w:val="18"/>
          <w:szCs w:val="20"/>
          <w:lang w:eastAsia="en-US"/>
        </w:rPr>
        <w:fldChar w:fldCharType="separate"/>
      </w:r>
      <w:r w:rsidR="00156621" w:rsidRPr="00FC0F62">
        <w:rPr>
          <w:rFonts w:ascii="Arial Narrow" w:hAnsi="Arial Narrow" w:cs="Arial"/>
          <w:noProof/>
          <w:snapToGrid w:val="0"/>
          <w:sz w:val="18"/>
          <w:szCs w:val="20"/>
          <w:lang w:eastAsia="en-US"/>
        </w:rPr>
        <w:t>(Dos Passos et al. 2018)</w:t>
      </w:r>
      <w:r w:rsidR="00156621" w:rsidRPr="00FC0F62">
        <w:rPr>
          <w:rFonts w:ascii="Arial Narrow" w:hAnsi="Arial Narrow" w:cs="Arial"/>
          <w:snapToGrid w:val="0"/>
          <w:sz w:val="18"/>
          <w:szCs w:val="20"/>
          <w:lang w:eastAsia="en-US"/>
        </w:rPr>
        <w:fldChar w:fldCharType="end"/>
      </w:r>
    </w:p>
    <w:p w14:paraId="5D1E57E0" w14:textId="0B6C3151" w:rsidR="00AF136F" w:rsidRPr="00FC0F62" w:rsidRDefault="000E5F7C" w:rsidP="00AF136F">
      <w:pPr>
        <w:widowControl w:val="0"/>
        <w:spacing w:after="12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vertAlign w:val="superscript"/>
          <w:lang w:eastAsia="en-US"/>
        </w:rPr>
        <w:t xml:space="preserve">i </w:t>
      </w:r>
      <w:r w:rsidR="00AF136F" w:rsidRPr="00FC0F62">
        <w:rPr>
          <w:rFonts w:ascii="Arial Narrow" w:hAnsi="Arial Narrow" w:cs="Arial"/>
          <w:snapToGrid w:val="0"/>
          <w:sz w:val="18"/>
          <w:szCs w:val="20"/>
          <w:lang w:eastAsia="en-US"/>
        </w:rPr>
        <w:t xml:space="preserve">results based on cohort of 850 patients in North East Tuscany </w:t>
      </w:r>
      <w:r w:rsidR="00156621" w:rsidRPr="00FC0F62">
        <w:rPr>
          <w:rFonts w:ascii="Arial Narrow" w:hAnsi="Arial Narrow" w:cs="Arial"/>
          <w:snapToGrid w:val="0"/>
          <w:sz w:val="18"/>
          <w:szCs w:val="20"/>
          <w:lang w:eastAsia="en-US"/>
        </w:rPr>
        <w:fldChar w:fldCharType="begin"/>
      </w:r>
      <w:r w:rsidR="00156621" w:rsidRPr="00FC0F62">
        <w:rPr>
          <w:rFonts w:ascii="Arial Narrow" w:hAnsi="Arial Narrow" w:cs="Arial"/>
          <w:snapToGrid w:val="0"/>
          <w:sz w:val="18"/>
          <w:szCs w:val="20"/>
          <w:lang w:eastAsia="en-US"/>
        </w:rPr>
        <w:instrText xml:space="preserve"> ADDIN EN.CITE &lt;EndNote&gt;&lt;Cite&gt;&lt;Author&gt;Sellner&lt;/Author&gt;&lt;Year&gt;2010&lt;/Year&gt;&lt;RecNum&gt;27&lt;/RecNum&gt;&lt;IDText&gt;1019-32&lt;/IDText&gt;&lt;DisplayText&gt;(Sellner et al. 2010)&lt;/DisplayText&gt;&lt;record&gt;&lt;rec-number&gt;27&lt;/rec-number&gt;&lt;foreign-keys&gt;&lt;key app="EN" db-id="r25zptaswpdzade29ws5pf9gx55ztppatt20" timestamp="1576104081"&gt;27&lt;/key&gt;&lt;/foreign-keys&gt;&lt;ref-type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156621" w:rsidRPr="00FC0F62">
        <w:rPr>
          <w:rFonts w:ascii="Arial Narrow" w:hAnsi="Arial Narrow" w:cs="Arial"/>
          <w:snapToGrid w:val="0"/>
          <w:sz w:val="18"/>
          <w:szCs w:val="20"/>
          <w:lang w:eastAsia="en-US"/>
        </w:rPr>
        <w:fldChar w:fldCharType="separate"/>
      </w:r>
      <w:r w:rsidR="00156621" w:rsidRPr="00FC0F62">
        <w:rPr>
          <w:rFonts w:ascii="Arial Narrow" w:hAnsi="Arial Narrow" w:cs="Arial"/>
          <w:noProof/>
          <w:snapToGrid w:val="0"/>
          <w:sz w:val="18"/>
          <w:szCs w:val="20"/>
          <w:lang w:eastAsia="en-US"/>
        </w:rPr>
        <w:t>(Sellner et al. 2010)</w:t>
      </w:r>
      <w:r w:rsidR="00156621" w:rsidRPr="00FC0F62">
        <w:rPr>
          <w:rFonts w:ascii="Arial Narrow" w:hAnsi="Arial Narrow" w:cs="Arial"/>
          <w:snapToGrid w:val="0"/>
          <w:sz w:val="18"/>
          <w:szCs w:val="20"/>
          <w:lang w:eastAsia="en-US"/>
        </w:rPr>
        <w:fldChar w:fldCharType="end"/>
      </w:r>
    </w:p>
    <w:p w14:paraId="701E0E74" w14:textId="333463AB" w:rsidR="00AF136F" w:rsidRPr="00FC0F62" w:rsidRDefault="000E5F7C" w:rsidP="00AF136F">
      <w:pPr>
        <w:widowControl w:val="0"/>
        <w:spacing w:after="12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vertAlign w:val="superscript"/>
          <w:lang w:eastAsia="en-US"/>
        </w:rPr>
        <w:t>j</w:t>
      </w:r>
      <w:r w:rsidRPr="00FC0F62">
        <w:rPr>
          <w:rFonts w:ascii="Arial Narrow" w:hAnsi="Arial Narrow" w:cs="Arial"/>
          <w:snapToGrid w:val="0"/>
          <w:sz w:val="18"/>
          <w:szCs w:val="20"/>
          <w:lang w:eastAsia="en-US"/>
        </w:rPr>
        <w:t xml:space="preserve"> </w:t>
      </w:r>
      <w:r w:rsidR="00AF136F" w:rsidRPr="00FC0F62">
        <w:rPr>
          <w:rFonts w:ascii="Arial Narrow" w:hAnsi="Arial Narrow" w:cs="Arial"/>
          <w:snapToGrid w:val="0"/>
          <w:sz w:val="18"/>
          <w:szCs w:val="20"/>
          <w:lang w:eastAsia="en-US"/>
        </w:rPr>
        <w:t>monophasic defined as no recurrence, simultaneous or closely related ON and LETM (&lt;30 days)</w:t>
      </w:r>
    </w:p>
    <w:p w14:paraId="4C1D6F6D" w14:textId="023D2375" w:rsidR="00AF136F" w:rsidRDefault="00AF136F" w:rsidP="00AF136F">
      <w:pPr>
        <w:widowControl w:val="0"/>
        <w:spacing w:after="120" w:line="240" w:lineRule="auto"/>
        <w:contextualSpacing/>
        <w:jc w:val="left"/>
        <w:rPr>
          <w:rFonts w:ascii="Arial Narrow" w:hAnsi="Arial Narrow" w:cs="Arial"/>
          <w:snapToGrid w:val="0"/>
          <w:sz w:val="18"/>
          <w:szCs w:val="20"/>
          <w:lang w:eastAsia="en-US"/>
        </w:rPr>
      </w:pPr>
      <w:r w:rsidRPr="00FC0F62">
        <w:rPr>
          <w:rFonts w:ascii="Arial Narrow" w:hAnsi="Arial Narrow" w:cs="Arial"/>
          <w:snapToGrid w:val="0"/>
          <w:sz w:val="18"/>
          <w:szCs w:val="20"/>
          <w:lang w:eastAsia="en-US"/>
        </w:rPr>
        <w:t xml:space="preserve">Reference: </w:t>
      </w:r>
      <w:r w:rsidR="00156621" w:rsidRPr="00FC0F62">
        <w:rPr>
          <w:rFonts w:ascii="Arial Narrow" w:hAnsi="Arial Narrow" w:cs="Arial"/>
          <w:snapToGrid w:val="0"/>
          <w:sz w:val="18"/>
          <w:szCs w:val="20"/>
          <w:lang w:eastAsia="en-US"/>
        </w:rPr>
        <w:fldChar w:fldCharType="begin"/>
      </w:r>
      <w:r w:rsidR="00156621" w:rsidRPr="00FC0F62">
        <w:rPr>
          <w:rFonts w:ascii="Arial Narrow" w:hAnsi="Arial Narrow" w:cs="Arial"/>
          <w:snapToGrid w:val="0"/>
          <w:sz w:val="18"/>
          <w:szCs w:val="20"/>
          <w:lang w:eastAsia="en-US"/>
        </w:rPr>
        <w:instrText xml:space="preserve"> ADDIN EN.CITE &lt;EndNote&gt;&lt;Cite&gt;&lt;Author&gt;Borisow&lt;/Author&gt;&lt;Year&gt;2018&lt;/Year&gt;&lt;RecNum&gt;2&lt;/RecNum&gt;&lt;IDText&gt;1-15&lt;/IDText&gt;&lt;DisplayText&gt;(Borisow et al. 2018)&lt;/DisplayText&gt;&lt;record&gt;&lt;rec-number&gt;2&lt;/rec-number&gt;&lt;foreign-keys&gt;&lt;key app="EN" db-id="r25zptaswpdzade29ws5pf9gx55ztppatt20" timestamp="1576104076"&gt;2&lt;/key&gt;&lt;/foreign-keys&gt;&lt;ref-type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156621" w:rsidRPr="00FC0F62">
        <w:rPr>
          <w:rFonts w:ascii="Arial Narrow" w:hAnsi="Arial Narrow" w:cs="Arial"/>
          <w:snapToGrid w:val="0"/>
          <w:sz w:val="18"/>
          <w:szCs w:val="20"/>
          <w:lang w:eastAsia="en-US"/>
        </w:rPr>
        <w:fldChar w:fldCharType="separate"/>
      </w:r>
      <w:r w:rsidR="00156621" w:rsidRPr="00FC0F62">
        <w:rPr>
          <w:rFonts w:ascii="Arial Narrow" w:hAnsi="Arial Narrow" w:cs="Arial"/>
          <w:noProof/>
          <w:snapToGrid w:val="0"/>
          <w:sz w:val="18"/>
          <w:szCs w:val="20"/>
          <w:lang w:eastAsia="en-US"/>
        </w:rPr>
        <w:t>(Borisow et al. 2018)</w:t>
      </w:r>
      <w:r w:rsidR="00156621" w:rsidRPr="00FC0F62">
        <w:rPr>
          <w:rFonts w:ascii="Arial Narrow" w:hAnsi="Arial Narrow" w:cs="Arial"/>
          <w:snapToGrid w:val="0"/>
          <w:sz w:val="18"/>
          <w:szCs w:val="20"/>
          <w:lang w:eastAsia="en-US"/>
        </w:rPr>
        <w:fldChar w:fldCharType="end"/>
      </w:r>
      <w:r w:rsidRPr="00FC0F62">
        <w:rPr>
          <w:rFonts w:ascii="Arial Narrow" w:hAnsi="Arial Narrow" w:cs="Arial"/>
          <w:snapToGrid w:val="0"/>
          <w:sz w:val="18"/>
          <w:szCs w:val="20"/>
          <w:lang w:eastAsia="en-US"/>
        </w:rPr>
        <w:t xml:space="preserve">; </w:t>
      </w:r>
      <w:r w:rsidR="00156621" w:rsidRPr="00FC0F62">
        <w:rPr>
          <w:rFonts w:ascii="Arial Narrow" w:hAnsi="Arial Narrow" w:cs="Arial"/>
          <w:snapToGrid w:val="0"/>
          <w:sz w:val="18"/>
          <w:szCs w:val="20"/>
          <w:lang w:eastAsia="en-US"/>
        </w:rPr>
        <w:fldChar w:fldCharType="begin"/>
      </w:r>
      <w:r w:rsidR="00156621" w:rsidRPr="00FC0F62">
        <w:rPr>
          <w:rFonts w:ascii="Arial Narrow" w:hAnsi="Arial Narrow" w:cs="Arial"/>
          <w:snapToGrid w:val="0"/>
          <w:sz w:val="18"/>
          <w:szCs w:val="20"/>
          <w:lang w:eastAsia="en-US"/>
        </w:rPr>
        <w:instrText xml:space="preserve"> ADDIN EN.CITE &lt;EndNote&gt;&lt;Cite&gt;&lt;Author&gt;Dos Passos&lt;/Author&gt;&lt;Year&gt;2018&lt;/Year&gt;&lt;RecNum&gt;80&lt;/RecNum&gt;&lt;IDText&gt;217-217&lt;/IDText&gt;&lt;DisplayText&gt;(Dos Passos et al. 2018)&lt;/DisplayText&gt;&lt;record&gt;&lt;rec-number&gt;80&lt;/rec-number&gt;&lt;foreign-keys&gt;&lt;key app="EN" db-id="r25zptaswpdzade29ws5pf9gx55ztppatt20" timestamp="1581478722"&gt;80&lt;/key&gt;&lt;/foreign-keys&gt;&lt;ref-type name="Journal Article"&gt;17&lt;/ref-type&gt;&lt;contributors&gt;&lt;authors&gt;&lt;author&gt;Dos Passos, Giordani Rodrigues&lt;/author&gt;&lt;author&gt;Oliveira, Luana Michelli&lt;/author&gt;&lt;author&gt;da Costa, Bruna Klein&lt;/author&gt;&lt;author&gt;Apostolos-Pereira, Samira Luisa&lt;/author&gt;&lt;author&gt;Callegaro, Dagoberto&lt;/author&gt;&lt;author&gt;Fujihara, Kazuo&lt;/author&gt;&lt;author&gt;Sato, Douglas Kazutoshi&lt;/author&gt;&lt;/authors&gt;&lt;/contributors&gt;&lt;titles&gt;&lt;title&gt;MOG-IgG-Associated Optic Neuritis, Encephalitis, and Myelitis: Lessons Learned From Neuromyelitis Optica Spectrum Disorder&lt;/title&gt;&lt;secondary-title&gt;Frontiers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Neurol&lt;/abbr-1&gt;&lt;/alt-periodical&gt;&lt;pages&gt;217-217&lt;/pages&gt;&lt;volume&gt;9&lt;/volume&gt;&lt;keywords&gt;&lt;keyword&gt;encephalitis&lt;/keyword&gt;&lt;keyword&gt;myelin oligodendrocyte glycoprotein antibody&lt;/keyword&gt;&lt;keyword&gt;myelitis&lt;/keyword&gt;&lt;keyword&gt;neuromyelitis optica spectrum disorder&lt;/keyword&gt;&lt;keyword&gt;optic neuritis&lt;/keyword&gt;&lt;/keywords&gt;&lt;dates&gt;&lt;year&gt;2018&lt;/year&gt;&lt;/dates&gt;&lt;publisher&gt;Frontiers Media S.A.&lt;/publisher&gt;&lt;isbn&gt;1664-2295&lt;/isbn&gt;&lt;accession-num&gt;29670575&lt;/accession-num&gt;&lt;urls&gt;&lt;related-urls&gt;&lt;url&gt;https://www.ncbi.nlm.nih.gov/pubmed/29670575&lt;/url&gt;&lt;url&gt;https://www.ncbi.nlm.nih.gov/pmc/articles/PMC5893792/&lt;/url&gt;&lt;url&gt;https://www.ncbi.nlm.nih.gov/pmc/articles/PMC5893792/pdf/fneur-09-00217.pdf&lt;/url&gt;&lt;/related-urls&gt;&lt;/urls&gt;&lt;electronic-resource-num&gt;10.3389/fneur.2018.00217&lt;/electronic-resource-num&gt;&lt;remote-database-name&gt;PubMed&lt;/remote-database-name&gt;&lt;language&gt;eng&lt;/language&gt;&lt;/record&gt;&lt;/Cite&gt;&lt;/EndNote&gt;</w:instrText>
      </w:r>
      <w:r w:rsidR="00156621" w:rsidRPr="00FC0F62">
        <w:rPr>
          <w:rFonts w:ascii="Arial Narrow" w:hAnsi="Arial Narrow" w:cs="Arial"/>
          <w:snapToGrid w:val="0"/>
          <w:sz w:val="18"/>
          <w:szCs w:val="20"/>
          <w:lang w:eastAsia="en-US"/>
        </w:rPr>
        <w:fldChar w:fldCharType="separate"/>
      </w:r>
      <w:r w:rsidR="00156621" w:rsidRPr="00FC0F62">
        <w:rPr>
          <w:rFonts w:ascii="Arial Narrow" w:hAnsi="Arial Narrow" w:cs="Arial"/>
          <w:noProof/>
          <w:snapToGrid w:val="0"/>
          <w:sz w:val="18"/>
          <w:szCs w:val="20"/>
          <w:lang w:eastAsia="en-US"/>
        </w:rPr>
        <w:t>(Dos Passos et al. 2018)</w:t>
      </w:r>
      <w:r w:rsidR="00156621" w:rsidRPr="00FC0F62">
        <w:rPr>
          <w:rFonts w:ascii="Arial Narrow" w:hAnsi="Arial Narrow" w:cs="Arial"/>
          <w:snapToGrid w:val="0"/>
          <w:sz w:val="18"/>
          <w:szCs w:val="20"/>
          <w:lang w:eastAsia="en-US"/>
        </w:rPr>
        <w:fldChar w:fldCharType="end"/>
      </w:r>
      <w:r w:rsidRPr="00FC0F62">
        <w:rPr>
          <w:rFonts w:ascii="Arial Narrow" w:hAnsi="Arial Narrow" w:cs="Arial"/>
          <w:snapToGrid w:val="0"/>
          <w:sz w:val="18"/>
          <w:szCs w:val="20"/>
          <w:lang w:eastAsia="en-US"/>
        </w:rPr>
        <w:t xml:space="preserve">; </w:t>
      </w:r>
      <w:r w:rsidR="00156621" w:rsidRPr="00FC0F62">
        <w:rPr>
          <w:rFonts w:ascii="Arial Narrow" w:hAnsi="Arial Narrow" w:cs="Arial"/>
          <w:snapToGrid w:val="0"/>
          <w:sz w:val="18"/>
          <w:szCs w:val="20"/>
          <w:lang w:eastAsia="en-US"/>
        </w:rPr>
        <w:fldChar w:fldCharType="begin">
          <w:fldData xml:space="preserve">PEVuZE5vdGU+PENpdGU+PEF1dGhvcj5KdXJ5bmN6eWs8L0F1dGhvcj48WWVhcj4yMDE3PC9ZZWFy
PjxSZWNOdW0+ODE8L1JlY051bT48SURUZXh0PjMxMjgtMzEzODwvSURUZXh0PjxEaXNwbGF5VGV4
dD4oSnVyeW5jenlrIGV0IGFsLiAyMDE3KTwvRGlzcGxheVRleHQ+PHJlY29yZD48cmVjLW51bWJl
cj44MTwvcmVjLW51bWJlcj48Zm9yZWlnbi1rZXlzPjxrZXkgYXBwPSJFTiIgZGItaWQ9InIyNXpw
dGFzd3BkemFkZTI5d3M1cGY5Z3g1NXp0cHBhdHQyMCIgdGltZXN0YW1wPSIxNTgxNDc5MTQ4Ij44
MTwva2V5PjwvZm9yZWlnbi1rZXlzPjxyZWYtdHlwZSBuYW1lPSJKb3VybmFsIEFydGljbGUiPjE3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D96694" w:rsidRPr="00FC0F62">
        <w:rPr>
          <w:rFonts w:ascii="Arial Narrow" w:hAnsi="Arial Narrow" w:cs="Arial"/>
          <w:snapToGrid w:val="0"/>
          <w:sz w:val="18"/>
          <w:szCs w:val="20"/>
          <w:lang w:eastAsia="en-US"/>
        </w:rPr>
        <w:instrText xml:space="preserve"> ADDIN EN.CITE </w:instrText>
      </w:r>
      <w:r w:rsidR="00D96694" w:rsidRPr="00FC0F62">
        <w:rPr>
          <w:rFonts w:ascii="Arial Narrow" w:hAnsi="Arial Narrow" w:cs="Arial"/>
          <w:snapToGrid w:val="0"/>
          <w:sz w:val="18"/>
          <w:szCs w:val="20"/>
          <w:lang w:eastAsia="en-US"/>
        </w:rPr>
        <w:fldChar w:fldCharType="begin">
          <w:fldData xml:space="preserve">PEVuZE5vdGU+PENpdGU+PEF1dGhvcj5KdXJ5bmN6eWs8L0F1dGhvcj48WWVhcj4yMDE3PC9ZZWFy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</w:fldData>
        </w:fldChar>
      </w:r>
      <w:r w:rsidR="00D96694" w:rsidRPr="00FC0F62">
        <w:rPr>
          <w:rFonts w:ascii="Arial Narrow" w:hAnsi="Arial Narrow" w:cs="Arial"/>
          <w:snapToGrid w:val="0"/>
          <w:sz w:val="18"/>
          <w:szCs w:val="20"/>
          <w:lang w:eastAsia="en-US"/>
        </w:rPr>
        <w:instrText xml:space="preserve"> ADDIN EN.CITE.DATA </w:instrText>
      </w:r>
      <w:r w:rsidR="00D96694" w:rsidRPr="00FC0F62">
        <w:rPr>
          <w:rFonts w:ascii="Arial Narrow" w:hAnsi="Arial Narrow" w:cs="Arial"/>
          <w:snapToGrid w:val="0"/>
          <w:sz w:val="18"/>
          <w:szCs w:val="20"/>
          <w:lang w:eastAsia="en-US"/>
        </w:rPr>
      </w:r>
      <w:r w:rsidR="00D96694" w:rsidRPr="00FC0F62">
        <w:rPr>
          <w:rFonts w:ascii="Arial Narrow" w:hAnsi="Arial Narrow" w:cs="Arial"/>
          <w:snapToGrid w:val="0"/>
          <w:sz w:val="18"/>
          <w:szCs w:val="20"/>
          <w:lang w:eastAsia="en-US"/>
        </w:rPr>
        <w:fldChar w:fldCharType="end"/>
      </w:r>
      <w:r w:rsidR="00156621" w:rsidRPr="00FC0F62">
        <w:rPr>
          <w:rFonts w:ascii="Arial Narrow" w:hAnsi="Arial Narrow" w:cs="Arial"/>
          <w:snapToGrid w:val="0"/>
          <w:sz w:val="18"/>
          <w:szCs w:val="20"/>
          <w:lang w:eastAsia="en-US"/>
        </w:rPr>
      </w:r>
      <w:r w:rsidR="00156621" w:rsidRPr="00FC0F62">
        <w:rPr>
          <w:rFonts w:ascii="Arial Narrow" w:hAnsi="Arial Narrow" w:cs="Arial"/>
          <w:snapToGrid w:val="0"/>
          <w:sz w:val="18"/>
          <w:szCs w:val="20"/>
          <w:lang w:eastAsia="en-US"/>
        </w:rPr>
        <w:fldChar w:fldCharType="separate"/>
      </w:r>
      <w:r w:rsidR="00156621" w:rsidRPr="00FC0F62">
        <w:rPr>
          <w:rFonts w:ascii="Arial Narrow" w:hAnsi="Arial Narrow" w:cs="Arial"/>
          <w:noProof/>
          <w:snapToGrid w:val="0"/>
          <w:sz w:val="18"/>
          <w:szCs w:val="20"/>
          <w:lang w:eastAsia="en-US"/>
        </w:rPr>
        <w:t>(Jurynczyk et al. 2017)</w:t>
      </w:r>
      <w:r w:rsidR="00156621" w:rsidRPr="00FC0F62">
        <w:rPr>
          <w:rFonts w:ascii="Arial Narrow" w:hAnsi="Arial Narrow" w:cs="Arial"/>
          <w:snapToGrid w:val="0"/>
          <w:sz w:val="18"/>
          <w:szCs w:val="20"/>
          <w:lang w:eastAsia="en-US"/>
        </w:rPr>
        <w:fldChar w:fldCharType="end"/>
      </w:r>
      <w:r w:rsidRPr="00FC0F62">
        <w:rPr>
          <w:rFonts w:ascii="Arial Narrow" w:hAnsi="Arial Narrow" w:cs="Arial"/>
          <w:snapToGrid w:val="0"/>
          <w:sz w:val="18"/>
          <w:szCs w:val="20"/>
          <w:lang w:eastAsia="en-US"/>
        </w:rPr>
        <w:t xml:space="preserve">; </w:t>
      </w:r>
      <w:r w:rsidR="00156621" w:rsidRPr="00FC0F62">
        <w:rPr>
          <w:rFonts w:ascii="Arial Narrow" w:hAnsi="Arial Narrow" w:cs="Arial"/>
          <w:snapToGrid w:val="0"/>
          <w:sz w:val="18"/>
          <w:szCs w:val="20"/>
          <w:lang w:eastAsia="en-US"/>
        </w:rPr>
        <w:fldChar w:fldCharType="begin"/>
      </w:r>
      <w:r w:rsidR="00156621" w:rsidRPr="00FC0F62">
        <w:rPr>
          <w:rFonts w:ascii="Arial Narrow" w:hAnsi="Arial Narrow" w:cs="Arial"/>
          <w:snapToGrid w:val="0"/>
          <w:sz w:val="18"/>
          <w:szCs w:val="20"/>
          <w:lang w:eastAsia="en-US"/>
        </w:rPr>
        <w:instrText xml:space="preserve"> ADDIN EN.CITE &lt;EndNote&gt;&lt;Cite&gt;&lt;Author&gt;Sellner&lt;/Author&gt;&lt;Year&gt;2010&lt;/Year&gt;&lt;RecNum&gt;27&lt;/RecNum&gt;&lt;IDText&gt;1019-32&lt;/IDText&gt;&lt;DisplayText&gt;(Sellner et al. 2010)&lt;/DisplayText&gt;&lt;record&gt;&lt;rec-number&gt;27&lt;/rec-number&gt;&lt;foreign-keys&gt;&lt;key app="EN" db-id="r25zptaswpdzade29ws5pf9gx55ztppatt20" timestamp="1576104081"&gt;27&lt;/key&gt;&lt;/foreign-keys&gt;&lt;ref-type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rsidR="00156621" w:rsidRPr="00FC0F62">
        <w:rPr>
          <w:rFonts w:ascii="Arial Narrow" w:hAnsi="Arial Narrow" w:cs="Arial"/>
          <w:snapToGrid w:val="0"/>
          <w:sz w:val="18"/>
          <w:szCs w:val="20"/>
          <w:lang w:eastAsia="en-US"/>
        </w:rPr>
        <w:fldChar w:fldCharType="separate"/>
      </w:r>
      <w:r w:rsidR="00156621" w:rsidRPr="00FC0F62">
        <w:rPr>
          <w:rFonts w:ascii="Arial Narrow" w:hAnsi="Arial Narrow" w:cs="Arial"/>
          <w:noProof/>
          <w:snapToGrid w:val="0"/>
          <w:sz w:val="18"/>
          <w:szCs w:val="20"/>
          <w:lang w:eastAsia="en-US"/>
        </w:rPr>
        <w:t>(Sellner et al. 2010)</w:t>
      </w:r>
      <w:r w:rsidR="00156621" w:rsidRPr="00FC0F62">
        <w:rPr>
          <w:rFonts w:ascii="Arial Narrow" w:hAnsi="Arial Narrow" w:cs="Arial"/>
          <w:snapToGrid w:val="0"/>
          <w:sz w:val="18"/>
          <w:szCs w:val="20"/>
          <w:lang w:eastAsia="en-US"/>
        </w:rPr>
        <w:fldChar w:fldCharType="end"/>
      </w:r>
      <w:r w:rsidRPr="00FC0F62">
        <w:rPr>
          <w:rFonts w:ascii="Arial Narrow" w:hAnsi="Arial Narrow" w:cs="Arial"/>
          <w:snapToGrid w:val="0"/>
          <w:sz w:val="18"/>
          <w:szCs w:val="20"/>
          <w:lang w:eastAsia="en-US"/>
        </w:rPr>
        <w:t xml:space="preserve">; </w:t>
      </w:r>
      <w:r w:rsidR="00156621" w:rsidRPr="00FC0F62">
        <w:rPr>
          <w:rFonts w:ascii="Arial Narrow" w:hAnsi="Arial Narrow" w:cs="Arial"/>
          <w:snapToGrid w:val="0"/>
          <w:sz w:val="18"/>
          <w:szCs w:val="20"/>
          <w:lang w:eastAsia="en-US"/>
        </w:rPr>
        <w:fldChar w:fldCharType="begin">
          <w:fldData xml:space="preserve">PEVuZE5vdGU+PENpdGU+PEF1dGhvcj5XeW5mb3JkLVRob21hczwvQXV0aG9yPjxZZWFyPjIwMTk8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</w:fldData>
        </w:fldChar>
      </w:r>
      <w:r w:rsidR="00AC01FD" w:rsidRPr="00FC0F62">
        <w:rPr>
          <w:rFonts w:ascii="Arial Narrow" w:hAnsi="Arial Narrow" w:cs="Arial"/>
          <w:snapToGrid w:val="0"/>
          <w:sz w:val="18"/>
          <w:szCs w:val="20"/>
          <w:lang w:eastAsia="en-US"/>
        </w:rPr>
        <w:instrText xml:space="preserve"> ADDIN EN.CITE </w:instrText>
      </w:r>
      <w:r w:rsidR="00AC01FD" w:rsidRPr="00FC0F62">
        <w:rPr>
          <w:rFonts w:ascii="Arial Narrow" w:hAnsi="Arial Narrow" w:cs="Arial"/>
          <w:snapToGrid w:val="0"/>
          <w:sz w:val="18"/>
          <w:szCs w:val="20"/>
          <w:lang w:eastAsia="en-US"/>
        </w:rPr>
        <w:fldChar w:fldCharType="begin">
          <w:fldData xml:space="preserve">PEVuZE5vdGU+PENpdGU+PEF1dGhvcj5XeW5mb3JkLVRob21hczwvQXV0aG9yPjxZZWFyPjIwMTk8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</w:fldData>
        </w:fldChar>
      </w:r>
      <w:r w:rsidR="00AC01FD" w:rsidRPr="00FC0F62">
        <w:rPr>
          <w:rFonts w:ascii="Arial Narrow" w:hAnsi="Arial Narrow" w:cs="Arial"/>
          <w:snapToGrid w:val="0"/>
          <w:sz w:val="18"/>
          <w:szCs w:val="20"/>
          <w:lang w:eastAsia="en-US"/>
        </w:rPr>
        <w:instrText xml:space="preserve"> ADDIN EN.CITE.DATA </w:instrText>
      </w:r>
      <w:r w:rsidR="00AC01FD" w:rsidRPr="00FC0F62">
        <w:rPr>
          <w:rFonts w:ascii="Arial Narrow" w:hAnsi="Arial Narrow" w:cs="Arial"/>
          <w:snapToGrid w:val="0"/>
          <w:sz w:val="18"/>
          <w:szCs w:val="20"/>
          <w:lang w:eastAsia="en-US"/>
        </w:rPr>
      </w:r>
      <w:r w:rsidR="00AC01FD" w:rsidRPr="00FC0F62">
        <w:rPr>
          <w:rFonts w:ascii="Arial Narrow" w:hAnsi="Arial Narrow" w:cs="Arial"/>
          <w:snapToGrid w:val="0"/>
          <w:sz w:val="18"/>
          <w:szCs w:val="20"/>
          <w:lang w:eastAsia="en-US"/>
        </w:rPr>
        <w:fldChar w:fldCharType="end"/>
      </w:r>
      <w:r w:rsidR="00156621" w:rsidRPr="00FC0F62">
        <w:rPr>
          <w:rFonts w:ascii="Arial Narrow" w:hAnsi="Arial Narrow" w:cs="Arial"/>
          <w:snapToGrid w:val="0"/>
          <w:sz w:val="18"/>
          <w:szCs w:val="20"/>
          <w:lang w:eastAsia="en-US"/>
        </w:rPr>
      </w:r>
      <w:r w:rsidR="00156621" w:rsidRPr="00FC0F62">
        <w:rPr>
          <w:rFonts w:ascii="Arial Narrow" w:hAnsi="Arial Narrow" w:cs="Arial"/>
          <w:snapToGrid w:val="0"/>
          <w:sz w:val="18"/>
          <w:szCs w:val="20"/>
          <w:lang w:eastAsia="en-US"/>
        </w:rPr>
        <w:fldChar w:fldCharType="separate"/>
      </w:r>
      <w:r w:rsidR="00156621" w:rsidRPr="00FC0F62">
        <w:rPr>
          <w:rFonts w:ascii="Arial Narrow" w:hAnsi="Arial Narrow" w:cs="Arial"/>
          <w:noProof/>
          <w:snapToGrid w:val="0"/>
          <w:sz w:val="18"/>
          <w:szCs w:val="20"/>
          <w:lang w:eastAsia="en-US"/>
        </w:rPr>
        <w:t>(Wynford-Thomas, Jacob &amp; Tomassini 2019)</w:t>
      </w:r>
      <w:r w:rsidR="00156621" w:rsidRPr="00FC0F62">
        <w:rPr>
          <w:rFonts w:ascii="Arial Narrow" w:hAnsi="Arial Narrow" w:cs="Arial"/>
          <w:snapToGrid w:val="0"/>
          <w:sz w:val="18"/>
          <w:szCs w:val="20"/>
          <w:lang w:eastAsia="en-US"/>
        </w:rPr>
        <w:fldChar w:fldCharType="end"/>
      </w:r>
    </w:p>
    <w:p w14:paraId="20488908" w14:textId="77777777" w:rsidR="00B4243D" w:rsidRPr="00AF136F" w:rsidRDefault="00B4243D" w:rsidP="00AF136F">
      <w:pPr>
        <w:widowControl w:val="0"/>
        <w:spacing w:after="120" w:line="240" w:lineRule="auto"/>
        <w:contextualSpacing/>
        <w:jc w:val="left"/>
        <w:rPr>
          <w:rFonts w:ascii="Arial Narrow" w:hAnsi="Arial Narrow" w:cs="Arial"/>
          <w:snapToGrid w:val="0"/>
          <w:sz w:val="18"/>
          <w:szCs w:val="20"/>
          <w:lang w:eastAsia="en-US"/>
        </w:rPr>
      </w:pPr>
    </w:p>
    <w:p w14:paraId="19BDC8FB" w14:textId="77777777" w:rsidR="00B4243D" w:rsidRDefault="00B4243D" w:rsidP="00B4243D">
      <w:pPr>
        <w:rPr>
          <w:b/>
        </w:rPr>
      </w:pPr>
      <w:r w:rsidRPr="00B4243D">
        <w:rPr>
          <w:b/>
        </w:rPr>
        <w:t>For clarity, the terms AQP4-Ab NMOSD and MOG-Ab NMOSD will be used in the document, from this point on, to refer to individuals testing positive for AQP4-Ab and positive for MOG-Ab, respectively. Also, the report will use the term NMOSD, unless a particular study has separated out the terms into NMO and NMOSD, in which case the specific terms will be used, along with the definitions, as outlined in the particular study. Likewise, the report will use the term AQP4-Ab, rather than NMO-IgG to describe antibodies to aquaporin 4, as the terms are considered synonymous.</w:t>
      </w:r>
    </w:p>
    <w:p w14:paraId="20D40D31" w14:textId="77777777" w:rsidR="00F20D67" w:rsidRPr="00AF136F" w:rsidRDefault="00F20D67" w:rsidP="00B4243D">
      <w:pPr>
        <w:rPr>
          <w:b/>
        </w:rPr>
      </w:pPr>
    </w:p>
    <w:p w14:paraId="020AD9A3" w14:textId="77777777" w:rsidR="00ED65EE" w:rsidRPr="00183E4D" w:rsidRDefault="00ED65EE" w:rsidP="00B27F54">
      <w:pPr>
        <w:pStyle w:val="Heading2"/>
        <w:numPr>
          <w:ilvl w:val="0"/>
          <w:numId w:val="8"/>
        </w:numPr>
      </w:pPr>
      <w:bookmarkStart w:id="126" w:name="_Toc39588269"/>
      <w:r w:rsidRPr="00183E4D">
        <w:t>Comparator</w:t>
      </w:r>
      <w:bookmarkEnd w:id="116"/>
      <w:bookmarkEnd w:id="117"/>
      <w:r w:rsidRPr="00183E4D">
        <w:t xml:space="preserve"> Details</w:t>
      </w:r>
      <w:bookmarkEnd w:id="126"/>
    </w:p>
    <w:p w14:paraId="754BE49B" w14:textId="77777777" w:rsidR="00D8321A" w:rsidRPr="00D8321A" w:rsidRDefault="00D8321A" w:rsidP="00D8321A">
      <w:r w:rsidRPr="00D8321A">
        <w:t xml:space="preserve">The comparator, for the purposes of determining the clinical utility and cost-effectiveness of AQP4-Ab and/or MOG-Ab testing, is what would be done in the absence of AQP4-Ab and MOG-Ab testing. In the absence of antibody testing, diagnosis would be based on clinical characteristics, including those found on MRI. Diagnosis would be made by a neurologist. This was the standard of care prior to the introduction of AQP4-Ab and/or MOG-Ab testing (i.e. it is a historical comparator). </w:t>
      </w:r>
    </w:p>
    <w:p w14:paraId="7B8DF675" w14:textId="57A3CDA4" w:rsidR="00D8321A" w:rsidRPr="00D8321A" w:rsidRDefault="00D8321A" w:rsidP="00D8321A">
      <w:pPr>
        <w:spacing w:after="80" w:line="240" w:lineRule="auto"/>
      </w:pPr>
      <w:r w:rsidRPr="00D8321A">
        <w:t>A differential diagnosis from MS would be based on clinical characteristics alone, and may be more challenging in the absence of AQP4-Ab and/or MOG-Ab testing</w:t>
      </w:r>
      <w:r w:rsidR="00BA6D1B">
        <w:t xml:space="preserve"> </w:t>
      </w:r>
      <w:r w:rsidR="00BA6D1B">
        <w:fldChar w:fldCharType="begin"/>
      </w:r>
      <w:r w:rsidR="0087595F">
        <w:instrText xml:space="preserve"> ADDIN EN.CITE &lt;EndNote&gt;&lt;Cite&gt;&lt;Author&gt;Trebst&lt;/Author&gt;&lt;Year&gt;2014&lt;/Year&gt;&lt;RecNum&gt;30&lt;/RecNum&gt;&lt;DisplayText&gt;(Trebst et al. 2014)&lt;/DisplayText&gt;&lt;record&gt;&lt;rec-number&gt;30&lt;/rec-number&gt;&lt;foreign-keys&gt;&lt;key app="EN" db-id="r25zptaswpdzade29ws5pf9gx55ztppatt20" timestamp="1576104081"&gt;30&lt;/key&gt;&lt;/foreign-keys&gt;&lt;ref-type name="Journal Article"&gt;17&lt;/ref-type&gt;&lt;contributors&gt;&lt;authors&gt;&lt;author&gt;Trebst, C&lt;/author&gt;&lt;author&gt;Jarius, Sven&lt;/author&gt;&lt;author&gt;Berthele, Achim&lt;/author&gt;&lt;author&gt;Paul, Friedemann&lt;/author&gt;&lt;author&gt;Schippling, Sven&lt;/author&gt;&lt;author&gt;Wildemann, Brigitte&lt;/author&gt;&lt;author&gt;Borisow, Nadja&lt;/author&gt;&lt;author&gt;Kleiter, Ingo&lt;/author&gt;&lt;author&gt;Aktas, Orhan&lt;/author&gt;&lt;author&gt;Kümpfel, Tania&lt;/author&gt;&lt;author&gt;Neuromyelitis Optica Study, Group&lt;/author&gt;&lt;/authors&gt;&lt;/contributors&gt;&lt;titles&gt;&lt;title&gt;Update on the diagnosis and treatment of neuromyelitis optica: recommendations of the Neuromyelitis Optica Study Group (NEMOS)&lt;/title&gt;&lt;secondary-title&gt;Journal of neurology&lt;/secondary-title&gt;&lt;alt-title&gt;J Neurol&lt;/alt-title&gt;&lt;/titles&gt;&lt;periodical&gt;&lt;full-title&gt;Journal of neurology&lt;/full-title&gt;&lt;abbr-1&gt;J Neurol&lt;/abbr-1&gt;&lt;/periodical&gt;&lt;alt-periodical&gt;&lt;full-title&gt;J Neurol&lt;/full-title&gt;&lt;/alt-periodical&gt;&lt;pages&gt;1-16&lt;/pages&gt;&lt;volume&gt;261&lt;/volume&gt;&lt;number&gt;1&lt;/number&gt;&lt;edition&gt;11/23&lt;/edition&gt;&lt;keywords&gt;&lt;keyword&gt;Diagnosis-Related Groups/*standards&lt;/keyword&gt;&lt;keyword&gt;Humans&lt;/keyword&gt;&lt;keyword&gt;Medication Reconciliation/*standards/trends&lt;/keyword&gt;&lt;keyword&gt;Neuromyelitis Optica/*diagnosis/*therapy&lt;/keyword&gt;&lt;/keywords&gt;&lt;dates&gt;&lt;year&gt;2014&lt;/year&gt;&lt;/dates&gt;&lt;publisher&gt;Springer Berlin Heidelberg&lt;/publisher&gt;&lt;isbn&gt;1432-1459&amp;#xD;0340-5354&lt;/isbn&gt;&lt;accession-num&gt;24272588&lt;/accession-num&gt;&lt;urls&gt;&lt;related-urls&gt;&lt;url&gt;https://www.ncbi.nlm.nih.gov/pubmed/24272588&lt;/url&gt;&lt;url&gt;https://www.ncbi.nlm.nih.gov/pmc/articles/PMC3895189/&lt;/url&gt;&lt;/related-urls&gt;&lt;/urls&gt;&lt;electronic-resource-num&gt;10.1007/s00415-013-7169-7&lt;/electronic-resource-num&gt;&lt;remote-database-name&gt;PubMed&lt;/remote-database-name&gt;&lt;language&gt;eng&lt;/language&gt;&lt;/record&gt;&lt;/Cite&gt;&lt;/EndNote&gt;</w:instrText>
      </w:r>
      <w:r w:rsidR="00BA6D1B">
        <w:fldChar w:fldCharType="separate"/>
      </w:r>
      <w:r w:rsidR="00126162">
        <w:rPr>
          <w:noProof/>
        </w:rPr>
        <w:t>(Trebst et al. 2014)</w:t>
      </w:r>
      <w:r w:rsidR="00BA6D1B">
        <w:fldChar w:fldCharType="end"/>
      </w:r>
      <w:r w:rsidRPr="00D8321A">
        <w:t>. The diagnostic pathway may vary slightly depending on which symptom/s appear first. According to Wingerchuk et al (2015)</w:t>
      </w:r>
      <w:r w:rsidR="00A72295">
        <w:t>,</w:t>
      </w:r>
      <w:r w:rsidRPr="00D8321A">
        <w:t xml:space="preserve"> diagnosis of NMOSD without AQP4-Ab testing requires identification of two core clinical characteristics, with at least one being ON, acute myelitis or area postrema syndrome. Additionally, supportive characteristics in cerebral, spinal cord or optic nerve MRI are required. A description of core and supportive clinical characteristics can be found in</w:t>
      </w:r>
      <w:r w:rsidR="005609A2">
        <w:t xml:space="preserve"> </w:t>
      </w:r>
      <w:r w:rsidR="005609A2">
        <w:fldChar w:fldCharType="begin"/>
      </w:r>
      <w:r w:rsidR="005609A2">
        <w:instrText xml:space="preserve"> REF _Ref30417450 \h </w:instrText>
      </w:r>
      <w:r w:rsidR="005609A2">
        <w:fldChar w:fldCharType="separate"/>
      </w:r>
      <w:r w:rsidR="005609A2" w:rsidRPr="00183E4D">
        <w:t xml:space="preserve">Appendix </w:t>
      </w:r>
      <w:r w:rsidR="005609A2">
        <w:rPr>
          <w:noProof/>
        </w:rPr>
        <w:t>F</w:t>
      </w:r>
      <w:r w:rsidR="005609A2">
        <w:fldChar w:fldCharType="end"/>
      </w:r>
      <w:r w:rsidRPr="00D8321A">
        <w:t xml:space="preserve">. </w:t>
      </w:r>
    </w:p>
    <w:p w14:paraId="1034E9DB" w14:textId="7E43E752" w:rsidR="00D8321A" w:rsidRPr="00D8321A" w:rsidRDefault="00D8321A" w:rsidP="00D8321A">
      <w:r w:rsidRPr="00D8321A">
        <w:t>As the main comparator for this assessment is no antibody testing for NMOSD, there is no relevant comparator for the clinical component. The financial implications of a new MBS item for AQP4-Ab and/or MOG-Ab testing will be compared against what is done currently</w:t>
      </w:r>
      <w:r w:rsidR="0026533B">
        <w:t>.</w:t>
      </w:r>
      <w:r w:rsidRPr="00D8321A">
        <w:t xml:space="preserve"> </w:t>
      </w:r>
      <w:r w:rsidR="0026533B" w:rsidRPr="0026533B">
        <w:t>The Assessment has identified that there are currently mixed practices for claiming an MBS rebate for this test in Australia; most test</w:t>
      </w:r>
      <w:r w:rsidR="0026533B">
        <w:t>s</w:t>
      </w:r>
      <w:r w:rsidR="0026533B" w:rsidRPr="0026533B">
        <w:t xml:space="preserve"> are claimed using MBS item 71165 (the antigen tissue being neuron) but some are claimed using MBS item 71119 or 71165 (</w:t>
      </w:r>
      <w:r w:rsidR="005609A2">
        <w:fldChar w:fldCharType="begin"/>
      </w:r>
      <w:r w:rsidR="005609A2">
        <w:instrText xml:space="preserve"> REF _Ref20308454 \h </w:instrText>
      </w:r>
      <w:r w:rsidR="005609A2">
        <w:fldChar w:fldCharType="separate"/>
      </w:r>
      <w:r w:rsidR="005609A2" w:rsidRPr="00DC2B0F">
        <w:t xml:space="preserve">Table </w:t>
      </w:r>
      <w:r w:rsidR="005609A2">
        <w:rPr>
          <w:noProof/>
        </w:rPr>
        <w:t>11</w:t>
      </w:r>
      <w:r w:rsidR="005609A2">
        <w:fldChar w:fldCharType="end"/>
      </w:r>
      <w:r w:rsidR="0026533B" w:rsidRPr="0026533B">
        <w:t>). The rebates for these items vary considerably.</w:t>
      </w:r>
      <w:r w:rsidR="0026533B" w:rsidRPr="0026533B" w:rsidDel="0026533B">
        <w:t xml:space="preserve"> </w:t>
      </w:r>
    </w:p>
    <w:p w14:paraId="58FC3A11" w14:textId="38696521" w:rsidR="00DC2B0F" w:rsidRPr="00DC2B0F" w:rsidRDefault="00DC2B0F" w:rsidP="00A87AE2">
      <w:pPr>
        <w:pStyle w:val="TableHeading"/>
      </w:pPr>
      <w:bookmarkStart w:id="127" w:name="_Ref20308454"/>
      <w:bookmarkStart w:id="128" w:name="_Toc39580792"/>
      <w:r w:rsidRPr="00DC2B0F">
        <w:lastRenderedPageBreak/>
        <w:t xml:space="preserve">Table </w:t>
      </w:r>
      <w:r w:rsidRPr="00DC2B0F">
        <w:fldChar w:fldCharType="begin"/>
      </w:r>
      <w:r w:rsidRPr="00DC2B0F">
        <w:instrText xml:space="preserve"> SEQ Table \* ARABIC </w:instrText>
      </w:r>
      <w:r w:rsidRPr="00DC2B0F">
        <w:fldChar w:fldCharType="separate"/>
      </w:r>
      <w:r w:rsidR="00FA7BCD">
        <w:rPr>
          <w:noProof/>
        </w:rPr>
        <w:t>11</w:t>
      </w:r>
      <w:r w:rsidRPr="00DC2B0F">
        <w:fldChar w:fldCharType="end"/>
      </w:r>
      <w:bookmarkEnd w:id="127"/>
      <w:r w:rsidRPr="00DC2B0F">
        <w:tab/>
        <w:t>Current item descriptors for single antibody testing against tissue antigens</w:t>
      </w:r>
      <w:bookmarkEnd w:id="128"/>
    </w:p>
    <w:tbl>
      <w:tblPr>
        <w:tblStyle w:val="TableGrid3"/>
        <w:tblW w:w="0" w:type="auto"/>
        <w:tblLook w:val="04A0" w:firstRow="1" w:lastRow="0" w:firstColumn="1" w:lastColumn="0" w:noHBand="0" w:noVBand="1"/>
        <w:tblCaption w:val="Table 11 Current item descriptors for single antibody testing against tissue antigens"/>
        <w:tblDescription w:val="Item descriptors for current use:"/>
      </w:tblPr>
      <w:tblGrid>
        <w:gridCol w:w="9019"/>
      </w:tblGrid>
      <w:tr w:rsidR="00DC2B0F" w:rsidRPr="00DC2B0F" w14:paraId="176DB78C" w14:textId="77777777" w:rsidTr="007E5748">
        <w:trPr>
          <w:cantSplit/>
          <w:tblHeader/>
        </w:trPr>
        <w:tc>
          <w:tcPr>
            <w:tcW w:w="9242" w:type="dxa"/>
          </w:tcPr>
          <w:p w14:paraId="5F4C9144" w14:textId="77777777" w:rsidR="00DC2B0F" w:rsidRPr="00DC2B0F" w:rsidRDefault="00DC2B0F" w:rsidP="004E5C57">
            <w:pPr>
              <w:pStyle w:val="TableText0"/>
              <w:rPr>
                <w:rFonts w:eastAsia="Calibri"/>
              </w:rPr>
            </w:pPr>
            <w:r w:rsidRPr="00DC2B0F">
              <w:rPr>
                <w:rFonts w:eastAsia="Calibri"/>
              </w:rPr>
              <w:t>Category PATHOLOGY SERVICES</w:t>
            </w:r>
          </w:p>
        </w:tc>
      </w:tr>
      <w:tr w:rsidR="00DC2B0F" w:rsidRPr="00DC2B0F" w14:paraId="613B7AD7" w14:textId="77777777" w:rsidTr="007E5748">
        <w:trPr>
          <w:cantSplit/>
          <w:tblHeader/>
        </w:trPr>
        <w:tc>
          <w:tcPr>
            <w:tcW w:w="9242" w:type="dxa"/>
            <w:vAlign w:val="center"/>
          </w:tcPr>
          <w:p w14:paraId="6727212A" w14:textId="77777777" w:rsidR="00DC2B0F" w:rsidRPr="00DC2B0F" w:rsidRDefault="00DC2B0F" w:rsidP="004E5C57">
            <w:pPr>
              <w:pStyle w:val="TableText0"/>
              <w:rPr>
                <w:rFonts w:eastAsia="Calibri"/>
              </w:rPr>
            </w:pPr>
            <w:r w:rsidRPr="007E5748">
              <w:rPr>
                <w:rFonts w:eastAsia="Calibri"/>
              </w:rPr>
              <w:t>Item 71119</w:t>
            </w:r>
            <w:r w:rsidRPr="00DC2B0F">
              <w:rPr>
                <w:rFonts w:eastAsia="Calibri"/>
              </w:rPr>
              <w:tab/>
              <w:t>Group</w:t>
            </w:r>
            <w:r w:rsidRPr="00DC2B0F">
              <w:rPr>
                <w:rFonts w:eastAsia="Calibri"/>
              </w:rPr>
              <w:tab/>
              <w:t>P4 – Immunology</w:t>
            </w:r>
          </w:p>
          <w:p w14:paraId="63304802" w14:textId="77777777" w:rsidR="00DC2B0F" w:rsidRPr="00DC2B0F" w:rsidRDefault="00DC2B0F" w:rsidP="004E5C57">
            <w:pPr>
              <w:pStyle w:val="TableText0"/>
              <w:rPr>
                <w:rFonts w:eastAsia="Calibri"/>
              </w:rPr>
            </w:pPr>
          </w:p>
          <w:p w14:paraId="4E476950" w14:textId="77777777" w:rsidR="00DC2B0F" w:rsidRPr="00DC2B0F" w:rsidRDefault="00DC2B0F" w:rsidP="004E5C57">
            <w:pPr>
              <w:pStyle w:val="TableText0"/>
              <w:rPr>
                <w:rFonts w:eastAsia="Calibri"/>
              </w:rPr>
            </w:pPr>
            <w:r w:rsidRPr="00DC2B0F">
              <w:rPr>
                <w:rFonts w:eastAsia="Calibri"/>
              </w:rPr>
              <w:t>Antibodies to tissue antigens not elsewhere specified in this Table – detection, including quantitation if required, of 1 antibody.</w:t>
            </w:r>
          </w:p>
          <w:p w14:paraId="24A0142E" w14:textId="77777777" w:rsidR="00DC2B0F" w:rsidRPr="00DC2B0F" w:rsidRDefault="00DC2B0F" w:rsidP="004E5C57">
            <w:pPr>
              <w:pStyle w:val="TableText0"/>
              <w:rPr>
                <w:rFonts w:eastAsia="Calibri"/>
              </w:rPr>
            </w:pPr>
          </w:p>
          <w:p w14:paraId="2C32F4B1" w14:textId="77777777" w:rsidR="00DC2B0F" w:rsidRPr="00DC2B0F" w:rsidRDefault="00DC2B0F" w:rsidP="004E5C57">
            <w:pPr>
              <w:pStyle w:val="TableText0"/>
              <w:rPr>
                <w:rFonts w:eastAsia="Calibri"/>
              </w:rPr>
            </w:pPr>
            <w:r w:rsidRPr="00DC2B0F">
              <w:rPr>
                <w:rFonts w:eastAsia="Calibri"/>
              </w:rPr>
              <w:t>(see para PN.0.33 of explanatory notes in this Category</w:t>
            </w:r>
          </w:p>
          <w:p w14:paraId="39E1E4D2" w14:textId="77777777" w:rsidR="00DC2B0F" w:rsidRPr="00DC2B0F" w:rsidRDefault="00DC2B0F" w:rsidP="004E5C57">
            <w:pPr>
              <w:pStyle w:val="TableText0"/>
              <w:rPr>
                <w:rFonts w:eastAsia="Calibri"/>
              </w:rPr>
            </w:pPr>
          </w:p>
          <w:p w14:paraId="2A1420CF" w14:textId="77777777" w:rsidR="00DC2B0F" w:rsidRPr="00DC2B0F" w:rsidRDefault="00DC2B0F" w:rsidP="004E5C57">
            <w:pPr>
              <w:pStyle w:val="TableText0"/>
              <w:rPr>
                <w:rFonts w:eastAsia="Calibri"/>
              </w:rPr>
            </w:pPr>
            <w:r w:rsidRPr="00DC2B0F">
              <w:rPr>
                <w:rFonts w:eastAsia="Calibri"/>
              </w:rPr>
              <w:t xml:space="preserve">Fee: $17.35 </w:t>
            </w:r>
            <w:r w:rsidRPr="00DC2B0F">
              <w:rPr>
                <w:rFonts w:eastAsia="Calibri"/>
              </w:rPr>
              <w:tab/>
              <w:t>Benefit: 75% = $13.05  85% = $14.75</w:t>
            </w:r>
          </w:p>
        </w:tc>
      </w:tr>
      <w:tr w:rsidR="00DC2B0F" w:rsidRPr="00DC2B0F" w14:paraId="756483D8" w14:textId="77777777" w:rsidTr="007E5748">
        <w:trPr>
          <w:cantSplit/>
          <w:tblHeader/>
        </w:trPr>
        <w:tc>
          <w:tcPr>
            <w:tcW w:w="9242" w:type="dxa"/>
          </w:tcPr>
          <w:p w14:paraId="41E47B8C" w14:textId="77777777" w:rsidR="00DC2B0F" w:rsidRPr="00DC2B0F" w:rsidRDefault="00DC2B0F" w:rsidP="004E5C57">
            <w:pPr>
              <w:pStyle w:val="TableText0"/>
              <w:rPr>
                <w:rFonts w:eastAsia="Calibri"/>
              </w:rPr>
            </w:pPr>
            <w:r w:rsidRPr="00DC2B0F">
              <w:rPr>
                <w:rFonts w:eastAsia="Calibri"/>
              </w:rPr>
              <w:t>Category PATHOLOGY SERVICES</w:t>
            </w:r>
          </w:p>
        </w:tc>
      </w:tr>
      <w:tr w:rsidR="00DC2B0F" w:rsidRPr="00DC2B0F" w14:paraId="38556B98" w14:textId="77777777" w:rsidTr="007E5748">
        <w:trPr>
          <w:cantSplit/>
          <w:tblHeader/>
        </w:trPr>
        <w:tc>
          <w:tcPr>
            <w:tcW w:w="9242" w:type="dxa"/>
            <w:vAlign w:val="center"/>
          </w:tcPr>
          <w:p w14:paraId="2C22FB71" w14:textId="77777777" w:rsidR="00DC2B0F" w:rsidRPr="00DC2B0F" w:rsidRDefault="00DC2B0F" w:rsidP="004E5C57">
            <w:pPr>
              <w:pStyle w:val="TableText0"/>
              <w:rPr>
                <w:rFonts w:eastAsia="Calibri"/>
              </w:rPr>
            </w:pPr>
            <w:r w:rsidRPr="007E5748">
              <w:rPr>
                <w:rFonts w:eastAsia="Calibri"/>
              </w:rPr>
              <w:t>Item 71165</w:t>
            </w:r>
            <w:r w:rsidRPr="00DC2B0F">
              <w:rPr>
                <w:rFonts w:eastAsia="Calibri"/>
              </w:rPr>
              <w:tab/>
              <w:t>Group</w:t>
            </w:r>
            <w:r w:rsidRPr="00DC2B0F">
              <w:rPr>
                <w:rFonts w:eastAsia="Calibri"/>
              </w:rPr>
              <w:tab/>
              <w:t>P4 – Immunology</w:t>
            </w:r>
          </w:p>
          <w:p w14:paraId="5514EF32" w14:textId="77777777" w:rsidR="00DC2B0F" w:rsidRPr="00DC2B0F" w:rsidRDefault="00DC2B0F" w:rsidP="004E5C57">
            <w:pPr>
              <w:pStyle w:val="TableText0"/>
              <w:rPr>
                <w:rFonts w:eastAsia="Calibri"/>
              </w:rPr>
            </w:pPr>
          </w:p>
          <w:p w14:paraId="1F294681" w14:textId="77777777" w:rsidR="00DC2B0F" w:rsidRPr="00DC2B0F" w:rsidRDefault="00DC2B0F" w:rsidP="004E5C57">
            <w:pPr>
              <w:pStyle w:val="TableText0"/>
              <w:rPr>
                <w:rFonts w:eastAsia="Calibri"/>
              </w:rPr>
            </w:pPr>
            <w:r w:rsidRPr="00DC2B0F">
              <w:rPr>
                <w:rFonts w:eastAsia="Calibri"/>
              </w:rPr>
              <w:t xml:space="preserve">Antibodies to tissue antigens (acetylcholine receptor, adrenal cortex, heart, histone, insulin, insulin receptor, intrinsic factor, islet cell, lymphocyte, neuron, ovary, parathyroid, platelet, salivary gland, skeletal muscle, skin basement membrane and intercellular substance, thyroglobulin, thyroid microsome or thyroid stimulating hormone receptor) - detection, including quantitation if required, of 1 antibody </w:t>
            </w:r>
          </w:p>
          <w:p w14:paraId="0D828793" w14:textId="77777777" w:rsidR="00DC2B0F" w:rsidRPr="00DC2B0F" w:rsidRDefault="00DC2B0F" w:rsidP="004E5C57">
            <w:pPr>
              <w:pStyle w:val="TableText0"/>
              <w:rPr>
                <w:rFonts w:eastAsia="Calibri"/>
              </w:rPr>
            </w:pPr>
          </w:p>
          <w:p w14:paraId="6397DB88" w14:textId="77777777" w:rsidR="00DC2B0F" w:rsidRPr="00DC2B0F" w:rsidRDefault="00DC2B0F" w:rsidP="004E5C57">
            <w:pPr>
              <w:pStyle w:val="TableText0"/>
              <w:rPr>
                <w:rFonts w:eastAsia="Calibri"/>
              </w:rPr>
            </w:pPr>
            <w:r w:rsidRPr="00DC2B0F">
              <w:rPr>
                <w:rFonts w:eastAsia="Calibri"/>
              </w:rPr>
              <w:t>(Item is subject to Rule 6)</w:t>
            </w:r>
          </w:p>
          <w:p w14:paraId="53CDD509" w14:textId="77777777" w:rsidR="00DC2B0F" w:rsidRPr="00DC2B0F" w:rsidRDefault="00DC2B0F" w:rsidP="004E5C57">
            <w:pPr>
              <w:pStyle w:val="TableText0"/>
              <w:rPr>
                <w:rFonts w:eastAsia="Calibri"/>
              </w:rPr>
            </w:pPr>
          </w:p>
          <w:p w14:paraId="1A7291F0" w14:textId="77777777" w:rsidR="00DC2B0F" w:rsidRPr="00DC2B0F" w:rsidRDefault="00DC2B0F" w:rsidP="004E5C57">
            <w:pPr>
              <w:pStyle w:val="TableText0"/>
              <w:rPr>
                <w:rFonts w:eastAsia="Calibri"/>
              </w:rPr>
            </w:pPr>
            <w:r w:rsidRPr="00DC2B0F">
              <w:rPr>
                <w:rFonts w:eastAsia="Calibri"/>
              </w:rPr>
              <w:t xml:space="preserve">Fee: $34.55 </w:t>
            </w:r>
            <w:r w:rsidRPr="00DC2B0F">
              <w:rPr>
                <w:rFonts w:eastAsia="Calibri"/>
              </w:rPr>
              <w:tab/>
              <w:t>Benefit: 75% = $25.95  85% = $29.40</w:t>
            </w:r>
          </w:p>
        </w:tc>
      </w:tr>
    </w:tbl>
    <w:p w14:paraId="400D8407" w14:textId="77777777" w:rsidR="00DC2B0F" w:rsidRDefault="00DC2B0F" w:rsidP="00A9337B">
      <w:pPr>
        <w:pStyle w:val="Tablenotes0"/>
      </w:pPr>
    </w:p>
    <w:p w14:paraId="618EEA44" w14:textId="77777777" w:rsidR="00ED65EE" w:rsidRPr="00183E4D" w:rsidRDefault="00ED65EE" w:rsidP="00B27F54">
      <w:pPr>
        <w:pStyle w:val="Heading2"/>
        <w:numPr>
          <w:ilvl w:val="0"/>
          <w:numId w:val="8"/>
        </w:numPr>
      </w:pPr>
      <w:bookmarkStart w:id="129" w:name="_Toc39588270"/>
      <w:r>
        <w:t>Clinical Management Algorithm(s)</w:t>
      </w:r>
      <w:bookmarkEnd w:id="129"/>
    </w:p>
    <w:p w14:paraId="42BE17DB" w14:textId="77777777" w:rsidR="00BE08AB" w:rsidRDefault="00BE08AB" w:rsidP="00BE08AB">
      <w:pPr>
        <w:pStyle w:val="Heading3"/>
      </w:pPr>
      <w:bookmarkStart w:id="130" w:name="_Toc39588271"/>
      <w:r>
        <w:t>Historical clinical management for the identified population (comparative situation)</w:t>
      </w:r>
      <w:bookmarkEnd w:id="130"/>
    </w:p>
    <w:p w14:paraId="11A60EA5" w14:textId="2780C326" w:rsidR="00D8321A" w:rsidRPr="00D8321A" w:rsidRDefault="00D8321A" w:rsidP="00D8321A">
      <w:r w:rsidRPr="00D8321A">
        <w:t xml:space="preserve">In the absence of antibody testing, diagnosis of NMOSD relies on both the clinical picture (symptoms) and imaging examinations as described above by Wingerchuk et al. (2015). The historical management pathway is illustrated in </w:t>
      </w:r>
      <w:r w:rsidRPr="00D8321A">
        <w:fldChar w:fldCharType="begin"/>
      </w:r>
      <w:r w:rsidRPr="00D8321A">
        <w:instrText xml:space="preserve"> REF _Ref21605155 \h  \* MERGEFORMAT </w:instrText>
      </w:r>
      <w:r w:rsidRPr="00D8321A">
        <w:fldChar w:fldCharType="separate"/>
      </w:r>
      <w:r w:rsidR="004B21EF" w:rsidRPr="00BE08AB">
        <w:t xml:space="preserve">Figure </w:t>
      </w:r>
      <w:r w:rsidR="004B21EF">
        <w:t>3</w:t>
      </w:r>
      <w:r w:rsidRPr="00D8321A">
        <w:fldChar w:fldCharType="end"/>
      </w:r>
      <w:r w:rsidRPr="00D8321A">
        <w:t>.</w:t>
      </w:r>
    </w:p>
    <w:p w14:paraId="2A8C7A81" w14:textId="58485CF5" w:rsidR="00D8321A" w:rsidRPr="00D8321A" w:rsidRDefault="00D8321A" w:rsidP="00D8321A">
      <w:r w:rsidRPr="00D8321A">
        <w:t xml:space="preserve">When the brain and/or spinal cord MRI detects typical MS lesions, then subsequent diagnostic steps should be made towards this (Illes Z 2016). Presence of CSF-restricted </w:t>
      </w:r>
      <w:r w:rsidR="00B06B16">
        <w:t>oligoclonal bands (</w:t>
      </w:r>
      <w:r w:rsidRPr="00D8321A">
        <w:t>OCB</w:t>
      </w:r>
      <w:r w:rsidR="00B06B16">
        <w:t>)</w:t>
      </w:r>
      <w:r w:rsidRPr="00D8321A">
        <w:t xml:space="preserve"> is also a diagnostic mainstay in classical MS </w:t>
      </w:r>
      <w:r w:rsidR="00B0479F">
        <w:fldChar w:fldCharType="begin"/>
      </w:r>
      <w:r w:rsidR="00B0479F">
        <w:instrText xml:space="preserve"> ADDIN EN.CITE &lt;EndNote&gt;&lt;Cite&gt;&lt;Author&gt;Jarius&lt;/Author&gt;&lt;Year&gt;2014&lt;/Year&gt;&lt;RecNum&gt;18&lt;/RecNum&gt;&lt;DisplayText&gt;(Jarius, Wildemann &amp;amp; Paul 2014)&lt;/DisplayText&gt;&lt;record&gt;&lt;rec-number&gt;18&lt;/rec-number&gt;&lt;foreign-keys&gt;&lt;key app="EN" db-id="r25zptaswpdzade29ws5pf9gx55ztppatt20" timestamp="1576104079"&gt;18&lt;/key&gt;&lt;/foreign-keys&gt;&lt;ref-type name="Journal Article"&gt;17&lt;/ref-type&gt;&lt;contributors&gt;&lt;authors&gt;&lt;author&gt;Jarius, S.&lt;/author&gt;&lt;author&gt;Wildemann, B.&lt;/author&gt;&lt;author&gt;Paul, F.&lt;/author&gt;&lt;/authors&gt;&lt;/contributors&gt;&lt;auth-address&gt;Molecular Neuroimmunology, Department of Neurology, University of Heidelberg, Heidelberg, Germany.&lt;/auth-address&gt;&lt;titles&gt;&lt;title&gt;Neuromyelitis optica: clinical features, immunopathogenesis and treatment&lt;/title&gt;&lt;secondary-title&gt;Clin Exp Immunol&lt;/secondary-title&gt;&lt;/titles&gt;&lt;periodical&gt;&lt;full-title&gt;Clin Exp Immunol&lt;/full-title&gt;&lt;/periodical&gt;&lt;pages&gt;149-64&lt;/pages&gt;&lt;volume&gt;176&lt;/volume&gt;&lt;number&gt;2&lt;/number&gt;&lt;edition&gt;2014/03/29&lt;/edition&gt;&lt;keywords&gt;&lt;keyword&gt;Antibodies, Monoclonal/ therapeutic use&lt;/keyword&gt;&lt;keyword&gt;Aquaporin 4/immunology&lt;/keyword&gt;&lt;keyword&gt;Autoantibodies/blood/immunology&lt;/keyword&gt;&lt;keyword&gt;Humans&lt;/keyword&gt;&lt;keyword&gt;Immunoglobulin G/blood/immunology&lt;/keyword&gt;&lt;keyword&gt;Immunosuppressive Agents/ therapeutic use&lt;/keyword&gt;&lt;keyword&gt;Neuromyelitis Optica/diagnosis/ drug therapy/ immunology&lt;/keyword&gt;&lt;keyword&gt;Prognosis&lt;/keyword&gt;&lt;keyword&gt;Devic syndrome&lt;/keyword&gt;&lt;keyword&gt;NMO-IgG&lt;/keyword&gt;&lt;keyword&gt;aquaporin-4 antibodies (AQP4)&lt;/keyword&gt;&lt;keyword&gt;diagnosis&lt;/keyword&gt;&lt;keyword&gt;neuromyelitis optica&lt;/keyword&gt;&lt;keyword&gt;pathogenesis&lt;/keyword&gt;&lt;keyword&gt;pathophysiology&lt;/keyword&gt;&lt;keyword&gt;treatment&lt;/keyword&gt;&lt;/keywords&gt;&lt;dates&gt;&lt;year&gt;2014&lt;/year&gt;&lt;pub-dates&gt;&lt;date&gt;May&lt;/date&gt;&lt;/pub-dates&gt;&lt;/dates&gt;&lt;isbn&gt;1365-2249 (Electronic)&amp;#xD;0009-9104 (Linking)&lt;/isbn&gt;&lt;accession-num&gt;24666204&lt;/accession-num&gt;&lt;urls&gt;&lt;/urls&gt;&lt;custom2&gt;PMC3992027&lt;/custom2&gt;&lt;electronic-resource-num&gt;10.1111/cei.12271&lt;/electronic-resource-num&gt;&lt;remote-database-provider&gt;NLM&lt;/remote-database-provider&gt;&lt;language&gt;eng&lt;/language&gt;&lt;/record&gt;&lt;/Cite&gt;&lt;/EndNote&gt;</w:instrText>
      </w:r>
      <w:r w:rsidR="00B0479F">
        <w:fldChar w:fldCharType="separate"/>
      </w:r>
      <w:r w:rsidR="00B0479F">
        <w:rPr>
          <w:noProof/>
        </w:rPr>
        <w:t>(Jarius, Wildemann &amp; Paul 2014)</w:t>
      </w:r>
      <w:r w:rsidR="00B0479F">
        <w:fldChar w:fldCharType="end"/>
      </w:r>
      <w:r w:rsidRPr="00D8321A">
        <w:t xml:space="preserve">. If response to MS treatment is poor, considerations should be given to the possibility of </w:t>
      </w:r>
      <w:r w:rsidR="00A72295">
        <w:t>incorrect</w:t>
      </w:r>
      <w:r w:rsidRPr="00D8321A">
        <w:t xml:space="preserve"> diagnosis, and the patient should be investigated for NMOSD as a likely diagnosis.</w:t>
      </w:r>
    </w:p>
    <w:p w14:paraId="6A4460EE" w14:textId="7328E569" w:rsidR="00D8321A" w:rsidRPr="00D8321A" w:rsidRDefault="00D8321A" w:rsidP="00D8321A">
      <w:r w:rsidRPr="00D8321A">
        <w:t>When brain and/or spinal cord MRI is negative or not typical for MS, and MRI is indicative of NMOSD, treatment is based on acute treatment of relapses, chronic immunosuppression to prevent rel</w:t>
      </w:r>
      <w:r w:rsidR="00801FD1">
        <w:t xml:space="preserve">apses, and symptomatic therapy </w:t>
      </w:r>
      <w:r w:rsidR="00B0479F">
        <w:fldChar w:fldCharType="begin"/>
      </w:r>
      <w:r w:rsidR="00B0479F">
        <w:instrText xml:space="preserve"> ADDIN EN.CITE &lt;EndNote&gt;&lt;Cite&gt;&lt;Author&gt;Illes Z&lt;/Author&gt;&lt;Year&gt;2016&lt;/Year&gt;&lt;RecNum&gt;95&lt;/RecNum&gt;&lt;DisplayText&gt;(Illes Z 2016)&lt;/DisplayText&gt;&lt;record&gt;&lt;rec-number&gt;95&lt;/rec-number&gt;&lt;foreign-keys&gt;&lt;key app="EN" db-id="r25zptaswpdzade29ws5pf9gx55ztppatt20" timestamp="1585525788"&gt;95&lt;/key&gt;&lt;/foreign-keys&gt;&lt;ref-type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B0479F">
        <w:fldChar w:fldCharType="separate"/>
      </w:r>
      <w:r w:rsidR="00B0479F">
        <w:rPr>
          <w:noProof/>
        </w:rPr>
        <w:t>(Illes Z 2016)</w:t>
      </w:r>
      <w:r w:rsidR="00B0479F">
        <w:fldChar w:fldCharType="end"/>
      </w:r>
      <w:r w:rsidR="00801FD1">
        <w:t>.</w:t>
      </w:r>
      <w:r w:rsidRPr="00D8321A">
        <w:t xml:space="preserve"> </w:t>
      </w:r>
    </w:p>
    <w:p w14:paraId="5C4781E5" w14:textId="3BFCC50E" w:rsidR="004F7ACC" w:rsidRPr="004F7ACC" w:rsidRDefault="004F7ACC" w:rsidP="004F7ACC">
      <w:r w:rsidRPr="004F7ACC">
        <w:t xml:space="preserve">When a NMOSD diagnosis cannot be made based on brain or spinal cord MRI, additional testing is recommended to determine diagnosis of either NMOSD or MS. CSF-restricted OCB for diagnosis of MS (Jarius, Wildemann &amp; Paul 2014) and the presence of OCB and elevated </w:t>
      </w:r>
      <w:r w:rsidR="00B06B16">
        <w:t>immunoglobulin G (</w:t>
      </w:r>
      <w:r w:rsidRPr="004F7ACC">
        <w:t>IgG</w:t>
      </w:r>
      <w:r w:rsidR="00B06B16">
        <w:t>)</w:t>
      </w:r>
      <w:r w:rsidRPr="004F7ACC">
        <w:t xml:space="preserve"> index may be supportive for diagnosis of MS </w:t>
      </w:r>
      <w:r w:rsidR="00B0479F">
        <w:fldChar w:fldCharType="begin"/>
      </w:r>
      <w:r w:rsidR="00B0479F">
        <w:instrText xml:space="preserve"> ADDIN EN.CITE &lt;EndNote&gt;&lt;Cite&gt;&lt;Author&gt;Illes Z&lt;/Author&gt;&lt;Year&gt;2016&lt;/Year&gt;&lt;RecNum&gt;95&lt;/RecNum&gt;&lt;DisplayText&gt;(Illes Z 2016)&lt;/DisplayText&gt;&lt;record&gt;&lt;rec-number&gt;95&lt;/rec-number&gt;&lt;foreign-keys&gt;&lt;key app="EN" db-id="r25zptaswpdzade29ws5pf9gx55ztppatt20" timestamp="1585525788"&gt;95&lt;/key&gt;&lt;/foreign-keys&gt;&lt;ref-type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B0479F">
        <w:fldChar w:fldCharType="separate"/>
      </w:r>
      <w:r w:rsidR="00B0479F">
        <w:rPr>
          <w:noProof/>
        </w:rPr>
        <w:t>(Illes Z 2016)</w:t>
      </w:r>
      <w:r w:rsidR="00B0479F">
        <w:fldChar w:fldCharType="end"/>
      </w:r>
      <w:r w:rsidRPr="004F7ACC">
        <w:t xml:space="preserve">. Repeated spinal cord MRI is also recommended, where partial T2 hyperintensity (ies) in the spinal cord may support the diagnosis of MS (Illes Z 2016). If a diagnosis is made, then treatment is prescribed according to the diagnosis (i.e. MS or NMOSD). Repeat testing or other differential diagnosis is recommended should no diagnosis or confirmation be made </w:t>
      </w:r>
      <w:r w:rsidR="00B0479F">
        <w:fldChar w:fldCharType="begin"/>
      </w:r>
      <w:r w:rsidR="00B0479F">
        <w:instrText xml:space="preserve"> ADDIN EN.CITE &lt;EndNote&gt;&lt;Cite&gt;&lt;Author&gt;Illes Z&lt;/Author&gt;&lt;Year&gt;2016&lt;/Year&gt;&lt;RecNum&gt;95&lt;/RecNum&gt;&lt;DisplayText&gt;(Illes Z 2016)&lt;/DisplayText&gt;&lt;record&gt;&lt;rec-number&gt;95&lt;/rec-number&gt;&lt;foreign-keys&gt;&lt;key app="EN" db-id="r25zptaswpdzade29ws5pf9gx55ztppatt20" timestamp="1585525788"&gt;95&lt;/key&gt;&lt;/foreign-keys&gt;&lt;ref-type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B0479F">
        <w:fldChar w:fldCharType="separate"/>
      </w:r>
      <w:r w:rsidR="00B0479F">
        <w:rPr>
          <w:noProof/>
        </w:rPr>
        <w:t>(Illes Z 2016)</w:t>
      </w:r>
      <w:r w:rsidR="00B0479F">
        <w:fldChar w:fldCharType="end"/>
      </w:r>
      <w:r w:rsidR="00801FD1">
        <w:t>.</w:t>
      </w:r>
    </w:p>
    <w:p w14:paraId="3E4F1C90" w14:textId="56568BAB" w:rsidR="00BE08AB" w:rsidRPr="00BE08AB" w:rsidRDefault="005609A2" w:rsidP="00BE08AB">
      <w:pPr>
        <w:spacing w:after="200" w:line="276" w:lineRule="auto"/>
        <w:jc w:val="left"/>
        <w:rPr>
          <w:rFonts w:eastAsia="Calibri" w:cs="Times New Roman"/>
          <w:lang w:eastAsia="en-US"/>
        </w:rPr>
      </w:pPr>
      <w:r w:rsidRPr="00BE08AB">
        <w:rPr>
          <w:rFonts w:eastAsia="Calibri" w:cs="Times New Roman"/>
          <w:lang w:eastAsia="en-US"/>
        </w:rPr>
        <w:object w:dxaOrig="10575" w:dyaOrig="10006" w14:anchorId="2086F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4: Algorithm for historical clinical management of suspected NMOSD patients" style="width:450pt;height:388.5pt" o:ole="">
            <v:imagedata r:id="rId26" o:title=""/>
          </v:shape>
          <o:OLEObject Type="Embed" ProgID="Visio.Drawing.15" ShapeID="_x0000_i1025" DrawAspect="Content" ObjectID="_1690285153" r:id="rId27"/>
        </w:object>
      </w:r>
    </w:p>
    <w:p w14:paraId="7C078924" w14:textId="3F535729" w:rsidR="00BE08AB" w:rsidRPr="00BE08AB" w:rsidRDefault="00BE08AB" w:rsidP="00A87AE2">
      <w:pPr>
        <w:pStyle w:val="TableHeading"/>
      </w:pPr>
      <w:bookmarkStart w:id="131" w:name="_Ref21605155"/>
      <w:bookmarkStart w:id="132" w:name="_Toc79672134"/>
      <w:r w:rsidRPr="00BE08AB">
        <w:t xml:space="preserve">Figure </w:t>
      </w:r>
      <w:r w:rsidRPr="00BE08AB">
        <w:fldChar w:fldCharType="begin"/>
      </w:r>
      <w:r w:rsidRPr="00BE08AB">
        <w:instrText xml:space="preserve"> SEQ Figure \* ARABIC </w:instrText>
      </w:r>
      <w:r w:rsidRPr="00BE08AB">
        <w:fldChar w:fldCharType="separate"/>
      </w:r>
      <w:r w:rsidR="004B21EF">
        <w:rPr>
          <w:noProof/>
        </w:rPr>
        <w:t>3</w:t>
      </w:r>
      <w:r w:rsidRPr="00BE08AB">
        <w:fldChar w:fldCharType="end"/>
      </w:r>
      <w:bookmarkEnd w:id="131"/>
      <w:r w:rsidR="003E265F">
        <w:tab/>
      </w:r>
      <w:r w:rsidRPr="00BE08AB">
        <w:t xml:space="preserve"> Algorithm for historical clinical management of suspected NMOSD patients</w:t>
      </w:r>
      <w:bookmarkEnd w:id="132"/>
    </w:p>
    <w:p w14:paraId="48251932" w14:textId="77777777" w:rsidR="00BE08AB" w:rsidRPr="00BE08AB" w:rsidRDefault="00BE08AB" w:rsidP="00BE08AB">
      <w:pPr>
        <w:widowControl w:val="0"/>
        <w:spacing w:after="120" w:line="240" w:lineRule="auto"/>
        <w:contextualSpacing/>
        <w:jc w:val="left"/>
        <w:rPr>
          <w:rFonts w:ascii="Arial Narrow" w:hAnsi="Arial Narrow" w:cs="Arial"/>
          <w:snapToGrid w:val="0"/>
          <w:sz w:val="18"/>
          <w:szCs w:val="20"/>
          <w:lang w:val="en-GB" w:eastAsia="ja-JP"/>
        </w:rPr>
      </w:pPr>
      <w:r w:rsidRPr="00BE08AB">
        <w:rPr>
          <w:rFonts w:ascii="Arial Narrow" w:hAnsi="Arial Narrow" w:cs="Arial"/>
          <w:snapToGrid w:val="0"/>
          <w:sz w:val="18"/>
          <w:szCs w:val="20"/>
          <w:lang w:eastAsia="en-US"/>
        </w:rPr>
        <w:t>IgG = immunoglobulin G; MRI = magnetic resonance imaging; MS = multiple sclerosis; NMOSD=neuromyelitis optica spectrum disorders; OCB =oligoclonal bands</w:t>
      </w:r>
    </w:p>
    <w:p w14:paraId="52447B63" w14:textId="47D4B464" w:rsidR="00BE08AB" w:rsidRPr="00BE08AB" w:rsidRDefault="00BE08AB" w:rsidP="00BE08AB">
      <w:pPr>
        <w:widowControl w:val="0"/>
        <w:spacing w:after="120" w:line="240" w:lineRule="auto"/>
        <w:contextualSpacing/>
        <w:jc w:val="left"/>
        <w:rPr>
          <w:rFonts w:ascii="Arial Narrow" w:hAnsi="Arial Narrow" w:cs="Arial"/>
          <w:snapToGrid w:val="0"/>
          <w:sz w:val="18"/>
          <w:szCs w:val="20"/>
          <w:lang w:eastAsia="en-US"/>
        </w:rPr>
      </w:pPr>
      <w:r w:rsidRPr="00BE08AB">
        <w:rPr>
          <w:rFonts w:ascii="Arial Narrow" w:hAnsi="Arial Narrow" w:cs="Arial"/>
          <w:snapToGrid w:val="0"/>
          <w:sz w:val="18"/>
          <w:szCs w:val="20"/>
          <w:vertAlign w:val="superscript"/>
          <w:lang w:eastAsia="en-US"/>
        </w:rPr>
        <w:t>a</w:t>
      </w:r>
      <w:r w:rsidRPr="00BE08AB">
        <w:rPr>
          <w:rFonts w:ascii="Arial Narrow" w:hAnsi="Arial Narrow" w:cs="Arial"/>
          <w:snapToGrid w:val="0"/>
          <w:sz w:val="18"/>
          <w:szCs w:val="20"/>
          <w:lang w:eastAsia="en-US"/>
        </w:rPr>
        <w:t xml:space="preserve"> See </w:t>
      </w:r>
      <w:r w:rsidRPr="00BE08AB">
        <w:rPr>
          <w:rFonts w:ascii="Arial Narrow" w:hAnsi="Arial Narrow" w:cs="Arial"/>
          <w:snapToGrid w:val="0"/>
          <w:sz w:val="18"/>
          <w:szCs w:val="20"/>
          <w:lang w:eastAsia="en-US"/>
        </w:rPr>
        <w:fldChar w:fldCharType="begin"/>
      </w:r>
      <w:r w:rsidRPr="00BE08AB">
        <w:rPr>
          <w:rFonts w:ascii="Arial Narrow" w:hAnsi="Arial Narrow" w:cs="Arial"/>
          <w:snapToGrid w:val="0"/>
          <w:sz w:val="18"/>
          <w:szCs w:val="20"/>
          <w:lang w:eastAsia="en-US"/>
        </w:rPr>
        <w:instrText xml:space="preserve"> REF _Ref23241000 \h </w:instrText>
      </w:r>
      <w:r w:rsidR="00E95429">
        <w:rPr>
          <w:rFonts w:ascii="Arial Narrow" w:hAnsi="Arial Narrow" w:cs="Arial"/>
          <w:snapToGrid w:val="0"/>
          <w:sz w:val="18"/>
          <w:szCs w:val="20"/>
          <w:lang w:eastAsia="en-US"/>
        </w:rPr>
        <w:instrText xml:space="preserve"> \* MERGEFORMAT </w:instrText>
      </w:r>
      <w:r w:rsidRPr="00BE08AB">
        <w:rPr>
          <w:rFonts w:ascii="Arial Narrow" w:hAnsi="Arial Narrow" w:cs="Arial"/>
          <w:snapToGrid w:val="0"/>
          <w:sz w:val="18"/>
          <w:szCs w:val="20"/>
          <w:lang w:eastAsia="en-US"/>
        </w:rPr>
      </w:r>
      <w:r w:rsidRPr="00BE08AB">
        <w:rPr>
          <w:rFonts w:ascii="Arial Narrow" w:hAnsi="Arial Narrow" w:cs="Arial"/>
          <w:snapToGrid w:val="0"/>
          <w:sz w:val="18"/>
          <w:szCs w:val="20"/>
          <w:lang w:eastAsia="en-US"/>
        </w:rPr>
        <w:fldChar w:fldCharType="separate"/>
      </w:r>
      <w:r w:rsidR="004B21EF" w:rsidRPr="004B21EF">
        <w:rPr>
          <w:rFonts w:ascii="Arial Narrow" w:hAnsi="Arial Narrow" w:cs="Arial"/>
          <w:snapToGrid w:val="0"/>
          <w:sz w:val="18"/>
          <w:szCs w:val="20"/>
          <w:lang w:eastAsia="en-US"/>
        </w:rPr>
        <w:t>Table 107</w:t>
      </w:r>
      <w:r w:rsidRPr="00BE08AB">
        <w:rPr>
          <w:rFonts w:ascii="Arial Narrow" w:hAnsi="Arial Narrow" w:cs="Arial"/>
          <w:snapToGrid w:val="0"/>
          <w:sz w:val="18"/>
          <w:szCs w:val="20"/>
          <w:lang w:eastAsia="en-US"/>
        </w:rPr>
        <w:fldChar w:fldCharType="end"/>
      </w:r>
      <w:r w:rsidRPr="00BE08AB">
        <w:rPr>
          <w:rFonts w:ascii="Arial Narrow" w:hAnsi="Arial Narrow" w:cs="Arial"/>
          <w:snapToGrid w:val="0"/>
          <w:sz w:val="18"/>
          <w:szCs w:val="20"/>
          <w:lang w:eastAsia="en-US"/>
        </w:rPr>
        <w:t xml:space="preserve"> for diagnostic criteria from Wingerchuk et al</w:t>
      </w:r>
      <w:r w:rsidR="000848F9">
        <w:rPr>
          <w:rFonts w:ascii="Arial Narrow" w:hAnsi="Arial Narrow" w:cs="Arial"/>
          <w:snapToGrid w:val="0"/>
          <w:sz w:val="18"/>
          <w:szCs w:val="20"/>
          <w:lang w:eastAsia="en-US"/>
        </w:rPr>
        <w:t>.</w:t>
      </w:r>
      <w:r w:rsidRPr="00BE08AB">
        <w:rPr>
          <w:rFonts w:ascii="Arial Narrow" w:hAnsi="Arial Narrow" w:cs="Arial"/>
          <w:snapToGrid w:val="0"/>
          <w:sz w:val="18"/>
          <w:szCs w:val="20"/>
          <w:lang w:eastAsia="en-US"/>
        </w:rPr>
        <w:t xml:space="preserve"> 2015</w:t>
      </w:r>
    </w:p>
    <w:p w14:paraId="283E7835" w14:textId="77777777" w:rsidR="00BE08AB" w:rsidRDefault="00BE08AB" w:rsidP="00BE08AB"/>
    <w:p w14:paraId="7F964AAA" w14:textId="77777777" w:rsidR="00BE08AB" w:rsidRDefault="00BE08AB" w:rsidP="00BE08AB">
      <w:pPr>
        <w:pStyle w:val="Heading3"/>
      </w:pPr>
      <w:bookmarkStart w:id="133" w:name="_Toc39588272"/>
      <w:r>
        <w:t>Current clinical management for the proposed identified population</w:t>
      </w:r>
      <w:bookmarkEnd w:id="133"/>
    </w:p>
    <w:p w14:paraId="43BB4B8D" w14:textId="09E09D9D" w:rsidR="002C589D" w:rsidRPr="002C589D" w:rsidRDefault="002C589D" w:rsidP="002C589D">
      <w:r w:rsidRPr="002C589D">
        <w:t xml:space="preserve">Current standard of care for patients suspected of having NMOSD, is diagnosis based not only on the clinical picture (symptoms) and the imaging examinations, but also on the detection of serum AQP4-Abs and/or MOG-Abs. The current management pathway using concurrent testing is illustrated in </w:t>
      </w:r>
      <w:r w:rsidRPr="002C589D">
        <w:fldChar w:fldCharType="begin"/>
      </w:r>
      <w:r w:rsidRPr="002C589D">
        <w:instrText xml:space="preserve"> REF _Ref21605138 \h  \* MERGEFORMAT </w:instrText>
      </w:r>
      <w:r w:rsidRPr="002C589D">
        <w:fldChar w:fldCharType="separate"/>
      </w:r>
      <w:r w:rsidR="004B21EF" w:rsidRPr="00BE08AB">
        <w:t xml:space="preserve">Figure </w:t>
      </w:r>
      <w:r w:rsidR="004B21EF">
        <w:t>4</w:t>
      </w:r>
      <w:r w:rsidRPr="002C589D">
        <w:fldChar w:fldCharType="end"/>
      </w:r>
      <w:r w:rsidRPr="002C589D">
        <w:t xml:space="preserve">, and for sequential testing, in </w:t>
      </w:r>
      <w:r w:rsidRPr="002C589D">
        <w:fldChar w:fldCharType="begin"/>
      </w:r>
      <w:r w:rsidRPr="002C589D">
        <w:instrText xml:space="preserve"> REF _Ref23158832 \h  \* MERGEFORMAT </w:instrText>
      </w:r>
      <w:r w:rsidRPr="002C589D">
        <w:fldChar w:fldCharType="separate"/>
      </w:r>
      <w:r w:rsidR="004B21EF" w:rsidRPr="00BE08AB">
        <w:t xml:space="preserve">Figure </w:t>
      </w:r>
      <w:r w:rsidR="004B21EF">
        <w:t>5</w:t>
      </w:r>
      <w:r w:rsidRPr="002C589D">
        <w:fldChar w:fldCharType="end"/>
      </w:r>
      <w:r w:rsidRPr="002C589D">
        <w:t>.</w:t>
      </w:r>
    </w:p>
    <w:p w14:paraId="034E3A5E" w14:textId="1FCDA2DF" w:rsidR="002C589D" w:rsidRPr="002C589D" w:rsidRDefault="002C589D" w:rsidP="002C589D">
      <w:r w:rsidRPr="002C589D">
        <w:t xml:space="preserve">When the brain and/or spinal cord MRI detects typical MS lesions, then subsequent diagnostic steps should be made towards this (Illes Z 2016). Presence of CSF-restricted OCB is also a diagnostic mainstay in classical MS </w:t>
      </w:r>
      <w:r w:rsidR="00B0479F">
        <w:fldChar w:fldCharType="begin"/>
      </w:r>
      <w:r w:rsidR="00B0479F">
        <w:instrText xml:space="preserve"> ADDIN EN.CITE &lt;EndNote&gt;&lt;Cite&gt;&lt;Author&gt;Jarius&lt;/Author&gt;&lt;Year&gt;2014&lt;/Year&gt;&lt;RecNum&gt;18&lt;/RecNum&gt;&lt;DisplayText&gt;(Jarius, Wildemann &amp;amp; Paul 2014)&lt;/DisplayText&gt;&lt;record&gt;&lt;rec-number&gt;18&lt;/rec-number&gt;&lt;foreign-keys&gt;&lt;key app="EN" db-id="r25zptaswpdzade29ws5pf9gx55ztppatt20" timestamp="1576104079"&gt;18&lt;/key&gt;&lt;/foreign-keys&gt;&lt;ref-type name="Journal Article"&gt;17&lt;/ref-type&gt;&lt;contributors&gt;&lt;authors&gt;&lt;author&gt;Jarius, S.&lt;/author&gt;&lt;author&gt;Wildemann, B.&lt;/author&gt;&lt;author&gt;Paul, F.&lt;/author&gt;&lt;/authors&gt;&lt;/contributors&gt;&lt;auth-address&gt;Molecular Neuroimmunology, Department of Neurology, University of Heidelberg, Heidelberg, Germany.&lt;/auth-address&gt;&lt;titles&gt;&lt;title&gt;Neuromyelitis optica: clinical features, immunopathogenesis and treatment&lt;/title&gt;&lt;secondary-title&gt;Clin Exp Immunol&lt;/secondary-title&gt;&lt;/titles&gt;&lt;periodical&gt;&lt;full-title&gt;Clin Exp Immunol&lt;/full-title&gt;&lt;/periodical&gt;&lt;pages&gt;149-64&lt;/pages&gt;&lt;volume&gt;176&lt;/volume&gt;&lt;number&gt;2&lt;/number&gt;&lt;edition&gt;2014/03/29&lt;/edition&gt;&lt;keywords&gt;&lt;keyword&gt;Antibodies, Monoclonal/ therapeutic use&lt;/keyword&gt;&lt;keyword&gt;Aquaporin 4/immunology&lt;/keyword&gt;&lt;keyword&gt;Autoantibodies/blood/immunology&lt;/keyword&gt;&lt;keyword&gt;Humans&lt;/keyword&gt;&lt;keyword&gt;Immunoglobulin G/blood/immunology&lt;/keyword&gt;&lt;keyword&gt;Immunosuppressive Agents/ therapeutic use&lt;/keyword&gt;&lt;keyword&gt;Neuromyelitis Optica/diagnosis/ drug therapy/ immunology&lt;/keyword&gt;&lt;keyword&gt;Prognosis&lt;/keyword&gt;&lt;keyword&gt;Devic syndrome&lt;/keyword&gt;&lt;keyword&gt;NMO-IgG&lt;/keyword&gt;&lt;keyword&gt;aquaporin-4 antibodies (AQP4)&lt;/keyword&gt;&lt;keyword&gt;diagnosis&lt;/keyword&gt;&lt;keyword&gt;neuromyelitis optica&lt;/keyword&gt;&lt;keyword&gt;pathogenesis&lt;/keyword&gt;&lt;keyword&gt;pathophysiology&lt;/keyword&gt;&lt;keyword&gt;treatment&lt;/keyword&gt;&lt;/keywords&gt;&lt;dates&gt;&lt;year&gt;2014&lt;/year&gt;&lt;pub-dates&gt;&lt;date&gt;May&lt;/date&gt;&lt;/pub-dates&gt;&lt;/dates&gt;&lt;isbn&gt;1365-2249 (Electronic)&amp;#xD;0009-9104 (Linking)&lt;/isbn&gt;&lt;accession-num&gt;24666204&lt;/accession-num&gt;&lt;urls&gt;&lt;/urls&gt;&lt;custom2&gt;PMC3992027&lt;/custom2&gt;&lt;electronic-resource-num&gt;10.1111/cei.12271&lt;/electronic-resource-num&gt;&lt;remote-database-provider&gt;NLM&lt;/remote-database-provider&gt;&lt;language&gt;eng&lt;/language&gt;&lt;/record&gt;&lt;/Cite&gt;&lt;/EndNote&gt;</w:instrText>
      </w:r>
      <w:r w:rsidR="00B0479F">
        <w:fldChar w:fldCharType="separate"/>
      </w:r>
      <w:r w:rsidR="00B0479F">
        <w:rPr>
          <w:noProof/>
        </w:rPr>
        <w:t>(Jarius, Wildemann &amp; Paul 2014)</w:t>
      </w:r>
      <w:r w:rsidR="00B0479F">
        <w:fldChar w:fldCharType="end"/>
      </w:r>
      <w:r w:rsidR="00801FD1">
        <w:t>.</w:t>
      </w:r>
      <w:r w:rsidRPr="002C589D">
        <w:t xml:space="preserve"> </w:t>
      </w:r>
    </w:p>
    <w:p w14:paraId="6B21C8F7" w14:textId="77777777" w:rsidR="002C589D" w:rsidRPr="002C589D" w:rsidRDefault="002C589D" w:rsidP="002C589D">
      <w:pPr>
        <w:spacing w:after="80" w:line="240" w:lineRule="auto"/>
      </w:pPr>
      <w:r w:rsidRPr="002C589D">
        <w:t>When brain and/or spinal cord MRI is negative or not typical for MS, and MRI is indicative of NMOSD, there are two diagnostic options:</w:t>
      </w:r>
    </w:p>
    <w:p w14:paraId="0A279B01" w14:textId="033E951E" w:rsidR="002C589D" w:rsidRPr="002C589D" w:rsidRDefault="002C589D" w:rsidP="002C589D">
      <w:pPr>
        <w:ind w:left="720"/>
      </w:pPr>
      <w:r w:rsidRPr="002C589D">
        <w:t>1) serum AQP4-Ab testing (</w:t>
      </w:r>
      <w:r w:rsidR="00F20D67">
        <w:fldChar w:fldCharType="begin"/>
      </w:r>
      <w:r w:rsidR="00F20D67">
        <w:instrText xml:space="preserve"> REF _Ref21605138 \h </w:instrText>
      </w:r>
      <w:r w:rsidR="00F20D67">
        <w:fldChar w:fldCharType="separate"/>
      </w:r>
      <w:r w:rsidR="004B21EF" w:rsidRPr="00BE08AB">
        <w:t xml:space="preserve">Figure </w:t>
      </w:r>
      <w:r w:rsidR="004B21EF">
        <w:rPr>
          <w:noProof/>
        </w:rPr>
        <w:t>4</w:t>
      </w:r>
      <w:r w:rsidR="00F20D67">
        <w:fldChar w:fldCharType="end"/>
      </w:r>
      <w:r w:rsidRPr="002C589D">
        <w:t xml:space="preserve">) </w:t>
      </w:r>
    </w:p>
    <w:p w14:paraId="2C7235BA" w14:textId="77777777" w:rsidR="002C589D" w:rsidRPr="002C589D" w:rsidRDefault="002C589D" w:rsidP="002C589D">
      <w:pPr>
        <w:spacing w:after="80" w:line="240" w:lineRule="auto"/>
      </w:pPr>
      <w:r w:rsidRPr="002C589D">
        <w:t>A positive serum test for AQP4-Abs is confirmatory for AQP4</w:t>
      </w:r>
      <w:r w:rsidR="00B47A24">
        <w:t>-Ab</w:t>
      </w:r>
      <w:r w:rsidRPr="002C589D">
        <w:t xml:space="preserve"> NMOSD. When serum AQP4-Ab testing is negative, serum MOG-Ab testing is recommended. A positive MOG-Ab test is </w:t>
      </w:r>
      <w:r w:rsidR="00B47A24">
        <w:t>diagnostic</w:t>
      </w:r>
      <w:r w:rsidRPr="002C589D">
        <w:t xml:space="preserve"> of </w:t>
      </w:r>
      <w:r w:rsidR="00B47A24">
        <w:lastRenderedPageBreak/>
        <w:t>MOG-Ab NMOSD.</w:t>
      </w:r>
      <w:r w:rsidRPr="002C589D">
        <w:t xml:space="preserve"> When MOG-Ab testing is negative, additional testing is recommended including OCB, IgG index or AQP4-Ab testing in the CSF to determine a differential diagnosis of MS or AQP4</w:t>
      </w:r>
      <w:r w:rsidR="00B47A24">
        <w:t>-Ab</w:t>
      </w:r>
      <w:r w:rsidRPr="002C589D">
        <w:t xml:space="preserve"> NMOSD or </w:t>
      </w:r>
      <w:r w:rsidR="00B47A24">
        <w:t>MOG-Ab NMOSD</w:t>
      </w:r>
      <w:r w:rsidRPr="002C589D">
        <w:t xml:space="preserve">. </w:t>
      </w:r>
    </w:p>
    <w:p w14:paraId="3483FB89" w14:textId="0C51F361" w:rsidR="002C589D" w:rsidRPr="002C589D" w:rsidRDefault="002C589D" w:rsidP="002C589D">
      <w:pPr>
        <w:ind w:left="720"/>
      </w:pPr>
      <w:r w:rsidRPr="002C589D">
        <w:t>2) serum AQP4-Ab and MOG-Ab testing (</w:t>
      </w:r>
      <w:r w:rsidR="00F20D67">
        <w:fldChar w:fldCharType="begin"/>
      </w:r>
      <w:r w:rsidR="00F20D67">
        <w:instrText xml:space="preserve"> REF _Ref23158832 \h </w:instrText>
      </w:r>
      <w:r w:rsidR="00F20D67">
        <w:fldChar w:fldCharType="separate"/>
      </w:r>
      <w:r w:rsidR="004B21EF" w:rsidRPr="00BE08AB">
        <w:t xml:space="preserve">Figure </w:t>
      </w:r>
      <w:r w:rsidR="004B21EF">
        <w:rPr>
          <w:noProof/>
        </w:rPr>
        <w:t>5</w:t>
      </w:r>
      <w:r w:rsidR="00F20D67">
        <w:fldChar w:fldCharType="end"/>
      </w:r>
      <w:r w:rsidRPr="002C589D">
        <w:t xml:space="preserve">) </w:t>
      </w:r>
    </w:p>
    <w:p w14:paraId="46557DE0" w14:textId="77777777" w:rsidR="002C589D" w:rsidRPr="002C589D" w:rsidRDefault="002C589D" w:rsidP="002C589D">
      <w:r w:rsidRPr="002C589D">
        <w:t>A positive serum test for either AQP4-Ab or MOG-Ab is confirmatory for AQP4</w:t>
      </w:r>
      <w:r w:rsidR="00B47A24">
        <w:t>-Ab</w:t>
      </w:r>
      <w:r w:rsidRPr="002C589D">
        <w:t xml:space="preserve"> NMOSD or </w:t>
      </w:r>
      <w:r w:rsidR="00B47A24">
        <w:t>MOG-Ab NMOSD</w:t>
      </w:r>
      <w:r w:rsidRPr="002C589D">
        <w:t>, respectively. Should both serum antibody tests be deemed negative for their respective diagnosis conditions, then additional testing is recommended including OCB, IgG or AQP4-Ab testing in the CSF to determine a differential diagnosis of MS or AQP4</w:t>
      </w:r>
      <w:r w:rsidR="00B47A24">
        <w:t>-Ab</w:t>
      </w:r>
      <w:r w:rsidRPr="002C589D">
        <w:t xml:space="preserve"> NMOSD or </w:t>
      </w:r>
      <w:r w:rsidR="00B47A24">
        <w:t>MOG-Ab</w:t>
      </w:r>
      <w:r w:rsidR="0032257A">
        <w:t xml:space="preserve"> NMOSD</w:t>
      </w:r>
      <w:r w:rsidR="006B608B">
        <w:rPr>
          <w:rStyle w:val="FootnoteReference"/>
        </w:rPr>
        <w:footnoteReference w:id="4"/>
      </w:r>
      <w:r w:rsidRPr="002C589D">
        <w:t>.</w:t>
      </w:r>
    </w:p>
    <w:p w14:paraId="58CAE2AD" w14:textId="1E481930" w:rsidR="002C589D" w:rsidRPr="002C589D" w:rsidRDefault="002C589D" w:rsidP="002C589D">
      <w:r w:rsidRPr="002C589D">
        <w:t>If a diagnosis is made, then treatment is prescribed according to the diagnosis (i.e. MS, AQP4</w:t>
      </w:r>
      <w:r w:rsidR="00B47A24">
        <w:t>-Ab</w:t>
      </w:r>
      <w:r w:rsidRPr="002C589D">
        <w:t xml:space="preserve"> NMOSD or M</w:t>
      </w:r>
      <w:r w:rsidR="00B47A24">
        <w:t>OG-Ab NMOSD</w:t>
      </w:r>
      <w:r w:rsidRPr="002C589D">
        <w:t>). For those found AQP4-Ab or MOG-Ab positive, correct treatment is likely to start earlier than for those who test negative and need to undergo further testing</w:t>
      </w:r>
      <w:r w:rsidR="0032257A">
        <w:t>,</w:t>
      </w:r>
      <w:r w:rsidRPr="002C589D">
        <w:t xml:space="preserve"> or </w:t>
      </w:r>
      <w:r w:rsidR="0032257A">
        <w:t xml:space="preserve">have to </w:t>
      </w:r>
      <w:r w:rsidRPr="002C589D">
        <w:t xml:space="preserve">wait on symptom development before diagnosis can be made. Repeat testing is recommended should no diagnosis or confirmation be made </w:t>
      </w:r>
      <w:r w:rsidR="00B0479F">
        <w:fldChar w:fldCharType="begin"/>
      </w:r>
      <w:r w:rsidR="00B0479F">
        <w:instrText xml:space="preserve"> ADDIN EN.CITE &lt;EndNote&gt;&lt;Cite&gt;&lt;Author&gt;Illes Z&lt;/Author&gt;&lt;Year&gt;2016&lt;/Year&gt;&lt;RecNum&gt;95&lt;/RecNum&gt;&lt;DisplayText&gt;(Illes Z 2016)&lt;/DisplayText&gt;&lt;record&gt;&lt;rec-number&gt;95&lt;/rec-number&gt;&lt;foreign-keys&gt;&lt;key app="EN" db-id="r25zptaswpdzade29ws5pf9gx55ztppatt20" timestamp="1585525788"&gt;95&lt;/key&gt;&lt;/foreign-keys&gt;&lt;ref-type name="Book Section"&gt;5&lt;/ref-type&gt;&lt;contributors&gt;&lt;authors&gt;&lt;author&gt;Illes Z, &lt;/author&gt;&lt;/authors&gt;&lt;secondary-authors&gt;&lt;author&gt;Somlai J,&lt;/author&gt;&lt;author&gt;Kovacs T, &lt;/author&gt;&lt;/secondary-authors&gt;&lt;/contributors&gt;&lt;titles&gt;&lt;title&gt;Neuromyelitis Optica (Devic&amp;apos;s Disease): A New Concept for an Old Disease&lt;/title&gt;&lt;secondary-title&gt;Neuro-Opthalmology&lt;/secondary-title&gt;&lt;/titles&gt;&lt;dates&gt;&lt;year&gt;2016&lt;/year&gt;&lt;/dates&gt;&lt;publisher&gt;Springer, Cham&lt;/publisher&gt;&lt;urls&gt;&lt;/urls&gt;&lt;electronic-resource-num&gt;https://doi.org/10.1007/978-3-319-28956-4_41&lt;/electronic-resource-num&gt;&lt;/record&gt;&lt;/Cite&gt;&lt;/EndNote&gt;</w:instrText>
      </w:r>
      <w:r w:rsidR="00B0479F">
        <w:fldChar w:fldCharType="separate"/>
      </w:r>
      <w:r w:rsidR="00B0479F">
        <w:rPr>
          <w:noProof/>
        </w:rPr>
        <w:t>(Illes Z 2016)</w:t>
      </w:r>
      <w:r w:rsidR="00B0479F">
        <w:fldChar w:fldCharType="end"/>
      </w:r>
      <w:r w:rsidR="00801FD1">
        <w:t>.</w:t>
      </w:r>
    </w:p>
    <w:p w14:paraId="7A66DAB0" w14:textId="77777777" w:rsidR="007A28F1" w:rsidRDefault="007A28F1" w:rsidP="007A28F1">
      <w:pPr>
        <w:pStyle w:val="Heading3"/>
      </w:pPr>
      <w:bookmarkStart w:id="134" w:name="_Toc39588273"/>
      <w:r>
        <w:t>Clinical management after diagnosis in the identified population</w:t>
      </w:r>
      <w:bookmarkEnd w:id="134"/>
    </w:p>
    <w:p w14:paraId="56E09BF4" w14:textId="134F9B41" w:rsidR="007A28F1" w:rsidRDefault="007A28F1" w:rsidP="007A28F1">
      <w:r>
        <w:t xml:space="preserve">In patients with NMOSD, the correct therapeutic approach has to recognize two distinct clinical situations: treatment of the acute attacks and prevention of the relapses (maintenance treatment) </w:t>
      </w:r>
      <w:r w:rsidR="00156621">
        <w:fldChar w:fldCharType="begin">
          <w:fldData xml:space="preserve">PEVuZE5vdGU+PENpdGU+PEF1dGhvcj5CcnVzY29saW5pPC9BdXRob3I+PFllYXI+MjAxODwvWWVh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</w:fldData>
        </w:fldChar>
      </w:r>
      <w:r w:rsidR="00156621">
        <w:instrText xml:space="preserve"> ADDIN EN.CITE </w:instrText>
      </w:r>
      <w:r w:rsidR="00156621">
        <w:fldChar w:fldCharType="begin">
          <w:fldData xml:space="preserve">PEVuZE5vdGU+PENpdGU+PEF1dGhvcj5CcnVzY29saW5pPC9BdXRob3I+PFllYXI+MjAxODwvWWVh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</w:fldData>
        </w:fldChar>
      </w:r>
      <w:r w:rsidR="00156621">
        <w:instrText xml:space="preserve"> ADDIN EN.CITE.DATA </w:instrText>
      </w:r>
      <w:r w:rsidR="00156621">
        <w:fldChar w:fldCharType="end"/>
      </w:r>
      <w:r w:rsidR="00156621">
        <w:fldChar w:fldCharType="separate"/>
      </w:r>
      <w:r w:rsidR="00156621">
        <w:rPr>
          <w:noProof/>
        </w:rPr>
        <w:t>(Bruscolini et al. 2018)</w:t>
      </w:r>
      <w:r w:rsidR="00156621">
        <w:fldChar w:fldCharType="end"/>
      </w:r>
      <w:r>
        <w:t>. A</w:t>
      </w:r>
      <w:r w:rsidRPr="00594DB2">
        <w:t>s NMO</w:t>
      </w:r>
      <w:r>
        <w:t>SD</w:t>
      </w:r>
      <w:r w:rsidRPr="00594DB2">
        <w:t xml:space="preserve"> takes a relapsing course in most cases, with often incomplete recovery and rapid accumulation of neurological deficits, long-term immunosuppressive treatment </w:t>
      </w:r>
      <w:r w:rsidR="00BA6D1B">
        <w:fldChar w:fldCharType="begin"/>
      </w:r>
      <w:r w:rsidR="0087595F">
        <w:instrText xml:space="preserve"> ADDIN EN.CITE &lt;EndNote&gt;&lt;Cite&gt;&lt;Author&gt;Trebst&lt;/Author&gt;&lt;Year&gt;2014&lt;/Year&gt;&lt;RecNum&gt;30&lt;/RecNum&gt;&lt;DisplayText&gt;(Trebst et al. 2014)&lt;/DisplayText&gt;&lt;record&gt;&lt;rec-number&gt;30&lt;/rec-number&gt;&lt;foreign-keys&gt;&lt;key app="EN" db-id="r25zptaswpdzade29ws5pf9gx55ztppatt20" timestamp="1576104081"&gt;30&lt;/key&gt;&lt;/foreign-keys&gt;&lt;ref-type name="Journal Article"&gt;17&lt;/ref-type&gt;&lt;contributors&gt;&lt;authors&gt;&lt;author&gt;Trebst, C&lt;/author&gt;&lt;author&gt;Jarius, Sven&lt;/author&gt;&lt;author&gt;Berthele, Achim&lt;/author&gt;&lt;author&gt;Paul, Friedemann&lt;/author&gt;&lt;author&gt;Schippling, Sven&lt;/author&gt;&lt;author&gt;Wildemann, Brigitte&lt;/author&gt;&lt;author&gt;Borisow, Nadja&lt;/author&gt;&lt;author&gt;Kleiter, Ingo&lt;/author&gt;&lt;author&gt;Aktas, Orhan&lt;/author&gt;&lt;author&gt;Kümpfel, Tania&lt;/author&gt;&lt;author&gt;Neuromyelitis Optica Study, Group&lt;/author&gt;&lt;/authors&gt;&lt;/contributors&gt;&lt;titles&gt;&lt;title&gt;Update on the diagnosis and treatment of neuromyelitis optica: recommendations of the Neuromyelitis Optica Study Group (NEMOS)&lt;/title&gt;&lt;secondary-title&gt;Journal of neurology&lt;/secondary-title&gt;&lt;alt-title&gt;J Neurol&lt;/alt-title&gt;&lt;/titles&gt;&lt;periodical&gt;&lt;full-title&gt;Journal of neurology&lt;/full-title&gt;&lt;abbr-1&gt;J Neurol&lt;/abbr-1&gt;&lt;/periodical&gt;&lt;alt-periodical&gt;&lt;full-title&gt;J Neurol&lt;/full-title&gt;&lt;/alt-periodical&gt;&lt;pages&gt;1-16&lt;/pages&gt;&lt;volume&gt;261&lt;/volume&gt;&lt;number&gt;1&lt;/number&gt;&lt;edition&gt;11/23&lt;/edition&gt;&lt;keywords&gt;&lt;keyword&gt;Diagnosis-Related Groups/*standards&lt;/keyword&gt;&lt;keyword&gt;Humans&lt;/keyword&gt;&lt;keyword&gt;Medication Reconciliation/*standards/trends&lt;/keyword&gt;&lt;keyword&gt;Neuromyelitis Optica/*diagnosis/*therapy&lt;/keyword&gt;&lt;/keywords&gt;&lt;dates&gt;&lt;year&gt;2014&lt;/year&gt;&lt;/dates&gt;&lt;publisher&gt;Springer Berlin Heidelberg&lt;/publisher&gt;&lt;isbn&gt;1432-1459&amp;#xD;0340-5354&lt;/isbn&gt;&lt;accession-num&gt;24272588&lt;/accession-num&gt;&lt;urls&gt;&lt;related-urls&gt;&lt;url&gt;https://www.ncbi.nlm.nih.gov/pubmed/24272588&lt;/url&gt;&lt;url&gt;https://www.ncbi.nlm.nih.gov/pmc/articles/PMC3895189/&lt;/url&gt;&lt;/related-urls&gt;&lt;/urls&gt;&lt;electronic-resource-num&gt;10.1007/s00415-013-7169-7&lt;/electronic-resource-num&gt;&lt;remote-database-name&gt;PubMed&lt;/remote-database-name&gt;&lt;language&gt;eng&lt;/language&gt;&lt;/record&gt;&lt;/Cite&gt;&lt;/EndNote&gt;</w:instrText>
      </w:r>
      <w:r w:rsidR="00BA6D1B">
        <w:fldChar w:fldCharType="separate"/>
      </w:r>
      <w:r w:rsidR="00126162">
        <w:rPr>
          <w:noProof/>
        </w:rPr>
        <w:t>(Trebst et al. 2014)</w:t>
      </w:r>
      <w:r w:rsidR="00BA6D1B">
        <w:fldChar w:fldCharType="end"/>
      </w:r>
    </w:p>
    <w:p w14:paraId="01CBCFF6" w14:textId="4AF38F88" w:rsidR="007A28F1" w:rsidRDefault="007A28F1" w:rsidP="007A28F1">
      <w:r>
        <w:t xml:space="preserve">Prednisone, </w:t>
      </w:r>
      <w:r w:rsidRPr="00BB5276">
        <w:t>azathioprine (AZA)</w:t>
      </w:r>
      <w:r>
        <w:t xml:space="preserve">, mycophenolate mofetil </w:t>
      </w:r>
      <w:r w:rsidRPr="0028436B">
        <w:t>(CellCept)</w:t>
      </w:r>
      <w:r>
        <w:t xml:space="preserve"> and rituximab </w:t>
      </w:r>
      <w:r w:rsidRPr="0028436B">
        <w:t>(RTX)</w:t>
      </w:r>
      <w:r>
        <w:t xml:space="preserve"> are the first-line drugs used in relapse prevention in NMOSD. The choice of the initial treatment usually depends on availability, costs, co-morbidities, and disease course </w:t>
      </w:r>
      <w:r w:rsidR="00156621">
        <w:fldChar w:fldCharType="begin"/>
      </w:r>
      <w:r w:rsidR="00156621">
        <w:instrText xml:space="preserve"> ADDIN EN.CITE &lt;EndNote&gt;&lt;Cite&gt;&lt;Author&gt;Lana-Peixoto&lt;/Author&gt;&lt;Year&gt;2019&lt;/Year&gt;&lt;RecNum&gt;2803&lt;/RecNum&gt;&lt;DisplayText&gt;(Lana-Peixoto &amp;amp; Talim 2019)&lt;/DisplayText&gt;&lt;record&gt;&lt;rec-number&gt;2803&lt;/rec-number&gt;&lt;foreign-keys&gt;&lt;key app="EN" db-id="r9zwwf2zmrrvxfespp15vtvjapza9v2fz5s5" timestamp="1578281182"&gt;2803&lt;/key&gt;&lt;/foreign-keys&gt;&lt;ref-type name="Journal Article"&gt;17&lt;/ref-type&gt;&lt;contributors&gt;&lt;authors&gt;&lt;author&gt;Lana-Peixoto, M. A.&lt;/author&gt;&lt;author&gt;Talim, N.&lt;/author&gt;&lt;/authors&gt;&lt;/contributors&gt;&lt;auth-address&gt;CIEM MS Research Center, Federal University of Minas Gerais Medical School, Belo Horizonte, MG 30130-090, Brazil. marco.lanapeixoto@gmail.com.&amp;#xD;CIEM MS Research Center, Federal University of Minas Gerais Medical School, Belo Horizonte, MG 30130-090, Brazil. talim.fono@gmail.com.&lt;/auth-address&gt;&lt;titles&gt;&lt;title&gt;Neuromyelitis Optica Spectrum Disorder and Anti-MOG Syndromes&lt;/title&gt;&lt;secondary-title&gt;Biomedicines&lt;/secondary-title&gt;&lt;/titles&gt;&lt;periodical&gt;&lt;full-title&gt;Biomedicines&lt;/full-title&gt;&lt;/periodical&gt;&lt;volume&gt;7&lt;/volume&gt;&lt;number&gt;2&lt;/number&gt;&lt;edition&gt;2019/06/20&lt;/edition&gt;&lt;keywords&gt;&lt;keyword&gt;anti-MOG syndrome&lt;/keyword&gt;&lt;keyword&gt;aquaporin 4-IgG&lt;/keyword&gt;&lt;keyword&gt;multiple sclerosis&lt;/keyword&gt;&lt;keyword&gt;myelin oligodendrocyte glycoprotein&lt;/keyword&gt;&lt;keyword&gt;neuromyelitis optica spectrum disorders&lt;/keyword&gt;&lt;/keywords&gt;&lt;dates&gt;&lt;year&gt;2019&lt;/year&gt;&lt;pub-dates&gt;&lt;date&gt;Jun 12&lt;/date&gt;&lt;/pub-dates&gt;&lt;/dates&gt;&lt;isbn&gt;2227-9059 (Print)&amp;#xD;2227-9059 (Linking)&lt;/isbn&gt;&lt;accession-num&gt;31212763&lt;/accession-num&gt;&lt;urls&gt;&lt;related-urls&gt;&lt;url&gt;https://www.ncbi.nlm.nih.gov/pubmed/31212763&lt;/url&gt;&lt;url&gt;https://res.mdpi.com/d_attachment/biomedicines/biomedicines-07-00042/article_deploy/biomedicines-07-00042.pdf&lt;/url&gt;&lt;/related-urls&gt;&lt;/urls&gt;&lt;custom2&gt;PMC6631227&lt;/custom2&gt;&lt;electronic-resource-num&gt;10.3390/biomedicines7020042&lt;/electronic-resource-num&gt;&lt;/record&gt;&lt;/Cite&gt;&lt;/EndNote&gt;</w:instrText>
      </w:r>
      <w:r w:rsidR="00156621">
        <w:fldChar w:fldCharType="separate"/>
      </w:r>
      <w:r w:rsidR="00156621">
        <w:rPr>
          <w:noProof/>
        </w:rPr>
        <w:t>(Lana-Peixoto &amp; Talim 2019)</w:t>
      </w:r>
      <w:r w:rsidR="00156621">
        <w:fldChar w:fldCharType="end"/>
      </w:r>
      <w:r>
        <w:t xml:space="preserve">. High-dose intravenous corticosteroids (such as intravenous methylprednisolone (IVMP)), </w:t>
      </w:r>
      <w:r w:rsidRPr="0028436B">
        <w:t>plasmapheresis (PLEX)</w:t>
      </w:r>
      <w:r>
        <w:t xml:space="preserve"> and</w:t>
      </w:r>
      <w:r w:rsidRPr="0028436B">
        <w:t xml:space="preserve"> intravenous immunoglobulin (IVIG) </w:t>
      </w:r>
      <w:r>
        <w:t xml:space="preserve">are the main treatments for acute relapses </w:t>
      </w:r>
      <w:r w:rsidRPr="0028436B">
        <w:fldChar w:fldCharType="begin">
          <w:fldData xml:space="preserve">PEVuZE5vdGU+PENpdGU+PEF1dGhvcj5UcmVic3Q8L0F1dGhvcj48WWVhcj4yMDE0PC9ZZWFyPjxS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=
</w:fldData>
        </w:fldChar>
      </w:r>
      <w:r w:rsidR="0087595F">
        <w:instrText xml:space="preserve"> ADDIN EN.CITE </w:instrText>
      </w:r>
      <w:r w:rsidR="0087595F">
        <w:fldChar w:fldCharType="begin">
          <w:fldData xml:space="preserve">PEVuZE5vdGU+PENpdGU+PEF1dGhvcj5UcmVic3Q8L0F1dGhvcj48WWVhcj4yMDE0PC9ZZWFyPjxS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=
</w:fldData>
        </w:fldChar>
      </w:r>
      <w:r w:rsidR="0087595F">
        <w:instrText xml:space="preserve"> ADDIN EN.CITE.DATA </w:instrText>
      </w:r>
      <w:r w:rsidR="0087595F">
        <w:fldChar w:fldCharType="end"/>
      </w:r>
      <w:r w:rsidRPr="0028436B">
        <w:fldChar w:fldCharType="separate"/>
      </w:r>
      <w:r w:rsidR="00126162">
        <w:rPr>
          <w:noProof/>
        </w:rPr>
        <w:t>(Borisow et al. 2018; Trebst et al. 2014; Wynford-Thomas, Jacob &amp; Tomassini 2019)</w:t>
      </w:r>
      <w:r w:rsidRPr="0028436B">
        <w:fldChar w:fldCharType="end"/>
      </w:r>
      <w:r w:rsidRPr="0028436B">
        <w:t xml:space="preserve">. </w:t>
      </w:r>
    </w:p>
    <w:p w14:paraId="02F5CE90" w14:textId="0D924075" w:rsidR="003C2336" w:rsidRPr="0028436B" w:rsidRDefault="007A28F1" w:rsidP="007A28F1">
      <w:r w:rsidRPr="0028436B">
        <w:t>Due to lack of clinical evidence around treatment for MOG-Ab NMOSD, current treatment protocols tend to follow those for</w:t>
      </w:r>
      <w:r>
        <w:t xml:space="preserve"> AQP4-Ab</w:t>
      </w:r>
      <w:r w:rsidRPr="0028436B">
        <w:t xml:space="preserve"> NMOSD </w:t>
      </w:r>
      <w:r w:rsidR="00156621">
        <w:fldChar w:fldCharType="begin">
          <w:fldData xml:space="preserve">PEVuZE5vdGU+PENpdGU+PEF1dGhvcj5MYW5hLVBlaXhvdG88L0F1dGhvcj48WWVhcj4yMDE5PC9Z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</w:fldData>
        </w:fldChar>
      </w:r>
      <w:r w:rsidR="00B956DB">
        <w:instrText xml:space="preserve"> ADDIN EN.CITE </w:instrText>
      </w:r>
      <w:r w:rsidR="00B956DB">
        <w:fldChar w:fldCharType="begin">
          <w:fldData xml:space="preserve">PEVuZE5vdGU+PENpdGU+PEF1dGhvcj5MYW5hLVBlaXhvdG88L0F1dGhvcj48WWVhcj4yMDE5PC9Z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</w:fldData>
        </w:fldChar>
      </w:r>
      <w:r w:rsidR="00B956DB">
        <w:instrText xml:space="preserve"> ADDIN EN.CITE.DATA </w:instrText>
      </w:r>
      <w:r w:rsidR="00B956DB">
        <w:fldChar w:fldCharType="end"/>
      </w:r>
      <w:r w:rsidR="00156621">
        <w:fldChar w:fldCharType="separate"/>
      </w:r>
      <w:r w:rsidR="00B956DB">
        <w:rPr>
          <w:noProof/>
        </w:rPr>
        <w:t>(Illes Z 2016; Lana-Peixoto &amp; Talim 2019; Wynford-Thomas, Jacob &amp; Tomassini 2019)</w:t>
      </w:r>
      <w:r w:rsidR="00156621">
        <w:fldChar w:fldCharType="end"/>
      </w:r>
      <w:r w:rsidR="00D643C9">
        <w:t>.</w:t>
      </w:r>
    </w:p>
    <w:p w14:paraId="2B0214A7" w14:textId="77777777" w:rsidR="00BE08AB" w:rsidRDefault="00BE08AB" w:rsidP="00BE08AB"/>
    <w:p w14:paraId="09DF06D6" w14:textId="346BD04F" w:rsidR="00BE08AB" w:rsidRPr="00BE08AB" w:rsidRDefault="005609A2" w:rsidP="00BE08AB">
      <w:pPr>
        <w:spacing w:after="200" w:line="276" w:lineRule="auto"/>
        <w:jc w:val="left"/>
        <w:rPr>
          <w:rFonts w:eastAsia="Calibri" w:cs="Times New Roman"/>
          <w:lang w:eastAsia="en-US"/>
        </w:rPr>
      </w:pPr>
      <w:r w:rsidRPr="00BE08AB">
        <w:rPr>
          <w:rFonts w:eastAsia="Calibri" w:cs="Times New Roman"/>
          <w:lang w:eastAsia="en-US"/>
        </w:rPr>
        <w:object w:dxaOrig="10425" w:dyaOrig="11175" w14:anchorId="7450B728">
          <v:shape id="_x0000_i1026" type="#_x0000_t75" alt="Figure 5 Algorithm for current clinical management of suspected NMOSD patients with sequential AQP4-Ab and MOG-Ab testing" style="width:465.75pt;height:498.75pt" o:ole="">
            <v:imagedata r:id="rId28" o:title=""/>
          </v:shape>
          <o:OLEObject Type="Embed" ProgID="Visio.Drawing.15" ShapeID="_x0000_i1026" DrawAspect="Content" ObjectID="_1690285154" r:id="rId29"/>
        </w:object>
      </w:r>
    </w:p>
    <w:p w14:paraId="4C15E61B" w14:textId="2D58BD38" w:rsidR="00BE08AB" w:rsidRPr="00BE08AB" w:rsidRDefault="00BE08AB" w:rsidP="00A87AE2">
      <w:pPr>
        <w:pStyle w:val="TableHeading"/>
      </w:pPr>
      <w:bookmarkStart w:id="135" w:name="_Ref21605138"/>
      <w:bookmarkStart w:id="136" w:name="_Toc79672135"/>
      <w:r w:rsidRPr="00BE08AB">
        <w:t xml:space="preserve">Figure </w:t>
      </w:r>
      <w:r w:rsidRPr="00BE08AB">
        <w:fldChar w:fldCharType="begin"/>
      </w:r>
      <w:r w:rsidRPr="00BE08AB">
        <w:instrText xml:space="preserve"> SEQ Figure \* ARABIC </w:instrText>
      </w:r>
      <w:r w:rsidRPr="00BE08AB">
        <w:fldChar w:fldCharType="separate"/>
      </w:r>
      <w:r w:rsidR="004B21EF">
        <w:rPr>
          <w:noProof/>
        </w:rPr>
        <w:t>4</w:t>
      </w:r>
      <w:r w:rsidRPr="00BE08AB">
        <w:fldChar w:fldCharType="end"/>
      </w:r>
      <w:bookmarkEnd w:id="135"/>
      <w:r w:rsidR="00590F2A">
        <w:tab/>
      </w:r>
      <w:r w:rsidRPr="00BE08AB">
        <w:t xml:space="preserve">Algorithm for current clinical management of suspected NMOSD patients with </w:t>
      </w:r>
      <w:r w:rsidRPr="00BE08AB">
        <w:rPr>
          <w:u w:val="single"/>
        </w:rPr>
        <w:t>sequential</w:t>
      </w:r>
      <w:r w:rsidRPr="00BE08AB">
        <w:t xml:space="preserve"> AQP4-Ab and MOG-Ab testing</w:t>
      </w:r>
      <w:bookmarkEnd w:id="136"/>
    </w:p>
    <w:p w14:paraId="7F2973A5" w14:textId="77777777" w:rsidR="00BE08AB" w:rsidRPr="00BE08AB" w:rsidRDefault="00BE08AB" w:rsidP="00BE08AB">
      <w:pPr>
        <w:widowControl w:val="0"/>
        <w:spacing w:after="120" w:line="240" w:lineRule="auto"/>
        <w:contextualSpacing/>
        <w:jc w:val="left"/>
        <w:rPr>
          <w:rFonts w:ascii="Arial Narrow" w:hAnsi="Arial Narrow" w:cs="Arial"/>
          <w:snapToGrid w:val="0"/>
          <w:sz w:val="18"/>
          <w:szCs w:val="20"/>
          <w:lang w:val="en-GB" w:eastAsia="ja-JP"/>
        </w:rPr>
      </w:pPr>
      <w:r w:rsidRPr="00BE08AB">
        <w:rPr>
          <w:rFonts w:ascii="Arial Narrow" w:hAnsi="Arial Narrow" w:cs="Arial"/>
          <w:snapToGrid w:val="0"/>
          <w:sz w:val="18"/>
          <w:szCs w:val="20"/>
          <w:lang w:eastAsia="en-US"/>
        </w:rPr>
        <w:t>AQP4-Ab = aquaporin-4 antibody; CSF = cerebrospinal fluid; IgG = immunoglobulin G; MARD = myelin oligodendrocyte glycoprotein antibody related disorder; MOG-Ab = myelin oligodendrocyte glycoprotein antibody; MRI = magnetic resonance imaging; MS = multiple sclerosis; NMOSD=neuromyelitis optica spectrum disorders; OCB =oligoclonal bands</w:t>
      </w:r>
    </w:p>
    <w:p w14:paraId="744678F9" w14:textId="707AA861" w:rsidR="00BE08AB" w:rsidRPr="00BE08AB" w:rsidRDefault="00BE08AB" w:rsidP="00BE08AB">
      <w:pPr>
        <w:widowControl w:val="0"/>
        <w:spacing w:after="120" w:line="240" w:lineRule="auto"/>
        <w:contextualSpacing/>
        <w:jc w:val="left"/>
        <w:rPr>
          <w:rFonts w:ascii="Arial Narrow" w:hAnsi="Arial Narrow" w:cs="Arial"/>
          <w:snapToGrid w:val="0"/>
          <w:sz w:val="18"/>
          <w:szCs w:val="20"/>
          <w:lang w:eastAsia="en-US"/>
        </w:rPr>
      </w:pPr>
      <w:r w:rsidRPr="00BE08AB">
        <w:rPr>
          <w:rFonts w:ascii="Arial Narrow" w:hAnsi="Arial Narrow" w:cs="Arial"/>
          <w:snapToGrid w:val="0"/>
          <w:sz w:val="18"/>
          <w:szCs w:val="20"/>
          <w:vertAlign w:val="superscript"/>
          <w:lang w:eastAsia="en-US"/>
        </w:rPr>
        <w:t>a</w:t>
      </w:r>
      <w:r w:rsidRPr="00BE08AB">
        <w:rPr>
          <w:rFonts w:ascii="Arial Narrow" w:hAnsi="Arial Narrow" w:cs="Arial"/>
          <w:snapToGrid w:val="0"/>
          <w:sz w:val="18"/>
          <w:szCs w:val="20"/>
          <w:lang w:eastAsia="en-US"/>
        </w:rPr>
        <w:t xml:space="preserve"> See </w:t>
      </w:r>
      <w:r w:rsidRPr="00BE08AB">
        <w:rPr>
          <w:rFonts w:ascii="Arial Narrow" w:hAnsi="Arial Narrow" w:cs="Arial"/>
          <w:snapToGrid w:val="0"/>
          <w:sz w:val="18"/>
          <w:szCs w:val="20"/>
          <w:lang w:eastAsia="en-US"/>
        </w:rPr>
        <w:fldChar w:fldCharType="begin"/>
      </w:r>
      <w:r w:rsidRPr="00BE08AB">
        <w:rPr>
          <w:rFonts w:ascii="Arial Narrow" w:hAnsi="Arial Narrow" w:cs="Arial"/>
          <w:snapToGrid w:val="0"/>
          <w:sz w:val="18"/>
          <w:szCs w:val="20"/>
          <w:lang w:eastAsia="en-US"/>
        </w:rPr>
        <w:instrText xml:space="preserve"> REF _Ref23241000 \h </w:instrText>
      </w:r>
      <w:r w:rsidR="00E95429">
        <w:rPr>
          <w:rFonts w:ascii="Arial Narrow" w:hAnsi="Arial Narrow" w:cs="Arial"/>
          <w:snapToGrid w:val="0"/>
          <w:sz w:val="18"/>
          <w:szCs w:val="20"/>
          <w:lang w:eastAsia="en-US"/>
        </w:rPr>
        <w:instrText xml:space="preserve"> \* MERGEFORMAT </w:instrText>
      </w:r>
      <w:r w:rsidRPr="00BE08AB">
        <w:rPr>
          <w:rFonts w:ascii="Arial Narrow" w:hAnsi="Arial Narrow" w:cs="Arial"/>
          <w:snapToGrid w:val="0"/>
          <w:sz w:val="18"/>
          <w:szCs w:val="20"/>
          <w:lang w:eastAsia="en-US"/>
        </w:rPr>
      </w:r>
      <w:r w:rsidRPr="00BE08AB">
        <w:rPr>
          <w:rFonts w:ascii="Arial Narrow" w:hAnsi="Arial Narrow" w:cs="Arial"/>
          <w:snapToGrid w:val="0"/>
          <w:sz w:val="18"/>
          <w:szCs w:val="20"/>
          <w:lang w:eastAsia="en-US"/>
        </w:rPr>
        <w:fldChar w:fldCharType="separate"/>
      </w:r>
      <w:r w:rsidR="004B21EF" w:rsidRPr="004B21EF">
        <w:rPr>
          <w:rFonts w:ascii="Arial Narrow" w:hAnsi="Arial Narrow" w:cs="Arial"/>
          <w:snapToGrid w:val="0"/>
          <w:sz w:val="18"/>
          <w:szCs w:val="20"/>
          <w:lang w:eastAsia="en-US"/>
        </w:rPr>
        <w:t>Table 107</w:t>
      </w:r>
      <w:r w:rsidRPr="00BE08AB">
        <w:rPr>
          <w:rFonts w:ascii="Arial Narrow" w:hAnsi="Arial Narrow" w:cs="Arial"/>
          <w:snapToGrid w:val="0"/>
          <w:sz w:val="18"/>
          <w:szCs w:val="20"/>
          <w:lang w:eastAsia="en-US"/>
        </w:rPr>
        <w:fldChar w:fldCharType="end"/>
      </w:r>
      <w:r w:rsidRPr="00BE08AB">
        <w:rPr>
          <w:rFonts w:ascii="Arial Narrow" w:hAnsi="Arial Narrow" w:cs="Arial"/>
          <w:snapToGrid w:val="0"/>
          <w:sz w:val="18"/>
          <w:szCs w:val="20"/>
          <w:lang w:eastAsia="en-US"/>
        </w:rPr>
        <w:t xml:space="preserve"> for diagnostic criteria from Wingerchuk et al</w:t>
      </w:r>
      <w:r w:rsidR="000848F9">
        <w:rPr>
          <w:rFonts w:ascii="Arial Narrow" w:hAnsi="Arial Narrow" w:cs="Arial"/>
          <w:snapToGrid w:val="0"/>
          <w:sz w:val="18"/>
          <w:szCs w:val="20"/>
          <w:lang w:eastAsia="en-US"/>
        </w:rPr>
        <w:t>.</w:t>
      </w:r>
      <w:r w:rsidRPr="00BE08AB">
        <w:rPr>
          <w:rFonts w:ascii="Arial Narrow" w:hAnsi="Arial Narrow" w:cs="Arial"/>
          <w:snapToGrid w:val="0"/>
          <w:sz w:val="18"/>
          <w:szCs w:val="20"/>
          <w:lang w:eastAsia="en-US"/>
        </w:rPr>
        <w:t xml:space="preserve"> 2015</w:t>
      </w:r>
    </w:p>
    <w:p w14:paraId="4E9BE85C" w14:textId="77777777" w:rsidR="00BE08AB" w:rsidRDefault="00BE08AB" w:rsidP="00BE08AB"/>
    <w:p w14:paraId="4E2DEDA8" w14:textId="77777777" w:rsidR="00BE08AB" w:rsidRDefault="00BE08AB" w:rsidP="00BE08AB"/>
    <w:p w14:paraId="530336DF" w14:textId="4C58FA93" w:rsidR="00BE08AB" w:rsidRPr="00BE08AB" w:rsidRDefault="005609A2" w:rsidP="00BE08AB">
      <w:pPr>
        <w:spacing w:after="200" w:line="276" w:lineRule="auto"/>
        <w:jc w:val="left"/>
        <w:rPr>
          <w:rFonts w:eastAsia="Calibri" w:cs="Times New Roman"/>
          <w:lang w:eastAsia="en-US"/>
        </w:rPr>
      </w:pPr>
      <w:r w:rsidRPr="00BE08AB">
        <w:rPr>
          <w:rFonts w:eastAsia="Calibri" w:cs="Times New Roman"/>
          <w:lang w:eastAsia="en-US"/>
        </w:rPr>
        <w:object w:dxaOrig="10995" w:dyaOrig="9600" w14:anchorId="578F6E91">
          <v:shape id="_x0000_i1027" type="#_x0000_t75" alt="Figure 6 Algorithm for current clinical management of suspected NMOSD patients with concurrent AQP4-Ab and MOG-Ab testing" style="width:502.5pt;height:439.5pt" o:ole="">
            <v:imagedata r:id="rId30" o:title=""/>
          </v:shape>
          <o:OLEObject Type="Embed" ProgID="Visio.Drawing.15" ShapeID="_x0000_i1027" DrawAspect="Content" ObjectID="_1690285155" r:id="rId31"/>
        </w:object>
      </w:r>
    </w:p>
    <w:p w14:paraId="3D5CF7FB" w14:textId="680018DC" w:rsidR="00BE08AB" w:rsidRPr="00BE08AB" w:rsidRDefault="00BE08AB" w:rsidP="00A87AE2">
      <w:pPr>
        <w:pStyle w:val="TableHeading"/>
      </w:pPr>
      <w:bookmarkStart w:id="137" w:name="_Ref23158832"/>
      <w:bookmarkStart w:id="138" w:name="_Toc79672136"/>
      <w:r w:rsidRPr="00BE08AB">
        <w:t xml:space="preserve">Figure </w:t>
      </w:r>
      <w:r w:rsidRPr="00BE08AB">
        <w:fldChar w:fldCharType="begin"/>
      </w:r>
      <w:r w:rsidRPr="00BE08AB">
        <w:instrText xml:space="preserve"> SEQ Figure \* ARABIC </w:instrText>
      </w:r>
      <w:r w:rsidRPr="00BE08AB">
        <w:fldChar w:fldCharType="separate"/>
      </w:r>
      <w:r w:rsidR="004B21EF">
        <w:rPr>
          <w:noProof/>
        </w:rPr>
        <w:t>5</w:t>
      </w:r>
      <w:r w:rsidRPr="00BE08AB">
        <w:fldChar w:fldCharType="end"/>
      </w:r>
      <w:bookmarkEnd w:id="137"/>
      <w:r w:rsidR="00590F2A">
        <w:tab/>
      </w:r>
      <w:r w:rsidRPr="00BE08AB">
        <w:t xml:space="preserve">Algorithm for current clinical management of suspected NMOSD patients with </w:t>
      </w:r>
      <w:r w:rsidRPr="00BE08AB">
        <w:rPr>
          <w:u w:val="single"/>
        </w:rPr>
        <w:t>concurrent</w:t>
      </w:r>
      <w:r w:rsidRPr="00BE08AB">
        <w:t xml:space="preserve"> AQP4-Ab and MOG-Ab testing</w:t>
      </w:r>
      <w:bookmarkEnd w:id="138"/>
    </w:p>
    <w:p w14:paraId="32A23266" w14:textId="77777777" w:rsidR="00BE08AB" w:rsidRPr="00BE08AB" w:rsidRDefault="00BE08AB" w:rsidP="00BE08AB">
      <w:pPr>
        <w:widowControl w:val="0"/>
        <w:spacing w:after="120" w:line="240" w:lineRule="auto"/>
        <w:contextualSpacing/>
        <w:jc w:val="left"/>
        <w:rPr>
          <w:rFonts w:ascii="Arial Narrow" w:hAnsi="Arial Narrow" w:cs="Arial"/>
          <w:snapToGrid w:val="0"/>
          <w:sz w:val="18"/>
          <w:szCs w:val="20"/>
          <w:lang w:val="en-GB" w:eastAsia="ja-JP"/>
        </w:rPr>
      </w:pPr>
      <w:r w:rsidRPr="00BE08AB">
        <w:rPr>
          <w:rFonts w:ascii="Arial Narrow" w:hAnsi="Arial Narrow" w:cs="Arial"/>
          <w:snapToGrid w:val="0"/>
          <w:sz w:val="18"/>
          <w:szCs w:val="20"/>
          <w:lang w:eastAsia="en-US"/>
        </w:rPr>
        <w:t>AQP4-Ab = aquaporin-4 antibody; CSF = cerebrospinal fluid; IgG = immunoglobulin G; MARD = myelin oligodendrocyte glycoprotein antibody related disorder; MOG-Ab = myelin oligodendrocyte glycoprotein antibody; MRI = magnetic resonance imaging; MS = multiple sclerosis; NMOSD=neuromyelitis optica spectrum disorders; OCB =oligoclonal bands</w:t>
      </w:r>
    </w:p>
    <w:p w14:paraId="13744135" w14:textId="1E564AEA" w:rsidR="00BE08AB" w:rsidRDefault="00BE08AB" w:rsidP="00BE08AB">
      <w:pPr>
        <w:widowControl w:val="0"/>
        <w:spacing w:after="120" w:line="240" w:lineRule="auto"/>
        <w:contextualSpacing/>
        <w:jc w:val="left"/>
        <w:rPr>
          <w:rFonts w:ascii="Arial Narrow" w:hAnsi="Arial Narrow" w:cs="Arial"/>
          <w:snapToGrid w:val="0"/>
          <w:sz w:val="18"/>
          <w:szCs w:val="20"/>
          <w:lang w:eastAsia="en-US"/>
        </w:rPr>
      </w:pPr>
      <w:r w:rsidRPr="00BE08AB">
        <w:rPr>
          <w:rFonts w:ascii="Arial Narrow" w:hAnsi="Arial Narrow" w:cs="Arial"/>
          <w:snapToGrid w:val="0"/>
          <w:sz w:val="18"/>
          <w:szCs w:val="20"/>
          <w:vertAlign w:val="superscript"/>
          <w:lang w:eastAsia="en-US"/>
        </w:rPr>
        <w:t xml:space="preserve">a </w:t>
      </w:r>
      <w:r w:rsidRPr="00BE08AB">
        <w:rPr>
          <w:rFonts w:ascii="Arial Narrow" w:hAnsi="Arial Narrow" w:cs="Arial"/>
          <w:snapToGrid w:val="0"/>
          <w:sz w:val="18"/>
          <w:szCs w:val="20"/>
          <w:lang w:eastAsia="en-US"/>
        </w:rPr>
        <w:t xml:space="preserve">See </w:t>
      </w:r>
      <w:r w:rsidRPr="00BE08AB">
        <w:rPr>
          <w:rFonts w:ascii="Arial Narrow" w:hAnsi="Arial Narrow" w:cs="Arial"/>
          <w:snapToGrid w:val="0"/>
          <w:sz w:val="18"/>
          <w:szCs w:val="20"/>
          <w:lang w:eastAsia="en-US"/>
        </w:rPr>
        <w:fldChar w:fldCharType="begin"/>
      </w:r>
      <w:r w:rsidRPr="00BE08AB">
        <w:rPr>
          <w:rFonts w:ascii="Arial Narrow" w:hAnsi="Arial Narrow" w:cs="Arial"/>
          <w:snapToGrid w:val="0"/>
          <w:sz w:val="18"/>
          <w:szCs w:val="20"/>
          <w:lang w:eastAsia="en-US"/>
        </w:rPr>
        <w:instrText xml:space="preserve"> REF _Ref23241000 \h </w:instrText>
      </w:r>
      <w:r w:rsidR="00E95429">
        <w:rPr>
          <w:rFonts w:ascii="Arial Narrow" w:hAnsi="Arial Narrow" w:cs="Arial"/>
          <w:snapToGrid w:val="0"/>
          <w:sz w:val="18"/>
          <w:szCs w:val="20"/>
          <w:lang w:eastAsia="en-US"/>
        </w:rPr>
        <w:instrText xml:space="preserve"> \* MERGEFORMAT </w:instrText>
      </w:r>
      <w:r w:rsidRPr="00BE08AB">
        <w:rPr>
          <w:rFonts w:ascii="Arial Narrow" w:hAnsi="Arial Narrow" w:cs="Arial"/>
          <w:snapToGrid w:val="0"/>
          <w:sz w:val="18"/>
          <w:szCs w:val="20"/>
          <w:lang w:eastAsia="en-US"/>
        </w:rPr>
      </w:r>
      <w:r w:rsidRPr="00BE08AB">
        <w:rPr>
          <w:rFonts w:ascii="Arial Narrow" w:hAnsi="Arial Narrow" w:cs="Arial"/>
          <w:snapToGrid w:val="0"/>
          <w:sz w:val="18"/>
          <w:szCs w:val="20"/>
          <w:lang w:eastAsia="en-US"/>
        </w:rPr>
        <w:fldChar w:fldCharType="separate"/>
      </w:r>
      <w:r w:rsidR="004B21EF" w:rsidRPr="004B21EF">
        <w:rPr>
          <w:rFonts w:ascii="Arial Narrow" w:hAnsi="Arial Narrow" w:cs="Arial"/>
          <w:snapToGrid w:val="0"/>
          <w:sz w:val="18"/>
          <w:szCs w:val="20"/>
          <w:lang w:eastAsia="en-US"/>
        </w:rPr>
        <w:t>Table 107</w:t>
      </w:r>
      <w:r w:rsidRPr="00BE08AB">
        <w:rPr>
          <w:rFonts w:ascii="Arial Narrow" w:hAnsi="Arial Narrow" w:cs="Arial"/>
          <w:snapToGrid w:val="0"/>
          <w:sz w:val="18"/>
          <w:szCs w:val="20"/>
          <w:lang w:eastAsia="en-US"/>
        </w:rPr>
        <w:fldChar w:fldCharType="end"/>
      </w:r>
      <w:r w:rsidRPr="00BE08AB">
        <w:rPr>
          <w:rFonts w:ascii="Arial Narrow" w:hAnsi="Arial Narrow" w:cs="Arial"/>
          <w:snapToGrid w:val="0"/>
          <w:sz w:val="18"/>
          <w:szCs w:val="20"/>
          <w:lang w:eastAsia="en-US"/>
        </w:rPr>
        <w:t xml:space="preserve"> for diagnostic</w:t>
      </w:r>
      <w:r w:rsidR="00801FD1">
        <w:rPr>
          <w:rFonts w:ascii="Arial Narrow" w:hAnsi="Arial Narrow" w:cs="Arial"/>
          <w:snapToGrid w:val="0"/>
          <w:sz w:val="18"/>
          <w:szCs w:val="20"/>
          <w:lang w:eastAsia="en-US"/>
        </w:rPr>
        <w:t xml:space="preserve"> criteria from Wingerchuk et al.</w:t>
      </w:r>
      <w:r w:rsidRPr="00BE08AB">
        <w:rPr>
          <w:rFonts w:ascii="Arial Narrow" w:hAnsi="Arial Narrow" w:cs="Arial"/>
          <w:snapToGrid w:val="0"/>
          <w:sz w:val="18"/>
          <w:szCs w:val="20"/>
          <w:lang w:eastAsia="en-US"/>
        </w:rPr>
        <w:t xml:space="preserve"> 2015</w:t>
      </w:r>
    </w:p>
    <w:p w14:paraId="6DF65309" w14:textId="77777777" w:rsidR="00A9337B" w:rsidRPr="00BE08AB" w:rsidRDefault="00A9337B" w:rsidP="00BE08AB">
      <w:pPr>
        <w:widowControl w:val="0"/>
        <w:spacing w:after="120" w:line="240" w:lineRule="auto"/>
        <w:contextualSpacing/>
        <w:jc w:val="left"/>
        <w:rPr>
          <w:rFonts w:ascii="Arial Narrow" w:hAnsi="Arial Narrow" w:cs="Arial"/>
          <w:snapToGrid w:val="0"/>
          <w:sz w:val="18"/>
          <w:szCs w:val="20"/>
          <w:lang w:eastAsia="en-US"/>
        </w:rPr>
      </w:pPr>
    </w:p>
    <w:p w14:paraId="1DDC76BC" w14:textId="77777777" w:rsidR="00BE08AB" w:rsidRPr="00BE08AB" w:rsidRDefault="00BE08AB" w:rsidP="00BE08AB"/>
    <w:p w14:paraId="2DC3C485" w14:textId="77777777" w:rsidR="00ED65EE" w:rsidRPr="00183E4D" w:rsidRDefault="00ED65EE" w:rsidP="00B27F54">
      <w:pPr>
        <w:pStyle w:val="Heading2"/>
        <w:numPr>
          <w:ilvl w:val="0"/>
          <w:numId w:val="8"/>
        </w:numPr>
      </w:pPr>
      <w:bookmarkStart w:id="139" w:name="_Toc39588274"/>
      <w:r w:rsidRPr="00183E4D">
        <w:t>Key Differences in the Proposed Medical Service and the Main Comparator</w:t>
      </w:r>
      <w:bookmarkEnd w:id="139"/>
      <w:r w:rsidRPr="00183E4D">
        <w:t xml:space="preserve"> </w:t>
      </w:r>
    </w:p>
    <w:p w14:paraId="4A56DAF6" w14:textId="1954EEE1" w:rsidR="002C589D" w:rsidRPr="002C589D" w:rsidRDefault="002C589D" w:rsidP="002C589D">
      <w:r w:rsidRPr="002C589D">
        <w:t xml:space="preserve">The main difference between the proposed medical service (current testing and diagnosis) and comparator (historical diagnosis) is AQP4-Ab testing. According to the current international clinical recommendations </w:t>
      </w:r>
      <w:r w:rsidR="00156621">
        <w:fldChar w:fldCharType="begin"/>
      </w:r>
      <w:r w:rsidR="00646E7C">
        <w:instrText xml:space="preserve"> ADDIN EN.CITE &lt;EndNote&gt;&lt;Cite&gt;&lt;Author&gt;Wingerchuk&lt;/Author&gt;&lt;Year&gt;2015&lt;/Year&gt;&lt;RecNum&gt;35&lt;/RecNum&gt;&lt;DisplayText&gt;(Wingerchuk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fldChar w:fldCharType="separate"/>
      </w:r>
      <w:r w:rsidR="00646E7C">
        <w:rPr>
          <w:noProof/>
        </w:rPr>
        <w:t>(Wingerchuk et al. 2015)</w:t>
      </w:r>
      <w:r w:rsidR="00156621">
        <w:fldChar w:fldCharType="end"/>
      </w:r>
      <w:r w:rsidRPr="002C589D">
        <w:t xml:space="preserve">, AQP4-Ab testing should be included in the diagnostic pathway for NMOSD. Historically, diagnosis was based on clinical characteristics alone, and required sufficient development of symptoms to make a definitive diagnosis. Because of the shorter time </w:t>
      </w:r>
      <w:r w:rsidR="0032257A">
        <w:t>taken</w:t>
      </w:r>
      <w:r w:rsidRPr="002C589D">
        <w:t xml:space="preserve"> to reach a diagnosis with antibody testing, the severity of symptoms can be ameliorated with </w:t>
      </w:r>
      <w:r w:rsidRPr="002C589D">
        <w:lastRenderedPageBreak/>
        <w:t xml:space="preserve">appropriate treatments. Early treatment may also lead to reduced relapse, and better overall health outcomes for NMOSD patients, who are otherwise at risk of accumulating severe disabilities over time. </w:t>
      </w:r>
    </w:p>
    <w:p w14:paraId="011AF580" w14:textId="77777777" w:rsidR="002C589D" w:rsidRPr="002C589D" w:rsidRDefault="002C589D" w:rsidP="002C589D">
      <w:r w:rsidRPr="002C589D">
        <w:t xml:space="preserve">Clinical input has advised that in the current diagnostic scenario, for those testing negative for AQP4-Ab, MOG-Ab testing should be performed. This test can provide a definitive diagnosis in a proportion of AQP4-Ab negative patients, thereby reducing the number of patients waiting on the development of further symptoms to provide a clear disease pathway. </w:t>
      </w:r>
    </w:p>
    <w:p w14:paraId="0248D2B8" w14:textId="77777777" w:rsidR="002C589D" w:rsidRDefault="002C589D" w:rsidP="002C589D">
      <w:r w:rsidRPr="002C589D">
        <w:t xml:space="preserve">In the historical scenario, NMOSD patients were likely to have been treated as though they had a diagnosis of non-classical MS. Evidence in the published literature shows that some MS treatments are not effective and may even be </w:t>
      </w:r>
      <w:r w:rsidR="0032257A">
        <w:t>harmful</w:t>
      </w:r>
      <w:r w:rsidRPr="002C589D">
        <w:t xml:space="preserve"> in NMOSD patients, and it is therefore preferential that a differential diagnosis be made as early as possible.</w:t>
      </w:r>
    </w:p>
    <w:p w14:paraId="3EC89E8F" w14:textId="77777777" w:rsidR="006250F4" w:rsidRPr="002C589D" w:rsidRDefault="006250F4" w:rsidP="002C589D"/>
    <w:p w14:paraId="31779E64" w14:textId="77777777" w:rsidR="00ED65EE" w:rsidRPr="00183E4D" w:rsidRDefault="00ED65EE" w:rsidP="00B27F54">
      <w:pPr>
        <w:pStyle w:val="Heading2"/>
        <w:numPr>
          <w:ilvl w:val="0"/>
          <w:numId w:val="8"/>
        </w:numPr>
      </w:pPr>
      <w:bookmarkStart w:id="140" w:name="_Toc39588275"/>
      <w:r w:rsidRPr="00183E4D">
        <w:t>Clinical Claim</w:t>
      </w:r>
      <w:bookmarkEnd w:id="140"/>
    </w:p>
    <w:p w14:paraId="550423AA" w14:textId="77777777" w:rsidR="00E2780E" w:rsidRDefault="00E2780E" w:rsidP="00A359A0">
      <w:r>
        <w:t>The Applicant has not submitted a clinical claim.</w:t>
      </w:r>
    </w:p>
    <w:p w14:paraId="1AD91996" w14:textId="77777777" w:rsidR="006250F4" w:rsidRDefault="006250F4" w:rsidP="00A359A0"/>
    <w:p w14:paraId="15B74764" w14:textId="39475E16" w:rsidR="00ED65EE" w:rsidRPr="00183E4D" w:rsidRDefault="00ED65EE" w:rsidP="00B27F54">
      <w:pPr>
        <w:pStyle w:val="Heading2"/>
        <w:numPr>
          <w:ilvl w:val="0"/>
          <w:numId w:val="8"/>
        </w:numPr>
      </w:pPr>
      <w:bookmarkStart w:id="141" w:name="_Toc39588276"/>
      <w:bookmarkEnd w:id="118"/>
      <w:bookmarkEnd w:id="119"/>
      <w:r>
        <w:t>Summary of the PICO</w:t>
      </w:r>
      <w:bookmarkEnd w:id="141"/>
    </w:p>
    <w:p w14:paraId="333A8E23" w14:textId="77777777" w:rsidR="002C589D" w:rsidRPr="002C589D" w:rsidRDefault="002C589D" w:rsidP="002C589D">
      <w:pPr>
        <w:spacing w:before="240"/>
      </w:pPr>
      <w:r w:rsidRPr="002C589D">
        <w:t xml:space="preserve">The guiding framework of a PICO Confirmation is recommended by MSAC for each assessment. The PICO Confirmation describes current clinical practice and reflects the likely future practice with the proposed medical service. </w:t>
      </w:r>
    </w:p>
    <w:p w14:paraId="686BA124" w14:textId="77777777" w:rsidR="002C589D" w:rsidRPr="002C589D" w:rsidRDefault="002C589D" w:rsidP="002C589D">
      <w:pPr>
        <w:spacing w:before="240"/>
      </w:pPr>
      <w:r w:rsidRPr="002C589D">
        <w:t xml:space="preserve">The PPICO that were pre-specified to guide the systematic literature review for direct evidence are presented </w:t>
      </w:r>
      <w:r w:rsidRPr="002C589D">
        <w:rPr>
          <w:sz w:val="24"/>
        </w:rPr>
        <w:t xml:space="preserve">in </w:t>
      </w:r>
      <w:r w:rsidRPr="002C589D">
        <w:fldChar w:fldCharType="begin"/>
      </w:r>
      <w:r w:rsidRPr="002C589D">
        <w:rPr>
          <w:sz w:val="24"/>
        </w:rPr>
        <w:instrText xml:space="preserve"> REF _Ref395200496 \h </w:instrText>
      </w:r>
      <w:r w:rsidRPr="002C589D">
        <w:fldChar w:fldCharType="separate"/>
      </w:r>
      <w:r w:rsidR="0014371E">
        <w:t xml:space="preserve">Box </w:t>
      </w:r>
      <w:r w:rsidR="0014371E">
        <w:rPr>
          <w:noProof/>
        </w:rPr>
        <w:t>1</w:t>
      </w:r>
      <w:r w:rsidRPr="002C589D">
        <w:fldChar w:fldCharType="end"/>
      </w:r>
      <w:r w:rsidRPr="002C589D">
        <w:t>.</w:t>
      </w:r>
    </w:p>
    <w:p w14:paraId="0411C669" w14:textId="1D667AB1" w:rsidR="002C589D" w:rsidRPr="002C589D" w:rsidRDefault="002C589D" w:rsidP="002C589D">
      <w:pPr>
        <w:spacing w:before="240"/>
      </w:pPr>
      <w:r w:rsidRPr="002C589D">
        <w:t xml:space="preserve">A linked evidence approach </w:t>
      </w:r>
      <w:r w:rsidR="00E636C0">
        <w:t>is</w:t>
      </w:r>
      <w:r w:rsidRPr="002C589D">
        <w:t xml:space="preserve"> used where direct trial evidence of clinical effectiveness of a test is not available, or is inadequate for decision making purposes. An explanation of the linked evidence approach can be found in Section B.2.The PPICO criteria to guide the review for linked evidence are given in Boxes 2 to 4 in </w:t>
      </w:r>
      <w:r w:rsidR="00801FD1">
        <w:fldChar w:fldCharType="begin"/>
      </w:r>
      <w:r w:rsidR="00801FD1">
        <w:instrText xml:space="preserve"> REF _Ref30422443 \h </w:instrText>
      </w:r>
      <w:r w:rsidR="00801FD1">
        <w:fldChar w:fldCharType="separate"/>
      </w:r>
      <w:r w:rsidR="00801FD1" w:rsidRPr="00183E4D">
        <w:t xml:space="preserve">Appendix </w:t>
      </w:r>
      <w:r w:rsidR="00801FD1">
        <w:rPr>
          <w:noProof/>
        </w:rPr>
        <w:t>G</w:t>
      </w:r>
      <w:r w:rsidR="00801FD1">
        <w:fldChar w:fldCharType="end"/>
      </w:r>
      <w:r w:rsidR="00801FD1">
        <w:t>.</w:t>
      </w:r>
    </w:p>
    <w:p w14:paraId="38F565F0" w14:textId="77777777" w:rsidR="00ED65EE" w:rsidRPr="00183E4D" w:rsidRDefault="00ED65EE" w:rsidP="00A9337B">
      <w:pPr>
        <w:pStyle w:val="Caption"/>
        <w:ind w:left="720" w:hanging="720"/>
      </w:pPr>
      <w:bookmarkStart w:id="142" w:name="_Ref395200496"/>
      <w:bookmarkStart w:id="143" w:name="_Toc393378291"/>
      <w:bookmarkStart w:id="144" w:name="_Toc39580896"/>
      <w:r>
        <w:t xml:space="preserve">Box </w:t>
      </w:r>
      <w:r w:rsidR="00E66384">
        <w:rPr>
          <w:noProof/>
        </w:rPr>
        <w:fldChar w:fldCharType="begin"/>
      </w:r>
      <w:r w:rsidR="00E66384">
        <w:rPr>
          <w:noProof/>
        </w:rPr>
        <w:instrText xml:space="preserve"> SEQ Box \* ARABIC </w:instrText>
      </w:r>
      <w:r w:rsidR="00E66384">
        <w:rPr>
          <w:noProof/>
        </w:rPr>
        <w:fldChar w:fldCharType="separate"/>
      </w:r>
      <w:r w:rsidR="0014371E">
        <w:rPr>
          <w:noProof/>
        </w:rPr>
        <w:t>1</w:t>
      </w:r>
      <w:r w:rsidR="00E66384">
        <w:rPr>
          <w:noProof/>
        </w:rPr>
        <w:fldChar w:fldCharType="end"/>
      </w:r>
      <w:bookmarkEnd w:id="142"/>
      <w:r w:rsidRPr="00183E4D">
        <w:tab/>
        <w:t xml:space="preserve">Criteria for identifying and selecting studies to determine the safety </w:t>
      </w:r>
      <w:r w:rsidR="00A9337B">
        <w:t xml:space="preserve">and effectiveness </w:t>
      </w:r>
      <w:r w:rsidRPr="00183E4D">
        <w:t xml:space="preserve">of </w:t>
      </w:r>
      <w:r w:rsidR="00A9337B">
        <w:t>antibody testing</w:t>
      </w:r>
      <w:r w:rsidRPr="00183E4D">
        <w:t xml:space="preserve"> in patients </w:t>
      </w:r>
      <w:bookmarkEnd w:id="143"/>
      <w:r w:rsidR="00A9337B">
        <w:t>at risk of NMOSD</w:t>
      </w:r>
      <w:bookmarkEnd w:id="144"/>
    </w:p>
    <w:tbl>
      <w:tblPr>
        <w:tblStyle w:val="TableGrid1"/>
        <w:tblW w:w="5175" w:type="pct"/>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Caption w:val="Box 1 Criteria for identifying and selecting studies to determine the safety and effectiveness of antibody testing in patients at risk of NMOSD"/>
        <w:tblDescription w:val="Population, intervention, comparator and outcome criteria for identifying direct evidence in the systematic literature review."/>
      </w:tblPr>
      <w:tblGrid>
        <w:gridCol w:w="1267"/>
        <w:gridCol w:w="8062"/>
      </w:tblGrid>
      <w:tr w:rsidR="002C589D" w:rsidRPr="002C589D" w14:paraId="30400E37" w14:textId="77777777" w:rsidTr="00FC2669">
        <w:trPr>
          <w:cnfStyle w:val="100000000000" w:firstRow="1" w:lastRow="0" w:firstColumn="0" w:lastColumn="0" w:oddVBand="0" w:evenVBand="0" w:oddHBand="0" w:evenHBand="0" w:firstRowFirstColumn="0" w:firstRowLastColumn="0" w:lastRowFirstColumn="0" w:lastRowLastColumn="0"/>
          <w:trHeight w:val="313"/>
          <w:tblHeader/>
        </w:trPr>
        <w:tc>
          <w:tcPr>
            <w:tcW w:w="679" w:type="pct"/>
            <w:tcBorders>
              <w:top w:val="single" w:sz="8" w:space="0" w:color="auto"/>
              <w:bottom w:val="single" w:sz="8" w:space="0" w:color="auto"/>
              <w:right w:val="single" w:sz="4" w:space="0" w:color="auto"/>
            </w:tcBorders>
            <w:shd w:val="clear" w:color="auto" w:fill="D9D9D9"/>
          </w:tcPr>
          <w:p w14:paraId="39548014" w14:textId="77777777" w:rsidR="002C589D" w:rsidRPr="002C589D" w:rsidRDefault="002C589D" w:rsidP="002C589D">
            <w:pPr>
              <w:jc w:val="left"/>
              <w:rPr>
                <w:rFonts w:eastAsia="Calibri" w:cs="Times New Roman"/>
                <w:b/>
                <w:lang w:eastAsia="en-US"/>
              </w:rPr>
            </w:pPr>
            <w:r w:rsidRPr="002C589D">
              <w:rPr>
                <w:rFonts w:eastAsia="Calibri" w:cs="Times New Roman"/>
                <w:b/>
                <w:lang w:eastAsia="en-US"/>
              </w:rPr>
              <w:t>Component</w:t>
            </w:r>
          </w:p>
        </w:tc>
        <w:tc>
          <w:tcPr>
            <w:tcW w:w="4321" w:type="pct"/>
            <w:tcBorders>
              <w:top w:val="single" w:sz="4" w:space="0" w:color="auto"/>
              <w:left w:val="single" w:sz="4" w:space="0" w:color="auto"/>
              <w:bottom w:val="single" w:sz="4" w:space="0" w:color="auto"/>
              <w:right w:val="single" w:sz="4" w:space="0" w:color="auto"/>
            </w:tcBorders>
            <w:shd w:val="clear" w:color="auto" w:fill="D9D9D9"/>
          </w:tcPr>
          <w:p w14:paraId="79C25B93" w14:textId="77777777" w:rsidR="002C589D" w:rsidRPr="002C589D" w:rsidRDefault="002C589D" w:rsidP="002C589D">
            <w:pPr>
              <w:rPr>
                <w:rFonts w:eastAsia="Calibri" w:cs="Times New Roman"/>
                <w:b/>
                <w:lang w:eastAsia="en-US"/>
              </w:rPr>
            </w:pPr>
            <w:r w:rsidRPr="002C589D">
              <w:rPr>
                <w:rFonts w:eastAsia="Calibri" w:cs="Times New Roman"/>
                <w:b/>
                <w:lang w:eastAsia="en-US"/>
              </w:rPr>
              <w:t>Description</w:t>
            </w:r>
          </w:p>
        </w:tc>
      </w:tr>
      <w:tr w:rsidR="002C589D" w:rsidRPr="002C589D" w14:paraId="1027B29A" w14:textId="77777777" w:rsidTr="00FC2669">
        <w:trPr>
          <w:trHeight w:val="482"/>
        </w:trPr>
        <w:tc>
          <w:tcPr>
            <w:tcW w:w="679" w:type="pct"/>
            <w:tcBorders>
              <w:top w:val="single" w:sz="8" w:space="0" w:color="auto"/>
              <w:right w:val="single" w:sz="4" w:space="0" w:color="auto"/>
            </w:tcBorders>
          </w:tcPr>
          <w:p w14:paraId="246E188B" w14:textId="77777777" w:rsidR="002C589D" w:rsidRPr="002C589D" w:rsidRDefault="002C589D" w:rsidP="002C589D">
            <w:pPr>
              <w:jc w:val="left"/>
              <w:rPr>
                <w:rFonts w:eastAsia="Calibri" w:cs="Arial"/>
                <w:lang w:eastAsia="en-US"/>
              </w:rPr>
            </w:pPr>
            <w:r w:rsidRPr="002C589D">
              <w:rPr>
                <w:rFonts w:eastAsia="Calibri" w:cs="Arial"/>
                <w:lang w:eastAsia="en-US"/>
              </w:rPr>
              <w:t>Patients</w:t>
            </w:r>
          </w:p>
        </w:tc>
        <w:tc>
          <w:tcPr>
            <w:tcW w:w="4321" w:type="pct"/>
            <w:tcBorders>
              <w:top w:val="single" w:sz="4" w:space="0" w:color="auto"/>
              <w:left w:val="single" w:sz="4" w:space="0" w:color="auto"/>
              <w:bottom w:val="single" w:sz="4" w:space="0" w:color="auto"/>
              <w:right w:val="single" w:sz="4" w:space="0" w:color="auto"/>
            </w:tcBorders>
          </w:tcPr>
          <w:p w14:paraId="2EB047B1" w14:textId="77777777" w:rsidR="002C589D" w:rsidRPr="002C589D" w:rsidRDefault="002C589D" w:rsidP="003816F6">
            <w:pPr>
              <w:numPr>
                <w:ilvl w:val="0"/>
                <w:numId w:val="27"/>
              </w:numPr>
              <w:contextualSpacing/>
              <w:jc w:val="left"/>
              <w:rPr>
                <w:rFonts w:eastAsia="Calibri" w:cs="Times New Roman"/>
                <w:lang w:eastAsia="en-US"/>
              </w:rPr>
            </w:pPr>
            <w:r w:rsidRPr="002C589D">
              <w:rPr>
                <w:rFonts w:eastAsia="Calibri" w:cs="Times New Roman"/>
                <w:lang w:eastAsia="en-US"/>
              </w:rPr>
              <w:t xml:space="preserve">Patients suspected of having neuromyelitis optica spectrum disorder (NMOSD) e.g. those with: </w:t>
            </w:r>
          </w:p>
          <w:p w14:paraId="3BBB17CF" w14:textId="77777777" w:rsidR="002C589D" w:rsidRPr="002C589D" w:rsidRDefault="002C589D" w:rsidP="003816F6">
            <w:pPr>
              <w:numPr>
                <w:ilvl w:val="0"/>
                <w:numId w:val="26"/>
              </w:numPr>
              <w:contextualSpacing/>
              <w:jc w:val="left"/>
              <w:rPr>
                <w:rFonts w:eastAsia="Calibri" w:cs="Times New Roman"/>
                <w:lang w:eastAsia="en-US"/>
              </w:rPr>
            </w:pPr>
            <w:r w:rsidRPr="002C589D">
              <w:rPr>
                <w:rFonts w:eastAsia="Calibri" w:cs="Times New Roman"/>
                <w:lang w:eastAsia="en-US"/>
              </w:rPr>
              <w:t>Recurrent, bilateral or severe optic neuritis; or</w:t>
            </w:r>
          </w:p>
          <w:p w14:paraId="138D371E" w14:textId="77777777" w:rsidR="002C589D" w:rsidRPr="002C589D" w:rsidRDefault="002C589D" w:rsidP="003816F6">
            <w:pPr>
              <w:numPr>
                <w:ilvl w:val="0"/>
                <w:numId w:val="26"/>
              </w:numPr>
              <w:contextualSpacing/>
              <w:jc w:val="left"/>
              <w:rPr>
                <w:rFonts w:eastAsia="Calibri" w:cs="Times New Roman"/>
                <w:lang w:eastAsia="en-US"/>
              </w:rPr>
            </w:pPr>
            <w:r w:rsidRPr="002C589D">
              <w:rPr>
                <w:rFonts w:eastAsia="Calibri" w:cs="Times New Roman"/>
                <w:lang w:eastAsia="en-US"/>
              </w:rPr>
              <w:t>Recurrent longitudinal extensive transverse myelitis (LETM)</w:t>
            </w:r>
            <w:r w:rsidRPr="002C589D">
              <w:rPr>
                <w:rFonts w:eastAsia="Calibri" w:cs="Calibri"/>
                <w:lang w:eastAsia="en-US"/>
              </w:rPr>
              <w:t>*</w:t>
            </w:r>
            <w:r w:rsidRPr="002C589D">
              <w:rPr>
                <w:rFonts w:eastAsia="Calibri" w:cs="Times New Roman"/>
                <w:lang w:eastAsia="en-US"/>
              </w:rPr>
              <w:t>; or</w:t>
            </w:r>
          </w:p>
          <w:p w14:paraId="2B88485A" w14:textId="77777777" w:rsidR="002C589D" w:rsidRPr="002C589D" w:rsidRDefault="002C589D" w:rsidP="003816F6">
            <w:pPr>
              <w:numPr>
                <w:ilvl w:val="0"/>
                <w:numId w:val="26"/>
              </w:numPr>
              <w:contextualSpacing/>
              <w:jc w:val="left"/>
              <w:rPr>
                <w:rFonts w:eastAsia="Calibri" w:cs="Times New Roman"/>
                <w:lang w:eastAsia="en-US"/>
              </w:rPr>
            </w:pPr>
            <w:r w:rsidRPr="002C589D">
              <w:rPr>
                <w:rFonts w:eastAsia="Calibri" w:cs="Times New Roman"/>
                <w:lang w:eastAsia="en-US"/>
              </w:rPr>
              <w:t>Area postrema syndrome (otherwise unexplained hiccups or nausea/vomiting) or</w:t>
            </w:r>
          </w:p>
          <w:p w14:paraId="264C5EFE" w14:textId="77777777" w:rsidR="002C589D" w:rsidRPr="002C589D" w:rsidRDefault="002C589D" w:rsidP="003816F6">
            <w:pPr>
              <w:numPr>
                <w:ilvl w:val="0"/>
                <w:numId w:val="26"/>
              </w:numPr>
              <w:contextualSpacing/>
              <w:jc w:val="left"/>
              <w:rPr>
                <w:rFonts w:eastAsia="Calibri" w:cs="Times New Roman"/>
                <w:lang w:eastAsia="en-US"/>
              </w:rPr>
            </w:pPr>
            <w:r w:rsidRPr="002C589D">
              <w:rPr>
                <w:rFonts w:eastAsia="Calibri" w:cs="Times New Roman"/>
                <w:lang w:eastAsia="en-US"/>
              </w:rPr>
              <w:t>Acute brainstem syndrome or</w:t>
            </w:r>
          </w:p>
          <w:p w14:paraId="5AE4F5E3" w14:textId="77777777" w:rsidR="002C589D" w:rsidRPr="002C589D" w:rsidRDefault="002C589D" w:rsidP="003816F6">
            <w:pPr>
              <w:numPr>
                <w:ilvl w:val="0"/>
                <w:numId w:val="26"/>
              </w:numPr>
              <w:contextualSpacing/>
              <w:jc w:val="left"/>
              <w:rPr>
                <w:rFonts w:eastAsia="Calibri" w:cs="Times New Roman"/>
                <w:lang w:eastAsia="en-US"/>
              </w:rPr>
            </w:pPr>
            <w:r w:rsidRPr="002C589D">
              <w:rPr>
                <w:rFonts w:eastAsia="Calibri" w:cs="Times New Roman"/>
                <w:lang w:eastAsia="en-US"/>
              </w:rPr>
              <w:t>Symptomatic narcolepsy or acute diencephalic clinical syndrome with typical NMOSD MRI lesions or</w:t>
            </w:r>
          </w:p>
          <w:p w14:paraId="1CB9E779" w14:textId="77777777" w:rsidR="002C589D" w:rsidRPr="002C589D" w:rsidRDefault="002C589D" w:rsidP="003816F6">
            <w:pPr>
              <w:numPr>
                <w:ilvl w:val="0"/>
                <w:numId w:val="26"/>
              </w:numPr>
              <w:contextualSpacing/>
              <w:jc w:val="left"/>
              <w:rPr>
                <w:rFonts w:eastAsia="Calibri" w:cs="Times New Roman"/>
                <w:lang w:eastAsia="en-US"/>
              </w:rPr>
            </w:pPr>
            <w:r w:rsidRPr="002C589D">
              <w:rPr>
                <w:rFonts w:eastAsia="Calibri" w:cs="Times New Roman"/>
                <w:lang w:eastAsia="en-US"/>
              </w:rPr>
              <w:t>Symptomatic cerebral syndrome with typical NMOSD MRI lesions or</w:t>
            </w:r>
          </w:p>
          <w:p w14:paraId="22F1D6EA" w14:textId="77777777" w:rsidR="002C589D" w:rsidRPr="002C589D" w:rsidRDefault="002C589D" w:rsidP="003816F6">
            <w:pPr>
              <w:numPr>
                <w:ilvl w:val="0"/>
                <w:numId w:val="26"/>
              </w:numPr>
              <w:contextualSpacing/>
              <w:jc w:val="left"/>
              <w:rPr>
                <w:rFonts w:eastAsia="Calibri" w:cs="Times New Roman"/>
                <w:lang w:eastAsia="en-US"/>
              </w:rPr>
            </w:pPr>
            <w:r w:rsidRPr="002C589D">
              <w:rPr>
                <w:rFonts w:eastAsia="Calibri" w:cs="Times New Roman"/>
                <w:lang w:eastAsia="en-US"/>
              </w:rPr>
              <w:t>Monophasic neuromyelitis optica (no recurrence; simultaneous or closely related optic neuritis and LETM within 30 days) or</w:t>
            </w:r>
          </w:p>
          <w:p w14:paraId="32CE8D33" w14:textId="77777777" w:rsidR="002C589D" w:rsidRPr="002C589D" w:rsidRDefault="002C589D" w:rsidP="003816F6">
            <w:pPr>
              <w:numPr>
                <w:ilvl w:val="0"/>
                <w:numId w:val="26"/>
              </w:numPr>
              <w:ind w:left="714" w:hanging="357"/>
              <w:jc w:val="left"/>
              <w:rPr>
                <w:rFonts w:eastAsia="Calibri" w:cs="Times New Roman"/>
                <w:u w:val="dotted"/>
                <w:lang w:eastAsia="en-US"/>
              </w:rPr>
            </w:pPr>
            <w:r w:rsidRPr="002C589D">
              <w:rPr>
                <w:rFonts w:eastAsia="Calibri" w:cs="Times New Roman"/>
                <w:lang w:eastAsia="en-US"/>
              </w:rPr>
              <w:t>Patient has poor recovery from multiple sclerosis relapse</w:t>
            </w:r>
          </w:p>
          <w:p w14:paraId="390BAE3A" w14:textId="77777777" w:rsidR="002C589D" w:rsidRPr="002C589D" w:rsidRDefault="002C589D" w:rsidP="003816F6">
            <w:pPr>
              <w:numPr>
                <w:ilvl w:val="0"/>
                <w:numId w:val="27"/>
              </w:numPr>
              <w:contextualSpacing/>
              <w:jc w:val="left"/>
              <w:rPr>
                <w:rFonts w:eastAsia="Calibri" w:cs="Times New Roman"/>
                <w:u w:val="dotted"/>
                <w:lang w:eastAsia="en-US"/>
              </w:rPr>
            </w:pPr>
            <w:r w:rsidRPr="002C589D">
              <w:rPr>
                <w:rFonts w:eastAsia="Calibri" w:cs="Times New Roman"/>
                <w:lang w:eastAsia="en-US"/>
              </w:rPr>
              <w:t>Patients previously diagnosed with NMOSD who are being monitored or tested for signs of relapse</w:t>
            </w:r>
          </w:p>
        </w:tc>
      </w:tr>
      <w:tr w:rsidR="002C589D" w:rsidRPr="002C589D" w14:paraId="2BC5316D" w14:textId="77777777" w:rsidTr="00FC2669">
        <w:trPr>
          <w:trHeight w:val="313"/>
        </w:trPr>
        <w:tc>
          <w:tcPr>
            <w:tcW w:w="679" w:type="pct"/>
            <w:tcBorders>
              <w:top w:val="single" w:sz="8" w:space="0" w:color="auto"/>
              <w:right w:val="single" w:sz="4" w:space="0" w:color="auto"/>
            </w:tcBorders>
          </w:tcPr>
          <w:p w14:paraId="5DFB7504" w14:textId="77777777" w:rsidR="002C589D" w:rsidRPr="002C589D" w:rsidRDefault="002C589D" w:rsidP="002C589D">
            <w:pPr>
              <w:jc w:val="left"/>
              <w:rPr>
                <w:rFonts w:eastAsia="Calibri" w:cs="Arial"/>
                <w:lang w:eastAsia="en-US"/>
              </w:rPr>
            </w:pPr>
            <w:r w:rsidRPr="002C589D">
              <w:rPr>
                <w:rFonts w:eastAsia="Calibri" w:cs="Arial"/>
                <w:lang w:eastAsia="en-US"/>
              </w:rPr>
              <w:lastRenderedPageBreak/>
              <w:t>Prior tests</w:t>
            </w:r>
          </w:p>
        </w:tc>
        <w:tc>
          <w:tcPr>
            <w:tcW w:w="4321" w:type="pct"/>
            <w:tcBorders>
              <w:top w:val="single" w:sz="4" w:space="0" w:color="auto"/>
              <w:left w:val="single" w:sz="4" w:space="0" w:color="auto"/>
              <w:bottom w:val="single" w:sz="4" w:space="0" w:color="auto"/>
              <w:right w:val="single" w:sz="4" w:space="0" w:color="auto"/>
            </w:tcBorders>
          </w:tcPr>
          <w:p w14:paraId="12C507B4" w14:textId="77777777" w:rsidR="002C589D" w:rsidRPr="002C589D" w:rsidRDefault="002C589D" w:rsidP="002C589D">
            <w:pPr>
              <w:jc w:val="left"/>
              <w:rPr>
                <w:rFonts w:eastAsia="Calibri" w:cs="Times New Roman"/>
                <w:lang w:eastAsia="en-US"/>
              </w:rPr>
            </w:pPr>
            <w:r w:rsidRPr="002C589D">
              <w:rPr>
                <w:rFonts w:eastAsia="Calibri" w:cs="Times New Roman"/>
                <w:lang w:eastAsia="en-US"/>
              </w:rPr>
              <w:t>MRI: findings of at least one clinical characteristic of NMOSD</w:t>
            </w:r>
          </w:p>
        </w:tc>
      </w:tr>
      <w:tr w:rsidR="002C589D" w:rsidRPr="002C589D" w14:paraId="44D74FA4" w14:textId="77777777" w:rsidTr="00FC2669">
        <w:trPr>
          <w:trHeight w:val="527"/>
        </w:trPr>
        <w:tc>
          <w:tcPr>
            <w:tcW w:w="679" w:type="pct"/>
            <w:tcBorders>
              <w:right w:val="single" w:sz="4" w:space="0" w:color="auto"/>
            </w:tcBorders>
          </w:tcPr>
          <w:p w14:paraId="4705DC71" w14:textId="77777777" w:rsidR="002C589D" w:rsidRPr="002C589D" w:rsidRDefault="002C589D" w:rsidP="002C589D">
            <w:pPr>
              <w:jc w:val="left"/>
              <w:rPr>
                <w:rFonts w:eastAsia="Calibri" w:cs="Arial"/>
                <w:lang w:eastAsia="en-US"/>
              </w:rPr>
            </w:pPr>
            <w:r w:rsidRPr="002C589D">
              <w:rPr>
                <w:rFonts w:eastAsia="Calibri" w:cs="Arial"/>
                <w:lang w:eastAsia="en-US"/>
              </w:rPr>
              <w:t>Intervention</w:t>
            </w:r>
          </w:p>
        </w:tc>
        <w:tc>
          <w:tcPr>
            <w:tcW w:w="4321" w:type="pct"/>
            <w:tcBorders>
              <w:top w:val="single" w:sz="4" w:space="0" w:color="auto"/>
              <w:left w:val="single" w:sz="4" w:space="0" w:color="auto"/>
              <w:bottom w:val="single" w:sz="4" w:space="0" w:color="auto"/>
              <w:right w:val="single" w:sz="4" w:space="0" w:color="auto"/>
            </w:tcBorders>
          </w:tcPr>
          <w:p w14:paraId="46E6BD95" w14:textId="77777777" w:rsidR="002C589D" w:rsidRPr="002C589D" w:rsidRDefault="002C589D" w:rsidP="002C589D">
            <w:pPr>
              <w:jc w:val="left"/>
              <w:rPr>
                <w:rFonts w:eastAsia="Calibri" w:cs="Times New Roman"/>
                <w:lang w:eastAsia="en-US"/>
              </w:rPr>
            </w:pPr>
            <w:r w:rsidRPr="002C589D">
              <w:rPr>
                <w:rFonts w:eastAsia="Calibri" w:cs="Times New Roman"/>
                <w:lang w:eastAsia="en-US"/>
              </w:rPr>
              <w:t xml:space="preserve">1. Antibody testing in serum or cerebrospinal fluid using one of a variety of diagnostic substrates (cell, tissue or protein) </w:t>
            </w:r>
          </w:p>
          <w:p w14:paraId="1D03D180" w14:textId="77777777" w:rsidR="002C589D" w:rsidRPr="002C589D" w:rsidRDefault="002C589D" w:rsidP="003816F6">
            <w:pPr>
              <w:numPr>
                <w:ilvl w:val="0"/>
                <w:numId w:val="28"/>
              </w:numPr>
              <w:contextualSpacing/>
              <w:jc w:val="left"/>
              <w:rPr>
                <w:rFonts w:eastAsia="Calibri" w:cs="Times New Roman"/>
                <w:lang w:eastAsia="en-US"/>
              </w:rPr>
            </w:pPr>
            <w:r w:rsidRPr="002C589D">
              <w:rPr>
                <w:rFonts w:eastAsia="Calibri" w:cs="Times New Roman"/>
                <w:lang w:eastAsia="en-US"/>
              </w:rPr>
              <w:t>Concurrent AQP4-Ab and MOG-Ab testing OR</w:t>
            </w:r>
          </w:p>
          <w:p w14:paraId="3688E335" w14:textId="77777777" w:rsidR="002C589D" w:rsidRPr="002C589D" w:rsidRDefault="002C589D" w:rsidP="003816F6">
            <w:pPr>
              <w:numPr>
                <w:ilvl w:val="0"/>
                <w:numId w:val="28"/>
              </w:numPr>
              <w:contextualSpacing/>
              <w:jc w:val="left"/>
              <w:rPr>
                <w:rFonts w:eastAsia="Calibri" w:cs="Times New Roman"/>
                <w:lang w:eastAsia="en-US"/>
              </w:rPr>
            </w:pPr>
            <w:r w:rsidRPr="002C589D">
              <w:rPr>
                <w:rFonts w:eastAsia="Calibri" w:cs="Times New Roman"/>
                <w:lang w:eastAsia="en-US"/>
              </w:rPr>
              <w:t xml:space="preserve">Sequential testing: AQP4-Ab testing followed by MOG-Ab testing in those found –ve for AQP4-Ab </w:t>
            </w:r>
          </w:p>
          <w:p w14:paraId="3C813B93" w14:textId="77777777" w:rsidR="002C589D" w:rsidRPr="002C589D" w:rsidRDefault="002C589D" w:rsidP="003816F6">
            <w:pPr>
              <w:numPr>
                <w:ilvl w:val="0"/>
                <w:numId w:val="29"/>
              </w:numPr>
              <w:contextualSpacing/>
              <w:jc w:val="left"/>
              <w:rPr>
                <w:rFonts w:eastAsia="Calibri" w:cs="Times New Roman"/>
                <w:lang w:eastAsia="en-US"/>
              </w:rPr>
            </w:pPr>
            <w:r w:rsidRPr="002C589D">
              <w:rPr>
                <w:rFonts w:eastAsia="Calibri" w:cs="Times New Roman"/>
                <w:lang w:eastAsia="en-US"/>
              </w:rPr>
              <w:t>Antibody testing (AQP4-Ab OR MOG-Ab) to monitor signs of relapse in those previously diagnosed</w:t>
            </w:r>
          </w:p>
        </w:tc>
      </w:tr>
      <w:tr w:rsidR="002C589D" w:rsidRPr="002C589D" w14:paraId="371F085D" w14:textId="77777777" w:rsidTr="00FC2669">
        <w:trPr>
          <w:trHeight w:val="812"/>
        </w:trPr>
        <w:tc>
          <w:tcPr>
            <w:tcW w:w="679" w:type="pct"/>
            <w:tcBorders>
              <w:right w:val="single" w:sz="4" w:space="0" w:color="auto"/>
            </w:tcBorders>
          </w:tcPr>
          <w:p w14:paraId="13172D3C" w14:textId="77777777" w:rsidR="002C589D" w:rsidRPr="002C589D" w:rsidRDefault="002C589D" w:rsidP="002C589D">
            <w:pPr>
              <w:jc w:val="left"/>
              <w:rPr>
                <w:rFonts w:eastAsia="Calibri" w:cs="Arial"/>
                <w:lang w:eastAsia="en-US"/>
              </w:rPr>
            </w:pPr>
            <w:r w:rsidRPr="002C589D">
              <w:rPr>
                <w:rFonts w:eastAsia="Calibri" w:cs="Arial"/>
                <w:lang w:eastAsia="en-US"/>
              </w:rPr>
              <w:t>Comparator</w:t>
            </w:r>
          </w:p>
        </w:tc>
        <w:tc>
          <w:tcPr>
            <w:tcW w:w="4321" w:type="pct"/>
            <w:tcBorders>
              <w:top w:val="single" w:sz="4" w:space="0" w:color="auto"/>
              <w:left w:val="single" w:sz="4" w:space="0" w:color="auto"/>
              <w:bottom w:val="single" w:sz="4" w:space="0" w:color="auto"/>
              <w:right w:val="single" w:sz="4" w:space="0" w:color="auto"/>
            </w:tcBorders>
          </w:tcPr>
          <w:p w14:paraId="7B2F046D" w14:textId="77777777" w:rsidR="002C589D" w:rsidRPr="002C589D" w:rsidRDefault="002C589D" w:rsidP="002C589D">
            <w:pPr>
              <w:jc w:val="left"/>
              <w:rPr>
                <w:rFonts w:eastAsia="Calibri" w:cs="Times New Roman"/>
                <w:lang w:eastAsia="en-US"/>
              </w:rPr>
            </w:pPr>
            <w:r w:rsidRPr="002C589D">
              <w:rPr>
                <w:rFonts w:eastAsia="Calibri" w:cs="Times New Roman"/>
                <w:u w:val="single"/>
                <w:lang w:eastAsia="en-US"/>
              </w:rPr>
              <w:t>For safety, effectiveness and cost-effectiveness:</w:t>
            </w:r>
            <w:r w:rsidRPr="002C589D">
              <w:rPr>
                <w:rFonts w:eastAsia="Calibri" w:cs="Times New Roman"/>
                <w:lang w:eastAsia="en-US"/>
              </w:rPr>
              <w:t xml:space="preserve"> No AQP4-Ab testing: diagnosis by clinical characteristics alone</w:t>
            </w:r>
          </w:p>
          <w:p w14:paraId="55C9BB30" w14:textId="77777777" w:rsidR="002C589D" w:rsidRPr="002C589D" w:rsidRDefault="002C589D" w:rsidP="002C589D">
            <w:pPr>
              <w:jc w:val="left"/>
              <w:rPr>
                <w:rFonts w:eastAsia="Calibri" w:cs="Times New Roman"/>
                <w:lang w:eastAsia="en-US"/>
              </w:rPr>
            </w:pPr>
            <w:r w:rsidRPr="002C589D">
              <w:rPr>
                <w:rFonts w:eastAsia="Calibri" w:cs="Times New Roman"/>
                <w:u w:val="single"/>
                <w:lang w:eastAsia="en-US"/>
              </w:rPr>
              <w:t>For financial implications:</w:t>
            </w:r>
            <w:r w:rsidRPr="002C589D">
              <w:rPr>
                <w:rFonts w:eastAsia="Calibri" w:cs="Times New Roman"/>
                <w:lang w:eastAsia="en-US"/>
              </w:rPr>
              <w:t xml:space="preserve"> AQP4-Ab +/- MOG-Ab testing under MBS item 71119 or 71165</w:t>
            </w:r>
          </w:p>
        </w:tc>
      </w:tr>
      <w:tr w:rsidR="002C589D" w:rsidRPr="002C589D" w14:paraId="6CB500FC" w14:textId="77777777" w:rsidTr="00FC2669">
        <w:trPr>
          <w:trHeight w:val="4576"/>
        </w:trPr>
        <w:tc>
          <w:tcPr>
            <w:tcW w:w="679" w:type="pct"/>
            <w:tcBorders>
              <w:right w:val="single" w:sz="4" w:space="0" w:color="auto"/>
            </w:tcBorders>
          </w:tcPr>
          <w:p w14:paraId="3C90AF27" w14:textId="77777777" w:rsidR="002C589D" w:rsidRPr="002C589D" w:rsidRDefault="002C589D" w:rsidP="002C589D">
            <w:pPr>
              <w:jc w:val="left"/>
              <w:rPr>
                <w:rFonts w:eastAsia="Calibri" w:cs="Arial"/>
                <w:lang w:eastAsia="en-US"/>
              </w:rPr>
            </w:pPr>
            <w:r w:rsidRPr="002C589D">
              <w:rPr>
                <w:rFonts w:eastAsia="Calibri" w:cs="Arial"/>
                <w:lang w:eastAsia="en-US"/>
              </w:rPr>
              <w:t>Outcomes</w:t>
            </w:r>
          </w:p>
        </w:tc>
        <w:tc>
          <w:tcPr>
            <w:tcW w:w="4321" w:type="pct"/>
            <w:tcBorders>
              <w:top w:val="single" w:sz="4" w:space="0" w:color="auto"/>
              <w:left w:val="single" w:sz="4" w:space="0" w:color="auto"/>
              <w:bottom w:val="single" w:sz="4" w:space="0" w:color="auto"/>
              <w:right w:val="single" w:sz="4" w:space="0" w:color="auto"/>
            </w:tcBorders>
          </w:tcPr>
          <w:p w14:paraId="159C3D11" w14:textId="77777777" w:rsidR="002C589D" w:rsidRPr="002C589D" w:rsidRDefault="002C589D" w:rsidP="002C589D">
            <w:pPr>
              <w:jc w:val="left"/>
              <w:rPr>
                <w:rFonts w:eastAsia="Calibri" w:cs="Times New Roman"/>
                <w:u w:val="dotted"/>
                <w:lang w:eastAsia="en-US"/>
              </w:rPr>
            </w:pPr>
            <w:r w:rsidRPr="002C589D">
              <w:rPr>
                <w:rFonts w:eastAsia="Calibri" w:cs="Times New Roman"/>
                <w:u w:val="single"/>
                <w:lang w:eastAsia="en-US"/>
              </w:rPr>
              <w:t>Patient relevant outcomes</w:t>
            </w:r>
            <w:r w:rsidRPr="002C589D">
              <w:rPr>
                <w:rFonts w:eastAsia="Calibri" w:cs="Times New Roman"/>
                <w:lang w:eastAsia="en-US"/>
              </w:rPr>
              <w:t>:</w:t>
            </w:r>
            <w:r w:rsidRPr="002C589D">
              <w:rPr>
                <w:rFonts w:eastAsia="Calibri" w:cs="Times New Roman"/>
                <w:u w:val="dotted"/>
                <w:lang w:eastAsia="en-US"/>
              </w:rPr>
              <w:t xml:space="preserve"> </w:t>
            </w:r>
          </w:p>
          <w:p w14:paraId="25DF7D1C" w14:textId="77777777" w:rsidR="002C589D" w:rsidRPr="002C589D" w:rsidRDefault="002C589D" w:rsidP="002C589D">
            <w:pPr>
              <w:jc w:val="left"/>
              <w:rPr>
                <w:rFonts w:eastAsia="Calibri" w:cs="Times New Roman"/>
                <w:i/>
                <w:lang w:eastAsia="en-US"/>
              </w:rPr>
            </w:pPr>
            <w:r w:rsidRPr="002C589D">
              <w:rPr>
                <w:rFonts w:eastAsia="Calibri" w:cs="Times New Roman"/>
                <w:i/>
                <w:lang w:eastAsia="en-US"/>
              </w:rPr>
              <w:t>Safety (test related)</w:t>
            </w:r>
          </w:p>
          <w:p w14:paraId="09CF5D0A" w14:textId="77777777" w:rsidR="002C589D" w:rsidRPr="002C589D" w:rsidRDefault="002C589D" w:rsidP="003816F6">
            <w:pPr>
              <w:numPr>
                <w:ilvl w:val="0"/>
                <w:numId w:val="24"/>
              </w:numPr>
              <w:contextualSpacing/>
              <w:jc w:val="left"/>
              <w:rPr>
                <w:rFonts w:eastAsia="Calibri" w:cs="Times New Roman"/>
                <w:lang w:eastAsia="en-US"/>
              </w:rPr>
            </w:pPr>
            <w:r w:rsidRPr="002C589D">
              <w:rPr>
                <w:rFonts w:eastAsia="Calibri" w:cs="Times New Roman"/>
                <w:lang w:eastAsia="en-US"/>
              </w:rPr>
              <w:t>Harm to patient resulting from</w:t>
            </w:r>
          </w:p>
          <w:p w14:paraId="7330EF25" w14:textId="77777777" w:rsidR="002C589D" w:rsidRPr="002C589D" w:rsidRDefault="002C589D" w:rsidP="003816F6">
            <w:pPr>
              <w:numPr>
                <w:ilvl w:val="1"/>
                <w:numId w:val="25"/>
              </w:numPr>
              <w:contextualSpacing/>
              <w:jc w:val="left"/>
              <w:rPr>
                <w:rFonts w:eastAsia="Calibri" w:cs="Times New Roman"/>
                <w:lang w:eastAsia="en-US"/>
              </w:rPr>
            </w:pPr>
            <w:r w:rsidRPr="002C589D">
              <w:rPr>
                <w:rFonts w:eastAsia="Calibri" w:cs="Times New Roman"/>
                <w:lang w:eastAsia="en-US"/>
              </w:rPr>
              <w:t xml:space="preserve">Blood collection (e.g. needle stick injuries) or serum (blood) analysis </w:t>
            </w:r>
          </w:p>
          <w:p w14:paraId="37534638" w14:textId="77777777" w:rsidR="002C589D" w:rsidRPr="002C589D" w:rsidRDefault="002C589D" w:rsidP="003816F6">
            <w:pPr>
              <w:numPr>
                <w:ilvl w:val="1"/>
                <w:numId w:val="25"/>
              </w:numPr>
              <w:contextualSpacing/>
              <w:jc w:val="left"/>
              <w:rPr>
                <w:rFonts w:eastAsia="Calibri" w:cs="Times New Roman"/>
                <w:lang w:eastAsia="en-US"/>
              </w:rPr>
            </w:pPr>
            <w:r w:rsidRPr="002C589D">
              <w:rPr>
                <w:rFonts w:eastAsia="Calibri" w:cs="Times New Roman"/>
                <w:lang w:eastAsia="en-US"/>
              </w:rPr>
              <w:t>Consequences of true or false test results</w:t>
            </w:r>
          </w:p>
          <w:p w14:paraId="10B99BDA" w14:textId="77777777" w:rsidR="002C589D" w:rsidRPr="002C589D" w:rsidRDefault="002C589D" w:rsidP="002C589D">
            <w:pPr>
              <w:jc w:val="left"/>
              <w:rPr>
                <w:rFonts w:eastAsia="Calibri" w:cs="Times New Roman"/>
                <w:i/>
                <w:lang w:eastAsia="en-US"/>
              </w:rPr>
            </w:pPr>
            <w:r w:rsidRPr="002C589D">
              <w:rPr>
                <w:rFonts w:eastAsia="Calibri" w:cs="Times New Roman"/>
                <w:i/>
                <w:lang w:eastAsia="en-US"/>
              </w:rPr>
              <w:t>Effectiveness</w:t>
            </w:r>
          </w:p>
          <w:p w14:paraId="3B9CB4F1" w14:textId="77777777" w:rsidR="002C589D" w:rsidRPr="002C589D" w:rsidRDefault="002C589D" w:rsidP="003816F6">
            <w:pPr>
              <w:numPr>
                <w:ilvl w:val="0"/>
                <w:numId w:val="24"/>
              </w:numPr>
              <w:contextualSpacing/>
              <w:jc w:val="left"/>
              <w:rPr>
                <w:rFonts w:eastAsia="Calibri" w:cs="Times New Roman"/>
                <w:lang w:eastAsia="en-US"/>
              </w:rPr>
            </w:pPr>
            <w:r w:rsidRPr="002C589D">
              <w:rPr>
                <w:rFonts w:eastAsia="Calibri" w:cs="Times New Roman"/>
                <w:lang w:eastAsia="en-US"/>
              </w:rPr>
              <w:t>Mortality</w:t>
            </w:r>
          </w:p>
          <w:p w14:paraId="05D6449E" w14:textId="77777777" w:rsidR="002C589D" w:rsidRPr="002C589D" w:rsidRDefault="002C589D" w:rsidP="003816F6">
            <w:pPr>
              <w:numPr>
                <w:ilvl w:val="0"/>
                <w:numId w:val="24"/>
              </w:numPr>
              <w:contextualSpacing/>
              <w:jc w:val="left"/>
              <w:rPr>
                <w:rFonts w:eastAsia="Calibri" w:cs="Times New Roman"/>
                <w:lang w:eastAsia="en-US"/>
              </w:rPr>
            </w:pPr>
            <w:r w:rsidRPr="002C589D">
              <w:rPr>
                <w:rFonts w:eastAsia="Calibri" w:cs="Times New Roman"/>
                <w:lang w:eastAsia="en-US"/>
              </w:rPr>
              <w:t>Disability rates and severity (e.g. blindness, paraplegia)</w:t>
            </w:r>
          </w:p>
          <w:p w14:paraId="08130452" w14:textId="77777777" w:rsidR="002C589D" w:rsidRPr="002C589D" w:rsidRDefault="002C589D" w:rsidP="003816F6">
            <w:pPr>
              <w:numPr>
                <w:ilvl w:val="0"/>
                <w:numId w:val="24"/>
              </w:numPr>
              <w:contextualSpacing/>
              <w:jc w:val="left"/>
              <w:rPr>
                <w:rFonts w:eastAsia="Calibri" w:cs="Times New Roman"/>
                <w:lang w:eastAsia="en-US"/>
              </w:rPr>
            </w:pPr>
            <w:r w:rsidRPr="002C589D">
              <w:rPr>
                <w:rFonts w:eastAsia="Calibri" w:cs="Times New Roman"/>
                <w:lang w:eastAsia="en-US"/>
              </w:rPr>
              <w:t>Remission and improvement of relapse-associated symptoms.</w:t>
            </w:r>
          </w:p>
          <w:p w14:paraId="5C9963A0" w14:textId="77777777" w:rsidR="002C589D" w:rsidRPr="002C589D" w:rsidRDefault="002C589D" w:rsidP="003816F6">
            <w:pPr>
              <w:numPr>
                <w:ilvl w:val="0"/>
                <w:numId w:val="24"/>
              </w:numPr>
              <w:contextualSpacing/>
              <w:jc w:val="left"/>
              <w:rPr>
                <w:rFonts w:eastAsia="Calibri" w:cs="Times New Roman"/>
                <w:lang w:eastAsia="en-US"/>
              </w:rPr>
            </w:pPr>
            <w:r w:rsidRPr="002C589D">
              <w:rPr>
                <w:rFonts w:eastAsia="Calibri" w:cs="Times New Roman"/>
                <w:lang w:eastAsia="en-US"/>
              </w:rPr>
              <w:t>Long-term stabilisation of disease course by means of relapse prevention.</w:t>
            </w:r>
          </w:p>
          <w:p w14:paraId="038FE6EB" w14:textId="77777777" w:rsidR="002C589D" w:rsidRPr="002C589D" w:rsidRDefault="002C589D" w:rsidP="003816F6">
            <w:pPr>
              <w:numPr>
                <w:ilvl w:val="0"/>
                <w:numId w:val="24"/>
              </w:numPr>
              <w:contextualSpacing/>
              <w:jc w:val="left"/>
              <w:rPr>
                <w:rFonts w:eastAsia="Calibri" w:cs="Times New Roman"/>
                <w:lang w:eastAsia="en-US"/>
              </w:rPr>
            </w:pPr>
            <w:r w:rsidRPr="002C589D">
              <w:rPr>
                <w:rFonts w:eastAsia="Calibri" w:cs="Times New Roman"/>
                <w:lang w:eastAsia="en-US"/>
              </w:rPr>
              <w:t>Annualised relapse rates</w:t>
            </w:r>
          </w:p>
          <w:p w14:paraId="429A672A" w14:textId="77777777" w:rsidR="002C589D" w:rsidRPr="002C589D" w:rsidRDefault="002C589D" w:rsidP="003816F6">
            <w:pPr>
              <w:numPr>
                <w:ilvl w:val="0"/>
                <w:numId w:val="24"/>
              </w:numPr>
              <w:contextualSpacing/>
              <w:jc w:val="left"/>
              <w:rPr>
                <w:rFonts w:eastAsia="Calibri" w:cs="Times New Roman"/>
                <w:lang w:eastAsia="en-US"/>
              </w:rPr>
            </w:pPr>
            <w:r w:rsidRPr="002C589D">
              <w:rPr>
                <w:rFonts w:eastAsia="Calibri" w:cs="Times New Roman"/>
                <w:lang w:eastAsia="en-US"/>
              </w:rPr>
              <w:t xml:space="preserve">Frequency of lesion occurrence </w:t>
            </w:r>
          </w:p>
          <w:p w14:paraId="38748D07" w14:textId="77777777" w:rsidR="002C589D" w:rsidRPr="002C589D" w:rsidRDefault="002C589D" w:rsidP="003816F6">
            <w:pPr>
              <w:numPr>
                <w:ilvl w:val="0"/>
                <w:numId w:val="24"/>
              </w:numPr>
              <w:contextualSpacing/>
              <w:jc w:val="left"/>
              <w:rPr>
                <w:rFonts w:eastAsia="Calibri" w:cs="Times New Roman"/>
                <w:lang w:eastAsia="en-US"/>
              </w:rPr>
            </w:pPr>
            <w:r w:rsidRPr="002C589D">
              <w:rPr>
                <w:rFonts w:eastAsia="Calibri" w:cs="Times New Roman"/>
                <w:lang w:eastAsia="en-US"/>
              </w:rPr>
              <w:t>Quality of life</w:t>
            </w:r>
          </w:p>
          <w:p w14:paraId="6A53060E" w14:textId="77777777" w:rsidR="002C589D" w:rsidRPr="002C589D" w:rsidRDefault="002C589D" w:rsidP="002C589D">
            <w:pPr>
              <w:jc w:val="left"/>
              <w:rPr>
                <w:rFonts w:eastAsia="Calibri" w:cs="Times New Roman"/>
                <w:u w:val="single"/>
                <w:lang w:eastAsia="en-US"/>
              </w:rPr>
            </w:pPr>
            <w:r w:rsidRPr="002C589D">
              <w:rPr>
                <w:rFonts w:eastAsia="Calibri" w:cs="Times New Roman"/>
                <w:u w:val="single"/>
                <w:lang w:eastAsia="en-US"/>
              </w:rPr>
              <w:t>Healthcare system outcomes:</w:t>
            </w:r>
          </w:p>
          <w:p w14:paraId="0E1C2FFD" w14:textId="77777777" w:rsidR="002C589D" w:rsidRPr="002C589D" w:rsidRDefault="002C589D" w:rsidP="003816F6">
            <w:pPr>
              <w:numPr>
                <w:ilvl w:val="0"/>
                <w:numId w:val="24"/>
              </w:numPr>
              <w:contextualSpacing/>
              <w:jc w:val="left"/>
              <w:rPr>
                <w:rFonts w:eastAsia="Calibri" w:cs="Times New Roman"/>
                <w:lang w:eastAsia="en-US"/>
              </w:rPr>
            </w:pPr>
            <w:r w:rsidRPr="002C589D">
              <w:rPr>
                <w:rFonts w:eastAsia="Calibri" w:cs="Times New Roman"/>
                <w:lang w:eastAsia="en-US"/>
              </w:rPr>
              <w:t>Cost, cost-effectiveness</w:t>
            </w:r>
          </w:p>
          <w:p w14:paraId="6A69BBC6" w14:textId="77777777" w:rsidR="002C589D" w:rsidRPr="002C589D" w:rsidRDefault="002C589D" w:rsidP="003816F6">
            <w:pPr>
              <w:numPr>
                <w:ilvl w:val="0"/>
                <w:numId w:val="24"/>
              </w:numPr>
              <w:contextualSpacing/>
              <w:jc w:val="left"/>
              <w:rPr>
                <w:rFonts w:eastAsia="Calibri" w:cs="Times New Roman"/>
                <w:lang w:eastAsia="en-US"/>
              </w:rPr>
            </w:pPr>
            <w:r w:rsidRPr="002C589D">
              <w:rPr>
                <w:rFonts w:eastAsia="Calibri" w:cs="Times New Roman"/>
                <w:lang w:eastAsia="en-US"/>
              </w:rPr>
              <w:t>Length of hospital stay</w:t>
            </w:r>
          </w:p>
          <w:p w14:paraId="755583FA" w14:textId="77777777" w:rsidR="002C589D" w:rsidRPr="002C589D" w:rsidRDefault="002C589D" w:rsidP="003816F6">
            <w:pPr>
              <w:numPr>
                <w:ilvl w:val="0"/>
                <w:numId w:val="24"/>
              </w:numPr>
              <w:contextualSpacing/>
              <w:jc w:val="left"/>
              <w:rPr>
                <w:rFonts w:eastAsia="Calibri" w:cs="Times New Roman"/>
                <w:color w:val="FF0000"/>
                <w:lang w:eastAsia="en-US"/>
              </w:rPr>
            </w:pPr>
            <w:r w:rsidRPr="002C589D">
              <w:rPr>
                <w:rFonts w:eastAsia="Calibri" w:cs="Times New Roman"/>
                <w:lang w:eastAsia="en-US"/>
              </w:rPr>
              <w:t>Financial implications (financial impact, healthcare resource use, etc.)</w:t>
            </w:r>
          </w:p>
        </w:tc>
      </w:tr>
      <w:tr w:rsidR="002C589D" w:rsidRPr="002C589D" w14:paraId="542819AC" w14:textId="77777777" w:rsidTr="00FC2669">
        <w:trPr>
          <w:trHeight w:val="634"/>
        </w:trPr>
        <w:tc>
          <w:tcPr>
            <w:tcW w:w="679" w:type="pct"/>
            <w:tcBorders>
              <w:right w:val="single" w:sz="4" w:space="0" w:color="auto"/>
            </w:tcBorders>
          </w:tcPr>
          <w:p w14:paraId="76F3A46D" w14:textId="77777777" w:rsidR="002C589D" w:rsidRPr="002C589D" w:rsidRDefault="002C589D" w:rsidP="002C589D">
            <w:pPr>
              <w:jc w:val="left"/>
              <w:rPr>
                <w:rFonts w:eastAsia="Calibri" w:cs="Arial"/>
                <w:lang w:eastAsia="en-US"/>
              </w:rPr>
            </w:pPr>
            <w:r w:rsidRPr="002C589D">
              <w:rPr>
                <w:rFonts w:eastAsia="Calibri" w:cs="Arial"/>
                <w:lang w:eastAsia="en-US"/>
              </w:rPr>
              <w:t>Research questions</w:t>
            </w:r>
          </w:p>
        </w:tc>
        <w:tc>
          <w:tcPr>
            <w:tcW w:w="4321" w:type="pct"/>
            <w:tcBorders>
              <w:top w:val="single" w:sz="4" w:space="0" w:color="auto"/>
              <w:left w:val="single" w:sz="4" w:space="0" w:color="auto"/>
              <w:bottom w:val="single" w:sz="4" w:space="0" w:color="auto"/>
              <w:right w:val="single" w:sz="4" w:space="0" w:color="auto"/>
            </w:tcBorders>
          </w:tcPr>
          <w:p w14:paraId="7BF7E48D" w14:textId="77777777" w:rsidR="002C589D" w:rsidRPr="002C589D" w:rsidRDefault="002C589D" w:rsidP="002C589D">
            <w:pPr>
              <w:jc w:val="left"/>
              <w:rPr>
                <w:rFonts w:eastAsia="Calibri" w:cs="Times New Roman"/>
                <w:lang w:eastAsia="en-US"/>
              </w:rPr>
            </w:pPr>
            <w:r w:rsidRPr="002C589D">
              <w:rPr>
                <w:rFonts w:eastAsia="Calibri" w:cs="Times New Roman"/>
                <w:lang w:eastAsia="en-US"/>
              </w:rPr>
              <w:t xml:space="preserve">What is the direct clinical utility (safety, effectiveness) of AQP4-Ab </w:t>
            </w:r>
            <w:r w:rsidR="00471C2B">
              <w:rPr>
                <w:rFonts w:eastAsia="Calibri" w:cs="Times New Roman"/>
                <w:lang w:eastAsia="en-US"/>
              </w:rPr>
              <w:t>and</w:t>
            </w:r>
            <w:r w:rsidRPr="002C589D">
              <w:rPr>
                <w:rFonts w:eastAsia="Calibri" w:cs="Times New Roman"/>
                <w:lang w:eastAsia="en-US"/>
              </w:rPr>
              <w:t xml:space="preserve"> MOG-Ab testing (either concurrently or sequentially) in patients suspected of having NMOSD, compared to diagnosis by clinical characteristics alone? </w:t>
            </w:r>
          </w:p>
          <w:p w14:paraId="7007F845" w14:textId="77777777" w:rsidR="002C589D" w:rsidRPr="002C589D" w:rsidRDefault="002C589D" w:rsidP="002C589D">
            <w:pPr>
              <w:jc w:val="left"/>
              <w:rPr>
                <w:rFonts w:eastAsia="Calibri" w:cs="Times New Roman"/>
                <w:lang w:eastAsia="en-US"/>
              </w:rPr>
            </w:pPr>
            <w:r w:rsidRPr="002C589D">
              <w:rPr>
                <w:rFonts w:eastAsia="Calibri" w:cs="Times New Roman"/>
                <w:lang w:eastAsia="en-US"/>
              </w:rPr>
              <w:t>What is the direct clinical utility (safety, effectiveness) of monitoring by AQP4-Ab OR MOG-Ab testing in patients previously diagnosed with NMOSD, compared to monitoring by clinical characteristics alone?</w:t>
            </w:r>
          </w:p>
          <w:p w14:paraId="7CCC636D" w14:textId="77777777" w:rsidR="002C589D" w:rsidRPr="002C589D" w:rsidRDefault="002C589D" w:rsidP="002C589D">
            <w:pPr>
              <w:jc w:val="left"/>
              <w:rPr>
                <w:rFonts w:eastAsia="Calibri" w:cs="Times New Roman"/>
                <w:lang w:eastAsia="en-US"/>
              </w:rPr>
            </w:pPr>
            <w:r w:rsidRPr="002C589D">
              <w:rPr>
                <w:rFonts w:eastAsia="Calibri" w:cs="Times New Roman"/>
                <w:lang w:eastAsia="en-US"/>
              </w:rPr>
              <w:t xml:space="preserve">What is the cost-effectiveness of AQP4-Ab </w:t>
            </w:r>
            <w:r w:rsidR="00471C2B">
              <w:rPr>
                <w:rFonts w:eastAsia="Calibri" w:cs="Times New Roman"/>
                <w:lang w:eastAsia="en-US"/>
              </w:rPr>
              <w:t>and</w:t>
            </w:r>
            <w:r w:rsidRPr="002C589D">
              <w:rPr>
                <w:rFonts w:eastAsia="Calibri" w:cs="Times New Roman"/>
                <w:lang w:eastAsia="en-US"/>
              </w:rPr>
              <w:t xml:space="preserve"> MOG-Ab testing (either concurrently or sequentially) in patients suspected of having NMOSD, compared to diagnosis by clinical characteristics alone? </w:t>
            </w:r>
          </w:p>
          <w:p w14:paraId="480F503F" w14:textId="77777777" w:rsidR="002C589D" w:rsidRPr="002C589D" w:rsidRDefault="002C589D" w:rsidP="002C589D">
            <w:pPr>
              <w:jc w:val="left"/>
              <w:rPr>
                <w:rFonts w:eastAsia="Calibri" w:cs="Times New Roman"/>
                <w:lang w:eastAsia="en-US"/>
              </w:rPr>
            </w:pPr>
            <w:r w:rsidRPr="002C589D">
              <w:rPr>
                <w:rFonts w:eastAsia="Calibri" w:cs="Times New Roman"/>
                <w:lang w:eastAsia="en-US"/>
              </w:rPr>
              <w:t>What is the cost-effectiveness of antibody testing (AQP4-Ab or MOG-Ab) compared to monitoring by clinical characteristics alone in previously diagnosed patients?</w:t>
            </w:r>
          </w:p>
          <w:p w14:paraId="0E866046" w14:textId="77777777" w:rsidR="002C589D" w:rsidRPr="002C589D" w:rsidRDefault="002C589D" w:rsidP="002C589D">
            <w:pPr>
              <w:jc w:val="left"/>
              <w:rPr>
                <w:rFonts w:eastAsia="Calibri" w:cs="Times New Roman"/>
                <w:lang w:eastAsia="en-US"/>
              </w:rPr>
            </w:pPr>
            <w:r w:rsidRPr="002C589D">
              <w:rPr>
                <w:rFonts w:eastAsia="Calibri" w:cs="Times New Roman"/>
                <w:lang w:eastAsia="en-US"/>
              </w:rPr>
              <w:t>What are the financial implications of AQP4-Ab and/or MOG-Ab testing being performed using a new MBS item number compared to MBS item 71119 or 71165?</w:t>
            </w:r>
          </w:p>
        </w:tc>
      </w:tr>
    </w:tbl>
    <w:p w14:paraId="216DB6D3" w14:textId="77777777" w:rsidR="002C589D" w:rsidRPr="002C589D" w:rsidRDefault="002C589D" w:rsidP="005F0F70">
      <w:pPr>
        <w:widowControl w:val="0"/>
        <w:spacing w:after="0" w:line="240" w:lineRule="auto"/>
        <w:contextualSpacing/>
        <w:jc w:val="left"/>
        <w:rPr>
          <w:rFonts w:ascii="Arial Narrow" w:hAnsi="Arial Narrow" w:cs="Arial"/>
          <w:snapToGrid w:val="0"/>
          <w:sz w:val="18"/>
          <w:szCs w:val="20"/>
          <w:lang w:eastAsia="en-US"/>
        </w:rPr>
      </w:pPr>
      <w:r w:rsidRPr="002C589D">
        <w:rPr>
          <w:rFonts w:ascii="Arial Narrow" w:hAnsi="Arial Narrow" w:cs="Arial"/>
          <w:snapToGrid w:val="0"/>
          <w:sz w:val="18"/>
          <w:szCs w:val="20"/>
          <w:lang w:eastAsia="en-US"/>
        </w:rPr>
        <w:t>AQP4-Ab = aquaporin 4 antibodies; LETM = longitudinally extensive transverse myelitis; MOG-Ab = myelin oligodendrocyte glycoprotein antibodies; MRI = magnetic resonance imaging; NMOSD = neuromyelitis optica spectrum disorders</w:t>
      </w:r>
    </w:p>
    <w:p w14:paraId="090B803E" w14:textId="7FDF2608" w:rsidR="002C589D" w:rsidRPr="002C589D" w:rsidRDefault="002C589D" w:rsidP="005F0F70">
      <w:pPr>
        <w:pStyle w:val="Tablenotes0"/>
        <w:spacing w:after="0"/>
      </w:pPr>
      <w:r w:rsidRPr="002C589D">
        <w:rPr>
          <w:rFonts w:eastAsia="Calibri"/>
        </w:rPr>
        <w:t>* LETM defined as a spinal cord lesion that extends over 3 or more verteb</w:t>
      </w:r>
      <w:r w:rsidR="000848F9">
        <w:rPr>
          <w:rFonts w:eastAsia="Calibri"/>
        </w:rPr>
        <w:t xml:space="preserve">rae segments (Wingerchuk </w:t>
      </w:r>
      <w:r w:rsidRPr="002C589D">
        <w:rPr>
          <w:rFonts w:eastAsia="Calibri"/>
        </w:rPr>
        <w:t>et al. 2015)</w:t>
      </w:r>
    </w:p>
    <w:p w14:paraId="194377DC" w14:textId="77777777" w:rsidR="0025036A" w:rsidRDefault="0025036A" w:rsidP="0025036A"/>
    <w:p w14:paraId="4C59E247" w14:textId="77777777" w:rsidR="00ED65EE" w:rsidRPr="00183E4D" w:rsidRDefault="00BB1E7B" w:rsidP="00B27F54">
      <w:pPr>
        <w:pStyle w:val="Heading2"/>
        <w:numPr>
          <w:ilvl w:val="0"/>
          <w:numId w:val="8"/>
        </w:numPr>
      </w:pPr>
      <w:bookmarkStart w:id="145" w:name="_Toc39588277"/>
      <w:r>
        <w:t>Stakeholder</w:t>
      </w:r>
      <w:r w:rsidR="00ED65EE">
        <w:t xml:space="preserve"> impact</w:t>
      </w:r>
      <w:bookmarkEnd w:id="145"/>
      <w:r w:rsidR="00ED65EE">
        <w:t xml:space="preserve"> </w:t>
      </w:r>
    </w:p>
    <w:p w14:paraId="2F4A8FD7" w14:textId="77777777" w:rsidR="00BB1E7B" w:rsidRDefault="00BB1E7B" w:rsidP="00BB1E7B">
      <w:r>
        <w:t>There was no public consultation for this Application.</w:t>
      </w:r>
    </w:p>
    <w:p w14:paraId="5A7D00F9" w14:textId="77777777" w:rsidR="00BB1E7B" w:rsidRDefault="00927297" w:rsidP="00BB1E7B">
      <w:r>
        <w:lastRenderedPageBreak/>
        <w:t>Letters received from the Royal Australian and New Zealand College of Ophthalmologists (RANZCO) and the Australian and New Zealand Association of Neurologists</w:t>
      </w:r>
      <w:r w:rsidR="003D3DB4">
        <w:t xml:space="preserve"> (ANZAN)</w:t>
      </w:r>
      <w:r>
        <w:t xml:space="preserve"> during the PICO confirmation development stage were positive regarding the availability of AQP4-Ab </w:t>
      </w:r>
      <w:r w:rsidR="00CE424F">
        <w:t xml:space="preserve">and MOG-Ab </w:t>
      </w:r>
      <w:r>
        <w:t xml:space="preserve">testing on the MBS. </w:t>
      </w:r>
    </w:p>
    <w:p w14:paraId="089B3072" w14:textId="77777777" w:rsidR="003D479D" w:rsidRDefault="003D479D" w:rsidP="00BB1E7B">
      <w:r>
        <w:t xml:space="preserve">Points contained in the correspondence from the ANZAN </w:t>
      </w:r>
      <w:r w:rsidR="00EA68DD">
        <w:t xml:space="preserve">and RANZCO </w:t>
      </w:r>
      <w:r>
        <w:t>included:</w:t>
      </w:r>
    </w:p>
    <w:p w14:paraId="449E2CAD" w14:textId="77777777" w:rsidR="00DF70FD" w:rsidRDefault="00DF70FD" w:rsidP="003816F6">
      <w:pPr>
        <w:pStyle w:val="ListParagraph"/>
        <w:numPr>
          <w:ilvl w:val="0"/>
          <w:numId w:val="48"/>
        </w:numPr>
      </w:pPr>
      <w:r>
        <w:t>NMOSD is difficult to distinguish from MS on purely clinical and MRI grounds and there is considerable overlap in clinical features with MS and NMOSD, particularly in the early stages of the condition (e.g. first presentation with ON);</w:t>
      </w:r>
    </w:p>
    <w:p w14:paraId="0324C996" w14:textId="77777777" w:rsidR="00DF70FD" w:rsidRDefault="00DF70FD" w:rsidP="003816F6">
      <w:pPr>
        <w:pStyle w:val="ListParagraph"/>
        <w:numPr>
          <w:ilvl w:val="0"/>
          <w:numId w:val="48"/>
        </w:numPr>
      </w:pPr>
      <w:r>
        <w:t xml:space="preserve">Testing for AQP4-Ab and MOG-Ab is essential for the early and accurate diagnosis of NMOSD, as the treatment of NMOSD is distinctly different to MS, and current treatment for MS either do not work or </w:t>
      </w:r>
      <w:r w:rsidR="005573CA">
        <w:t>can</w:t>
      </w:r>
      <w:r>
        <w:t xml:space="preserve"> worsen outcomes in NMOSD;</w:t>
      </w:r>
    </w:p>
    <w:p w14:paraId="35561FB6" w14:textId="77777777" w:rsidR="00DF70FD" w:rsidRDefault="005D3C1F" w:rsidP="003816F6">
      <w:pPr>
        <w:pStyle w:val="ListParagraph"/>
        <w:numPr>
          <w:ilvl w:val="0"/>
          <w:numId w:val="48"/>
        </w:numPr>
      </w:pPr>
      <w:r>
        <w:t>NMOSD is</w:t>
      </w:r>
      <w:r w:rsidR="00DF70FD">
        <w:t xml:space="preserve"> associated with more frequent relapses than is typically seen in MS, and is </w:t>
      </w:r>
      <w:r>
        <w:t xml:space="preserve">also </w:t>
      </w:r>
      <w:r w:rsidR="00DF70FD">
        <w:t>associated with a more rapid accumulation of disability and without treatment, patients are often rendered blind and paraplegic;</w:t>
      </w:r>
    </w:p>
    <w:p w14:paraId="440B6701" w14:textId="77777777" w:rsidR="003D479D" w:rsidRDefault="003D479D" w:rsidP="003816F6">
      <w:pPr>
        <w:pStyle w:val="ListParagraph"/>
        <w:numPr>
          <w:ilvl w:val="0"/>
          <w:numId w:val="48"/>
        </w:numPr>
      </w:pPr>
      <w:r>
        <w:t xml:space="preserve">Over recent months, clinical trials have shown positive results with novel treatments for NMOSD in seropositive patients, and a positive AQP4-Ab </w:t>
      </w:r>
      <w:r w:rsidR="00EA68DD">
        <w:t xml:space="preserve">may be </w:t>
      </w:r>
      <w:r w:rsidR="001502DC">
        <w:t xml:space="preserve">a requisite indication </w:t>
      </w:r>
      <w:r w:rsidR="00EA68DD">
        <w:t xml:space="preserve">in any future </w:t>
      </w:r>
      <w:r w:rsidR="00006FB6">
        <w:t>Therapeutic Goods Administration (</w:t>
      </w:r>
      <w:r w:rsidR="00EA68DD">
        <w:t>TGA</w:t>
      </w:r>
      <w:r w:rsidR="00006FB6">
        <w:t>)</w:t>
      </w:r>
      <w:r w:rsidR="00EA68DD">
        <w:t>/</w:t>
      </w:r>
      <w:r w:rsidR="00A121D0">
        <w:t>Pharmaceutical Benefits Scheme (</w:t>
      </w:r>
      <w:r w:rsidR="00EA68DD">
        <w:t>PBS</w:t>
      </w:r>
      <w:r w:rsidR="00A121D0">
        <w:t>)</w:t>
      </w:r>
      <w:r w:rsidR="00EA68DD">
        <w:t xml:space="preserve"> </w:t>
      </w:r>
      <w:r w:rsidR="001502DC">
        <w:t>treatment listing</w:t>
      </w:r>
      <w:r w:rsidR="009C6C4E">
        <w:t>.</w:t>
      </w:r>
    </w:p>
    <w:p w14:paraId="0C2E79C6" w14:textId="77777777" w:rsidR="00ED65EE" w:rsidRDefault="00ED65EE" w:rsidP="00ED65EE">
      <w:bookmarkStart w:id="146" w:name="_Ref124760357"/>
    </w:p>
    <w:p w14:paraId="6E0247E4" w14:textId="77777777" w:rsidR="00ED65EE" w:rsidRPr="00183E4D" w:rsidRDefault="00ED65EE" w:rsidP="00ED65EE">
      <w:pPr>
        <w:sectPr w:rsidR="00ED65EE" w:rsidRPr="00183E4D" w:rsidSect="001229D7">
          <w:pgSz w:w="11909" w:h="16834" w:code="9"/>
          <w:pgMar w:top="1440" w:right="1440" w:bottom="1440" w:left="1440" w:header="709" w:footer="709" w:gutter="0"/>
          <w:cols w:space="720"/>
        </w:sectPr>
      </w:pPr>
    </w:p>
    <w:p w14:paraId="688CE10C" w14:textId="77777777" w:rsidR="00ED65EE" w:rsidRDefault="00ED65EE" w:rsidP="00ED65EE">
      <w:pPr>
        <w:pStyle w:val="Heading1"/>
        <w:jc w:val="both"/>
      </w:pPr>
      <w:bookmarkStart w:id="147" w:name="_Toc39588278"/>
      <w:bookmarkEnd w:id="146"/>
      <w:r w:rsidRPr="00183E4D">
        <w:lastRenderedPageBreak/>
        <w:t>Section B</w:t>
      </w:r>
      <w:r w:rsidRPr="00183E4D">
        <w:tab/>
        <w:t>Clinical Evaluation</w:t>
      </w:r>
      <w:bookmarkEnd w:id="147"/>
      <w:r w:rsidRPr="00183E4D">
        <w:t xml:space="preserve"> </w:t>
      </w:r>
    </w:p>
    <w:p w14:paraId="7FA286DC" w14:textId="77777777" w:rsidR="00A10EE2" w:rsidRPr="00A10EE2" w:rsidRDefault="00A10EE2" w:rsidP="00A10EE2">
      <w:pPr>
        <w:spacing w:before="240"/>
      </w:pPr>
      <w:r w:rsidRPr="00A10EE2">
        <w:t>Determination of the clinical effectiveness of an investigative medical service requires either:</w:t>
      </w:r>
    </w:p>
    <w:p w14:paraId="191CAFA5" w14:textId="77777777" w:rsidR="00A10EE2" w:rsidRPr="00A10EE2" w:rsidRDefault="00A10EE2" w:rsidP="003816F6">
      <w:pPr>
        <w:numPr>
          <w:ilvl w:val="0"/>
          <w:numId w:val="10"/>
        </w:numPr>
        <w:spacing w:before="240"/>
      </w:pPr>
      <w:r w:rsidRPr="00A10EE2">
        <w:t xml:space="preserve">evidence of the effectiveness of antibody testing from high-quality comparative studies evaluating the use of AQP4 and MOG antibody testing in addition to clinical characteristics and subsequent treatment compared to clinical characteristics alone and treatment (direct evidence). Randomised controlled trials </w:t>
      </w:r>
      <w:r w:rsidR="00A121D0">
        <w:t xml:space="preserve">(RCTs) </w:t>
      </w:r>
      <w:r w:rsidRPr="00A10EE2">
        <w:t xml:space="preserve">provide the highest quality evidence for this comparison. Or, if this is not available: </w:t>
      </w:r>
    </w:p>
    <w:p w14:paraId="7C8AFB05" w14:textId="77777777" w:rsidR="00A10EE2" w:rsidRPr="00A10EE2" w:rsidRDefault="00A10EE2" w:rsidP="003816F6">
      <w:pPr>
        <w:numPr>
          <w:ilvl w:val="0"/>
          <w:numId w:val="10"/>
        </w:numPr>
        <w:spacing w:before="240"/>
      </w:pPr>
      <w:r w:rsidRPr="00A10EE2">
        <w:t xml:space="preserve">evidence of the treatment effectiveness from high-quality comparative studies evaluating the treatment for NMOSD, linked with applicable and high-quality evidence of the accuracy of AQP4 and MOG antibody testing in addition to clinical characteristics to diagnose NMOSD compared to clinical characteristics alone. This is called ‘linked evidence’. </w:t>
      </w:r>
    </w:p>
    <w:p w14:paraId="7ACCE3DA" w14:textId="77777777" w:rsidR="00A10EE2" w:rsidRPr="00A10EE2" w:rsidRDefault="00A10EE2" w:rsidP="00A10EE2">
      <w:r w:rsidRPr="00A10EE2">
        <w:t>There was no direct evidence to assess the investigative medical service (AQP4-Ab and MOG-Ab testing for NMOSD), therefore a linked evidence approach</w:t>
      </w:r>
      <w:r w:rsidR="00A74328">
        <w:t xml:space="preserve"> was utilised</w:t>
      </w:r>
      <w:r w:rsidRPr="00A10EE2">
        <w:t xml:space="preserve">, including: </w:t>
      </w:r>
    </w:p>
    <w:p w14:paraId="214E17E9" w14:textId="77777777" w:rsidR="00A10EE2" w:rsidRPr="00A10EE2" w:rsidRDefault="00A10EE2" w:rsidP="003816F6">
      <w:pPr>
        <w:numPr>
          <w:ilvl w:val="0"/>
          <w:numId w:val="38"/>
        </w:numPr>
      </w:pPr>
      <w:r w:rsidRPr="00A10EE2">
        <w:t>The diagnostic performance and clinical validity of the investigative medical service (Section B3 and B4).</w:t>
      </w:r>
    </w:p>
    <w:p w14:paraId="4BF806E8" w14:textId="77777777" w:rsidR="00A10EE2" w:rsidRPr="00A10EE2" w:rsidRDefault="00A10EE2" w:rsidP="003816F6">
      <w:pPr>
        <w:numPr>
          <w:ilvl w:val="0"/>
          <w:numId w:val="38"/>
        </w:numPr>
      </w:pPr>
      <w:r w:rsidRPr="00A10EE2">
        <w:t>The clinical impact of false negatives and false positives (Section B5).</w:t>
      </w:r>
    </w:p>
    <w:p w14:paraId="052DD424" w14:textId="77777777" w:rsidR="00A10EE2" w:rsidRPr="00A10EE2" w:rsidRDefault="00A10EE2" w:rsidP="003816F6">
      <w:pPr>
        <w:numPr>
          <w:ilvl w:val="0"/>
          <w:numId w:val="38"/>
        </w:numPr>
      </w:pPr>
      <w:r w:rsidRPr="00A10EE2">
        <w:t xml:space="preserve">Impact of repeat testing </w:t>
      </w:r>
      <w:r w:rsidR="005D3C1F">
        <w:t xml:space="preserve">for monitoring disease status </w:t>
      </w:r>
      <w:r w:rsidRPr="00A10EE2">
        <w:t>(Section B6).</w:t>
      </w:r>
    </w:p>
    <w:p w14:paraId="4A302518" w14:textId="77777777" w:rsidR="00A10EE2" w:rsidRPr="00A10EE2" w:rsidRDefault="00A10EE2" w:rsidP="003816F6">
      <w:pPr>
        <w:numPr>
          <w:ilvl w:val="0"/>
          <w:numId w:val="38"/>
        </w:numPr>
      </w:pPr>
      <w:r w:rsidRPr="00A10EE2">
        <w:t>The relative safety of performing the test (Section B7).</w:t>
      </w:r>
    </w:p>
    <w:p w14:paraId="340BF684" w14:textId="77777777" w:rsidR="00ED65EE" w:rsidRPr="00704D5E" w:rsidRDefault="00ED65EE" w:rsidP="00ED65EE"/>
    <w:p w14:paraId="49FCF5E7" w14:textId="77777777" w:rsidR="00ED65EE" w:rsidRPr="00135EF5" w:rsidRDefault="00ED65EE" w:rsidP="003816F6">
      <w:pPr>
        <w:pStyle w:val="Heading1"/>
        <w:numPr>
          <w:ilvl w:val="1"/>
          <w:numId w:val="13"/>
        </w:numPr>
        <w:ind w:hanging="792"/>
      </w:pPr>
      <w:bookmarkStart w:id="148" w:name="_Toc39588279"/>
      <w:bookmarkStart w:id="149" w:name="_Toc381796460"/>
      <w:bookmarkStart w:id="150" w:name="_Toc381796462"/>
      <w:bookmarkStart w:id="151" w:name="_Toc381796467"/>
      <w:bookmarkStart w:id="152" w:name="_Toc379118083"/>
      <w:r w:rsidRPr="00135EF5">
        <w:lastRenderedPageBreak/>
        <w:t>Direct Evidence</w:t>
      </w:r>
      <w:bookmarkEnd w:id="148"/>
    </w:p>
    <w:p w14:paraId="0872717E" w14:textId="77777777" w:rsidR="00ED65EE" w:rsidRPr="00F22534" w:rsidRDefault="00ED65EE" w:rsidP="003816F6">
      <w:pPr>
        <w:pStyle w:val="Heading2"/>
        <w:numPr>
          <w:ilvl w:val="1"/>
          <w:numId w:val="12"/>
        </w:numPr>
      </w:pPr>
      <w:bookmarkStart w:id="153" w:name="_Toc39588280"/>
      <w:r w:rsidRPr="00183E4D">
        <w:t>Literature Sources and Search Strategies</w:t>
      </w:r>
      <w:bookmarkEnd w:id="149"/>
      <w:bookmarkEnd w:id="153"/>
    </w:p>
    <w:p w14:paraId="2978A8B2" w14:textId="72D74943" w:rsidR="00A10EE2" w:rsidRPr="00A10EE2" w:rsidRDefault="00A10EE2" w:rsidP="00A10EE2">
      <w:r w:rsidRPr="00A10EE2">
        <w:t>The medical literature was searched on 23</w:t>
      </w:r>
      <w:r w:rsidRPr="00A10EE2">
        <w:rPr>
          <w:vertAlign w:val="superscript"/>
        </w:rPr>
        <w:t>rd</w:t>
      </w:r>
      <w:r w:rsidRPr="00A10EE2">
        <w:t xml:space="preserve"> October 2019 to identify relevant </w:t>
      </w:r>
      <w:r w:rsidR="00743369">
        <w:t xml:space="preserve">primary </w:t>
      </w:r>
      <w:r w:rsidRPr="00A10EE2">
        <w:t>studies and systematic reviews</w:t>
      </w:r>
      <w:r w:rsidR="00673B9B">
        <w:t xml:space="preserve"> (SRs)</w:t>
      </w:r>
      <w:r w:rsidRPr="00A10EE2">
        <w:t xml:space="preserve"> published during the period from the inception of the literature database to the date of the search. Because the intervention under investigation has only been in use recently, it </w:t>
      </w:r>
      <w:r w:rsidR="00743369">
        <w:t>was</w:t>
      </w:r>
      <w:r w:rsidRPr="00A10EE2">
        <w:t xml:space="preserve"> expected to be sufficiently self-limiting with respect to its period of publication. Searches were conducted of the literature databases described in Appendix B. Attempts were also made to source unpublished or grey literature (for example clinical trials not yet published). Samples of other sources searched including clinical trial registries, specialty websites and </w:t>
      </w:r>
      <w:r w:rsidR="00A121D0">
        <w:t>Health Technology Assessment (</w:t>
      </w:r>
      <w:r w:rsidRPr="00A10EE2">
        <w:t>HTA</w:t>
      </w:r>
      <w:r w:rsidR="00A121D0">
        <w:t>)</w:t>
      </w:r>
      <w:r w:rsidRPr="00A10EE2">
        <w:t xml:space="preserve"> organisations, are also provided in </w:t>
      </w:r>
      <w:r w:rsidR="00D2382D">
        <w:fldChar w:fldCharType="begin"/>
      </w:r>
      <w:r w:rsidR="00D2382D">
        <w:instrText xml:space="preserve"> REF _Ref39580420 \h </w:instrText>
      </w:r>
      <w:r w:rsidR="00D2382D">
        <w:fldChar w:fldCharType="separate"/>
      </w:r>
      <w:r w:rsidR="00D2382D" w:rsidRPr="00183E4D">
        <w:t xml:space="preserve">Appendix </w:t>
      </w:r>
      <w:r w:rsidR="00D2382D">
        <w:rPr>
          <w:noProof/>
        </w:rPr>
        <w:t>B</w:t>
      </w:r>
      <w:r w:rsidR="00D2382D">
        <w:fldChar w:fldCharType="end"/>
      </w:r>
      <w:r w:rsidRPr="00A10EE2">
        <w:t xml:space="preserve">. Search terms used for the PubMed platform are described in </w:t>
      </w:r>
      <w:r w:rsidRPr="00A10EE2">
        <w:fldChar w:fldCharType="begin"/>
      </w:r>
      <w:r w:rsidRPr="00A10EE2">
        <w:instrText xml:space="preserve"> REF _Ref379483486 \h  \* MERGEFORMAT </w:instrText>
      </w:r>
      <w:r w:rsidRPr="00A10EE2">
        <w:fldChar w:fldCharType="separate"/>
      </w:r>
      <w:r w:rsidR="005403A2" w:rsidRPr="001C769F">
        <w:t xml:space="preserve">Table </w:t>
      </w:r>
      <w:r w:rsidR="005403A2">
        <w:rPr>
          <w:noProof/>
        </w:rPr>
        <w:t>12</w:t>
      </w:r>
      <w:r w:rsidRPr="00A10EE2">
        <w:fldChar w:fldCharType="end"/>
      </w:r>
      <w:r w:rsidRPr="00A10EE2">
        <w:t>.</w:t>
      </w:r>
    </w:p>
    <w:p w14:paraId="14EC77CE" w14:textId="77777777" w:rsidR="00A10EE2" w:rsidRPr="00A10EE2" w:rsidRDefault="00A10EE2" w:rsidP="00A10EE2">
      <w:r w:rsidRPr="00A10EE2">
        <w:t xml:space="preserve">Studies were excluded if they were not performed in humans. Articles written in languages other than English were excluded unless the English written abstract indicated the article was of higher level evidence than was otherwise identified. </w:t>
      </w:r>
    </w:p>
    <w:p w14:paraId="4EBCC3B8" w14:textId="77777777" w:rsidR="00A10EE2" w:rsidRPr="00A10EE2" w:rsidRDefault="00A10EE2" w:rsidP="00A10EE2">
      <w:r w:rsidRPr="00A10EE2">
        <w:t xml:space="preserve">A single </w:t>
      </w:r>
      <w:r w:rsidR="006B608B">
        <w:t>literature</w:t>
      </w:r>
      <w:r w:rsidRPr="00A10EE2">
        <w:t xml:space="preserve"> search</w:t>
      </w:r>
      <w:r w:rsidR="006B608B">
        <w:t xml:space="preserve"> wa</w:t>
      </w:r>
      <w:r w:rsidRPr="00A10EE2">
        <w:t>s</w:t>
      </w:r>
      <w:r w:rsidR="006B608B">
        <w:t xml:space="preserve"> conducted that</w:t>
      </w:r>
      <w:r w:rsidRPr="00A10EE2">
        <w:t xml:space="preserve"> </w:t>
      </w:r>
      <w:r w:rsidR="000352E8" w:rsidRPr="00A10EE2">
        <w:t>was</w:t>
      </w:r>
      <w:r w:rsidR="000352E8">
        <w:t xml:space="preserve"> </w:t>
      </w:r>
      <w:r w:rsidRPr="00A10EE2">
        <w:t xml:space="preserve">deliberately kept broad </w:t>
      </w:r>
      <w:r w:rsidR="00103457">
        <w:t>so as to be</w:t>
      </w:r>
      <w:r w:rsidRPr="00A10EE2">
        <w:t xml:space="preserve"> sufficient to capture all evidence that includes the new test (i.e. direct evidence of effectiveness, harms, analytical validity and clinical validity (accuracy) and whether there is a change in patient management from the new test). Pearling of relevant reviews was performed to ensure all relevant evidence was captured.</w:t>
      </w:r>
    </w:p>
    <w:p w14:paraId="3AAD584A" w14:textId="6527F088" w:rsidR="00ED65EE" w:rsidRPr="00183E4D" w:rsidRDefault="00ED65EE" w:rsidP="00ED65EE">
      <w:pPr>
        <w:pStyle w:val="Caption"/>
        <w:tabs>
          <w:tab w:val="left" w:pos="851"/>
        </w:tabs>
      </w:pPr>
      <w:bookmarkStart w:id="154" w:name="_Ref363722464"/>
      <w:bookmarkStart w:id="155" w:name="_Ref379483486"/>
      <w:bookmarkStart w:id="156" w:name="_Toc381969863"/>
      <w:bookmarkStart w:id="157" w:name="_Toc39580793"/>
      <w:r w:rsidRPr="001C769F">
        <w:t xml:space="preserve">Table </w:t>
      </w:r>
      <w:fldSimple w:instr=" SEQ Table \* ARABIC ">
        <w:r w:rsidR="00FA7BCD">
          <w:rPr>
            <w:noProof/>
          </w:rPr>
          <w:t>12</w:t>
        </w:r>
      </w:fldSimple>
      <w:bookmarkEnd w:id="154"/>
      <w:bookmarkEnd w:id="155"/>
      <w:r w:rsidRPr="00183E4D">
        <w:tab/>
        <w:t>Search terms used</w:t>
      </w:r>
      <w:bookmarkEnd w:id="156"/>
      <w:r w:rsidRPr="00183E4D">
        <w:t xml:space="preserve"> (</w:t>
      </w:r>
      <w:r w:rsidR="00B6782D">
        <w:t>PubMed</w:t>
      </w:r>
      <w:r w:rsidRPr="00183E4D">
        <w:t xml:space="preserve"> platform)</w:t>
      </w:r>
      <w:bookmarkEnd w:id="157"/>
    </w:p>
    <w:tbl>
      <w:tblPr>
        <w:tblStyle w:val="TableGrid1"/>
        <w:tblW w:w="0" w:type="auto"/>
        <w:tblInd w:w="108" w:type="dxa"/>
        <w:tblLook w:val="04A0" w:firstRow="1" w:lastRow="0" w:firstColumn="1" w:lastColumn="0" w:noHBand="0" w:noVBand="1"/>
        <w:tblCaption w:val="Table 12 Search terms used (PubMed platform)"/>
        <w:tblDescription w:val="This table provides the keywords and indexing terms used to search for literature in a specific bibliographic database."/>
      </w:tblPr>
      <w:tblGrid>
        <w:gridCol w:w="2405"/>
        <w:gridCol w:w="6503"/>
      </w:tblGrid>
      <w:tr w:rsidR="00ED65EE" w:rsidRPr="007322E3" w14:paraId="60A76DC7" w14:textId="77777777" w:rsidTr="00B6782D">
        <w:trPr>
          <w:cnfStyle w:val="100000000000" w:firstRow="1" w:lastRow="0" w:firstColumn="0" w:lastColumn="0" w:oddVBand="0" w:evenVBand="0" w:oddHBand="0" w:evenHBand="0" w:firstRowFirstColumn="0" w:firstRowLastColumn="0" w:lastRowFirstColumn="0" w:lastRowLastColumn="0"/>
          <w:trHeight w:val="304"/>
          <w:tblHeader/>
        </w:trPr>
        <w:tc>
          <w:tcPr>
            <w:tcW w:w="2410" w:type="dxa"/>
            <w:vAlign w:val="center"/>
          </w:tcPr>
          <w:p w14:paraId="2720DEAF" w14:textId="77777777" w:rsidR="00ED65EE" w:rsidRPr="007322E3" w:rsidRDefault="00ED65EE" w:rsidP="00A87AE2">
            <w:pPr>
              <w:pStyle w:val="TableHeading"/>
            </w:pPr>
            <w:r w:rsidRPr="007322E3">
              <w:t>Element of clinical question</w:t>
            </w:r>
          </w:p>
        </w:tc>
        <w:tc>
          <w:tcPr>
            <w:tcW w:w="6521" w:type="dxa"/>
            <w:vAlign w:val="center"/>
          </w:tcPr>
          <w:p w14:paraId="330BA436" w14:textId="77777777" w:rsidR="00ED65EE" w:rsidRPr="007322E3" w:rsidRDefault="007322E3" w:rsidP="00A87AE2">
            <w:pPr>
              <w:pStyle w:val="TableHeading"/>
            </w:pPr>
            <w:r>
              <w:t>Search terms</w:t>
            </w:r>
          </w:p>
        </w:tc>
      </w:tr>
      <w:tr w:rsidR="00B6782D" w:rsidRPr="00183E4D" w14:paraId="02F23ED1" w14:textId="77777777" w:rsidTr="001746C4">
        <w:trPr>
          <w:trHeight w:val="304"/>
        </w:trPr>
        <w:tc>
          <w:tcPr>
            <w:tcW w:w="2410" w:type="dxa"/>
          </w:tcPr>
          <w:p w14:paraId="122B540C" w14:textId="77777777" w:rsidR="00B6782D" w:rsidRPr="00183E4D" w:rsidRDefault="00B6782D" w:rsidP="004E5C57">
            <w:pPr>
              <w:pStyle w:val="TableText0"/>
            </w:pPr>
            <w:r>
              <w:t>Prior tests</w:t>
            </w:r>
          </w:p>
        </w:tc>
        <w:tc>
          <w:tcPr>
            <w:tcW w:w="6521" w:type="dxa"/>
          </w:tcPr>
          <w:p w14:paraId="2344014A" w14:textId="77777777" w:rsidR="00B6782D" w:rsidRPr="00B6782D" w:rsidRDefault="00B6782D" w:rsidP="007322E3">
            <w:pPr>
              <w:ind w:right="-57"/>
              <w:jc w:val="left"/>
              <w:rPr>
                <w:rFonts w:ascii="Arial Narrow" w:hAnsi="Arial Narrow" w:cs="Times New Roman"/>
                <w:szCs w:val="18"/>
              </w:rPr>
            </w:pPr>
            <w:r>
              <w:rPr>
                <w:rFonts w:ascii="Arial Narrow" w:hAnsi="Arial Narrow" w:cs="Times New Roman"/>
                <w:szCs w:val="18"/>
              </w:rPr>
              <w:t>-</w:t>
            </w:r>
          </w:p>
        </w:tc>
      </w:tr>
      <w:tr w:rsidR="00ED65EE" w:rsidRPr="00183E4D" w14:paraId="5CCA06DD" w14:textId="77777777" w:rsidTr="001746C4">
        <w:trPr>
          <w:trHeight w:val="304"/>
        </w:trPr>
        <w:tc>
          <w:tcPr>
            <w:tcW w:w="2410" w:type="dxa"/>
          </w:tcPr>
          <w:p w14:paraId="22607D9E" w14:textId="77777777" w:rsidR="00ED65EE" w:rsidRPr="00183E4D" w:rsidRDefault="00ED65EE" w:rsidP="004E5C57">
            <w:pPr>
              <w:pStyle w:val="TableText0"/>
            </w:pPr>
            <w:r w:rsidRPr="00183E4D">
              <w:t>Population</w:t>
            </w:r>
          </w:p>
        </w:tc>
        <w:tc>
          <w:tcPr>
            <w:tcW w:w="6521" w:type="dxa"/>
          </w:tcPr>
          <w:p w14:paraId="6ABFD7E3" w14:textId="77777777" w:rsidR="00ED65EE" w:rsidRPr="00183E4D" w:rsidRDefault="00B6782D" w:rsidP="007322E3">
            <w:pPr>
              <w:ind w:right="-57"/>
              <w:jc w:val="left"/>
            </w:pPr>
            <w:r w:rsidRPr="00B6782D">
              <w:rPr>
                <w:rFonts w:ascii="Arial Narrow" w:hAnsi="Arial Narrow" w:cs="Times New Roman"/>
                <w:szCs w:val="18"/>
              </w:rPr>
              <w:t xml:space="preserve">“Neuromyelitis optica” OR “Neuromyelitis optica”[MeSH] OR “neuromyelitis optica spectrum disorder” OR “NMO spectrum disorder” OR NMO OR NMOSD OR opticospinal OR ((Devic OR Devic’s) AND (disease OR syndrome OR disorder)) OR opticomyelitis </w:t>
            </w:r>
            <w:r w:rsidRPr="00B6782D">
              <w:rPr>
                <w:rFonts w:ascii="Arial Narrow" w:hAnsi="Arial Narrow" w:cs="Times New Roman"/>
                <w:bCs/>
              </w:rPr>
              <w:t>OR MARD OR "myelin oligodendrocyte glycoprotein antibody related disorder" OR (MOG AND (disorder OR syndrome OR encephalitis))</w:t>
            </w:r>
          </w:p>
        </w:tc>
      </w:tr>
      <w:tr w:rsidR="00ED65EE" w:rsidRPr="00183E4D" w14:paraId="6922BED2" w14:textId="77777777" w:rsidTr="001746C4">
        <w:trPr>
          <w:trHeight w:val="304"/>
        </w:trPr>
        <w:tc>
          <w:tcPr>
            <w:tcW w:w="2410" w:type="dxa"/>
          </w:tcPr>
          <w:p w14:paraId="4D763F99" w14:textId="77777777" w:rsidR="00ED65EE" w:rsidRPr="00183E4D" w:rsidRDefault="00ED65EE" w:rsidP="004E5C57">
            <w:pPr>
              <w:pStyle w:val="TableText0"/>
            </w:pPr>
            <w:r w:rsidRPr="00183E4D">
              <w:t>Intervention</w:t>
            </w:r>
          </w:p>
        </w:tc>
        <w:tc>
          <w:tcPr>
            <w:tcW w:w="6521" w:type="dxa"/>
          </w:tcPr>
          <w:p w14:paraId="4C72BF53" w14:textId="77777777" w:rsidR="00ED65EE" w:rsidRPr="00183E4D" w:rsidRDefault="00B6782D" w:rsidP="007322E3">
            <w:pPr>
              <w:jc w:val="left"/>
            </w:pPr>
            <w:r w:rsidRPr="00B6782D">
              <w:rPr>
                <w:rFonts w:ascii="Arial Narrow" w:hAnsi="Arial Narrow" w:cs="Times New Roman"/>
                <w:szCs w:val="18"/>
              </w:rPr>
              <w:t xml:space="preserve">“Aquaporin 4”[MeSH] OR aquaporin OR AQP4 OR NMO-IgG OR </w:t>
            </w:r>
            <w:r w:rsidRPr="00B6782D">
              <w:rPr>
                <w:rFonts w:ascii="Arial Narrow" w:hAnsi="Arial Narrow" w:cs="Times New Roman"/>
                <w:bCs/>
              </w:rPr>
              <w:t>(MOG AND (igg OR antibody OR ab))</w:t>
            </w:r>
          </w:p>
        </w:tc>
      </w:tr>
      <w:tr w:rsidR="00ED65EE" w:rsidRPr="00183E4D" w14:paraId="094D9CE6" w14:textId="77777777" w:rsidTr="001746C4">
        <w:trPr>
          <w:trHeight w:val="304"/>
        </w:trPr>
        <w:tc>
          <w:tcPr>
            <w:tcW w:w="2410" w:type="dxa"/>
          </w:tcPr>
          <w:p w14:paraId="74FF7F2A" w14:textId="77777777" w:rsidR="00ED65EE" w:rsidRPr="00183E4D" w:rsidRDefault="00ED65EE" w:rsidP="004E5C57">
            <w:pPr>
              <w:pStyle w:val="TableText0"/>
            </w:pPr>
            <w:r w:rsidRPr="00183E4D">
              <w:t>Comparator (if applicable)</w:t>
            </w:r>
          </w:p>
        </w:tc>
        <w:tc>
          <w:tcPr>
            <w:tcW w:w="6521" w:type="dxa"/>
          </w:tcPr>
          <w:p w14:paraId="08BE5849" w14:textId="77777777" w:rsidR="00ED65EE" w:rsidRPr="00183E4D" w:rsidRDefault="00B6782D" w:rsidP="004E5C57">
            <w:pPr>
              <w:pStyle w:val="TableText0"/>
            </w:pPr>
            <w:r>
              <w:t>-</w:t>
            </w:r>
          </w:p>
        </w:tc>
      </w:tr>
      <w:tr w:rsidR="00ED65EE" w:rsidRPr="00183E4D" w14:paraId="55514204" w14:textId="77777777" w:rsidTr="001746C4">
        <w:trPr>
          <w:trHeight w:val="304"/>
        </w:trPr>
        <w:tc>
          <w:tcPr>
            <w:tcW w:w="2410" w:type="dxa"/>
          </w:tcPr>
          <w:p w14:paraId="0188D5C3" w14:textId="77777777" w:rsidR="00ED65EE" w:rsidRPr="00183E4D" w:rsidRDefault="00ED65EE" w:rsidP="004E5C57">
            <w:pPr>
              <w:pStyle w:val="TableText0"/>
            </w:pPr>
            <w:r w:rsidRPr="00183E4D">
              <w:t>Outcomes (if applicable)</w:t>
            </w:r>
          </w:p>
        </w:tc>
        <w:tc>
          <w:tcPr>
            <w:tcW w:w="6521" w:type="dxa"/>
          </w:tcPr>
          <w:p w14:paraId="797D41C6" w14:textId="77777777" w:rsidR="00ED65EE" w:rsidRPr="00183E4D" w:rsidRDefault="00B6782D" w:rsidP="004E5C57">
            <w:pPr>
              <w:pStyle w:val="TableText0"/>
            </w:pPr>
            <w:r>
              <w:t>-</w:t>
            </w:r>
          </w:p>
        </w:tc>
      </w:tr>
      <w:tr w:rsidR="00ED65EE" w:rsidRPr="00183E4D" w14:paraId="013C5C59" w14:textId="77777777" w:rsidTr="001746C4">
        <w:trPr>
          <w:trHeight w:val="304"/>
        </w:trPr>
        <w:tc>
          <w:tcPr>
            <w:tcW w:w="2410" w:type="dxa"/>
          </w:tcPr>
          <w:p w14:paraId="295E66DA" w14:textId="77777777" w:rsidR="00ED65EE" w:rsidRPr="00183E4D" w:rsidRDefault="00ED65EE" w:rsidP="004E5C57">
            <w:pPr>
              <w:pStyle w:val="TableText0"/>
            </w:pPr>
            <w:r w:rsidRPr="00183E4D">
              <w:t>Limits</w:t>
            </w:r>
          </w:p>
        </w:tc>
        <w:tc>
          <w:tcPr>
            <w:tcW w:w="6521" w:type="dxa"/>
          </w:tcPr>
          <w:p w14:paraId="259C730B" w14:textId="77777777" w:rsidR="00ED65EE" w:rsidRDefault="00B6782D" w:rsidP="004E5C57">
            <w:pPr>
              <w:pStyle w:val="TableText0"/>
            </w:pPr>
            <w:r>
              <w:t>Human studies</w:t>
            </w:r>
          </w:p>
          <w:p w14:paraId="7DF62929" w14:textId="77777777" w:rsidR="001C769F" w:rsidRDefault="001C769F" w:rsidP="004E5C57">
            <w:pPr>
              <w:pStyle w:val="TableText0"/>
            </w:pPr>
            <w:r>
              <w:t>Published from inception of database to 23/10/2019</w:t>
            </w:r>
          </w:p>
          <w:p w14:paraId="679604A0" w14:textId="77777777" w:rsidR="001C769F" w:rsidRPr="00183E4D" w:rsidRDefault="001C769F" w:rsidP="004E5C57">
            <w:pPr>
              <w:pStyle w:val="TableText0"/>
            </w:pPr>
            <w:r>
              <w:t>Written in English (unless the English abstract indicated a higher level of evidence than was otherwise identified)</w:t>
            </w:r>
          </w:p>
        </w:tc>
      </w:tr>
    </w:tbl>
    <w:p w14:paraId="7E63EB11" w14:textId="451996C8" w:rsidR="007322E3" w:rsidRPr="00183E4D" w:rsidRDefault="007322E3" w:rsidP="003637B4">
      <w:pPr>
        <w:pStyle w:val="Tablenotes0"/>
      </w:pPr>
      <w:r>
        <w:t>MeSH = medical subject heading</w:t>
      </w:r>
    </w:p>
    <w:p w14:paraId="5A3DDE13" w14:textId="77777777" w:rsidR="00ED65EE" w:rsidRPr="00183E4D" w:rsidRDefault="00ED65EE" w:rsidP="003816F6">
      <w:pPr>
        <w:pStyle w:val="Heading2"/>
        <w:numPr>
          <w:ilvl w:val="1"/>
          <w:numId w:val="12"/>
        </w:numPr>
      </w:pPr>
      <w:bookmarkStart w:id="158" w:name="_Toc39588281"/>
      <w:r w:rsidRPr="00183E4D">
        <w:t>Results of Literature Search</w:t>
      </w:r>
      <w:bookmarkEnd w:id="158"/>
    </w:p>
    <w:p w14:paraId="127D52E6" w14:textId="4B9E8059" w:rsidR="00A10EE2" w:rsidRPr="00DE3014" w:rsidRDefault="00A10EE2" w:rsidP="00A10EE2">
      <w:r w:rsidRPr="00A10EE2">
        <w:t xml:space="preserve">A PRISMA flowchart provides a graphic depiction of the results of the literature search and the application of the study selection criteria (listed in </w:t>
      </w:r>
      <w:r w:rsidRPr="00A10EE2">
        <w:fldChar w:fldCharType="begin"/>
      </w:r>
      <w:r w:rsidRPr="00A10EE2">
        <w:instrText xml:space="preserve"> REF _Ref395200496 \h </w:instrText>
      </w:r>
      <w:r w:rsidRPr="00A10EE2">
        <w:fldChar w:fldCharType="separate"/>
      </w:r>
      <w:r w:rsidR="004B21EF">
        <w:t xml:space="preserve">Box </w:t>
      </w:r>
      <w:r w:rsidR="004B21EF">
        <w:rPr>
          <w:noProof/>
        </w:rPr>
        <w:t>1</w:t>
      </w:r>
      <w:r w:rsidRPr="00A10EE2">
        <w:fldChar w:fldCharType="end"/>
      </w:r>
      <w:r w:rsidRPr="00A10EE2">
        <w:t xml:space="preserve"> and </w:t>
      </w:r>
      <w:r w:rsidR="004B21EF">
        <w:fldChar w:fldCharType="begin"/>
      </w:r>
      <w:r w:rsidR="004B21EF">
        <w:instrText xml:space="preserve"> REF _Ref34731232 \h </w:instrText>
      </w:r>
      <w:r w:rsidR="004B21EF">
        <w:fldChar w:fldCharType="separate"/>
      </w:r>
      <w:r w:rsidR="004B21EF" w:rsidRPr="00183E4D">
        <w:t xml:space="preserve">Figure </w:t>
      </w:r>
      <w:r w:rsidR="004B21EF">
        <w:rPr>
          <w:noProof/>
        </w:rPr>
        <w:t>6</w:t>
      </w:r>
      <w:r w:rsidR="004B21EF">
        <w:fldChar w:fldCharType="end"/>
      </w:r>
      <w:r w:rsidR="004B21EF">
        <w:t xml:space="preserve"> </w:t>
      </w:r>
      <w:r w:rsidR="00B0479F">
        <w:fldChar w:fldCharType="begin"/>
      </w:r>
      <w:r w:rsidR="00B0479F">
        <w:instrText xml:space="preserve"> ADDIN EN.CITE &lt;EndNote&gt;&lt;Cite&gt;&lt;Author&gt;Liberati&lt;/Author&gt;&lt;Year&gt;2009&lt;/Year&gt;&lt;RecNum&gt;106&lt;/RecNum&gt;&lt;DisplayText&gt;(Liberati et al. 2009)&lt;/DisplayText&gt;&lt;record&gt;&lt;rec-number&gt;106&lt;/rec-number&gt;&lt;foreign-keys&gt;&lt;key app="EN" db-id="r25zptaswpdzade29ws5pf9gx55ztppatt20" timestamp="1588653892"&gt;106&lt;/key&gt;&lt;/foreign-keys&gt;&lt;ref-type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Med&lt;/secondary-title&gt;&lt;/titles&gt;&lt;periodical&gt;&lt;full-title&gt;PLoS Med&lt;/full-title&gt;&lt;/periodical&gt;&lt;pages&gt;e1000100&lt;/pages&gt;&lt;volume&gt;6&lt;/volume&gt;&lt;number&gt;7&lt;/number&gt;&lt;edition&gt;2009/07/22&lt;/edition&gt;&lt;keywords&gt;&lt;keyword&gt;Evidence-Based Practice/standards&lt;/keyword&gt;&lt;keyword&gt;Humans&lt;/keyword&gt;&lt;keyword&gt;*Meta-Analysis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lt;/isbn&gt;&lt;accession-num&gt;19621070&lt;/accession-num&gt;&lt;urls&gt;&lt;related-urls&gt;&lt;url&gt;http://www.ncbi.nlm.nih.gov/entrez/query.fcgi?cmd=Retrieve&amp;amp;db=PubMed&amp;amp;dopt=Citation&amp;amp;list_uids=19621070&lt;/url&gt;&lt;url&gt;https://www.ncbi.nlm.nih.gov/pmc/articles/PMC2707010/pdf/pmed.1000100.pdf&lt;/url&gt;&lt;/related-urls&gt;&lt;/urls&gt;&lt;custom2&gt;2707010&lt;/custom2&gt;&lt;electronic-resource-num&gt;10.1371/journal.pmed.1000100&lt;/electronic-resource-num&gt;&lt;language&gt;eng&lt;/language&gt;&lt;/record&gt;&lt;/Cite&gt;&lt;/EndNote&gt;</w:instrText>
      </w:r>
      <w:r w:rsidR="00B0479F">
        <w:fldChar w:fldCharType="separate"/>
      </w:r>
      <w:r w:rsidR="00B0479F">
        <w:rPr>
          <w:noProof/>
        </w:rPr>
        <w:t>(Liberati et al. 2009)</w:t>
      </w:r>
      <w:r w:rsidR="00B0479F">
        <w:fldChar w:fldCharType="end"/>
      </w:r>
      <w:r w:rsidR="004B21EF">
        <w:t>)</w:t>
      </w:r>
      <w:r w:rsidRPr="00A10EE2">
        <w:t xml:space="preserve">. Studies were selected independently by two reviewers with a random sample receiving independent assessment. </w:t>
      </w:r>
    </w:p>
    <w:p w14:paraId="6CE20CC8" w14:textId="77777777" w:rsidR="00A10EE2" w:rsidRPr="00A10EE2" w:rsidRDefault="00A10EE2" w:rsidP="00A10EE2">
      <w:r w:rsidRPr="00A10EE2">
        <w:t>Disagreements regarding study selection were resolved by discussion and consensus between the reviewers.</w:t>
      </w:r>
    </w:p>
    <w:p w14:paraId="37113C95" w14:textId="24D80CB6" w:rsidR="00A10EE2" w:rsidRPr="00A10EE2" w:rsidRDefault="005D3C1F" w:rsidP="00A10EE2">
      <w:r>
        <w:lastRenderedPageBreak/>
        <w:t>A total of 7,601 articles were identified through the literature search and an additional 11 articles were identified through other sources. Following title and abstract screening 1,</w:t>
      </w:r>
      <w:r w:rsidR="00C01F8A">
        <w:t xml:space="preserve">090 </w:t>
      </w:r>
      <w:r>
        <w:t>articles were eligible for full</w:t>
      </w:r>
      <w:r w:rsidR="00217500">
        <w:t>-</w:t>
      </w:r>
      <w:r>
        <w:t xml:space="preserve">text review. Articles </w:t>
      </w:r>
      <w:r w:rsidR="00C01F8A">
        <w:t xml:space="preserve">that met the inclusion criteria but were excluded because data could not be extracted or was duplicated elsewhere, or the article could not be retrieved in time to be included are listed </w:t>
      </w:r>
      <w:r>
        <w:t xml:space="preserve">by reason for exclusion in </w:t>
      </w:r>
      <w:r w:rsidR="004B21EF">
        <w:fldChar w:fldCharType="begin"/>
      </w:r>
      <w:r w:rsidR="004B21EF">
        <w:instrText xml:space="preserve"> REF _Ref421611175 \h </w:instrText>
      </w:r>
      <w:r w:rsidR="004B21EF">
        <w:fldChar w:fldCharType="separate"/>
      </w:r>
      <w:r w:rsidR="004B21EF">
        <w:t xml:space="preserve">Appendix </w:t>
      </w:r>
      <w:r w:rsidR="004B21EF">
        <w:rPr>
          <w:noProof/>
        </w:rPr>
        <w:t>D</w:t>
      </w:r>
      <w:r w:rsidR="004B21EF">
        <w:fldChar w:fldCharType="end"/>
      </w:r>
      <w:r w:rsidR="004B21EF">
        <w:t>.</w:t>
      </w:r>
      <w:r w:rsidR="00A10EE2" w:rsidRPr="00A10EE2">
        <w:t xml:space="preserve"> All other studies that met the inclusion criteria are listed in </w:t>
      </w:r>
      <w:r w:rsidR="004B21EF">
        <w:fldChar w:fldCharType="begin"/>
      </w:r>
      <w:r w:rsidR="004B21EF">
        <w:instrText xml:space="preserve"> REF _Ref364237249 \h </w:instrText>
      </w:r>
      <w:r w:rsidR="004B21EF">
        <w:fldChar w:fldCharType="separate"/>
      </w:r>
      <w:r w:rsidR="004B21EF" w:rsidRPr="00183E4D">
        <w:t xml:space="preserve">Appendix </w:t>
      </w:r>
      <w:r w:rsidR="004B21EF">
        <w:rPr>
          <w:noProof/>
        </w:rPr>
        <w:t>C</w:t>
      </w:r>
      <w:r w:rsidR="004B21EF">
        <w:fldChar w:fldCharType="end"/>
      </w:r>
      <w:r w:rsidR="004B21EF">
        <w:t>.</w:t>
      </w:r>
    </w:p>
    <w:p w14:paraId="2B4DF792" w14:textId="77777777" w:rsidR="00ED65EE" w:rsidRPr="00183E4D" w:rsidRDefault="00C01F8A" w:rsidP="00ED65EE">
      <w:r>
        <w:rPr>
          <w:noProof/>
        </w:rPr>
        <w:drawing>
          <wp:inline distT="0" distB="0" distL="0" distR="0" wp14:anchorId="3491A664" wp14:editId="71A1715B">
            <wp:extent cx="5731510" cy="4911725"/>
            <wp:effectExtent l="0" t="0" r="2540" b="3175"/>
            <wp:docPr id="1" name="Picture 1" descr="PRISMA flowchart summarising the process for identifying articles for the systematic review." title="Figure 7  Summary of the process used to identify and select studies for th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911725"/>
                    </a:xfrm>
                    <a:prstGeom prst="rect">
                      <a:avLst/>
                    </a:prstGeom>
                  </pic:spPr>
                </pic:pic>
              </a:graphicData>
            </a:graphic>
          </wp:inline>
        </w:drawing>
      </w:r>
    </w:p>
    <w:p w14:paraId="691F74E7" w14:textId="79403493" w:rsidR="00ED65EE" w:rsidRPr="00183E4D" w:rsidRDefault="00ED65EE" w:rsidP="00ED65EE">
      <w:pPr>
        <w:pStyle w:val="Caption"/>
      </w:pPr>
      <w:bookmarkStart w:id="159" w:name="_Ref34731232"/>
      <w:bookmarkStart w:id="160" w:name="_Toc381969892"/>
      <w:bookmarkStart w:id="161" w:name="_Toc79672137"/>
      <w:r w:rsidRPr="00183E4D">
        <w:t xml:space="preserve">Figure </w:t>
      </w:r>
      <w:r w:rsidR="00E66384">
        <w:rPr>
          <w:noProof/>
        </w:rPr>
        <w:fldChar w:fldCharType="begin"/>
      </w:r>
      <w:r w:rsidR="00E66384">
        <w:rPr>
          <w:noProof/>
        </w:rPr>
        <w:instrText xml:space="preserve"> SEQ Figure \* ARABIC </w:instrText>
      </w:r>
      <w:r w:rsidR="00E66384">
        <w:rPr>
          <w:noProof/>
        </w:rPr>
        <w:fldChar w:fldCharType="separate"/>
      </w:r>
      <w:r w:rsidR="004B21EF">
        <w:rPr>
          <w:noProof/>
        </w:rPr>
        <w:t>6</w:t>
      </w:r>
      <w:r w:rsidR="00E66384">
        <w:rPr>
          <w:noProof/>
        </w:rPr>
        <w:fldChar w:fldCharType="end"/>
      </w:r>
      <w:bookmarkEnd w:id="159"/>
      <w:r w:rsidRPr="00183E4D">
        <w:t xml:space="preserve"> </w:t>
      </w:r>
      <w:r w:rsidRPr="00183E4D">
        <w:tab/>
        <w:t xml:space="preserve">Summary of the process used to identify and select studies for the </w:t>
      </w:r>
      <w:bookmarkEnd w:id="160"/>
      <w:r w:rsidRPr="00183E4D">
        <w:t>assessment</w:t>
      </w:r>
      <w:bookmarkEnd w:id="161"/>
      <w:r w:rsidRPr="00183E4D">
        <w:t xml:space="preserve"> </w:t>
      </w:r>
    </w:p>
    <w:p w14:paraId="76D4AC17" w14:textId="77777777" w:rsidR="005D3C1F" w:rsidRDefault="005D3C1F" w:rsidP="00A10EE2"/>
    <w:p w14:paraId="57DAD6F4" w14:textId="77777777" w:rsidR="00A10EE2" w:rsidRPr="00A10EE2" w:rsidRDefault="00A10EE2" w:rsidP="00A10EE2">
      <w:pPr>
        <w:rPr>
          <w:color w:val="000000"/>
        </w:rPr>
      </w:pPr>
      <w:r w:rsidRPr="00A10EE2">
        <w:t xml:space="preserve">A profile of each included study is given in </w:t>
      </w:r>
      <w:r w:rsidRPr="00A10EE2">
        <w:fldChar w:fldCharType="begin"/>
      </w:r>
      <w:r w:rsidRPr="00A10EE2">
        <w:instrText xml:space="preserve"> REF _Ref364237249 \h  \* MERGEFORMAT </w:instrText>
      </w:r>
      <w:r w:rsidRPr="00A10EE2">
        <w:fldChar w:fldCharType="separate"/>
      </w:r>
      <w:r w:rsidR="0014371E" w:rsidRPr="00183E4D">
        <w:t xml:space="preserve">Appendix </w:t>
      </w:r>
      <w:r w:rsidR="0014371E">
        <w:t>C</w:t>
      </w:r>
      <w:r w:rsidRPr="00A10EE2">
        <w:fldChar w:fldCharType="end"/>
      </w:r>
      <w:r w:rsidRPr="00A10EE2">
        <w:t xml:space="preserve">. </w:t>
      </w:r>
      <w:r w:rsidRPr="00A10EE2">
        <w:rPr>
          <w:color w:val="000000"/>
        </w:rPr>
        <w:t>This study profile describes the authors, study ID, publication year, study design and quality (level of evidence and risk of bias), study location, setting, study population characteristics, description of the test (and associated interventions), description of the comparator (and associated intervention</w:t>
      </w:r>
      <w:r w:rsidR="00360F71">
        <w:rPr>
          <w:color w:val="000000"/>
        </w:rPr>
        <w:t>s</w:t>
      </w:r>
      <w:r w:rsidRPr="00A10EE2">
        <w:rPr>
          <w:color w:val="000000"/>
        </w:rPr>
        <w:t xml:space="preserve">), description of the reference standard or evidentiary standard, the source of funding and the relevant outcomes assessed. </w:t>
      </w:r>
    </w:p>
    <w:p w14:paraId="01753E5D" w14:textId="77777777" w:rsidR="00A10EE2" w:rsidRDefault="00A10EE2" w:rsidP="00ED65EE"/>
    <w:p w14:paraId="09E62299" w14:textId="77777777" w:rsidR="00ED65EE" w:rsidRPr="00183E4D" w:rsidRDefault="00ED65EE" w:rsidP="00ED65EE">
      <w:pPr>
        <w:pStyle w:val="Heading2"/>
      </w:pPr>
      <w:bookmarkStart w:id="162" w:name="_Toc395200773"/>
      <w:bookmarkStart w:id="163" w:name="_Toc39588282"/>
      <w:r w:rsidRPr="00183E4D">
        <w:t>Appraisal of the evidence</w:t>
      </w:r>
      <w:bookmarkEnd w:id="162"/>
      <w:bookmarkEnd w:id="163"/>
    </w:p>
    <w:p w14:paraId="5CC9EC85" w14:textId="77777777" w:rsidR="00A10EE2" w:rsidRPr="00A10EE2" w:rsidRDefault="00A10EE2" w:rsidP="00A10EE2">
      <w:r w:rsidRPr="00A10EE2">
        <w:t xml:space="preserve">Appraisal of the evidence was conducted in </w:t>
      </w:r>
      <w:r w:rsidR="00550A1B">
        <w:t>four</w:t>
      </w:r>
      <w:r w:rsidRPr="00A10EE2">
        <w:t xml:space="preserve"> stages:</w:t>
      </w:r>
    </w:p>
    <w:p w14:paraId="4983A4B6" w14:textId="77777777" w:rsidR="00A10EE2" w:rsidRPr="00A10EE2" w:rsidRDefault="00A10EE2" w:rsidP="00A10EE2">
      <w:r w:rsidRPr="00A10EE2">
        <w:lastRenderedPageBreak/>
        <w:t xml:space="preserve">Stage 1: Appraisal of the risk of bias within individual studies (or </w:t>
      </w:r>
      <w:r w:rsidR="00673B9B">
        <w:t>SRs</w:t>
      </w:r>
      <w:r w:rsidRPr="00A10EE2">
        <w:t>) included in the review. Some risk of bias items were assessed for the study as a whole, while others were assessed at the outcome level. (Subsections B1.3, B3.3, B4.1.2, B5.1.1)</w:t>
      </w:r>
    </w:p>
    <w:p w14:paraId="5A52BBF9" w14:textId="77777777" w:rsidR="00A10EE2" w:rsidRPr="00A10EE2" w:rsidRDefault="00A10EE2" w:rsidP="00A10EE2">
      <w:r w:rsidRPr="00A10EE2">
        <w:t xml:space="preserve">Stage 2: Appraisal of the precision, size of effect and clinical importance of the results reported in the evidence base as they relate to the pre-specified primary outcomes for this assessment, and determining the assumed baseline risk where relevant. (Subsections B1.6, B3.6, B4.1.5, B5.1.4, B5.2.4) </w:t>
      </w:r>
    </w:p>
    <w:p w14:paraId="330221D7" w14:textId="77777777" w:rsidR="00A10EE2" w:rsidRPr="00A10EE2" w:rsidRDefault="00A10EE2" w:rsidP="00A10EE2">
      <w:r w:rsidRPr="00A10EE2">
        <w:t>Stage 3: Rating the overall quality of the evidence per outcome, across studies, based on the study limitations (risk of bias), imprecision, inconsistency of results, indirectness of evidence, and the likelihood of publication bias</w:t>
      </w:r>
      <w:r w:rsidR="00A121D0">
        <w:t>.</w:t>
      </w:r>
      <w:r w:rsidRPr="00A10EE2">
        <w:t xml:space="preserve"> (Evidence profile tables, </w:t>
      </w:r>
      <w:r w:rsidRPr="00A10EE2">
        <w:fldChar w:fldCharType="begin"/>
      </w:r>
      <w:r w:rsidRPr="00A10EE2">
        <w:instrText xml:space="preserve"> REF _Ref421611175 \h </w:instrText>
      </w:r>
      <w:r w:rsidRPr="00A10EE2">
        <w:fldChar w:fldCharType="separate"/>
      </w:r>
      <w:r w:rsidR="0014371E">
        <w:t xml:space="preserve">Appendix </w:t>
      </w:r>
      <w:r w:rsidR="0014371E">
        <w:rPr>
          <w:noProof/>
        </w:rPr>
        <w:t>D</w:t>
      </w:r>
      <w:r w:rsidRPr="00A10EE2">
        <w:fldChar w:fldCharType="end"/>
      </w:r>
      <w:r w:rsidRPr="00A10EE2">
        <w:t>).</w:t>
      </w:r>
    </w:p>
    <w:p w14:paraId="73D8FB89" w14:textId="77777777" w:rsidR="00A10EE2" w:rsidRDefault="00A10EE2" w:rsidP="00A10EE2">
      <w:r w:rsidRPr="00A10EE2">
        <w:t>Stage 4: Integration of this evidence (across outcomes) for conclusions about the net clinical benefit of the test and associated interventions in the context of Australian clinical practice. (Section B.8)</w:t>
      </w:r>
    </w:p>
    <w:p w14:paraId="6636AD14" w14:textId="77777777" w:rsidR="00ED65EE" w:rsidRPr="00183E4D" w:rsidRDefault="00ED65EE" w:rsidP="003816F6">
      <w:pPr>
        <w:pStyle w:val="Heading2"/>
        <w:numPr>
          <w:ilvl w:val="1"/>
          <w:numId w:val="12"/>
        </w:numPr>
      </w:pPr>
      <w:bookmarkStart w:id="164" w:name="_Toc39588283"/>
      <w:bookmarkStart w:id="165" w:name="_Toc381796464"/>
      <w:r w:rsidRPr="00183E4D">
        <w:t>Risk of Bias Assessment</w:t>
      </w:r>
      <w:bookmarkEnd w:id="164"/>
    </w:p>
    <w:bookmarkEnd w:id="165"/>
    <w:p w14:paraId="5A9AD146" w14:textId="4CC8FD27" w:rsidR="00A10EE2" w:rsidRPr="00A10EE2" w:rsidRDefault="00A10EE2" w:rsidP="00A10EE2">
      <w:r w:rsidRPr="00A10EE2">
        <w:t xml:space="preserve">Evidence retrieved from the searches was </w:t>
      </w:r>
      <w:r w:rsidR="00144575">
        <w:t>classified</w:t>
      </w:r>
      <w:r w:rsidRPr="00A10EE2">
        <w:t xml:space="preserve"> according to the NHMRC Dimensions of Evidence which are listed in </w:t>
      </w:r>
      <w:r w:rsidRPr="00A10EE2">
        <w:fldChar w:fldCharType="begin"/>
      </w:r>
      <w:r w:rsidRPr="00A10EE2">
        <w:instrText xml:space="preserve"> REF _Ref20218669 \h  \* MERGEFORMAT </w:instrText>
      </w:r>
      <w:r w:rsidRPr="00A10EE2">
        <w:fldChar w:fldCharType="separate"/>
      </w:r>
      <w:r w:rsidR="00387BBF" w:rsidRPr="008737A4">
        <w:t>Table</w:t>
      </w:r>
      <w:r w:rsidR="00387BBF" w:rsidRPr="00387BBF">
        <w:rPr>
          <w:b/>
        </w:rPr>
        <w:t xml:space="preserve"> </w:t>
      </w:r>
      <w:r w:rsidR="00387BBF">
        <w:rPr>
          <w:noProof/>
        </w:rPr>
        <w:t>13</w:t>
      </w:r>
      <w:r w:rsidRPr="00A10EE2">
        <w:fldChar w:fldCharType="end"/>
      </w:r>
      <w:r w:rsidRPr="00A10EE2">
        <w:t xml:space="preserve">. </w:t>
      </w:r>
    </w:p>
    <w:p w14:paraId="005B51AF" w14:textId="735A0E73" w:rsidR="00A10EE2" w:rsidRPr="00A10EE2" w:rsidRDefault="00A10EE2" w:rsidP="00A10EE2">
      <w:r w:rsidRPr="00A10EE2">
        <w:t xml:space="preserve">Study quality was evaluated and reported using an appropriate instrument for quality assessment: </w:t>
      </w:r>
      <w:r w:rsidR="00673B9B">
        <w:t>SRs</w:t>
      </w:r>
      <w:r w:rsidRPr="00A10EE2">
        <w:t xml:space="preserve"> were evaluated using the AMSTAR 2 checklist </w:t>
      </w:r>
      <w:r w:rsidRPr="00A10EE2">
        <w:fldChar w:fldCharType="begin"/>
      </w:r>
      <w:r w:rsidRPr="00A10EE2">
        <w:instrText xml:space="preserve"> ADDIN EN.CITE &lt;EndNote&gt;&lt;Cite&gt;&lt;Author&gt;Shea&lt;/Author&gt;&lt;Year&gt;2017&lt;/Year&gt;&lt;RecNum&gt;26&lt;/RecNum&gt;&lt;DisplayText&gt;(Shea et al. 2017)&lt;/DisplayText&gt;&lt;record&gt;&lt;rec-number&gt;26&lt;/rec-number&gt;&lt;foreign-keys&gt;&lt;key app="EN" db-id="9sr2s5razwzpt9e05eev2zvd9vt9tzefewr2" timestamp="1530075941"&gt;26&lt;/key&gt;&lt;/foreign-keys&gt;&lt;ref-type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Elizabeth&lt;/author&gt;&lt;author&gt;Henry, David A.&lt;/author&gt;&lt;/authors&gt;&lt;/contributors&gt;&lt;titles&gt;&lt;title&gt;AMSTAR 2: a critical appraisal tool for systematic reviews that include randomised or non-randomised studies of healthcare interventions, or both&lt;/title&gt;&lt;secondary-title&gt;BMJ&lt;/secondary-title&gt;&lt;/titles&gt;&lt;periodical&gt;&lt;full-title&gt;BMJ&lt;/full-title&gt;&lt;/periodical&gt;&lt;volume&gt;358&lt;/volume&gt;&lt;dates&gt;&lt;year&gt;2017&lt;/year&gt;&lt;/dates&gt;&lt;work-type&gt;10.1136/bmj.j4008&lt;/work-type&gt;&lt;urls&gt;&lt;related-urls&gt;&lt;url&gt;http://www.bmj.com/content/358/bmj.j4008.abstract&lt;/url&gt;&lt;/related-urls&gt;&lt;/urls&gt;&lt;/record&gt;&lt;/Cite&gt;&lt;/EndNote&gt;</w:instrText>
      </w:r>
      <w:r w:rsidRPr="00A10EE2">
        <w:fldChar w:fldCharType="separate"/>
      </w:r>
      <w:r w:rsidRPr="00A10EE2">
        <w:t>(Shea et al. 2017)</w:t>
      </w:r>
      <w:r w:rsidRPr="00A10EE2">
        <w:fldChar w:fldCharType="end"/>
      </w:r>
      <w:r w:rsidRPr="00A10EE2">
        <w:t xml:space="preserve">; randomised and non-randomised controlled trials and observational studies were evaluated using the SIGN checklists 2 and 3 </w:t>
      </w:r>
      <w:r w:rsidRPr="00A10EE2">
        <w:fldChar w:fldCharType="begin"/>
      </w:r>
      <w:r w:rsidR="008D3578">
        <w:instrText xml:space="preserve"> ADDIN EN.CITE &lt;EndNote&gt;&lt;Cite&gt;&lt;Author&gt;SIGN&lt;/Author&gt;&lt;Year&gt;2014&lt;/Year&gt;&lt;RecNum&gt;88&lt;/RecNum&gt;&lt;DisplayText&gt;(SIGN 2014)&lt;/DisplayText&gt;&lt;record&gt;&lt;rec-number&gt;88&lt;/rec-number&gt;&lt;foreign-keys&gt;&lt;key app="EN" db-id="s205ztsw6v99t1ee2r6vpat820d0x9tefftv" timestamp="1481089976"&gt;88&lt;/key&gt;&lt;/foreign-keys&gt;&lt;ref-type name="Report"&gt;27&lt;/ref-type&gt;&lt;contributors&gt;&lt;authors&gt;&lt;author&gt;SIGN&lt;/author&gt;&lt;/authors&gt;&lt;/contributors&gt;&lt;titles&gt;&lt;title&gt;SIGN 50: a guideline developer’s handbook (SIGN publication no. 50)&lt;/title&gt;&lt;/titles&gt;&lt;dates&gt;&lt;year&gt;2014&lt;/year&gt;&lt;pub-dates&gt;&lt;date&gt;October&lt;/date&gt;&lt;/pub-dates&gt;&lt;/dates&gt;&lt;pub-location&gt;Edinburgh&lt;/pub-location&gt;&lt;publisher&gt;Scottish Intercollegiate Guidelines Network&lt;/publisher&gt;&lt;urls&gt;&lt;related-urls&gt;&lt;url&gt; http://www.sign.ac.uk&lt;/url&gt;&lt;/related-urls&gt;&lt;/urls&gt;&lt;/record&gt;&lt;/Cite&gt;&lt;/EndNote&gt;</w:instrText>
      </w:r>
      <w:r w:rsidRPr="00A10EE2">
        <w:fldChar w:fldCharType="separate"/>
      </w:r>
      <w:r w:rsidRPr="00A10EE2">
        <w:rPr>
          <w:noProof/>
        </w:rPr>
        <w:t>(SIGN 2014)</w:t>
      </w:r>
      <w:r w:rsidRPr="00A10EE2">
        <w:fldChar w:fldCharType="end"/>
      </w:r>
      <w:r w:rsidRPr="00A10EE2">
        <w:t>, studies of diagnostic accuracy were evaluated using QUADAS 2</w:t>
      </w:r>
      <w:r w:rsidR="00F83B0E">
        <w:t xml:space="preserve"> </w:t>
      </w:r>
      <w:r w:rsidR="00F83B0E">
        <w:fldChar w:fldCharType="begin"/>
      </w:r>
      <w:r w:rsidR="00F83B0E">
        <w:instrText xml:space="preserve"> ADDIN EN.CITE &lt;EndNote&gt;&lt;Cite&gt;&lt;Author&gt;Whiting&lt;/Author&gt;&lt;Year&gt;2011&lt;/Year&gt;&lt;RecNum&gt;63&lt;/RecNum&gt;&lt;DisplayText&gt;(Whiting et al. 2011)&lt;/DisplayText&gt;&lt;record&gt;&lt;rec-number&gt;63&lt;/rec-number&gt;&lt;foreign-keys&gt;&lt;key app="EN" db-id="r25zptaswpdzade29ws5pf9gx55ztppatt20" timestamp="1580177161"&gt;63&lt;/key&gt;&lt;/foreign-keys&gt;&lt;ref-type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00F83B0E">
        <w:fldChar w:fldCharType="separate"/>
      </w:r>
      <w:r w:rsidR="00F83B0E">
        <w:rPr>
          <w:noProof/>
        </w:rPr>
        <w:t>(Whiting et al. 2011)</w:t>
      </w:r>
      <w:r w:rsidR="00F83B0E">
        <w:fldChar w:fldCharType="end"/>
      </w:r>
      <w:r w:rsidRPr="00A10EE2">
        <w:t>; and case series were evaluated using the Institute of Health Economics (IHE) checklist</w:t>
      </w:r>
      <w:r w:rsidR="00974FF4">
        <w:fldChar w:fldCharType="begin"/>
      </w:r>
      <w:r w:rsidR="00D96694">
        <w:instrText xml:space="preserve"> ADDIN EN.CITE &lt;EndNote&gt;&lt;Cite&gt;&lt;Author&gt;IHE&lt;/Author&gt;&lt;Year&gt;2016&lt;/Year&gt;&lt;RecNum&gt;94&lt;/RecNum&gt;&lt;DisplayText&gt;(IHE 2016)&lt;/DisplayText&gt;&lt;record&gt;&lt;rec-number&gt;94&lt;/rec-number&gt;&lt;foreign-keys&gt;&lt;key app="EN" db-id="r25zptaswpdzade29ws5pf9gx55ztppatt20" timestamp="1585525473"&gt;94&lt;/key&gt;&lt;/foreign-keys&gt;&lt;ref-type name="Report"&gt;27&lt;/ref-type&gt;&lt;contributors&gt;&lt;authors&gt;&lt;author&gt; IHE&lt;/author&gt;&lt;/authors&gt;&lt;/contributors&gt;&lt;titles&gt;&lt;title&gt;Institute of Health Economics: Quality Appraisal of Case Series Studies Checklist&lt;/title&gt;&lt;/titles&gt;&lt;dates&gt;&lt;year&gt;2016&lt;/year&gt;&lt;/dates&gt;&lt;pub-location&gt;Edmonton (AB)&lt;/pub-location&gt;&lt;urls&gt;&lt;related-urls&gt;&lt;url&gt;&lt;style face="underline" font="default" size="100%"&gt;http://www.ihe.ca/research-programs/rmd/cssqac/cssqac-about&lt;/style&gt;&lt;/url&gt;&lt;/related-urls&gt;&lt;/urls&gt;&lt;/record&gt;&lt;/Cite&gt;&lt;/EndNote&gt;</w:instrText>
      </w:r>
      <w:r w:rsidR="00974FF4">
        <w:fldChar w:fldCharType="separate"/>
      </w:r>
      <w:r w:rsidR="00974FF4">
        <w:rPr>
          <w:noProof/>
        </w:rPr>
        <w:t>(IHE 2016)</w:t>
      </w:r>
      <w:r w:rsidR="00974FF4">
        <w:fldChar w:fldCharType="end"/>
      </w:r>
      <w:r w:rsidRPr="00A10EE2">
        <w:t xml:space="preserve">. </w:t>
      </w:r>
    </w:p>
    <w:p w14:paraId="4A596597" w14:textId="77777777" w:rsidR="00A10EE2" w:rsidRPr="00A10EE2" w:rsidRDefault="00A10EE2" w:rsidP="00A10EE2">
      <w:r w:rsidRPr="00A10EE2">
        <w:t xml:space="preserve">In addition to the individual studies, the overall body of evidence was assessed using GRADE </w:t>
      </w:r>
      <w:r w:rsidRPr="00A10EE2">
        <w:fldChar w:fldCharType="begin">
          <w:fldData xml:space="preserve">PEVuZE5vdGU+PENpdGU+PEF1dGhvcj5HdXlhdHQ8L0F1dGhvcj48WWVhcj4yMDExPC9ZZWFyPjxS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=
</w:fldData>
        </w:fldChar>
      </w:r>
      <w:r w:rsidR="008D3578">
        <w:instrText xml:space="preserve"> ADDIN EN.CITE </w:instrText>
      </w:r>
      <w:r w:rsidR="008D3578">
        <w:fldChar w:fldCharType="begin">
          <w:fldData xml:space="preserve">PEVuZE5vdGU+PENpdGU+PEF1dGhvcj5HdXlhdHQ8L0F1dGhvcj48WWVhcj4yMDExPC9ZZWFyPjxS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=
</w:fldData>
        </w:fldChar>
      </w:r>
      <w:r w:rsidR="008D3578">
        <w:instrText xml:space="preserve"> ADDIN EN.CITE.DATA </w:instrText>
      </w:r>
      <w:r w:rsidR="008D3578">
        <w:fldChar w:fldCharType="end"/>
      </w:r>
      <w:r w:rsidRPr="00A10EE2">
        <w:fldChar w:fldCharType="separate"/>
      </w:r>
      <w:r w:rsidRPr="00A10EE2">
        <w:rPr>
          <w:noProof/>
        </w:rPr>
        <w:t>(Guyatt et al. 2011)</w:t>
      </w:r>
      <w:r w:rsidRPr="00A10EE2">
        <w:fldChar w:fldCharType="end"/>
      </w:r>
      <w:r w:rsidRPr="00A10EE2">
        <w:t xml:space="preserve">. For critical health outcomes assessed, a balance sheet of clinical benefits and harms associated with AQP4-Ab testing in the key studies identified was constructed based on the GRADE evidence profile table. The health outcomes pre-specified </w:t>
      </w:r>
      <w:r w:rsidR="00144575">
        <w:t>i</w:t>
      </w:r>
      <w:r w:rsidRPr="00A10EE2">
        <w:t>n the PICO criteria are:</w:t>
      </w:r>
    </w:p>
    <w:p w14:paraId="629B227A" w14:textId="77777777" w:rsidR="00A10EE2" w:rsidRPr="00A10EE2" w:rsidRDefault="00A10EE2" w:rsidP="00A10EE2">
      <w:pPr>
        <w:spacing w:after="80" w:line="240" w:lineRule="exact"/>
        <w:rPr>
          <w:u w:val="single"/>
        </w:rPr>
      </w:pPr>
      <w:r w:rsidRPr="00A10EE2">
        <w:rPr>
          <w:u w:val="single"/>
        </w:rPr>
        <w:t>Safety (test related):</w:t>
      </w:r>
    </w:p>
    <w:p w14:paraId="74869BA0" w14:textId="77777777" w:rsidR="00A10EE2" w:rsidRPr="00A10EE2" w:rsidRDefault="00A10EE2" w:rsidP="003816F6">
      <w:pPr>
        <w:numPr>
          <w:ilvl w:val="0"/>
          <w:numId w:val="22"/>
        </w:numPr>
        <w:spacing w:after="80" w:line="240" w:lineRule="exact"/>
      </w:pPr>
      <w:r w:rsidRPr="00A10EE2">
        <w:t>Harm to patient resulting from:</w:t>
      </w:r>
    </w:p>
    <w:p w14:paraId="6B0D4C3F" w14:textId="77777777" w:rsidR="00A10EE2" w:rsidRPr="00A10EE2" w:rsidRDefault="00A10EE2" w:rsidP="003816F6">
      <w:pPr>
        <w:numPr>
          <w:ilvl w:val="1"/>
          <w:numId w:val="22"/>
        </w:numPr>
        <w:spacing w:after="80" w:line="240" w:lineRule="exact"/>
        <w:ind w:left="2127" w:hanging="284"/>
      </w:pPr>
      <w:r w:rsidRPr="00A10EE2">
        <w:t>Blood collection (e.g. needle stick injuries) or serum (blood) analysis;</w:t>
      </w:r>
    </w:p>
    <w:p w14:paraId="7833084A" w14:textId="77777777" w:rsidR="00A10EE2" w:rsidRPr="00A10EE2" w:rsidRDefault="00A10EE2" w:rsidP="003816F6">
      <w:pPr>
        <w:numPr>
          <w:ilvl w:val="1"/>
          <w:numId w:val="22"/>
        </w:numPr>
        <w:spacing w:line="240" w:lineRule="exact"/>
        <w:ind w:left="2127" w:hanging="284"/>
      </w:pPr>
      <w:r w:rsidRPr="00A10EE2">
        <w:t>Consequences of true or false test results.</w:t>
      </w:r>
    </w:p>
    <w:p w14:paraId="58D20561" w14:textId="77777777" w:rsidR="00A10EE2" w:rsidRPr="00A10EE2" w:rsidRDefault="00A10EE2" w:rsidP="00A10EE2">
      <w:pPr>
        <w:spacing w:after="80" w:line="240" w:lineRule="exact"/>
        <w:rPr>
          <w:u w:val="single"/>
        </w:rPr>
      </w:pPr>
      <w:r w:rsidRPr="00A10EE2">
        <w:rPr>
          <w:u w:val="single"/>
        </w:rPr>
        <w:t>Effectiveness:</w:t>
      </w:r>
    </w:p>
    <w:p w14:paraId="0C2535E1" w14:textId="77777777" w:rsidR="00A10EE2" w:rsidRPr="00A10EE2" w:rsidRDefault="00A10EE2" w:rsidP="003816F6">
      <w:pPr>
        <w:numPr>
          <w:ilvl w:val="0"/>
          <w:numId w:val="22"/>
        </w:numPr>
        <w:spacing w:after="80" w:line="240" w:lineRule="exact"/>
      </w:pPr>
      <w:r w:rsidRPr="00A10EE2">
        <w:t>Mortality;</w:t>
      </w:r>
    </w:p>
    <w:p w14:paraId="0A90B1D6" w14:textId="77777777" w:rsidR="00A10EE2" w:rsidRPr="00A10EE2" w:rsidRDefault="00A10EE2" w:rsidP="003816F6">
      <w:pPr>
        <w:numPr>
          <w:ilvl w:val="0"/>
          <w:numId w:val="22"/>
        </w:numPr>
        <w:spacing w:after="80" w:line="240" w:lineRule="exact"/>
      </w:pPr>
      <w:r w:rsidRPr="00A10EE2">
        <w:t>Disability rates and severity (e.g. blindness, paraplegia);</w:t>
      </w:r>
    </w:p>
    <w:p w14:paraId="6C0321F3" w14:textId="77777777" w:rsidR="00A10EE2" w:rsidRPr="00A10EE2" w:rsidRDefault="00A10EE2" w:rsidP="003816F6">
      <w:pPr>
        <w:numPr>
          <w:ilvl w:val="0"/>
          <w:numId w:val="22"/>
        </w:numPr>
        <w:spacing w:after="80" w:line="240" w:lineRule="exact"/>
      </w:pPr>
      <w:r w:rsidRPr="00A10EE2">
        <w:t>Remission and improvement of relapse-associated symptoms;</w:t>
      </w:r>
    </w:p>
    <w:p w14:paraId="4F3A64DB" w14:textId="77777777" w:rsidR="00A10EE2" w:rsidRPr="00A10EE2" w:rsidRDefault="00A10EE2" w:rsidP="003816F6">
      <w:pPr>
        <w:numPr>
          <w:ilvl w:val="0"/>
          <w:numId w:val="22"/>
        </w:numPr>
        <w:spacing w:after="80" w:line="240" w:lineRule="exact"/>
      </w:pPr>
      <w:r w:rsidRPr="00A10EE2">
        <w:t>Long-term stabilisation of disease course by means of relapse prevention;</w:t>
      </w:r>
    </w:p>
    <w:p w14:paraId="0E3C0FE3" w14:textId="77777777" w:rsidR="00A10EE2" w:rsidRPr="00A10EE2" w:rsidRDefault="00A10EE2" w:rsidP="003816F6">
      <w:pPr>
        <w:numPr>
          <w:ilvl w:val="0"/>
          <w:numId w:val="22"/>
        </w:numPr>
        <w:spacing w:after="80" w:line="240" w:lineRule="exact"/>
      </w:pPr>
      <w:r w:rsidRPr="00A10EE2">
        <w:t>Annualised relapse rates;</w:t>
      </w:r>
    </w:p>
    <w:p w14:paraId="313A2147" w14:textId="77777777" w:rsidR="00A10EE2" w:rsidRPr="00A10EE2" w:rsidRDefault="00A10EE2" w:rsidP="003816F6">
      <w:pPr>
        <w:numPr>
          <w:ilvl w:val="0"/>
          <w:numId w:val="22"/>
        </w:numPr>
        <w:spacing w:after="80" w:line="240" w:lineRule="exact"/>
      </w:pPr>
      <w:r w:rsidRPr="00A10EE2">
        <w:t>Frequency of lesion occurrence;</w:t>
      </w:r>
    </w:p>
    <w:p w14:paraId="1E1B61E8" w14:textId="77777777" w:rsidR="00A10EE2" w:rsidRPr="00A10EE2" w:rsidRDefault="00A10EE2" w:rsidP="003816F6">
      <w:pPr>
        <w:numPr>
          <w:ilvl w:val="0"/>
          <w:numId w:val="22"/>
        </w:numPr>
        <w:spacing w:line="240" w:lineRule="exact"/>
      </w:pPr>
      <w:r w:rsidRPr="00A10EE2">
        <w:t>Quality of life.</w:t>
      </w:r>
    </w:p>
    <w:p w14:paraId="64138548" w14:textId="5BECFDC3" w:rsidR="003637B4" w:rsidRPr="003637B4" w:rsidRDefault="00B0362D" w:rsidP="003637B4">
      <w:pPr>
        <w:spacing w:line="240" w:lineRule="exact"/>
      </w:pPr>
      <w:r w:rsidRPr="008737A4">
        <w:t xml:space="preserve">The GRADE outcomes </w:t>
      </w:r>
      <w:r w:rsidR="000F5C13">
        <w:t>provide a</w:t>
      </w:r>
      <w:r w:rsidRPr="008737A4">
        <w:t xml:space="preserve"> key element in the formation of conclusions from this report.</w:t>
      </w:r>
      <w:bookmarkStart w:id="166" w:name="_Ref20218669"/>
      <w:bookmarkStart w:id="167" w:name="_Toc20406534"/>
      <w:bookmarkStart w:id="168" w:name="_Toc39580794"/>
      <w:r w:rsidR="003637B4">
        <w:br w:type="page"/>
      </w:r>
    </w:p>
    <w:p w14:paraId="450AF026" w14:textId="01BA531F" w:rsidR="00B0362D" w:rsidRPr="008737A4" w:rsidRDefault="00B0362D" w:rsidP="00B0362D">
      <w:pPr>
        <w:pStyle w:val="Caption"/>
      </w:pPr>
      <w:r w:rsidRPr="008737A4">
        <w:lastRenderedPageBreak/>
        <w:t xml:space="preserve">Table </w:t>
      </w:r>
      <w:fldSimple w:instr=" SEQ Table \* ARABIC ">
        <w:r w:rsidR="00FA7BCD">
          <w:rPr>
            <w:noProof/>
          </w:rPr>
          <w:t>13</w:t>
        </w:r>
      </w:fldSimple>
      <w:bookmarkEnd w:id="166"/>
      <w:r w:rsidRPr="008737A4">
        <w:tab/>
        <w:t>Des</w:t>
      </w:r>
      <w:r w:rsidR="001B34E4">
        <w:t>ignations of levels of evidence</w:t>
      </w:r>
      <w:r w:rsidRPr="008737A4">
        <w:t xml:space="preserve"> according to type of research question (including table notes)</w:t>
      </w:r>
      <w:bookmarkEnd w:id="167"/>
      <w:bookmarkEnd w:id="168"/>
    </w:p>
    <w:tbl>
      <w:tblPr>
        <w:tblStyle w:val="TableGrid1"/>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Table 13 Designations of levels of evidence according to type of research question (including table notes)"/>
        <w:tblDescription w:val="A description sof the levels of evidence used to appraise studies included in the systematic review."/>
      </w:tblPr>
      <w:tblGrid>
        <w:gridCol w:w="567"/>
        <w:gridCol w:w="3969"/>
        <w:gridCol w:w="4394"/>
      </w:tblGrid>
      <w:tr w:rsidR="00B0362D" w:rsidRPr="00B0362D" w14:paraId="158FEF19" w14:textId="77777777" w:rsidTr="003637B4">
        <w:trPr>
          <w:cnfStyle w:val="100000000000" w:firstRow="1" w:lastRow="0" w:firstColumn="0" w:lastColumn="0" w:oddVBand="0" w:evenVBand="0" w:oddHBand="0" w:evenHBand="0" w:firstRowFirstColumn="0" w:firstRowLastColumn="0" w:lastRowFirstColumn="0" w:lastRowLastColumn="0"/>
        </w:trPr>
        <w:tc>
          <w:tcPr>
            <w:tcW w:w="567" w:type="dxa"/>
          </w:tcPr>
          <w:p w14:paraId="4FABCDDA" w14:textId="77777777" w:rsidR="00B0362D" w:rsidRPr="00B0362D" w:rsidRDefault="00B0362D" w:rsidP="00DE6874">
            <w:pPr>
              <w:rPr>
                <w:rFonts w:ascii="Arial Narrow" w:hAnsi="Arial Narrow"/>
              </w:rPr>
            </w:pPr>
            <w:r w:rsidRPr="00B0362D">
              <w:rPr>
                <w:rFonts w:ascii="Arial Narrow" w:hAnsi="Arial Narrow"/>
                <w:b/>
                <w:bCs/>
              </w:rPr>
              <w:t>Level</w:t>
            </w:r>
          </w:p>
        </w:tc>
        <w:tc>
          <w:tcPr>
            <w:tcW w:w="3969" w:type="dxa"/>
          </w:tcPr>
          <w:p w14:paraId="0D04FB31" w14:textId="77777777" w:rsidR="00B0362D" w:rsidRPr="00B0362D" w:rsidRDefault="00B0362D" w:rsidP="00DE6874">
            <w:pPr>
              <w:rPr>
                <w:rFonts w:ascii="Arial Narrow" w:hAnsi="Arial Narrow"/>
              </w:rPr>
            </w:pPr>
            <w:r w:rsidRPr="00B0362D">
              <w:rPr>
                <w:rFonts w:ascii="Arial Narrow" w:hAnsi="Arial Narrow"/>
                <w:b/>
                <w:bCs/>
              </w:rPr>
              <w:t>Intervention</w:t>
            </w:r>
            <w:r w:rsidRPr="00B0362D">
              <w:rPr>
                <w:rFonts w:ascii="Arial Narrow" w:hAnsi="Arial Narrow"/>
                <w:b/>
                <w:bCs/>
                <w:vertAlign w:val="superscript"/>
              </w:rPr>
              <w:t xml:space="preserve"> 1</w:t>
            </w:r>
          </w:p>
        </w:tc>
        <w:tc>
          <w:tcPr>
            <w:tcW w:w="4394" w:type="dxa"/>
          </w:tcPr>
          <w:p w14:paraId="132535DC" w14:textId="77777777" w:rsidR="00B0362D" w:rsidRPr="00B0362D" w:rsidRDefault="00B0362D" w:rsidP="00DE6874">
            <w:pPr>
              <w:rPr>
                <w:rFonts w:ascii="Arial Narrow" w:hAnsi="Arial Narrow"/>
              </w:rPr>
            </w:pPr>
            <w:r w:rsidRPr="00B0362D">
              <w:rPr>
                <w:rFonts w:ascii="Arial Narrow" w:hAnsi="Arial Narrow"/>
                <w:b/>
                <w:bCs/>
              </w:rPr>
              <w:t xml:space="preserve">Diagnostic accuracy </w:t>
            </w:r>
            <w:r w:rsidRPr="00B0362D">
              <w:rPr>
                <w:rFonts w:ascii="Arial Narrow" w:hAnsi="Arial Narrow"/>
                <w:b/>
                <w:bCs/>
                <w:vertAlign w:val="superscript"/>
              </w:rPr>
              <w:t>2</w:t>
            </w:r>
          </w:p>
        </w:tc>
      </w:tr>
      <w:tr w:rsidR="00B0362D" w:rsidRPr="00B0362D" w14:paraId="614FA141" w14:textId="77777777" w:rsidTr="003637B4">
        <w:tc>
          <w:tcPr>
            <w:tcW w:w="567" w:type="dxa"/>
          </w:tcPr>
          <w:p w14:paraId="4DD45212" w14:textId="77777777" w:rsidR="00B0362D" w:rsidRPr="00B0362D" w:rsidRDefault="00B0362D" w:rsidP="00DE6874">
            <w:pPr>
              <w:rPr>
                <w:rFonts w:ascii="Arial Narrow" w:hAnsi="Arial Narrow"/>
              </w:rPr>
            </w:pPr>
            <w:r w:rsidRPr="00B0362D">
              <w:rPr>
                <w:rFonts w:ascii="Arial Narrow" w:hAnsi="Arial Narrow"/>
              </w:rPr>
              <w:t xml:space="preserve">I </w:t>
            </w:r>
            <w:r w:rsidRPr="001B34E4">
              <w:rPr>
                <w:rFonts w:ascii="Arial Narrow" w:hAnsi="Arial Narrow"/>
                <w:vertAlign w:val="superscript"/>
              </w:rPr>
              <w:t>4</w:t>
            </w:r>
          </w:p>
        </w:tc>
        <w:tc>
          <w:tcPr>
            <w:tcW w:w="3969" w:type="dxa"/>
          </w:tcPr>
          <w:p w14:paraId="655D5B06" w14:textId="77777777" w:rsidR="00B0362D" w:rsidRPr="00B0362D" w:rsidRDefault="00B0362D" w:rsidP="00DE6874">
            <w:pPr>
              <w:jc w:val="left"/>
              <w:rPr>
                <w:rFonts w:ascii="Arial Narrow" w:hAnsi="Arial Narrow"/>
              </w:rPr>
            </w:pPr>
            <w:r w:rsidRPr="00B0362D">
              <w:rPr>
                <w:rFonts w:ascii="Arial Narrow" w:hAnsi="Arial Narrow"/>
              </w:rPr>
              <w:t>A systematic review of level II studies</w:t>
            </w:r>
          </w:p>
        </w:tc>
        <w:tc>
          <w:tcPr>
            <w:tcW w:w="4394" w:type="dxa"/>
          </w:tcPr>
          <w:p w14:paraId="4979D0E4" w14:textId="77777777" w:rsidR="00B0362D" w:rsidRPr="00B0362D" w:rsidRDefault="00B0362D" w:rsidP="00DE6874">
            <w:pPr>
              <w:jc w:val="left"/>
              <w:rPr>
                <w:rFonts w:ascii="Arial Narrow" w:hAnsi="Arial Narrow"/>
              </w:rPr>
            </w:pPr>
            <w:r w:rsidRPr="00B0362D">
              <w:rPr>
                <w:rFonts w:ascii="Arial Narrow" w:hAnsi="Arial Narrow"/>
              </w:rPr>
              <w:t>A systematic review of level II studies</w:t>
            </w:r>
          </w:p>
        </w:tc>
      </w:tr>
      <w:tr w:rsidR="00B0362D" w:rsidRPr="00B0362D" w14:paraId="638AD14B" w14:textId="77777777" w:rsidTr="003637B4">
        <w:tc>
          <w:tcPr>
            <w:tcW w:w="567" w:type="dxa"/>
          </w:tcPr>
          <w:p w14:paraId="46EA2011" w14:textId="77777777" w:rsidR="00B0362D" w:rsidRPr="00B0362D" w:rsidRDefault="00B0362D" w:rsidP="00DE6874">
            <w:pPr>
              <w:rPr>
                <w:rFonts w:ascii="Arial Narrow" w:hAnsi="Arial Narrow"/>
              </w:rPr>
            </w:pPr>
            <w:r w:rsidRPr="00B0362D">
              <w:rPr>
                <w:rFonts w:ascii="Arial Narrow" w:hAnsi="Arial Narrow"/>
              </w:rPr>
              <w:t>II</w:t>
            </w:r>
          </w:p>
        </w:tc>
        <w:tc>
          <w:tcPr>
            <w:tcW w:w="3969" w:type="dxa"/>
          </w:tcPr>
          <w:p w14:paraId="1EDD03C5" w14:textId="77777777" w:rsidR="00B0362D" w:rsidRPr="00B0362D" w:rsidRDefault="00B0362D" w:rsidP="00DE6874">
            <w:pPr>
              <w:jc w:val="left"/>
              <w:rPr>
                <w:rFonts w:ascii="Arial Narrow" w:hAnsi="Arial Narrow"/>
              </w:rPr>
            </w:pPr>
            <w:r w:rsidRPr="00B0362D">
              <w:rPr>
                <w:rFonts w:ascii="Arial Narrow" w:hAnsi="Arial Narrow"/>
              </w:rPr>
              <w:t>A randomised controlled trial</w:t>
            </w:r>
          </w:p>
        </w:tc>
        <w:tc>
          <w:tcPr>
            <w:tcW w:w="4394" w:type="dxa"/>
          </w:tcPr>
          <w:p w14:paraId="1FE65D02" w14:textId="77777777" w:rsidR="00B0362D" w:rsidRPr="00B0362D" w:rsidRDefault="00B0362D" w:rsidP="00DE6874">
            <w:pPr>
              <w:jc w:val="left"/>
              <w:rPr>
                <w:rFonts w:ascii="Arial Narrow" w:hAnsi="Arial Narrow"/>
              </w:rPr>
            </w:pPr>
            <w:r w:rsidRPr="00B0362D">
              <w:rPr>
                <w:rFonts w:ascii="Arial Narrow" w:hAnsi="Arial Narrow"/>
              </w:rPr>
              <w:t>A study of test accuracy with: an independent, blinded comparison with a valid reference standard,</w:t>
            </w:r>
            <w:r w:rsidRPr="001B34E4">
              <w:rPr>
                <w:rFonts w:ascii="Arial Narrow" w:hAnsi="Arial Narrow"/>
                <w:vertAlign w:val="superscript"/>
              </w:rPr>
              <w:t>3</w:t>
            </w:r>
            <w:r w:rsidRPr="00B0362D">
              <w:rPr>
                <w:rFonts w:ascii="Arial Narrow" w:hAnsi="Arial Narrow"/>
              </w:rPr>
              <w:t xml:space="preserve"> among consecutive persons with a defined clinical presentation</w:t>
            </w:r>
            <w:r w:rsidRPr="001B34E4">
              <w:rPr>
                <w:rFonts w:ascii="Arial Narrow" w:hAnsi="Arial Narrow"/>
                <w:vertAlign w:val="superscript"/>
              </w:rPr>
              <w:t>5</w:t>
            </w:r>
          </w:p>
        </w:tc>
      </w:tr>
      <w:tr w:rsidR="00B0362D" w:rsidRPr="00B0362D" w14:paraId="27F15A01" w14:textId="77777777" w:rsidTr="003637B4">
        <w:tc>
          <w:tcPr>
            <w:tcW w:w="567" w:type="dxa"/>
          </w:tcPr>
          <w:p w14:paraId="5F8C1398" w14:textId="77777777" w:rsidR="00B0362D" w:rsidRPr="00B0362D" w:rsidRDefault="00B0362D" w:rsidP="00DE6874">
            <w:pPr>
              <w:rPr>
                <w:rFonts w:ascii="Arial Narrow" w:hAnsi="Arial Narrow"/>
              </w:rPr>
            </w:pPr>
            <w:r w:rsidRPr="00B0362D">
              <w:rPr>
                <w:rFonts w:ascii="Arial Narrow" w:hAnsi="Arial Narrow"/>
              </w:rPr>
              <w:t>III-1</w:t>
            </w:r>
          </w:p>
        </w:tc>
        <w:tc>
          <w:tcPr>
            <w:tcW w:w="3969" w:type="dxa"/>
          </w:tcPr>
          <w:p w14:paraId="1BD896E5" w14:textId="77777777" w:rsidR="00B0362D" w:rsidRPr="00B0362D" w:rsidRDefault="00B0362D" w:rsidP="00DE6874">
            <w:pPr>
              <w:jc w:val="left"/>
              <w:rPr>
                <w:rFonts w:ascii="Arial Narrow" w:hAnsi="Arial Narrow"/>
              </w:rPr>
            </w:pPr>
            <w:r w:rsidRPr="00B0362D">
              <w:rPr>
                <w:rFonts w:ascii="Arial Narrow" w:hAnsi="Arial Narrow"/>
              </w:rPr>
              <w:t>A pseudorandomised controlled trial</w:t>
            </w:r>
            <w:r w:rsidRPr="00B0362D">
              <w:rPr>
                <w:rFonts w:ascii="Arial Narrow" w:hAnsi="Arial Narrow"/>
              </w:rPr>
              <w:br/>
              <w:t>(i.e. alternate allocation or some other method)</w:t>
            </w:r>
          </w:p>
        </w:tc>
        <w:tc>
          <w:tcPr>
            <w:tcW w:w="4394" w:type="dxa"/>
          </w:tcPr>
          <w:p w14:paraId="5F219F83" w14:textId="77777777" w:rsidR="00B0362D" w:rsidRPr="00B0362D" w:rsidRDefault="00B0362D" w:rsidP="00DE6874">
            <w:pPr>
              <w:jc w:val="left"/>
              <w:rPr>
                <w:rFonts w:ascii="Arial Narrow" w:hAnsi="Arial Narrow"/>
              </w:rPr>
            </w:pPr>
            <w:r w:rsidRPr="00B0362D">
              <w:rPr>
                <w:rFonts w:ascii="Arial Narrow" w:hAnsi="Arial Narrow"/>
              </w:rPr>
              <w:t>A study of test accuracy with: an independent, blinded comparison with a valid reference standard,</w:t>
            </w:r>
            <w:r w:rsidRPr="001B34E4">
              <w:rPr>
                <w:rFonts w:ascii="Arial Narrow" w:hAnsi="Arial Narrow"/>
                <w:vertAlign w:val="superscript"/>
              </w:rPr>
              <w:t>3</w:t>
            </w:r>
            <w:r w:rsidRPr="00B0362D">
              <w:rPr>
                <w:rFonts w:ascii="Arial Narrow" w:hAnsi="Arial Narrow"/>
              </w:rPr>
              <w:t xml:space="preserve"> among non-consecutive persons with a defined clinical presentation</w:t>
            </w:r>
            <w:r w:rsidRPr="001B34E4">
              <w:rPr>
                <w:rFonts w:ascii="Arial Narrow" w:hAnsi="Arial Narrow"/>
                <w:vertAlign w:val="superscript"/>
              </w:rPr>
              <w:t>5</w:t>
            </w:r>
          </w:p>
        </w:tc>
      </w:tr>
      <w:tr w:rsidR="00B0362D" w:rsidRPr="00B0362D" w14:paraId="285F002A" w14:textId="77777777" w:rsidTr="003637B4">
        <w:tc>
          <w:tcPr>
            <w:tcW w:w="567" w:type="dxa"/>
          </w:tcPr>
          <w:p w14:paraId="7116A40A" w14:textId="77777777" w:rsidR="00B0362D" w:rsidRPr="00B0362D" w:rsidRDefault="00B0362D" w:rsidP="00DE6874">
            <w:pPr>
              <w:rPr>
                <w:rFonts w:ascii="Arial Narrow" w:hAnsi="Arial Narrow"/>
              </w:rPr>
            </w:pPr>
            <w:r w:rsidRPr="00B0362D">
              <w:rPr>
                <w:rFonts w:ascii="Arial Narrow" w:hAnsi="Arial Narrow"/>
              </w:rPr>
              <w:t>III-2</w:t>
            </w:r>
          </w:p>
        </w:tc>
        <w:tc>
          <w:tcPr>
            <w:tcW w:w="3969" w:type="dxa"/>
          </w:tcPr>
          <w:p w14:paraId="0C9FFF02" w14:textId="77777777" w:rsidR="00B0362D" w:rsidRPr="00B0362D" w:rsidRDefault="00B0362D" w:rsidP="00DE6874">
            <w:pPr>
              <w:jc w:val="left"/>
              <w:rPr>
                <w:rFonts w:ascii="Arial Narrow" w:hAnsi="Arial Narrow"/>
              </w:rPr>
            </w:pPr>
            <w:r w:rsidRPr="00B0362D">
              <w:rPr>
                <w:rFonts w:ascii="Arial Narrow" w:hAnsi="Arial Narrow"/>
              </w:rPr>
              <w:t>A comparative study with concurrent controls:</w:t>
            </w:r>
            <w:r w:rsidRPr="00B0362D">
              <w:rPr>
                <w:rFonts w:ascii="Arial Narrow" w:hAnsi="Arial Narrow"/>
              </w:rPr>
              <w:br/>
              <w:t>▪   Non-randomised, experimental trial</w:t>
            </w:r>
            <w:r w:rsidRPr="001B34E4">
              <w:rPr>
                <w:rFonts w:ascii="Arial Narrow" w:hAnsi="Arial Narrow"/>
                <w:vertAlign w:val="superscript"/>
              </w:rPr>
              <w:t>6</w:t>
            </w:r>
            <w:r w:rsidRPr="00B0362D">
              <w:rPr>
                <w:rFonts w:ascii="Arial Narrow" w:hAnsi="Arial Narrow"/>
              </w:rPr>
              <w:br/>
              <w:t>▪   Cohort study</w:t>
            </w:r>
            <w:r w:rsidRPr="00B0362D">
              <w:rPr>
                <w:rFonts w:ascii="Arial Narrow" w:hAnsi="Arial Narrow"/>
              </w:rPr>
              <w:br/>
              <w:t>▪   Case-control study</w:t>
            </w:r>
            <w:r w:rsidRPr="00B0362D">
              <w:rPr>
                <w:rFonts w:ascii="Arial Narrow" w:hAnsi="Arial Narrow"/>
              </w:rPr>
              <w:br/>
              <w:t>▪   Interrupted time series with a control group</w:t>
            </w:r>
          </w:p>
        </w:tc>
        <w:tc>
          <w:tcPr>
            <w:tcW w:w="4394" w:type="dxa"/>
          </w:tcPr>
          <w:p w14:paraId="7106AE70" w14:textId="77777777" w:rsidR="00B0362D" w:rsidRPr="00B0362D" w:rsidRDefault="00B0362D" w:rsidP="00DE6874">
            <w:pPr>
              <w:jc w:val="left"/>
              <w:rPr>
                <w:rFonts w:ascii="Arial Narrow" w:hAnsi="Arial Narrow"/>
              </w:rPr>
            </w:pPr>
            <w:r w:rsidRPr="00B0362D">
              <w:rPr>
                <w:rFonts w:ascii="Arial Narrow" w:hAnsi="Arial Narrow"/>
              </w:rPr>
              <w:t>A comparison with reference standard that does not meet the criteria required for Level II and III-1 evidence</w:t>
            </w:r>
          </w:p>
        </w:tc>
      </w:tr>
      <w:tr w:rsidR="00B0362D" w:rsidRPr="00B0362D" w14:paraId="6D9E701C" w14:textId="77777777" w:rsidTr="003637B4">
        <w:tc>
          <w:tcPr>
            <w:tcW w:w="567" w:type="dxa"/>
          </w:tcPr>
          <w:p w14:paraId="5F96204D" w14:textId="77777777" w:rsidR="00B0362D" w:rsidRPr="00B0362D" w:rsidRDefault="00B0362D" w:rsidP="00DE6874">
            <w:pPr>
              <w:rPr>
                <w:rFonts w:ascii="Arial Narrow" w:hAnsi="Arial Narrow"/>
              </w:rPr>
            </w:pPr>
            <w:r w:rsidRPr="00B0362D">
              <w:rPr>
                <w:rFonts w:ascii="Arial Narrow" w:hAnsi="Arial Narrow"/>
              </w:rPr>
              <w:t>III-3</w:t>
            </w:r>
          </w:p>
        </w:tc>
        <w:tc>
          <w:tcPr>
            <w:tcW w:w="3969" w:type="dxa"/>
          </w:tcPr>
          <w:p w14:paraId="1D620A08" w14:textId="77777777" w:rsidR="00B0362D" w:rsidRPr="00B0362D" w:rsidRDefault="00B0362D" w:rsidP="00DE6874">
            <w:pPr>
              <w:jc w:val="left"/>
              <w:rPr>
                <w:rFonts w:ascii="Arial Narrow" w:hAnsi="Arial Narrow"/>
              </w:rPr>
            </w:pPr>
            <w:r w:rsidRPr="00B0362D">
              <w:rPr>
                <w:rFonts w:ascii="Arial Narrow" w:hAnsi="Arial Narrow"/>
              </w:rPr>
              <w:t>A comparative study without concurrent controls:</w:t>
            </w:r>
            <w:r w:rsidRPr="00B0362D">
              <w:rPr>
                <w:rFonts w:ascii="Arial Narrow" w:hAnsi="Arial Narrow"/>
              </w:rPr>
              <w:br/>
              <w:t>▪   Historical control study</w:t>
            </w:r>
            <w:r w:rsidRPr="00B0362D">
              <w:rPr>
                <w:rFonts w:ascii="Arial Narrow" w:hAnsi="Arial Narrow"/>
              </w:rPr>
              <w:br/>
              <w:t>▪   Two or more single arm study</w:t>
            </w:r>
            <w:r w:rsidRPr="00B0362D">
              <w:rPr>
                <w:rFonts w:ascii="Arial Narrow" w:hAnsi="Arial Narrow"/>
                <w:vertAlign w:val="superscript"/>
              </w:rPr>
              <w:t>7</w:t>
            </w:r>
            <w:r w:rsidRPr="00B0362D">
              <w:rPr>
                <w:rFonts w:ascii="Arial Narrow" w:hAnsi="Arial Narrow"/>
                <w:vertAlign w:val="superscript"/>
              </w:rPr>
              <w:br/>
            </w:r>
            <w:r w:rsidRPr="00B0362D">
              <w:rPr>
                <w:rFonts w:ascii="Arial Narrow" w:hAnsi="Arial Narrow"/>
              </w:rPr>
              <w:t>▪   Interrupted time series without a parallel control group</w:t>
            </w:r>
          </w:p>
        </w:tc>
        <w:tc>
          <w:tcPr>
            <w:tcW w:w="4394" w:type="dxa"/>
          </w:tcPr>
          <w:p w14:paraId="5527A980" w14:textId="77777777" w:rsidR="00B0362D" w:rsidRPr="00B0362D" w:rsidRDefault="00B0362D" w:rsidP="00DE6874">
            <w:pPr>
              <w:jc w:val="left"/>
              <w:rPr>
                <w:rFonts w:ascii="Arial Narrow" w:hAnsi="Arial Narrow"/>
              </w:rPr>
            </w:pPr>
            <w:r w:rsidRPr="00B0362D">
              <w:rPr>
                <w:rFonts w:ascii="Arial Narrow" w:hAnsi="Arial Narrow"/>
              </w:rPr>
              <w:t>Diagnostic case-control study</w:t>
            </w:r>
            <w:r w:rsidRPr="001B34E4">
              <w:rPr>
                <w:rFonts w:ascii="Arial Narrow" w:hAnsi="Arial Narrow"/>
                <w:vertAlign w:val="superscript"/>
              </w:rPr>
              <w:t>5</w:t>
            </w:r>
          </w:p>
        </w:tc>
      </w:tr>
      <w:tr w:rsidR="00B0362D" w:rsidRPr="00B0362D" w14:paraId="3E91FE24" w14:textId="77777777" w:rsidTr="003637B4">
        <w:trPr>
          <w:trHeight w:val="70"/>
        </w:trPr>
        <w:tc>
          <w:tcPr>
            <w:tcW w:w="567" w:type="dxa"/>
          </w:tcPr>
          <w:p w14:paraId="723FCF7D" w14:textId="77777777" w:rsidR="00B0362D" w:rsidRPr="00B0362D" w:rsidRDefault="00B0362D" w:rsidP="00DE6874">
            <w:pPr>
              <w:rPr>
                <w:rFonts w:ascii="Arial Narrow" w:hAnsi="Arial Narrow"/>
              </w:rPr>
            </w:pPr>
            <w:r w:rsidRPr="00B0362D">
              <w:rPr>
                <w:rFonts w:ascii="Arial Narrow" w:hAnsi="Arial Narrow"/>
              </w:rPr>
              <w:t>IV</w:t>
            </w:r>
          </w:p>
        </w:tc>
        <w:tc>
          <w:tcPr>
            <w:tcW w:w="3969" w:type="dxa"/>
          </w:tcPr>
          <w:p w14:paraId="1507EF37" w14:textId="77777777" w:rsidR="00B0362D" w:rsidRPr="00B0362D" w:rsidRDefault="00B0362D" w:rsidP="00DE6874">
            <w:pPr>
              <w:jc w:val="left"/>
              <w:rPr>
                <w:rFonts w:ascii="Arial Narrow" w:hAnsi="Arial Narrow"/>
              </w:rPr>
            </w:pPr>
            <w:r w:rsidRPr="00B0362D">
              <w:rPr>
                <w:rFonts w:ascii="Arial Narrow" w:hAnsi="Arial Narrow"/>
              </w:rPr>
              <w:t>Case series with either post-test or pre-test/post-test outcomes</w:t>
            </w:r>
          </w:p>
        </w:tc>
        <w:tc>
          <w:tcPr>
            <w:tcW w:w="4394" w:type="dxa"/>
          </w:tcPr>
          <w:p w14:paraId="6C70CDBF" w14:textId="77777777" w:rsidR="00B0362D" w:rsidRPr="00B0362D" w:rsidRDefault="00B0362D" w:rsidP="00DE6874">
            <w:pPr>
              <w:jc w:val="left"/>
              <w:rPr>
                <w:rFonts w:ascii="Arial Narrow" w:hAnsi="Arial Narrow"/>
              </w:rPr>
            </w:pPr>
            <w:r w:rsidRPr="00B0362D">
              <w:rPr>
                <w:rFonts w:ascii="Arial Narrow" w:hAnsi="Arial Narrow"/>
              </w:rPr>
              <w:t>Study of diagnostic yield (no reference standard)</w:t>
            </w:r>
            <w:r w:rsidRPr="001B34E4">
              <w:rPr>
                <w:rFonts w:ascii="Arial Narrow" w:hAnsi="Arial Narrow"/>
                <w:vertAlign w:val="superscript"/>
              </w:rPr>
              <w:t>8</w:t>
            </w:r>
          </w:p>
        </w:tc>
      </w:tr>
    </w:tbl>
    <w:p w14:paraId="01CF7855" w14:textId="77777777" w:rsidR="00CE79C6" w:rsidRDefault="00CE79C6" w:rsidP="00B0362D">
      <w:pPr>
        <w:pStyle w:val="Tablenotes0"/>
        <w:spacing w:after="80"/>
        <w:contextualSpacing w:val="0"/>
        <w:jc w:val="both"/>
      </w:pPr>
      <w:r>
        <w:t>Source: (Merlin, Weston &amp; Tooher 2009)</w:t>
      </w:r>
    </w:p>
    <w:p w14:paraId="0F4812C6" w14:textId="77777777" w:rsidR="00B0362D" w:rsidRDefault="00CE79C6" w:rsidP="00B0362D">
      <w:pPr>
        <w:pStyle w:val="Tablenotes0"/>
        <w:spacing w:after="80"/>
        <w:contextualSpacing w:val="0"/>
        <w:jc w:val="both"/>
      </w:pPr>
      <w:r>
        <w:t>Explanatory note:</w:t>
      </w:r>
    </w:p>
    <w:p w14:paraId="5B04EAC1" w14:textId="77777777" w:rsidR="00B0362D" w:rsidRDefault="00B0362D" w:rsidP="00B0362D">
      <w:pPr>
        <w:pStyle w:val="Tablenotes0"/>
        <w:spacing w:after="80"/>
        <w:contextualSpacing w:val="0"/>
        <w:jc w:val="both"/>
      </w:pPr>
      <w:r>
        <w:t>1  Definitions of these study designs are provided on pages 7-8 How to use the evidence: assessment and application of scientific evidence (NHMRC 2000b) and in the accompanying Glossary.</w:t>
      </w:r>
    </w:p>
    <w:p w14:paraId="66AEE120" w14:textId="77777777" w:rsidR="00B0362D" w:rsidRDefault="00B0362D" w:rsidP="00B0362D">
      <w:pPr>
        <w:pStyle w:val="Tablenotes0"/>
        <w:spacing w:after="80"/>
        <w:contextualSpacing w:val="0"/>
        <w:jc w:val="both"/>
      </w:pPr>
      <w:r>
        <w:t>2  These levels of evidence apply only to studies of assessing the accuracy of diagnostic or screening tests.  To assess the overall effectiveness of a diagnostic test there also needs to be a consideration of the impact of the test on patient management and health outcomes (Medical Services Advisory Committee 2005, Sackett and Haynes 2002). The evidence hierarchy given in the ‘Intervention’ column should be used when assessing the impact of a diagnostic test on health outcomes relative to an existing method of diagnosis/comparator test(s). The evidence hierarchy given in the ‘Screening’ column should be used when assessing the impact of a screening test on health outcomes relative to no screening or opportunistic screening.</w:t>
      </w:r>
    </w:p>
    <w:p w14:paraId="5DFF81DC" w14:textId="77777777" w:rsidR="00B0362D" w:rsidRDefault="00B0362D" w:rsidP="00B0362D">
      <w:pPr>
        <w:pStyle w:val="Tablenotes0"/>
        <w:spacing w:after="80"/>
        <w:contextualSpacing w:val="0"/>
        <w:jc w:val="both"/>
      </w:pPr>
      <w:r>
        <w:t>3  The validity of the reference standard should be determined in the context of the disease under review. Criteria for determining the validity of the reference standard should be pre-specified. This can include the choice of the reference standard(s) and its timing in relation to the index test. The validity of the reference standard can be determined through quality appraisal of the study (Whiting et al 2003).</w:t>
      </w:r>
    </w:p>
    <w:p w14:paraId="2E25AAB7" w14:textId="77777777" w:rsidR="00B0362D" w:rsidRDefault="00B0362D" w:rsidP="00B0362D">
      <w:pPr>
        <w:pStyle w:val="Tablenotes0"/>
        <w:spacing w:after="80"/>
        <w:contextualSpacing w:val="0"/>
        <w:jc w:val="both"/>
      </w:pPr>
      <w:r>
        <w:t>4  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14:paraId="7613077E" w14:textId="77777777" w:rsidR="00B0362D" w:rsidRDefault="00B0362D" w:rsidP="00B0362D">
      <w:pPr>
        <w:pStyle w:val="Tablenotes0"/>
        <w:spacing w:after="80"/>
        <w:contextualSpacing w:val="0"/>
        <w:jc w:val="both"/>
      </w:pPr>
      <w:r>
        <w:t>5  Well-designed population based case-control studies (eg. population based screening studies where test accuracy is assessed on all cases, with a random sample of controls) do capture a population with a representative spectrum of disease and thus fulfil the requirements for a valid assembly of patients. However, in some cases the population assembled is not representative of the use of the test in practice. In diagnostic case-control studies a selected sample of patients already known to have the disease are compared with a separate group of normal/healthy people known to be free of the disease. In this situation patients with borderline or mild expressions of the disease, and conditions mimicking the disease are excluded, which can lead to exaggeration of both sensitivity and specificity. This is called spectrum bias or spectrum effect because the spectrum of study participants will not be representative of patients seen in practice (Mulherin and Miller 2002).</w:t>
      </w:r>
    </w:p>
    <w:p w14:paraId="531364E2" w14:textId="77777777" w:rsidR="00B0362D" w:rsidRDefault="00B0362D" w:rsidP="00B0362D">
      <w:pPr>
        <w:pStyle w:val="Tablenotes0"/>
        <w:spacing w:after="80"/>
        <w:contextualSpacing w:val="0"/>
        <w:jc w:val="both"/>
      </w:pPr>
      <w:r>
        <w:t>6  This also includes controlled before-and-after (pre-test/post-test) studies, as well as adjusted indirect comparisons (ie. utilise A vs B and B vs C, to determine A vs C with statistical adjustment for B).</w:t>
      </w:r>
    </w:p>
    <w:p w14:paraId="2A121289" w14:textId="77777777" w:rsidR="00B0362D" w:rsidRDefault="00B0362D" w:rsidP="00B0362D">
      <w:pPr>
        <w:pStyle w:val="Tablenotes0"/>
        <w:spacing w:after="80"/>
        <w:contextualSpacing w:val="0"/>
        <w:jc w:val="both"/>
      </w:pPr>
      <w:r>
        <w:t>7 Comparing single arm studies ie. case series from two studies. This would also include unadjusted indirect comparisons (ie. utilise A vs B and B vs C, to determine A vs C but where there is no statistical adjustment for B).</w:t>
      </w:r>
    </w:p>
    <w:p w14:paraId="125DE2D8" w14:textId="77777777" w:rsidR="00B0362D" w:rsidRDefault="00B0362D" w:rsidP="00B0362D">
      <w:pPr>
        <w:pStyle w:val="Tablenotes0"/>
        <w:spacing w:after="80"/>
        <w:contextualSpacing w:val="0"/>
        <w:jc w:val="both"/>
      </w:pPr>
      <w:r>
        <w:t>8  Studies of diagnostic yield provide the yield of diagnosed patients, as determined by an index test, without confirmation of the accuracy of this diagnosis by a reference standard. These may be the only alternative when there is no reliable reference standard.</w:t>
      </w:r>
    </w:p>
    <w:p w14:paraId="36D4407A" w14:textId="77777777" w:rsidR="00B0362D" w:rsidRDefault="00B0362D" w:rsidP="00B0362D">
      <w:pPr>
        <w:pStyle w:val="Tablenotes0"/>
        <w:spacing w:after="80"/>
        <w:contextualSpacing w:val="0"/>
        <w:jc w:val="both"/>
      </w:pPr>
      <w:r>
        <w:t xml:space="preserve">Note A: Assessment of comparative harms/safety should occur according to the hierarchy presented for each of the research questions, </w:t>
      </w:r>
      <w:r>
        <w:lastRenderedPageBreak/>
        <w:t>with the proviso that this assessment occurs within the context of the topic being assessed. Some harms (and other outcomes) are rare and cannot feasibly be captured within randomised controlled trials, in which case lower levels of evidence may be the only type of evidence that is practically achievable; physical harms and psychological harms may need to be addressed by different study designs; harms from diagnostic testing include the likelihood of false positive and false negative results; harms from screening include the likelihood of false alarm and false reassurance results.</w:t>
      </w:r>
    </w:p>
    <w:p w14:paraId="07BA5128" w14:textId="77777777" w:rsidR="00B0362D" w:rsidRDefault="00B0362D" w:rsidP="00B0362D">
      <w:pPr>
        <w:pStyle w:val="Tablenotes0"/>
        <w:spacing w:after="80"/>
        <w:contextualSpacing w:val="0"/>
        <w:jc w:val="both"/>
      </w:pPr>
      <w:r>
        <w:t>Note B: When a level of evidence is attributed in the text of a document, it should also be framed according to its corresponding research question eg. level II intervention evidence; level IV diagnostic evidence; level III-2 prognostic evidence.</w:t>
      </w:r>
    </w:p>
    <w:p w14:paraId="42CAFEE3" w14:textId="2DD0142F" w:rsidR="00D71688" w:rsidRDefault="00B0362D" w:rsidP="00B0362D">
      <w:pPr>
        <w:pStyle w:val="Tablenotes0"/>
        <w:jc w:val="both"/>
      </w:pPr>
      <w:r>
        <w:t>Note C: Each individual study that is attributed a “level of evidence” should be rigorously appraised using validated or commonly used checklists or appraisal tools to ensure that factors other than study design have not affected the validity of the results.</w:t>
      </w:r>
    </w:p>
    <w:p w14:paraId="00A11061" w14:textId="77777777" w:rsidR="00ED65EE" w:rsidRPr="00183E4D" w:rsidRDefault="00ED65EE" w:rsidP="003816F6">
      <w:pPr>
        <w:pStyle w:val="Heading2"/>
        <w:numPr>
          <w:ilvl w:val="1"/>
          <w:numId w:val="12"/>
        </w:numPr>
      </w:pPr>
      <w:bookmarkStart w:id="169" w:name="_Toc39588284"/>
      <w:r w:rsidRPr="00183E4D">
        <w:t>Characteristics of the Evidence Base</w:t>
      </w:r>
      <w:bookmarkEnd w:id="169"/>
    </w:p>
    <w:p w14:paraId="3DFDF869" w14:textId="2AC14F07" w:rsidR="00755F3D" w:rsidRPr="00755F3D" w:rsidRDefault="00755F3D" w:rsidP="00755F3D">
      <w:r w:rsidRPr="00755F3D">
        <w:t xml:space="preserve">See </w:t>
      </w:r>
      <w:r w:rsidR="00B0479F">
        <w:fldChar w:fldCharType="begin"/>
      </w:r>
      <w:r w:rsidR="00B0479F">
        <w:instrText xml:space="preserve"> REF _Ref190841600 \h </w:instrText>
      </w:r>
      <w:r w:rsidR="00B0479F">
        <w:fldChar w:fldCharType="separate"/>
      </w:r>
      <w:r w:rsidR="00B0479F" w:rsidRPr="00183E4D">
        <w:t xml:space="preserve">Appendix </w:t>
      </w:r>
      <w:r w:rsidR="00B0479F">
        <w:rPr>
          <w:noProof/>
        </w:rPr>
        <w:t>C</w:t>
      </w:r>
      <w:r w:rsidR="00B0479F">
        <w:fldChar w:fldCharType="end"/>
      </w:r>
      <w:r w:rsidRPr="00755F3D">
        <w:t xml:space="preserve"> for details on the individual studies included in the evidence base. </w:t>
      </w:r>
    </w:p>
    <w:p w14:paraId="532F9D33" w14:textId="77777777" w:rsidR="00755F3D" w:rsidRPr="00755F3D" w:rsidRDefault="00755F3D" w:rsidP="00755F3D">
      <w:r w:rsidRPr="00755F3D">
        <w:t>Data were extracted by the evaluators into evidence tables designed specifically for this review. A consensus process was used when there was doubt or disagreement over the inclusion of data. For each study, the extraction table outlined the level of evidence, quality assessment, authors, publication year, location, study design, study population characteristics, type of intervention, inclusion/exclusion criteria, outcomes assessed, funding source and follow-up period.</w:t>
      </w:r>
    </w:p>
    <w:p w14:paraId="64AE96A6" w14:textId="77777777" w:rsidR="00755F3D" w:rsidRPr="00755F3D" w:rsidRDefault="00755F3D" w:rsidP="00755F3D">
      <w:r w:rsidRPr="00755F3D">
        <w:t>Descriptive statistics were extracted or calculated for all safety and effectiveness outcomes in the individual studies</w:t>
      </w:r>
      <w:r w:rsidR="003B2780">
        <w:t>,</w:t>
      </w:r>
      <w:r w:rsidRPr="00755F3D">
        <w:t xml:space="preserve"> including numerator and denominator information, means and standard deviations, medians and inter-quartile ranges. The power of individual controlled studies to detect a clinically important effect was calculated, assuming that α = 0.05. </w:t>
      </w:r>
    </w:p>
    <w:p w14:paraId="18D65871" w14:textId="77777777" w:rsidR="00755F3D" w:rsidRPr="00755F3D" w:rsidRDefault="00755F3D" w:rsidP="00755F3D">
      <w:r w:rsidRPr="00755F3D">
        <w:t xml:space="preserve">Meta-analyses of randomised controlled trials and of diagnostic accuracy studies were conducted, where appropriate, and tested for heterogeneity and publication bias. Meta-analyses and all related statistical calculations and testing were undertaken using the biostatistical computer package, Stata version 12. </w:t>
      </w:r>
    </w:p>
    <w:p w14:paraId="720B9D5F" w14:textId="77777777" w:rsidR="00755F3D" w:rsidRPr="00755F3D" w:rsidRDefault="00755F3D" w:rsidP="00755F3D">
      <w:r w:rsidRPr="00755F3D">
        <w:t>Where meta-analys</w:t>
      </w:r>
      <w:r w:rsidR="003B2780">
        <w:t>es</w:t>
      </w:r>
      <w:r w:rsidRPr="00755F3D">
        <w:t xml:space="preserve"> weren’t conducted, a narrative meta-synthesis of the data was undertaken. Differences between clinical outcome measures for intervention and comparator were calculated using online MedCalc</w:t>
      </w:r>
      <w:r w:rsidRPr="00755F3D">
        <w:rPr>
          <w:vertAlign w:val="superscript"/>
        </w:rPr>
        <w:footnoteReference w:id="5"/>
      </w:r>
      <w:r w:rsidRPr="00755F3D">
        <w:t xml:space="preserve"> statistical software where appropriate, unless published by the study authors.</w:t>
      </w:r>
    </w:p>
    <w:p w14:paraId="42A139CD" w14:textId="77777777" w:rsidR="00755F3D" w:rsidRPr="00755F3D" w:rsidRDefault="00755F3D" w:rsidP="00755F3D">
      <w:r w:rsidRPr="00755F3D">
        <w:t xml:space="preserve">There was no direct evidence identified in the literature search. </w:t>
      </w:r>
    </w:p>
    <w:p w14:paraId="3E3343B7" w14:textId="77777777" w:rsidR="00755F3D" w:rsidRPr="00755F3D" w:rsidRDefault="00755F3D" w:rsidP="00755F3D">
      <w:r w:rsidRPr="00755F3D">
        <w:t>Characteristics of the evidence for the linked approach and the corresponding risk of bias appraisals have been included and discussed with each linked step (sections B3, B4 and B5).</w:t>
      </w:r>
    </w:p>
    <w:p w14:paraId="4FB99FF1" w14:textId="77777777" w:rsidR="00ED65EE" w:rsidRPr="00183E4D" w:rsidRDefault="00ED65EE" w:rsidP="003816F6">
      <w:pPr>
        <w:pStyle w:val="Heading2"/>
        <w:numPr>
          <w:ilvl w:val="1"/>
          <w:numId w:val="12"/>
        </w:numPr>
      </w:pPr>
      <w:bookmarkStart w:id="170" w:name="_Toc39588285"/>
      <w:r w:rsidRPr="00183E4D">
        <w:t>Outcome Measures and Analysis</w:t>
      </w:r>
      <w:bookmarkEnd w:id="170"/>
    </w:p>
    <w:p w14:paraId="1F39BFF0" w14:textId="77777777" w:rsidR="00755F3D" w:rsidRPr="00755F3D" w:rsidRDefault="00755F3D" w:rsidP="00755F3D">
      <w:r w:rsidRPr="00755F3D">
        <w:t xml:space="preserve">See </w:t>
      </w:r>
      <w:r w:rsidRPr="00D711F9">
        <w:t>Appendix C</w:t>
      </w:r>
      <w:r w:rsidRPr="00755F3D">
        <w:t xml:space="preserve"> for details on the outcomes measured in the included studies, along with the statistical methods used to analyse the results.</w:t>
      </w:r>
    </w:p>
    <w:p w14:paraId="0585166F" w14:textId="38458860" w:rsidR="00755F3D" w:rsidRPr="00755F3D" w:rsidRDefault="00755F3D" w:rsidP="00755F3D">
      <w:r w:rsidRPr="00755F3D">
        <w:t xml:space="preserve">The diagnostic criteria for NMOSD have evolved over the years, as more is known about the condition. In 1999, </w:t>
      </w:r>
      <w:r w:rsidR="00156621">
        <w:fldChar w:fldCharType="begin"/>
      </w:r>
      <w:r w:rsidR="00156621">
        <w:instrText xml:space="preserve"> ADDIN EN.CITE &lt;EndNote&gt;&lt;Cite&gt;&lt;Author&gt;Wingerchuk&lt;/Author&gt;&lt;Year&gt;1999&lt;/Year&gt;&lt;RecNum&gt;36&lt;/RecNum&gt;&lt;IDText&gt;1107-14&lt;/IDText&gt;&lt;DisplayText&gt;(Wingerchuk et al. 1999)&lt;/DisplayText&gt;&lt;record&gt;&lt;rec-number&gt;36&lt;/rec-number&gt;&lt;foreign-keys&gt;&lt;key app="EN" db-id="r25zptaswpdzade29ws5pf9gx55ztppatt20" timestamp="1576104083"&gt;36&lt;/key&gt;&lt;/foreign-keys&gt;&lt;ref-type name="Journal Article"&gt;17&lt;/ref-type&gt;&lt;contributors&gt;&lt;authors&gt;&lt;author&gt;Wingerchuk, D. M.&lt;/author&gt;&lt;author&gt;Hogancamp, W. F.&lt;/author&gt;&lt;author&gt;O&amp;apos;Brien, P. C.&lt;/author&gt;&lt;author&gt;Weinshenker, B. G.&lt;/author&gt;&lt;/authors&gt;&lt;/contributors&gt;&lt;auth-address&gt;Department of Neurology, Mayo Clinic and Foundation, Rochester, MN 55905, USA.&lt;/auth-address&gt;&lt;titles&gt;&lt;title&gt;The clinical course of neuromyelitis optica (Devic&amp;apos;s syndrome)&lt;/title&gt;&lt;secondary-title&gt;Neurology&lt;/secondary-title&gt;&lt;/titles&gt;&lt;periodical&gt;&lt;full-title&gt;Neurology&lt;/full-title&gt;&lt;/periodical&gt;&lt;pages&gt;1107-14&lt;/pages&gt;&lt;volume&gt;53&lt;/volume&gt;&lt;number&gt;5&lt;/number&gt;&lt;edition&gt;1999/09/25&lt;/edition&gt;&lt;keywords&gt;&lt;keyword&gt;Adolescent&lt;/keyword&gt;&lt;keyword&gt;Adult&lt;/keyword&gt;&lt;keyword&gt;Aged&lt;/keyword&gt;&lt;keyword&gt;Brain/pathology&lt;/keyword&gt;&lt;keyword&gt;Child&lt;/keyword&gt;&lt;keyword&gt;Child, Preschool&lt;/keyword&gt;&lt;keyword&gt;Female&lt;/keyword&gt;&lt;keyword&gt;Humans&lt;/keyword&gt;&lt;keyword&gt;Infant&lt;/keyword&gt;&lt;keyword&gt;Magnetic Resonance Imaging&lt;/keyword&gt;&lt;keyword&gt;Male&lt;/keyword&gt;&lt;keyword&gt;Middle Aged&lt;/keyword&gt;&lt;keyword&gt;Neuromyelitis Optica/pathology/ physiopathology&lt;/keyword&gt;&lt;keyword&gt;Recurrence&lt;/keyword&gt;&lt;keyword&gt;Spinal Cord/pathology&lt;/keyword&gt;&lt;keyword&gt;Visual Acuity/physiology&lt;/keyword&gt;&lt;/keywords&gt;&lt;dates&gt;&lt;year&gt;1999&lt;/year&gt;&lt;pub-dates&gt;&lt;date&gt;Sep 22&lt;/date&gt;&lt;/pub-dates&gt;&lt;/dates&gt;&lt;isbn&gt;0028-3878 (Print)&amp;#xD;0028-3878 (Linking)&lt;/isbn&gt;&lt;accession-num&gt;10496275&lt;/accession-num&gt;&lt;urls&gt;&lt;/urls&gt;&lt;electronic-resource-num&gt;10.1212/wnl.53.5.1107&lt;/electronic-resource-num&gt;&lt;remote-database-provider&gt;NLM&lt;/remote-database-provider&gt;&lt;language&gt;eng&lt;/language&gt;&lt;/record&gt;&lt;/Cite&gt;&lt;/EndNote&gt;</w:instrText>
      </w:r>
      <w:r w:rsidR="00156621">
        <w:fldChar w:fldCharType="separate"/>
      </w:r>
      <w:r w:rsidR="00156621">
        <w:rPr>
          <w:noProof/>
        </w:rPr>
        <w:t>(Wingerchuk et al. 1999)</w:t>
      </w:r>
      <w:r w:rsidR="00156621">
        <w:fldChar w:fldCharType="end"/>
      </w:r>
      <w:r w:rsidRPr="00755F3D">
        <w:t xml:space="preserve"> proposed NMO diagnostic criteria with three absolute requirements: ON, acute myelitis and no symptoms implicating other CNS regions. However, in 2006 Wingerchuk et al </w:t>
      </w:r>
      <w:r w:rsidR="00156621">
        <w:fldChar w:fldCharType="begin">
          <w:fldData xml:space="preserve">PEVuZE5vdGU+PENpdGU+PEF1dGhvcj5XaW5nZXJjaHVrPC9BdXRob3I+PFllYXI+MjAwNjwvWWVh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</w:fldData>
        </w:fldChar>
      </w:r>
      <w:r w:rsidR="00B0479F">
        <w:instrText xml:space="preserve"> ADDIN EN.CITE </w:instrText>
      </w:r>
      <w:r w:rsidR="00B0479F">
        <w:fldChar w:fldCharType="begin">
          <w:fldData xml:space="preserve">PEVuZE5vdGU+PENpdGU+PEF1dGhvcj5XaW5nZXJjaHVrPC9BdXRob3I+PFllYXI+MjAwNjwvWWVh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</w:fldData>
        </w:fldChar>
      </w:r>
      <w:r w:rsidR="00B0479F">
        <w:instrText xml:space="preserve"> ADDIN EN.CITE.DATA </w:instrText>
      </w:r>
      <w:r w:rsidR="00B0479F">
        <w:fldChar w:fldCharType="end"/>
      </w:r>
      <w:r w:rsidR="00156621">
        <w:fldChar w:fldCharType="separate"/>
      </w:r>
      <w:r w:rsidR="00B0479F">
        <w:rPr>
          <w:noProof/>
        </w:rPr>
        <w:t>(2006)</w:t>
      </w:r>
      <w:r w:rsidR="00156621">
        <w:fldChar w:fldCharType="end"/>
      </w:r>
      <w:r w:rsidRPr="00755F3D">
        <w:t xml:space="preserve"> published revised NMO diagnostic criteria. The earlier diagnostic criteria failed to discriminate NMO from MS by not capturing patients with a disease course highly compatible with NMO, but whose neurologic symptoms or signs implicated CNS regions outside the optic nerves and spinal cord, or whose brain MRI revealed lesions that may meet MS imaging criteria </w:t>
      </w:r>
      <w:r w:rsidR="00156621">
        <w:fldChar w:fldCharType="begin">
          <w:fldData xml:space="preserve">PEVuZE5vdGU+PENpdGU+PEF1dGhvcj5XaW5nZXJjaHVrPC9BdXRob3I+PFllYXI+MjAwNjwvWWVh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</w:fldData>
        </w:fldChar>
      </w:r>
      <w:r w:rsidR="00156621">
        <w:instrText xml:space="preserve"> ADDIN EN.CITE </w:instrText>
      </w:r>
      <w:r w:rsidR="00156621">
        <w:fldChar w:fldCharType="begin">
          <w:fldData xml:space="preserve">PEVuZE5vdGU+PENpdGU+PEF1dGhvcj5XaW5nZXJjaHVrPC9BdXRob3I+PFllYXI+MjAwNjwvWWVh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</w:fldData>
        </w:fldChar>
      </w:r>
      <w:r w:rsidR="00156621">
        <w:instrText xml:space="preserve"> ADDIN EN.CITE.DATA </w:instrText>
      </w:r>
      <w:r w:rsidR="00156621">
        <w:fldChar w:fldCharType="end"/>
      </w:r>
      <w:r w:rsidR="00156621">
        <w:fldChar w:fldCharType="separate"/>
      </w:r>
      <w:r w:rsidR="00156621">
        <w:rPr>
          <w:noProof/>
        </w:rPr>
        <w:t xml:space="preserve">(Wingerchuk et </w:t>
      </w:r>
      <w:r w:rsidR="00156621">
        <w:rPr>
          <w:noProof/>
        </w:rPr>
        <w:lastRenderedPageBreak/>
        <w:t>al. 2006)</w:t>
      </w:r>
      <w:r w:rsidR="00156621">
        <w:fldChar w:fldCharType="end"/>
      </w:r>
      <w:r w:rsidRPr="00755F3D">
        <w:t xml:space="preserve">. In 2015, Wingerchuk et al </w:t>
      </w:r>
      <w:r w:rsidR="00156621">
        <w:fldChar w:fldCharType="begin"/>
      </w:r>
      <w:r w:rsidR="00B0479F">
        <w:instrText xml:space="preserve"> ADDIN EN.CITE &lt;EndNote&gt;&lt;Cite&gt;&lt;Author&gt;Wingerchuk&lt;/Author&gt;&lt;Year&gt;2015&lt;/Year&gt;&lt;RecNum&gt;35&lt;/RecNum&gt;&lt;IDText&gt;177-189&lt;/IDText&gt;&lt;DisplayText&gt;(Wingerchuk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fldChar w:fldCharType="separate"/>
      </w:r>
      <w:r w:rsidR="00B0479F">
        <w:rPr>
          <w:noProof/>
        </w:rPr>
        <w:t>(2015)</w:t>
      </w:r>
      <w:r w:rsidR="00156621">
        <w:fldChar w:fldCharType="end"/>
      </w:r>
      <w:r w:rsidRPr="00755F3D">
        <w:t xml:space="preserve"> stated that further advances in the specificity of NMO-IgG testing (AQP4-</w:t>
      </w:r>
      <w:r w:rsidR="007E569A">
        <w:t>Ab</w:t>
      </w:r>
      <w:r w:rsidRPr="00755F3D">
        <w:t xml:space="preserve">) made the 2006 criteria inadequate for contemporary practice and research. </w:t>
      </w:r>
      <w:r w:rsidR="003661E4" w:rsidRPr="003661E4">
        <w:fldChar w:fldCharType="begin"/>
      </w:r>
      <w:r w:rsidR="003661E4" w:rsidRPr="003661E4">
        <w:instrText xml:space="preserve"> REF _Ref33174460 \h  \* MERGEFORMAT </w:instrText>
      </w:r>
      <w:r w:rsidR="003661E4" w:rsidRPr="003661E4">
        <w:fldChar w:fldCharType="separate"/>
      </w:r>
      <w:r w:rsidR="00387BBF" w:rsidRPr="00A2081E">
        <w:t xml:space="preserve">Table </w:t>
      </w:r>
      <w:r w:rsidR="00387BBF">
        <w:t>14</w:t>
      </w:r>
      <w:r w:rsidR="003661E4" w:rsidRPr="003661E4">
        <w:fldChar w:fldCharType="end"/>
      </w:r>
      <w:r w:rsidR="003661E4">
        <w:t xml:space="preserve"> </w:t>
      </w:r>
      <w:r w:rsidRPr="00755F3D">
        <w:t>compares the NMO diagnostic criteria which have been used in the studies meeting the criteria for this assessment.</w:t>
      </w:r>
    </w:p>
    <w:p w14:paraId="5DBA554C" w14:textId="77777777" w:rsidR="00755F3D" w:rsidRPr="00755F3D" w:rsidRDefault="00755F3D" w:rsidP="00755F3D">
      <w:r w:rsidRPr="00755F3D">
        <w:t xml:space="preserve">Outcome measures and tools used in the identified literature such as </w:t>
      </w:r>
      <w:r w:rsidR="001964EF">
        <w:t xml:space="preserve">expanded </w:t>
      </w:r>
      <w:r w:rsidRPr="00755F3D">
        <w:t>disability status scale (EDSS) and annualised relapse rate (ARR) are addressed ahead of each section of this report where they are relevant.</w:t>
      </w:r>
    </w:p>
    <w:p w14:paraId="50672E8F" w14:textId="77777777" w:rsidR="00A2081E" w:rsidRPr="00DE3014" w:rsidRDefault="00A2081E" w:rsidP="00DE3014"/>
    <w:p w14:paraId="2171F7A5" w14:textId="77777777" w:rsidR="00A2081E" w:rsidRDefault="00A2081E">
      <w:pPr>
        <w:jc w:val="left"/>
        <w:rPr>
          <w:rFonts w:ascii="Arial Narrow" w:hAnsi="Arial Narrow"/>
          <w:b/>
          <w:bCs/>
          <w:sz w:val="20"/>
        </w:rPr>
        <w:sectPr w:rsidR="00A2081E" w:rsidSect="001229D7">
          <w:headerReference w:type="even" r:id="rId33"/>
          <w:headerReference w:type="default" r:id="rId34"/>
          <w:headerReference w:type="first" r:id="rId35"/>
          <w:pgSz w:w="11906" w:h="16838"/>
          <w:pgMar w:top="1440" w:right="1440" w:bottom="1440" w:left="1440" w:header="720" w:footer="720" w:gutter="0"/>
          <w:paperSrc w:first="2" w:other="2"/>
          <w:cols w:space="720"/>
        </w:sectPr>
      </w:pPr>
      <w:bookmarkStart w:id="171" w:name="_Ref30517105"/>
    </w:p>
    <w:p w14:paraId="2C364AA9" w14:textId="1C93F6A1" w:rsidR="00DE3014" w:rsidRPr="00DE3014" w:rsidRDefault="00DE3014" w:rsidP="00A87AE2">
      <w:pPr>
        <w:pStyle w:val="TableHeading"/>
      </w:pPr>
      <w:bookmarkStart w:id="172" w:name="_Ref33174460"/>
      <w:bookmarkStart w:id="173" w:name="_Toc39580795"/>
      <w:r w:rsidRPr="00A2081E">
        <w:lastRenderedPageBreak/>
        <w:t xml:space="preserve">Table </w:t>
      </w:r>
      <w:r w:rsidRPr="00A2081E">
        <w:fldChar w:fldCharType="begin"/>
      </w:r>
      <w:r w:rsidRPr="00A2081E">
        <w:instrText xml:space="preserve"> SEQ Table \* ARABIC </w:instrText>
      </w:r>
      <w:r w:rsidRPr="00A2081E">
        <w:fldChar w:fldCharType="separate"/>
      </w:r>
      <w:r w:rsidR="00FA7BCD">
        <w:rPr>
          <w:noProof/>
        </w:rPr>
        <w:t>14</w:t>
      </w:r>
      <w:r w:rsidRPr="00A2081E">
        <w:fldChar w:fldCharType="end"/>
      </w:r>
      <w:bookmarkEnd w:id="171"/>
      <w:bookmarkEnd w:id="172"/>
      <w:r w:rsidRPr="00A2081E">
        <w:tab/>
        <w:t>Comparison of the Wingerchuk et al NMO diagnostic criteria over the years</w:t>
      </w:r>
      <w:bookmarkEnd w:id="173"/>
    </w:p>
    <w:tbl>
      <w:tblPr>
        <w:tblStyle w:val="TableGrid1"/>
        <w:tblW w:w="5144" w:type="pct"/>
        <w:jc w:val="center"/>
        <w:tblLook w:val="04A0" w:firstRow="1" w:lastRow="0" w:firstColumn="1" w:lastColumn="0" w:noHBand="0" w:noVBand="1"/>
        <w:tblCaption w:val="Table 14 Comparison of the Wingerchuk et al NMO diagnostic criteria over the years"/>
        <w:tblDescription w:val="A comparison of NMOSD diagnostic criteria as they have developed since 1999 through to 2006 and 2015"/>
      </w:tblPr>
      <w:tblGrid>
        <w:gridCol w:w="3255"/>
        <w:gridCol w:w="2979"/>
        <w:gridCol w:w="8116"/>
      </w:tblGrid>
      <w:tr w:rsidR="00DE3014" w:rsidRPr="00A2081E" w14:paraId="22CED2B0" w14:textId="77777777" w:rsidTr="00A2081E">
        <w:trPr>
          <w:cnfStyle w:val="100000000000" w:firstRow="1" w:lastRow="0" w:firstColumn="0" w:lastColumn="0" w:oddVBand="0" w:evenVBand="0" w:oddHBand="0" w:evenHBand="0" w:firstRowFirstColumn="0" w:firstRowLastColumn="0" w:lastRowFirstColumn="0" w:lastRowLastColumn="0"/>
          <w:trHeight w:val="213"/>
          <w:tblHeader/>
          <w:jc w:val="center"/>
        </w:trPr>
        <w:tc>
          <w:tcPr>
            <w:tcW w:w="1134" w:type="pct"/>
            <w:tcBorders>
              <w:top w:val="single" w:sz="4" w:space="0" w:color="auto"/>
              <w:left w:val="single" w:sz="4" w:space="0" w:color="auto"/>
              <w:bottom w:val="single" w:sz="4" w:space="0" w:color="auto"/>
              <w:right w:val="single" w:sz="4" w:space="0" w:color="auto"/>
            </w:tcBorders>
          </w:tcPr>
          <w:p w14:paraId="39DB0771" w14:textId="77777777" w:rsidR="00DE3014" w:rsidRPr="00A2081E" w:rsidRDefault="00DE3014" w:rsidP="00A2081E">
            <w:pPr>
              <w:keepNext/>
              <w:keepLines/>
              <w:contextualSpacing/>
              <w:jc w:val="center"/>
              <w:rPr>
                <w:rFonts w:ascii="Arial Narrow" w:hAnsi="Arial Narrow"/>
                <w:b/>
                <w:sz w:val="18"/>
                <w:szCs w:val="18"/>
                <w:vertAlign w:val="superscript"/>
                <w:lang w:eastAsia="en-US"/>
              </w:rPr>
            </w:pPr>
            <w:r w:rsidRPr="00A2081E">
              <w:rPr>
                <w:rFonts w:ascii="Arial Narrow" w:eastAsia="Calibri" w:hAnsi="Arial Narrow" w:cs="Times New Roman"/>
                <w:b/>
                <w:bCs/>
                <w:iCs/>
                <w:spacing w:val="5"/>
                <w:sz w:val="18"/>
                <w:szCs w:val="18"/>
                <w:lang w:eastAsia="en-US"/>
              </w:rPr>
              <w:t>1999 NMO diagnostic criteria</w:t>
            </w:r>
            <w:r w:rsidRPr="00A2081E">
              <w:rPr>
                <w:rFonts w:ascii="Arial Narrow" w:eastAsia="Calibri" w:hAnsi="Arial Narrow" w:cs="Times New Roman"/>
                <w:b/>
                <w:bCs/>
                <w:iCs/>
                <w:spacing w:val="5"/>
                <w:sz w:val="18"/>
                <w:szCs w:val="18"/>
                <w:vertAlign w:val="superscript"/>
                <w:lang w:eastAsia="en-US"/>
              </w:rPr>
              <w:t>a</w:t>
            </w:r>
          </w:p>
        </w:tc>
        <w:tc>
          <w:tcPr>
            <w:tcW w:w="1038" w:type="pct"/>
            <w:tcBorders>
              <w:top w:val="single" w:sz="4" w:space="0" w:color="auto"/>
              <w:left w:val="single" w:sz="4" w:space="0" w:color="auto"/>
              <w:bottom w:val="single" w:sz="4" w:space="0" w:color="auto"/>
              <w:right w:val="single" w:sz="4" w:space="0" w:color="auto"/>
            </w:tcBorders>
            <w:vAlign w:val="bottom"/>
          </w:tcPr>
          <w:p w14:paraId="22B94FEC" w14:textId="77777777" w:rsidR="00DE3014" w:rsidRPr="00A2081E" w:rsidRDefault="00DE3014" w:rsidP="00A2081E">
            <w:pPr>
              <w:keepNext/>
              <w:keepLines/>
              <w:contextualSpacing/>
              <w:jc w:val="center"/>
              <w:rPr>
                <w:rFonts w:ascii="Arial Narrow" w:eastAsia="Calibri" w:hAnsi="Arial Narrow" w:cs="Times New Roman"/>
                <w:b/>
                <w:bCs/>
                <w:iCs/>
                <w:spacing w:val="5"/>
                <w:sz w:val="18"/>
                <w:szCs w:val="18"/>
                <w:vertAlign w:val="superscript"/>
                <w:lang w:eastAsia="en-US"/>
              </w:rPr>
            </w:pPr>
            <w:r w:rsidRPr="00A2081E">
              <w:rPr>
                <w:rFonts w:ascii="Arial Narrow" w:eastAsia="Calibri" w:hAnsi="Arial Narrow" w:cs="Times New Roman"/>
                <w:b/>
                <w:bCs/>
                <w:iCs/>
                <w:spacing w:val="5"/>
                <w:sz w:val="18"/>
                <w:szCs w:val="18"/>
                <w:lang w:eastAsia="en-US"/>
              </w:rPr>
              <w:t>2006 NMO diagnostic criteria</w:t>
            </w:r>
            <w:r w:rsidRPr="00A2081E">
              <w:rPr>
                <w:rFonts w:ascii="Arial Narrow" w:eastAsia="Calibri" w:hAnsi="Arial Narrow" w:cs="Times New Roman"/>
                <w:b/>
                <w:bCs/>
                <w:iCs/>
                <w:spacing w:val="5"/>
                <w:sz w:val="18"/>
                <w:szCs w:val="18"/>
                <w:vertAlign w:val="superscript"/>
                <w:lang w:eastAsia="en-US"/>
              </w:rPr>
              <w:t>b</w:t>
            </w:r>
          </w:p>
        </w:tc>
        <w:tc>
          <w:tcPr>
            <w:tcW w:w="2829" w:type="pct"/>
            <w:tcBorders>
              <w:top w:val="single" w:sz="4" w:space="0" w:color="auto"/>
              <w:left w:val="single" w:sz="4" w:space="0" w:color="auto"/>
              <w:bottom w:val="single" w:sz="4" w:space="0" w:color="auto"/>
              <w:right w:val="single" w:sz="4" w:space="0" w:color="auto"/>
            </w:tcBorders>
            <w:vAlign w:val="bottom"/>
          </w:tcPr>
          <w:p w14:paraId="3A3BCA5B" w14:textId="77777777" w:rsidR="00DE3014" w:rsidRPr="00A2081E" w:rsidRDefault="00DE3014" w:rsidP="00A2081E">
            <w:pPr>
              <w:keepNext/>
              <w:keepLines/>
              <w:contextualSpacing/>
              <w:jc w:val="center"/>
              <w:rPr>
                <w:rFonts w:ascii="Arial Narrow" w:hAnsi="Arial Narrow"/>
                <w:b/>
                <w:sz w:val="18"/>
                <w:szCs w:val="18"/>
                <w:vertAlign w:val="superscript"/>
                <w:lang w:eastAsia="en-US"/>
              </w:rPr>
            </w:pPr>
            <w:r w:rsidRPr="00A2081E">
              <w:rPr>
                <w:rFonts w:ascii="Arial Narrow" w:hAnsi="Arial Narrow"/>
                <w:b/>
                <w:sz w:val="18"/>
                <w:szCs w:val="18"/>
                <w:lang w:eastAsia="en-US"/>
              </w:rPr>
              <w:t>2015 NMOSD diagnostic criteria</w:t>
            </w:r>
            <w:r w:rsidRPr="00A2081E">
              <w:rPr>
                <w:rFonts w:ascii="Arial Narrow" w:hAnsi="Arial Narrow"/>
                <w:b/>
                <w:sz w:val="18"/>
                <w:szCs w:val="18"/>
                <w:vertAlign w:val="superscript"/>
                <w:lang w:eastAsia="en-US"/>
              </w:rPr>
              <w:t>c</w:t>
            </w:r>
          </w:p>
        </w:tc>
      </w:tr>
      <w:tr w:rsidR="00DE3014" w:rsidRPr="00A2081E" w14:paraId="109DEC1E" w14:textId="77777777" w:rsidTr="00A2081E">
        <w:trPr>
          <w:trHeight w:val="3103"/>
          <w:jc w:val="center"/>
        </w:trPr>
        <w:tc>
          <w:tcPr>
            <w:tcW w:w="1134" w:type="pct"/>
            <w:tcBorders>
              <w:top w:val="single" w:sz="4" w:space="0" w:color="auto"/>
              <w:left w:val="single" w:sz="4" w:space="0" w:color="auto"/>
              <w:bottom w:val="single" w:sz="4" w:space="0" w:color="auto"/>
              <w:right w:val="single" w:sz="4" w:space="0" w:color="auto"/>
            </w:tcBorders>
          </w:tcPr>
          <w:p w14:paraId="7375644E" w14:textId="77777777" w:rsidR="00DE3014" w:rsidRPr="00A2081E" w:rsidRDefault="00DE3014" w:rsidP="00A2081E">
            <w:pPr>
              <w:keepNext/>
              <w:keepLines/>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 xml:space="preserve">Diagnosis required </w:t>
            </w:r>
            <w:r w:rsidRPr="00A2081E">
              <w:rPr>
                <w:rFonts w:ascii="Arial Narrow" w:eastAsia="Calibri" w:hAnsi="Arial Narrow" w:cs="Times New Roman"/>
                <w:bCs/>
                <w:i/>
                <w:iCs/>
                <w:spacing w:val="5"/>
                <w:sz w:val="18"/>
                <w:szCs w:val="18"/>
                <w:u w:val="single"/>
                <w:lang w:eastAsia="en-US"/>
              </w:rPr>
              <w:t>three</w:t>
            </w:r>
            <w:r w:rsidRPr="00A2081E">
              <w:rPr>
                <w:rFonts w:ascii="Arial Narrow" w:eastAsia="Calibri" w:hAnsi="Arial Narrow" w:cs="Times New Roman"/>
                <w:bCs/>
                <w:iCs/>
                <w:spacing w:val="5"/>
                <w:sz w:val="18"/>
                <w:szCs w:val="18"/>
                <w:lang w:eastAsia="en-US"/>
              </w:rPr>
              <w:t xml:space="preserve"> absolute criteria (ON, acute myelitis and no evidence of clinical disease outside of the optic nerve or spinal cord), </w:t>
            </w:r>
            <w:r w:rsidRPr="00A2081E">
              <w:rPr>
                <w:rFonts w:ascii="Arial Narrow" w:eastAsia="Calibri" w:hAnsi="Arial Narrow" w:cs="Times New Roman"/>
                <w:bCs/>
                <w:i/>
                <w:iCs/>
                <w:spacing w:val="5"/>
                <w:sz w:val="18"/>
                <w:szCs w:val="18"/>
                <w:lang w:eastAsia="en-US"/>
              </w:rPr>
              <w:t>and</w:t>
            </w:r>
            <w:r w:rsidRPr="00A2081E">
              <w:rPr>
                <w:rFonts w:ascii="Arial Narrow" w:eastAsia="Calibri" w:hAnsi="Arial Narrow" w:cs="Times New Roman"/>
                <w:bCs/>
                <w:iCs/>
                <w:spacing w:val="5"/>
                <w:sz w:val="18"/>
                <w:szCs w:val="18"/>
                <w:lang w:eastAsia="en-US"/>
              </w:rPr>
              <w:t xml:space="preserve"> </w:t>
            </w:r>
          </w:p>
          <w:p w14:paraId="7995F147" w14:textId="77777777" w:rsidR="00DE3014" w:rsidRPr="00A2081E" w:rsidRDefault="00DE3014" w:rsidP="00A2081E">
            <w:pPr>
              <w:keepNext/>
              <w:keepLines/>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 xml:space="preserve">at least </w:t>
            </w:r>
            <w:r w:rsidRPr="00A2081E">
              <w:rPr>
                <w:rFonts w:ascii="Arial Narrow" w:eastAsia="Calibri" w:hAnsi="Arial Narrow" w:cs="Times New Roman"/>
                <w:bCs/>
                <w:iCs/>
                <w:spacing w:val="5"/>
                <w:sz w:val="18"/>
                <w:szCs w:val="18"/>
                <w:u w:val="single"/>
                <w:lang w:eastAsia="en-US"/>
              </w:rPr>
              <w:t>one of three</w:t>
            </w:r>
            <w:r w:rsidRPr="00A2081E">
              <w:rPr>
                <w:rFonts w:ascii="Arial Narrow" w:eastAsia="Calibri" w:hAnsi="Arial Narrow" w:cs="Times New Roman"/>
                <w:bCs/>
                <w:iCs/>
                <w:spacing w:val="5"/>
                <w:sz w:val="18"/>
                <w:szCs w:val="18"/>
                <w:lang w:eastAsia="en-US"/>
              </w:rPr>
              <w:t xml:space="preserve"> major supportive criterion (1) normal brain MRI at disease onset or not fulfilling MS imaging criteria; (2) spinal cord MRI showing a lesion extending over ≥ 3 vertebral segments, and (3) CSF revealing ≥ 50 WBC/mm</w:t>
            </w:r>
            <w:r w:rsidRPr="00A2081E">
              <w:rPr>
                <w:rFonts w:ascii="Arial Narrow" w:eastAsia="Calibri" w:hAnsi="Arial Narrow" w:cs="Times New Roman"/>
                <w:bCs/>
                <w:iCs/>
                <w:spacing w:val="5"/>
                <w:sz w:val="18"/>
                <w:szCs w:val="18"/>
                <w:vertAlign w:val="superscript"/>
                <w:lang w:eastAsia="en-US"/>
              </w:rPr>
              <w:t>3</w:t>
            </w:r>
            <w:r w:rsidRPr="00A2081E">
              <w:rPr>
                <w:rFonts w:ascii="Arial Narrow" w:eastAsia="Calibri" w:hAnsi="Arial Narrow" w:cs="Times New Roman"/>
                <w:bCs/>
                <w:iCs/>
                <w:spacing w:val="5"/>
                <w:sz w:val="18"/>
                <w:szCs w:val="18"/>
                <w:lang w:eastAsia="en-US"/>
              </w:rPr>
              <w:t xml:space="preserve"> or ≥ 5 neutrophils/mm</w:t>
            </w:r>
            <w:r w:rsidRPr="00A2081E">
              <w:rPr>
                <w:rFonts w:ascii="Arial Narrow" w:eastAsia="Calibri" w:hAnsi="Arial Narrow" w:cs="Times New Roman"/>
                <w:bCs/>
                <w:iCs/>
                <w:spacing w:val="5"/>
                <w:sz w:val="18"/>
                <w:szCs w:val="18"/>
                <w:vertAlign w:val="superscript"/>
                <w:lang w:eastAsia="en-US"/>
              </w:rPr>
              <w:t>3</w:t>
            </w:r>
            <w:r w:rsidRPr="00A2081E">
              <w:rPr>
                <w:rFonts w:ascii="Arial Narrow" w:eastAsia="Calibri" w:hAnsi="Arial Narrow" w:cs="Times New Roman"/>
                <w:bCs/>
                <w:iCs/>
                <w:spacing w:val="5"/>
                <w:sz w:val="18"/>
                <w:szCs w:val="18"/>
                <w:lang w:eastAsia="en-US"/>
              </w:rPr>
              <w:t xml:space="preserve">, </w:t>
            </w:r>
            <w:r w:rsidRPr="00A2081E">
              <w:rPr>
                <w:rFonts w:ascii="Arial Narrow" w:eastAsia="Calibri" w:hAnsi="Arial Narrow" w:cs="Times New Roman"/>
                <w:bCs/>
                <w:i/>
                <w:iCs/>
                <w:spacing w:val="5"/>
                <w:sz w:val="18"/>
                <w:szCs w:val="18"/>
                <w:lang w:eastAsia="en-US"/>
              </w:rPr>
              <w:t>or</w:t>
            </w:r>
            <w:r w:rsidRPr="00A2081E">
              <w:rPr>
                <w:rFonts w:ascii="Arial Narrow" w:eastAsia="Calibri" w:hAnsi="Arial Narrow" w:cs="Times New Roman"/>
                <w:bCs/>
                <w:iCs/>
                <w:spacing w:val="5"/>
                <w:sz w:val="18"/>
                <w:szCs w:val="18"/>
                <w:lang w:eastAsia="en-US"/>
              </w:rPr>
              <w:t xml:space="preserve"> </w:t>
            </w:r>
          </w:p>
          <w:p w14:paraId="08563532" w14:textId="77777777" w:rsidR="00DE3014" w:rsidRPr="00A2081E" w:rsidRDefault="00DE3014" w:rsidP="00A2081E">
            <w:pPr>
              <w:keepNext/>
              <w:keepLines/>
              <w:contextualSpacing/>
              <w:jc w:val="left"/>
              <w:rPr>
                <w:rFonts w:ascii="Arial Narrow" w:eastAsia="Calibri" w:hAnsi="Arial Narrow" w:cs="Times New Roman"/>
                <w:b/>
                <w:bCs/>
                <w:iCs/>
                <w:spacing w:val="5"/>
                <w:sz w:val="18"/>
                <w:szCs w:val="18"/>
                <w:lang w:eastAsia="en-US"/>
              </w:rPr>
            </w:pPr>
            <w:r w:rsidRPr="00A2081E">
              <w:rPr>
                <w:rFonts w:ascii="Arial Narrow" w:eastAsia="Calibri" w:hAnsi="Arial Narrow" w:cs="Times New Roman"/>
                <w:bCs/>
                <w:iCs/>
                <w:spacing w:val="5"/>
                <w:sz w:val="18"/>
                <w:szCs w:val="18"/>
                <w:u w:val="single"/>
                <w:lang w:eastAsia="en-US"/>
              </w:rPr>
              <w:t>two or three</w:t>
            </w:r>
            <w:r w:rsidRPr="00A2081E">
              <w:rPr>
                <w:rFonts w:ascii="Arial Narrow" w:eastAsia="Calibri" w:hAnsi="Arial Narrow" w:cs="Times New Roman"/>
                <w:bCs/>
                <w:iCs/>
                <w:spacing w:val="5"/>
                <w:sz w:val="18"/>
                <w:szCs w:val="18"/>
                <w:lang w:eastAsia="en-US"/>
              </w:rPr>
              <w:t xml:space="preserve"> minor supportive criteria (bilateral ON, severe residual visual loss, or severe fixed post-attack weakness (MRC grade ≤ 2) in one or more limbs)</w:t>
            </w:r>
          </w:p>
        </w:tc>
        <w:tc>
          <w:tcPr>
            <w:tcW w:w="1038" w:type="pct"/>
            <w:tcBorders>
              <w:top w:val="single" w:sz="4" w:space="0" w:color="auto"/>
              <w:left w:val="single" w:sz="4" w:space="0" w:color="auto"/>
              <w:bottom w:val="single" w:sz="4" w:space="0" w:color="auto"/>
              <w:right w:val="single" w:sz="4" w:space="0" w:color="auto"/>
            </w:tcBorders>
          </w:tcPr>
          <w:p w14:paraId="6E437124" w14:textId="77777777" w:rsidR="00DE3014" w:rsidRPr="00A2081E" w:rsidRDefault="00DE3014" w:rsidP="00A2081E">
            <w:pPr>
              <w:keepNext/>
              <w:keepLines/>
              <w:contextualSpacing/>
              <w:jc w:val="left"/>
              <w:rPr>
                <w:rFonts w:ascii="Arial Narrow" w:eastAsia="Calibri" w:hAnsi="Arial Narrow" w:cs="Times New Roman"/>
                <w:bCs/>
                <w:i/>
                <w:iCs/>
                <w:spacing w:val="5"/>
                <w:sz w:val="18"/>
                <w:szCs w:val="18"/>
                <w:u w:val="single"/>
                <w:lang w:eastAsia="en-US"/>
              </w:rPr>
            </w:pPr>
            <w:r w:rsidRPr="00A2081E">
              <w:rPr>
                <w:rFonts w:ascii="Arial Narrow" w:eastAsia="Calibri" w:hAnsi="Arial Narrow" w:cs="Times New Roman"/>
                <w:bCs/>
                <w:iCs/>
                <w:spacing w:val="5"/>
                <w:sz w:val="18"/>
                <w:szCs w:val="18"/>
                <w:lang w:eastAsia="en-US"/>
              </w:rPr>
              <w:t xml:space="preserve">Diagnosis required </w:t>
            </w:r>
            <w:r w:rsidRPr="00A2081E">
              <w:rPr>
                <w:rFonts w:ascii="Arial Narrow" w:eastAsia="Calibri" w:hAnsi="Arial Narrow" w:cs="Times New Roman"/>
                <w:bCs/>
                <w:i/>
                <w:iCs/>
                <w:spacing w:val="5"/>
                <w:sz w:val="18"/>
                <w:szCs w:val="18"/>
                <w:u w:val="single"/>
                <w:lang w:eastAsia="en-US"/>
              </w:rPr>
              <w:t>two</w:t>
            </w:r>
            <w:r w:rsidRPr="00A2081E">
              <w:rPr>
                <w:rFonts w:ascii="Arial Narrow" w:eastAsia="Calibri" w:hAnsi="Arial Narrow" w:cs="Times New Roman"/>
                <w:bCs/>
                <w:iCs/>
                <w:spacing w:val="5"/>
                <w:sz w:val="18"/>
                <w:szCs w:val="18"/>
                <w:lang w:eastAsia="en-US"/>
              </w:rPr>
              <w:t xml:space="preserve"> absolute criteria (ON and acute myelitis), </w:t>
            </w:r>
            <w:r w:rsidRPr="00A2081E">
              <w:rPr>
                <w:rFonts w:ascii="Arial Narrow" w:eastAsia="Calibri" w:hAnsi="Arial Narrow" w:cs="Times New Roman"/>
                <w:bCs/>
                <w:i/>
                <w:iCs/>
                <w:spacing w:val="5"/>
                <w:sz w:val="18"/>
                <w:szCs w:val="18"/>
                <w:lang w:eastAsia="en-US"/>
              </w:rPr>
              <w:t>and</w:t>
            </w:r>
          </w:p>
          <w:p w14:paraId="2C5851D7" w14:textId="77777777" w:rsidR="00DE3014" w:rsidRPr="00A2081E" w:rsidRDefault="00DE3014" w:rsidP="00A2081E">
            <w:pPr>
              <w:keepNext/>
              <w:keepLines/>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 xml:space="preserve">at least </w:t>
            </w:r>
            <w:r w:rsidRPr="00A2081E">
              <w:rPr>
                <w:rFonts w:ascii="Arial Narrow" w:eastAsia="Calibri" w:hAnsi="Arial Narrow" w:cs="Times New Roman"/>
                <w:bCs/>
                <w:iCs/>
                <w:spacing w:val="5"/>
                <w:sz w:val="18"/>
                <w:szCs w:val="18"/>
                <w:u w:val="single"/>
                <w:lang w:eastAsia="en-US"/>
              </w:rPr>
              <w:t>two of three</w:t>
            </w:r>
            <w:r w:rsidRPr="00A2081E">
              <w:rPr>
                <w:rFonts w:ascii="Arial Narrow" w:eastAsia="Calibri" w:hAnsi="Arial Narrow" w:cs="Times New Roman"/>
                <w:bCs/>
                <w:iCs/>
                <w:spacing w:val="5"/>
                <w:sz w:val="18"/>
                <w:szCs w:val="18"/>
                <w:lang w:eastAsia="en-US"/>
              </w:rPr>
              <w:t xml:space="preserve"> supportive criteria (1) contiguous spinal cord MRI lesion extending over ≥ 3 vertebral segments; (2) brain MRI not meeting diagnostic criteria for MS, and (3) NMO-IgG (AQP4-IgG)</w:t>
            </w:r>
            <w:r w:rsidRPr="00A2081E">
              <w:rPr>
                <w:rFonts w:ascii="Arial Narrow" w:eastAsia="Calibri" w:hAnsi="Arial Narrow" w:cs="Times New Roman"/>
                <w:bCs/>
                <w:iCs/>
                <w:spacing w:val="5"/>
                <w:sz w:val="18"/>
                <w:szCs w:val="18"/>
                <w:vertAlign w:val="superscript"/>
                <w:lang w:eastAsia="en-US"/>
              </w:rPr>
              <w:t>d</w:t>
            </w:r>
            <w:r w:rsidRPr="00A2081E">
              <w:rPr>
                <w:rFonts w:ascii="Arial Narrow" w:eastAsia="Calibri" w:hAnsi="Arial Narrow" w:cs="Times New Roman"/>
                <w:bCs/>
                <w:iCs/>
                <w:spacing w:val="5"/>
                <w:sz w:val="18"/>
                <w:szCs w:val="18"/>
                <w:lang w:eastAsia="en-US"/>
              </w:rPr>
              <w:t xml:space="preserve"> seropositive status</w:t>
            </w:r>
          </w:p>
        </w:tc>
        <w:tc>
          <w:tcPr>
            <w:tcW w:w="2829" w:type="pct"/>
            <w:tcBorders>
              <w:top w:val="single" w:sz="4" w:space="0" w:color="auto"/>
              <w:left w:val="single" w:sz="4" w:space="0" w:color="auto"/>
              <w:bottom w:val="single" w:sz="4" w:space="0" w:color="auto"/>
              <w:right w:val="single" w:sz="4" w:space="0" w:color="auto"/>
            </w:tcBorders>
          </w:tcPr>
          <w:p w14:paraId="53485DFA" w14:textId="77777777" w:rsidR="00DE3014" w:rsidRPr="007E569A" w:rsidRDefault="00DE3014" w:rsidP="00A2081E">
            <w:pPr>
              <w:keepNext/>
              <w:keepLines/>
              <w:contextualSpacing/>
              <w:jc w:val="left"/>
              <w:rPr>
                <w:rFonts w:ascii="Arial Narrow" w:eastAsia="Calibri" w:hAnsi="Arial Narrow" w:cs="Times New Roman"/>
                <w:bCs/>
                <w:iCs/>
                <w:spacing w:val="5"/>
                <w:sz w:val="18"/>
                <w:szCs w:val="18"/>
                <w:vertAlign w:val="superscript"/>
                <w:lang w:eastAsia="en-US"/>
              </w:rPr>
            </w:pPr>
            <w:r w:rsidRPr="00A2081E">
              <w:rPr>
                <w:rFonts w:ascii="Arial Narrow" w:eastAsia="Calibri" w:hAnsi="Arial Narrow" w:cs="Times New Roman"/>
                <w:bCs/>
                <w:iCs/>
                <w:spacing w:val="5"/>
                <w:sz w:val="18"/>
                <w:szCs w:val="18"/>
                <w:lang w:eastAsia="en-US"/>
              </w:rPr>
              <w:t xml:space="preserve">Diagnosis criteria for NMOSD </w:t>
            </w:r>
            <w:r w:rsidRPr="00A2081E">
              <w:rPr>
                <w:rFonts w:ascii="Arial Narrow" w:eastAsia="Calibri" w:hAnsi="Arial Narrow" w:cs="Times New Roman"/>
                <w:bCs/>
                <w:i/>
                <w:iCs/>
                <w:spacing w:val="5"/>
                <w:sz w:val="18"/>
                <w:szCs w:val="18"/>
                <w:u w:val="single"/>
                <w:lang w:eastAsia="en-US"/>
              </w:rPr>
              <w:t>with</w:t>
            </w:r>
            <w:r w:rsidRPr="00A2081E">
              <w:rPr>
                <w:rFonts w:ascii="Arial Narrow" w:eastAsia="Calibri" w:hAnsi="Arial Narrow" w:cs="Times New Roman"/>
                <w:bCs/>
                <w:iCs/>
                <w:spacing w:val="5"/>
                <w:sz w:val="18"/>
                <w:szCs w:val="18"/>
                <w:lang w:eastAsia="en-US"/>
              </w:rPr>
              <w:t xml:space="preserve"> AQP4-IgG</w:t>
            </w:r>
            <w:r w:rsidR="007E569A">
              <w:rPr>
                <w:rFonts w:ascii="Arial Narrow" w:eastAsia="Calibri" w:hAnsi="Arial Narrow" w:cs="Times New Roman"/>
                <w:bCs/>
                <w:iCs/>
                <w:spacing w:val="5"/>
                <w:sz w:val="18"/>
                <w:szCs w:val="18"/>
                <w:vertAlign w:val="superscript"/>
                <w:lang w:eastAsia="en-US"/>
              </w:rPr>
              <w:t>d</w:t>
            </w:r>
          </w:p>
          <w:p w14:paraId="1A4A147E" w14:textId="77777777" w:rsidR="00DE3014" w:rsidRPr="00A2081E" w:rsidRDefault="00DE3014" w:rsidP="003816F6">
            <w:pPr>
              <w:keepNext/>
              <w:keepLines/>
              <w:numPr>
                <w:ilvl w:val="0"/>
                <w:numId w:val="41"/>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At least 1 core clinical characteristic (see below)</w:t>
            </w:r>
          </w:p>
          <w:p w14:paraId="2700E2FE" w14:textId="77777777" w:rsidR="00DE3014" w:rsidRPr="00A2081E" w:rsidRDefault="00DE3014" w:rsidP="003816F6">
            <w:pPr>
              <w:keepNext/>
              <w:keepLines/>
              <w:numPr>
                <w:ilvl w:val="0"/>
                <w:numId w:val="41"/>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Positive test for AQP4-IgG using best available detection method (cell-based assay strongly recommended)</w:t>
            </w:r>
          </w:p>
          <w:p w14:paraId="6810ED1B" w14:textId="77777777" w:rsidR="00DE3014" w:rsidRPr="00A2081E" w:rsidRDefault="00DE3014" w:rsidP="003816F6">
            <w:pPr>
              <w:keepNext/>
              <w:keepLines/>
              <w:numPr>
                <w:ilvl w:val="0"/>
                <w:numId w:val="41"/>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Exclusion of alternative diagnoses based on clinical features and laboratory findings and conventional neuroimaging</w:t>
            </w:r>
          </w:p>
          <w:p w14:paraId="6C6525E8" w14:textId="77777777" w:rsidR="00DE3014" w:rsidRPr="00A2081E" w:rsidRDefault="00DE3014" w:rsidP="00A2081E">
            <w:pPr>
              <w:keepNext/>
              <w:keepLines/>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 xml:space="preserve">Diagnostic criteria for NMOSD </w:t>
            </w:r>
            <w:r w:rsidRPr="00A2081E">
              <w:rPr>
                <w:rFonts w:ascii="Arial Narrow" w:eastAsia="Calibri" w:hAnsi="Arial Narrow" w:cs="Times New Roman"/>
                <w:bCs/>
                <w:i/>
                <w:iCs/>
                <w:spacing w:val="5"/>
                <w:sz w:val="18"/>
                <w:szCs w:val="18"/>
                <w:u w:val="single"/>
                <w:lang w:eastAsia="en-US"/>
              </w:rPr>
              <w:t>without</w:t>
            </w:r>
            <w:r w:rsidRPr="00A2081E">
              <w:rPr>
                <w:rFonts w:ascii="Arial Narrow" w:eastAsia="Calibri" w:hAnsi="Arial Narrow" w:cs="Times New Roman"/>
                <w:bCs/>
                <w:iCs/>
                <w:spacing w:val="5"/>
                <w:sz w:val="18"/>
                <w:szCs w:val="18"/>
                <w:lang w:eastAsia="en-US"/>
              </w:rPr>
              <w:t xml:space="preserve"> AQP4-IgG </w:t>
            </w:r>
            <w:r w:rsidRPr="00A2081E">
              <w:rPr>
                <w:rFonts w:ascii="Arial Narrow" w:eastAsia="Calibri" w:hAnsi="Arial Narrow" w:cs="Times New Roman"/>
                <w:bCs/>
                <w:i/>
                <w:iCs/>
                <w:spacing w:val="5"/>
                <w:sz w:val="18"/>
                <w:szCs w:val="18"/>
                <w:u w:val="single"/>
                <w:lang w:eastAsia="en-US"/>
              </w:rPr>
              <w:t>or</w:t>
            </w:r>
            <w:r w:rsidRPr="00A2081E">
              <w:rPr>
                <w:rFonts w:ascii="Arial Narrow" w:eastAsia="Calibri" w:hAnsi="Arial Narrow" w:cs="Times New Roman"/>
                <w:bCs/>
                <w:iCs/>
                <w:spacing w:val="5"/>
                <w:sz w:val="18"/>
                <w:szCs w:val="18"/>
                <w:lang w:eastAsia="en-US"/>
              </w:rPr>
              <w:t xml:space="preserve"> NMOSD with unknown AQP4-IgG status</w:t>
            </w:r>
          </w:p>
          <w:p w14:paraId="7F6C3435" w14:textId="77777777" w:rsidR="00DE3014" w:rsidRPr="00A2081E" w:rsidRDefault="00DE3014" w:rsidP="003816F6">
            <w:pPr>
              <w:keepNext/>
              <w:keepLines/>
              <w:numPr>
                <w:ilvl w:val="0"/>
                <w:numId w:val="41"/>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At least 2 core clinical characteristics occurring as a result of one or more clinical attacks and meeting all of the following requirements:</w:t>
            </w:r>
          </w:p>
          <w:p w14:paraId="751BCA10" w14:textId="77777777" w:rsidR="00DE3014" w:rsidRPr="00A2081E" w:rsidRDefault="00DE3014" w:rsidP="003816F6">
            <w:pPr>
              <w:keepNext/>
              <w:keepLines/>
              <w:numPr>
                <w:ilvl w:val="0"/>
                <w:numId w:val="41"/>
              </w:numPr>
              <w:ind w:left="507" w:hanging="147"/>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At least 1 core clinical characteristic must be ON, acute myelitis with LETM, or area postrema syndrome</w:t>
            </w:r>
          </w:p>
          <w:p w14:paraId="4623CEE8" w14:textId="77777777" w:rsidR="00DE3014" w:rsidRPr="00A2081E" w:rsidRDefault="00DE3014" w:rsidP="003816F6">
            <w:pPr>
              <w:keepNext/>
              <w:keepLines/>
              <w:numPr>
                <w:ilvl w:val="0"/>
                <w:numId w:val="41"/>
              </w:numPr>
              <w:ind w:left="507" w:hanging="147"/>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Dissemination in space (2 or more different core clinical characteristics)</w:t>
            </w:r>
          </w:p>
          <w:p w14:paraId="66C5874D" w14:textId="77777777" w:rsidR="00DE3014" w:rsidRPr="00A2081E" w:rsidRDefault="00DE3014" w:rsidP="003816F6">
            <w:pPr>
              <w:keepNext/>
              <w:keepLines/>
              <w:numPr>
                <w:ilvl w:val="0"/>
                <w:numId w:val="41"/>
              </w:numPr>
              <w:ind w:left="507" w:hanging="147"/>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Fulfilment of additional MRI requirements, as applicable</w:t>
            </w:r>
          </w:p>
          <w:p w14:paraId="42E479D4" w14:textId="77777777" w:rsidR="00DE3014" w:rsidRPr="00A2081E" w:rsidRDefault="00DE3014" w:rsidP="003816F6">
            <w:pPr>
              <w:keepNext/>
              <w:keepLines/>
              <w:numPr>
                <w:ilvl w:val="0"/>
                <w:numId w:val="41"/>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Negative tests for AQP4-IgG using best available detection method, or testing unavailable</w:t>
            </w:r>
          </w:p>
          <w:p w14:paraId="52228039" w14:textId="77777777" w:rsidR="00DE3014" w:rsidRPr="00A2081E" w:rsidRDefault="00DE3014" w:rsidP="003816F6">
            <w:pPr>
              <w:keepNext/>
              <w:keepLines/>
              <w:numPr>
                <w:ilvl w:val="0"/>
                <w:numId w:val="41"/>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Exclusion of alternative diagnoses</w:t>
            </w:r>
          </w:p>
        </w:tc>
      </w:tr>
      <w:tr w:rsidR="00DE3014" w:rsidRPr="00A2081E" w14:paraId="39FF73C5" w14:textId="77777777" w:rsidTr="00A2081E">
        <w:trPr>
          <w:trHeight w:val="1846"/>
          <w:jc w:val="center"/>
        </w:trPr>
        <w:tc>
          <w:tcPr>
            <w:tcW w:w="1134" w:type="pct"/>
            <w:tcBorders>
              <w:top w:val="single" w:sz="4" w:space="0" w:color="auto"/>
              <w:left w:val="single" w:sz="4" w:space="0" w:color="auto"/>
              <w:bottom w:val="single" w:sz="4" w:space="0" w:color="auto"/>
              <w:right w:val="single" w:sz="4" w:space="0" w:color="auto"/>
            </w:tcBorders>
          </w:tcPr>
          <w:p w14:paraId="1577F379" w14:textId="77777777" w:rsidR="00DE3014" w:rsidRPr="00A2081E" w:rsidRDefault="00DE3014" w:rsidP="00A2081E">
            <w:pPr>
              <w:keepNext/>
              <w:keepLines/>
              <w:contextualSpacing/>
              <w:jc w:val="left"/>
              <w:rPr>
                <w:rFonts w:ascii="Arial Narrow" w:eastAsia="Calibri" w:hAnsi="Arial Narrow" w:cs="Times New Roman"/>
                <w:bCs/>
                <w:iCs/>
                <w:spacing w:val="5"/>
                <w:sz w:val="18"/>
                <w:szCs w:val="18"/>
                <w:lang w:eastAsia="en-US"/>
              </w:rPr>
            </w:pPr>
          </w:p>
        </w:tc>
        <w:tc>
          <w:tcPr>
            <w:tcW w:w="1038" w:type="pct"/>
            <w:tcBorders>
              <w:top w:val="single" w:sz="4" w:space="0" w:color="auto"/>
              <w:left w:val="single" w:sz="4" w:space="0" w:color="auto"/>
              <w:bottom w:val="single" w:sz="4" w:space="0" w:color="auto"/>
              <w:right w:val="single" w:sz="4" w:space="0" w:color="auto"/>
            </w:tcBorders>
          </w:tcPr>
          <w:p w14:paraId="35C421C1" w14:textId="77777777" w:rsidR="00DE3014" w:rsidRPr="00A2081E" w:rsidRDefault="00DE3014" w:rsidP="00A2081E">
            <w:pPr>
              <w:keepNext/>
              <w:keepLines/>
              <w:contextualSpacing/>
              <w:jc w:val="left"/>
              <w:rPr>
                <w:rFonts w:ascii="Arial Narrow" w:eastAsia="Calibri" w:hAnsi="Arial Narrow" w:cs="Times New Roman"/>
                <w:bCs/>
                <w:iCs/>
                <w:spacing w:val="5"/>
                <w:sz w:val="18"/>
                <w:szCs w:val="18"/>
                <w:lang w:eastAsia="en-US"/>
              </w:rPr>
            </w:pPr>
          </w:p>
        </w:tc>
        <w:tc>
          <w:tcPr>
            <w:tcW w:w="2829" w:type="pct"/>
            <w:tcBorders>
              <w:top w:val="single" w:sz="4" w:space="0" w:color="auto"/>
              <w:left w:val="single" w:sz="4" w:space="0" w:color="auto"/>
              <w:bottom w:val="single" w:sz="4" w:space="0" w:color="auto"/>
              <w:right w:val="single" w:sz="4" w:space="0" w:color="auto"/>
            </w:tcBorders>
          </w:tcPr>
          <w:p w14:paraId="404FB6D0" w14:textId="77777777" w:rsidR="00DE3014" w:rsidRPr="00A2081E" w:rsidRDefault="00DE3014" w:rsidP="00A2081E">
            <w:pPr>
              <w:keepNext/>
              <w:keepLines/>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Core clinical characteristics</w:t>
            </w:r>
          </w:p>
          <w:p w14:paraId="4D253143" w14:textId="77777777" w:rsidR="00DE3014" w:rsidRPr="00A2081E" w:rsidRDefault="00DE3014" w:rsidP="003816F6">
            <w:pPr>
              <w:keepNext/>
              <w:keepLines/>
              <w:numPr>
                <w:ilvl w:val="0"/>
                <w:numId w:val="42"/>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ON</w:t>
            </w:r>
          </w:p>
          <w:p w14:paraId="26DFC02B" w14:textId="77777777" w:rsidR="00DE3014" w:rsidRPr="00A2081E" w:rsidRDefault="00DE3014" w:rsidP="003816F6">
            <w:pPr>
              <w:keepNext/>
              <w:keepLines/>
              <w:numPr>
                <w:ilvl w:val="0"/>
                <w:numId w:val="42"/>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Acute myelitis</w:t>
            </w:r>
          </w:p>
          <w:p w14:paraId="70DBE984" w14:textId="77777777" w:rsidR="00DE3014" w:rsidRPr="00A2081E" w:rsidRDefault="00DE3014" w:rsidP="003816F6">
            <w:pPr>
              <w:keepNext/>
              <w:keepLines/>
              <w:numPr>
                <w:ilvl w:val="0"/>
                <w:numId w:val="42"/>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Area postrema syndrome: episode of otherwise unexplained hiccups or nausea and vomiting</w:t>
            </w:r>
          </w:p>
          <w:p w14:paraId="3F9A5A20" w14:textId="77777777" w:rsidR="00DE3014" w:rsidRPr="00A2081E" w:rsidRDefault="00DE3014" w:rsidP="003816F6">
            <w:pPr>
              <w:keepNext/>
              <w:keepLines/>
              <w:numPr>
                <w:ilvl w:val="0"/>
                <w:numId w:val="42"/>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Acute brainstem syndrome</w:t>
            </w:r>
          </w:p>
          <w:p w14:paraId="1F804A21" w14:textId="77777777" w:rsidR="00DE3014" w:rsidRPr="00A2081E" w:rsidRDefault="00DE3014" w:rsidP="003816F6">
            <w:pPr>
              <w:keepNext/>
              <w:keepLines/>
              <w:numPr>
                <w:ilvl w:val="0"/>
                <w:numId w:val="42"/>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Symptomatic narcolepsy or acute diencephalic clinical syndrome with NMOSD-typical diencephalic MRI lesions</w:t>
            </w:r>
          </w:p>
          <w:p w14:paraId="17A898ED" w14:textId="77777777" w:rsidR="00DE3014" w:rsidRPr="00A2081E" w:rsidRDefault="00DE3014" w:rsidP="003816F6">
            <w:pPr>
              <w:keepNext/>
              <w:keepLines/>
              <w:numPr>
                <w:ilvl w:val="0"/>
                <w:numId w:val="42"/>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Symptomatic cerebral syndrome with NMOSD-typical brain lesions</w:t>
            </w:r>
          </w:p>
        </w:tc>
      </w:tr>
      <w:tr w:rsidR="00DE3014" w:rsidRPr="00A2081E" w14:paraId="59413C8D" w14:textId="77777777" w:rsidTr="00A2081E">
        <w:trPr>
          <w:trHeight w:val="2092"/>
          <w:jc w:val="center"/>
        </w:trPr>
        <w:tc>
          <w:tcPr>
            <w:tcW w:w="1134" w:type="pct"/>
            <w:tcBorders>
              <w:top w:val="single" w:sz="4" w:space="0" w:color="auto"/>
              <w:left w:val="single" w:sz="4" w:space="0" w:color="auto"/>
              <w:bottom w:val="single" w:sz="4" w:space="0" w:color="auto"/>
              <w:right w:val="single" w:sz="4" w:space="0" w:color="auto"/>
            </w:tcBorders>
          </w:tcPr>
          <w:p w14:paraId="180924D6" w14:textId="77777777" w:rsidR="00DE3014" w:rsidRPr="00A2081E" w:rsidRDefault="00DE3014" w:rsidP="00DE3014">
            <w:pPr>
              <w:keepNext/>
              <w:contextualSpacing/>
              <w:jc w:val="left"/>
              <w:rPr>
                <w:rFonts w:ascii="Arial Narrow" w:eastAsia="Calibri" w:hAnsi="Arial Narrow" w:cs="Times New Roman"/>
                <w:bCs/>
                <w:iCs/>
                <w:spacing w:val="5"/>
                <w:sz w:val="18"/>
                <w:szCs w:val="18"/>
                <w:lang w:eastAsia="en-US"/>
              </w:rPr>
            </w:pPr>
          </w:p>
        </w:tc>
        <w:tc>
          <w:tcPr>
            <w:tcW w:w="1038" w:type="pct"/>
            <w:tcBorders>
              <w:top w:val="single" w:sz="4" w:space="0" w:color="auto"/>
              <w:left w:val="single" w:sz="4" w:space="0" w:color="auto"/>
              <w:bottom w:val="single" w:sz="4" w:space="0" w:color="auto"/>
              <w:right w:val="single" w:sz="4" w:space="0" w:color="auto"/>
            </w:tcBorders>
          </w:tcPr>
          <w:p w14:paraId="31D6D82C" w14:textId="77777777" w:rsidR="00DE3014" w:rsidRPr="00A2081E" w:rsidRDefault="00DE3014" w:rsidP="00DE3014">
            <w:pPr>
              <w:keepNext/>
              <w:contextualSpacing/>
              <w:jc w:val="left"/>
              <w:rPr>
                <w:rFonts w:ascii="Arial Narrow" w:eastAsia="Calibri" w:hAnsi="Arial Narrow" w:cs="Times New Roman"/>
                <w:bCs/>
                <w:iCs/>
                <w:spacing w:val="5"/>
                <w:sz w:val="18"/>
                <w:szCs w:val="18"/>
                <w:lang w:eastAsia="en-US"/>
              </w:rPr>
            </w:pPr>
          </w:p>
        </w:tc>
        <w:tc>
          <w:tcPr>
            <w:tcW w:w="2829" w:type="pct"/>
            <w:tcBorders>
              <w:top w:val="single" w:sz="4" w:space="0" w:color="auto"/>
              <w:left w:val="single" w:sz="4" w:space="0" w:color="auto"/>
              <w:bottom w:val="single" w:sz="4" w:space="0" w:color="auto"/>
              <w:right w:val="single" w:sz="4" w:space="0" w:color="auto"/>
            </w:tcBorders>
          </w:tcPr>
          <w:p w14:paraId="1A2FCCD4" w14:textId="77777777" w:rsidR="00DE3014" w:rsidRPr="00A2081E" w:rsidRDefault="00DE3014" w:rsidP="00DE3014">
            <w:pPr>
              <w:keepNext/>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Additional MRI requirements for NMOSD without AQP4-IgG and NMOSD with unknown AQP4-IgG status</w:t>
            </w:r>
          </w:p>
          <w:p w14:paraId="36D1A760" w14:textId="77777777" w:rsidR="00DE3014" w:rsidRPr="00A2081E" w:rsidRDefault="00DE3014" w:rsidP="003816F6">
            <w:pPr>
              <w:keepNext/>
              <w:numPr>
                <w:ilvl w:val="0"/>
                <w:numId w:val="42"/>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 xml:space="preserve">Acute ON: requires brain MRI showing (a) normal findings or only nonspecific white matter lesions, </w:t>
            </w:r>
            <w:r w:rsidRPr="00A2081E">
              <w:rPr>
                <w:rFonts w:ascii="Arial Narrow" w:eastAsia="Calibri" w:hAnsi="Arial Narrow" w:cs="Times New Roman"/>
                <w:bCs/>
                <w:i/>
                <w:iCs/>
                <w:spacing w:val="5"/>
                <w:sz w:val="18"/>
                <w:szCs w:val="18"/>
                <w:u w:val="single"/>
                <w:lang w:eastAsia="en-US"/>
              </w:rPr>
              <w:t>or</w:t>
            </w:r>
            <w:r w:rsidRPr="00A2081E">
              <w:rPr>
                <w:rFonts w:ascii="Arial Narrow" w:eastAsia="Calibri" w:hAnsi="Arial Narrow" w:cs="Times New Roman"/>
                <w:bCs/>
                <w:iCs/>
                <w:spacing w:val="5"/>
                <w:sz w:val="18"/>
                <w:szCs w:val="18"/>
                <w:lang w:eastAsia="en-US"/>
              </w:rPr>
              <w:t xml:space="preserve"> (b) optic nerve MRI with T2-hyperintense lesion or T1-weighted gadolinium-enhancing lesion extending over &gt;1/2 optic nerve length or involving optic chiasm</w:t>
            </w:r>
          </w:p>
          <w:p w14:paraId="240ED6DB" w14:textId="77777777" w:rsidR="00DE3014" w:rsidRPr="00A2081E" w:rsidRDefault="00DE3014" w:rsidP="003816F6">
            <w:pPr>
              <w:keepNext/>
              <w:numPr>
                <w:ilvl w:val="0"/>
                <w:numId w:val="42"/>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 xml:space="preserve">Acute myelitis: required associated intramedullary MRI lesion extending over ≥ 3 contiguous segments (LETM) </w:t>
            </w:r>
            <w:r w:rsidRPr="00A2081E">
              <w:rPr>
                <w:rFonts w:ascii="Arial Narrow" w:eastAsia="Calibri" w:hAnsi="Arial Narrow" w:cs="Times New Roman"/>
                <w:bCs/>
                <w:i/>
                <w:iCs/>
                <w:spacing w:val="5"/>
                <w:sz w:val="18"/>
                <w:szCs w:val="18"/>
                <w:u w:val="single"/>
                <w:lang w:eastAsia="en-US"/>
              </w:rPr>
              <w:t>or</w:t>
            </w:r>
            <w:r w:rsidRPr="00A2081E">
              <w:rPr>
                <w:rFonts w:ascii="Arial Narrow" w:eastAsia="Calibri" w:hAnsi="Arial Narrow" w:cs="Times New Roman"/>
                <w:bCs/>
                <w:iCs/>
                <w:spacing w:val="5"/>
                <w:sz w:val="18"/>
                <w:szCs w:val="18"/>
                <w:lang w:eastAsia="en-US"/>
              </w:rPr>
              <w:t xml:space="preserve"> ≥ 3 contiguous segments of focal spinal cord atrophy in patients with history compatible with acute myelitis</w:t>
            </w:r>
          </w:p>
          <w:p w14:paraId="68556640" w14:textId="77777777" w:rsidR="00DE3014" w:rsidRPr="00A2081E" w:rsidRDefault="00DE3014" w:rsidP="003816F6">
            <w:pPr>
              <w:keepNext/>
              <w:numPr>
                <w:ilvl w:val="0"/>
                <w:numId w:val="42"/>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Area postrema syndrome: requires associated dorsal medulla/area postrema lesions</w:t>
            </w:r>
          </w:p>
          <w:p w14:paraId="2F408529" w14:textId="77777777" w:rsidR="00DE3014" w:rsidRPr="00A2081E" w:rsidRDefault="00DE3014" w:rsidP="003816F6">
            <w:pPr>
              <w:keepNext/>
              <w:numPr>
                <w:ilvl w:val="0"/>
                <w:numId w:val="42"/>
              </w:numPr>
              <w:ind w:left="365" w:hanging="218"/>
              <w:contextualSpacing/>
              <w:jc w:val="left"/>
              <w:rPr>
                <w:rFonts w:ascii="Arial Narrow" w:eastAsia="Calibri" w:hAnsi="Arial Narrow" w:cs="Times New Roman"/>
                <w:bCs/>
                <w:iCs/>
                <w:spacing w:val="5"/>
                <w:sz w:val="18"/>
                <w:szCs w:val="18"/>
                <w:lang w:eastAsia="en-US"/>
              </w:rPr>
            </w:pPr>
            <w:r w:rsidRPr="00A2081E">
              <w:rPr>
                <w:rFonts w:ascii="Arial Narrow" w:eastAsia="Calibri" w:hAnsi="Arial Narrow" w:cs="Times New Roman"/>
                <w:bCs/>
                <w:iCs/>
                <w:spacing w:val="5"/>
                <w:sz w:val="18"/>
                <w:szCs w:val="18"/>
                <w:lang w:eastAsia="en-US"/>
              </w:rPr>
              <w:t>Acute brainstem syndrome: requires associated periependymal brainstem lesions</w:t>
            </w:r>
          </w:p>
        </w:tc>
      </w:tr>
    </w:tbl>
    <w:p w14:paraId="36BCD214" w14:textId="77777777" w:rsidR="00DE3014" w:rsidRPr="00DE3014" w:rsidRDefault="00DE3014" w:rsidP="00DE3014">
      <w:pPr>
        <w:spacing w:after="0"/>
        <w:rPr>
          <w:rFonts w:ascii="Arial Narrow" w:hAnsi="Arial Narrow"/>
          <w:sz w:val="18"/>
          <w:szCs w:val="18"/>
        </w:rPr>
      </w:pPr>
      <w:r w:rsidRPr="00DE3014">
        <w:rPr>
          <w:rFonts w:ascii="Arial Narrow" w:hAnsi="Arial Narrow"/>
          <w:sz w:val="18"/>
          <w:szCs w:val="18"/>
        </w:rPr>
        <w:t>AQP4 = aquaporin-4; CSF = cerebrospinal fluid; IgG = immunoglobulin G; LETM = longitudinally extensive transverse myelitis; MRC = Medical Research Council; MRI = magnetic resonance imaging; MS = multiple sclerosis; NMO = neuromyelitis optica; NMOSD = neuromyelitis optica spectrum disorders; ON = optic neuritis; WBC = white blood cells</w:t>
      </w:r>
    </w:p>
    <w:p w14:paraId="04D40F7A" w14:textId="77777777" w:rsidR="00DE3014" w:rsidRPr="00DE3014" w:rsidRDefault="00DE3014" w:rsidP="00DE3014">
      <w:pPr>
        <w:spacing w:after="0"/>
        <w:rPr>
          <w:rFonts w:ascii="Arial Narrow" w:hAnsi="Arial Narrow"/>
          <w:sz w:val="18"/>
          <w:szCs w:val="18"/>
        </w:rPr>
      </w:pPr>
      <w:r w:rsidRPr="00DE3014">
        <w:rPr>
          <w:rFonts w:ascii="Arial Narrow" w:hAnsi="Arial Narrow"/>
          <w:sz w:val="18"/>
          <w:szCs w:val="18"/>
          <w:vertAlign w:val="superscript"/>
        </w:rPr>
        <w:t xml:space="preserve">a </w:t>
      </w:r>
      <w:r w:rsidRPr="00DE3014">
        <w:rPr>
          <w:rFonts w:ascii="Arial Narrow" w:hAnsi="Arial Narrow"/>
          <w:sz w:val="18"/>
          <w:szCs w:val="18"/>
        </w:rPr>
        <w:t>Wingerchuk et al., The clinical course of neuromyelitis optica (Devic’s syndrome). Neurology 1999; 53(5): 1107-1114.</w:t>
      </w:r>
    </w:p>
    <w:p w14:paraId="5662765D" w14:textId="77777777" w:rsidR="00DE3014" w:rsidRPr="00DE3014" w:rsidRDefault="00DE3014" w:rsidP="00DE3014">
      <w:pPr>
        <w:spacing w:after="0"/>
        <w:rPr>
          <w:rFonts w:ascii="Arial Narrow" w:hAnsi="Arial Narrow"/>
          <w:sz w:val="18"/>
          <w:szCs w:val="18"/>
        </w:rPr>
      </w:pPr>
      <w:r w:rsidRPr="00DE3014">
        <w:rPr>
          <w:rFonts w:ascii="Arial Narrow" w:hAnsi="Arial Narrow"/>
          <w:sz w:val="18"/>
          <w:szCs w:val="18"/>
          <w:vertAlign w:val="superscript"/>
        </w:rPr>
        <w:t xml:space="preserve">b </w:t>
      </w:r>
      <w:r w:rsidRPr="00DE3014">
        <w:rPr>
          <w:rFonts w:ascii="Arial Narrow" w:hAnsi="Arial Narrow"/>
          <w:sz w:val="18"/>
          <w:szCs w:val="18"/>
        </w:rPr>
        <w:t>Wingerchuk et al., Revised diagnostic criteria for neuromyelitis optica. Neurology 2006, 66: 1485-1489.</w:t>
      </w:r>
    </w:p>
    <w:p w14:paraId="1A63ACB9" w14:textId="77777777" w:rsidR="00DE3014" w:rsidRPr="00DE3014" w:rsidRDefault="00DE3014" w:rsidP="00DE3014">
      <w:pPr>
        <w:spacing w:after="0"/>
        <w:rPr>
          <w:rFonts w:ascii="Arial Narrow" w:hAnsi="Arial Narrow"/>
          <w:sz w:val="18"/>
          <w:szCs w:val="18"/>
        </w:rPr>
      </w:pPr>
      <w:r w:rsidRPr="00DE3014">
        <w:rPr>
          <w:rFonts w:ascii="Arial Narrow" w:hAnsi="Arial Narrow"/>
          <w:sz w:val="18"/>
          <w:szCs w:val="18"/>
          <w:vertAlign w:val="superscript"/>
        </w:rPr>
        <w:t xml:space="preserve">c </w:t>
      </w:r>
      <w:r w:rsidRPr="00DE3014">
        <w:rPr>
          <w:rFonts w:ascii="Arial Narrow" w:hAnsi="Arial Narrow"/>
          <w:sz w:val="18"/>
          <w:szCs w:val="18"/>
        </w:rPr>
        <w:t>Wingerchuk et al., International consensus diagnostic criteria for neuromyelitis optica spectrum disorders. Neurology 2015; 85: 177-189.</w:t>
      </w:r>
    </w:p>
    <w:p w14:paraId="7CE5EE00" w14:textId="77777777" w:rsidR="00DE3014" w:rsidRPr="00DE3014" w:rsidRDefault="00DE3014" w:rsidP="00DE3014">
      <w:r w:rsidRPr="00DE3014">
        <w:rPr>
          <w:rFonts w:ascii="Arial Narrow" w:hAnsi="Arial Narrow"/>
          <w:sz w:val="18"/>
          <w:szCs w:val="18"/>
          <w:vertAlign w:val="superscript"/>
        </w:rPr>
        <w:t xml:space="preserve">d </w:t>
      </w:r>
      <w:r w:rsidRPr="00DE3014">
        <w:rPr>
          <w:rFonts w:ascii="Arial Narrow" w:hAnsi="Arial Narrow"/>
          <w:sz w:val="18"/>
          <w:szCs w:val="18"/>
        </w:rPr>
        <w:t>The</w:t>
      </w:r>
      <w:r w:rsidRPr="00DE3014">
        <w:rPr>
          <w:rFonts w:ascii="Arial Narrow" w:hAnsi="Arial Narrow"/>
          <w:sz w:val="18"/>
          <w:szCs w:val="18"/>
          <w:vertAlign w:val="superscript"/>
        </w:rPr>
        <w:t xml:space="preserve"> </w:t>
      </w:r>
      <w:r w:rsidRPr="00DE3014">
        <w:rPr>
          <w:rFonts w:ascii="Arial Narrow" w:hAnsi="Arial Narrow"/>
          <w:sz w:val="18"/>
          <w:szCs w:val="18"/>
        </w:rPr>
        <w:t>terms NMO-IgG and AQP4-IgG are used interchangeably</w:t>
      </w:r>
      <w:r w:rsidR="007E569A">
        <w:rPr>
          <w:rFonts w:ascii="Arial Narrow" w:hAnsi="Arial Narrow"/>
          <w:sz w:val="18"/>
          <w:szCs w:val="18"/>
        </w:rPr>
        <w:t xml:space="preserve"> and </w:t>
      </w:r>
      <w:r w:rsidR="006568D7">
        <w:rPr>
          <w:rFonts w:ascii="Arial Narrow" w:hAnsi="Arial Narrow"/>
          <w:sz w:val="18"/>
          <w:szCs w:val="18"/>
        </w:rPr>
        <w:t>are synonymous with AQP4 antibodies</w:t>
      </w:r>
    </w:p>
    <w:p w14:paraId="1BE86A11" w14:textId="77777777" w:rsidR="00DE3014" w:rsidRPr="00DE3014" w:rsidRDefault="00DE3014" w:rsidP="00DE3014">
      <w:pPr>
        <w:sectPr w:rsidR="00DE3014" w:rsidRPr="00DE3014" w:rsidSect="00A2081E">
          <w:pgSz w:w="16838" w:h="11906" w:orient="landscape"/>
          <w:pgMar w:top="1440" w:right="1440" w:bottom="1440" w:left="1440" w:header="720" w:footer="720" w:gutter="0"/>
          <w:paperSrc w:first="2" w:other="2"/>
          <w:cols w:space="720"/>
          <w:docGrid w:linePitch="299"/>
        </w:sectPr>
      </w:pPr>
    </w:p>
    <w:p w14:paraId="3E39CF97" w14:textId="77777777" w:rsidR="00DE3014" w:rsidRPr="00183E4D" w:rsidRDefault="00DE3014" w:rsidP="00ED65EE"/>
    <w:p w14:paraId="4ADD9D49" w14:textId="77777777" w:rsidR="00ED65EE" w:rsidRPr="00183E4D" w:rsidRDefault="00ED65EE" w:rsidP="003816F6">
      <w:pPr>
        <w:pStyle w:val="Heading2"/>
        <w:numPr>
          <w:ilvl w:val="1"/>
          <w:numId w:val="12"/>
        </w:numPr>
      </w:pPr>
      <w:bookmarkStart w:id="174" w:name="_Toc39588286"/>
      <w:bookmarkStart w:id="175" w:name="_Toc122538326"/>
      <w:bookmarkStart w:id="176" w:name="_Toc143663862"/>
      <w:bookmarkStart w:id="177" w:name="_Ref144697268"/>
      <w:bookmarkStart w:id="178" w:name="_Ref144697275"/>
      <w:r w:rsidRPr="00183E4D">
        <w:t>Results of the Systematic Literature review</w:t>
      </w:r>
      <w:bookmarkEnd w:id="174"/>
    </w:p>
    <w:p w14:paraId="32E7D3A9" w14:textId="24C0D232" w:rsidR="00ED65EE" w:rsidRDefault="00ED65EE" w:rsidP="00ED65EE">
      <w:pPr>
        <w:pStyle w:val="Heading2"/>
      </w:pPr>
      <w:bookmarkStart w:id="179" w:name="_Toc39588287"/>
      <w:bookmarkEnd w:id="150"/>
      <w:bookmarkEnd w:id="175"/>
      <w:bookmarkEnd w:id="176"/>
      <w:bookmarkEnd w:id="177"/>
      <w:bookmarkEnd w:id="178"/>
      <w:r w:rsidRPr="00183E4D">
        <w:t>Is it safe?</w:t>
      </w:r>
      <w:bookmarkEnd w:id="151"/>
      <w:bookmarkEnd w:id="179"/>
      <w:r w:rsidRPr="00183E4D">
        <w:t xml:space="preserve"> </w:t>
      </w:r>
      <w:bookmarkEnd w:id="152"/>
    </w:p>
    <w:p w14:paraId="02AFC195" w14:textId="77777777" w:rsidR="00ED65EE" w:rsidRPr="00183E4D" w:rsidRDefault="00ED65EE" w:rsidP="00ED65EE">
      <w:pPr>
        <w:pStyle w:val="Summaryboxheading"/>
        <w:pBdr>
          <w:top w:val="single" w:sz="4" w:space="1" w:color="auto"/>
          <w:left w:val="single" w:sz="4" w:space="4" w:color="auto"/>
          <w:bottom w:val="single" w:sz="4" w:space="1" w:color="auto"/>
          <w:right w:val="single" w:sz="4" w:space="4" w:color="auto"/>
        </w:pBdr>
      </w:pPr>
      <w:r w:rsidRPr="00183E4D">
        <w:t xml:space="preserve">Summary – </w:t>
      </w:r>
      <w:r w:rsidR="00AB393C">
        <w:t>How safe is diagnosis by AQP4-Ab with/without MOG-Ab testing in patients suspected of NMOSD compared to diagnosis by clinical characteristics alone?</w:t>
      </w:r>
    </w:p>
    <w:p w14:paraId="2BA213AC" w14:textId="77777777" w:rsidR="00ED65EE" w:rsidRPr="00337B19" w:rsidRDefault="00AB393C" w:rsidP="00ED65EE">
      <w:pPr>
        <w:pBdr>
          <w:top w:val="single" w:sz="4" w:space="1" w:color="auto"/>
          <w:left w:val="single" w:sz="4" w:space="4" w:color="auto"/>
          <w:bottom w:val="single" w:sz="4" w:space="1" w:color="auto"/>
          <w:right w:val="single" w:sz="4" w:space="4" w:color="auto"/>
        </w:pBdr>
      </w:pPr>
      <w:r>
        <w:t>No conclusions could be drawn based on direct evidence.</w:t>
      </w:r>
    </w:p>
    <w:p w14:paraId="03D97D37" w14:textId="77777777" w:rsidR="00AB555C" w:rsidRDefault="008E6B55" w:rsidP="00ED65EE">
      <w:r>
        <w:t xml:space="preserve">There was no </w:t>
      </w:r>
      <w:r w:rsidR="001021C7">
        <w:t xml:space="preserve">relevant </w:t>
      </w:r>
      <w:r>
        <w:t xml:space="preserve">direct </w:t>
      </w:r>
      <w:r w:rsidR="001021C7">
        <w:t xml:space="preserve">safety </w:t>
      </w:r>
      <w:r>
        <w:t xml:space="preserve">evidence identified </w:t>
      </w:r>
      <w:r w:rsidR="00AB555C">
        <w:t>in the literature search.</w:t>
      </w:r>
    </w:p>
    <w:p w14:paraId="49A55549" w14:textId="77777777" w:rsidR="00ED65EE" w:rsidRPr="00183E4D" w:rsidRDefault="00ED65EE" w:rsidP="00ED65EE">
      <w:pPr>
        <w:pStyle w:val="Heading2"/>
      </w:pPr>
      <w:bookmarkStart w:id="180" w:name="_Toc379118084"/>
      <w:bookmarkStart w:id="181" w:name="_Toc381796469"/>
      <w:bookmarkStart w:id="182" w:name="_Toc39588288"/>
      <w:r w:rsidRPr="00183E4D">
        <w:t>Is it effective?</w:t>
      </w:r>
      <w:bookmarkEnd w:id="180"/>
      <w:bookmarkEnd w:id="181"/>
      <w:bookmarkEnd w:id="182"/>
      <w:r w:rsidRPr="00183E4D">
        <w:t xml:space="preserve"> </w:t>
      </w:r>
    </w:p>
    <w:p w14:paraId="66C5B519" w14:textId="77777777" w:rsidR="00ED65EE" w:rsidRPr="00183E4D" w:rsidRDefault="00ED65EE" w:rsidP="00ED65EE">
      <w:pPr>
        <w:pStyle w:val="Summaryboxheading"/>
        <w:pBdr>
          <w:top w:val="single" w:sz="4" w:space="1" w:color="auto"/>
          <w:left w:val="single" w:sz="4" w:space="4" w:color="auto"/>
          <w:bottom w:val="single" w:sz="4" w:space="1" w:color="auto"/>
          <w:right w:val="single" w:sz="4" w:space="4" w:color="auto"/>
        </w:pBdr>
      </w:pPr>
      <w:r w:rsidRPr="00183E4D">
        <w:t xml:space="preserve">Summary – </w:t>
      </w:r>
      <w:r w:rsidR="00AB393C">
        <w:t>How effective is diagnosis by AQP4-Ab with/without MOG-Ab testing in patients suspected of NMSOD compared to diagnosis by clinical characteristics alone?</w:t>
      </w:r>
    </w:p>
    <w:p w14:paraId="49C16948" w14:textId="77777777" w:rsidR="00ED65EE" w:rsidRDefault="00AB393C" w:rsidP="00ED65EE">
      <w:pPr>
        <w:pBdr>
          <w:top w:val="single" w:sz="4" w:space="1" w:color="auto"/>
          <w:left w:val="single" w:sz="4" w:space="4" w:color="auto"/>
          <w:bottom w:val="single" w:sz="4" w:space="1" w:color="auto"/>
          <w:right w:val="single" w:sz="4" w:space="4" w:color="auto"/>
        </w:pBdr>
      </w:pPr>
      <w:r>
        <w:t>No conclusions could be drawn based on direct evidence.</w:t>
      </w:r>
    </w:p>
    <w:p w14:paraId="1BF0C9E6" w14:textId="77777777" w:rsidR="00ED65EE" w:rsidRPr="00183E4D" w:rsidRDefault="00AB555C" w:rsidP="00ED65EE">
      <w:r>
        <w:t xml:space="preserve">There was no </w:t>
      </w:r>
      <w:r w:rsidR="003F6DCD">
        <w:t xml:space="preserve">direct </w:t>
      </w:r>
      <w:r>
        <w:t>evidence identified in the literature search relevant to effectiveness outcomes.</w:t>
      </w:r>
    </w:p>
    <w:p w14:paraId="7F7E2EC1" w14:textId="77777777" w:rsidR="00ED65EE" w:rsidRDefault="00ED65EE" w:rsidP="00ED65EE">
      <w:pPr>
        <w:pStyle w:val="Heading1"/>
        <w:tabs>
          <w:tab w:val="left" w:pos="1134"/>
        </w:tabs>
      </w:pPr>
      <w:bookmarkStart w:id="183" w:name="_Toc39588289"/>
      <w:r>
        <w:lastRenderedPageBreak/>
        <w:t xml:space="preserve">B2 </w:t>
      </w:r>
      <w:r>
        <w:tab/>
        <w:t>Linked evidence approach</w:t>
      </w:r>
      <w:bookmarkEnd w:id="183"/>
      <w:r>
        <w:t xml:space="preserve"> </w:t>
      </w:r>
    </w:p>
    <w:p w14:paraId="26D496C7" w14:textId="77777777" w:rsidR="00ED65EE" w:rsidRDefault="00ED65EE" w:rsidP="003816F6">
      <w:pPr>
        <w:pStyle w:val="Heading2"/>
        <w:numPr>
          <w:ilvl w:val="1"/>
          <w:numId w:val="14"/>
        </w:numPr>
      </w:pPr>
      <w:bookmarkStart w:id="184" w:name="_Toc39588290"/>
      <w:r>
        <w:t>Basis for linked evidence</w:t>
      </w:r>
      <w:bookmarkEnd w:id="184"/>
    </w:p>
    <w:p w14:paraId="44A92317" w14:textId="77777777" w:rsidR="00AB555C" w:rsidRPr="00AB555C" w:rsidRDefault="00AB555C" w:rsidP="00AB555C">
      <w:r w:rsidRPr="00AB555C">
        <w:t xml:space="preserve">Due to the lack of direct evidence, a linked evidence approach was </w:t>
      </w:r>
      <w:r w:rsidR="003F1C76">
        <w:t>utilised</w:t>
      </w:r>
      <w:r w:rsidRPr="00AB555C">
        <w:t xml:space="preserve">. </w:t>
      </w:r>
    </w:p>
    <w:p w14:paraId="27B3F82F" w14:textId="77777777" w:rsidR="00ED65EE" w:rsidRDefault="00ED65EE" w:rsidP="003816F6">
      <w:pPr>
        <w:pStyle w:val="Heading2"/>
        <w:numPr>
          <w:ilvl w:val="1"/>
          <w:numId w:val="14"/>
        </w:numPr>
      </w:pPr>
      <w:bookmarkStart w:id="185" w:name="_Toc39588291"/>
      <w:r>
        <w:t>Steps for linked analysis</w:t>
      </w:r>
      <w:bookmarkEnd w:id="185"/>
    </w:p>
    <w:p w14:paraId="3E44D9D9" w14:textId="77777777" w:rsidR="00AB555C" w:rsidRPr="00AB555C" w:rsidRDefault="00AB555C" w:rsidP="00511E7A">
      <w:r w:rsidRPr="00AB555C">
        <w:t>To construct a linked evidence analysis, different evidence requirements are required:</w:t>
      </w:r>
    </w:p>
    <w:p w14:paraId="72662B34" w14:textId="77777777" w:rsidR="00AB555C" w:rsidRPr="00AB555C" w:rsidRDefault="00AB555C" w:rsidP="003816F6">
      <w:pPr>
        <w:numPr>
          <w:ilvl w:val="0"/>
          <w:numId w:val="39"/>
        </w:numPr>
        <w:spacing w:after="120"/>
        <w:ind w:left="714" w:hanging="357"/>
      </w:pPr>
      <w:r w:rsidRPr="00AB555C">
        <w:t>Consideration of the diagnostic performance - does the test measure what it purports to measure? (i.e. the accuracy of testing) and clinical validity of AQP4-Ab testing (Section B3 and B4);</w:t>
      </w:r>
    </w:p>
    <w:p w14:paraId="54944DC5" w14:textId="77777777" w:rsidR="00AB555C" w:rsidRPr="00AB555C" w:rsidRDefault="00AB555C" w:rsidP="003816F6">
      <w:pPr>
        <w:numPr>
          <w:ilvl w:val="0"/>
          <w:numId w:val="39"/>
        </w:numPr>
        <w:spacing w:after="120"/>
        <w:ind w:left="714" w:hanging="357"/>
      </w:pPr>
      <w:r w:rsidRPr="00AB555C">
        <w:t>Consideration of the clinical utility of the diagnostic medical service in terms of:</w:t>
      </w:r>
    </w:p>
    <w:p w14:paraId="58785D59" w14:textId="77777777" w:rsidR="00AB555C" w:rsidRPr="00AB555C" w:rsidRDefault="00AB555C" w:rsidP="003816F6">
      <w:pPr>
        <w:numPr>
          <w:ilvl w:val="1"/>
          <w:numId w:val="39"/>
        </w:numPr>
        <w:spacing w:after="120"/>
        <w:ind w:left="1264" w:hanging="357"/>
      </w:pPr>
      <w:r w:rsidRPr="00AB555C">
        <w:t xml:space="preserve">Impact of positive versus negative test results on patient management (i.e. does the information provided by the test change </w:t>
      </w:r>
      <w:r w:rsidR="001946B5">
        <w:t>the</w:t>
      </w:r>
      <w:r w:rsidRPr="00AB555C">
        <w:t xml:space="preserve"> management </w:t>
      </w:r>
      <w:r w:rsidR="001946B5">
        <w:t xml:space="preserve">that </w:t>
      </w:r>
      <w:r w:rsidRPr="00AB555C">
        <w:t>is recommended /received /chosen?), and the contribution and clinical importance of false negatives;</w:t>
      </w:r>
    </w:p>
    <w:p w14:paraId="1CA216EC" w14:textId="77777777" w:rsidR="00AB555C" w:rsidRPr="00AB555C" w:rsidRDefault="00AB555C" w:rsidP="003816F6">
      <w:pPr>
        <w:numPr>
          <w:ilvl w:val="1"/>
          <w:numId w:val="39"/>
        </w:numPr>
        <w:spacing w:after="120"/>
        <w:ind w:left="1264" w:hanging="357"/>
      </w:pPr>
      <w:r w:rsidRPr="00AB555C">
        <w:t>Direct impact of each therapeutic option on health outcomes (i.e. do people have better or worse health outcomes resulting from the changes to diagnosis/management?);</w:t>
      </w:r>
    </w:p>
    <w:p w14:paraId="11560B51" w14:textId="77777777" w:rsidR="00AB555C" w:rsidRPr="00511E7A" w:rsidRDefault="00AB555C" w:rsidP="003816F6">
      <w:pPr>
        <w:numPr>
          <w:ilvl w:val="0"/>
          <w:numId w:val="39"/>
        </w:numPr>
        <w:spacing w:after="120" w:line="240" w:lineRule="auto"/>
        <w:ind w:left="714" w:hanging="357"/>
      </w:pPr>
      <w:r w:rsidRPr="00AB555C">
        <w:t>Considerations of the impact of repeat testing (if appropriate</w:t>
      </w:r>
      <w:r w:rsidRPr="00511E7A">
        <w:t>) (</w:t>
      </w:r>
      <w:r w:rsidRPr="00A357CA">
        <w:t>Section B6);</w:t>
      </w:r>
      <w:r w:rsidRPr="00511E7A">
        <w:t xml:space="preserve"> </w:t>
      </w:r>
    </w:p>
    <w:p w14:paraId="2CFCE304" w14:textId="77777777" w:rsidR="00AB555C" w:rsidRPr="00511E7A" w:rsidRDefault="00AB555C" w:rsidP="003816F6">
      <w:pPr>
        <w:numPr>
          <w:ilvl w:val="0"/>
          <w:numId w:val="39"/>
        </w:numPr>
        <w:ind w:left="714" w:hanging="357"/>
      </w:pPr>
      <w:r w:rsidRPr="00511E7A">
        <w:t>Consideration of the relative safety of performing the diagnostic test (Section B</w:t>
      </w:r>
      <w:r w:rsidR="00511E7A">
        <w:t>5.2.4</w:t>
      </w:r>
      <w:r w:rsidRPr="00511E7A">
        <w:t>);</w:t>
      </w:r>
    </w:p>
    <w:p w14:paraId="7C9DD9F4" w14:textId="77777777" w:rsidR="00AB555C" w:rsidRPr="00AB555C" w:rsidRDefault="00AB555C" w:rsidP="001946B5">
      <w:r w:rsidRPr="00AB555C">
        <w:t xml:space="preserve">Conclusions linking these steps were made in Section B8. </w:t>
      </w:r>
    </w:p>
    <w:p w14:paraId="4EBF6D1C" w14:textId="77777777" w:rsidR="00AB555C" w:rsidRPr="009A17E2" w:rsidRDefault="00AB555C" w:rsidP="00AB555C"/>
    <w:p w14:paraId="20C9B499" w14:textId="7A2B191A" w:rsidR="00ED65EE" w:rsidRDefault="009C309C" w:rsidP="00ED65EE">
      <w:pPr>
        <w:pStyle w:val="Heading1"/>
      </w:pPr>
      <w:bookmarkStart w:id="186" w:name="_Toc39588292"/>
      <w:r>
        <w:lastRenderedPageBreak/>
        <w:t>B3</w:t>
      </w:r>
      <w:r>
        <w:tab/>
      </w:r>
      <w:r w:rsidR="00ED65EE">
        <w:t>Diagnostic performance</w:t>
      </w:r>
      <w:bookmarkEnd w:id="186"/>
    </w:p>
    <w:p w14:paraId="75221ADC" w14:textId="77777777" w:rsidR="00ED65EE" w:rsidRDefault="00ED65EE" w:rsidP="003816F6">
      <w:pPr>
        <w:pStyle w:val="Heading2"/>
        <w:numPr>
          <w:ilvl w:val="1"/>
          <w:numId w:val="15"/>
        </w:numPr>
      </w:pPr>
      <w:bookmarkStart w:id="187" w:name="_Toc39588293"/>
      <w:r w:rsidRPr="0048411A">
        <w:t>Reference standard</w:t>
      </w:r>
      <w:bookmarkEnd w:id="187"/>
    </w:p>
    <w:p w14:paraId="386D5C7D" w14:textId="401A0338" w:rsidR="0002697D" w:rsidRPr="00A357CA" w:rsidRDefault="00A357CA" w:rsidP="0002697D">
      <w:r w:rsidRPr="00A357CA">
        <w:t>The reference standard is the ’gold’ standard against which the index test is compared for the accuracy. Although there are several different methods for testing for AQP4 and MOG antibodies, none is considered the reference standard. However the IPND recommend testing for AQP4-Abs with cell-based serum assays (microscopy or flow cytometry-based detection) as they optimise autoantibody detection</w:t>
      </w:r>
      <w:r w:rsidR="005A0963">
        <w:t>,</w:t>
      </w:r>
      <w:r w:rsidRPr="00A357CA">
        <w:t xml:space="preserve"> </w:t>
      </w:r>
      <w:r w:rsidR="00156621">
        <w:fldChar w:fldCharType="begin"/>
      </w:r>
      <w:r w:rsidR="00646E7C">
        <w:instrText xml:space="preserve"> ADDIN EN.CITE &lt;EndNote&gt;&lt;Cite&gt;&lt;Author&gt;Wingerchuk&lt;/Author&gt;&lt;Year&gt;2015&lt;/Year&gt;&lt;RecNum&gt;35&lt;/RecNum&gt;&lt;IDText&gt;177-189&lt;/IDText&gt;&lt;DisplayText&gt;(Wingerchuk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fldChar w:fldCharType="separate"/>
      </w:r>
      <w:r w:rsidR="00646E7C">
        <w:rPr>
          <w:noProof/>
        </w:rPr>
        <w:t>(Wingerchuk et al. 2015)</w:t>
      </w:r>
      <w:r w:rsidR="00156621">
        <w:fldChar w:fldCharType="end"/>
      </w:r>
      <w:r w:rsidRPr="00A357CA">
        <w:t xml:space="preserve"> and recently published data by Prain et al. </w:t>
      </w:r>
      <w:r w:rsidR="00156621">
        <w:fldChar w:fldCharType="begin"/>
      </w:r>
      <w:r w:rsidR="00156621">
        <w:instrText xml:space="preserve"> ADDIN EN.CITE &lt;EndNote&gt;&lt;Cite&gt;&lt;Author&gt;Prain&lt;/Author&gt;&lt;Year&gt;2019&lt;/Year&gt;&lt;RecNum&gt;24&lt;/RecNum&gt;&lt;IDText&gt;1-7&lt;/IDText&gt;&lt;DisplayText&gt;(Prain et al. 2019)&lt;/DisplayText&gt;&lt;record&gt;&lt;rec-number&gt;24&lt;/rec-number&gt;&lt;foreign-keys&gt;&lt;key app="EN" db-id="r25zptaswpdzade29ws5pf9gx55ztppatt20" timestamp="1576104080"&gt;24&lt;/key&gt;&lt;/foreign-keys&gt;&lt;ref-type name="Journal Article"&gt;17&lt;/ref-type&gt;&lt;contributors&gt;&lt;authors&gt;&lt;author&gt;Prain, K. M.&lt;/author&gt;&lt;author&gt;Woodhall, M.&lt;/author&gt;&lt;author&gt;Vincent, A.&lt;/author&gt;&lt;author&gt;Ramanathan, S.&lt;/author&gt;&lt;author&gt;Barnett, M. H.&lt;/author&gt;&lt;author&gt;Bundell, C.&lt;/author&gt;&lt;author&gt;Parratt, J. D. E.&lt;/author&gt;&lt;author&gt;Silvestrini, R. A.&lt;/author&gt;&lt;author&gt;Bukhari, W.&lt;/author&gt;&lt;author&gt;The Australian and New Zealand NMO Collaboration.&lt;/author&gt;&lt;author&gt;Brilot, F.&lt;/author&gt;&lt;author&gt;Waters, P.&lt;/author&gt;&lt;author&gt;Broadley, S. A.&lt;/author&gt;&lt;/authors&gt;&lt;/contributors&gt;&lt;titles&gt;&lt;title&gt;AQP4 Antibody Assay Sensitivity Comparison in the Era of the 2015 Diagnostic Criteria for NMOSD&lt;/title&gt;&lt;secondary-title&gt;Front Immunol&lt;/secondary-title&gt;&lt;/titles&gt;&lt;periodical&gt;&lt;full-title&gt;Front Immunol&lt;/full-title&gt;&lt;/periodical&gt;&lt;pages&gt;1-7&lt;/pages&gt;&lt;volume&gt;10&lt;/volume&gt;&lt;dates&gt;&lt;year&gt;2019&lt;/year&gt;&lt;/dates&gt;&lt;urls&gt;&lt;/urls&gt;&lt;/record&gt;&lt;/Cite&gt;&lt;/EndNote&gt;</w:instrText>
      </w:r>
      <w:r w:rsidR="00156621">
        <w:fldChar w:fldCharType="separate"/>
      </w:r>
      <w:r w:rsidR="00E37849">
        <w:rPr>
          <w:noProof/>
        </w:rPr>
        <w:t>(</w:t>
      </w:r>
      <w:r w:rsidR="00156621">
        <w:rPr>
          <w:noProof/>
        </w:rPr>
        <w:t>2019)</w:t>
      </w:r>
      <w:r w:rsidR="00156621">
        <w:fldChar w:fldCharType="end"/>
      </w:r>
      <w:r w:rsidRPr="00A357CA">
        <w:t xml:space="preserve"> and Waters et al. </w:t>
      </w:r>
      <w:r w:rsidR="00156621">
        <w:fldChar w:fldCharType="begin"/>
      </w:r>
      <w:r w:rsidR="000967CF">
        <w:instrText xml:space="preserve"> ADDIN EN.CITE &lt;EndNote&gt;&lt;Cite&gt;&lt;Author&gt;Waters&lt;/Author&gt;&lt;Year&gt;2012&lt;/Year&gt;&lt;RecNum&gt;33&lt;/RecNum&gt;&lt;IDText&gt;665-71&lt;/IDText&gt;&lt;DisplayText&gt;(Waters et al. 2012)&lt;/DisplayText&gt;&lt;record&gt;&lt;rec-number&gt;33&lt;/rec-number&gt;&lt;foreign-keys&gt;&lt;key app="EN" db-id="r25zptaswpdzade29ws5pf9gx55ztppatt20" timestamp="1576104082"&gt;33&lt;/key&gt;&lt;/foreign-keys&gt;&lt;ref-type name="Journal Article"&gt;17&lt;/ref-type&gt;&lt;contributors&gt;&lt;authors&gt;&lt;author&gt;Waters, P.&lt;/author&gt;&lt;author&gt;McKeon, A.&lt;/author&gt;&lt;author&gt;Leite, M. I.&lt;/author&gt;&lt;author&gt;Rajasekharan, S.&lt;/author&gt;&lt;author&gt;Lennon, V. A.&lt;/author&gt;&lt;author&gt;Villalobos, A.&lt;/author&gt;&lt;author&gt;Palace, J.&lt;/author&gt;&lt;author&gt;Mandrekar, J. N.&lt;/author&gt;&lt;author&gt;Vincent, A.&lt;/author&gt;&lt;author&gt;Bar-Or, A.&lt;/author&gt;&lt;author&gt;Pittock, S. J.&lt;/author&gt;&lt;/authors&gt;&lt;/contributors&gt;&lt;auth-address&gt;Neuroimmunology Group, Nuffield Department of Clinical Neurosciences, Oxford, UK. paddy.waters@imm.ox.ac.uk&lt;/auth-address&gt;&lt;titles&gt;&lt;title&gt;Serologic diagnosis of NMO: a multicenter comparison of aquaporin-4-IgG assays&lt;/title&gt;&lt;secondary-title&gt;Neurology&lt;/secondary-title&gt;&lt;/titles&gt;&lt;periodical&gt;&lt;full-title&gt;Neurology&lt;/full-title&gt;&lt;/periodical&gt;&lt;pages&gt;665-71 &lt;/pages&gt;&lt;volume&gt;78&lt;/volume&gt;&lt;number&gt;9&lt;/number&gt;&lt;keywords&gt;&lt;keyword&gt;Adult&lt;/keyword&gt;&lt;keyword&gt;Aquaporin 4/ analysis/immunology&lt;/keyword&gt;&lt;keyword&gt;Humans&lt;/keyword&gt;&lt;keyword&gt;Immunoassay/ standards&lt;/keyword&gt;&lt;keyword&gt;Immunoglobulin G/ analysis/immunology&lt;/keyword&gt;&lt;keyword&gt;Neuromyelitis Optica/ diagnosis/immunology&lt;/keyword&gt;&lt;keyword&gt;Sensitivity and Specificity&lt;/keyword&gt;&lt;/keywords&gt;&lt;dates&gt;&lt;year&gt;2012&lt;/year&gt;&lt;pub-dates&gt;&lt;date&gt;Feb 28&lt;/date&gt;&lt;/pub-dates&gt;&lt;/dates&gt;&lt;accession-num&gt;22302543&lt;/accession-num&gt;&lt;urls&gt;&lt;related-urls&gt;&lt;url&gt;https://www.ncbi.nlm.nih.gov/pmc/articles/PMC3286228/pdf/znl665.pdf&lt;/url&gt;&lt;/related-urls&gt;&lt;/urls&gt;&lt;remote-database-provider&gt;Nlm&lt;/remote-database-provider&gt;&lt;research-notes&gt;Paper included in the Waters SR&amp;#xD;Cmpares 6 assay methods (in-house or commercial)&amp;#xD;CBA, IIF, ELISA, FIPA, FACS&amp;#xD;Pats with NMO, NMOSD, RRMS. misc autoimmune dis, healthy controls&amp;#xD;Wingerchuk 2006&lt;/research-notes&gt;&lt;language&gt;eng&lt;/language&gt;&lt;/record&gt;&lt;/Cite&gt;&lt;/EndNote&gt;</w:instrText>
      </w:r>
      <w:r w:rsidR="00156621">
        <w:fldChar w:fldCharType="separate"/>
      </w:r>
      <w:r w:rsidR="000967CF">
        <w:rPr>
          <w:noProof/>
        </w:rPr>
        <w:t>(2012)</w:t>
      </w:r>
      <w:r w:rsidR="00156621">
        <w:fldChar w:fldCharType="end"/>
      </w:r>
      <w:r w:rsidRPr="00A357CA">
        <w:t xml:space="preserve"> supports this view. It was considered during the PICO confirmation meeting</w:t>
      </w:r>
      <w:r w:rsidR="005A0963">
        <w:t xml:space="preserve"> and</w:t>
      </w:r>
      <w:r w:rsidRPr="00A357CA">
        <w:t xml:space="preserve"> </w:t>
      </w:r>
      <w:r w:rsidR="00D711F9">
        <w:t xml:space="preserve">decided by PASC </w:t>
      </w:r>
      <w:r w:rsidRPr="00A357CA">
        <w:t>that further comparison of assay types was unwarranted</w:t>
      </w:r>
      <w:r w:rsidR="0002697D">
        <w:t>.</w:t>
      </w:r>
      <w:r w:rsidRPr="00A357CA">
        <w:t xml:space="preserve"> </w:t>
      </w:r>
      <w:r w:rsidR="0002697D">
        <w:t xml:space="preserve">Therefore, </w:t>
      </w:r>
      <w:r w:rsidR="0017161B">
        <w:t xml:space="preserve">this section focuses only on a comparison between different types of cell-based </w:t>
      </w:r>
      <w:r w:rsidR="0002697D" w:rsidRPr="00A357CA">
        <w:t xml:space="preserve">assays. </w:t>
      </w:r>
    </w:p>
    <w:p w14:paraId="5681F6E8" w14:textId="00D0E1DC" w:rsidR="00A357CA" w:rsidRDefault="00A357CA" w:rsidP="00A357CA">
      <w:r w:rsidRPr="00A357CA">
        <w:t>A comparison of sensitivity and specificity of all various AQP4-Ab serum assay types as provided by Prain et al.</w:t>
      </w:r>
      <w:r w:rsidR="00156621">
        <w:fldChar w:fldCharType="begin"/>
      </w:r>
      <w:r w:rsidR="00156621">
        <w:instrText xml:space="preserve"> ADDIN EN.CITE &lt;EndNote&gt;&lt;Cite&gt;&lt;Author&gt;Prain&lt;/Author&gt;&lt;Year&gt;2019&lt;/Year&gt;&lt;RecNum&gt;24&lt;/RecNum&gt;&lt;IDText&gt;1-7&lt;/IDText&gt;&lt;DisplayText&gt;(Prain et al. 2019)&lt;/DisplayText&gt;&lt;record&gt;&lt;rec-number&gt;24&lt;/rec-number&gt;&lt;foreign-keys&gt;&lt;key app="EN" db-id="r25zptaswpdzade29ws5pf9gx55ztppatt20" timestamp="1576104080"&gt;24&lt;/key&gt;&lt;/foreign-keys&gt;&lt;ref-type name="Journal Article"&gt;17&lt;/ref-type&gt;&lt;contributors&gt;&lt;authors&gt;&lt;author&gt;Prain, K. M.&lt;/author&gt;&lt;author&gt;Woodhall, M.&lt;/author&gt;&lt;author&gt;Vincent, A.&lt;/author&gt;&lt;author&gt;Ramanathan, S.&lt;/author&gt;&lt;author&gt;Barnett, M. H.&lt;/author&gt;&lt;author&gt;Bundell, C.&lt;/author&gt;&lt;author&gt;Parratt, J. D. E.&lt;/author&gt;&lt;author&gt;Silvestrini, R. A.&lt;/author&gt;&lt;author&gt;Bukhari, W.&lt;/author&gt;&lt;author&gt;The Australian and New Zealand NMO Collaboration.&lt;/author&gt;&lt;author&gt;Brilot, F.&lt;/author&gt;&lt;author&gt;Waters, P.&lt;/author&gt;&lt;author&gt;Broadley, S. A.&lt;/author&gt;&lt;/authors&gt;&lt;/contributors&gt;&lt;titles&gt;&lt;title&gt;AQP4 Antibody Assay Sensitivity Comparison in the Era of the 2015 Diagnostic Criteria for NMOSD&lt;/title&gt;&lt;secondary-title&gt;Front Immunol&lt;/secondary-title&gt;&lt;/titles&gt;&lt;periodical&gt;&lt;full-title&gt;Front Immunol&lt;/full-title&gt;&lt;/periodical&gt;&lt;pages&gt;1-7&lt;/pages&gt;&lt;volume&gt;10&lt;/volume&gt;&lt;dates&gt;&lt;year&gt;2019&lt;/year&gt;&lt;/dates&gt;&lt;urls&gt;&lt;/urls&gt;&lt;/record&gt;&lt;/Cite&gt;&lt;/EndNote&gt;</w:instrText>
      </w:r>
      <w:r w:rsidR="00156621">
        <w:fldChar w:fldCharType="separate"/>
      </w:r>
      <w:r w:rsidR="00156621">
        <w:rPr>
          <w:noProof/>
        </w:rPr>
        <w:t>(2019)</w:t>
      </w:r>
      <w:r w:rsidR="00156621">
        <w:fldChar w:fldCharType="end"/>
      </w:r>
      <w:r w:rsidRPr="00A357CA">
        <w:t xml:space="preserve"> and Waters et al.</w:t>
      </w:r>
      <w:r w:rsidR="00156621">
        <w:fldChar w:fldCharType="begin"/>
      </w:r>
      <w:r w:rsidR="000967CF">
        <w:instrText xml:space="preserve"> ADDIN EN.CITE &lt;EndNote&gt;&lt;Cite&gt;&lt;Author&gt;Waters&lt;/Author&gt;&lt;Year&gt;2012&lt;/Year&gt;&lt;RecNum&gt;33&lt;/RecNum&gt;&lt;IDText&gt;665-71&lt;/IDText&gt;&lt;DisplayText&gt;(Waters et al. 2012)&lt;/DisplayText&gt;&lt;record&gt;&lt;rec-number&gt;33&lt;/rec-number&gt;&lt;foreign-keys&gt;&lt;key app="EN" db-id="r25zptaswpdzade29ws5pf9gx55ztppatt20" timestamp="1576104082"&gt;33&lt;/key&gt;&lt;/foreign-keys&gt;&lt;ref-type name="Journal Article"&gt;17&lt;/ref-type&gt;&lt;contributors&gt;&lt;authors&gt;&lt;author&gt;Waters, P.&lt;/author&gt;&lt;author&gt;McKeon, A.&lt;/author&gt;&lt;author&gt;Leite, M. I.&lt;/author&gt;&lt;author&gt;Rajasekharan, S.&lt;/author&gt;&lt;author&gt;Lennon, V. A.&lt;/author&gt;&lt;author&gt;Villalobos, A.&lt;/author&gt;&lt;author&gt;Palace, J.&lt;/author&gt;&lt;author&gt;Mandrekar, J. N.&lt;/author&gt;&lt;author&gt;Vincent, A.&lt;/author&gt;&lt;author&gt;Bar-Or, A.&lt;/author&gt;&lt;author&gt;Pittock, S. J.&lt;/author&gt;&lt;/authors&gt;&lt;/contributors&gt;&lt;auth-address&gt;Neuroimmunology Group, Nuffield Department of Clinical Neurosciences, Oxford, UK. paddy.waters@imm.ox.ac.uk&lt;/auth-address&gt;&lt;titles&gt;&lt;title&gt;Serologic diagnosis of NMO: a multicenter comparison of aquaporin-4-IgG assays&lt;/title&gt;&lt;secondary-title&gt;Neurology&lt;/secondary-title&gt;&lt;/titles&gt;&lt;periodical&gt;&lt;full-title&gt;Neurology&lt;/full-title&gt;&lt;/periodical&gt;&lt;pages&gt;665-71 &lt;/pages&gt;&lt;volume&gt;78&lt;/volume&gt;&lt;number&gt;9&lt;/number&gt;&lt;keywords&gt;&lt;keyword&gt;Adult&lt;/keyword&gt;&lt;keyword&gt;Aquaporin 4/ analysis/immunology&lt;/keyword&gt;&lt;keyword&gt;Humans&lt;/keyword&gt;&lt;keyword&gt;Immunoassay/ standards&lt;/keyword&gt;&lt;keyword&gt;Immunoglobulin G/ analysis/immunology&lt;/keyword&gt;&lt;keyword&gt;Neuromyelitis Optica/ diagnosis/immunology&lt;/keyword&gt;&lt;keyword&gt;Sensitivity and Specificity&lt;/keyword&gt;&lt;/keywords&gt;&lt;dates&gt;&lt;year&gt;2012&lt;/year&gt;&lt;pub-dates&gt;&lt;date&gt;Feb 28&lt;/date&gt;&lt;/pub-dates&gt;&lt;/dates&gt;&lt;accession-num&gt;22302543&lt;/accession-num&gt;&lt;urls&gt;&lt;related-urls&gt;&lt;url&gt;https://www.ncbi.nlm.nih.gov/pmc/articles/PMC3286228/pdf/znl665.pdf&lt;/url&gt;&lt;/related-urls&gt;&lt;/urls&gt;&lt;remote-database-provider&gt;Nlm&lt;/remote-database-provider&gt;&lt;research-notes&gt;Paper included in the Waters SR&amp;#xD;Cmpares 6 assay methods (in-house or commercial)&amp;#xD;CBA, IIF, ELISA, FIPA, FACS&amp;#xD;Pats with NMO, NMOSD, RRMS. misc autoimmune dis, healthy controls&amp;#xD;Wingerchuk 2006&lt;/research-notes&gt;&lt;language&gt;eng&lt;/language&gt;&lt;/record&gt;&lt;/Cite&gt;&lt;/EndNote&gt;</w:instrText>
      </w:r>
      <w:r w:rsidR="00156621">
        <w:fldChar w:fldCharType="separate"/>
      </w:r>
      <w:r w:rsidR="000967CF">
        <w:rPr>
          <w:noProof/>
        </w:rPr>
        <w:t>(2012)</w:t>
      </w:r>
      <w:r w:rsidR="00156621">
        <w:fldChar w:fldCharType="end"/>
      </w:r>
      <w:r w:rsidRPr="00A357CA">
        <w:t xml:space="preserve"> is provided in </w:t>
      </w:r>
      <w:r w:rsidR="00FC2669">
        <w:fldChar w:fldCharType="begin"/>
      </w:r>
      <w:r w:rsidR="00FC2669">
        <w:instrText xml:space="preserve"> REF _Ref33019823 \h  \* MERGEFORMAT </w:instrText>
      </w:r>
      <w:r w:rsidR="00FC2669">
        <w:fldChar w:fldCharType="separate"/>
      </w:r>
      <w:r w:rsidR="0014371E" w:rsidRPr="00FC2669">
        <w:t>Appendix H</w:t>
      </w:r>
      <w:r w:rsidR="00FC2669">
        <w:fldChar w:fldCharType="end"/>
      </w:r>
      <w:r w:rsidR="00FC2669">
        <w:t>.</w:t>
      </w:r>
      <w:r w:rsidRPr="00A357CA">
        <w:t xml:space="preserve"> </w:t>
      </w:r>
    </w:p>
    <w:p w14:paraId="52EA17C5" w14:textId="16F2D4D4" w:rsidR="005A0963" w:rsidRPr="00A357CA" w:rsidRDefault="005A0963" w:rsidP="00A357CA">
      <w:r>
        <w:t>As no reference standard is applicable for this assessment, diagnostic accuracy using sensitivity, specificity</w:t>
      </w:r>
      <w:r w:rsidR="00484AF3">
        <w:t>,</w:t>
      </w:r>
      <w:r>
        <w:t xml:space="preserve"> and positive and negative predictive values were not calculable. </w:t>
      </w:r>
      <w:r w:rsidR="003A78F8">
        <w:t>Only concordance data (between different cell</w:t>
      </w:r>
      <w:r w:rsidR="00BB46D6">
        <w:t>-</w:t>
      </w:r>
      <w:r w:rsidR="003A78F8">
        <w:t>based assays) was available to inform diagnostic performance.</w:t>
      </w:r>
    </w:p>
    <w:p w14:paraId="799EB336" w14:textId="77777777" w:rsidR="00ED65EE" w:rsidRPr="007A49EE" w:rsidRDefault="00ED65EE" w:rsidP="003816F6">
      <w:pPr>
        <w:pStyle w:val="Heading2"/>
        <w:numPr>
          <w:ilvl w:val="1"/>
          <w:numId w:val="15"/>
        </w:numPr>
      </w:pPr>
      <w:bookmarkStart w:id="188" w:name="_Toc39588294"/>
      <w:r w:rsidRPr="00183E4D">
        <w:t>Risk of Bias Assessment</w:t>
      </w:r>
      <w:bookmarkEnd w:id="188"/>
    </w:p>
    <w:p w14:paraId="584E05DE" w14:textId="6403C5C9" w:rsidR="00212C3C" w:rsidRPr="00212C3C" w:rsidRDefault="00212C3C" w:rsidP="00212C3C">
      <w:r w:rsidRPr="00212C3C">
        <w:t>The risk of bias was assessed with the QUADAS-2 checklist for both of the included analytical validity studies</w:t>
      </w:r>
      <w:r w:rsidR="00311A81">
        <w:t xml:space="preserve"> identified in the literature search</w:t>
      </w:r>
      <w:r w:rsidRPr="00212C3C">
        <w:t xml:space="preserve"> </w:t>
      </w:r>
      <w:r w:rsidR="00156621">
        <w:fldChar w:fldCharType="begin">
          <w:fldData xml:space="preserve">PEVuZE5vdGU+PENpdGU+PEF1dGhvcj5KYXJpdXM8L0F1dGhvcj48WWVhcj4yMDEwPC9ZZWFyPjxS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</w:fldData>
        </w:fldChar>
      </w:r>
      <w:r w:rsidR="000967CF">
        <w:instrText xml:space="preserve"> ADDIN EN.CITE </w:instrText>
      </w:r>
      <w:r w:rsidR="000967CF">
        <w:fldChar w:fldCharType="begin">
          <w:fldData xml:space="preserve">PEVuZE5vdGU+PENpdGU+PEF1dGhvcj5KYXJpdXM8L0F1dGhvcj48WWVhcj4yMDEwPC9ZZWFyPjxS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</w:fldData>
        </w:fldChar>
      </w:r>
      <w:r w:rsidR="000967CF">
        <w:instrText xml:space="preserve"> ADDIN EN.CITE.DATA </w:instrText>
      </w:r>
      <w:r w:rsidR="000967CF">
        <w:fldChar w:fldCharType="end"/>
      </w:r>
      <w:r w:rsidR="00156621">
        <w:fldChar w:fldCharType="separate"/>
      </w:r>
      <w:r w:rsidR="000967CF">
        <w:rPr>
          <w:noProof/>
        </w:rPr>
        <w:t>(Jarius et al. 2010 1-7; Waters et al. 2016)</w:t>
      </w:r>
      <w:r w:rsidR="00156621">
        <w:fldChar w:fldCharType="end"/>
      </w:r>
      <w:r w:rsidRPr="00212C3C">
        <w:t>. Studies were considered to be of low risk of bias if they scored six or seven</w:t>
      </w:r>
      <w:r w:rsidR="00311A81">
        <w:t xml:space="preserve"> </w:t>
      </w:r>
      <w:r w:rsidRPr="00212C3C">
        <w:sym w:font="Wingdings" w:char="F04A"/>
      </w:r>
      <w:r w:rsidRPr="00212C3C">
        <w:t>. They were deemed moderate risk of bias if studies had four or five</w:t>
      </w:r>
      <w:r w:rsidR="00311A81">
        <w:t xml:space="preserve"> </w:t>
      </w:r>
      <w:r w:rsidRPr="00212C3C">
        <w:sym w:font="Wingdings" w:char="F04A"/>
      </w:r>
      <w:r w:rsidRPr="00212C3C">
        <w:t>, and with no more than two</w:t>
      </w:r>
      <w:r w:rsidR="00311A81">
        <w:t xml:space="preserve"> </w:t>
      </w:r>
      <w:r w:rsidRPr="00212C3C">
        <w:sym w:font="Wingdings" w:char="F04C"/>
      </w:r>
      <w:r w:rsidRPr="00212C3C">
        <w:t xml:space="preserve">. All other scores were considered high risk of bias. </w:t>
      </w:r>
    </w:p>
    <w:p w14:paraId="4443FB2D" w14:textId="65D29FEE" w:rsidR="00212C3C" w:rsidRPr="00212C3C" w:rsidRDefault="00212C3C" w:rsidP="00212C3C">
      <w:r w:rsidRPr="00212C3C">
        <w:t xml:space="preserve">A summary of the risk of bias for each study (risk of bias regarding patient selection, the index test, the reference standard, flow and timing and applicability concerns) can be found in </w:t>
      </w:r>
      <w:r w:rsidRPr="00212C3C">
        <w:fldChar w:fldCharType="begin"/>
      </w:r>
      <w:r w:rsidRPr="00212C3C">
        <w:instrText xml:space="preserve"> REF _Ref26957102 \h </w:instrText>
      </w:r>
      <w:r w:rsidR="00311A81">
        <w:instrText xml:space="preserve"> \* MERGEFORMAT </w:instrText>
      </w:r>
      <w:r w:rsidRPr="00212C3C">
        <w:fldChar w:fldCharType="separate"/>
      </w:r>
      <w:r w:rsidR="00B06CD2" w:rsidRPr="00212C3C">
        <w:t xml:space="preserve">Table </w:t>
      </w:r>
      <w:r w:rsidR="00B06CD2">
        <w:t>15</w:t>
      </w:r>
      <w:r w:rsidRPr="00212C3C">
        <w:fldChar w:fldCharType="end"/>
      </w:r>
      <w:r w:rsidRPr="00212C3C">
        <w:t xml:space="preserve">. </w:t>
      </w:r>
    </w:p>
    <w:p w14:paraId="7F07CBE7" w14:textId="37193F4C" w:rsidR="00212C3C" w:rsidRPr="00212C3C" w:rsidRDefault="00212C3C" w:rsidP="00A87AE2">
      <w:pPr>
        <w:pStyle w:val="TableHeading"/>
      </w:pPr>
      <w:bookmarkStart w:id="189" w:name="_Ref26957102"/>
      <w:bookmarkStart w:id="190" w:name="_Toc39580796"/>
      <w:r w:rsidRPr="00212C3C">
        <w:t xml:space="preserve">Table </w:t>
      </w:r>
      <w:r w:rsidRPr="00212C3C">
        <w:fldChar w:fldCharType="begin"/>
      </w:r>
      <w:r w:rsidRPr="00212C3C">
        <w:instrText xml:space="preserve"> SEQ Table \* ARABIC </w:instrText>
      </w:r>
      <w:r w:rsidRPr="00212C3C">
        <w:fldChar w:fldCharType="separate"/>
      </w:r>
      <w:r w:rsidR="00FA7BCD">
        <w:rPr>
          <w:noProof/>
        </w:rPr>
        <w:t>15</w:t>
      </w:r>
      <w:r w:rsidRPr="00212C3C">
        <w:rPr>
          <w:noProof/>
        </w:rPr>
        <w:fldChar w:fldCharType="end"/>
      </w:r>
      <w:bookmarkEnd w:id="189"/>
      <w:r w:rsidRPr="00212C3C">
        <w:tab/>
        <w:t>Risk of bias (QUADAS-2) of studies for analytical validity</w:t>
      </w:r>
      <w:bookmarkEnd w:id="190"/>
    </w:p>
    <w:tbl>
      <w:tblPr>
        <w:tblStyle w:val="TableGrid1"/>
        <w:tblW w:w="9214" w:type="dxa"/>
        <w:tblInd w:w="-5" w:type="dxa"/>
        <w:tblLayout w:type="fixed"/>
        <w:tblLook w:val="00A0" w:firstRow="1" w:lastRow="0" w:firstColumn="1" w:lastColumn="0" w:noHBand="0" w:noVBand="0"/>
        <w:tblCaption w:val="Risk of bias (QUADAS-2) of studies on patients in primary care"/>
        <w:tblDescription w:val="Risk of bias (QUADAS-2) of studies on patients in primary care"/>
      </w:tblPr>
      <w:tblGrid>
        <w:gridCol w:w="1133"/>
        <w:gridCol w:w="994"/>
        <w:gridCol w:w="850"/>
        <w:gridCol w:w="1134"/>
        <w:gridCol w:w="992"/>
        <w:gridCol w:w="993"/>
        <w:gridCol w:w="992"/>
        <w:gridCol w:w="1134"/>
        <w:gridCol w:w="992"/>
      </w:tblGrid>
      <w:tr w:rsidR="00212C3C" w:rsidRPr="00212C3C" w14:paraId="14ED6F41" w14:textId="77777777" w:rsidTr="00B06CD2">
        <w:trPr>
          <w:cnfStyle w:val="100000000000" w:firstRow="1" w:lastRow="0" w:firstColumn="0" w:lastColumn="0" w:oddVBand="0" w:evenVBand="0" w:oddHBand="0" w:evenHBand="0" w:firstRowFirstColumn="0" w:firstRowLastColumn="0" w:lastRowFirstColumn="0" w:lastRowLastColumn="0"/>
          <w:trHeight w:val="147"/>
          <w:tblHeader/>
        </w:trPr>
        <w:tc>
          <w:tcPr>
            <w:tcW w:w="1133" w:type="dxa"/>
            <w:vMerge w:val="restart"/>
            <w:tcBorders>
              <w:top w:val="single" w:sz="4" w:space="0" w:color="auto"/>
              <w:left w:val="single" w:sz="4" w:space="0" w:color="auto"/>
              <w:right w:val="single" w:sz="4" w:space="0" w:color="auto"/>
            </w:tcBorders>
          </w:tcPr>
          <w:p w14:paraId="692665F6" w14:textId="77777777" w:rsidR="00212C3C" w:rsidRPr="00212C3C" w:rsidRDefault="00212C3C" w:rsidP="00212C3C">
            <w:pPr>
              <w:rPr>
                <w:rFonts w:ascii="Arial Narrow" w:hAnsi="Arial Narrow" w:cs="Calibri"/>
                <w:lang w:eastAsia="en-GB"/>
              </w:rPr>
            </w:pPr>
            <w:r w:rsidRPr="00212C3C">
              <w:rPr>
                <w:rFonts w:ascii="Arial Narrow" w:hAnsi="Arial Narrow" w:cs="Calibri"/>
                <w:b/>
                <w:lang w:eastAsia="en-GB"/>
              </w:rPr>
              <w:t>Study</w:t>
            </w:r>
          </w:p>
        </w:tc>
        <w:tc>
          <w:tcPr>
            <w:tcW w:w="3970" w:type="dxa"/>
            <w:gridSpan w:val="4"/>
            <w:tcBorders>
              <w:top w:val="single" w:sz="4" w:space="0" w:color="auto"/>
              <w:left w:val="single" w:sz="4" w:space="0" w:color="auto"/>
              <w:bottom w:val="single" w:sz="4" w:space="0" w:color="auto"/>
              <w:right w:val="single" w:sz="4" w:space="0" w:color="auto"/>
            </w:tcBorders>
          </w:tcPr>
          <w:p w14:paraId="012270C1" w14:textId="77777777" w:rsidR="00212C3C" w:rsidRPr="00212C3C" w:rsidRDefault="00212C3C" w:rsidP="00212C3C">
            <w:pPr>
              <w:jc w:val="center"/>
              <w:rPr>
                <w:rFonts w:ascii="Arial Narrow" w:hAnsi="Arial Narrow" w:cs="Calibri"/>
                <w:b/>
                <w:lang w:eastAsia="en-GB"/>
              </w:rPr>
            </w:pPr>
            <w:r w:rsidRPr="00212C3C">
              <w:rPr>
                <w:rFonts w:ascii="Arial Narrow" w:hAnsi="Arial Narrow" w:cs="Calibri"/>
                <w:b/>
                <w:lang w:eastAsia="en-GB"/>
              </w:rPr>
              <w:t>RISK OF BIAS</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2F2F2"/>
          </w:tcPr>
          <w:p w14:paraId="214C3C2F" w14:textId="77777777" w:rsidR="00212C3C" w:rsidRPr="00212C3C" w:rsidRDefault="00212C3C" w:rsidP="00212C3C">
            <w:pPr>
              <w:jc w:val="center"/>
              <w:rPr>
                <w:rFonts w:ascii="Arial Narrow" w:hAnsi="Arial Narrow" w:cs="Calibri"/>
                <w:b/>
                <w:lang w:eastAsia="en-GB"/>
              </w:rPr>
            </w:pPr>
            <w:r w:rsidRPr="00212C3C">
              <w:rPr>
                <w:rFonts w:ascii="Arial Narrow" w:hAnsi="Arial Narrow" w:cs="Calibri"/>
                <w:b/>
                <w:lang w:eastAsia="en-GB"/>
              </w:rPr>
              <w:t>APPLICABILITY CONCERNS</w:t>
            </w:r>
          </w:p>
        </w:tc>
        <w:tc>
          <w:tcPr>
            <w:tcW w:w="992" w:type="dxa"/>
            <w:tcBorders>
              <w:top w:val="single" w:sz="4" w:space="0" w:color="auto"/>
              <w:bottom w:val="single" w:sz="4" w:space="0" w:color="auto"/>
              <w:right w:val="single" w:sz="4" w:space="0" w:color="auto"/>
            </w:tcBorders>
            <w:shd w:val="clear" w:color="auto" w:fill="F2F2F2"/>
          </w:tcPr>
          <w:p w14:paraId="04ADA707" w14:textId="77777777" w:rsidR="00212C3C" w:rsidRPr="00212C3C" w:rsidRDefault="00212C3C" w:rsidP="00212C3C">
            <w:pPr>
              <w:jc w:val="center"/>
              <w:rPr>
                <w:rFonts w:ascii="Arial Narrow" w:hAnsi="Arial Narrow" w:cs="Calibri"/>
                <w:b/>
                <w:lang w:eastAsia="en-GB"/>
              </w:rPr>
            </w:pPr>
          </w:p>
        </w:tc>
      </w:tr>
      <w:tr w:rsidR="00212C3C" w:rsidRPr="00212C3C" w14:paraId="5D28332E" w14:textId="77777777" w:rsidTr="00B06CD2">
        <w:trPr>
          <w:cnfStyle w:val="100000000000" w:firstRow="1" w:lastRow="0" w:firstColumn="0" w:lastColumn="0" w:oddVBand="0" w:evenVBand="0" w:oddHBand="0" w:evenHBand="0" w:firstRowFirstColumn="0" w:firstRowLastColumn="0" w:lastRowFirstColumn="0" w:lastRowLastColumn="0"/>
          <w:trHeight w:val="147"/>
          <w:tblHeader/>
        </w:trPr>
        <w:tc>
          <w:tcPr>
            <w:tcW w:w="1133" w:type="dxa"/>
            <w:vMerge/>
            <w:tcBorders>
              <w:left w:val="single" w:sz="4" w:space="0" w:color="auto"/>
              <w:right w:val="single" w:sz="4" w:space="0" w:color="auto"/>
            </w:tcBorders>
          </w:tcPr>
          <w:p w14:paraId="73D1D92E" w14:textId="77777777" w:rsidR="00212C3C" w:rsidRPr="00212C3C" w:rsidRDefault="00212C3C" w:rsidP="00212C3C">
            <w:pPr>
              <w:jc w:val="center"/>
              <w:rPr>
                <w:rFonts w:ascii="Arial Narrow" w:hAnsi="Arial Narrow" w:cs="Calibri"/>
                <w:b/>
                <w:lang w:eastAsia="en-GB"/>
              </w:rPr>
            </w:pPr>
          </w:p>
        </w:tc>
        <w:tc>
          <w:tcPr>
            <w:tcW w:w="994" w:type="dxa"/>
            <w:tcBorders>
              <w:top w:val="single" w:sz="4" w:space="0" w:color="auto"/>
              <w:left w:val="single" w:sz="4" w:space="0" w:color="auto"/>
              <w:bottom w:val="single" w:sz="4" w:space="0" w:color="auto"/>
            </w:tcBorders>
          </w:tcPr>
          <w:p w14:paraId="5485A39F" w14:textId="77777777" w:rsidR="00212C3C" w:rsidRPr="00212C3C" w:rsidRDefault="00212C3C" w:rsidP="00B06CD2">
            <w:pPr>
              <w:spacing w:after="120"/>
              <w:jc w:val="left"/>
              <w:rPr>
                <w:rFonts w:ascii="Arial Narrow" w:hAnsi="Arial Narrow" w:cs="Calibri"/>
                <w:b/>
                <w:lang w:eastAsia="en-GB"/>
              </w:rPr>
            </w:pPr>
            <w:r w:rsidRPr="00212C3C">
              <w:rPr>
                <w:rFonts w:ascii="Arial Narrow" w:hAnsi="Arial Narrow" w:cs="Calibri"/>
                <w:b/>
                <w:lang w:eastAsia="en-GB"/>
              </w:rPr>
              <w:t>Patient selection</w:t>
            </w:r>
          </w:p>
        </w:tc>
        <w:tc>
          <w:tcPr>
            <w:tcW w:w="850" w:type="dxa"/>
            <w:tcBorders>
              <w:top w:val="single" w:sz="4" w:space="0" w:color="auto"/>
              <w:bottom w:val="single" w:sz="4" w:space="0" w:color="auto"/>
            </w:tcBorders>
          </w:tcPr>
          <w:p w14:paraId="25E2EE32" w14:textId="77777777" w:rsidR="00212C3C" w:rsidRPr="00212C3C" w:rsidRDefault="00212C3C" w:rsidP="00B06CD2">
            <w:pPr>
              <w:jc w:val="left"/>
              <w:rPr>
                <w:rFonts w:ascii="Arial Narrow" w:hAnsi="Arial Narrow" w:cs="Calibri"/>
                <w:b/>
                <w:lang w:eastAsia="en-GB"/>
              </w:rPr>
            </w:pPr>
            <w:r w:rsidRPr="00212C3C">
              <w:rPr>
                <w:rFonts w:ascii="Arial Narrow" w:hAnsi="Arial Narrow" w:cs="Calibri"/>
                <w:b/>
                <w:lang w:eastAsia="en-GB"/>
              </w:rPr>
              <w:t>Index test</w:t>
            </w:r>
          </w:p>
        </w:tc>
        <w:tc>
          <w:tcPr>
            <w:tcW w:w="1134" w:type="dxa"/>
            <w:tcBorders>
              <w:top w:val="single" w:sz="4" w:space="0" w:color="auto"/>
              <w:bottom w:val="single" w:sz="4" w:space="0" w:color="auto"/>
            </w:tcBorders>
          </w:tcPr>
          <w:p w14:paraId="0DD8A911" w14:textId="77777777" w:rsidR="00212C3C" w:rsidRPr="00212C3C" w:rsidRDefault="00212C3C" w:rsidP="00B06CD2">
            <w:pPr>
              <w:jc w:val="left"/>
              <w:rPr>
                <w:rFonts w:ascii="Arial Narrow" w:hAnsi="Arial Narrow" w:cs="Calibri"/>
                <w:b/>
                <w:lang w:eastAsia="en-GB"/>
              </w:rPr>
            </w:pPr>
            <w:r w:rsidRPr="00212C3C">
              <w:rPr>
                <w:rFonts w:ascii="Arial Narrow" w:hAnsi="Arial Narrow" w:cs="Calibri"/>
                <w:b/>
                <w:lang w:eastAsia="en-GB"/>
              </w:rPr>
              <w:t>Reference standard</w:t>
            </w:r>
          </w:p>
        </w:tc>
        <w:tc>
          <w:tcPr>
            <w:tcW w:w="992" w:type="dxa"/>
            <w:tcBorders>
              <w:top w:val="single" w:sz="4" w:space="0" w:color="auto"/>
              <w:bottom w:val="single" w:sz="4" w:space="0" w:color="auto"/>
              <w:right w:val="single" w:sz="4" w:space="0" w:color="auto"/>
            </w:tcBorders>
          </w:tcPr>
          <w:p w14:paraId="4BDAADCB" w14:textId="77777777" w:rsidR="00212C3C" w:rsidRPr="00212C3C" w:rsidRDefault="00212C3C" w:rsidP="00B06CD2">
            <w:pPr>
              <w:jc w:val="left"/>
              <w:rPr>
                <w:rFonts w:ascii="Arial Narrow" w:hAnsi="Arial Narrow" w:cs="Calibri"/>
                <w:b/>
                <w:lang w:eastAsia="en-GB"/>
              </w:rPr>
            </w:pPr>
            <w:r w:rsidRPr="00212C3C">
              <w:rPr>
                <w:rFonts w:ascii="Arial Narrow" w:hAnsi="Arial Narrow" w:cs="Calibri"/>
                <w:b/>
                <w:lang w:eastAsia="en-GB"/>
              </w:rPr>
              <w:t>Flow and timing</w:t>
            </w:r>
          </w:p>
        </w:tc>
        <w:tc>
          <w:tcPr>
            <w:tcW w:w="993" w:type="dxa"/>
            <w:tcBorders>
              <w:top w:val="single" w:sz="4" w:space="0" w:color="auto"/>
              <w:left w:val="single" w:sz="4" w:space="0" w:color="auto"/>
              <w:bottom w:val="single" w:sz="4" w:space="0" w:color="auto"/>
            </w:tcBorders>
            <w:shd w:val="clear" w:color="auto" w:fill="F2F2F2"/>
          </w:tcPr>
          <w:p w14:paraId="793695A7" w14:textId="20708744" w:rsidR="00212C3C" w:rsidRPr="00212C3C" w:rsidRDefault="00212C3C" w:rsidP="00B06CD2">
            <w:pPr>
              <w:spacing w:after="120"/>
              <w:jc w:val="left"/>
              <w:rPr>
                <w:rFonts w:ascii="Arial Narrow" w:hAnsi="Arial Narrow" w:cs="Calibri"/>
                <w:b/>
                <w:lang w:eastAsia="en-GB"/>
              </w:rPr>
            </w:pPr>
            <w:r w:rsidRPr="00212C3C">
              <w:rPr>
                <w:rFonts w:ascii="Arial Narrow" w:hAnsi="Arial Narrow" w:cs="Calibri"/>
                <w:b/>
                <w:lang w:eastAsia="en-GB"/>
              </w:rPr>
              <w:t>Patient selection</w:t>
            </w:r>
          </w:p>
        </w:tc>
        <w:tc>
          <w:tcPr>
            <w:tcW w:w="992" w:type="dxa"/>
            <w:tcBorders>
              <w:top w:val="single" w:sz="4" w:space="0" w:color="auto"/>
              <w:bottom w:val="single" w:sz="4" w:space="0" w:color="auto"/>
            </w:tcBorders>
            <w:shd w:val="clear" w:color="auto" w:fill="F2F2F2"/>
          </w:tcPr>
          <w:p w14:paraId="3E18239A" w14:textId="77777777" w:rsidR="00212C3C" w:rsidRPr="00212C3C" w:rsidRDefault="00212C3C" w:rsidP="00B06CD2">
            <w:pPr>
              <w:jc w:val="left"/>
              <w:rPr>
                <w:rFonts w:ascii="Arial Narrow" w:hAnsi="Arial Narrow" w:cs="Calibri"/>
                <w:b/>
                <w:lang w:eastAsia="en-GB"/>
              </w:rPr>
            </w:pPr>
            <w:r w:rsidRPr="00212C3C">
              <w:rPr>
                <w:rFonts w:ascii="Arial Narrow" w:hAnsi="Arial Narrow" w:cs="Calibri"/>
                <w:b/>
                <w:lang w:eastAsia="en-GB"/>
              </w:rPr>
              <w:t>Index test</w:t>
            </w:r>
          </w:p>
        </w:tc>
        <w:tc>
          <w:tcPr>
            <w:tcW w:w="1134" w:type="dxa"/>
            <w:tcBorders>
              <w:top w:val="single" w:sz="4" w:space="0" w:color="auto"/>
              <w:bottom w:val="single" w:sz="4" w:space="0" w:color="auto"/>
              <w:right w:val="single" w:sz="4" w:space="0" w:color="auto"/>
            </w:tcBorders>
            <w:shd w:val="clear" w:color="auto" w:fill="F2F2F2"/>
          </w:tcPr>
          <w:p w14:paraId="3F1A8F35" w14:textId="77777777" w:rsidR="00212C3C" w:rsidRPr="00212C3C" w:rsidRDefault="00212C3C" w:rsidP="00B06CD2">
            <w:pPr>
              <w:jc w:val="left"/>
              <w:rPr>
                <w:rFonts w:ascii="Arial Narrow" w:hAnsi="Arial Narrow" w:cs="Calibri"/>
                <w:b/>
                <w:lang w:eastAsia="en-GB"/>
              </w:rPr>
            </w:pPr>
            <w:r w:rsidRPr="00212C3C">
              <w:rPr>
                <w:rFonts w:ascii="Arial Narrow" w:hAnsi="Arial Narrow" w:cs="Calibri"/>
                <w:b/>
                <w:lang w:eastAsia="en-GB"/>
              </w:rPr>
              <w:t>Reference standard</w:t>
            </w:r>
          </w:p>
        </w:tc>
        <w:tc>
          <w:tcPr>
            <w:tcW w:w="992" w:type="dxa"/>
            <w:tcBorders>
              <w:top w:val="single" w:sz="4" w:space="0" w:color="auto"/>
              <w:bottom w:val="single" w:sz="4" w:space="0" w:color="auto"/>
              <w:right w:val="single" w:sz="4" w:space="0" w:color="auto"/>
            </w:tcBorders>
            <w:shd w:val="clear" w:color="auto" w:fill="F2F2F2"/>
          </w:tcPr>
          <w:p w14:paraId="78F4A9EF" w14:textId="77777777" w:rsidR="00212C3C" w:rsidRPr="00212C3C" w:rsidRDefault="00212C3C" w:rsidP="00212C3C">
            <w:pPr>
              <w:rPr>
                <w:rFonts w:ascii="Arial Narrow" w:hAnsi="Arial Narrow" w:cs="Calibri"/>
                <w:b/>
                <w:lang w:eastAsia="en-GB"/>
              </w:rPr>
            </w:pPr>
            <w:r w:rsidRPr="00212C3C">
              <w:rPr>
                <w:rFonts w:ascii="Arial Narrow" w:hAnsi="Arial Narrow" w:cs="Calibri"/>
                <w:b/>
                <w:lang w:eastAsia="en-GB"/>
              </w:rPr>
              <w:t>RISK OF BIAS</w:t>
            </w:r>
          </w:p>
        </w:tc>
      </w:tr>
      <w:tr w:rsidR="00212C3C" w:rsidRPr="00212C3C" w14:paraId="24CEAEF4" w14:textId="77777777" w:rsidTr="00B06CD2">
        <w:trPr>
          <w:trHeight w:val="342"/>
        </w:trPr>
        <w:tc>
          <w:tcPr>
            <w:tcW w:w="1133" w:type="dxa"/>
            <w:tcBorders>
              <w:top w:val="single" w:sz="4" w:space="0" w:color="auto"/>
              <w:left w:val="single" w:sz="4" w:space="0" w:color="auto"/>
              <w:bottom w:val="single" w:sz="4" w:space="0" w:color="auto"/>
              <w:right w:val="single" w:sz="4" w:space="0" w:color="auto"/>
            </w:tcBorders>
          </w:tcPr>
          <w:p w14:paraId="6A404134" w14:textId="77777777" w:rsidR="00212C3C" w:rsidRPr="00212C3C" w:rsidRDefault="00212C3C" w:rsidP="00212C3C">
            <w:pPr>
              <w:spacing w:after="0"/>
              <w:contextualSpacing/>
              <w:jc w:val="left"/>
              <w:rPr>
                <w:rFonts w:ascii="Arial Narrow" w:hAnsi="Arial Narrow"/>
                <w:snapToGrid w:val="0"/>
                <w:lang w:eastAsia="en-US"/>
              </w:rPr>
            </w:pPr>
            <w:r w:rsidRPr="00212C3C">
              <w:rPr>
                <w:rFonts w:ascii="Arial Narrow" w:hAnsi="Arial Narrow"/>
                <w:snapToGrid w:val="0"/>
                <w:lang w:eastAsia="en-US"/>
              </w:rPr>
              <w:t>Jarius et al. 2010</w:t>
            </w:r>
          </w:p>
        </w:tc>
        <w:tc>
          <w:tcPr>
            <w:tcW w:w="994" w:type="dxa"/>
            <w:tcBorders>
              <w:top w:val="single" w:sz="4" w:space="0" w:color="auto"/>
              <w:left w:val="single" w:sz="4" w:space="0" w:color="auto"/>
              <w:bottom w:val="single" w:sz="4" w:space="0" w:color="auto"/>
            </w:tcBorders>
          </w:tcPr>
          <w:p w14:paraId="3E124B65" w14:textId="77777777" w:rsidR="00212C3C" w:rsidRPr="00212C3C" w:rsidRDefault="00212C3C" w:rsidP="00212C3C">
            <w:pPr>
              <w:jc w:val="center"/>
              <w:rPr>
                <w:rFonts w:ascii="Arial Narrow" w:hAnsi="Arial Narrow" w:cs="Calibri"/>
                <w:lang w:eastAsia="en-GB"/>
              </w:rPr>
            </w:pPr>
            <w:r w:rsidRPr="00212C3C">
              <w:rPr>
                <w:rFonts w:cs="Calibri"/>
                <w:sz w:val="28"/>
                <w:szCs w:val="28"/>
                <w:shd w:val="clear" w:color="auto" w:fill="D6E3BC"/>
                <w:lang w:eastAsia="en-GB"/>
              </w:rPr>
              <w:sym w:font="Wingdings" w:char="F04A"/>
            </w:r>
          </w:p>
        </w:tc>
        <w:tc>
          <w:tcPr>
            <w:tcW w:w="850" w:type="dxa"/>
            <w:tcBorders>
              <w:top w:val="single" w:sz="4" w:space="0" w:color="auto"/>
              <w:bottom w:val="single" w:sz="4" w:space="0" w:color="auto"/>
            </w:tcBorders>
          </w:tcPr>
          <w:p w14:paraId="5EE343EC" w14:textId="77777777" w:rsidR="00212C3C" w:rsidRPr="00212C3C" w:rsidRDefault="00212C3C" w:rsidP="00212C3C">
            <w:pPr>
              <w:jc w:val="center"/>
              <w:rPr>
                <w:rFonts w:ascii="Arial Narrow" w:hAnsi="Arial Narrow" w:cs="Calibri"/>
                <w:lang w:eastAsia="en-GB"/>
              </w:rPr>
            </w:pPr>
            <w:r w:rsidRPr="00212C3C">
              <w:rPr>
                <w:rFonts w:cs="Calibri"/>
                <w:szCs w:val="28"/>
                <w:shd w:val="clear" w:color="auto" w:fill="B6DDE8"/>
                <w:lang w:eastAsia="en-GB"/>
              </w:rPr>
              <w:t xml:space="preserve">  ?</w:t>
            </w:r>
          </w:p>
        </w:tc>
        <w:tc>
          <w:tcPr>
            <w:tcW w:w="1134" w:type="dxa"/>
            <w:tcBorders>
              <w:top w:val="single" w:sz="4" w:space="0" w:color="auto"/>
              <w:bottom w:val="single" w:sz="4" w:space="0" w:color="auto"/>
            </w:tcBorders>
          </w:tcPr>
          <w:p w14:paraId="4FB19398" w14:textId="77777777" w:rsidR="00212C3C" w:rsidRPr="00212C3C" w:rsidRDefault="00212C3C" w:rsidP="00212C3C">
            <w:pPr>
              <w:jc w:val="center"/>
              <w:rPr>
                <w:rFonts w:ascii="Arial Narrow" w:hAnsi="Arial Narrow" w:cs="Calibri"/>
                <w:lang w:eastAsia="en-GB"/>
              </w:rPr>
            </w:pPr>
            <w:r w:rsidRPr="00212C3C">
              <w:rPr>
                <w:rFonts w:cs="Calibri"/>
                <w:szCs w:val="28"/>
                <w:shd w:val="clear" w:color="auto" w:fill="B6DDE8"/>
                <w:lang w:eastAsia="en-GB"/>
              </w:rPr>
              <w:t xml:space="preserve">  ?</w:t>
            </w:r>
          </w:p>
        </w:tc>
        <w:tc>
          <w:tcPr>
            <w:tcW w:w="992" w:type="dxa"/>
            <w:tcBorders>
              <w:top w:val="single" w:sz="4" w:space="0" w:color="auto"/>
              <w:bottom w:val="single" w:sz="4" w:space="0" w:color="auto"/>
              <w:right w:val="single" w:sz="4" w:space="0" w:color="auto"/>
            </w:tcBorders>
          </w:tcPr>
          <w:p w14:paraId="6A780668" w14:textId="77777777" w:rsidR="00212C3C" w:rsidRPr="00212C3C" w:rsidRDefault="00212C3C" w:rsidP="00212C3C">
            <w:pPr>
              <w:jc w:val="center"/>
              <w:rPr>
                <w:rFonts w:ascii="Arial Narrow" w:hAnsi="Arial Narrow" w:cs="Calibri"/>
                <w:lang w:eastAsia="en-GB"/>
              </w:rPr>
            </w:pPr>
            <w:r w:rsidRPr="00212C3C">
              <w:rPr>
                <w:rFonts w:cs="Calibri"/>
                <w:szCs w:val="28"/>
                <w:shd w:val="clear" w:color="auto" w:fill="B6DDE8"/>
                <w:lang w:eastAsia="en-GB"/>
              </w:rPr>
              <w:t xml:space="preserve">  ?</w:t>
            </w:r>
          </w:p>
        </w:tc>
        <w:tc>
          <w:tcPr>
            <w:tcW w:w="993" w:type="dxa"/>
            <w:tcBorders>
              <w:top w:val="single" w:sz="4" w:space="0" w:color="auto"/>
              <w:left w:val="single" w:sz="4" w:space="0" w:color="auto"/>
              <w:bottom w:val="single" w:sz="4" w:space="0" w:color="auto"/>
            </w:tcBorders>
          </w:tcPr>
          <w:p w14:paraId="199ABBF8" w14:textId="77777777" w:rsidR="00212C3C" w:rsidRPr="00212C3C" w:rsidRDefault="00212C3C" w:rsidP="00212C3C">
            <w:pPr>
              <w:jc w:val="center"/>
              <w:rPr>
                <w:rFonts w:ascii="Arial Narrow" w:hAnsi="Arial Narrow" w:cs="Calibri"/>
                <w:lang w:eastAsia="en-GB"/>
              </w:rPr>
            </w:pPr>
            <w:r w:rsidRPr="00212C3C">
              <w:rPr>
                <w:rFonts w:cs="Calibri"/>
                <w:sz w:val="28"/>
                <w:szCs w:val="28"/>
                <w:shd w:val="clear" w:color="auto" w:fill="D6E3BC"/>
                <w:lang w:eastAsia="en-GB"/>
              </w:rPr>
              <w:sym w:font="Wingdings" w:char="F04A"/>
            </w:r>
          </w:p>
        </w:tc>
        <w:tc>
          <w:tcPr>
            <w:tcW w:w="992" w:type="dxa"/>
            <w:tcBorders>
              <w:top w:val="single" w:sz="4" w:space="0" w:color="auto"/>
              <w:bottom w:val="single" w:sz="4" w:space="0" w:color="auto"/>
            </w:tcBorders>
          </w:tcPr>
          <w:p w14:paraId="6029DA0E" w14:textId="77777777" w:rsidR="00212C3C" w:rsidRPr="00212C3C" w:rsidRDefault="00212C3C" w:rsidP="00212C3C">
            <w:pPr>
              <w:jc w:val="center"/>
              <w:rPr>
                <w:rFonts w:ascii="Arial Narrow" w:hAnsi="Arial Narrow" w:cs="Calibri"/>
                <w:lang w:eastAsia="en-GB"/>
              </w:rPr>
            </w:pPr>
            <w:r w:rsidRPr="00212C3C">
              <w:rPr>
                <w:rFonts w:cs="Calibri"/>
                <w:sz w:val="28"/>
                <w:szCs w:val="28"/>
                <w:shd w:val="clear" w:color="auto" w:fill="D6E3BC"/>
                <w:lang w:eastAsia="en-GB"/>
              </w:rPr>
              <w:sym w:font="Wingdings" w:char="F04A"/>
            </w:r>
          </w:p>
        </w:tc>
        <w:tc>
          <w:tcPr>
            <w:tcW w:w="1134" w:type="dxa"/>
            <w:tcBorders>
              <w:top w:val="single" w:sz="4" w:space="0" w:color="auto"/>
              <w:bottom w:val="single" w:sz="4" w:space="0" w:color="auto"/>
              <w:right w:val="single" w:sz="4" w:space="0" w:color="auto"/>
            </w:tcBorders>
          </w:tcPr>
          <w:p w14:paraId="409F376F" w14:textId="77777777" w:rsidR="00212C3C" w:rsidRPr="00212C3C" w:rsidRDefault="00212C3C" w:rsidP="00212C3C">
            <w:pPr>
              <w:jc w:val="center"/>
              <w:rPr>
                <w:rFonts w:ascii="Arial Narrow" w:hAnsi="Arial Narrow" w:cs="Calibri"/>
                <w:lang w:eastAsia="en-GB"/>
              </w:rPr>
            </w:pPr>
            <w:r w:rsidRPr="00212C3C">
              <w:rPr>
                <w:rFonts w:cs="Calibri"/>
                <w:sz w:val="28"/>
                <w:szCs w:val="28"/>
                <w:shd w:val="clear" w:color="auto" w:fill="D6E3BC"/>
                <w:lang w:eastAsia="en-GB"/>
              </w:rPr>
              <w:sym w:font="Wingdings" w:char="F04A"/>
            </w:r>
          </w:p>
        </w:tc>
        <w:tc>
          <w:tcPr>
            <w:tcW w:w="992" w:type="dxa"/>
            <w:tcBorders>
              <w:top w:val="single" w:sz="4" w:space="0" w:color="auto"/>
              <w:bottom w:val="single" w:sz="4" w:space="0" w:color="auto"/>
              <w:right w:val="single" w:sz="4" w:space="0" w:color="auto"/>
            </w:tcBorders>
          </w:tcPr>
          <w:p w14:paraId="371E69D4" w14:textId="77777777" w:rsidR="00212C3C" w:rsidRPr="00212C3C" w:rsidRDefault="00212C3C" w:rsidP="00212C3C">
            <w:pPr>
              <w:spacing w:after="0"/>
              <w:contextualSpacing/>
              <w:jc w:val="left"/>
              <w:rPr>
                <w:rFonts w:ascii="Arial Narrow" w:hAnsi="Arial Narrow"/>
                <w:snapToGrid w:val="0"/>
                <w:lang w:eastAsia="en-US"/>
              </w:rPr>
            </w:pPr>
            <w:r w:rsidRPr="00212C3C">
              <w:rPr>
                <w:rFonts w:ascii="Arial Narrow" w:hAnsi="Arial Narrow"/>
                <w:snapToGrid w:val="0"/>
                <w:lang w:eastAsia="en-US"/>
              </w:rPr>
              <w:t>Moderate</w:t>
            </w:r>
          </w:p>
        </w:tc>
      </w:tr>
      <w:tr w:rsidR="00212C3C" w:rsidRPr="00212C3C" w14:paraId="576C7FF2" w14:textId="77777777" w:rsidTr="00B06CD2">
        <w:trPr>
          <w:trHeight w:val="342"/>
        </w:trPr>
        <w:tc>
          <w:tcPr>
            <w:tcW w:w="1133" w:type="dxa"/>
            <w:tcBorders>
              <w:top w:val="single" w:sz="4" w:space="0" w:color="auto"/>
              <w:left w:val="single" w:sz="4" w:space="0" w:color="auto"/>
              <w:bottom w:val="single" w:sz="4" w:space="0" w:color="auto"/>
              <w:right w:val="single" w:sz="4" w:space="0" w:color="auto"/>
            </w:tcBorders>
          </w:tcPr>
          <w:p w14:paraId="281A7E50" w14:textId="77777777" w:rsidR="00212C3C" w:rsidRPr="00212C3C" w:rsidRDefault="00212C3C" w:rsidP="00212C3C">
            <w:pPr>
              <w:spacing w:after="0"/>
              <w:contextualSpacing/>
              <w:jc w:val="left"/>
              <w:rPr>
                <w:rFonts w:ascii="Arial Narrow" w:hAnsi="Arial Narrow"/>
                <w:snapToGrid w:val="0"/>
                <w:lang w:eastAsia="en-US"/>
              </w:rPr>
            </w:pPr>
            <w:r w:rsidRPr="00212C3C">
              <w:rPr>
                <w:rFonts w:ascii="Arial Narrow" w:hAnsi="Arial Narrow"/>
                <w:snapToGrid w:val="0"/>
                <w:lang w:eastAsia="en-US"/>
              </w:rPr>
              <w:t>Waters et al. 2016</w:t>
            </w:r>
          </w:p>
        </w:tc>
        <w:tc>
          <w:tcPr>
            <w:tcW w:w="994" w:type="dxa"/>
            <w:tcBorders>
              <w:top w:val="single" w:sz="4" w:space="0" w:color="auto"/>
              <w:left w:val="single" w:sz="4" w:space="0" w:color="auto"/>
              <w:bottom w:val="single" w:sz="4" w:space="0" w:color="auto"/>
            </w:tcBorders>
          </w:tcPr>
          <w:p w14:paraId="1B6C9B55" w14:textId="77777777" w:rsidR="00212C3C" w:rsidRPr="00212C3C" w:rsidRDefault="00212C3C" w:rsidP="00212C3C">
            <w:pPr>
              <w:jc w:val="center"/>
              <w:rPr>
                <w:rFonts w:cs="Calibri"/>
                <w:sz w:val="28"/>
                <w:szCs w:val="28"/>
                <w:shd w:val="clear" w:color="auto" w:fill="D6E3BC"/>
                <w:lang w:eastAsia="en-GB"/>
              </w:rPr>
            </w:pPr>
            <w:r w:rsidRPr="00212C3C">
              <w:rPr>
                <w:rFonts w:cs="Calibri"/>
                <w:szCs w:val="28"/>
                <w:shd w:val="clear" w:color="auto" w:fill="B6DDE8"/>
                <w:lang w:eastAsia="en-GB"/>
              </w:rPr>
              <w:t xml:space="preserve">  ?</w:t>
            </w:r>
          </w:p>
        </w:tc>
        <w:tc>
          <w:tcPr>
            <w:tcW w:w="850" w:type="dxa"/>
            <w:tcBorders>
              <w:top w:val="single" w:sz="4" w:space="0" w:color="auto"/>
              <w:bottom w:val="single" w:sz="4" w:space="0" w:color="auto"/>
            </w:tcBorders>
          </w:tcPr>
          <w:p w14:paraId="308FBE4F" w14:textId="77777777" w:rsidR="00212C3C" w:rsidRPr="00212C3C" w:rsidRDefault="00212C3C" w:rsidP="00212C3C">
            <w:pPr>
              <w:jc w:val="center"/>
              <w:rPr>
                <w:rFonts w:cs="Calibri"/>
                <w:sz w:val="28"/>
                <w:szCs w:val="28"/>
                <w:shd w:val="clear" w:color="auto" w:fill="D6E3BC"/>
                <w:lang w:eastAsia="en-GB"/>
              </w:rPr>
            </w:pPr>
            <w:r w:rsidRPr="00212C3C">
              <w:rPr>
                <w:rFonts w:cs="Calibri"/>
                <w:sz w:val="28"/>
                <w:szCs w:val="28"/>
                <w:shd w:val="clear" w:color="auto" w:fill="D6E3BC"/>
                <w:lang w:eastAsia="en-GB"/>
              </w:rPr>
              <w:sym w:font="Wingdings" w:char="F04A"/>
            </w:r>
          </w:p>
        </w:tc>
        <w:tc>
          <w:tcPr>
            <w:tcW w:w="1134" w:type="dxa"/>
            <w:tcBorders>
              <w:top w:val="single" w:sz="4" w:space="0" w:color="auto"/>
              <w:bottom w:val="single" w:sz="4" w:space="0" w:color="auto"/>
            </w:tcBorders>
          </w:tcPr>
          <w:p w14:paraId="1584998B" w14:textId="77777777" w:rsidR="00212C3C" w:rsidRPr="00212C3C" w:rsidRDefault="00212C3C" w:rsidP="00212C3C">
            <w:pPr>
              <w:jc w:val="center"/>
              <w:rPr>
                <w:rFonts w:cs="Calibri"/>
                <w:sz w:val="28"/>
                <w:szCs w:val="28"/>
                <w:shd w:val="clear" w:color="auto" w:fill="FBD4B4"/>
                <w:lang w:eastAsia="en-GB"/>
              </w:rPr>
            </w:pPr>
            <w:r w:rsidRPr="00212C3C">
              <w:rPr>
                <w:rFonts w:cs="Calibri"/>
                <w:szCs w:val="28"/>
                <w:shd w:val="clear" w:color="auto" w:fill="B6DDE8"/>
                <w:lang w:eastAsia="en-GB"/>
              </w:rPr>
              <w:t xml:space="preserve">  ?</w:t>
            </w:r>
          </w:p>
        </w:tc>
        <w:tc>
          <w:tcPr>
            <w:tcW w:w="992" w:type="dxa"/>
            <w:tcBorders>
              <w:top w:val="single" w:sz="4" w:space="0" w:color="auto"/>
              <w:bottom w:val="single" w:sz="4" w:space="0" w:color="auto"/>
              <w:right w:val="single" w:sz="4" w:space="0" w:color="auto"/>
            </w:tcBorders>
          </w:tcPr>
          <w:p w14:paraId="1B032FDB" w14:textId="77777777" w:rsidR="00212C3C" w:rsidRPr="00212C3C" w:rsidRDefault="00212C3C" w:rsidP="00212C3C">
            <w:pPr>
              <w:jc w:val="center"/>
              <w:rPr>
                <w:rFonts w:cs="Calibri"/>
                <w:szCs w:val="28"/>
                <w:shd w:val="clear" w:color="auto" w:fill="B6DDE8"/>
                <w:lang w:eastAsia="en-GB"/>
              </w:rPr>
            </w:pPr>
            <w:r w:rsidRPr="00212C3C">
              <w:rPr>
                <w:rFonts w:cs="Calibri"/>
                <w:szCs w:val="28"/>
                <w:shd w:val="clear" w:color="auto" w:fill="B6DDE8"/>
                <w:lang w:eastAsia="en-GB"/>
              </w:rPr>
              <w:t xml:space="preserve">  ?</w:t>
            </w:r>
          </w:p>
        </w:tc>
        <w:tc>
          <w:tcPr>
            <w:tcW w:w="993" w:type="dxa"/>
            <w:tcBorders>
              <w:top w:val="single" w:sz="4" w:space="0" w:color="auto"/>
              <w:left w:val="single" w:sz="4" w:space="0" w:color="auto"/>
              <w:bottom w:val="single" w:sz="4" w:space="0" w:color="auto"/>
            </w:tcBorders>
          </w:tcPr>
          <w:p w14:paraId="644FAD89" w14:textId="77777777" w:rsidR="00212C3C" w:rsidRPr="00212C3C" w:rsidRDefault="00212C3C" w:rsidP="00212C3C">
            <w:pPr>
              <w:jc w:val="center"/>
              <w:rPr>
                <w:rFonts w:cs="Calibri"/>
                <w:sz w:val="28"/>
                <w:szCs w:val="28"/>
                <w:shd w:val="clear" w:color="auto" w:fill="D6E3BC"/>
                <w:lang w:eastAsia="en-GB"/>
              </w:rPr>
            </w:pPr>
            <w:r w:rsidRPr="00212C3C">
              <w:rPr>
                <w:rFonts w:cs="Calibri"/>
                <w:sz w:val="28"/>
                <w:szCs w:val="28"/>
                <w:shd w:val="clear" w:color="auto" w:fill="D6E3BC"/>
                <w:lang w:eastAsia="en-GB"/>
              </w:rPr>
              <w:sym w:font="Wingdings" w:char="F04A"/>
            </w:r>
          </w:p>
        </w:tc>
        <w:tc>
          <w:tcPr>
            <w:tcW w:w="992" w:type="dxa"/>
            <w:tcBorders>
              <w:top w:val="single" w:sz="4" w:space="0" w:color="auto"/>
              <w:bottom w:val="single" w:sz="4" w:space="0" w:color="auto"/>
            </w:tcBorders>
          </w:tcPr>
          <w:p w14:paraId="5FC15DD3" w14:textId="77777777" w:rsidR="00212C3C" w:rsidRPr="00212C3C" w:rsidRDefault="00212C3C" w:rsidP="00212C3C">
            <w:pPr>
              <w:jc w:val="center"/>
              <w:rPr>
                <w:rFonts w:cs="Calibri"/>
                <w:sz w:val="28"/>
                <w:szCs w:val="28"/>
                <w:shd w:val="clear" w:color="auto" w:fill="D6E3BC"/>
                <w:lang w:eastAsia="en-GB"/>
              </w:rPr>
            </w:pPr>
            <w:r w:rsidRPr="00212C3C">
              <w:rPr>
                <w:rFonts w:cs="Calibri"/>
                <w:sz w:val="28"/>
                <w:szCs w:val="28"/>
                <w:shd w:val="clear" w:color="auto" w:fill="D6E3BC"/>
                <w:lang w:eastAsia="en-GB"/>
              </w:rPr>
              <w:sym w:font="Wingdings" w:char="F04A"/>
            </w:r>
          </w:p>
        </w:tc>
        <w:tc>
          <w:tcPr>
            <w:tcW w:w="1134" w:type="dxa"/>
            <w:tcBorders>
              <w:top w:val="single" w:sz="4" w:space="0" w:color="auto"/>
              <w:bottom w:val="single" w:sz="4" w:space="0" w:color="auto"/>
              <w:right w:val="single" w:sz="4" w:space="0" w:color="auto"/>
            </w:tcBorders>
          </w:tcPr>
          <w:p w14:paraId="18394790" w14:textId="77777777" w:rsidR="00212C3C" w:rsidRPr="00212C3C" w:rsidRDefault="00212C3C" w:rsidP="00212C3C">
            <w:pPr>
              <w:jc w:val="center"/>
              <w:rPr>
                <w:rFonts w:cs="Calibri"/>
                <w:szCs w:val="28"/>
                <w:shd w:val="clear" w:color="auto" w:fill="B6DDE8"/>
                <w:lang w:eastAsia="en-GB"/>
              </w:rPr>
            </w:pPr>
            <w:r w:rsidRPr="00212C3C">
              <w:rPr>
                <w:rFonts w:cs="Calibri"/>
                <w:szCs w:val="28"/>
                <w:shd w:val="clear" w:color="auto" w:fill="B6DDE8"/>
                <w:lang w:eastAsia="en-GB"/>
              </w:rPr>
              <w:t xml:space="preserve">  ?</w:t>
            </w:r>
          </w:p>
        </w:tc>
        <w:tc>
          <w:tcPr>
            <w:tcW w:w="992" w:type="dxa"/>
            <w:tcBorders>
              <w:top w:val="single" w:sz="4" w:space="0" w:color="auto"/>
              <w:bottom w:val="single" w:sz="4" w:space="0" w:color="auto"/>
              <w:right w:val="single" w:sz="4" w:space="0" w:color="auto"/>
            </w:tcBorders>
          </w:tcPr>
          <w:p w14:paraId="687B25F8" w14:textId="77777777" w:rsidR="00212C3C" w:rsidRPr="00212C3C" w:rsidRDefault="00212C3C" w:rsidP="00212C3C">
            <w:pPr>
              <w:spacing w:after="0"/>
              <w:contextualSpacing/>
              <w:jc w:val="left"/>
              <w:rPr>
                <w:rFonts w:ascii="Arial Narrow" w:hAnsi="Arial Narrow"/>
                <w:snapToGrid w:val="0"/>
                <w:lang w:eastAsia="en-US"/>
              </w:rPr>
            </w:pPr>
            <w:r w:rsidRPr="00212C3C">
              <w:rPr>
                <w:rFonts w:ascii="Arial Narrow" w:hAnsi="Arial Narrow"/>
                <w:snapToGrid w:val="0"/>
                <w:lang w:eastAsia="en-US"/>
              </w:rPr>
              <w:t>High</w:t>
            </w:r>
          </w:p>
        </w:tc>
      </w:tr>
    </w:tbl>
    <w:p w14:paraId="7875537B" w14:textId="77777777" w:rsidR="00212C3C" w:rsidRPr="00212C3C" w:rsidRDefault="00212C3C" w:rsidP="00212C3C">
      <w:pPr>
        <w:widowControl w:val="0"/>
        <w:spacing w:after="120" w:line="240" w:lineRule="auto"/>
        <w:contextualSpacing/>
        <w:jc w:val="left"/>
        <w:rPr>
          <w:rFonts w:ascii="Arial Narrow" w:hAnsi="Arial Narrow" w:cs="Arial"/>
          <w:snapToGrid w:val="0"/>
          <w:sz w:val="18"/>
          <w:szCs w:val="20"/>
          <w:lang w:eastAsia="en-US"/>
        </w:rPr>
      </w:pPr>
      <w:r w:rsidRPr="00212C3C">
        <w:rPr>
          <w:rFonts w:ascii="Wingdings" w:hAnsi="Wingdings" w:cs="Arial"/>
          <w:snapToGrid w:val="0"/>
          <w:sz w:val="28"/>
          <w:szCs w:val="28"/>
          <w:shd w:val="clear" w:color="auto" w:fill="D6E3BC"/>
          <w:lang w:eastAsia="en-GB"/>
        </w:rPr>
        <w:t></w:t>
      </w:r>
      <w:r w:rsidRPr="00212C3C">
        <w:rPr>
          <w:rFonts w:ascii="Arial Narrow" w:hAnsi="Arial Narrow" w:cs="Arial"/>
          <w:snapToGrid w:val="0"/>
          <w:sz w:val="18"/>
          <w:szCs w:val="20"/>
          <w:lang w:eastAsia="en-US"/>
        </w:rPr>
        <w:t xml:space="preserve">Low Risk            </w:t>
      </w:r>
      <w:r w:rsidRPr="00212C3C">
        <w:rPr>
          <w:rFonts w:ascii="Wingdings" w:hAnsi="Wingdings" w:cs="Arial"/>
          <w:snapToGrid w:val="0"/>
          <w:sz w:val="28"/>
          <w:szCs w:val="28"/>
          <w:shd w:val="clear" w:color="auto" w:fill="FBD4B4"/>
          <w:lang w:eastAsia="en-GB"/>
        </w:rPr>
        <w:t></w:t>
      </w:r>
      <w:r w:rsidRPr="00212C3C">
        <w:rPr>
          <w:rFonts w:ascii="Arial Narrow" w:hAnsi="Arial Narrow" w:cs="Arial"/>
          <w:snapToGrid w:val="0"/>
          <w:sz w:val="18"/>
          <w:szCs w:val="20"/>
          <w:lang w:eastAsia="en-US"/>
        </w:rPr>
        <w:t xml:space="preserve">High Risk           </w:t>
      </w:r>
      <w:r w:rsidRPr="00212C3C">
        <w:rPr>
          <w:rFonts w:ascii="Arial Narrow" w:hAnsi="Arial Narrow" w:cs="Arial"/>
          <w:snapToGrid w:val="0"/>
          <w:sz w:val="18"/>
          <w:szCs w:val="20"/>
          <w:shd w:val="clear" w:color="auto" w:fill="B6DDE8"/>
          <w:lang w:eastAsia="en-GB"/>
        </w:rPr>
        <w:t>  ?</w:t>
      </w:r>
      <w:r w:rsidRPr="00212C3C">
        <w:rPr>
          <w:rFonts w:ascii="Arial Narrow" w:hAnsi="Arial Narrow" w:cs="Arial"/>
          <w:snapToGrid w:val="0"/>
          <w:sz w:val="18"/>
          <w:szCs w:val="20"/>
          <w:lang w:eastAsia="en-US"/>
        </w:rPr>
        <w:t xml:space="preserve"> Unclear Risk </w:t>
      </w:r>
    </w:p>
    <w:p w14:paraId="40754A13" w14:textId="22A30998" w:rsidR="00212C3C" w:rsidRPr="003637B4" w:rsidRDefault="00212C3C" w:rsidP="003637B4">
      <w:pPr>
        <w:widowControl w:val="0"/>
        <w:spacing w:after="0" w:line="240" w:lineRule="auto"/>
        <w:contextualSpacing/>
        <w:jc w:val="left"/>
        <w:rPr>
          <w:rFonts w:ascii="Arial Narrow" w:hAnsi="Arial Narrow" w:cs="Times New Roman"/>
          <w:snapToGrid w:val="0"/>
          <w:sz w:val="18"/>
          <w:szCs w:val="20"/>
          <w:lang w:eastAsia="en-US"/>
        </w:rPr>
      </w:pPr>
      <w:r w:rsidRPr="00212C3C">
        <w:rPr>
          <w:rFonts w:ascii="Arial Narrow" w:hAnsi="Arial Narrow" w:cs="Arial"/>
          <w:snapToGrid w:val="0"/>
          <w:sz w:val="18"/>
          <w:szCs w:val="20"/>
          <w:lang w:eastAsia="en-US"/>
        </w:rPr>
        <w:t>QUADAS-2 = A Revised Tool for the Quality Assessment of Diagnostic Accuracy Studies</w:t>
      </w:r>
      <w:bookmarkStart w:id="191" w:name="_Toc421610006"/>
      <w:bookmarkStart w:id="192" w:name="_Toc423451336"/>
      <w:bookmarkStart w:id="193" w:name="_Toc421610007"/>
      <w:bookmarkStart w:id="194" w:name="_Toc423451337"/>
      <w:bookmarkEnd w:id="191"/>
      <w:bookmarkEnd w:id="192"/>
      <w:bookmarkEnd w:id="193"/>
      <w:bookmarkEnd w:id="194"/>
    </w:p>
    <w:p w14:paraId="6EA79A0F" w14:textId="77777777" w:rsidR="00ED65EE" w:rsidRPr="00183E4D" w:rsidRDefault="00ED65EE" w:rsidP="003816F6">
      <w:pPr>
        <w:pStyle w:val="Heading2"/>
        <w:numPr>
          <w:ilvl w:val="1"/>
          <w:numId w:val="18"/>
        </w:numPr>
      </w:pPr>
      <w:bookmarkStart w:id="195" w:name="_Toc39588295"/>
      <w:r w:rsidRPr="00183E4D">
        <w:t>Characteristics of the Evidence Base</w:t>
      </w:r>
      <w:bookmarkEnd w:id="195"/>
    </w:p>
    <w:p w14:paraId="2ECE2584" w14:textId="561600FE" w:rsidR="00A357CA" w:rsidRPr="00A357CA" w:rsidRDefault="00A357CA" w:rsidP="00A357CA">
      <w:bookmarkStart w:id="196" w:name="_Ref30430297"/>
      <w:r w:rsidRPr="00A357CA">
        <w:t xml:space="preserve">The characteristics of accuracy studies identified in the literature is shown in </w:t>
      </w:r>
      <w:r w:rsidRPr="00A357CA">
        <w:fldChar w:fldCharType="begin"/>
      </w:r>
      <w:r w:rsidRPr="00A357CA">
        <w:instrText xml:space="preserve"> REF _Ref30686824 \h  \* MERGEFORMAT </w:instrText>
      </w:r>
      <w:r w:rsidRPr="00A357CA">
        <w:fldChar w:fldCharType="separate"/>
      </w:r>
      <w:r w:rsidR="00B06CD2" w:rsidRPr="00212C3C">
        <w:t xml:space="preserve">Table </w:t>
      </w:r>
      <w:r w:rsidR="00B06CD2">
        <w:t>16</w:t>
      </w:r>
      <w:r w:rsidRPr="00A357CA">
        <w:fldChar w:fldCharType="end"/>
      </w:r>
      <w:r w:rsidRPr="00A357CA">
        <w:t xml:space="preserve">. One study by Waters et al. </w:t>
      </w:r>
      <w:r w:rsidR="00156621">
        <w:fldChar w:fldCharType="begin">
          <w:fldData xml:space="preserve">PEVuZE5vdGU+PENpdGU+PEF1dGhvcj5XYXRlcnM8L0F1dGhvcj48WWVhcj4yMDE2PC9ZZWFyPjxS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</w:fldData>
        </w:fldChar>
      </w:r>
      <w:r w:rsidR="000967CF">
        <w:instrText xml:space="preserve"> ADDIN EN.CITE </w:instrText>
      </w:r>
      <w:r w:rsidR="000967CF">
        <w:fldChar w:fldCharType="begin">
          <w:fldData xml:space="preserve">PEVuZE5vdGU+PENpdGU+PEF1dGhvcj5XYXRlcnM8L0F1dGhvcj48WWVhcj4yMDE2PC9ZZWFyPjxS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</w:fldData>
        </w:fldChar>
      </w:r>
      <w:r w:rsidR="000967CF">
        <w:instrText xml:space="preserve"> ADDIN EN.CITE.DATA </w:instrText>
      </w:r>
      <w:r w:rsidR="000967CF">
        <w:fldChar w:fldCharType="end"/>
      </w:r>
      <w:r w:rsidR="00156621">
        <w:fldChar w:fldCharType="separate"/>
      </w:r>
      <w:r w:rsidR="000967CF">
        <w:rPr>
          <w:noProof/>
        </w:rPr>
        <w:t>(2016)</w:t>
      </w:r>
      <w:r w:rsidR="00156621">
        <w:fldChar w:fldCharType="end"/>
      </w:r>
      <w:r w:rsidRPr="00A357CA">
        <w:t xml:space="preserve"> investigated the detection of serum AQP4-Abs, and compared the diagnostic performance of 21 assays (including live, fixed and flow cytometry cell-based assays) in 15 diagnostic centres in Europe. Of these 21 assays, three were live cell-based assays, 10 fixed commercial cell-based assays (three were run in-house by the manufacturer and seven at other diagnostic centres) and four flow cytometry assays</w:t>
      </w:r>
      <w:r w:rsidR="0066436D">
        <w:t xml:space="preserve"> (FACS)</w:t>
      </w:r>
      <w:r w:rsidRPr="00A357CA">
        <w:t xml:space="preserve">. A further study </w:t>
      </w:r>
      <w:r w:rsidR="00156621">
        <w:fldChar w:fldCharType="begin">
          <w:fldData xml:space="preserve">PEVuZE5vdGU+PENpdGU+PEF1dGhvcj5KYXJpdXM8L0F1dGhvcj48WWVhcj4yMDEwPC9ZZWFyPjxS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</w:fldData>
        </w:fldChar>
      </w:r>
      <w:r w:rsidR="00D96694">
        <w:instrText xml:space="preserve"> ADDIN EN.CITE </w:instrText>
      </w:r>
      <w:r w:rsidR="00D96694">
        <w:fldChar w:fldCharType="begin">
          <w:fldData xml:space="preserve">PEVuZE5vdGU+PENpdGU+PEF1dGhvcj5KYXJpdXM8L0F1dGhvcj48WWVhcj4yMDEwPC9ZZWFyPjxS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</w:fldData>
        </w:fldChar>
      </w:r>
      <w:r w:rsidR="00D96694">
        <w:instrText xml:space="preserve"> ADDIN EN.CITE.DATA </w:instrText>
      </w:r>
      <w:r w:rsidR="00D96694">
        <w:fldChar w:fldCharType="end"/>
      </w:r>
      <w:r w:rsidR="00156621">
        <w:fldChar w:fldCharType="separate"/>
      </w:r>
      <w:r w:rsidR="00AC01FD">
        <w:rPr>
          <w:noProof/>
        </w:rPr>
        <w:t>(Jarius et al. 2010)</w:t>
      </w:r>
      <w:r w:rsidR="00156621">
        <w:fldChar w:fldCharType="end"/>
      </w:r>
      <w:r w:rsidRPr="00A357CA">
        <w:t xml:space="preserve"> investigated testing for </w:t>
      </w:r>
      <w:r w:rsidRPr="00A357CA">
        <w:lastRenderedPageBreak/>
        <w:t xml:space="preserve">AQP4-Abs in CSF with a fixed cell-based assay, and used paired CSF/serum specimens to investigate the diagnostic relevance of CSF compared to serum AQP4-Ab testing in patients from Germany, Austria and Italy. Due to lack of a reference standard for diagnostic accuracy, only a concordance analysis between cell-based assays could be reported.  </w:t>
      </w:r>
    </w:p>
    <w:p w14:paraId="3581FA5E" w14:textId="2F0D3C20" w:rsidR="0087025B" w:rsidRPr="00212C3C" w:rsidRDefault="0087025B" w:rsidP="00A87AE2">
      <w:pPr>
        <w:pStyle w:val="TableHeading"/>
        <w:rPr>
          <w:snapToGrid w:val="0"/>
        </w:rPr>
      </w:pPr>
      <w:bookmarkStart w:id="197" w:name="_Ref30686824"/>
      <w:bookmarkStart w:id="198" w:name="_Toc39580797"/>
      <w:r w:rsidRPr="00212C3C">
        <w:t xml:space="preserve">Table </w:t>
      </w:r>
      <w:r w:rsidRPr="00212C3C">
        <w:fldChar w:fldCharType="begin"/>
      </w:r>
      <w:r w:rsidRPr="00212C3C">
        <w:instrText xml:space="preserve"> SEQ Table \* ARABIC </w:instrText>
      </w:r>
      <w:r w:rsidRPr="00212C3C">
        <w:fldChar w:fldCharType="separate"/>
      </w:r>
      <w:r w:rsidR="00FA7BCD">
        <w:rPr>
          <w:noProof/>
        </w:rPr>
        <w:t>16</w:t>
      </w:r>
      <w:r w:rsidRPr="00212C3C">
        <w:rPr>
          <w:noProof/>
        </w:rPr>
        <w:fldChar w:fldCharType="end"/>
      </w:r>
      <w:bookmarkEnd w:id="196"/>
      <w:bookmarkEnd w:id="197"/>
      <w:r w:rsidRPr="00212C3C">
        <w:tab/>
      </w:r>
      <w:r w:rsidRPr="00212C3C">
        <w:rPr>
          <w:snapToGrid w:val="0"/>
        </w:rPr>
        <w:t>Key features of the evidence comparing the sensitivity and specificity of various cell-based assays</w:t>
      </w:r>
      <w:bookmarkEnd w:id="198"/>
      <w:r w:rsidRPr="00212C3C">
        <w:rPr>
          <w:snapToGrid w:val="0"/>
        </w:rPr>
        <w:t xml:space="preserve"> </w:t>
      </w:r>
    </w:p>
    <w:tbl>
      <w:tblPr>
        <w:tblStyle w:val="TableGrid1"/>
        <w:tblW w:w="4985" w:type="pct"/>
        <w:tblLayout w:type="fixed"/>
        <w:tblCellMar>
          <w:left w:w="28" w:type="dxa"/>
          <w:right w:w="28" w:type="dxa"/>
        </w:tblCellMar>
        <w:tblLook w:val="04A0" w:firstRow="1" w:lastRow="0" w:firstColumn="1" w:lastColumn="0" w:noHBand="0" w:noVBand="1"/>
        <w:tblCaption w:val="Table 16 Key features of the evidence comparing the sensitivity and specificity of various cell-based assays "/>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709"/>
        <w:gridCol w:w="1375"/>
        <w:gridCol w:w="784"/>
        <w:gridCol w:w="816"/>
        <w:gridCol w:w="2407"/>
        <w:gridCol w:w="1658"/>
        <w:gridCol w:w="1240"/>
      </w:tblGrid>
      <w:tr w:rsidR="00DF1AA3" w:rsidRPr="00DF1AA3" w14:paraId="55C8BE85" w14:textId="77777777" w:rsidTr="00FC2669">
        <w:trPr>
          <w:cnfStyle w:val="100000000000" w:firstRow="1" w:lastRow="0" w:firstColumn="0" w:lastColumn="0" w:oddVBand="0" w:evenVBand="0" w:oddHBand="0" w:evenHBand="0" w:firstRowFirstColumn="0" w:firstRowLastColumn="0" w:lastRowFirstColumn="0" w:lastRowLastColumn="0"/>
          <w:tblHeader/>
        </w:trPr>
        <w:tc>
          <w:tcPr>
            <w:tcW w:w="394" w:type="pct"/>
            <w:shd w:val="clear" w:color="auto" w:fill="auto"/>
            <w:vAlign w:val="center"/>
          </w:tcPr>
          <w:p w14:paraId="566EB194" w14:textId="77777777" w:rsidR="00DF1AA3" w:rsidRPr="00DF1AA3" w:rsidRDefault="00DF1AA3" w:rsidP="00DF1AA3">
            <w:pPr>
              <w:keepNext/>
              <w:spacing w:after="0"/>
              <w:contextualSpacing/>
              <w:jc w:val="left"/>
              <w:rPr>
                <w:rFonts w:ascii="Arial Narrow" w:hAnsi="Arial Narrow"/>
                <w:b/>
                <w:snapToGrid w:val="0"/>
                <w:lang w:eastAsia="en-US"/>
              </w:rPr>
            </w:pPr>
            <w:r w:rsidRPr="00DF1AA3">
              <w:rPr>
                <w:rFonts w:ascii="Arial Narrow" w:hAnsi="Arial Narrow"/>
                <w:b/>
                <w:snapToGrid w:val="0"/>
                <w:lang w:eastAsia="en-US"/>
              </w:rPr>
              <w:t>Trial/</w:t>
            </w:r>
            <w:r w:rsidRPr="00DF1AA3">
              <w:rPr>
                <w:rFonts w:ascii="Arial Narrow" w:hAnsi="Arial Narrow"/>
                <w:b/>
                <w:snapToGrid w:val="0"/>
                <w:lang w:eastAsia="en-US"/>
              </w:rPr>
              <w:br/>
              <w:t>Study</w:t>
            </w:r>
          </w:p>
        </w:tc>
        <w:tc>
          <w:tcPr>
            <w:tcW w:w="765" w:type="pct"/>
            <w:shd w:val="clear" w:color="auto" w:fill="auto"/>
            <w:vAlign w:val="center"/>
          </w:tcPr>
          <w:p w14:paraId="6F9F54E7" w14:textId="77777777" w:rsidR="00DF1AA3" w:rsidRPr="00DF1AA3" w:rsidRDefault="00DF1AA3" w:rsidP="00DF1AA3">
            <w:pPr>
              <w:keepNext/>
              <w:spacing w:after="0"/>
              <w:contextualSpacing/>
              <w:jc w:val="left"/>
              <w:rPr>
                <w:rFonts w:ascii="Arial Narrow" w:hAnsi="Arial Narrow"/>
                <w:b/>
                <w:snapToGrid w:val="0"/>
                <w:lang w:eastAsia="en-US"/>
              </w:rPr>
            </w:pPr>
            <w:r w:rsidRPr="00DF1AA3">
              <w:rPr>
                <w:rFonts w:ascii="Arial Narrow" w:hAnsi="Arial Narrow"/>
                <w:b/>
                <w:snapToGrid w:val="0"/>
                <w:lang w:eastAsia="en-US"/>
              </w:rPr>
              <w:t>N</w:t>
            </w:r>
          </w:p>
        </w:tc>
        <w:tc>
          <w:tcPr>
            <w:tcW w:w="436" w:type="pct"/>
            <w:shd w:val="clear" w:color="auto" w:fill="auto"/>
            <w:vAlign w:val="center"/>
          </w:tcPr>
          <w:p w14:paraId="4E890F76" w14:textId="77777777" w:rsidR="00DF1AA3" w:rsidRPr="00DF1AA3" w:rsidRDefault="00DF1AA3" w:rsidP="00DF1AA3">
            <w:pPr>
              <w:keepNext/>
              <w:spacing w:after="0"/>
              <w:contextualSpacing/>
              <w:jc w:val="left"/>
              <w:rPr>
                <w:rFonts w:ascii="Arial Narrow" w:hAnsi="Arial Narrow"/>
                <w:b/>
                <w:snapToGrid w:val="0"/>
                <w:lang w:eastAsia="en-US"/>
              </w:rPr>
            </w:pPr>
            <w:r w:rsidRPr="00DF1AA3">
              <w:rPr>
                <w:rFonts w:ascii="Arial Narrow" w:hAnsi="Arial Narrow"/>
                <w:b/>
                <w:snapToGrid w:val="0"/>
                <w:lang w:eastAsia="en-US"/>
              </w:rPr>
              <w:t>Level of evidence</w:t>
            </w:r>
          </w:p>
        </w:tc>
        <w:tc>
          <w:tcPr>
            <w:tcW w:w="454" w:type="pct"/>
            <w:shd w:val="clear" w:color="auto" w:fill="auto"/>
            <w:vAlign w:val="center"/>
          </w:tcPr>
          <w:p w14:paraId="7B231148" w14:textId="77777777" w:rsidR="00DF1AA3" w:rsidRPr="00DF1AA3" w:rsidRDefault="00DF1AA3" w:rsidP="00DF1AA3">
            <w:pPr>
              <w:keepNext/>
              <w:spacing w:after="0"/>
              <w:contextualSpacing/>
              <w:jc w:val="left"/>
              <w:rPr>
                <w:rFonts w:ascii="Arial Narrow" w:hAnsi="Arial Narrow"/>
                <w:b/>
                <w:snapToGrid w:val="0"/>
                <w:lang w:eastAsia="en-US"/>
              </w:rPr>
            </w:pPr>
            <w:r w:rsidRPr="00DF1AA3">
              <w:rPr>
                <w:rFonts w:ascii="Arial Narrow" w:hAnsi="Arial Narrow"/>
                <w:b/>
                <w:snapToGrid w:val="0"/>
                <w:lang w:eastAsia="en-US"/>
              </w:rPr>
              <w:t>Risk of bias</w:t>
            </w:r>
          </w:p>
        </w:tc>
        <w:tc>
          <w:tcPr>
            <w:tcW w:w="1339" w:type="pct"/>
            <w:shd w:val="clear" w:color="auto" w:fill="auto"/>
            <w:vAlign w:val="center"/>
          </w:tcPr>
          <w:p w14:paraId="0B5AFB2F" w14:textId="77777777" w:rsidR="00DF1AA3" w:rsidRPr="00DF1AA3" w:rsidRDefault="00DF1AA3" w:rsidP="00DF1AA3">
            <w:pPr>
              <w:keepNext/>
              <w:spacing w:after="0"/>
              <w:contextualSpacing/>
              <w:jc w:val="left"/>
              <w:rPr>
                <w:rFonts w:ascii="Arial Narrow" w:hAnsi="Arial Narrow"/>
                <w:b/>
                <w:snapToGrid w:val="0"/>
                <w:lang w:eastAsia="en-US"/>
              </w:rPr>
            </w:pPr>
            <w:r w:rsidRPr="00DF1AA3">
              <w:rPr>
                <w:rFonts w:ascii="Arial Narrow" w:hAnsi="Arial Narrow"/>
                <w:b/>
                <w:snapToGrid w:val="0"/>
                <w:lang w:eastAsia="en-US"/>
              </w:rPr>
              <w:t>Patient population</w:t>
            </w:r>
          </w:p>
        </w:tc>
        <w:tc>
          <w:tcPr>
            <w:tcW w:w="922" w:type="pct"/>
            <w:shd w:val="clear" w:color="auto" w:fill="auto"/>
            <w:vAlign w:val="center"/>
          </w:tcPr>
          <w:p w14:paraId="3C62EFA6" w14:textId="77777777" w:rsidR="00DF1AA3" w:rsidRPr="00DF1AA3" w:rsidRDefault="00DF1AA3" w:rsidP="00DF1AA3">
            <w:pPr>
              <w:keepNext/>
              <w:spacing w:after="0"/>
              <w:contextualSpacing/>
              <w:jc w:val="left"/>
              <w:rPr>
                <w:rFonts w:ascii="Arial Narrow" w:hAnsi="Arial Narrow"/>
                <w:b/>
                <w:snapToGrid w:val="0"/>
                <w:lang w:eastAsia="en-US"/>
              </w:rPr>
            </w:pPr>
            <w:r w:rsidRPr="00DF1AA3">
              <w:rPr>
                <w:rFonts w:ascii="Arial Narrow" w:hAnsi="Arial Narrow"/>
                <w:b/>
                <w:snapToGrid w:val="0"/>
                <w:lang w:eastAsia="en-US"/>
              </w:rPr>
              <w:t>Key outcome(s)</w:t>
            </w:r>
          </w:p>
        </w:tc>
        <w:tc>
          <w:tcPr>
            <w:tcW w:w="690" w:type="pct"/>
            <w:shd w:val="clear" w:color="auto" w:fill="auto"/>
            <w:vAlign w:val="center"/>
          </w:tcPr>
          <w:p w14:paraId="3A908846" w14:textId="77777777" w:rsidR="00DF1AA3" w:rsidRPr="00DF1AA3" w:rsidRDefault="00DF1AA3" w:rsidP="00DF1AA3">
            <w:pPr>
              <w:keepNext/>
              <w:spacing w:after="0"/>
              <w:contextualSpacing/>
              <w:jc w:val="left"/>
              <w:rPr>
                <w:rFonts w:ascii="Arial Narrow" w:hAnsi="Arial Narrow"/>
                <w:b/>
                <w:snapToGrid w:val="0"/>
                <w:lang w:eastAsia="en-US"/>
              </w:rPr>
            </w:pPr>
            <w:r w:rsidRPr="00DF1AA3">
              <w:rPr>
                <w:rFonts w:ascii="Arial Narrow" w:hAnsi="Arial Narrow"/>
                <w:b/>
                <w:snapToGrid w:val="0"/>
                <w:lang w:eastAsia="en-US"/>
              </w:rPr>
              <w:t>Result used in meta-analysis</w:t>
            </w:r>
          </w:p>
        </w:tc>
      </w:tr>
      <w:tr w:rsidR="00DF1AA3" w:rsidRPr="00DF1AA3" w14:paraId="29094CD8" w14:textId="77777777" w:rsidTr="00FC2669">
        <w:tc>
          <w:tcPr>
            <w:tcW w:w="394" w:type="pct"/>
            <w:shd w:val="clear" w:color="auto" w:fill="auto"/>
            <w:vAlign w:val="center"/>
          </w:tcPr>
          <w:p w14:paraId="1141CD09"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Jarius et al. 2010</w:t>
            </w:r>
          </w:p>
        </w:tc>
        <w:tc>
          <w:tcPr>
            <w:tcW w:w="765" w:type="pct"/>
            <w:shd w:val="clear" w:color="auto" w:fill="auto"/>
            <w:vAlign w:val="center"/>
          </w:tcPr>
          <w:p w14:paraId="24638825"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 xml:space="preserve">37 NMOSD (31 sero +ve and 14 sero –ve) </w:t>
            </w:r>
          </w:p>
        </w:tc>
        <w:tc>
          <w:tcPr>
            <w:tcW w:w="436" w:type="pct"/>
            <w:shd w:val="clear" w:color="auto" w:fill="auto"/>
            <w:vAlign w:val="center"/>
          </w:tcPr>
          <w:p w14:paraId="196ABDEC"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III-3</w:t>
            </w:r>
          </w:p>
        </w:tc>
        <w:tc>
          <w:tcPr>
            <w:tcW w:w="454" w:type="pct"/>
            <w:shd w:val="clear" w:color="auto" w:fill="auto"/>
            <w:vAlign w:val="center"/>
          </w:tcPr>
          <w:p w14:paraId="2F04CF57"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Moderate</w:t>
            </w:r>
          </w:p>
        </w:tc>
        <w:tc>
          <w:tcPr>
            <w:tcW w:w="1339" w:type="pct"/>
            <w:shd w:val="clear" w:color="auto" w:fill="auto"/>
            <w:vAlign w:val="center"/>
          </w:tcPr>
          <w:p w14:paraId="669316D1"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Patients from Germany, Austria and Italy with NMOSD and controls with MS and other neurological diseases</w:t>
            </w:r>
          </w:p>
        </w:tc>
        <w:tc>
          <w:tcPr>
            <w:tcW w:w="922" w:type="pct"/>
            <w:shd w:val="clear" w:color="auto" w:fill="auto"/>
            <w:vAlign w:val="center"/>
          </w:tcPr>
          <w:p w14:paraId="33DF4471"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Sensitivity/Specificity  of CSF and serum AQP4-Ab cell-based assays</w:t>
            </w:r>
          </w:p>
        </w:tc>
        <w:tc>
          <w:tcPr>
            <w:tcW w:w="690" w:type="pct"/>
            <w:shd w:val="clear" w:color="auto" w:fill="auto"/>
            <w:vAlign w:val="center"/>
          </w:tcPr>
          <w:p w14:paraId="175167D6"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No</w:t>
            </w:r>
          </w:p>
        </w:tc>
      </w:tr>
      <w:tr w:rsidR="00DF1AA3" w:rsidRPr="00DF1AA3" w14:paraId="70D9ED26" w14:textId="77777777" w:rsidTr="00A81781">
        <w:tc>
          <w:tcPr>
            <w:tcW w:w="394" w:type="pct"/>
            <w:shd w:val="clear" w:color="auto" w:fill="auto"/>
            <w:vAlign w:val="center"/>
          </w:tcPr>
          <w:p w14:paraId="64D5B49C" w14:textId="77777777" w:rsidR="00DF1AA3" w:rsidRPr="00DF1AA3" w:rsidRDefault="00DF1AA3" w:rsidP="00DF1AA3">
            <w:pPr>
              <w:spacing w:after="0"/>
              <w:contextualSpacing/>
              <w:jc w:val="left"/>
              <w:rPr>
                <w:rFonts w:ascii="Arial Narrow" w:hAnsi="Arial Narrow"/>
                <w:snapToGrid w:val="0"/>
                <w:highlight w:val="cyan"/>
                <w:lang w:eastAsia="en-US"/>
              </w:rPr>
            </w:pPr>
            <w:r w:rsidRPr="00DF1AA3">
              <w:rPr>
                <w:rFonts w:ascii="Arial Narrow" w:hAnsi="Arial Narrow"/>
                <w:snapToGrid w:val="0"/>
                <w:lang w:eastAsia="en-US"/>
              </w:rPr>
              <w:t>Waters et al. 2016</w:t>
            </w:r>
          </w:p>
        </w:tc>
        <w:tc>
          <w:tcPr>
            <w:tcW w:w="765" w:type="pct"/>
            <w:shd w:val="clear" w:color="auto" w:fill="auto"/>
            <w:vAlign w:val="center"/>
          </w:tcPr>
          <w:p w14:paraId="757EC313"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 xml:space="preserve">101 NMO/NMOSD (66 sero +ve and 35 sero –ve) </w:t>
            </w:r>
          </w:p>
        </w:tc>
        <w:tc>
          <w:tcPr>
            <w:tcW w:w="436" w:type="pct"/>
            <w:shd w:val="clear" w:color="auto" w:fill="auto"/>
            <w:vAlign w:val="center"/>
          </w:tcPr>
          <w:p w14:paraId="1B0E9A27"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III-3</w:t>
            </w:r>
          </w:p>
        </w:tc>
        <w:tc>
          <w:tcPr>
            <w:tcW w:w="454" w:type="pct"/>
            <w:shd w:val="clear" w:color="auto" w:fill="auto"/>
            <w:vAlign w:val="center"/>
          </w:tcPr>
          <w:p w14:paraId="1A3C9387"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High</w:t>
            </w:r>
          </w:p>
        </w:tc>
        <w:tc>
          <w:tcPr>
            <w:tcW w:w="1339" w:type="pct"/>
            <w:shd w:val="clear" w:color="auto" w:fill="auto"/>
            <w:vAlign w:val="center"/>
          </w:tcPr>
          <w:p w14:paraId="20F44EDA" w14:textId="77777777" w:rsidR="00DF1AA3" w:rsidRPr="00DF1AA3" w:rsidRDefault="00DF1AA3" w:rsidP="00DF1AA3">
            <w:pPr>
              <w:spacing w:after="0"/>
              <w:contextualSpacing/>
              <w:jc w:val="left"/>
              <w:rPr>
                <w:rFonts w:ascii="Arial Narrow" w:hAnsi="Arial Narrow"/>
                <w:snapToGrid w:val="0"/>
                <w:lang w:eastAsia="en-US"/>
              </w:rPr>
            </w:pPr>
            <w:r w:rsidRPr="00DF1AA3">
              <w:rPr>
                <w:rFonts w:ascii="Arial Narrow" w:hAnsi="Arial Narrow"/>
                <w:snapToGrid w:val="0"/>
                <w:lang w:eastAsia="en-US"/>
              </w:rPr>
              <w:t>Patients with AQP4-Ab positive or negative NMO/NMOSD and controls with MS or other neurological conditions, diagnosed in 15 diagnostic centres in Europe</w:t>
            </w:r>
          </w:p>
        </w:tc>
        <w:tc>
          <w:tcPr>
            <w:tcW w:w="922" w:type="pct"/>
            <w:shd w:val="clear" w:color="auto" w:fill="auto"/>
          </w:tcPr>
          <w:p w14:paraId="5781CC7F" w14:textId="77777777" w:rsidR="00DF1AA3" w:rsidRPr="00DF1AA3" w:rsidRDefault="00DF1AA3" w:rsidP="00A81781">
            <w:pPr>
              <w:spacing w:after="0"/>
              <w:contextualSpacing/>
              <w:jc w:val="left"/>
              <w:rPr>
                <w:rFonts w:ascii="Arial Narrow" w:hAnsi="Arial Narrow"/>
                <w:snapToGrid w:val="0"/>
                <w:lang w:eastAsia="en-US"/>
              </w:rPr>
            </w:pPr>
            <w:r w:rsidRPr="00DF1AA3">
              <w:rPr>
                <w:rFonts w:ascii="Arial Narrow" w:hAnsi="Arial Narrow"/>
                <w:snapToGrid w:val="0"/>
                <w:lang w:eastAsia="en-US"/>
              </w:rPr>
              <w:t>Sensitivity/Specificity of 21 serum assays including cell-based assays (live, fixed and FACS)</w:t>
            </w:r>
          </w:p>
        </w:tc>
        <w:tc>
          <w:tcPr>
            <w:tcW w:w="690" w:type="pct"/>
            <w:shd w:val="clear" w:color="auto" w:fill="auto"/>
            <w:vAlign w:val="center"/>
          </w:tcPr>
          <w:p w14:paraId="298F1308" w14:textId="77777777" w:rsidR="00DF1AA3" w:rsidRPr="00DF1AA3" w:rsidRDefault="00DF1AA3" w:rsidP="00DF1AA3">
            <w:pPr>
              <w:spacing w:after="0"/>
              <w:contextualSpacing/>
              <w:jc w:val="left"/>
              <w:rPr>
                <w:rFonts w:ascii="Arial Narrow" w:hAnsi="Arial Narrow"/>
                <w:snapToGrid w:val="0"/>
                <w:highlight w:val="green"/>
                <w:lang w:eastAsia="en-US"/>
              </w:rPr>
            </w:pPr>
            <w:r w:rsidRPr="00DF1AA3">
              <w:rPr>
                <w:rFonts w:ascii="Arial Narrow" w:hAnsi="Arial Narrow"/>
                <w:snapToGrid w:val="0"/>
                <w:lang w:eastAsia="en-US"/>
              </w:rPr>
              <w:t>No</w:t>
            </w:r>
          </w:p>
        </w:tc>
      </w:tr>
    </w:tbl>
    <w:p w14:paraId="736BC370" w14:textId="77777777" w:rsidR="00DF1AA3" w:rsidRPr="00212C3C" w:rsidRDefault="00DF1AA3" w:rsidP="00DF1AA3">
      <w:pPr>
        <w:widowControl w:val="0"/>
        <w:spacing w:after="0" w:line="240" w:lineRule="auto"/>
        <w:rPr>
          <w:rFonts w:ascii="Arial Narrow" w:hAnsi="Arial Narrow" w:cs="Arial"/>
          <w:snapToGrid w:val="0"/>
          <w:sz w:val="18"/>
          <w:szCs w:val="20"/>
        </w:rPr>
      </w:pPr>
      <w:r w:rsidRPr="00212C3C">
        <w:rPr>
          <w:rFonts w:ascii="Arial Narrow" w:hAnsi="Arial Narrow" w:cs="Arial"/>
          <w:snapToGrid w:val="0"/>
          <w:sz w:val="18"/>
          <w:szCs w:val="20"/>
        </w:rPr>
        <w:t xml:space="preserve">AQP4-Ab = aquaporin 4 antibodies; CSF = cerebrospinal fluid; FACS = </w:t>
      </w:r>
      <w:r w:rsidRPr="006401CF">
        <w:rPr>
          <w:rFonts w:ascii="Arial Narrow" w:hAnsi="Arial Narrow" w:cs="Arial"/>
          <w:snapToGrid w:val="0"/>
          <w:sz w:val="18"/>
          <w:szCs w:val="20"/>
          <w:lang w:eastAsia="en-US"/>
        </w:rPr>
        <w:t>fluorescence-activated cell sorting</w:t>
      </w:r>
      <w:r>
        <w:rPr>
          <w:rFonts w:ascii="Arial Narrow" w:hAnsi="Arial Narrow" w:cs="Arial"/>
          <w:snapToGrid w:val="0"/>
          <w:sz w:val="18"/>
          <w:szCs w:val="20"/>
          <w:lang w:eastAsia="en-US"/>
        </w:rPr>
        <w:t xml:space="preserve"> (flow cytometry)</w:t>
      </w:r>
      <w:r w:rsidRPr="00212C3C">
        <w:rPr>
          <w:rFonts w:ascii="Arial Narrow" w:hAnsi="Arial Narrow" w:cs="Arial"/>
          <w:snapToGrid w:val="0"/>
          <w:sz w:val="18"/>
          <w:szCs w:val="20"/>
        </w:rPr>
        <w:t xml:space="preserve">; MS = multiple sclerosis; NMO = neuromyelitis optica; NMOSD = neuromyelitis optica spectrum disorders </w:t>
      </w:r>
    </w:p>
    <w:p w14:paraId="08358A9D" w14:textId="77777777" w:rsidR="00DF1AA3" w:rsidRPr="00212C3C" w:rsidRDefault="00DF1AA3" w:rsidP="00DF1AA3">
      <w:pPr>
        <w:widowControl w:val="0"/>
        <w:spacing w:after="0" w:line="240" w:lineRule="auto"/>
        <w:rPr>
          <w:rFonts w:ascii="Arial Narrow" w:hAnsi="Arial Narrow" w:cs="Arial"/>
          <w:snapToGrid w:val="0"/>
          <w:sz w:val="18"/>
          <w:szCs w:val="20"/>
        </w:rPr>
      </w:pPr>
      <w:r w:rsidRPr="00212C3C">
        <w:rPr>
          <w:rFonts w:ascii="Arial Narrow" w:hAnsi="Arial Narrow" w:cs="Arial"/>
          <w:snapToGrid w:val="0"/>
          <w:sz w:val="18"/>
          <w:szCs w:val="20"/>
        </w:rPr>
        <w:t>II=a study of test accuracy with an independent, blinded comparison with a valid reference standard, among consecutive patients with a defined clinical presentation</w:t>
      </w:r>
    </w:p>
    <w:p w14:paraId="0913644F" w14:textId="77777777" w:rsidR="00DF1AA3" w:rsidRPr="00212C3C" w:rsidRDefault="00DF1AA3" w:rsidP="00DF1AA3">
      <w:pPr>
        <w:widowControl w:val="0"/>
        <w:spacing w:after="0" w:line="240" w:lineRule="auto"/>
        <w:rPr>
          <w:rFonts w:ascii="Arial Narrow" w:hAnsi="Arial Narrow" w:cs="Arial"/>
          <w:snapToGrid w:val="0"/>
          <w:sz w:val="18"/>
          <w:szCs w:val="20"/>
        </w:rPr>
      </w:pPr>
      <w:r w:rsidRPr="00212C3C">
        <w:rPr>
          <w:rFonts w:ascii="Arial Narrow" w:hAnsi="Arial Narrow" w:cs="Arial"/>
          <w:snapToGrid w:val="0"/>
          <w:sz w:val="18"/>
          <w:szCs w:val="20"/>
        </w:rPr>
        <w:t>III-1=at study of test accuracy with an independent blinded comparison with a valid reference standard, among non-consecutive persons with a defined clinical presentation</w:t>
      </w:r>
    </w:p>
    <w:p w14:paraId="47FBD1D0" w14:textId="77777777" w:rsidR="00DF1AA3" w:rsidRPr="00212C3C" w:rsidRDefault="00DF1AA3" w:rsidP="00DF1AA3">
      <w:pPr>
        <w:widowControl w:val="0"/>
        <w:spacing w:after="0" w:line="240" w:lineRule="auto"/>
        <w:rPr>
          <w:rFonts w:ascii="Arial Narrow" w:hAnsi="Arial Narrow" w:cs="Arial"/>
          <w:snapToGrid w:val="0"/>
          <w:sz w:val="18"/>
          <w:szCs w:val="20"/>
        </w:rPr>
      </w:pPr>
      <w:r w:rsidRPr="00212C3C">
        <w:rPr>
          <w:rFonts w:ascii="Arial Narrow" w:hAnsi="Arial Narrow" w:cs="Arial"/>
          <w:snapToGrid w:val="0"/>
          <w:sz w:val="18"/>
          <w:szCs w:val="20"/>
        </w:rPr>
        <w:t>III-2=a comparison with reference standard that does not meet the criteria for level II and III-1 evidence</w:t>
      </w:r>
    </w:p>
    <w:p w14:paraId="22ACEB5C" w14:textId="77777777" w:rsidR="00DF1AA3" w:rsidRPr="00212C3C" w:rsidRDefault="00DF1AA3" w:rsidP="00DF1AA3">
      <w:pPr>
        <w:widowControl w:val="0"/>
        <w:spacing w:after="0" w:line="240" w:lineRule="auto"/>
        <w:rPr>
          <w:rFonts w:ascii="Arial Narrow" w:hAnsi="Arial Narrow" w:cs="Arial"/>
          <w:snapToGrid w:val="0"/>
          <w:sz w:val="18"/>
          <w:szCs w:val="20"/>
        </w:rPr>
      </w:pPr>
      <w:r w:rsidRPr="00212C3C">
        <w:rPr>
          <w:rFonts w:ascii="Arial Narrow" w:hAnsi="Arial Narrow" w:cs="Arial"/>
          <w:snapToGrid w:val="0"/>
          <w:sz w:val="18"/>
          <w:szCs w:val="20"/>
        </w:rPr>
        <w:t>III-3=diagnostic case-control study</w:t>
      </w:r>
    </w:p>
    <w:p w14:paraId="5ECDF73F" w14:textId="77777777" w:rsidR="0087025B" w:rsidRDefault="00DF1AA3" w:rsidP="00DF1AA3">
      <w:r w:rsidRPr="00212C3C">
        <w:rPr>
          <w:rFonts w:ascii="Arial Narrow" w:hAnsi="Arial Narrow" w:cs="Arial"/>
          <w:snapToGrid w:val="0"/>
          <w:sz w:val="18"/>
          <w:szCs w:val="20"/>
        </w:rPr>
        <w:t>IV=study of diagnostic yield (no reference standard)</w:t>
      </w:r>
    </w:p>
    <w:p w14:paraId="1E930906" w14:textId="77777777" w:rsidR="00DF1AA3" w:rsidRPr="00DF1AA3" w:rsidRDefault="00DF1AA3" w:rsidP="00DF1AA3">
      <w:r w:rsidRPr="00DF1AA3">
        <w:t xml:space="preserve">Two ‘non-systematic’ reviews that reported the sensitivity and specificity of AQP4-Ab detection assays, (including cell-based assays) </w:t>
      </w:r>
      <w:r w:rsidR="00484EB6">
        <w:t xml:space="preserve">were </w:t>
      </w:r>
      <w:r w:rsidRPr="00DF1AA3">
        <w:t>identified, but not included.</w:t>
      </w:r>
    </w:p>
    <w:p w14:paraId="09CDFC8E" w14:textId="5920FF6F" w:rsidR="00DF1AA3" w:rsidRPr="00DF1AA3" w:rsidRDefault="000D5C44" w:rsidP="00DF1AA3">
      <w:r>
        <w:t>The first was a</w:t>
      </w:r>
      <w:r w:rsidR="00DF1AA3" w:rsidRPr="00DF1AA3">
        <w:t xml:space="preserve"> review by Ruiz-Gaviria et al. </w:t>
      </w:r>
      <w:r w:rsidR="00156621">
        <w:fldChar w:fldCharType="begin">
          <w:fldData xml:space="preserve">PEVuZE5vdGU+PENpdGU+PEF1dGhvcj5SdWl6LUdhdmlyaWE8L0F1dGhvcj48WWVhcj4yMDE1PC9Z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</w:fldData>
        </w:fldChar>
      </w:r>
      <w:r w:rsidR="00D96694">
        <w:instrText xml:space="preserve"> ADDIN EN.CITE </w:instrText>
      </w:r>
      <w:r w:rsidR="00D96694">
        <w:fldChar w:fldCharType="begin">
          <w:fldData xml:space="preserve">PEVuZE5vdGU+PENpdGU+PEF1dGhvcj5SdWl6LUdhdmlyaWE8L0F1dGhvcj48WWVhcj4yMDE1PC9Z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</w:fldData>
        </w:fldChar>
      </w:r>
      <w:r w:rsidR="00D96694">
        <w:instrText xml:space="preserve"> ADDIN EN.CITE.DATA </w:instrText>
      </w:r>
      <w:r w:rsidR="00D96694">
        <w:fldChar w:fldCharType="end"/>
      </w:r>
      <w:r w:rsidR="00156621">
        <w:fldChar w:fldCharType="separate"/>
      </w:r>
      <w:r w:rsidR="00156621">
        <w:rPr>
          <w:noProof/>
        </w:rPr>
        <w:t>(Ruiz-Gaviria et al. 2015)</w:t>
      </w:r>
      <w:r w:rsidR="00156621">
        <w:fldChar w:fldCharType="end"/>
      </w:r>
      <w:r>
        <w:t xml:space="preserve"> that </w:t>
      </w:r>
      <w:r w:rsidR="00DF1AA3" w:rsidRPr="00DF1AA3">
        <w:t>included studies compar</w:t>
      </w:r>
      <w:r>
        <w:t>ing</w:t>
      </w:r>
      <w:r w:rsidR="00DF1AA3" w:rsidRPr="00DF1AA3">
        <w:t xml:space="preserve"> the sensitivity and specificity of different assays in the detection of serum AQP4-Abs, but used the Wingerchuk NMO diagnostic criteria (1999 and 2006) as the reference standard. There were no details of critical appraisal of the included studies. The </w:t>
      </w:r>
      <w:r>
        <w:t>second</w:t>
      </w:r>
      <w:r w:rsidR="00DF1AA3" w:rsidRPr="00DF1AA3">
        <w:t xml:space="preserve"> review</w:t>
      </w:r>
      <w:r>
        <w:t>,</w:t>
      </w:r>
      <w:r w:rsidR="00DF1AA3" w:rsidRPr="00DF1AA3">
        <w:t xml:space="preserve"> by Waters et al.</w:t>
      </w:r>
      <w:r>
        <w:t>,</w:t>
      </w:r>
      <w:r w:rsidR="00DF1AA3" w:rsidRPr="00DF1AA3">
        <w:t xml:space="preserve"> </w:t>
      </w:r>
      <w:r w:rsidR="00156621">
        <w:fldChar w:fldCharType="begin">
          <w:fldData xml:space="preserve">PEVuZE5vdGU+PENpdGU+PEF1dGhvcj5XYXRlcnM8L0F1dGhvcj48WWVhcj4yMDE0PC9ZZWFyPjxS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</w:fldData>
        </w:fldChar>
      </w:r>
      <w:r w:rsidR="000967CF">
        <w:instrText xml:space="preserve"> ADDIN EN.CITE </w:instrText>
      </w:r>
      <w:r w:rsidR="000967CF">
        <w:fldChar w:fldCharType="begin">
          <w:fldData xml:space="preserve">PEVuZE5vdGU+PENpdGU+PEF1dGhvcj5XYXRlcnM8L0F1dGhvcj48WWVhcj4yMDE0PC9ZZWFyPjxS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</w:fldData>
        </w:fldChar>
      </w:r>
      <w:r w:rsidR="000967CF">
        <w:instrText xml:space="preserve"> ADDIN EN.CITE.DATA </w:instrText>
      </w:r>
      <w:r w:rsidR="000967CF">
        <w:fldChar w:fldCharType="end"/>
      </w:r>
      <w:r w:rsidR="00156621">
        <w:fldChar w:fldCharType="separate"/>
      </w:r>
      <w:r w:rsidR="000967CF">
        <w:rPr>
          <w:noProof/>
        </w:rPr>
        <w:t>(2014)</w:t>
      </w:r>
      <w:r w:rsidR="00156621">
        <w:fldChar w:fldCharType="end"/>
      </w:r>
      <w:r w:rsidR="00DF1AA3" w:rsidRPr="00DF1AA3">
        <w:t xml:space="preserve"> searched only the PubMed bibliographic library database to locate studies that compared the sensitivities of serum AQP4-Ab assays, based on ‘positivity in clinically-defined NMO patients’, </w:t>
      </w:r>
      <w:r>
        <w:t>without</w:t>
      </w:r>
      <w:r w:rsidR="00DF1AA3" w:rsidRPr="00DF1AA3">
        <w:t xml:space="preserve"> further information. </w:t>
      </w:r>
      <w:r w:rsidR="00484AF3" w:rsidRPr="00DF1AA3">
        <w:t>In addition,</w:t>
      </w:r>
      <w:r w:rsidR="00DF1AA3" w:rsidRPr="00DF1AA3">
        <w:t xml:space="preserve"> specificity data w</w:t>
      </w:r>
      <w:r>
        <w:t>ere</w:t>
      </w:r>
      <w:r w:rsidR="00DF1AA3" w:rsidRPr="00DF1AA3">
        <w:t xml:space="preserve"> based </w:t>
      </w:r>
      <w:r w:rsidR="00860DFA">
        <w:t xml:space="preserve">only </w:t>
      </w:r>
      <w:r w:rsidR="00DF1AA3" w:rsidRPr="00DF1AA3">
        <w:t xml:space="preserve">on results from MS patients.  </w:t>
      </w:r>
    </w:p>
    <w:p w14:paraId="3E5E911A" w14:textId="44344B88" w:rsidR="00DF1AA3" w:rsidRPr="00DF1AA3" w:rsidRDefault="00DF1AA3" w:rsidP="00DF1AA3">
      <w:r w:rsidRPr="00DF1AA3">
        <w:t xml:space="preserve">A further study by Fryer et al. </w:t>
      </w:r>
      <w:r w:rsidR="00156621">
        <w:fldChar w:fldCharType="begin">
          <w:fldData xml:space="preserve">PEVuZE5vdGU+PENpdGU+PEF1dGhvcj5GcnllcjwvQXV0aG9yPjxZZWFyPjIwMTQ8L1llYXI+PFJl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</w:fldData>
        </w:fldChar>
      </w:r>
      <w:r w:rsidR="00156621">
        <w:instrText xml:space="preserve"> ADDIN EN.CITE </w:instrText>
      </w:r>
      <w:r w:rsidR="00156621">
        <w:fldChar w:fldCharType="begin">
          <w:fldData xml:space="preserve">PEVuZE5vdGU+PENpdGU+PEF1dGhvcj5GcnllcjwvQXV0aG9yPjxZZWFyPjIwMTQ8L1llYXI+PFJl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</w:fldData>
        </w:fldChar>
      </w:r>
      <w:r w:rsidR="00156621">
        <w:instrText xml:space="preserve"> ADDIN EN.CITE.DATA </w:instrText>
      </w:r>
      <w:r w:rsidR="00156621">
        <w:fldChar w:fldCharType="end"/>
      </w:r>
      <w:r w:rsidR="00156621">
        <w:fldChar w:fldCharType="separate"/>
      </w:r>
      <w:r w:rsidR="00156621">
        <w:rPr>
          <w:noProof/>
        </w:rPr>
        <w:t>(2014)</w:t>
      </w:r>
      <w:r w:rsidR="00156621">
        <w:fldChar w:fldCharType="end"/>
      </w:r>
      <w:r w:rsidRPr="00DF1AA3">
        <w:t xml:space="preserve"> compared the performance of serum AQP4-Ab assays in patients with NMOSD, but compared the test results with reference to physician-assigned pre-test diagnosis (based on Wingerchuk 2006 criteria). It was also not included in this report.</w:t>
      </w:r>
    </w:p>
    <w:p w14:paraId="4CF17127" w14:textId="77777777" w:rsidR="00DF1AA3" w:rsidRPr="00DF1AA3" w:rsidRDefault="00DF1AA3" w:rsidP="00DF1AA3">
      <w:r w:rsidRPr="00DF1AA3">
        <w:t xml:space="preserve">A full profile of each included study is given in </w:t>
      </w:r>
      <w:r w:rsidRPr="00D711F9">
        <w:fldChar w:fldCharType="begin"/>
      </w:r>
      <w:r w:rsidRPr="00D711F9">
        <w:instrText xml:space="preserve"> REF _Ref364237249 \h  \* MERGEFORMAT </w:instrText>
      </w:r>
      <w:r w:rsidRPr="00D711F9">
        <w:fldChar w:fldCharType="separate"/>
      </w:r>
      <w:r w:rsidR="0014371E" w:rsidRPr="00183E4D">
        <w:t xml:space="preserve">Appendix </w:t>
      </w:r>
      <w:r w:rsidR="0014371E">
        <w:t>C</w:t>
      </w:r>
      <w:r w:rsidRPr="00D711F9">
        <w:fldChar w:fldCharType="end"/>
      </w:r>
      <w:r w:rsidRPr="00DF1AA3">
        <w:t xml:space="preserve">. Those studies which technically met the inclusion criteria, but which were not included in the results section or meta-analyses, are listed in </w:t>
      </w:r>
      <w:r w:rsidRPr="00DF1AA3">
        <w:fldChar w:fldCharType="begin"/>
      </w:r>
      <w:r w:rsidRPr="00DF1AA3">
        <w:instrText xml:space="preserve"> REF _Ref364237293 \h </w:instrText>
      </w:r>
      <w:r w:rsidRPr="00DF1AA3">
        <w:fldChar w:fldCharType="separate"/>
      </w:r>
      <w:r w:rsidR="0014371E" w:rsidRPr="00183E4D">
        <w:t xml:space="preserve">Appendix </w:t>
      </w:r>
      <w:r w:rsidR="0014371E">
        <w:rPr>
          <w:noProof/>
        </w:rPr>
        <w:t>E</w:t>
      </w:r>
      <w:r w:rsidRPr="00DF1AA3">
        <w:fldChar w:fldCharType="end"/>
      </w:r>
      <w:r w:rsidRPr="00DF1AA3">
        <w:t>.</w:t>
      </w:r>
    </w:p>
    <w:p w14:paraId="658ED5C9" w14:textId="77777777" w:rsidR="00ED65EE" w:rsidRPr="00183E4D" w:rsidRDefault="00ED65EE" w:rsidP="003816F6">
      <w:pPr>
        <w:pStyle w:val="Heading2"/>
        <w:numPr>
          <w:ilvl w:val="1"/>
          <w:numId w:val="19"/>
        </w:numPr>
      </w:pPr>
      <w:bookmarkStart w:id="199" w:name="_Toc39588296"/>
      <w:r w:rsidRPr="00183E4D">
        <w:t>Outcome Measures and Analysis</w:t>
      </w:r>
      <w:bookmarkEnd w:id="199"/>
    </w:p>
    <w:p w14:paraId="33AC5A16" w14:textId="4840F66C" w:rsidR="00E4014B" w:rsidRPr="00E4014B" w:rsidRDefault="00E37849" w:rsidP="00E4014B">
      <w:r>
        <w:fldChar w:fldCharType="begin"/>
      </w:r>
      <w:r>
        <w:instrText xml:space="preserve"> REF _Ref190841600 \h </w:instrText>
      </w:r>
      <w:r>
        <w:fldChar w:fldCharType="separate"/>
      </w:r>
      <w:r w:rsidRPr="00183E4D">
        <w:t xml:space="preserve">Appendix </w:t>
      </w:r>
      <w:r>
        <w:rPr>
          <w:noProof/>
        </w:rPr>
        <w:t>C</w:t>
      </w:r>
      <w:r>
        <w:fldChar w:fldCharType="end"/>
      </w:r>
      <w:r>
        <w:t xml:space="preserve"> </w:t>
      </w:r>
      <w:r w:rsidR="000D6281">
        <w:t>contains</w:t>
      </w:r>
      <w:r w:rsidR="00E4014B" w:rsidRPr="00E4014B">
        <w:t xml:space="preserve"> details on the outcomes measured in the included studies, along with the statistical methods used to analyse the results.</w:t>
      </w:r>
    </w:p>
    <w:p w14:paraId="7608BE34" w14:textId="77777777" w:rsidR="00E4014B" w:rsidRPr="00E4014B" w:rsidRDefault="006B608B" w:rsidP="00E4014B">
      <w:r>
        <w:t>R</w:t>
      </w:r>
      <w:r w:rsidR="00E4014B" w:rsidRPr="00E4014B">
        <w:t>ather than extracting data from the included studies into classic 2 x 2 tables</w:t>
      </w:r>
      <w:r w:rsidRPr="006B608B">
        <w:t xml:space="preserve"> </w:t>
      </w:r>
      <w:r>
        <w:t>t</w:t>
      </w:r>
      <w:r w:rsidRPr="00E4014B">
        <w:t>o assess diagnostic accuracy of the proposed test</w:t>
      </w:r>
      <w:r w:rsidR="00E4014B" w:rsidRPr="00E4014B">
        <w:t>, the published sensitivity and specificity data w</w:t>
      </w:r>
      <w:r w:rsidR="00380E78">
        <w:t>ere</w:t>
      </w:r>
      <w:r w:rsidR="00E4014B" w:rsidRPr="00E4014B">
        <w:t xml:space="preserve"> used.</w:t>
      </w:r>
    </w:p>
    <w:p w14:paraId="4875C448" w14:textId="77777777" w:rsidR="00E4014B" w:rsidRPr="00E4014B" w:rsidRDefault="00E4014B" w:rsidP="00E4014B">
      <w:pPr>
        <w:spacing w:after="80"/>
      </w:pPr>
      <w:r w:rsidRPr="00E4014B">
        <w:lastRenderedPageBreak/>
        <w:t xml:space="preserve">As reported in section B3.1, a reference standard has not been defined, therefore the outcomes of interest reported for diagnostic performance of AQP4-Ab testing in serum and CSF were: </w:t>
      </w:r>
    </w:p>
    <w:p w14:paraId="68F7CD81" w14:textId="77777777" w:rsidR="00E4014B" w:rsidRPr="00E4014B" w:rsidRDefault="00E4014B" w:rsidP="003816F6">
      <w:pPr>
        <w:numPr>
          <w:ilvl w:val="0"/>
          <w:numId w:val="43"/>
        </w:numPr>
        <w:spacing w:after="80"/>
      </w:pPr>
      <w:r w:rsidRPr="00E4014B">
        <w:t>Positive percent agreement and (PPA)</w:t>
      </w:r>
    </w:p>
    <w:p w14:paraId="0593B56B" w14:textId="77777777" w:rsidR="00E4014B" w:rsidRPr="00E4014B" w:rsidRDefault="00E4014B" w:rsidP="003816F6">
      <w:pPr>
        <w:numPr>
          <w:ilvl w:val="0"/>
          <w:numId w:val="43"/>
        </w:numPr>
      </w:pPr>
      <w:r w:rsidRPr="00E4014B">
        <w:t>Negative percent agreement (NPA)</w:t>
      </w:r>
    </w:p>
    <w:p w14:paraId="0EA37E66" w14:textId="01C7D3D0" w:rsidR="00E4014B" w:rsidRDefault="00C053F5" w:rsidP="00E4014B">
      <w:r>
        <w:t xml:space="preserve">The estimation of PPA and NPA, rather than sensitivity and specificity, reflects that the estimates are not of accuracy but of agreement </w:t>
      </w:r>
      <w:r w:rsidR="00536304">
        <w:t xml:space="preserve">(concordance) </w:t>
      </w:r>
      <w:r>
        <w:t xml:space="preserve">between the three different serum </w:t>
      </w:r>
      <w:r w:rsidR="00E26536">
        <w:t>AQP4-Ab cell</w:t>
      </w:r>
      <w:r w:rsidR="008820FA">
        <w:t>-</w:t>
      </w:r>
      <w:r w:rsidR="00E26536">
        <w:t xml:space="preserve">based tests. </w:t>
      </w:r>
      <w:r w:rsidR="00E4014B" w:rsidRPr="00E4014B">
        <w:t xml:space="preserve">To determine agreement between the three different serum cell-based tests (live, fixed or FACS) and between serum versus CSF testing, data provided by the studies (positive predictive and negative predictive values) </w:t>
      </w:r>
      <w:r w:rsidR="00156621">
        <w:fldChar w:fldCharType="begin">
          <w:fldData xml:space="preserve">PEVuZE5vdGU+PENpdGU+PEF1dGhvcj5XYXRlcnM8L0F1dGhvcj48WWVhcj4yMDE2PC9ZZWFyPjxS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</w:fldData>
        </w:fldChar>
      </w:r>
      <w:r w:rsidR="000967CF">
        <w:instrText xml:space="preserve"> ADDIN EN.CITE </w:instrText>
      </w:r>
      <w:r w:rsidR="000967CF">
        <w:fldChar w:fldCharType="begin">
          <w:fldData xml:space="preserve">PEVuZE5vdGU+PENpdGU+PEF1dGhvcj5XYXRlcnM8L0F1dGhvcj48WWVhcj4yMDE2PC9ZZWFyPjxS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</w:fldData>
        </w:fldChar>
      </w:r>
      <w:r w:rsidR="000967CF">
        <w:instrText xml:space="preserve"> ADDIN EN.CITE.DATA </w:instrText>
      </w:r>
      <w:r w:rsidR="000967CF">
        <w:fldChar w:fldCharType="end"/>
      </w:r>
      <w:r w:rsidR="00156621">
        <w:fldChar w:fldCharType="separate"/>
      </w:r>
      <w:r w:rsidR="000967CF">
        <w:rPr>
          <w:noProof/>
        </w:rPr>
        <w:t>(Waters et al. 2016)</w:t>
      </w:r>
      <w:r w:rsidR="00156621">
        <w:fldChar w:fldCharType="end"/>
      </w:r>
      <w:r w:rsidR="00E4014B" w:rsidRPr="00E4014B">
        <w:t xml:space="preserve"> and antibody detection data </w:t>
      </w:r>
      <w:r w:rsidR="00156621">
        <w:fldChar w:fldCharType="begin">
          <w:fldData xml:space="preserve">PEVuZE5vdGU+PENpdGU+PEF1dGhvcj5KYXJpdXM8L0F1dGhvcj48WWVhcj4yMDEwPC9ZZWFyPjxS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</w:fldData>
        </w:fldChar>
      </w:r>
      <w:r w:rsidR="00D96694">
        <w:instrText xml:space="preserve"> ADDIN EN.CITE </w:instrText>
      </w:r>
      <w:r w:rsidR="00D96694">
        <w:fldChar w:fldCharType="begin">
          <w:fldData xml:space="preserve">PEVuZE5vdGU+PENpdGU+PEF1dGhvcj5KYXJpdXM8L0F1dGhvcj48WWVhcj4yMDEwPC9ZZWFyPjxS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</w:fldData>
        </w:fldChar>
      </w:r>
      <w:r w:rsidR="00D96694">
        <w:instrText xml:space="preserve"> ADDIN EN.CITE.DATA </w:instrText>
      </w:r>
      <w:r w:rsidR="00D96694">
        <w:fldChar w:fldCharType="end"/>
      </w:r>
      <w:r w:rsidR="00156621">
        <w:fldChar w:fldCharType="separate"/>
      </w:r>
      <w:r w:rsidR="00AC01FD">
        <w:rPr>
          <w:noProof/>
        </w:rPr>
        <w:t>(Jarius et al. 2010)</w:t>
      </w:r>
      <w:r w:rsidR="00156621">
        <w:fldChar w:fldCharType="end"/>
      </w:r>
      <w:r w:rsidR="00E4014B" w:rsidRPr="00E4014B">
        <w:t xml:space="preserve"> were used and presented in a concordance analysis. </w:t>
      </w:r>
      <w:r w:rsidR="00A72A51">
        <w:t>A limitation of a concordance analysis is that</w:t>
      </w:r>
      <w:r w:rsidR="00A72A51" w:rsidRPr="00E4014B">
        <w:t xml:space="preserve"> </w:t>
      </w:r>
      <w:r w:rsidR="00BB46D6">
        <w:t>it can</w:t>
      </w:r>
      <w:r w:rsidR="00A72A51" w:rsidRPr="00E4014B">
        <w:t xml:space="preserve"> say whether </w:t>
      </w:r>
      <w:r w:rsidR="00A72A51">
        <w:t>cell-based assays</w:t>
      </w:r>
      <w:r w:rsidR="00A72A51" w:rsidRPr="00E4014B">
        <w:t xml:space="preserve"> agree with each other, but not if </w:t>
      </w:r>
      <w:r w:rsidR="0052552E">
        <w:t xml:space="preserve">the </w:t>
      </w:r>
      <w:r w:rsidR="00A72A51">
        <w:t>detection of AQP4-Abs</w:t>
      </w:r>
      <w:r w:rsidR="005D78D5">
        <w:t xml:space="preserve"> is accurate</w:t>
      </w:r>
      <w:r w:rsidR="00A72A51">
        <w:t>.</w:t>
      </w:r>
      <w:r w:rsidR="00A72A51" w:rsidRPr="00E4014B">
        <w:t xml:space="preserve"> However, cell-based assays are already being used in Australia and their accuracy has been </w:t>
      </w:r>
      <w:r w:rsidR="005D78D5">
        <w:t>deemed sufficient</w:t>
      </w:r>
      <w:r w:rsidR="00A72A51" w:rsidRPr="00E4014B">
        <w:t xml:space="preserve"> </w:t>
      </w:r>
      <w:r w:rsidR="00156621">
        <w:fldChar w:fldCharType="begin"/>
      </w:r>
      <w:r w:rsidR="00156621">
        <w:instrText xml:space="preserve"> ADDIN EN.CITE &lt;EndNote&gt;&lt;Cite&gt;&lt;Author&gt;Prain&lt;/Author&gt;&lt;Year&gt;2019&lt;/Year&gt;&lt;RecNum&gt;24&lt;/RecNum&gt;&lt;IDText&gt;1-7&lt;/IDText&gt;&lt;DisplayText&gt;(Prain et al. 2019)&lt;/DisplayText&gt;&lt;record&gt;&lt;rec-number&gt;24&lt;/rec-number&gt;&lt;foreign-keys&gt;&lt;key app="EN" db-id="r25zptaswpdzade29ws5pf9gx55ztppatt20" timestamp="1576104080"&gt;24&lt;/key&gt;&lt;/foreign-keys&gt;&lt;ref-type name="Journal Article"&gt;17&lt;/ref-type&gt;&lt;contributors&gt;&lt;authors&gt;&lt;author&gt;Prain, K. M.&lt;/author&gt;&lt;author&gt;Woodhall, M.&lt;/author&gt;&lt;author&gt;Vincent, A.&lt;/author&gt;&lt;author&gt;Ramanathan, S.&lt;/author&gt;&lt;author&gt;Barnett, M. H.&lt;/author&gt;&lt;author&gt;Bundell, C.&lt;/author&gt;&lt;author&gt;Parratt, J. D. E.&lt;/author&gt;&lt;author&gt;Silvestrini, R. A.&lt;/author&gt;&lt;author&gt;Bukhari, W.&lt;/author&gt;&lt;author&gt;The Australian and New Zealand NMO Collaboration.&lt;/author&gt;&lt;author&gt;Brilot, F.&lt;/author&gt;&lt;author&gt;Waters, P.&lt;/author&gt;&lt;author&gt;Broadley, S. A.&lt;/author&gt;&lt;/authors&gt;&lt;/contributors&gt;&lt;titles&gt;&lt;title&gt;AQP4 Antibody Assay Sensitivity Comparison in the Era of the 2015 Diagnostic Criteria for NMOSD&lt;/title&gt;&lt;secondary-title&gt;Front Immunol&lt;/secondary-title&gt;&lt;/titles&gt;&lt;periodical&gt;&lt;full-title&gt;Front Immunol&lt;/full-title&gt;&lt;/periodical&gt;&lt;pages&gt;1-7&lt;/pages&gt;&lt;volume&gt;10&lt;/volume&gt;&lt;dates&gt;&lt;year&gt;2019&lt;/year&gt;&lt;/dates&gt;&lt;urls&gt;&lt;/urls&gt;&lt;/record&gt;&lt;/Cite&gt;&lt;/EndNote&gt;</w:instrText>
      </w:r>
      <w:r w:rsidR="00156621">
        <w:fldChar w:fldCharType="separate"/>
      </w:r>
      <w:r w:rsidR="00156621">
        <w:rPr>
          <w:noProof/>
        </w:rPr>
        <w:t>(Prain et al. 2019)</w:t>
      </w:r>
      <w:r w:rsidR="00156621">
        <w:fldChar w:fldCharType="end"/>
      </w:r>
      <w:r w:rsidR="00A72A51" w:rsidRPr="00E4014B">
        <w:t>.</w:t>
      </w:r>
      <w:r w:rsidR="00A72A51">
        <w:t xml:space="preserve"> </w:t>
      </w:r>
      <w:r w:rsidR="00A72A51" w:rsidRPr="00E4014B">
        <w:t xml:space="preserve">There are also differences between the included studies regarding such aspects as population recruitment, storage and handling of samples and testing techniques </w:t>
      </w:r>
      <w:r w:rsidR="00E4014B" w:rsidRPr="00E4014B">
        <w:t xml:space="preserve">(refer </w:t>
      </w:r>
      <w:r w:rsidR="00FC2669">
        <w:fldChar w:fldCharType="begin"/>
      </w:r>
      <w:r w:rsidR="00FC2669">
        <w:instrText xml:space="preserve"> REF _Ref33019823 \h  \* MERGEFORMAT </w:instrText>
      </w:r>
      <w:r w:rsidR="00FC2669">
        <w:fldChar w:fldCharType="separate"/>
      </w:r>
      <w:r w:rsidR="0014371E" w:rsidRPr="00FC2669">
        <w:t>Appendix H</w:t>
      </w:r>
      <w:r w:rsidR="00FC2669">
        <w:fldChar w:fldCharType="end"/>
      </w:r>
      <w:r w:rsidR="00FC2669">
        <w:t>).</w:t>
      </w:r>
    </w:p>
    <w:p w14:paraId="6A157960" w14:textId="77777777" w:rsidR="005443A8" w:rsidRPr="00E4014B" w:rsidRDefault="005443A8" w:rsidP="00E4014B"/>
    <w:p w14:paraId="67A83A86" w14:textId="46B130FB" w:rsidR="00ED65EE" w:rsidRDefault="00FC2669" w:rsidP="00E4014B">
      <w:pPr>
        <w:pStyle w:val="Heading2"/>
      </w:pPr>
      <w:bookmarkStart w:id="200" w:name="_Toc39588297"/>
      <w:r w:rsidRPr="00FC2669">
        <w:rPr>
          <w:sz w:val="24"/>
          <w:szCs w:val="24"/>
        </w:rPr>
        <w:t>B3.5</w:t>
      </w:r>
      <w:r>
        <w:tab/>
      </w:r>
      <w:r w:rsidR="00ED65EE" w:rsidRPr="00183E4D">
        <w:t>Results of the Systematic Literature review</w:t>
      </w:r>
      <w:bookmarkEnd w:id="200"/>
    </w:p>
    <w:p w14:paraId="3BDA0517" w14:textId="77777777" w:rsidR="00ED65EE" w:rsidRDefault="00ED65EE" w:rsidP="00ED65EE">
      <w:pPr>
        <w:pStyle w:val="Heading3"/>
      </w:pPr>
      <w:bookmarkStart w:id="201" w:name="_Toc39588298"/>
      <w:r>
        <w:t>Is it accurate?</w:t>
      </w:r>
      <w:bookmarkEnd w:id="201"/>
      <w:r w:rsidR="00E4014B">
        <w:t xml:space="preserve"> </w:t>
      </w:r>
    </w:p>
    <w:p w14:paraId="3602181A" w14:textId="77777777" w:rsidR="006B1C4F" w:rsidRDefault="00ED65EE" w:rsidP="006B1C4F">
      <w:pPr>
        <w:pStyle w:val="Summaryboxheading"/>
        <w:pBdr>
          <w:top w:val="single" w:sz="4" w:space="1" w:color="auto"/>
          <w:left w:val="single" w:sz="4" w:space="4" w:color="auto"/>
          <w:bottom w:val="single" w:sz="4" w:space="1" w:color="auto"/>
          <w:right w:val="single" w:sz="4" w:space="4" w:color="auto"/>
        </w:pBdr>
      </w:pPr>
      <w:r w:rsidRPr="00183E4D">
        <w:t xml:space="preserve">Summary – </w:t>
      </w:r>
      <w:r w:rsidR="006B1C4F" w:rsidRPr="006B1C4F">
        <w:t>How accurate is AQP4-Ab testing (serum and CSF) for detecting AQP4-Ab in patients suspected of NMOSD?</w:t>
      </w:r>
    </w:p>
    <w:p w14:paraId="096361A2" w14:textId="5579124B" w:rsidR="00A72A51" w:rsidRPr="00FC2669" w:rsidRDefault="00FC2669" w:rsidP="00A72A51">
      <w:pPr>
        <w:pBdr>
          <w:top w:val="single" w:sz="4" w:space="1" w:color="auto"/>
          <w:left w:val="single" w:sz="4" w:space="4" w:color="auto"/>
          <w:bottom w:val="single" w:sz="4" w:space="1" w:color="auto"/>
          <w:right w:val="single" w:sz="4" w:space="4" w:color="auto"/>
        </w:pBdr>
        <w:spacing w:before="120" w:after="100" w:afterAutospacing="1"/>
        <w:rPr>
          <w:rFonts w:ascii="Arial Narrow" w:hAnsi="Arial Narrow"/>
        </w:rPr>
      </w:pPr>
      <w:r w:rsidRPr="00FC2669">
        <w:rPr>
          <w:rFonts w:ascii="Arial Narrow" w:hAnsi="Arial Narrow"/>
        </w:rPr>
        <w:t>There is no reference standard for diagnostic accuracy</w:t>
      </w:r>
      <w:r w:rsidR="00D711F9">
        <w:rPr>
          <w:rFonts w:ascii="Arial Narrow" w:hAnsi="Arial Narrow"/>
        </w:rPr>
        <w:t xml:space="preserve"> (analytic validity)</w:t>
      </w:r>
      <w:r w:rsidR="00163B58" w:rsidRPr="00FC2669">
        <w:rPr>
          <w:rFonts w:ascii="Arial Narrow" w:hAnsi="Arial Narrow"/>
        </w:rPr>
        <w:t>;</w:t>
      </w:r>
      <w:r w:rsidRPr="00FC2669">
        <w:rPr>
          <w:rFonts w:ascii="Arial Narrow" w:hAnsi="Arial Narrow"/>
        </w:rPr>
        <w:t xml:space="preserve"> therefore test performance in this assessment was limited to the comparison between different types of cell-based assays. </w:t>
      </w:r>
      <w:r w:rsidR="00A72A51" w:rsidRPr="00CF0284">
        <w:rPr>
          <w:rFonts w:ascii="Arial Narrow" w:hAnsi="Arial Narrow"/>
        </w:rPr>
        <w:t xml:space="preserve">The implication of this is that </w:t>
      </w:r>
      <w:r w:rsidR="00192BC8">
        <w:rPr>
          <w:rFonts w:ascii="Arial Narrow" w:hAnsi="Arial Narrow"/>
        </w:rPr>
        <w:t>the data identify</w:t>
      </w:r>
      <w:r w:rsidR="00A72A51" w:rsidRPr="00CF0284">
        <w:rPr>
          <w:rFonts w:ascii="Arial Narrow" w:hAnsi="Arial Narrow"/>
        </w:rPr>
        <w:t xml:space="preserve"> whether different cell-based assays agree </w:t>
      </w:r>
      <w:r w:rsidR="00536304">
        <w:rPr>
          <w:rFonts w:ascii="Arial Narrow" w:hAnsi="Arial Narrow"/>
        </w:rPr>
        <w:t xml:space="preserve">(concord) </w:t>
      </w:r>
      <w:r w:rsidR="00A72A51" w:rsidRPr="00CF0284">
        <w:rPr>
          <w:rFonts w:ascii="Arial Narrow" w:hAnsi="Arial Narrow"/>
        </w:rPr>
        <w:t xml:space="preserve">with each other, but not if they give an accurate detection of AQP4-Abs. </w:t>
      </w:r>
      <w:r w:rsidR="00192BC8">
        <w:rPr>
          <w:rFonts w:ascii="Arial Narrow" w:hAnsi="Arial Narrow"/>
        </w:rPr>
        <w:t xml:space="preserve">That being </w:t>
      </w:r>
      <w:r w:rsidR="00B06CD2">
        <w:rPr>
          <w:rFonts w:ascii="Arial Narrow" w:hAnsi="Arial Narrow"/>
        </w:rPr>
        <w:t>s</w:t>
      </w:r>
      <w:r w:rsidR="00192BC8">
        <w:rPr>
          <w:rFonts w:ascii="Arial Narrow" w:hAnsi="Arial Narrow"/>
        </w:rPr>
        <w:t>aid, this test is already in use in Australia and is recommended in International guidelines, so its accuracy is deemed sufficient.</w:t>
      </w:r>
    </w:p>
    <w:p w14:paraId="44A54291" w14:textId="77777777" w:rsidR="00FC2669" w:rsidRPr="00FC2669" w:rsidRDefault="0076761B" w:rsidP="00FC2669">
      <w:pPr>
        <w:pBdr>
          <w:top w:val="single" w:sz="4" w:space="1" w:color="auto"/>
          <w:left w:val="single" w:sz="4" w:space="4" w:color="auto"/>
          <w:bottom w:val="single" w:sz="4" w:space="1" w:color="auto"/>
          <w:right w:val="single" w:sz="4" w:space="4" w:color="auto"/>
        </w:pBdr>
        <w:spacing w:before="120" w:after="100" w:afterAutospacing="1"/>
        <w:rPr>
          <w:rFonts w:ascii="Arial Narrow" w:hAnsi="Arial Narrow"/>
          <w:u w:val="single"/>
        </w:rPr>
      </w:pPr>
      <w:r>
        <w:rPr>
          <w:rFonts w:ascii="Arial Narrow" w:hAnsi="Arial Narrow"/>
          <w:u w:val="single"/>
        </w:rPr>
        <w:t>Concordance</w:t>
      </w:r>
      <w:r w:rsidR="00FC2669" w:rsidRPr="00FC2669">
        <w:rPr>
          <w:rFonts w:ascii="Arial Narrow" w:hAnsi="Arial Narrow"/>
          <w:u w:val="single"/>
        </w:rPr>
        <w:t xml:space="preserve"> between different serum cell-based assays to detect AQP4-Abs</w:t>
      </w:r>
    </w:p>
    <w:p w14:paraId="12F78FCB" w14:textId="3CE1F326" w:rsidR="00FC2669" w:rsidRPr="00FC2669" w:rsidRDefault="00FC2669" w:rsidP="00FC2669">
      <w:pPr>
        <w:pBdr>
          <w:top w:val="single" w:sz="4" w:space="1" w:color="auto"/>
          <w:left w:val="single" w:sz="4" w:space="4" w:color="auto"/>
          <w:bottom w:val="single" w:sz="4" w:space="1" w:color="auto"/>
          <w:right w:val="single" w:sz="4" w:space="4" w:color="auto"/>
        </w:pBdr>
        <w:spacing w:before="120" w:after="100" w:afterAutospacing="1"/>
        <w:rPr>
          <w:rFonts w:ascii="Arial Narrow" w:hAnsi="Arial Narrow"/>
        </w:rPr>
      </w:pPr>
      <w:r w:rsidRPr="00FC2669">
        <w:rPr>
          <w:rFonts w:ascii="Arial Narrow" w:hAnsi="Arial Narrow"/>
        </w:rPr>
        <w:t>Based on limited evidence, concordance</w:t>
      </w:r>
      <w:r w:rsidR="004E1D47">
        <w:rPr>
          <w:rFonts w:ascii="Arial Narrow" w:hAnsi="Arial Narrow"/>
        </w:rPr>
        <w:t xml:space="preserve"> analysis </w:t>
      </w:r>
      <w:r w:rsidRPr="00FC2669">
        <w:rPr>
          <w:rFonts w:ascii="Arial Narrow" w:hAnsi="Arial Narrow"/>
        </w:rPr>
        <w:t xml:space="preserve">between three cell-based assay methodologies </w:t>
      </w:r>
      <w:r w:rsidR="00B06CD2">
        <w:rPr>
          <w:rFonts w:ascii="Arial Narrow" w:hAnsi="Arial Narrow"/>
        </w:rPr>
        <w:t xml:space="preserve">- </w:t>
      </w:r>
      <w:r w:rsidRPr="00FC2669">
        <w:rPr>
          <w:rFonts w:ascii="Arial Narrow" w:hAnsi="Arial Narrow"/>
        </w:rPr>
        <w:t>live</w:t>
      </w:r>
      <w:r w:rsidR="002A3F5D">
        <w:rPr>
          <w:rFonts w:ascii="Arial Narrow" w:hAnsi="Arial Narrow"/>
        </w:rPr>
        <w:t>,</w:t>
      </w:r>
      <w:r w:rsidRPr="00FC2669">
        <w:rPr>
          <w:rFonts w:ascii="Arial Narrow" w:hAnsi="Arial Narrow"/>
        </w:rPr>
        <w:t xml:space="preserve"> fixed and FACS</w:t>
      </w:r>
      <w:r w:rsidR="00B06CD2">
        <w:rPr>
          <w:rFonts w:ascii="Arial Narrow" w:hAnsi="Arial Narrow"/>
        </w:rPr>
        <w:t xml:space="preserve"> </w:t>
      </w:r>
      <w:r w:rsidR="004612AB">
        <w:rPr>
          <w:rFonts w:ascii="Arial Narrow" w:hAnsi="Arial Narrow"/>
        </w:rPr>
        <w:t>-</w:t>
      </w:r>
      <w:r w:rsidRPr="00FC2669">
        <w:rPr>
          <w:rFonts w:ascii="Arial Narrow" w:hAnsi="Arial Narrow"/>
        </w:rPr>
        <w:t xml:space="preserve"> showed that all three assays agreed with each other in the detection of AQP4-Abs. The PPA for all three assays ranged from 96-100%. There was slightly less agreement between the three assays for detecting AQP4-Ab</w:t>
      </w:r>
      <w:r w:rsidR="00D711F9">
        <w:rPr>
          <w:rFonts w:ascii="Arial Narrow" w:hAnsi="Arial Narrow"/>
        </w:rPr>
        <w:t xml:space="preserve"> negative</w:t>
      </w:r>
      <w:r w:rsidRPr="00FC2669">
        <w:rPr>
          <w:rFonts w:ascii="Arial Narrow" w:hAnsi="Arial Narrow"/>
        </w:rPr>
        <w:t xml:space="preserve"> serum samples, where fixed cell (NPA 81%) and FACS (NPA 85%) were less likely to agree with live cell-based assay (NPA 100%) for detection of AQP4-Abs</w:t>
      </w:r>
      <w:r w:rsidR="00D711F9">
        <w:rPr>
          <w:rFonts w:ascii="Arial Narrow" w:hAnsi="Arial Narrow"/>
        </w:rPr>
        <w:t xml:space="preserve"> negative samples</w:t>
      </w:r>
      <w:r w:rsidRPr="00FC2669">
        <w:rPr>
          <w:rFonts w:ascii="Arial Narrow" w:hAnsi="Arial Narrow"/>
        </w:rPr>
        <w:t xml:space="preserve">. </w:t>
      </w:r>
    </w:p>
    <w:p w14:paraId="3E540D6D" w14:textId="77777777" w:rsidR="00FC2669" w:rsidRPr="00FC2669" w:rsidRDefault="002F7772" w:rsidP="00FC2669">
      <w:pPr>
        <w:pBdr>
          <w:top w:val="single" w:sz="4" w:space="1" w:color="auto"/>
          <w:left w:val="single" w:sz="4" w:space="4" w:color="auto"/>
          <w:bottom w:val="single" w:sz="4" w:space="1" w:color="auto"/>
          <w:right w:val="single" w:sz="4" w:space="4" w:color="auto"/>
        </w:pBdr>
        <w:spacing w:before="120" w:after="100" w:afterAutospacing="1"/>
        <w:rPr>
          <w:rFonts w:ascii="Arial Narrow" w:hAnsi="Arial Narrow"/>
          <w:u w:val="single"/>
        </w:rPr>
      </w:pPr>
      <w:r>
        <w:rPr>
          <w:rFonts w:ascii="Arial Narrow" w:hAnsi="Arial Narrow"/>
          <w:u w:val="single"/>
        </w:rPr>
        <w:t>C</w:t>
      </w:r>
      <w:r w:rsidR="00FC2669" w:rsidRPr="00FC2669">
        <w:rPr>
          <w:rFonts w:ascii="Arial Narrow" w:hAnsi="Arial Narrow"/>
          <w:u w:val="single"/>
        </w:rPr>
        <w:t>oncordance between assays using serum and CSF to detect AQP4-Abs</w:t>
      </w:r>
    </w:p>
    <w:p w14:paraId="3993EEA8" w14:textId="34A8CEEE" w:rsidR="00FC2669" w:rsidRDefault="00FC2669" w:rsidP="00FC2669">
      <w:pPr>
        <w:pBdr>
          <w:top w:val="single" w:sz="4" w:space="1" w:color="auto"/>
          <w:left w:val="single" w:sz="4" w:space="4" w:color="auto"/>
          <w:bottom w:val="single" w:sz="4" w:space="1" w:color="auto"/>
          <w:right w:val="single" w:sz="4" w:space="4" w:color="auto"/>
        </w:pBdr>
        <w:spacing w:before="120" w:after="100" w:afterAutospacing="1"/>
        <w:rPr>
          <w:rFonts w:ascii="Arial Narrow" w:hAnsi="Arial Narrow"/>
        </w:rPr>
      </w:pPr>
      <w:r w:rsidRPr="00FC2669">
        <w:rPr>
          <w:rFonts w:ascii="Arial Narrow" w:hAnsi="Arial Narrow"/>
        </w:rPr>
        <w:t xml:space="preserve">Based on results of only one study, concordance </w:t>
      </w:r>
      <w:r w:rsidR="00947BA1">
        <w:rPr>
          <w:rFonts w:ascii="Arial Narrow" w:hAnsi="Arial Narrow"/>
        </w:rPr>
        <w:t xml:space="preserve">analysis </w:t>
      </w:r>
      <w:r w:rsidRPr="00FC2669">
        <w:rPr>
          <w:rFonts w:ascii="Arial Narrow" w:hAnsi="Arial Narrow"/>
        </w:rPr>
        <w:t xml:space="preserve">between serum </w:t>
      </w:r>
      <w:r w:rsidR="00A72A51">
        <w:rPr>
          <w:rFonts w:ascii="Arial Narrow" w:hAnsi="Arial Narrow"/>
        </w:rPr>
        <w:t xml:space="preserve">(fixed cell assay) </w:t>
      </w:r>
      <w:r w:rsidR="00CE0DD3">
        <w:rPr>
          <w:rFonts w:ascii="Arial Narrow" w:hAnsi="Arial Narrow"/>
        </w:rPr>
        <w:t>and</w:t>
      </w:r>
      <w:r w:rsidRPr="00FC2669">
        <w:rPr>
          <w:rFonts w:ascii="Arial Narrow" w:hAnsi="Arial Narrow"/>
        </w:rPr>
        <w:t xml:space="preserve"> CSF samples to detect AQP4-Abs</w:t>
      </w:r>
      <w:r w:rsidR="004E1D47">
        <w:rPr>
          <w:rFonts w:ascii="Arial Narrow" w:hAnsi="Arial Narrow"/>
        </w:rPr>
        <w:t>,</w:t>
      </w:r>
      <w:r w:rsidRPr="00FC2669">
        <w:rPr>
          <w:rFonts w:ascii="Arial Narrow" w:hAnsi="Arial Narrow"/>
        </w:rPr>
        <w:t xml:space="preserve"> showed that 32% of </w:t>
      </w:r>
      <w:r w:rsidR="00010F33">
        <w:rPr>
          <w:rFonts w:ascii="Arial Narrow" w:hAnsi="Arial Narrow"/>
        </w:rPr>
        <w:t xml:space="preserve">sero-positive </w:t>
      </w:r>
      <w:r w:rsidRPr="00FC2669">
        <w:rPr>
          <w:rFonts w:ascii="Arial Narrow" w:hAnsi="Arial Narrow"/>
        </w:rPr>
        <w:t xml:space="preserve">AQP4-Ab </w:t>
      </w:r>
      <w:r w:rsidR="00484AF3">
        <w:rPr>
          <w:rFonts w:ascii="Arial Narrow" w:hAnsi="Arial Narrow"/>
        </w:rPr>
        <w:t>cases</w:t>
      </w:r>
      <w:r w:rsidRPr="00FC2669">
        <w:rPr>
          <w:rFonts w:ascii="Arial Narrow" w:hAnsi="Arial Narrow"/>
        </w:rPr>
        <w:t xml:space="preserve"> were not </w:t>
      </w:r>
      <w:r w:rsidR="00371452">
        <w:rPr>
          <w:rFonts w:ascii="Arial Narrow" w:hAnsi="Arial Narrow"/>
        </w:rPr>
        <w:t xml:space="preserve">AQP4-Ab </w:t>
      </w:r>
      <w:r w:rsidRPr="00FC2669">
        <w:rPr>
          <w:rFonts w:ascii="Arial Narrow" w:hAnsi="Arial Narrow"/>
        </w:rPr>
        <w:t xml:space="preserve">positive in CSF. The PPA for serum and CSF was 100% and 68%, respectively. The NPA </w:t>
      </w:r>
      <w:r w:rsidR="004612AB">
        <w:rPr>
          <w:rFonts w:ascii="Arial Narrow" w:hAnsi="Arial Narrow"/>
        </w:rPr>
        <w:t xml:space="preserve">of 100% </w:t>
      </w:r>
      <w:r w:rsidRPr="00FC2669">
        <w:rPr>
          <w:rFonts w:ascii="Arial Narrow" w:hAnsi="Arial Narrow"/>
        </w:rPr>
        <w:t xml:space="preserve">was the same for both serum and CSF. </w:t>
      </w:r>
      <w:r w:rsidR="004612AB">
        <w:rPr>
          <w:rFonts w:ascii="Arial Narrow" w:hAnsi="Arial Narrow"/>
        </w:rPr>
        <w:t xml:space="preserve">Thus, there were no sero-negative cases identified by CSF, which means </w:t>
      </w:r>
      <w:r w:rsidRPr="00FC2669">
        <w:rPr>
          <w:rFonts w:ascii="Arial Narrow" w:hAnsi="Arial Narrow"/>
        </w:rPr>
        <w:t xml:space="preserve">the usefulness of CSF sampling as an </w:t>
      </w:r>
      <w:r w:rsidR="004612AB">
        <w:rPr>
          <w:rFonts w:ascii="Arial Narrow" w:hAnsi="Arial Narrow"/>
        </w:rPr>
        <w:t>additional</w:t>
      </w:r>
      <w:r w:rsidRPr="00FC2669">
        <w:rPr>
          <w:rFonts w:ascii="Arial Narrow" w:hAnsi="Arial Narrow"/>
        </w:rPr>
        <w:t xml:space="preserve"> AQP4-Ab test, in </w:t>
      </w:r>
      <w:r w:rsidR="00B82652">
        <w:rPr>
          <w:rFonts w:ascii="Arial Narrow" w:hAnsi="Arial Narrow"/>
        </w:rPr>
        <w:t>sero-negative</w:t>
      </w:r>
      <w:r w:rsidRPr="00FC2669">
        <w:rPr>
          <w:rFonts w:ascii="Arial Narrow" w:hAnsi="Arial Narrow"/>
        </w:rPr>
        <w:t xml:space="preserve"> patients </w:t>
      </w:r>
      <w:r w:rsidR="00D43792">
        <w:rPr>
          <w:rFonts w:ascii="Arial Narrow" w:hAnsi="Arial Narrow"/>
        </w:rPr>
        <w:t>appears</w:t>
      </w:r>
      <w:r w:rsidRPr="00FC2669">
        <w:rPr>
          <w:rFonts w:ascii="Arial Narrow" w:hAnsi="Arial Narrow"/>
        </w:rPr>
        <w:t xml:space="preserve"> questionable</w:t>
      </w:r>
      <w:r w:rsidR="00F026FD">
        <w:rPr>
          <w:rFonts w:ascii="Arial Narrow" w:hAnsi="Arial Narrow"/>
        </w:rPr>
        <w:t>. H</w:t>
      </w:r>
      <w:r w:rsidR="00A32C77">
        <w:rPr>
          <w:rFonts w:ascii="Arial Narrow" w:hAnsi="Arial Narrow"/>
        </w:rPr>
        <w:t>owever</w:t>
      </w:r>
      <w:r w:rsidR="00F026FD">
        <w:rPr>
          <w:rFonts w:ascii="Arial Narrow" w:hAnsi="Arial Narrow"/>
        </w:rPr>
        <w:t>,</w:t>
      </w:r>
      <w:r w:rsidR="00A32C77">
        <w:rPr>
          <w:rFonts w:ascii="Arial Narrow" w:hAnsi="Arial Narrow"/>
        </w:rPr>
        <w:t xml:space="preserve"> </w:t>
      </w:r>
      <w:r w:rsidR="00F026FD">
        <w:rPr>
          <w:rFonts w:ascii="Arial Narrow" w:hAnsi="Arial Narrow"/>
        </w:rPr>
        <w:t xml:space="preserve">clinical advice is that </w:t>
      </w:r>
      <w:r w:rsidR="00A32C77">
        <w:rPr>
          <w:rFonts w:ascii="Arial Narrow" w:hAnsi="Arial Narrow"/>
        </w:rPr>
        <w:t>CSF AQP4-Ab testing may still be used in some clinical situations (e.g. a CSF test may be requested to confirm a serum AQP4-Ab negative test</w:t>
      </w:r>
      <w:r w:rsidR="00706E18">
        <w:rPr>
          <w:rFonts w:ascii="Arial Narrow" w:hAnsi="Arial Narrow"/>
        </w:rPr>
        <w:t>)</w:t>
      </w:r>
      <w:r w:rsidR="00A32C77">
        <w:rPr>
          <w:rFonts w:ascii="Arial Narrow" w:hAnsi="Arial Narrow"/>
        </w:rPr>
        <w:t>.</w:t>
      </w:r>
      <w:r w:rsidRPr="00FC2669">
        <w:rPr>
          <w:rFonts w:ascii="Arial Narrow" w:hAnsi="Arial Narrow"/>
        </w:rPr>
        <w:t xml:space="preserve"> </w:t>
      </w:r>
    </w:p>
    <w:p w14:paraId="7B37779F" w14:textId="77777777" w:rsidR="00ED65EE" w:rsidRDefault="001D0EC5" w:rsidP="001D0EC5">
      <w:pPr>
        <w:pStyle w:val="Heading2"/>
      </w:pPr>
      <w:bookmarkStart w:id="202" w:name="_Toc39588299"/>
      <w:r w:rsidRPr="001D0EC5">
        <w:rPr>
          <w:sz w:val="24"/>
          <w:szCs w:val="24"/>
        </w:rPr>
        <w:lastRenderedPageBreak/>
        <w:t>B3.6</w:t>
      </w:r>
      <w:r w:rsidR="00FC2669">
        <w:t xml:space="preserve"> </w:t>
      </w:r>
      <w:r w:rsidR="00ED65EE">
        <w:t>Concordance analysis</w:t>
      </w:r>
      <w:bookmarkEnd w:id="202"/>
      <w:r w:rsidR="00ED65EE">
        <w:t xml:space="preserve"> </w:t>
      </w:r>
    </w:p>
    <w:p w14:paraId="19F511BD" w14:textId="77777777" w:rsidR="00AD76F4" w:rsidRDefault="00AD76F4" w:rsidP="00AD76F4">
      <w:pPr>
        <w:pStyle w:val="Heading3"/>
      </w:pPr>
      <w:bookmarkStart w:id="203" w:name="_Toc39588300"/>
      <w:r>
        <w:t xml:space="preserve">Concordance between </w:t>
      </w:r>
      <w:r w:rsidR="00D72B38">
        <w:t xml:space="preserve">different cell-based </w:t>
      </w:r>
      <w:r>
        <w:t>assay</w:t>
      </w:r>
      <w:r w:rsidR="00D72B38">
        <w:t>s</w:t>
      </w:r>
      <w:r>
        <w:t xml:space="preserve"> </w:t>
      </w:r>
      <w:r w:rsidR="0006510F">
        <w:t>to detect aqp4-abs</w:t>
      </w:r>
      <w:bookmarkEnd w:id="203"/>
    </w:p>
    <w:p w14:paraId="69B6469D" w14:textId="6E1FB16C" w:rsidR="008F7337" w:rsidRPr="008F7337" w:rsidRDefault="008F7337" w:rsidP="008F7337">
      <w:r w:rsidRPr="008F7337">
        <w:t xml:space="preserve">Results of a concordance analysis, using sensitivity and specificity data provided by Waters et al. </w:t>
      </w:r>
      <w:r w:rsidR="00156621">
        <w:fldChar w:fldCharType="begin">
          <w:fldData xml:space="preserve">PEVuZE5vdGU+PENpdGU+PEF1dGhvcj5XYXRlcnM8L0F1dGhvcj48WWVhcj4yMDE2PC9ZZWFyPjxS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</w:fldData>
        </w:fldChar>
      </w:r>
      <w:r w:rsidR="000967CF">
        <w:instrText xml:space="preserve"> ADDIN EN.CITE </w:instrText>
      </w:r>
      <w:r w:rsidR="000967CF">
        <w:fldChar w:fldCharType="begin">
          <w:fldData xml:space="preserve">PEVuZE5vdGU+PENpdGU+PEF1dGhvcj5XYXRlcnM8L0F1dGhvcj48WWVhcj4yMDE2PC9ZZWFyPjxS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</w:fldData>
        </w:fldChar>
      </w:r>
      <w:r w:rsidR="000967CF">
        <w:instrText xml:space="preserve"> ADDIN EN.CITE.DATA </w:instrText>
      </w:r>
      <w:r w:rsidR="000967CF">
        <w:fldChar w:fldCharType="end"/>
      </w:r>
      <w:r w:rsidR="00156621">
        <w:fldChar w:fldCharType="separate"/>
      </w:r>
      <w:r w:rsidR="000967CF">
        <w:rPr>
          <w:noProof/>
        </w:rPr>
        <w:t>(2016)</w:t>
      </w:r>
      <w:r w:rsidR="00156621">
        <w:fldChar w:fldCharType="end"/>
      </w:r>
      <w:r w:rsidRPr="008F7337">
        <w:t xml:space="preserve"> and Jarius et al. </w:t>
      </w:r>
      <w:r w:rsidR="00156621">
        <w:fldChar w:fldCharType="begin">
          <w:fldData xml:space="preserve">PEVuZE5vdGU+PENpdGU+PEF1dGhvcj5KYXJpdXM8L0F1dGhvcj48WWVhcj4yMDEwPC9ZZWFyPjxS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</w:fldData>
        </w:fldChar>
      </w:r>
      <w:r w:rsidR="00D96694">
        <w:instrText xml:space="preserve"> ADDIN EN.CITE </w:instrText>
      </w:r>
      <w:r w:rsidR="00D96694">
        <w:fldChar w:fldCharType="begin">
          <w:fldData xml:space="preserve">PEVuZE5vdGU+PENpdGU+PEF1dGhvcj5KYXJpdXM8L0F1dGhvcj48WWVhcj4yMDEwPC9ZZWFyPjxS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</w:fldData>
        </w:fldChar>
      </w:r>
      <w:r w:rsidR="00D96694">
        <w:instrText xml:space="preserve"> ADDIN EN.CITE.DATA </w:instrText>
      </w:r>
      <w:r w:rsidR="00D96694">
        <w:fldChar w:fldCharType="end"/>
      </w:r>
      <w:r w:rsidR="00156621">
        <w:fldChar w:fldCharType="separate"/>
      </w:r>
      <w:r w:rsidR="00AC01FD">
        <w:rPr>
          <w:noProof/>
        </w:rPr>
        <w:t>(2010)</w:t>
      </w:r>
      <w:r w:rsidR="00156621">
        <w:fldChar w:fldCharType="end"/>
      </w:r>
      <w:r w:rsidRPr="008F7337">
        <w:t xml:space="preserve">, are displayed in </w:t>
      </w:r>
      <w:r w:rsidRPr="008F7337">
        <w:fldChar w:fldCharType="begin"/>
      </w:r>
      <w:r w:rsidRPr="008F7337">
        <w:instrText xml:space="preserve"> REF _Ref29278550 \h  \* MERGEFORMAT </w:instrText>
      </w:r>
      <w:r w:rsidRPr="008F7337">
        <w:fldChar w:fldCharType="separate"/>
      </w:r>
      <w:r w:rsidR="00B06CD2">
        <w:t>Table 17</w:t>
      </w:r>
      <w:r w:rsidRPr="008F7337">
        <w:fldChar w:fldCharType="end"/>
      </w:r>
      <w:r w:rsidRPr="008F7337">
        <w:t>. The cell-based assays</w:t>
      </w:r>
      <w:r w:rsidR="00484AF3">
        <w:t>,</w:t>
      </w:r>
      <w:r w:rsidRPr="008F7337">
        <w:t xml:space="preserve"> live, fixed and flow cytometry assays (FACS)</w:t>
      </w:r>
      <w:r w:rsidR="00484AF3">
        <w:t>,</w:t>
      </w:r>
      <w:r w:rsidRPr="008F7337">
        <w:t xml:space="preserve"> were all investigated.</w:t>
      </w:r>
    </w:p>
    <w:p w14:paraId="10BFF5C4" w14:textId="5C3CF07A" w:rsidR="008F7337" w:rsidRPr="008F7337" w:rsidRDefault="008F7337" w:rsidP="008F7337">
      <w:r w:rsidRPr="008F7337">
        <w:t xml:space="preserve">All three live cell-based assays investigated by Waters et al. </w:t>
      </w:r>
      <w:r w:rsidR="00156621">
        <w:fldChar w:fldCharType="begin">
          <w:fldData xml:space="preserve">PEVuZE5vdGU+PENpdGU+PEF1dGhvcj5XYXRlcnM8L0F1dGhvcj48WWVhcj4yMDE2PC9ZZWFyPjxS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</w:fldData>
        </w:fldChar>
      </w:r>
      <w:r w:rsidR="000967CF">
        <w:instrText xml:space="preserve"> ADDIN EN.CITE </w:instrText>
      </w:r>
      <w:r w:rsidR="000967CF">
        <w:fldChar w:fldCharType="begin">
          <w:fldData xml:space="preserve">PEVuZE5vdGU+PENpdGU+PEF1dGhvcj5XYXRlcnM8L0F1dGhvcj48WWVhcj4yMDE2PC9ZZWFyPjxS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</w:fldData>
        </w:fldChar>
      </w:r>
      <w:r w:rsidR="000967CF">
        <w:instrText xml:space="preserve"> ADDIN EN.CITE.DATA </w:instrText>
      </w:r>
      <w:r w:rsidR="000967CF">
        <w:fldChar w:fldCharType="end"/>
      </w:r>
      <w:r w:rsidR="00156621">
        <w:fldChar w:fldCharType="separate"/>
      </w:r>
      <w:r w:rsidR="000967CF">
        <w:rPr>
          <w:noProof/>
        </w:rPr>
        <w:t>(2016)</w:t>
      </w:r>
      <w:r w:rsidR="00156621">
        <w:fldChar w:fldCharType="end"/>
      </w:r>
      <w:r w:rsidRPr="008F7337">
        <w:t xml:space="preserve"> showed a high level of PPA with detection of serum AQP4-Abs in between 97 to 100% of AQP4-Ab seropositive NMO/NMOSD patients. There was also a high level of NPA for all three live cell-based assays (</w:t>
      </w:r>
      <w:r w:rsidR="008A7669">
        <w:t xml:space="preserve">range </w:t>
      </w:r>
      <w:r w:rsidRPr="008F7337">
        <w:t xml:space="preserve">96-100%) </w:t>
      </w:r>
    </w:p>
    <w:p w14:paraId="2F4415EE" w14:textId="628C679F" w:rsidR="008F7337" w:rsidRPr="008F7337" w:rsidRDefault="008F7337" w:rsidP="008F7337">
      <w:r w:rsidRPr="008F7337">
        <w:t xml:space="preserve">Results from two studies </w:t>
      </w:r>
      <w:r w:rsidR="00156621">
        <w:fldChar w:fldCharType="begin">
          <w:fldData xml:space="preserve">PEVuZE5vdGU+PENpdGU+PEF1dGhvcj5KYXJpdXM8L0F1dGhvcj48WWVhcj4yMDEwPC9ZZWFyPjxS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=
</w:fldData>
        </w:fldChar>
      </w:r>
      <w:r w:rsidR="000967CF">
        <w:instrText xml:space="preserve"> ADDIN EN.CITE </w:instrText>
      </w:r>
      <w:r w:rsidR="000967CF">
        <w:fldChar w:fldCharType="begin">
          <w:fldData xml:space="preserve">PEVuZE5vdGU+PENpdGU+PEF1dGhvcj5KYXJpdXM8L0F1dGhvcj48WWVhcj4yMDEwPC9ZZWFyPjxS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=
</w:fldData>
        </w:fldChar>
      </w:r>
      <w:r w:rsidR="000967CF">
        <w:instrText xml:space="preserve"> ADDIN EN.CITE.DATA </w:instrText>
      </w:r>
      <w:r w:rsidR="000967CF">
        <w:fldChar w:fldCharType="end"/>
      </w:r>
      <w:r w:rsidR="00156621">
        <w:fldChar w:fldCharType="separate"/>
      </w:r>
      <w:r w:rsidR="000967CF">
        <w:rPr>
          <w:noProof/>
        </w:rPr>
        <w:t>(Jarius et al. 2010; Waters et al. 2016)</w:t>
      </w:r>
      <w:r w:rsidR="00156621">
        <w:fldChar w:fldCharType="end"/>
      </w:r>
      <w:r w:rsidR="0016564E">
        <w:t xml:space="preserve"> comparing 11 fixed cell-based assays,</w:t>
      </w:r>
      <w:r w:rsidRPr="008F7337">
        <w:t xml:space="preserve"> showed there was a high level of PPA for detection of serum AQP4-Abs in AQP4-Ab seropositive NMO/NMOSD patients, with a pooled PPA of 100% (95% CI 93,100) (refer to </w:t>
      </w:r>
      <w:r w:rsidRPr="008F7337">
        <w:fldChar w:fldCharType="begin"/>
      </w:r>
      <w:r w:rsidRPr="008F7337">
        <w:instrText xml:space="preserve"> REF _Ref29278550 \h  \* MERGEFORMAT </w:instrText>
      </w:r>
      <w:r w:rsidRPr="008F7337">
        <w:fldChar w:fldCharType="separate"/>
      </w:r>
      <w:r w:rsidR="0014371E">
        <w:t>Table 14</w:t>
      </w:r>
      <w:r w:rsidRPr="008F7337">
        <w:fldChar w:fldCharType="end"/>
      </w:r>
      <w:r w:rsidRPr="008F7337">
        <w:t xml:space="preserve">). </w:t>
      </w:r>
      <w:r w:rsidR="006818B9">
        <w:t>The</w:t>
      </w:r>
      <w:r w:rsidRPr="008F7337">
        <w:t xml:space="preserve"> NPA for the fixed cell-based assays</w:t>
      </w:r>
      <w:r w:rsidR="008A7669">
        <w:t xml:space="preserve"> </w:t>
      </w:r>
      <w:r w:rsidR="006818B9">
        <w:t xml:space="preserve">was </w:t>
      </w:r>
      <w:r w:rsidR="00A0265F">
        <w:t xml:space="preserve">lower at </w:t>
      </w:r>
      <w:r w:rsidR="008A7669" w:rsidRPr="008F7337">
        <w:t>81% (95%CI 76, 86)</w:t>
      </w:r>
      <w:r w:rsidR="00322829">
        <w:t xml:space="preserve">. </w:t>
      </w:r>
    </w:p>
    <w:p w14:paraId="620A0800" w14:textId="5C8F8B75" w:rsidR="008F7337" w:rsidRPr="008F7337" w:rsidRDefault="008F7337" w:rsidP="008F7337">
      <w:r w:rsidRPr="008F7337">
        <w:t xml:space="preserve">For flow cytometry assays (FACS), Waters et al. </w:t>
      </w:r>
      <w:r w:rsidR="00156621">
        <w:fldChar w:fldCharType="begin">
          <w:fldData xml:space="preserve">PEVuZE5vdGU+PENpdGU+PEF1dGhvcj5XYXRlcnM8L0F1dGhvcj48WWVhcj4yMDE2PC9ZZWFyPjxS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</w:fldData>
        </w:fldChar>
      </w:r>
      <w:r w:rsidR="000967CF">
        <w:instrText xml:space="preserve"> ADDIN EN.CITE </w:instrText>
      </w:r>
      <w:r w:rsidR="000967CF">
        <w:fldChar w:fldCharType="begin">
          <w:fldData xml:space="preserve">PEVuZE5vdGU+PENpdGU+PEF1dGhvcj5XYXRlcnM8L0F1dGhvcj48WWVhcj4yMDE2PC9ZZWFyPjxS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</w:fldData>
        </w:fldChar>
      </w:r>
      <w:r w:rsidR="000967CF">
        <w:instrText xml:space="preserve"> ADDIN EN.CITE.DATA </w:instrText>
      </w:r>
      <w:r w:rsidR="000967CF">
        <w:fldChar w:fldCharType="end"/>
      </w:r>
      <w:r w:rsidR="00156621">
        <w:fldChar w:fldCharType="separate"/>
      </w:r>
      <w:r w:rsidR="000967CF">
        <w:rPr>
          <w:noProof/>
        </w:rPr>
        <w:t>(Waters et al. 2016)</w:t>
      </w:r>
      <w:r w:rsidR="00156621">
        <w:fldChar w:fldCharType="end"/>
      </w:r>
      <w:r w:rsidRPr="008F7337">
        <w:t xml:space="preserve"> showed that, based on results of four FACS, there was a high level of positive agreement for the detection of serum AQP4-Abs in AQP4-Ab seropositive patients with a pooled PPA of 96% (95% CI 92,98) (refer </w:t>
      </w:r>
      <w:r w:rsidRPr="008F7337">
        <w:fldChar w:fldCharType="begin"/>
      </w:r>
      <w:r w:rsidRPr="008F7337">
        <w:instrText xml:space="preserve"> REF _Ref29278550 \h  \* MERGEFORMAT </w:instrText>
      </w:r>
      <w:r w:rsidRPr="008F7337">
        <w:fldChar w:fldCharType="separate"/>
      </w:r>
      <w:r w:rsidR="0014371E">
        <w:t>Table 14</w:t>
      </w:r>
      <w:r w:rsidRPr="008F7337">
        <w:fldChar w:fldCharType="end"/>
      </w:r>
      <w:r w:rsidRPr="008F7337">
        <w:t xml:space="preserve">). However, the level of negative agreement was lower with a pooled NPA of 85% (95% CI 55, 97) with greater inter-laboratory assay variation, evident by the wider differences in CIs. </w:t>
      </w:r>
    </w:p>
    <w:p w14:paraId="35E1DF36" w14:textId="772074A7" w:rsidR="00AD76F4" w:rsidRPr="00AD76F4" w:rsidRDefault="00D92F8B" w:rsidP="00D92F8B">
      <w:pPr>
        <w:pStyle w:val="Caption"/>
        <w:rPr>
          <w:b w:val="0"/>
          <w:snapToGrid w:val="0"/>
          <w:lang w:eastAsia="en-US"/>
        </w:rPr>
      </w:pPr>
      <w:bookmarkStart w:id="204" w:name="_Ref29278550"/>
      <w:bookmarkStart w:id="205" w:name="_Toc39580798"/>
      <w:r>
        <w:t xml:space="preserve">Table </w:t>
      </w:r>
      <w:fldSimple w:instr=" SEQ Table \* ARABIC ">
        <w:r w:rsidR="00FA7BCD">
          <w:rPr>
            <w:noProof/>
          </w:rPr>
          <w:t>17</w:t>
        </w:r>
      </w:fldSimple>
      <w:bookmarkEnd w:id="204"/>
      <w:r w:rsidR="00AD76F4" w:rsidRPr="00AD76F4">
        <w:rPr>
          <w:b w:val="0"/>
          <w:snapToGrid w:val="0"/>
          <w:lang w:eastAsia="en-US"/>
        </w:rPr>
        <w:tab/>
      </w:r>
      <w:r w:rsidR="00AD76F4" w:rsidRPr="00D92F8B">
        <w:rPr>
          <w:rStyle w:val="TableHeadingChar"/>
          <w:b/>
        </w:rPr>
        <w:t>Concordance between live and fixed cell-based assays and flow cytometry assays using serum samples</w:t>
      </w:r>
      <w:bookmarkEnd w:id="205"/>
    </w:p>
    <w:tbl>
      <w:tblPr>
        <w:tblStyle w:val="TableGrid1"/>
        <w:tblW w:w="4984" w:type="pct"/>
        <w:tblInd w:w="28" w:type="dxa"/>
        <w:tblCellMar>
          <w:left w:w="28" w:type="dxa"/>
          <w:right w:w="28" w:type="dxa"/>
        </w:tblCellMar>
        <w:tblLook w:val="04A0" w:firstRow="1" w:lastRow="0" w:firstColumn="1" w:lastColumn="0" w:noHBand="0" w:noVBand="1"/>
        <w:tblCaption w:val="Table 17 Concordance between live and fixed cell-based assays and flow cytometry assays using serum samples"/>
        <w:tblDescription w:val="This table provides the number of tests relative the number of NMOSD cases detected compared between Live CBA, Fixed CBA and FACS assays on serum samples"/>
      </w:tblPr>
      <w:tblGrid>
        <w:gridCol w:w="960"/>
        <w:gridCol w:w="1700"/>
        <w:gridCol w:w="1560"/>
        <w:gridCol w:w="1700"/>
        <w:gridCol w:w="1573"/>
        <w:gridCol w:w="1494"/>
      </w:tblGrid>
      <w:tr w:rsidR="00AD76F4" w:rsidRPr="00AD76F4" w14:paraId="0791F564" w14:textId="77777777" w:rsidTr="00B06CD2">
        <w:trPr>
          <w:cnfStyle w:val="100000000000" w:firstRow="1" w:lastRow="0" w:firstColumn="0" w:lastColumn="0" w:oddVBand="0" w:evenVBand="0" w:oddHBand="0" w:evenHBand="0" w:firstRowFirstColumn="0" w:firstRowLastColumn="0" w:lastRowFirstColumn="0" w:lastRowLastColumn="0"/>
        </w:trPr>
        <w:tc>
          <w:tcPr>
            <w:tcW w:w="534" w:type="pct"/>
            <w:shd w:val="clear" w:color="auto" w:fill="auto"/>
          </w:tcPr>
          <w:p w14:paraId="353CF415" w14:textId="77777777" w:rsidR="00AD76F4" w:rsidRPr="00AD76F4" w:rsidRDefault="00AD76F4" w:rsidP="00A87AE2">
            <w:pPr>
              <w:pStyle w:val="TableHeading"/>
              <w:rPr>
                <w:snapToGrid w:val="0"/>
              </w:rPr>
            </w:pPr>
            <w:r w:rsidRPr="00AD76F4">
              <w:rPr>
                <w:snapToGrid w:val="0"/>
              </w:rPr>
              <w:t>Test type</w:t>
            </w:r>
          </w:p>
        </w:tc>
        <w:tc>
          <w:tcPr>
            <w:tcW w:w="946" w:type="pct"/>
          </w:tcPr>
          <w:p w14:paraId="2815CC49" w14:textId="61F11788" w:rsidR="00AD76F4" w:rsidRPr="00AD76F4" w:rsidRDefault="00AD76F4" w:rsidP="00A87AE2">
            <w:pPr>
              <w:pStyle w:val="TableHeading"/>
              <w:rPr>
                <w:snapToGrid w:val="0"/>
                <w:highlight w:val="cyan"/>
              </w:rPr>
            </w:pPr>
            <w:r w:rsidRPr="00AD76F4">
              <w:rPr>
                <w:snapToGrid w:val="0"/>
              </w:rPr>
              <w:t>N tests</w:t>
            </w:r>
            <w:r w:rsidR="008F7337">
              <w:rPr>
                <w:snapToGrid w:val="0"/>
              </w:rPr>
              <w:t xml:space="preserve"> compared</w:t>
            </w:r>
            <w:r w:rsidRPr="00AD76F4">
              <w:rPr>
                <w:snapToGrid w:val="0"/>
              </w:rPr>
              <w:t>/ N</w:t>
            </w:r>
            <w:r w:rsidR="00B06CD2">
              <w:rPr>
                <w:snapToGrid w:val="0"/>
              </w:rPr>
              <w:t xml:space="preserve"> </w:t>
            </w:r>
            <w:r w:rsidR="008F7337">
              <w:rPr>
                <w:snapToGrid w:val="0"/>
              </w:rPr>
              <w:t xml:space="preserve">NMO/NMOSD </w:t>
            </w:r>
            <w:r w:rsidRPr="00AD76F4">
              <w:rPr>
                <w:snapToGrid w:val="0"/>
              </w:rPr>
              <w:t>cases</w:t>
            </w:r>
          </w:p>
        </w:tc>
        <w:tc>
          <w:tcPr>
            <w:tcW w:w="868" w:type="pct"/>
            <w:shd w:val="clear" w:color="auto" w:fill="auto"/>
          </w:tcPr>
          <w:p w14:paraId="674AD8DF" w14:textId="77777777" w:rsidR="00AD76F4" w:rsidRPr="00AD76F4" w:rsidRDefault="00AD76F4" w:rsidP="00A87AE2">
            <w:pPr>
              <w:pStyle w:val="TableHeading"/>
              <w:rPr>
                <w:snapToGrid w:val="0"/>
                <w:highlight w:val="cyan"/>
              </w:rPr>
            </w:pPr>
            <w:r w:rsidRPr="00AD76F4">
              <w:rPr>
                <w:snapToGrid w:val="0"/>
              </w:rPr>
              <w:t xml:space="preserve">PPA </w:t>
            </w:r>
            <w:r w:rsidR="00092C9F">
              <w:rPr>
                <w:snapToGrid w:val="0"/>
              </w:rPr>
              <w:t xml:space="preserve">% Range or </w:t>
            </w:r>
            <w:r w:rsidRPr="00AD76F4">
              <w:rPr>
                <w:snapToGrid w:val="0"/>
              </w:rPr>
              <w:t xml:space="preserve">Combined (95% CI) </w:t>
            </w:r>
          </w:p>
        </w:tc>
        <w:tc>
          <w:tcPr>
            <w:tcW w:w="946" w:type="pct"/>
            <w:shd w:val="clear" w:color="auto" w:fill="auto"/>
          </w:tcPr>
          <w:p w14:paraId="3D6EC05F" w14:textId="77777777" w:rsidR="00AD76F4" w:rsidRPr="00AD76F4" w:rsidRDefault="00AD76F4" w:rsidP="00A87AE2">
            <w:pPr>
              <w:pStyle w:val="TableHeading"/>
              <w:rPr>
                <w:snapToGrid w:val="0"/>
              </w:rPr>
            </w:pPr>
            <w:r w:rsidRPr="00AD76F4">
              <w:rPr>
                <w:snapToGrid w:val="0"/>
              </w:rPr>
              <w:t>95% CI (lower and upper range)</w:t>
            </w:r>
          </w:p>
        </w:tc>
        <w:tc>
          <w:tcPr>
            <w:tcW w:w="875" w:type="pct"/>
            <w:shd w:val="clear" w:color="auto" w:fill="auto"/>
          </w:tcPr>
          <w:p w14:paraId="5CD6E2CA" w14:textId="77777777" w:rsidR="00AD76F4" w:rsidRPr="00AD76F4" w:rsidRDefault="00AD76F4" w:rsidP="00A87AE2">
            <w:pPr>
              <w:pStyle w:val="TableHeading"/>
              <w:rPr>
                <w:snapToGrid w:val="0"/>
              </w:rPr>
            </w:pPr>
            <w:r w:rsidRPr="00AD76F4">
              <w:rPr>
                <w:snapToGrid w:val="0"/>
              </w:rPr>
              <w:t xml:space="preserve">NPA </w:t>
            </w:r>
            <w:r w:rsidR="00092C9F">
              <w:rPr>
                <w:snapToGrid w:val="0"/>
              </w:rPr>
              <w:t xml:space="preserve">% Range or </w:t>
            </w:r>
            <w:r w:rsidRPr="00AD76F4">
              <w:rPr>
                <w:snapToGrid w:val="0"/>
              </w:rPr>
              <w:t>Combined (95% CI</w:t>
            </w:r>
            <w:r w:rsidR="00EB09F0">
              <w:rPr>
                <w:snapToGrid w:val="0"/>
              </w:rPr>
              <w:t>)</w:t>
            </w:r>
          </w:p>
        </w:tc>
        <w:tc>
          <w:tcPr>
            <w:tcW w:w="831" w:type="pct"/>
          </w:tcPr>
          <w:p w14:paraId="3AC736E6" w14:textId="77777777" w:rsidR="00AD76F4" w:rsidRPr="00AD76F4" w:rsidRDefault="00AD76F4" w:rsidP="00A87AE2">
            <w:pPr>
              <w:pStyle w:val="TableHeading"/>
              <w:rPr>
                <w:snapToGrid w:val="0"/>
              </w:rPr>
            </w:pPr>
            <w:r w:rsidRPr="00AD76F4">
              <w:rPr>
                <w:snapToGrid w:val="0"/>
              </w:rPr>
              <w:t>95% CI (lower and upper range)</w:t>
            </w:r>
          </w:p>
        </w:tc>
      </w:tr>
      <w:tr w:rsidR="00AD76F4" w:rsidRPr="00AD76F4" w14:paraId="562F058A" w14:textId="77777777" w:rsidTr="00B06CD2">
        <w:trPr>
          <w:trHeight w:val="289"/>
        </w:trPr>
        <w:tc>
          <w:tcPr>
            <w:tcW w:w="534" w:type="pct"/>
            <w:tcBorders>
              <w:bottom w:val="nil"/>
            </w:tcBorders>
            <w:shd w:val="clear" w:color="auto" w:fill="auto"/>
          </w:tcPr>
          <w:p w14:paraId="057FBD05" w14:textId="77777777" w:rsidR="00AD76F4" w:rsidRPr="00AD76F4" w:rsidRDefault="00AD76F4" w:rsidP="004E5C57">
            <w:pPr>
              <w:pStyle w:val="TableText0"/>
              <w:rPr>
                <w:snapToGrid w:val="0"/>
              </w:rPr>
            </w:pPr>
            <w:r w:rsidRPr="00AD76F4">
              <w:rPr>
                <w:snapToGrid w:val="0"/>
              </w:rPr>
              <w:t>Live CBA</w:t>
            </w:r>
          </w:p>
        </w:tc>
        <w:tc>
          <w:tcPr>
            <w:tcW w:w="946" w:type="pct"/>
          </w:tcPr>
          <w:p w14:paraId="10832B6E" w14:textId="77777777" w:rsidR="00AD76F4" w:rsidRPr="00AD76F4" w:rsidRDefault="00AD76F4" w:rsidP="004E5C57">
            <w:pPr>
              <w:pStyle w:val="TableText0"/>
              <w:rPr>
                <w:snapToGrid w:val="0"/>
              </w:rPr>
            </w:pPr>
            <w:r w:rsidRPr="00AD76F4">
              <w:rPr>
                <w:snapToGrid w:val="0"/>
              </w:rPr>
              <w:t>3/101</w:t>
            </w:r>
            <w:r w:rsidRPr="00AD76F4">
              <w:rPr>
                <w:snapToGrid w:val="0"/>
                <w:vertAlign w:val="superscript"/>
              </w:rPr>
              <w:t>a</w:t>
            </w:r>
            <w:r w:rsidRPr="00AD76F4">
              <w:rPr>
                <w:snapToGrid w:val="0"/>
              </w:rPr>
              <w:t xml:space="preserve"> </w:t>
            </w:r>
          </w:p>
        </w:tc>
        <w:tc>
          <w:tcPr>
            <w:tcW w:w="868" w:type="pct"/>
            <w:shd w:val="clear" w:color="auto" w:fill="auto"/>
          </w:tcPr>
          <w:p w14:paraId="1325E0CC" w14:textId="77777777" w:rsidR="00AD76F4" w:rsidRPr="00AD76F4" w:rsidRDefault="00AD76F4" w:rsidP="004E5C57">
            <w:pPr>
              <w:pStyle w:val="TableText0"/>
              <w:rPr>
                <w:snapToGrid w:val="0"/>
              </w:rPr>
            </w:pPr>
            <w:r w:rsidRPr="00092C9F">
              <w:rPr>
                <w:snapToGrid w:val="0"/>
              </w:rPr>
              <w:t>97-100</w:t>
            </w:r>
          </w:p>
        </w:tc>
        <w:tc>
          <w:tcPr>
            <w:tcW w:w="946" w:type="pct"/>
            <w:shd w:val="clear" w:color="auto" w:fill="auto"/>
          </w:tcPr>
          <w:p w14:paraId="2F2DB0AD" w14:textId="77777777" w:rsidR="00AD76F4" w:rsidRPr="00AD76F4" w:rsidRDefault="00AD76F4" w:rsidP="004E5C57">
            <w:pPr>
              <w:pStyle w:val="TableText0"/>
              <w:rPr>
                <w:snapToGrid w:val="0"/>
              </w:rPr>
            </w:pPr>
            <w:r w:rsidRPr="00AD76F4">
              <w:rPr>
                <w:snapToGrid w:val="0"/>
              </w:rPr>
              <w:t>(91,100) (95,100)</w:t>
            </w:r>
          </w:p>
        </w:tc>
        <w:tc>
          <w:tcPr>
            <w:tcW w:w="875" w:type="pct"/>
            <w:shd w:val="clear" w:color="auto" w:fill="auto"/>
          </w:tcPr>
          <w:p w14:paraId="06DFAA07" w14:textId="77777777" w:rsidR="00AD76F4" w:rsidRPr="00AD76F4" w:rsidRDefault="00AD76F4" w:rsidP="004E5C57">
            <w:pPr>
              <w:pStyle w:val="TableText0"/>
              <w:rPr>
                <w:snapToGrid w:val="0"/>
              </w:rPr>
            </w:pPr>
            <w:r w:rsidRPr="00AD76F4">
              <w:rPr>
                <w:snapToGrid w:val="0"/>
              </w:rPr>
              <w:t>96-100</w:t>
            </w:r>
          </w:p>
        </w:tc>
        <w:tc>
          <w:tcPr>
            <w:tcW w:w="831" w:type="pct"/>
          </w:tcPr>
          <w:p w14:paraId="4D8A8577" w14:textId="77777777" w:rsidR="00AD76F4" w:rsidRPr="00AD76F4" w:rsidRDefault="00AD76F4" w:rsidP="004E5C57">
            <w:pPr>
              <w:pStyle w:val="TableText0"/>
              <w:rPr>
                <w:snapToGrid w:val="0"/>
              </w:rPr>
            </w:pPr>
            <w:r w:rsidRPr="00AD76F4">
              <w:rPr>
                <w:snapToGrid w:val="0"/>
              </w:rPr>
              <w:t>(80,100) (87,100)</w:t>
            </w:r>
          </w:p>
        </w:tc>
      </w:tr>
      <w:tr w:rsidR="00AD76F4" w:rsidRPr="00AD76F4" w14:paraId="3F490C6B" w14:textId="77777777" w:rsidTr="00B06CD2">
        <w:trPr>
          <w:trHeight w:val="279"/>
        </w:trPr>
        <w:tc>
          <w:tcPr>
            <w:tcW w:w="534" w:type="pct"/>
            <w:tcBorders>
              <w:bottom w:val="nil"/>
            </w:tcBorders>
            <w:shd w:val="clear" w:color="auto" w:fill="auto"/>
            <w:vAlign w:val="center"/>
          </w:tcPr>
          <w:p w14:paraId="64F45AC5" w14:textId="77777777" w:rsidR="00AD76F4" w:rsidRPr="00AD76F4" w:rsidRDefault="00AD76F4" w:rsidP="004E5C57">
            <w:pPr>
              <w:pStyle w:val="TableText0"/>
              <w:rPr>
                <w:snapToGrid w:val="0"/>
              </w:rPr>
            </w:pPr>
            <w:r w:rsidRPr="00AD76F4">
              <w:rPr>
                <w:snapToGrid w:val="0"/>
              </w:rPr>
              <w:t>Fixed CBA</w:t>
            </w:r>
          </w:p>
        </w:tc>
        <w:tc>
          <w:tcPr>
            <w:tcW w:w="946" w:type="pct"/>
          </w:tcPr>
          <w:p w14:paraId="0D4B1707" w14:textId="77777777" w:rsidR="00AD76F4" w:rsidRPr="00AD76F4" w:rsidRDefault="00AD76F4" w:rsidP="004E5C57">
            <w:pPr>
              <w:pStyle w:val="TableText0"/>
              <w:rPr>
                <w:snapToGrid w:val="0"/>
                <w:vertAlign w:val="superscript"/>
              </w:rPr>
            </w:pPr>
            <w:r w:rsidRPr="00AD76F4">
              <w:rPr>
                <w:snapToGrid w:val="0"/>
              </w:rPr>
              <w:t>11/238</w:t>
            </w:r>
            <w:r w:rsidRPr="00AD76F4">
              <w:rPr>
                <w:snapToGrid w:val="0"/>
                <w:vertAlign w:val="superscript"/>
              </w:rPr>
              <w:t>b</w:t>
            </w:r>
          </w:p>
        </w:tc>
        <w:tc>
          <w:tcPr>
            <w:tcW w:w="868" w:type="pct"/>
            <w:shd w:val="clear" w:color="auto" w:fill="auto"/>
          </w:tcPr>
          <w:p w14:paraId="14BF2AC2" w14:textId="77777777" w:rsidR="00AD76F4" w:rsidRPr="00AD76F4" w:rsidRDefault="00AD76F4" w:rsidP="004E5C57">
            <w:pPr>
              <w:pStyle w:val="TableText0"/>
              <w:rPr>
                <w:snapToGrid w:val="0"/>
              </w:rPr>
            </w:pPr>
            <w:r w:rsidRPr="00AD76F4">
              <w:rPr>
                <w:snapToGrid w:val="0"/>
              </w:rPr>
              <w:t>100 (93,100)</w:t>
            </w:r>
          </w:p>
        </w:tc>
        <w:tc>
          <w:tcPr>
            <w:tcW w:w="946" w:type="pct"/>
            <w:shd w:val="clear" w:color="auto" w:fill="auto"/>
          </w:tcPr>
          <w:p w14:paraId="04D80555" w14:textId="77777777" w:rsidR="00AD76F4" w:rsidRPr="00AD76F4" w:rsidRDefault="00AD76F4" w:rsidP="004E5C57">
            <w:pPr>
              <w:pStyle w:val="TableText0"/>
              <w:rPr>
                <w:snapToGrid w:val="0"/>
              </w:rPr>
            </w:pPr>
            <w:r w:rsidRPr="00AD76F4">
              <w:rPr>
                <w:snapToGrid w:val="0"/>
              </w:rPr>
              <w:t>(79,95) (95,100)</w:t>
            </w:r>
          </w:p>
        </w:tc>
        <w:tc>
          <w:tcPr>
            <w:tcW w:w="875" w:type="pct"/>
            <w:shd w:val="clear" w:color="auto" w:fill="auto"/>
          </w:tcPr>
          <w:p w14:paraId="6E5151D6" w14:textId="77777777" w:rsidR="00AD76F4" w:rsidRPr="00AD76F4" w:rsidRDefault="00AD76F4" w:rsidP="004E5C57">
            <w:pPr>
              <w:pStyle w:val="TableText0"/>
              <w:rPr>
                <w:snapToGrid w:val="0"/>
              </w:rPr>
            </w:pPr>
            <w:r w:rsidRPr="00AD76F4">
              <w:rPr>
                <w:snapToGrid w:val="0"/>
              </w:rPr>
              <w:t>81 (76,86)</w:t>
            </w:r>
          </w:p>
        </w:tc>
        <w:tc>
          <w:tcPr>
            <w:tcW w:w="831" w:type="pct"/>
          </w:tcPr>
          <w:p w14:paraId="40BD7547" w14:textId="77777777" w:rsidR="00AD76F4" w:rsidRPr="00AD76F4" w:rsidRDefault="00AD76F4" w:rsidP="004E5C57">
            <w:pPr>
              <w:pStyle w:val="TableText0"/>
              <w:rPr>
                <w:snapToGrid w:val="0"/>
              </w:rPr>
            </w:pPr>
            <w:r w:rsidRPr="00AD76F4">
              <w:rPr>
                <w:snapToGrid w:val="0"/>
              </w:rPr>
              <w:t>(50,81) (77,100)</w:t>
            </w:r>
          </w:p>
        </w:tc>
      </w:tr>
      <w:tr w:rsidR="00AD76F4" w:rsidRPr="00AD76F4" w14:paraId="4E662FEA" w14:textId="77777777" w:rsidTr="00B06CD2">
        <w:trPr>
          <w:trHeight w:val="269"/>
        </w:trPr>
        <w:tc>
          <w:tcPr>
            <w:tcW w:w="534" w:type="pct"/>
            <w:tcBorders>
              <w:top w:val="single" w:sz="4" w:space="0" w:color="auto"/>
              <w:bottom w:val="single" w:sz="4" w:space="0" w:color="auto"/>
            </w:tcBorders>
            <w:shd w:val="clear" w:color="auto" w:fill="auto"/>
            <w:vAlign w:val="center"/>
          </w:tcPr>
          <w:p w14:paraId="706E46BA" w14:textId="77777777" w:rsidR="00AD76F4" w:rsidRPr="00AD76F4" w:rsidRDefault="00AD76F4" w:rsidP="004E5C57">
            <w:pPr>
              <w:pStyle w:val="TableText0"/>
              <w:rPr>
                <w:snapToGrid w:val="0"/>
              </w:rPr>
            </w:pPr>
            <w:r w:rsidRPr="00AD76F4">
              <w:rPr>
                <w:snapToGrid w:val="0"/>
              </w:rPr>
              <w:t>FACS</w:t>
            </w:r>
          </w:p>
        </w:tc>
        <w:tc>
          <w:tcPr>
            <w:tcW w:w="946" w:type="pct"/>
          </w:tcPr>
          <w:p w14:paraId="519C2FF3" w14:textId="77777777" w:rsidR="00AD76F4" w:rsidRPr="00AD76F4" w:rsidRDefault="00AD76F4" w:rsidP="004E5C57">
            <w:pPr>
              <w:pStyle w:val="TableText0"/>
              <w:rPr>
                <w:snapToGrid w:val="0"/>
                <w:vertAlign w:val="superscript"/>
              </w:rPr>
            </w:pPr>
            <w:r w:rsidRPr="00AD76F4">
              <w:rPr>
                <w:snapToGrid w:val="0"/>
              </w:rPr>
              <w:t>4/101</w:t>
            </w:r>
            <w:r w:rsidRPr="00AD76F4">
              <w:rPr>
                <w:snapToGrid w:val="0"/>
                <w:vertAlign w:val="superscript"/>
              </w:rPr>
              <w:t>a</w:t>
            </w:r>
          </w:p>
        </w:tc>
        <w:tc>
          <w:tcPr>
            <w:tcW w:w="868" w:type="pct"/>
            <w:shd w:val="clear" w:color="auto" w:fill="auto"/>
          </w:tcPr>
          <w:p w14:paraId="6FE86A25" w14:textId="77777777" w:rsidR="00AD76F4" w:rsidRPr="00AD76F4" w:rsidRDefault="00AD76F4" w:rsidP="004E5C57">
            <w:pPr>
              <w:pStyle w:val="TableText0"/>
              <w:rPr>
                <w:snapToGrid w:val="0"/>
              </w:rPr>
            </w:pPr>
            <w:r w:rsidRPr="00AD76F4">
              <w:rPr>
                <w:snapToGrid w:val="0"/>
              </w:rPr>
              <w:t>96 (92,98)</w:t>
            </w:r>
          </w:p>
        </w:tc>
        <w:tc>
          <w:tcPr>
            <w:tcW w:w="946" w:type="pct"/>
            <w:shd w:val="clear" w:color="auto" w:fill="auto"/>
          </w:tcPr>
          <w:p w14:paraId="423D0AB9" w14:textId="77777777" w:rsidR="00AD76F4" w:rsidRPr="00AD76F4" w:rsidRDefault="00AD76F4" w:rsidP="004E5C57">
            <w:pPr>
              <w:pStyle w:val="TableText0"/>
              <w:rPr>
                <w:snapToGrid w:val="0"/>
              </w:rPr>
            </w:pPr>
            <w:r w:rsidRPr="00AD76F4">
              <w:rPr>
                <w:snapToGrid w:val="0"/>
              </w:rPr>
              <w:t>(84,97) (94,100)</w:t>
            </w:r>
          </w:p>
        </w:tc>
        <w:tc>
          <w:tcPr>
            <w:tcW w:w="875" w:type="pct"/>
            <w:shd w:val="clear" w:color="auto" w:fill="auto"/>
          </w:tcPr>
          <w:p w14:paraId="3AD129A8" w14:textId="77777777" w:rsidR="00AD76F4" w:rsidRPr="00AD76F4" w:rsidRDefault="00AD76F4" w:rsidP="004E5C57">
            <w:pPr>
              <w:pStyle w:val="TableText0"/>
              <w:rPr>
                <w:snapToGrid w:val="0"/>
              </w:rPr>
            </w:pPr>
            <w:r w:rsidRPr="00AD76F4">
              <w:rPr>
                <w:snapToGrid w:val="0"/>
              </w:rPr>
              <w:t>85 (55,97)</w:t>
            </w:r>
          </w:p>
        </w:tc>
        <w:tc>
          <w:tcPr>
            <w:tcW w:w="831" w:type="pct"/>
          </w:tcPr>
          <w:p w14:paraId="0537F2B1" w14:textId="77777777" w:rsidR="00AD76F4" w:rsidRPr="00AD76F4" w:rsidRDefault="00AD76F4" w:rsidP="004E5C57">
            <w:pPr>
              <w:pStyle w:val="TableText0"/>
              <w:rPr>
                <w:snapToGrid w:val="0"/>
              </w:rPr>
            </w:pPr>
            <w:r w:rsidRPr="00AD76F4">
              <w:rPr>
                <w:snapToGrid w:val="0"/>
              </w:rPr>
              <w:t>(39,70) (85,100)</w:t>
            </w:r>
          </w:p>
        </w:tc>
      </w:tr>
    </w:tbl>
    <w:p w14:paraId="41490604" w14:textId="77777777" w:rsidR="00AD76F4" w:rsidRPr="00AD76F4" w:rsidRDefault="00AD76F4" w:rsidP="00617512">
      <w:pPr>
        <w:keepNext/>
        <w:keepLines/>
        <w:spacing w:after="120" w:line="240" w:lineRule="auto"/>
        <w:contextualSpacing/>
        <w:jc w:val="left"/>
        <w:rPr>
          <w:rFonts w:ascii="Arial Narrow" w:hAnsi="Arial Narrow" w:cs="Arial"/>
          <w:snapToGrid w:val="0"/>
          <w:sz w:val="18"/>
          <w:szCs w:val="20"/>
          <w:lang w:eastAsia="en-US"/>
        </w:rPr>
      </w:pPr>
      <w:r w:rsidRPr="00AD76F4">
        <w:rPr>
          <w:rFonts w:ascii="Arial Narrow" w:hAnsi="Arial Narrow" w:cs="Arial"/>
          <w:snapToGrid w:val="0"/>
          <w:sz w:val="18"/>
          <w:szCs w:val="20"/>
          <w:lang w:eastAsia="en-US"/>
        </w:rPr>
        <w:t xml:space="preserve">CBA = cell-based assay; FACS </w:t>
      </w:r>
      <w:r w:rsidR="00092C9F" w:rsidRPr="00AD76F4">
        <w:rPr>
          <w:rFonts w:ascii="Arial Narrow" w:hAnsi="Arial Narrow" w:cs="Arial"/>
          <w:snapToGrid w:val="0"/>
          <w:sz w:val="18"/>
          <w:szCs w:val="20"/>
          <w:lang w:eastAsia="en-US"/>
        </w:rPr>
        <w:t xml:space="preserve">= </w:t>
      </w:r>
      <w:r w:rsidR="00092C9F">
        <w:rPr>
          <w:rFonts w:ascii="Arial Narrow" w:hAnsi="Arial Narrow" w:cs="Arial"/>
          <w:snapToGrid w:val="0"/>
          <w:sz w:val="18"/>
          <w:szCs w:val="20"/>
          <w:lang w:eastAsia="en-US"/>
        </w:rPr>
        <w:t xml:space="preserve">fluorescence-activating cell sorting; </w:t>
      </w:r>
      <w:r w:rsidR="008F7337">
        <w:rPr>
          <w:rFonts w:ascii="Arial Narrow" w:hAnsi="Arial Narrow" w:cs="Arial"/>
          <w:snapToGrid w:val="0"/>
          <w:sz w:val="18"/>
          <w:szCs w:val="20"/>
          <w:lang w:eastAsia="en-US"/>
        </w:rPr>
        <w:t xml:space="preserve">NMO = neuromyelitis optica; NMOSD = neuromyelitis optica spectrum disorders; </w:t>
      </w:r>
      <w:r w:rsidRPr="00AD76F4">
        <w:rPr>
          <w:rFonts w:ascii="Arial Narrow" w:hAnsi="Arial Narrow" w:cs="Arial"/>
          <w:snapToGrid w:val="0"/>
          <w:sz w:val="18"/>
          <w:szCs w:val="20"/>
          <w:lang w:eastAsia="en-US"/>
        </w:rPr>
        <w:t xml:space="preserve">NPA = negative percentage agreement; PPA = positive percentage agreement </w:t>
      </w:r>
    </w:p>
    <w:p w14:paraId="29789169" w14:textId="77777777" w:rsidR="00AD76F4" w:rsidRPr="00AD76F4" w:rsidRDefault="00AD76F4" w:rsidP="00617512">
      <w:pPr>
        <w:keepNext/>
        <w:keepLines/>
        <w:spacing w:after="120" w:line="240" w:lineRule="auto"/>
        <w:contextualSpacing/>
        <w:jc w:val="left"/>
        <w:rPr>
          <w:rFonts w:ascii="Arial Narrow" w:hAnsi="Arial Narrow" w:cs="Arial"/>
          <w:snapToGrid w:val="0"/>
          <w:sz w:val="18"/>
          <w:szCs w:val="20"/>
          <w:lang w:eastAsia="en-US"/>
        </w:rPr>
      </w:pPr>
      <w:r w:rsidRPr="00AD76F4">
        <w:rPr>
          <w:rFonts w:ascii="Arial Narrow" w:hAnsi="Arial Narrow" w:cs="Arial"/>
          <w:snapToGrid w:val="0"/>
          <w:sz w:val="18"/>
          <w:szCs w:val="20"/>
          <w:vertAlign w:val="superscript"/>
          <w:lang w:eastAsia="en-US"/>
        </w:rPr>
        <w:t xml:space="preserve">a </w:t>
      </w:r>
      <w:r w:rsidRPr="00AD76F4">
        <w:rPr>
          <w:rFonts w:ascii="Arial Narrow" w:hAnsi="Arial Narrow" w:cs="Arial"/>
          <w:snapToGrid w:val="0"/>
          <w:sz w:val="18"/>
          <w:szCs w:val="20"/>
          <w:lang w:eastAsia="en-US"/>
        </w:rPr>
        <w:t>Study by Waters et al. 2016</w:t>
      </w:r>
    </w:p>
    <w:p w14:paraId="116F2757" w14:textId="77777777" w:rsidR="00AD76F4" w:rsidRDefault="00AD76F4" w:rsidP="00617512">
      <w:pPr>
        <w:keepNext/>
        <w:keepLines/>
        <w:spacing w:after="120" w:line="240" w:lineRule="auto"/>
        <w:contextualSpacing/>
        <w:jc w:val="left"/>
        <w:rPr>
          <w:rFonts w:ascii="Arial Narrow" w:hAnsi="Arial Narrow" w:cs="Arial"/>
          <w:snapToGrid w:val="0"/>
          <w:sz w:val="18"/>
          <w:szCs w:val="20"/>
          <w:lang w:eastAsia="en-US"/>
        </w:rPr>
      </w:pPr>
      <w:r w:rsidRPr="00AD76F4">
        <w:rPr>
          <w:rFonts w:ascii="Arial Narrow" w:hAnsi="Arial Narrow" w:cs="Arial"/>
          <w:snapToGrid w:val="0"/>
          <w:sz w:val="18"/>
          <w:szCs w:val="20"/>
          <w:vertAlign w:val="superscript"/>
          <w:lang w:eastAsia="en-US"/>
        </w:rPr>
        <w:t xml:space="preserve">b </w:t>
      </w:r>
      <w:r w:rsidRPr="00AD76F4">
        <w:rPr>
          <w:rFonts w:ascii="Arial Narrow" w:hAnsi="Arial Narrow" w:cs="Arial"/>
          <w:snapToGrid w:val="0"/>
          <w:sz w:val="18"/>
          <w:szCs w:val="20"/>
          <w:lang w:eastAsia="en-US"/>
        </w:rPr>
        <w:t>total includes10 tests and 193 number of cases in study by Waters et al. 2016 and 1 test and 45 number of cases in study by Jarius et al 2010</w:t>
      </w:r>
    </w:p>
    <w:p w14:paraId="7044DEF0" w14:textId="77777777" w:rsidR="00AD76F4" w:rsidRDefault="00AD76F4" w:rsidP="00AD76F4">
      <w:pPr>
        <w:pStyle w:val="Heading3"/>
      </w:pPr>
      <w:bookmarkStart w:id="206" w:name="_Toc39588301"/>
      <w:r>
        <w:t>Concordance between serum and cerebrospinal fluid test</w:t>
      </w:r>
      <w:r w:rsidR="000C6A32">
        <w:t>ing</w:t>
      </w:r>
      <w:r w:rsidR="00EF1046">
        <w:t xml:space="preserve"> for aqp4-ab detection</w:t>
      </w:r>
      <w:bookmarkEnd w:id="206"/>
    </w:p>
    <w:p w14:paraId="1D298F15" w14:textId="3ACD7BC8" w:rsidR="00536481" w:rsidRPr="00536481" w:rsidRDefault="00536481" w:rsidP="00536481">
      <w:r w:rsidRPr="00536481">
        <w:t xml:space="preserve">One study </w:t>
      </w:r>
      <w:r w:rsidR="00156621">
        <w:fldChar w:fldCharType="begin">
          <w:fldData xml:space="preserve">PEVuZE5vdGU+PENpdGU+PEF1dGhvcj5KYXJpdXM8L0F1dGhvcj48WWVhcj4yMDEwPC9ZZWFyPjxS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</w:fldData>
        </w:fldChar>
      </w:r>
      <w:r w:rsidR="00D96694">
        <w:instrText xml:space="preserve"> ADDIN EN.CITE </w:instrText>
      </w:r>
      <w:r w:rsidR="00D96694">
        <w:fldChar w:fldCharType="begin">
          <w:fldData xml:space="preserve">PEVuZE5vdGU+PENpdGU+PEF1dGhvcj5KYXJpdXM8L0F1dGhvcj48WWVhcj4yMDEwPC9ZZWFyPjxS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</w:fldData>
        </w:fldChar>
      </w:r>
      <w:r w:rsidR="00D96694">
        <w:instrText xml:space="preserve"> ADDIN EN.CITE.DATA </w:instrText>
      </w:r>
      <w:r w:rsidR="00D96694">
        <w:fldChar w:fldCharType="end"/>
      </w:r>
      <w:r w:rsidR="00156621">
        <w:fldChar w:fldCharType="separate"/>
      </w:r>
      <w:r w:rsidR="00AC01FD">
        <w:rPr>
          <w:noProof/>
        </w:rPr>
        <w:t>(Jarius et al. 2010)</w:t>
      </w:r>
      <w:r w:rsidR="00156621">
        <w:fldChar w:fldCharType="end"/>
      </w:r>
      <w:r w:rsidRPr="00536481">
        <w:t xml:space="preserve"> provided analytical validity data for testing CSF samples compared to serum samples using fixed cell-based assay (</w:t>
      </w:r>
      <w:r w:rsidR="007F6A2A">
        <w:fldChar w:fldCharType="begin"/>
      </w:r>
      <w:r w:rsidR="007F6A2A">
        <w:instrText xml:space="preserve"> REF _Ref29282196 \h </w:instrText>
      </w:r>
      <w:r w:rsidR="007F6A2A">
        <w:fldChar w:fldCharType="separate"/>
      </w:r>
      <w:r w:rsidR="004B21EF">
        <w:t xml:space="preserve">Figure </w:t>
      </w:r>
      <w:r w:rsidR="004B21EF">
        <w:rPr>
          <w:noProof/>
        </w:rPr>
        <w:t>7</w:t>
      </w:r>
      <w:r w:rsidR="007F6A2A">
        <w:fldChar w:fldCharType="end"/>
      </w:r>
      <w:r w:rsidRPr="00536481">
        <w:t xml:space="preserve">). </w:t>
      </w:r>
      <w:r w:rsidR="00BD0E80">
        <w:t>An analysis of c</w:t>
      </w:r>
      <w:r w:rsidR="00827547">
        <w:t xml:space="preserve">oncordance between </w:t>
      </w:r>
      <w:r w:rsidR="002F7772" w:rsidRPr="00F8453D">
        <w:t xml:space="preserve">serum </w:t>
      </w:r>
      <w:r w:rsidR="00CE0DD3">
        <w:t>and</w:t>
      </w:r>
      <w:r w:rsidR="002F7772" w:rsidRPr="00F8453D">
        <w:t xml:space="preserve"> CSF samples to detect AQP4-Abs showed that 32% of cases found to be AQP4-Ab positive in serum, were </w:t>
      </w:r>
      <w:r w:rsidR="00226E53">
        <w:t xml:space="preserve">not </w:t>
      </w:r>
      <w:r w:rsidR="00142832">
        <w:t xml:space="preserve">AQP4-Ab </w:t>
      </w:r>
      <w:r w:rsidR="002F7772" w:rsidRPr="00F8453D">
        <w:t xml:space="preserve">positive in CSF, with a PPA in serum and CSF of 100% and 68%, respectively. </w:t>
      </w:r>
      <w:r w:rsidR="00C5251E">
        <w:t>These r</w:t>
      </w:r>
      <w:r w:rsidR="002F7772" w:rsidRPr="00F8453D">
        <w:t xml:space="preserve">esults for testing CSF for AQP4-Abs are consistent with Wingerchuk et al. </w:t>
      </w:r>
      <w:r w:rsidR="00156621">
        <w:fldChar w:fldCharType="begin"/>
      </w:r>
      <w:r w:rsidR="00646E7C">
        <w:instrText xml:space="preserve"> ADDIN EN.CITE &lt;EndNote&gt;&lt;Cite&gt;&lt;Author&gt;Wingerchuk&lt;/Author&gt;&lt;Year&gt;2015&lt;/Year&gt;&lt;RecNum&gt;35&lt;/RecNum&gt;&lt;IDText&gt;177-189&lt;/IDText&gt;&lt;DisplayText&gt;(Wingerchuk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fldChar w:fldCharType="separate"/>
      </w:r>
      <w:r w:rsidR="00646E7C">
        <w:rPr>
          <w:noProof/>
        </w:rPr>
        <w:t>(2015)</w:t>
      </w:r>
      <w:r w:rsidR="00156621">
        <w:fldChar w:fldCharType="end"/>
      </w:r>
      <w:r w:rsidR="002F7772" w:rsidRPr="00F8453D">
        <w:t xml:space="preserve"> who reported that cases of AQP4-Ab detection in CSF, when they have not been detected in serum are rare, and routine CSF testing for AQP4-Ab testing in seronegative patients is not recommended.</w:t>
      </w:r>
      <w:r w:rsidR="00482CBD">
        <w:t xml:space="preserve"> The NPA </w:t>
      </w:r>
      <w:r w:rsidR="00A54D87">
        <w:t>was the same for both serum and CSF.</w:t>
      </w:r>
      <w:r w:rsidR="00482CBD">
        <w:t xml:space="preserve"> </w:t>
      </w:r>
    </w:p>
    <w:p w14:paraId="5E62CFB3" w14:textId="77777777" w:rsidR="00AD76F4" w:rsidRPr="00AD76F4" w:rsidRDefault="00AD76F4" w:rsidP="004B21EF">
      <w:pPr>
        <w:keepNext/>
      </w:pPr>
      <w:r w:rsidRPr="00AD76F4">
        <w:rPr>
          <w:noProof/>
        </w:rPr>
        <w:lastRenderedPageBreak/>
        <w:drawing>
          <wp:inline distT="0" distB="0" distL="0" distR="0" wp14:anchorId="3A2BA1D8" wp14:editId="4073C996">
            <wp:extent cx="5731510" cy="1215831"/>
            <wp:effectExtent l="0" t="0" r="2540" b="0"/>
            <wp:docPr id="16" name="Picture 16" descr="Positive percent agreement and negative percent agreement for AQP4-Ab assays performed on serum or cerebrospinal fluid. (Data from Jarius et al, 2010)" title="Figure 8 Concordance in assay samples using seruma versus cerebrospinal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238"/>
                    <a:stretch/>
                  </pic:blipFill>
                  <pic:spPr bwMode="auto">
                    <a:xfrm>
                      <a:off x="0" y="0"/>
                      <a:ext cx="5731510" cy="1215831"/>
                    </a:xfrm>
                    <a:prstGeom prst="rect">
                      <a:avLst/>
                    </a:prstGeom>
                    <a:noFill/>
                    <a:ln>
                      <a:noFill/>
                    </a:ln>
                    <a:extLst>
                      <a:ext uri="{53640926-AAD7-44D8-BBD7-CCE9431645EC}">
                        <a14:shadowObscured xmlns:a14="http://schemas.microsoft.com/office/drawing/2010/main"/>
                      </a:ext>
                    </a:extLst>
                  </pic:spPr>
                </pic:pic>
              </a:graphicData>
            </a:graphic>
          </wp:inline>
        </w:drawing>
      </w:r>
    </w:p>
    <w:p w14:paraId="0FC6F347" w14:textId="0DEB9BE2" w:rsidR="00023FF1" w:rsidRDefault="00023FF1" w:rsidP="00023FF1">
      <w:pPr>
        <w:pStyle w:val="Caption"/>
        <w:spacing w:after="0"/>
        <w:rPr>
          <w:rFonts w:cs="Arial"/>
          <w:snapToGrid w:val="0"/>
          <w:sz w:val="18"/>
          <w:szCs w:val="20"/>
          <w:lang w:eastAsia="en-US"/>
        </w:rPr>
      </w:pPr>
      <w:bookmarkStart w:id="207" w:name="_Ref29282196"/>
      <w:bookmarkStart w:id="208" w:name="_Toc79672138"/>
      <w:r>
        <w:t xml:space="preserve">Figure </w:t>
      </w:r>
      <w:fldSimple w:instr=" SEQ Figure \* ARABIC ">
        <w:r w:rsidR="004B21EF">
          <w:rPr>
            <w:noProof/>
          </w:rPr>
          <w:t>7</w:t>
        </w:r>
      </w:fldSimple>
      <w:bookmarkEnd w:id="207"/>
      <w:r w:rsidRPr="00AD76F4">
        <w:rPr>
          <w:snapToGrid w:val="0"/>
          <w:lang w:eastAsia="en-US"/>
        </w:rPr>
        <w:tab/>
        <w:t>Concordance in assay samples using serum</w:t>
      </w:r>
      <w:r w:rsidRPr="00AD76F4">
        <w:rPr>
          <w:snapToGrid w:val="0"/>
          <w:vertAlign w:val="superscript"/>
          <w:lang w:eastAsia="en-US"/>
        </w:rPr>
        <w:t>a</w:t>
      </w:r>
      <w:r w:rsidRPr="00AD76F4">
        <w:rPr>
          <w:snapToGrid w:val="0"/>
          <w:lang w:eastAsia="en-US"/>
        </w:rPr>
        <w:t xml:space="preserve"> versus cerebrospinal fluid</w:t>
      </w:r>
      <w:bookmarkEnd w:id="208"/>
    </w:p>
    <w:p w14:paraId="5E6F97D3" w14:textId="77777777" w:rsidR="00AD76F4" w:rsidRPr="00AD76F4" w:rsidRDefault="00AD76F4" w:rsidP="00023FF1">
      <w:pPr>
        <w:widowControl w:val="0"/>
        <w:spacing w:after="0" w:line="240" w:lineRule="auto"/>
        <w:contextualSpacing/>
        <w:jc w:val="left"/>
        <w:rPr>
          <w:rFonts w:ascii="Arial Narrow" w:hAnsi="Arial Narrow" w:cs="Arial"/>
          <w:snapToGrid w:val="0"/>
          <w:sz w:val="18"/>
          <w:szCs w:val="20"/>
          <w:lang w:eastAsia="en-US"/>
        </w:rPr>
      </w:pPr>
      <w:r w:rsidRPr="00AD76F4">
        <w:rPr>
          <w:rFonts w:ascii="Arial Narrow" w:hAnsi="Arial Narrow" w:cs="Arial"/>
          <w:snapToGrid w:val="0"/>
          <w:sz w:val="18"/>
          <w:szCs w:val="20"/>
          <w:lang w:eastAsia="en-US"/>
        </w:rPr>
        <w:t>CSF = cerebrospinal fluid</w:t>
      </w:r>
    </w:p>
    <w:p w14:paraId="7A2059DB" w14:textId="77777777" w:rsidR="00AD76F4" w:rsidRPr="00AD76F4" w:rsidRDefault="00AD76F4" w:rsidP="00AD76F4">
      <w:pPr>
        <w:widowControl w:val="0"/>
        <w:spacing w:after="120" w:line="240" w:lineRule="auto"/>
        <w:contextualSpacing/>
        <w:jc w:val="left"/>
        <w:rPr>
          <w:rFonts w:ascii="Arial Narrow" w:hAnsi="Arial Narrow" w:cs="Arial"/>
          <w:snapToGrid w:val="0"/>
          <w:sz w:val="18"/>
          <w:szCs w:val="20"/>
          <w:lang w:eastAsia="en-US"/>
        </w:rPr>
      </w:pPr>
      <w:r w:rsidRPr="00AD76F4">
        <w:rPr>
          <w:rFonts w:ascii="Arial Narrow" w:hAnsi="Arial Narrow" w:cs="Arial"/>
          <w:snapToGrid w:val="0"/>
          <w:sz w:val="18"/>
          <w:szCs w:val="20"/>
          <w:vertAlign w:val="superscript"/>
          <w:lang w:eastAsia="en-US"/>
        </w:rPr>
        <w:t xml:space="preserve">a </w:t>
      </w:r>
      <w:r w:rsidRPr="00AD76F4">
        <w:rPr>
          <w:rFonts w:ascii="Arial Narrow" w:hAnsi="Arial Narrow" w:cs="Arial"/>
          <w:snapToGrid w:val="0"/>
          <w:sz w:val="18"/>
          <w:szCs w:val="20"/>
          <w:lang w:eastAsia="en-US"/>
        </w:rPr>
        <w:t>fixed cell-based assay used</w:t>
      </w:r>
    </w:p>
    <w:p w14:paraId="46242F74" w14:textId="77777777" w:rsidR="00ED65EE" w:rsidRPr="00EA7191" w:rsidRDefault="00ED65EE" w:rsidP="00AD76F4"/>
    <w:p w14:paraId="753D4995" w14:textId="77777777" w:rsidR="00ED65EE" w:rsidRPr="00B50CCC" w:rsidRDefault="00ED65EE" w:rsidP="003816F6">
      <w:pPr>
        <w:pStyle w:val="Heading2"/>
        <w:numPr>
          <w:ilvl w:val="1"/>
          <w:numId w:val="20"/>
        </w:numPr>
      </w:pPr>
      <w:bookmarkStart w:id="209" w:name="_Toc39588302"/>
      <w:r>
        <w:t>Interpretation of evidence on diagnostic performance</w:t>
      </w:r>
      <w:bookmarkEnd w:id="209"/>
    </w:p>
    <w:p w14:paraId="4B3CCE2B" w14:textId="77777777" w:rsidR="00F8453D" w:rsidRPr="00F8453D" w:rsidRDefault="00F8453D" w:rsidP="00F8453D">
      <w:r w:rsidRPr="00F8453D">
        <w:t>There was only limited evidence found on the diagnostic performance of AQP4-Abs. There were methodological differences between the included studies</w:t>
      </w:r>
      <w:r w:rsidR="00C45FFD">
        <w:t>, such as</w:t>
      </w:r>
      <w:r w:rsidRPr="00F8453D">
        <w:t xml:space="preserve"> population recruitment, storage and handling of samples and testing techniques, due to the fact that a number of different diagnostic centres throughout Europe were involved. There was also lack of detail regarding </w:t>
      </w:r>
      <w:r w:rsidR="00C45FFD">
        <w:t>the initial test</w:t>
      </w:r>
      <w:r w:rsidRPr="00F8453D">
        <w:t xml:space="preserve"> in the study population </w:t>
      </w:r>
      <w:r w:rsidR="00C45FFD">
        <w:t xml:space="preserve">that </w:t>
      </w:r>
      <w:r w:rsidRPr="00F8453D">
        <w:t>diagnose</w:t>
      </w:r>
      <w:r w:rsidR="00C45FFD">
        <w:t>d</w:t>
      </w:r>
      <w:r w:rsidRPr="00F8453D">
        <w:t xml:space="preserve"> NMO/NMOSD. In addition, due to a lack of reference standard, only a concordance analysis could be performed to determine the agreement between cell-based assays, rather than which one was the most accurate at detecting AQP4-Abs. </w:t>
      </w:r>
    </w:p>
    <w:p w14:paraId="76BE16F8" w14:textId="77777777" w:rsidR="00F8453D" w:rsidRPr="00F8453D" w:rsidRDefault="006E3B8B" w:rsidP="00F8453D">
      <w:r>
        <w:t>O</w:t>
      </w:r>
      <w:r w:rsidR="00F8453D" w:rsidRPr="00F8453D">
        <w:t>verall</w:t>
      </w:r>
      <w:r w:rsidR="00DA5033">
        <w:t>,</w:t>
      </w:r>
      <w:r w:rsidR="00F8453D" w:rsidRPr="00F8453D">
        <w:t xml:space="preserve"> all serum cell-based assays tend to agree with each other when detecting AQP4-Abs. The PPA for all three assays </w:t>
      </w:r>
      <w:r w:rsidR="002A2A22">
        <w:t xml:space="preserve">(live, fixed and FACS) </w:t>
      </w:r>
      <w:r w:rsidR="00F8453D" w:rsidRPr="00F8453D">
        <w:t xml:space="preserve">ranged from 96-100%. There was slightly less agreement between the three assays for not detecting serum AQP4-Abs, where fixed cell (NPA 81%) and FACS (NPA 85%) were less likely to agree with a live cell-based assay (NPA 100%) for negative detection of AQP4-Abs. </w:t>
      </w:r>
    </w:p>
    <w:p w14:paraId="75840FA4" w14:textId="76420B8C" w:rsidR="00F8453D" w:rsidRPr="00F8453D" w:rsidRDefault="00DA5033" w:rsidP="00F8453D">
      <w:r>
        <w:t>CSF performed poorly against serum, agreeing with only 68% of positive samples. It did not detect any additional positive samples in CFS that were negative in serum, questioning its value as an additional test in sero-negative patients. However, a</w:t>
      </w:r>
      <w:r w:rsidR="00F8453D" w:rsidRPr="00F8453D">
        <w:t>s reported in the ratified P</w:t>
      </w:r>
      <w:r w:rsidR="0044547B">
        <w:t>ICO</w:t>
      </w:r>
      <w:r w:rsidR="00F8453D" w:rsidRPr="00F8453D">
        <w:t xml:space="preserve"> p</w:t>
      </w:r>
      <w:r w:rsidR="008A4991">
        <w:t xml:space="preserve">age </w:t>
      </w:r>
      <w:r w:rsidR="00F8453D" w:rsidRPr="00F8453D">
        <w:t xml:space="preserve">10, </w:t>
      </w:r>
      <w:r>
        <w:t xml:space="preserve">clinical advice suggests that </w:t>
      </w:r>
      <w:r w:rsidR="00F8453D" w:rsidRPr="00F8453D">
        <w:t xml:space="preserve">CSF </w:t>
      </w:r>
      <w:r w:rsidR="00A02A3A">
        <w:t xml:space="preserve">AQP4-Ab </w:t>
      </w:r>
      <w:r w:rsidR="00F8453D" w:rsidRPr="00F8453D">
        <w:t>testing may be used in some clinical situations, for examine if a serum test is negative, a CSF test may be requested as confirmation.</w:t>
      </w:r>
    </w:p>
    <w:p w14:paraId="665907FA" w14:textId="77777777" w:rsidR="00AD76F4" w:rsidRPr="00AD76F4" w:rsidRDefault="00AD76F4" w:rsidP="00AD76F4"/>
    <w:p w14:paraId="0093F657" w14:textId="77777777" w:rsidR="00AD76F4" w:rsidRPr="00AC3351" w:rsidRDefault="00AD76F4" w:rsidP="00ED65EE"/>
    <w:p w14:paraId="475E0607" w14:textId="1F907707" w:rsidR="00ED65EE" w:rsidRDefault="00ED65EE" w:rsidP="00ED65EE">
      <w:pPr>
        <w:pStyle w:val="Heading1"/>
      </w:pPr>
      <w:bookmarkStart w:id="210" w:name="_Toc39588303"/>
      <w:r>
        <w:lastRenderedPageBreak/>
        <w:t>B4</w:t>
      </w:r>
      <w:r w:rsidR="009C309C">
        <w:tab/>
      </w:r>
      <w:r>
        <w:t>Clinical Validity</w:t>
      </w:r>
      <w:bookmarkEnd w:id="210"/>
    </w:p>
    <w:p w14:paraId="7D1A0AA4" w14:textId="77777777" w:rsidR="00ED65EE" w:rsidRDefault="00ED65EE" w:rsidP="00ED65EE">
      <w:pPr>
        <w:pStyle w:val="Heading2"/>
      </w:pPr>
      <w:bookmarkStart w:id="211" w:name="_Ref30684030"/>
      <w:bookmarkStart w:id="212" w:name="_Toc39588304"/>
      <w:r w:rsidRPr="00430BAD">
        <w:rPr>
          <w:sz w:val="24"/>
          <w:szCs w:val="24"/>
        </w:rPr>
        <w:t>B4.1</w:t>
      </w:r>
      <w:r>
        <w:tab/>
        <w:t>Measures of clinical validity</w:t>
      </w:r>
      <w:bookmarkEnd w:id="211"/>
      <w:bookmarkEnd w:id="212"/>
    </w:p>
    <w:p w14:paraId="6B17218C" w14:textId="7F7D9DFB" w:rsidR="00A77929" w:rsidRPr="003D607E" w:rsidRDefault="003D607E" w:rsidP="00C12E41">
      <w:r>
        <w:t>The clinical validity of a test depends on the prevalence (or pre-test probability) of the target condition or outcome of interest. The key measures used are the positive and negative predictive values, which are the probabilities of disease or absence of disease in a tested individual. These measures are heavily dependent on the prevalence of disease in the study population, and cannot be readily transferred to different populations or pooled to produce a summary estimate.</w:t>
      </w:r>
      <w:r w:rsidRPr="003D607E">
        <w:t xml:space="preserve">An estimate of the prevalence of the target population </w:t>
      </w:r>
      <w:r>
        <w:t xml:space="preserve">in Australia has therefore been provided in this section. The prevalence of NMOSD </w:t>
      </w:r>
      <w:r w:rsidR="00D650EE">
        <w:t>varies</w:t>
      </w:r>
      <w:r>
        <w:t xml:space="preserve"> across the globe and is higher in Asian populations, therefore those populations with a higher proportion of those with Asian origins </w:t>
      </w:r>
      <w:r w:rsidR="00CD1546">
        <w:t>tend to have a correspondingly</w:t>
      </w:r>
      <w:r>
        <w:t xml:space="preserve"> higher </w:t>
      </w:r>
      <w:r w:rsidR="00CD1546">
        <w:t>number of individuals with NMOSD.</w:t>
      </w:r>
    </w:p>
    <w:p w14:paraId="716EEE51" w14:textId="77777777" w:rsidR="003D607E" w:rsidRDefault="00CD1546" w:rsidP="00C12E41">
      <w:pPr>
        <w:spacing w:after="120"/>
      </w:pPr>
      <w:r>
        <w:t xml:space="preserve">Ideally, the sensitivity and specificity of diagnosis with the antibody tests </w:t>
      </w:r>
      <w:r w:rsidR="009B2FE1">
        <w:t>in addition to</w:t>
      </w:r>
      <w:r>
        <w:t xml:space="preserve"> clinical characteristics</w:t>
      </w:r>
      <w:r w:rsidR="009B2FE1">
        <w:t>,</w:t>
      </w:r>
      <w:r>
        <w:t xml:space="preserve"> compared to diagnosis based on clinical characteristics alone</w:t>
      </w:r>
      <w:r w:rsidR="009B2FE1">
        <w:t>,</w:t>
      </w:r>
      <w:r>
        <w:t xml:space="preserve"> would be used to determine the PPV and NPV. </w:t>
      </w:r>
      <w:r w:rsidR="0087624E">
        <w:t xml:space="preserve">In this section, </w:t>
      </w:r>
      <w:r>
        <w:t xml:space="preserve">sensitivity and specificity </w:t>
      </w:r>
      <w:r w:rsidR="0087624E">
        <w:t>were</w:t>
      </w:r>
      <w:r>
        <w:t xml:space="preserve"> calculated from data </w:t>
      </w:r>
      <w:r w:rsidR="0087624E">
        <w:t>extracted from the relevant articles. However</w:t>
      </w:r>
      <w:r>
        <w:t xml:space="preserve">, there were several issues that arose with these measures that prevented </w:t>
      </w:r>
      <w:r w:rsidR="0087624E">
        <w:t>these data</w:t>
      </w:r>
      <w:r>
        <w:t xml:space="preserve"> from being reliable. The issues included:</w:t>
      </w:r>
    </w:p>
    <w:p w14:paraId="47B9A05F" w14:textId="77777777" w:rsidR="00CD1546" w:rsidRDefault="00ED799F" w:rsidP="003816F6">
      <w:pPr>
        <w:pStyle w:val="ListParagraph"/>
        <w:numPr>
          <w:ilvl w:val="0"/>
          <w:numId w:val="23"/>
        </w:numPr>
        <w:spacing w:after="120"/>
        <w:ind w:left="714" w:hanging="357"/>
      </w:pPr>
      <w:r>
        <w:t>Incorporation</w:t>
      </w:r>
      <w:r w:rsidR="00CD1546">
        <w:t xml:space="preserve"> bias – </w:t>
      </w:r>
      <w:r w:rsidR="00A36964">
        <w:t xml:space="preserve">diagnosis by clinical characteristics </w:t>
      </w:r>
      <w:r>
        <w:t xml:space="preserve">(2015 IPND criteria) </w:t>
      </w:r>
      <w:r w:rsidR="00A36964">
        <w:t xml:space="preserve">is the </w:t>
      </w:r>
      <w:r w:rsidR="0087624E">
        <w:t>clinical reference</w:t>
      </w:r>
      <w:r w:rsidR="00A36964">
        <w:t xml:space="preserve"> standard</w:t>
      </w:r>
      <w:r>
        <w:t>, however the IPND includes the option of AQP-Ab testing</w:t>
      </w:r>
      <w:r w:rsidR="00A36964">
        <w:t xml:space="preserve"> </w:t>
      </w:r>
      <w:r>
        <w:t>which also</w:t>
      </w:r>
      <w:r w:rsidR="00A36964">
        <w:t xml:space="preserve"> forms part of the index test</w:t>
      </w:r>
      <w:r w:rsidR="00B1693D">
        <w:t xml:space="preserve"> (see Section B4.1.1</w:t>
      </w:r>
      <w:r w:rsidR="00A36964">
        <w:t xml:space="preserve"> for explanation</w:t>
      </w:r>
      <w:r w:rsidR="00B1693D">
        <w:t>);</w:t>
      </w:r>
      <w:r w:rsidR="00CD1546">
        <w:t xml:space="preserve"> </w:t>
      </w:r>
    </w:p>
    <w:p w14:paraId="374A3B99" w14:textId="77777777" w:rsidR="00CD1546" w:rsidRDefault="00CD1546" w:rsidP="003816F6">
      <w:pPr>
        <w:pStyle w:val="ListParagraph"/>
        <w:numPr>
          <w:ilvl w:val="0"/>
          <w:numId w:val="23"/>
        </w:numPr>
        <w:spacing w:after="120"/>
        <w:ind w:left="714" w:hanging="357"/>
      </w:pPr>
      <w:r>
        <w:t xml:space="preserve">It </w:t>
      </w:r>
      <w:r w:rsidR="006F5866">
        <w:t xml:space="preserve">is </w:t>
      </w:r>
      <w:r>
        <w:t>assumed by clinicians that AQP4-Ab positiv</w:t>
      </w:r>
      <w:r w:rsidR="006F5866">
        <w:t>ity</w:t>
      </w:r>
      <w:r>
        <w:t xml:space="preserve"> is definitive for </w:t>
      </w:r>
      <w:r w:rsidR="00B1693D">
        <w:t xml:space="preserve">a </w:t>
      </w:r>
      <w:r>
        <w:t>diagnosis of NMOSD. When it is not reported to the contrary, zero cases are assumed for false positive AQP4-Ab results</w:t>
      </w:r>
      <w:r w:rsidR="00D650EE">
        <w:t>;</w:t>
      </w:r>
    </w:p>
    <w:p w14:paraId="35DD2351" w14:textId="77777777" w:rsidR="00CD1546" w:rsidRDefault="00CD1546" w:rsidP="003816F6">
      <w:pPr>
        <w:pStyle w:val="ListParagraph"/>
        <w:numPr>
          <w:ilvl w:val="0"/>
          <w:numId w:val="23"/>
        </w:numPr>
        <w:spacing w:after="120"/>
        <w:ind w:left="714" w:hanging="357"/>
      </w:pPr>
      <w:r>
        <w:t>A negative test result for AQP4-Ab does not rule out a NMOSD diagnosis</w:t>
      </w:r>
      <w:r w:rsidR="00D650EE">
        <w:t>;</w:t>
      </w:r>
    </w:p>
    <w:p w14:paraId="7FA09FE1" w14:textId="77777777" w:rsidR="00CD1546" w:rsidRDefault="002C4616" w:rsidP="003816F6">
      <w:pPr>
        <w:pStyle w:val="ListParagraph"/>
        <w:numPr>
          <w:ilvl w:val="0"/>
          <w:numId w:val="23"/>
        </w:numPr>
        <w:spacing w:after="120"/>
        <w:ind w:left="714" w:hanging="357"/>
      </w:pPr>
      <w:r>
        <w:t>In the literature, a</w:t>
      </w:r>
      <w:r w:rsidR="00CD1546">
        <w:t xml:space="preserve"> </w:t>
      </w:r>
      <w:r w:rsidR="00BE4171">
        <w:t xml:space="preserve">reported </w:t>
      </w:r>
      <w:r w:rsidR="00CE0DD3">
        <w:t>patient r</w:t>
      </w:r>
      <w:r w:rsidR="006F5866">
        <w:t>esult</w:t>
      </w:r>
      <w:r w:rsidR="00CE0DD3">
        <w:t xml:space="preserve"> of AQP4-Ab negati</w:t>
      </w:r>
      <w:r w:rsidR="00CD1546">
        <w:t xml:space="preserve">ve may also mean status </w:t>
      </w:r>
      <w:r w:rsidR="00D650EE">
        <w:t xml:space="preserve">is </w:t>
      </w:r>
      <w:r w:rsidR="00CD1546">
        <w:t xml:space="preserve">not available for the purposes of calculating </w:t>
      </w:r>
      <w:r w:rsidR="00BE4171">
        <w:t>s</w:t>
      </w:r>
      <w:r w:rsidR="00CD1546">
        <w:t>ensitivity</w:t>
      </w:r>
      <w:r w:rsidR="00D650EE">
        <w:t>;</w:t>
      </w:r>
    </w:p>
    <w:p w14:paraId="5022898D" w14:textId="77777777" w:rsidR="00CD1546" w:rsidRDefault="00CD1546" w:rsidP="003816F6">
      <w:pPr>
        <w:pStyle w:val="ListParagraph"/>
        <w:numPr>
          <w:ilvl w:val="0"/>
          <w:numId w:val="23"/>
        </w:numPr>
        <w:ind w:left="714" w:hanging="357"/>
      </w:pPr>
      <w:r>
        <w:t>There is no clinical reference standard for MOG</w:t>
      </w:r>
      <w:r w:rsidR="00BE4171">
        <w:t>-Ab</w:t>
      </w:r>
      <w:r>
        <w:t xml:space="preserve"> testing and so only yield data</w:t>
      </w:r>
      <w:r w:rsidR="00BE4171">
        <w:t xml:space="preserve"> can be provided for this test</w:t>
      </w:r>
      <w:r w:rsidR="00D650EE">
        <w:t>.</w:t>
      </w:r>
    </w:p>
    <w:p w14:paraId="5803C827" w14:textId="388B30D2" w:rsidR="003D607E" w:rsidRDefault="00BE4171" w:rsidP="00C12E41">
      <w:r>
        <w:t xml:space="preserve">Due to the unreliability of the sensitivity, specificity, NPV and PPV, evidence for prognosis of AQP4-Ab and MOG-Ab testing has been included (Section B4.2). If testing shows a difference in prognosis between those </w:t>
      </w:r>
      <w:r w:rsidR="00D650EE">
        <w:t>found</w:t>
      </w:r>
      <w:r>
        <w:t xml:space="preserve"> positive and negative amongst those</w:t>
      </w:r>
      <w:r w:rsidR="00E35E47">
        <w:t xml:space="preserve"> tested</w:t>
      </w:r>
      <w:r>
        <w:t xml:space="preserve"> who are at risk of NMOSD</w:t>
      </w:r>
      <w:r w:rsidR="00484AF3">
        <w:t>,</w:t>
      </w:r>
      <w:r>
        <w:t xml:space="preserve"> then this step can contribute to the linked evidence. </w:t>
      </w:r>
      <w:r w:rsidR="005C0FEA">
        <w:t>P</w:t>
      </w:r>
      <w:r>
        <w:t>rognostic evidence may show that the test</w:t>
      </w:r>
      <w:r w:rsidR="002661C4">
        <w:t>s</w:t>
      </w:r>
      <w:r>
        <w:t xml:space="preserve"> </w:t>
      </w:r>
      <w:r w:rsidR="002661C4">
        <w:t>have some validity</w:t>
      </w:r>
      <w:r>
        <w:t xml:space="preserve"> for separating </w:t>
      </w:r>
      <w:r w:rsidR="002661C4">
        <w:t xml:space="preserve">those at risk from those who are not, </w:t>
      </w:r>
      <w:r w:rsidR="005C0FEA">
        <w:t xml:space="preserve">however </w:t>
      </w:r>
      <w:r w:rsidR="002661C4">
        <w:t xml:space="preserve">further steps of linked evidence are required to show that those at risk are managed differently from those who are not at risk </w:t>
      </w:r>
      <w:r w:rsidR="005C0FEA">
        <w:t xml:space="preserve">(Section B5.1) </w:t>
      </w:r>
      <w:r w:rsidR="002661C4">
        <w:t>and that their health outcomes benefit as a result</w:t>
      </w:r>
      <w:r w:rsidR="005C0FEA">
        <w:t xml:space="preserve"> (Section B5.2)</w:t>
      </w:r>
      <w:r w:rsidR="002661C4">
        <w:t>.</w:t>
      </w:r>
      <w:r w:rsidR="005C0FEA">
        <w:t xml:space="preserve"> </w:t>
      </w:r>
    </w:p>
    <w:p w14:paraId="24226985" w14:textId="77777777" w:rsidR="00BE4171" w:rsidRDefault="00384466" w:rsidP="00384466">
      <w:pPr>
        <w:pStyle w:val="Heading3"/>
      </w:pPr>
      <w:bookmarkStart w:id="213" w:name="_Toc39588305"/>
      <w:r>
        <w:t>Incidence and prevalence of NMOSD</w:t>
      </w:r>
      <w:bookmarkEnd w:id="213"/>
    </w:p>
    <w:p w14:paraId="5736D5A0" w14:textId="42E234AD" w:rsidR="008F74E3" w:rsidRPr="008F74E3" w:rsidRDefault="008F74E3" w:rsidP="008F74E3">
      <w:r w:rsidRPr="008F74E3">
        <w:t xml:space="preserve">Two Australian studies </w:t>
      </w:r>
      <w:r w:rsidR="00156621">
        <w:fldChar w:fldCharType="begin">
          <w:fldData xml:space="preserve">PEVuZE5vdGU+PENpdGU+PEF1dGhvcj5CdWtoYXJpPC9BdXRob3I+PFllYXI+MjAxNzwvWWVhcj48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</w:fldData>
        </w:fldChar>
      </w:r>
      <w:r w:rsidR="00D96694">
        <w:instrText xml:space="preserve"> ADDIN EN.CITE </w:instrText>
      </w:r>
      <w:r w:rsidR="00D96694">
        <w:fldChar w:fldCharType="begin">
          <w:fldData xml:space="preserve">PEVuZE5vdGU+PENpdGU+PEF1dGhvcj5CdWtoYXJpPC9BdXRob3I+PFllYXI+MjAxNzwvWWVhcj48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</w:fldData>
        </w:fldChar>
      </w:r>
      <w:r w:rsidR="00D96694">
        <w:instrText xml:space="preserve"> ADDIN EN.CITE.DATA </w:instrText>
      </w:r>
      <w:r w:rsidR="00D96694">
        <w:fldChar w:fldCharType="end"/>
      </w:r>
      <w:r w:rsidR="00156621">
        <w:fldChar w:fldCharType="separate"/>
      </w:r>
      <w:r w:rsidR="00156621">
        <w:rPr>
          <w:noProof/>
        </w:rPr>
        <w:t>(Bukhari et al. 2017; Fabis-Pedrini et al. 2018)</w:t>
      </w:r>
      <w:r w:rsidR="00156621">
        <w:fldChar w:fldCharType="end"/>
      </w:r>
      <w:r w:rsidRPr="008F74E3">
        <w:t xml:space="preserve"> were included in this report to investigate the incidence and prevalence of NMOSD. One study by Bukhari et al. </w:t>
      </w:r>
      <w:r w:rsidR="00156621">
        <w:fldChar w:fldCharType="begin">
          <w:fldData xml:space="preserve">PEVuZE5vdGU+PENpdGU+PEF1dGhvcj5CdWtoYXJpPC9BdXRob3I+PFllYXI+MjAxNzwvWWVhcj48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</w:fldData>
        </w:fldChar>
      </w:r>
      <w:r w:rsidR="00D96694">
        <w:instrText xml:space="preserve"> ADDIN EN.CITE </w:instrText>
      </w:r>
      <w:r w:rsidR="00D96694">
        <w:fldChar w:fldCharType="begin">
          <w:fldData xml:space="preserve">PEVuZE5vdGU+PENpdGU+PEF1dGhvcj5CdWtoYXJpPC9BdXRob3I+PFllYXI+MjAxNzwvWWVhcj48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</w:fldData>
        </w:fldChar>
      </w:r>
      <w:r w:rsidR="00D96694">
        <w:instrText xml:space="preserve"> ADDIN EN.CITE.DATA </w:instrText>
      </w:r>
      <w:r w:rsidR="00D96694">
        <w:fldChar w:fldCharType="end"/>
      </w:r>
      <w:r w:rsidR="00156621">
        <w:fldChar w:fldCharType="separate"/>
      </w:r>
      <w:r w:rsidR="00156621">
        <w:rPr>
          <w:noProof/>
        </w:rPr>
        <w:t>(2017)</w:t>
      </w:r>
      <w:r w:rsidR="00156621">
        <w:fldChar w:fldCharType="end"/>
      </w:r>
      <w:r w:rsidRPr="008F74E3">
        <w:t xml:space="preserve"> investigated the incidence and prevalence of NMOSD in the Australia and New Zealand population using data from centres managing patients found to have clinical and laboratory features suspicious for NMO</w:t>
      </w:r>
      <w:r w:rsidR="00E67DA5">
        <w:t>SD</w:t>
      </w:r>
      <w:r w:rsidRPr="008F74E3">
        <w:t xml:space="preserve">, and who were tested for AQP4-Abs. The other study by Fabis-Pedrini et al. </w:t>
      </w:r>
      <w:r w:rsidR="00156621">
        <w:fldChar w:fldCharType="begin">
          <w:fldData xml:space="preserve">PEVuZE5vdGU+PENpdGU+PEF1dGhvcj5GYWJpcy1QZWRyaW5pPC9BdXRob3I+PFllYXI+MjAxODwv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</w:fldData>
        </w:fldChar>
      </w:r>
      <w:r w:rsidR="00D96694">
        <w:instrText xml:space="preserve"> ADDIN EN.CITE </w:instrText>
      </w:r>
      <w:r w:rsidR="00D96694">
        <w:fldChar w:fldCharType="begin">
          <w:fldData xml:space="preserve">PEVuZE5vdGU+PENpdGU+PEF1dGhvcj5GYWJpcy1QZWRyaW5pPC9BdXRob3I+PFllYXI+MjAxODwv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</w:fldData>
        </w:fldChar>
      </w:r>
      <w:r w:rsidR="00D96694">
        <w:instrText xml:space="preserve"> ADDIN EN.CITE.DATA </w:instrText>
      </w:r>
      <w:r w:rsidR="00D96694">
        <w:fldChar w:fldCharType="end"/>
      </w:r>
      <w:r w:rsidR="00156621">
        <w:fldChar w:fldCharType="separate"/>
      </w:r>
      <w:r w:rsidR="00E37849">
        <w:rPr>
          <w:noProof/>
        </w:rPr>
        <w:t>(</w:t>
      </w:r>
      <w:r w:rsidR="00156621">
        <w:rPr>
          <w:noProof/>
        </w:rPr>
        <w:t>2018)</w:t>
      </w:r>
      <w:r w:rsidR="00156621">
        <w:fldChar w:fldCharType="end"/>
      </w:r>
      <w:r w:rsidRPr="008F74E3">
        <w:t xml:space="preserve"> investigated just the prevalence of NMOSD in a laboratory-based study using sera or CSF samples from patients suspicious </w:t>
      </w:r>
      <w:r w:rsidRPr="008F74E3">
        <w:lastRenderedPageBreak/>
        <w:t>of NMOSD</w:t>
      </w:r>
      <w:r>
        <w:t>,</w:t>
      </w:r>
      <w:r w:rsidRPr="008F74E3">
        <w:t xml:space="preserve"> submitted to the sole pathology laboratory for AQP4-Ab testing in Western Australia</w:t>
      </w:r>
      <w:r>
        <w:t>,</w:t>
      </w:r>
      <w:r w:rsidRPr="008F74E3">
        <w:t xml:space="preserve"> over a </w:t>
      </w:r>
      <w:r w:rsidR="003040CA" w:rsidRPr="008F74E3">
        <w:t>three-year</w:t>
      </w:r>
      <w:r w:rsidRPr="008F74E3">
        <w:t xml:space="preserve"> period. A control group of patients with definite MS were also included in the study. Both studies used the most recent 2015 diagnostic criteria for NMOSD by Wingerchuk et al. </w:t>
      </w:r>
      <w:r w:rsidR="00156621">
        <w:fldChar w:fldCharType="begin"/>
      </w:r>
      <w:r w:rsidR="00646E7C">
        <w:instrText xml:space="preserve"> ADDIN EN.CITE &lt;EndNote&gt;&lt;Cite&gt;&lt;Author&gt;Wingerchuk&lt;/Author&gt;&lt;Year&gt;2015&lt;/Year&gt;&lt;RecNum&gt;35&lt;/RecNum&gt;&lt;IDText&gt;177&lt;/IDText&gt;&lt;DisplayText&gt;(Wingerchuk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fldChar w:fldCharType="separate"/>
      </w:r>
      <w:r w:rsidR="00646E7C">
        <w:rPr>
          <w:noProof/>
        </w:rPr>
        <w:t>(2015)</w:t>
      </w:r>
      <w:r w:rsidR="00156621">
        <w:fldChar w:fldCharType="end"/>
      </w:r>
      <w:r w:rsidRPr="008F74E3">
        <w:t xml:space="preserve">. Critical appraisal to determine the quality of these included studies was not </w:t>
      </w:r>
      <w:r w:rsidRPr="008F74E3">
        <w:rPr>
          <w:rFonts w:asciiTheme="minorHAnsi" w:hAnsiTheme="minorHAnsi" w:cstheme="minorHAnsi"/>
        </w:rPr>
        <w:t>conducted</w:t>
      </w:r>
      <w:r w:rsidR="00C839C4">
        <w:rPr>
          <w:rFonts w:asciiTheme="minorHAnsi" w:hAnsiTheme="minorHAnsi" w:cstheme="minorHAnsi"/>
        </w:rPr>
        <w:t xml:space="preserve"> as they are providing only background information</w:t>
      </w:r>
      <w:r w:rsidRPr="008F74E3">
        <w:rPr>
          <w:rFonts w:asciiTheme="minorHAnsi" w:hAnsiTheme="minorHAnsi" w:cstheme="minorHAnsi"/>
        </w:rPr>
        <w:t xml:space="preserve">. </w:t>
      </w:r>
      <w:r w:rsidRPr="008F74E3">
        <w:rPr>
          <w:rFonts w:asciiTheme="minorHAnsi" w:hAnsiTheme="minorHAnsi" w:cstheme="minorHAnsi"/>
        </w:rPr>
        <w:fldChar w:fldCharType="begin"/>
      </w:r>
      <w:r w:rsidRPr="008F74E3">
        <w:rPr>
          <w:rFonts w:asciiTheme="minorHAnsi" w:hAnsiTheme="minorHAnsi" w:cstheme="minorHAnsi"/>
        </w:rPr>
        <w:instrText xml:space="preserve"> REF _Ref27128128 \h  \* MERGEFORMAT </w:instrText>
      </w:r>
      <w:r w:rsidRPr="008F74E3">
        <w:rPr>
          <w:rFonts w:asciiTheme="minorHAnsi" w:hAnsiTheme="minorHAnsi" w:cstheme="minorHAnsi"/>
        </w:rPr>
      </w:r>
      <w:r w:rsidRPr="008F74E3">
        <w:rPr>
          <w:rFonts w:asciiTheme="minorHAnsi" w:hAnsiTheme="minorHAnsi" w:cstheme="minorHAnsi"/>
        </w:rPr>
        <w:fldChar w:fldCharType="separate"/>
      </w:r>
      <w:r w:rsidR="008A4991" w:rsidRPr="008A4991">
        <w:rPr>
          <w:rFonts w:asciiTheme="minorHAnsi" w:hAnsiTheme="minorHAnsi" w:cstheme="minorHAnsi"/>
        </w:rPr>
        <w:t>Table 18</w:t>
      </w:r>
      <w:r w:rsidRPr="008F74E3">
        <w:rPr>
          <w:rFonts w:asciiTheme="minorHAnsi" w:hAnsiTheme="minorHAnsi" w:cstheme="minorHAnsi"/>
        </w:rPr>
        <w:fldChar w:fldCharType="end"/>
      </w:r>
      <w:r w:rsidRPr="008F74E3">
        <w:rPr>
          <w:rFonts w:asciiTheme="minorHAnsi" w:hAnsiTheme="minorHAnsi" w:cstheme="minorHAnsi"/>
        </w:rPr>
        <w:t xml:space="preserve"> summarises results</w:t>
      </w:r>
      <w:r w:rsidRPr="008F74E3">
        <w:t xml:space="preserve"> of the two included studies.</w:t>
      </w:r>
    </w:p>
    <w:p w14:paraId="6DAE51CF" w14:textId="76BE6036" w:rsidR="008F74E3" w:rsidRPr="008F74E3" w:rsidRDefault="00E67DA5" w:rsidP="008F74E3">
      <w:r>
        <w:t xml:space="preserve">Bukhari et al. </w:t>
      </w:r>
      <w:r w:rsidR="00156621">
        <w:fldChar w:fldCharType="begin">
          <w:fldData xml:space="preserve">PEVuZE5vdGU+PENpdGU+PEF1dGhvcj5CdWtoYXJpPC9BdXRob3I+PFllYXI+MjAxNzwvWWVhcj48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</w:fldData>
        </w:fldChar>
      </w:r>
      <w:r w:rsidR="00156621">
        <w:instrText xml:space="preserve"> ADDIN EN.CITE </w:instrText>
      </w:r>
      <w:r w:rsidR="00156621">
        <w:fldChar w:fldCharType="begin">
          <w:fldData xml:space="preserve">PEVuZE5vdGU+PENpdGU+PEF1dGhvcj5CdWtoYXJpPC9BdXRob3I+PFllYXI+MjAxNzwvWWVhcj48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</w:fldData>
        </w:fldChar>
      </w:r>
      <w:r w:rsidR="00156621">
        <w:instrText xml:space="preserve"> ADDIN EN.CITE.DATA </w:instrText>
      </w:r>
      <w:r w:rsidR="00156621">
        <w:fldChar w:fldCharType="end"/>
      </w:r>
      <w:r w:rsidR="00156621">
        <w:fldChar w:fldCharType="separate"/>
      </w:r>
      <w:r w:rsidR="00E37849">
        <w:rPr>
          <w:noProof/>
        </w:rPr>
        <w:t>(</w:t>
      </w:r>
      <w:r w:rsidR="00156621">
        <w:rPr>
          <w:noProof/>
        </w:rPr>
        <w:t>2017)</w:t>
      </w:r>
      <w:r w:rsidR="00156621">
        <w:fldChar w:fldCharType="end"/>
      </w:r>
      <w:r>
        <w:t xml:space="preserve"> estimated the </w:t>
      </w:r>
      <w:r w:rsidR="008F74E3" w:rsidRPr="008F74E3">
        <w:t xml:space="preserve">crude incidence </w:t>
      </w:r>
      <w:r>
        <w:t xml:space="preserve">and prevalence </w:t>
      </w:r>
      <w:r w:rsidR="008F74E3" w:rsidRPr="008F74E3">
        <w:t xml:space="preserve">of NMOSD in Australia </w:t>
      </w:r>
      <w:r>
        <w:t xml:space="preserve">to be </w:t>
      </w:r>
      <w:r w:rsidR="008F74E3" w:rsidRPr="008F74E3">
        <w:t xml:space="preserve">0.37 per million per year, </w:t>
      </w:r>
      <w:r>
        <w:t xml:space="preserve">and 0.70 per 100,000 patients respectively, </w:t>
      </w:r>
      <w:r w:rsidR="008F74E3" w:rsidRPr="008F74E3">
        <w:t xml:space="preserve">based on a capture-recapture analysis </w:t>
      </w:r>
      <w:r w:rsidR="00156621">
        <w:fldChar w:fldCharType="begin">
          <w:fldData xml:space="preserve">PEVuZE5vdGU+PENpdGU+PEF1dGhvcj5CdWtoYXJpPC9BdXRob3I+PFllYXI+MjAxNzwvWWVhcj48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</w:fldData>
        </w:fldChar>
      </w:r>
      <w:r w:rsidR="00D96694">
        <w:instrText xml:space="preserve"> ADDIN EN.CITE </w:instrText>
      </w:r>
      <w:r w:rsidR="00D96694">
        <w:fldChar w:fldCharType="begin">
          <w:fldData xml:space="preserve">PEVuZE5vdGU+PENpdGU+PEF1dGhvcj5CdWtoYXJpPC9BdXRob3I+PFllYXI+MjAxNzwvWWVhcj48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</w:fldData>
        </w:fldChar>
      </w:r>
      <w:r w:rsidR="00D96694">
        <w:instrText xml:space="preserve"> ADDIN EN.CITE.DATA </w:instrText>
      </w:r>
      <w:r w:rsidR="00D96694">
        <w:fldChar w:fldCharType="end"/>
      </w:r>
      <w:r w:rsidR="00156621">
        <w:fldChar w:fldCharType="separate"/>
      </w:r>
      <w:r w:rsidR="00156621">
        <w:rPr>
          <w:noProof/>
        </w:rPr>
        <w:t>(Bukhari et al. 2017)</w:t>
      </w:r>
      <w:r w:rsidR="00156621">
        <w:fldChar w:fldCharType="end"/>
      </w:r>
      <w:r w:rsidR="008F74E3" w:rsidRPr="008F74E3">
        <w:t xml:space="preserve">. </w:t>
      </w:r>
      <w:r>
        <w:t xml:space="preserve">However, the Western Australian study estimated the Australian prevalence for AQP4-Ab positive NMOSD to be </w:t>
      </w:r>
      <w:r w:rsidR="008F74E3" w:rsidRPr="008F74E3">
        <w:t>1.9 per 100,000 patients</w:t>
      </w:r>
      <w:r>
        <w:t xml:space="preserve"> </w:t>
      </w:r>
      <w:r w:rsidR="00156621">
        <w:fldChar w:fldCharType="begin">
          <w:fldData xml:space="preserve">PEVuZE5vdGU+PENpdGU+PEF1dGhvcj5GYWJpcy1QZWRyaW5pPC9BdXRob3I+PFllYXI+MjAxODwv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</w:fldData>
        </w:fldChar>
      </w:r>
      <w:r w:rsidR="00D96694">
        <w:instrText xml:space="preserve"> ADDIN EN.CITE </w:instrText>
      </w:r>
      <w:r w:rsidR="00D96694">
        <w:fldChar w:fldCharType="begin">
          <w:fldData xml:space="preserve">PEVuZE5vdGU+PENpdGU+PEF1dGhvcj5GYWJpcy1QZWRyaW5pPC9BdXRob3I+PFllYXI+MjAxODwv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</w:fldData>
        </w:fldChar>
      </w:r>
      <w:r w:rsidR="00D96694">
        <w:instrText xml:space="preserve"> ADDIN EN.CITE.DATA </w:instrText>
      </w:r>
      <w:r w:rsidR="00D96694">
        <w:fldChar w:fldCharType="end"/>
      </w:r>
      <w:r w:rsidR="00156621">
        <w:fldChar w:fldCharType="separate"/>
      </w:r>
      <w:r w:rsidR="00156621">
        <w:rPr>
          <w:noProof/>
        </w:rPr>
        <w:t>(Fabis-Pedrini et al. 2018)</w:t>
      </w:r>
      <w:r w:rsidR="00156621">
        <w:fldChar w:fldCharType="end"/>
      </w:r>
      <w:r w:rsidR="008F74E3" w:rsidRPr="008F74E3">
        <w:t>.</w:t>
      </w:r>
      <w:r w:rsidR="008F74E3">
        <w:t xml:space="preserve"> </w:t>
      </w:r>
      <w:r>
        <w:t>The differences in the prevalence estimated by the two studies could be attributed to the patient selection and study design.</w:t>
      </w:r>
    </w:p>
    <w:p w14:paraId="5385679C" w14:textId="6E1C0B5D" w:rsidR="009B68D8" w:rsidRDefault="009B68D8" w:rsidP="00A87AE2">
      <w:pPr>
        <w:pStyle w:val="TableHeading"/>
      </w:pPr>
      <w:bookmarkStart w:id="214" w:name="_Ref27128128"/>
      <w:bookmarkStart w:id="215" w:name="_Toc39580799"/>
      <w:r w:rsidRPr="009B68D8">
        <w:t xml:space="preserve">Table </w:t>
      </w:r>
      <w:r w:rsidRPr="009B68D8">
        <w:fldChar w:fldCharType="begin"/>
      </w:r>
      <w:r w:rsidRPr="009B68D8">
        <w:instrText xml:space="preserve"> SEQ Table \* ARABIC </w:instrText>
      </w:r>
      <w:r w:rsidRPr="009B68D8">
        <w:fldChar w:fldCharType="separate"/>
      </w:r>
      <w:r w:rsidR="00FA7BCD">
        <w:rPr>
          <w:noProof/>
        </w:rPr>
        <w:t>18</w:t>
      </w:r>
      <w:r w:rsidRPr="009B68D8">
        <w:rPr>
          <w:noProof/>
        </w:rPr>
        <w:fldChar w:fldCharType="end"/>
      </w:r>
      <w:bookmarkEnd w:id="214"/>
      <w:r w:rsidRPr="009B68D8">
        <w:tab/>
        <w:t>Incidence and Prevalence of NMOSD</w:t>
      </w:r>
      <w:r w:rsidR="008F74E3">
        <w:t xml:space="preserve"> in Australia</w:t>
      </w:r>
      <w:bookmarkEnd w:id="215"/>
    </w:p>
    <w:tbl>
      <w:tblPr>
        <w:tblStyle w:val="TableGrid1"/>
        <w:tblW w:w="5000" w:type="pct"/>
        <w:tblCellMar>
          <w:left w:w="28" w:type="dxa"/>
          <w:right w:w="28" w:type="dxa"/>
        </w:tblCellMar>
        <w:tblLook w:val="04A0" w:firstRow="1" w:lastRow="0" w:firstColumn="1" w:lastColumn="0" w:noHBand="0" w:noVBand="1"/>
        <w:tblCaption w:val="Table 18 Incidence and Prevalence of NMOSD in Australia"/>
        <w:tblDescription w:val="This table provides a summary of the prevlence and incidence of NMOSD in Australia and NZ taken from Bukhari et al (2017) and for western Australia taken from Fabris-Pedrini et al (2018)"/>
      </w:tblPr>
      <w:tblGrid>
        <w:gridCol w:w="3006"/>
        <w:gridCol w:w="3006"/>
        <w:gridCol w:w="3004"/>
      </w:tblGrid>
      <w:tr w:rsidR="008F74E3" w:rsidRPr="008F74E3" w14:paraId="728150DA" w14:textId="77777777" w:rsidTr="001305CF">
        <w:trPr>
          <w:cnfStyle w:val="100000000000" w:firstRow="1" w:lastRow="0" w:firstColumn="0" w:lastColumn="0" w:oddVBand="0" w:evenVBand="0" w:oddHBand="0" w:evenHBand="0" w:firstRowFirstColumn="0" w:firstRowLastColumn="0" w:lastRowFirstColumn="0" w:lastRowLastColumn="0"/>
          <w:tblHeader/>
        </w:trPr>
        <w:tc>
          <w:tcPr>
            <w:tcW w:w="1667" w:type="pct"/>
            <w:shd w:val="clear" w:color="auto" w:fill="auto"/>
          </w:tcPr>
          <w:p w14:paraId="3FE4BDCA" w14:textId="77777777" w:rsidR="008F74E3" w:rsidRPr="008F74E3" w:rsidRDefault="008F74E3" w:rsidP="00A87AE2">
            <w:pPr>
              <w:pStyle w:val="TableHeading"/>
              <w:rPr>
                <w:snapToGrid w:val="0"/>
              </w:rPr>
            </w:pPr>
            <w:r w:rsidRPr="008F74E3">
              <w:rPr>
                <w:snapToGrid w:val="0"/>
              </w:rPr>
              <w:t>Country</w:t>
            </w:r>
          </w:p>
        </w:tc>
        <w:tc>
          <w:tcPr>
            <w:tcW w:w="1667" w:type="pct"/>
          </w:tcPr>
          <w:p w14:paraId="4551BA5C" w14:textId="77777777" w:rsidR="008F74E3" w:rsidRPr="008F74E3" w:rsidRDefault="008F74E3" w:rsidP="00A87AE2">
            <w:pPr>
              <w:pStyle w:val="TableHeading"/>
              <w:rPr>
                <w:snapToGrid w:val="0"/>
              </w:rPr>
            </w:pPr>
            <w:r w:rsidRPr="008F74E3">
              <w:rPr>
                <w:snapToGrid w:val="0"/>
              </w:rPr>
              <w:t>Australia/ New Zealand</w:t>
            </w:r>
          </w:p>
        </w:tc>
        <w:tc>
          <w:tcPr>
            <w:tcW w:w="1666" w:type="pct"/>
          </w:tcPr>
          <w:p w14:paraId="6B673C4D" w14:textId="77777777" w:rsidR="008F74E3" w:rsidRPr="008F74E3" w:rsidRDefault="008F74E3" w:rsidP="00A87AE2">
            <w:pPr>
              <w:pStyle w:val="TableHeading"/>
              <w:rPr>
                <w:snapToGrid w:val="0"/>
              </w:rPr>
            </w:pPr>
            <w:r w:rsidRPr="008F74E3">
              <w:rPr>
                <w:snapToGrid w:val="0"/>
              </w:rPr>
              <w:t>Australia (Western Australia)</w:t>
            </w:r>
          </w:p>
        </w:tc>
      </w:tr>
      <w:tr w:rsidR="008F74E3" w:rsidRPr="008F74E3" w14:paraId="51627321" w14:textId="77777777" w:rsidTr="001305CF">
        <w:trPr>
          <w:trHeight w:val="437"/>
        </w:trPr>
        <w:tc>
          <w:tcPr>
            <w:tcW w:w="1667" w:type="pct"/>
            <w:shd w:val="clear" w:color="auto" w:fill="auto"/>
          </w:tcPr>
          <w:p w14:paraId="6607B733" w14:textId="77777777" w:rsidR="008F74E3" w:rsidRPr="008F74E3" w:rsidRDefault="008F74E3" w:rsidP="00A87AE2">
            <w:pPr>
              <w:pStyle w:val="TableHeading"/>
              <w:rPr>
                <w:snapToGrid w:val="0"/>
                <w:highlight w:val="cyan"/>
              </w:rPr>
            </w:pPr>
            <w:r w:rsidRPr="008F74E3">
              <w:rPr>
                <w:snapToGrid w:val="0"/>
              </w:rPr>
              <w:t xml:space="preserve">Study </w:t>
            </w:r>
          </w:p>
        </w:tc>
        <w:tc>
          <w:tcPr>
            <w:tcW w:w="1667" w:type="pct"/>
          </w:tcPr>
          <w:p w14:paraId="510C110B" w14:textId="77777777" w:rsidR="008F74E3" w:rsidRPr="008F74E3" w:rsidRDefault="008F74E3" w:rsidP="004E5C57">
            <w:pPr>
              <w:pStyle w:val="TableText0"/>
              <w:rPr>
                <w:snapToGrid w:val="0"/>
              </w:rPr>
            </w:pPr>
            <w:r w:rsidRPr="008F74E3">
              <w:rPr>
                <w:snapToGrid w:val="0"/>
              </w:rPr>
              <w:t xml:space="preserve">Bukhari et al. 2017 </w:t>
            </w:r>
          </w:p>
        </w:tc>
        <w:tc>
          <w:tcPr>
            <w:tcW w:w="1666" w:type="pct"/>
          </w:tcPr>
          <w:p w14:paraId="56F6B3F4" w14:textId="77777777" w:rsidR="008F74E3" w:rsidRPr="008F74E3" w:rsidRDefault="008F74E3" w:rsidP="004E5C57">
            <w:pPr>
              <w:pStyle w:val="TableText0"/>
              <w:rPr>
                <w:snapToGrid w:val="0"/>
              </w:rPr>
            </w:pPr>
            <w:r w:rsidRPr="008F74E3">
              <w:rPr>
                <w:snapToGrid w:val="0"/>
              </w:rPr>
              <w:t>Fabis-Pedrini et al. 2018</w:t>
            </w:r>
          </w:p>
        </w:tc>
      </w:tr>
      <w:tr w:rsidR="008F74E3" w:rsidRPr="008F74E3" w14:paraId="2AB45912" w14:textId="77777777" w:rsidTr="001305CF">
        <w:tc>
          <w:tcPr>
            <w:tcW w:w="1667" w:type="pct"/>
            <w:shd w:val="clear" w:color="auto" w:fill="auto"/>
          </w:tcPr>
          <w:p w14:paraId="48E78A83" w14:textId="77777777" w:rsidR="008F74E3" w:rsidRPr="008F74E3" w:rsidRDefault="008F74E3" w:rsidP="00A87AE2">
            <w:pPr>
              <w:pStyle w:val="TableHeading"/>
              <w:rPr>
                <w:snapToGrid w:val="0"/>
                <w:highlight w:val="cyan"/>
              </w:rPr>
            </w:pPr>
            <w:r w:rsidRPr="008F74E3">
              <w:rPr>
                <w:snapToGrid w:val="0"/>
              </w:rPr>
              <w:t>Population</w:t>
            </w:r>
          </w:p>
        </w:tc>
        <w:tc>
          <w:tcPr>
            <w:tcW w:w="1667" w:type="pct"/>
          </w:tcPr>
          <w:p w14:paraId="75B98F0A" w14:textId="77777777" w:rsidR="008F74E3" w:rsidRPr="008F74E3" w:rsidRDefault="008F74E3" w:rsidP="004E5C57">
            <w:pPr>
              <w:pStyle w:val="TableText0"/>
              <w:rPr>
                <w:snapToGrid w:val="0"/>
              </w:rPr>
            </w:pPr>
            <w:r w:rsidRPr="008F74E3">
              <w:rPr>
                <w:snapToGrid w:val="0"/>
              </w:rPr>
              <w:t>Adults/children with clinical/laboratory features suspicious NMOSD</w:t>
            </w:r>
          </w:p>
          <w:p w14:paraId="6AB16F76" w14:textId="77777777" w:rsidR="008F74E3" w:rsidRPr="008F74E3" w:rsidRDefault="008F74E3" w:rsidP="004E5C57">
            <w:pPr>
              <w:pStyle w:val="TableText0"/>
              <w:rPr>
                <w:snapToGrid w:val="0"/>
              </w:rPr>
            </w:pPr>
            <w:r w:rsidRPr="008F74E3">
              <w:rPr>
                <w:snapToGrid w:val="0"/>
              </w:rPr>
              <w:t>81/170 confirmed NMOSD  cases</w:t>
            </w:r>
          </w:p>
        </w:tc>
        <w:tc>
          <w:tcPr>
            <w:tcW w:w="1666" w:type="pct"/>
          </w:tcPr>
          <w:p w14:paraId="340DF362" w14:textId="77777777" w:rsidR="008F74E3" w:rsidRPr="008F74E3" w:rsidRDefault="008F74E3" w:rsidP="004E5C57">
            <w:pPr>
              <w:pStyle w:val="TableText0"/>
              <w:rPr>
                <w:snapToGrid w:val="0"/>
              </w:rPr>
            </w:pPr>
            <w:r w:rsidRPr="008F74E3">
              <w:rPr>
                <w:snapToGrid w:val="0"/>
              </w:rPr>
              <w:t xml:space="preserve">Patients with possible NMOSD; </w:t>
            </w:r>
          </w:p>
          <w:p w14:paraId="163ED790" w14:textId="77777777" w:rsidR="008F74E3" w:rsidRPr="008F74E3" w:rsidRDefault="008F74E3" w:rsidP="004E5C57">
            <w:pPr>
              <w:pStyle w:val="TableText0"/>
              <w:rPr>
                <w:snapToGrid w:val="0"/>
              </w:rPr>
            </w:pPr>
            <w:r w:rsidRPr="008F74E3">
              <w:rPr>
                <w:snapToGrid w:val="0"/>
              </w:rPr>
              <w:t xml:space="preserve">Controls (MS cohort) </w:t>
            </w:r>
          </w:p>
          <w:p w14:paraId="03E06471" w14:textId="77777777" w:rsidR="008F74E3" w:rsidRPr="008F74E3" w:rsidRDefault="008F74E3" w:rsidP="004E5C57">
            <w:pPr>
              <w:pStyle w:val="TableText0"/>
              <w:rPr>
                <w:snapToGrid w:val="0"/>
              </w:rPr>
            </w:pPr>
            <w:r w:rsidRPr="008F74E3">
              <w:rPr>
                <w:snapToGrid w:val="0"/>
              </w:rPr>
              <w:t>Caucasian 89.8%</w:t>
            </w:r>
          </w:p>
          <w:p w14:paraId="5279EE35" w14:textId="77777777" w:rsidR="008F74E3" w:rsidRPr="008F74E3" w:rsidRDefault="008F74E3" w:rsidP="004E5C57">
            <w:pPr>
              <w:pStyle w:val="TableText0"/>
              <w:rPr>
                <w:snapToGrid w:val="0"/>
              </w:rPr>
            </w:pPr>
            <w:r w:rsidRPr="008F74E3">
              <w:rPr>
                <w:snapToGrid w:val="0"/>
              </w:rPr>
              <w:t>Asian 8.2%</w:t>
            </w:r>
          </w:p>
        </w:tc>
      </w:tr>
      <w:tr w:rsidR="008F74E3" w:rsidRPr="008F74E3" w14:paraId="3BBB515F" w14:textId="77777777" w:rsidTr="001305CF">
        <w:tc>
          <w:tcPr>
            <w:tcW w:w="1667" w:type="pct"/>
            <w:shd w:val="clear" w:color="auto" w:fill="auto"/>
          </w:tcPr>
          <w:p w14:paraId="63C9DE01" w14:textId="77777777" w:rsidR="008F74E3" w:rsidRPr="008F74E3" w:rsidRDefault="008F74E3" w:rsidP="00A87AE2">
            <w:pPr>
              <w:pStyle w:val="TableHeading"/>
              <w:rPr>
                <w:snapToGrid w:val="0"/>
              </w:rPr>
            </w:pPr>
            <w:r w:rsidRPr="008F74E3">
              <w:rPr>
                <w:snapToGrid w:val="0"/>
              </w:rPr>
              <w:t xml:space="preserve">Number patients </w:t>
            </w:r>
            <w:r w:rsidR="004A7B6B">
              <w:rPr>
                <w:snapToGrid w:val="0"/>
              </w:rPr>
              <w:t>in study</w:t>
            </w:r>
          </w:p>
        </w:tc>
        <w:tc>
          <w:tcPr>
            <w:tcW w:w="1667" w:type="pct"/>
          </w:tcPr>
          <w:p w14:paraId="5256BDBB" w14:textId="77777777" w:rsidR="008F74E3" w:rsidRPr="008F74E3" w:rsidRDefault="008F74E3" w:rsidP="004E5C57">
            <w:pPr>
              <w:pStyle w:val="TableText0"/>
              <w:rPr>
                <w:snapToGrid w:val="0"/>
              </w:rPr>
            </w:pPr>
            <w:r w:rsidRPr="008F74E3">
              <w:rPr>
                <w:snapToGrid w:val="0"/>
              </w:rPr>
              <w:t>170</w:t>
            </w:r>
          </w:p>
        </w:tc>
        <w:tc>
          <w:tcPr>
            <w:tcW w:w="1666" w:type="pct"/>
          </w:tcPr>
          <w:p w14:paraId="64B981F4" w14:textId="77777777" w:rsidR="008F74E3" w:rsidRPr="008F74E3" w:rsidRDefault="008F74E3" w:rsidP="004E5C57">
            <w:pPr>
              <w:pStyle w:val="TableText0"/>
              <w:rPr>
                <w:snapToGrid w:val="0"/>
              </w:rPr>
            </w:pPr>
            <w:r w:rsidRPr="008F74E3">
              <w:rPr>
                <w:snapToGrid w:val="0"/>
              </w:rPr>
              <w:t>196+205 controls</w:t>
            </w:r>
          </w:p>
        </w:tc>
      </w:tr>
      <w:tr w:rsidR="008F74E3" w:rsidRPr="008F74E3" w14:paraId="5DCB33D2" w14:textId="77777777" w:rsidTr="001305CF">
        <w:tc>
          <w:tcPr>
            <w:tcW w:w="1667" w:type="pct"/>
            <w:shd w:val="clear" w:color="auto" w:fill="auto"/>
          </w:tcPr>
          <w:p w14:paraId="1C2D7A49" w14:textId="77777777" w:rsidR="008F74E3" w:rsidRPr="008F74E3" w:rsidRDefault="008F74E3" w:rsidP="00A87AE2">
            <w:pPr>
              <w:pStyle w:val="TableHeading"/>
              <w:rPr>
                <w:snapToGrid w:val="0"/>
              </w:rPr>
            </w:pPr>
            <w:r w:rsidRPr="008F74E3">
              <w:rPr>
                <w:snapToGrid w:val="0"/>
              </w:rPr>
              <w:t>Female: Male ratio</w:t>
            </w:r>
          </w:p>
        </w:tc>
        <w:tc>
          <w:tcPr>
            <w:tcW w:w="1667" w:type="pct"/>
          </w:tcPr>
          <w:p w14:paraId="17B91505" w14:textId="77777777" w:rsidR="008F74E3" w:rsidRPr="008F74E3" w:rsidRDefault="008F74E3" w:rsidP="004E5C57">
            <w:pPr>
              <w:pStyle w:val="TableText0"/>
              <w:rPr>
                <w:snapToGrid w:val="0"/>
              </w:rPr>
            </w:pPr>
            <w:r w:rsidRPr="008F74E3">
              <w:rPr>
                <w:snapToGrid w:val="0"/>
              </w:rPr>
              <w:t>6:1</w:t>
            </w:r>
          </w:p>
        </w:tc>
        <w:tc>
          <w:tcPr>
            <w:tcW w:w="1666" w:type="pct"/>
          </w:tcPr>
          <w:p w14:paraId="326813C5" w14:textId="77777777" w:rsidR="008F74E3" w:rsidRPr="008F74E3" w:rsidRDefault="008F74E3" w:rsidP="004E5C57">
            <w:pPr>
              <w:pStyle w:val="TableText0"/>
              <w:rPr>
                <w:snapToGrid w:val="0"/>
              </w:rPr>
            </w:pPr>
            <w:r w:rsidRPr="008F74E3">
              <w:rPr>
                <w:snapToGrid w:val="0"/>
              </w:rPr>
              <w:t>NR</w:t>
            </w:r>
          </w:p>
        </w:tc>
      </w:tr>
      <w:tr w:rsidR="008F74E3" w:rsidRPr="008F74E3" w14:paraId="51CBFE18" w14:textId="77777777" w:rsidTr="001305CF">
        <w:tc>
          <w:tcPr>
            <w:tcW w:w="1667" w:type="pct"/>
            <w:shd w:val="clear" w:color="auto" w:fill="auto"/>
          </w:tcPr>
          <w:p w14:paraId="578FF586" w14:textId="77777777" w:rsidR="008F74E3" w:rsidRPr="008F74E3" w:rsidRDefault="008F74E3" w:rsidP="00A87AE2">
            <w:pPr>
              <w:pStyle w:val="TableHeading"/>
              <w:rPr>
                <w:snapToGrid w:val="0"/>
              </w:rPr>
            </w:pPr>
            <w:r w:rsidRPr="008F74E3">
              <w:rPr>
                <w:snapToGrid w:val="0"/>
              </w:rPr>
              <w:t>Age years (range) disease onset</w:t>
            </w:r>
          </w:p>
        </w:tc>
        <w:tc>
          <w:tcPr>
            <w:tcW w:w="1667" w:type="pct"/>
          </w:tcPr>
          <w:p w14:paraId="48CB07A5" w14:textId="77777777" w:rsidR="008F74E3" w:rsidRPr="008F74E3" w:rsidRDefault="008F74E3" w:rsidP="004E5C57">
            <w:pPr>
              <w:pStyle w:val="TableText0"/>
              <w:rPr>
                <w:snapToGrid w:val="0"/>
              </w:rPr>
            </w:pPr>
            <w:r w:rsidRPr="008F74E3">
              <w:rPr>
                <w:snapToGrid w:val="0"/>
              </w:rPr>
              <w:t>NR</w:t>
            </w:r>
          </w:p>
        </w:tc>
        <w:tc>
          <w:tcPr>
            <w:tcW w:w="1666" w:type="pct"/>
          </w:tcPr>
          <w:p w14:paraId="2FF12959" w14:textId="77777777" w:rsidR="008F74E3" w:rsidRPr="008F74E3" w:rsidRDefault="008F74E3" w:rsidP="004E5C57">
            <w:pPr>
              <w:pStyle w:val="TableText0"/>
              <w:rPr>
                <w:snapToGrid w:val="0"/>
              </w:rPr>
            </w:pPr>
            <w:r w:rsidRPr="008F74E3">
              <w:rPr>
                <w:snapToGrid w:val="0"/>
              </w:rPr>
              <w:t>NR</w:t>
            </w:r>
          </w:p>
        </w:tc>
      </w:tr>
      <w:tr w:rsidR="008F74E3" w:rsidRPr="008F74E3" w14:paraId="74DC89D6" w14:textId="77777777" w:rsidTr="001305CF">
        <w:tc>
          <w:tcPr>
            <w:tcW w:w="1667" w:type="pct"/>
            <w:shd w:val="clear" w:color="auto" w:fill="auto"/>
          </w:tcPr>
          <w:p w14:paraId="19DFB27E" w14:textId="77777777" w:rsidR="008F74E3" w:rsidRPr="008F74E3" w:rsidRDefault="008F74E3" w:rsidP="00A87AE2">
            <w:pPr>
              <w:pStyle w:val="TableHeading"/>
              <w:rPr>
                <w:snapToGrid w:val="0"/>
              </w:rPr>
            </w:pPr>
            <w:r w:rsidRPr="008F74E3">
              <w:rPr>
                <w:snapToGrid w:val="0"/>
              </w:rPr>
              <w:t xml:space="preserve">Incidence </w:t>
            </w:r>
          </w:p>
          <w:p w14:paraId="35CF4219" w14:textId="77777777" w:rsidR="008F74E3" w:rsidRPr="008F74E3" w:rsidRDefault="008F74E3" w:rsidP="00A87AE2">
            <w:pPr>
              <w:pStyle w:val="TableHeading"/>
              <w:rPr>
                <w:snapToGrid w:val="0"/>
              </w:rPr>
            </w:pPr>
            <w:r w:rsidRPr="008F74E3">
              <w:rPr>
                <w:snapToGrid w:val="0"/>
              </w:rPr>
              <w:t>(95% CI)</w:t>
            </w:r>
          </w:p>
        </w:tc>
        <w:tc>
          <w:tcPr>
            <w:tcW w:w="1667" w:type="pct"/>
          </w:tcPr>
          <w:p w14:paraId="6B278701" w14:textId="77777777" w:rsidR="008F74E3" w:rsidRPr="008F74E3" w:rsidRDefault="008F74E3" w:rsidP="004E5C57">
            <w:pPr>
              <w:pStyle w:val="TableText0"/>
              <w:rPr>
                <w:snapToGrid w:val="0"/>
              </w:rPr>
            </w:pPr>
            <w:r w:rsidRPr="008F74E3">
              <w:rPr>
                <w:snapToGrid w:val="0"/>
              </w:rPr>
              <w:t>0.33 (0.11, 0.55) /million/year</w:t>
            </w:r>
          </w:p>
          <w:p w14:paraId="66732DF8" w14:textId="77777777" w:rsidR="008F74E3" w:rsidRPr="004A7B6B" w:rsidRDefault="008F74E3" w:rsidP="004E5C57">
            <w:pPr>
              <w:pStyle w:val="TableText0"/>
              <w:rPr>
                <w:b/>
                <w:snapToGrid w:val="0"/>
                <w:vertAlign w:val="superscript"/>
              </w:rPr>
            </w:pPr>
            <w:r w:rsidRPr="008F74E3">
              <w:rPr>
                <w:snapToGrid w:val="0"/>
              </w:rPr>
              <w:t>0.37 (0.35,0.39)</w:t>
            </w:r>
            <w:r w:rsidRPr="008F74E3">
              <w:rPr>
                <w:b/>
                <w:snapToGrid w:val="0"/>
              </w:rPr>
              <w:t xml:space="preserve"> /</w:t>
            </w:r>
            <w:r w:rsidRPr="008F74E3">
              <w:rPr>
                <w:snapToGrid w:val="0"/>
              </w:rPr>
              <w:t>million</w:t>
            </w:r>
            <w:r w:rsidRPr="008F74E3">
              <w:rPr>
                <w:b/>
                <w:snapToGrid w:val="0"/>
              </w:rPr>
              <w:t>/</w:t>
            </w:r>
            <w:r w:rsidR="004A7B6B" w:rsidRPr="004A7B6B">
              <w:rPr>
                <w:snapToGrid w:val="0"/>
              </w:rPr>
              <w:t>year</w:t>
            </w:r>
            <w:r w:rsidR="004A7B6B">
              <w:rPr>
                <w:snapToGrid w:val="0"/>
                <w:vertAlign w:val="superscript"/>
              </w:rPr>
              <w:t>a</w:t>
            </w:r>
          </w:p>
        </w:tc>
        <w:tc>
          <w:tcPr>
            <w:tcW w:w="1666" w:type="pct"/>
          </w:tcPr>
          <w:p w14:paraId="6BB75FA1" w14:textId="77777777" w:rsidR="008F74E3" w:rsidRPr="008F74E3" w:rsidRDefault="008F74E3" w:rsidP="004E5C57">
            <w:pPr>
              <w:pStyle w:val="TableText0"/>
              <w:rPr>
                <w:snapToGrid w:val="0"/>
              </w:rPr>
            </w:pPr>
            <w:r w:rsidRPr="008F74E3">
              <w:rPr>
                <w:snapToGrid w:val="0"/>
              </w:rPr>
              <w:t>NR</w:t>
            </w:r>
          </w:p>
        </w:tc>
      </w:tr>
      <w:tr w:rsidR="008F74E3" w:rsidRPr="008F74E3" w14:paraId="47E70FD4" w14:textId="77777777" w:rsidTr="001305CF">
        <w:tc>
          <w:tcPr>
            <w:tcW w:w="1667" w:type="pct"/>
            <w:shd w:val="clear" w:color="auto" w:fill="auto"/>
          </w:tcPr>
          <w:p w14:paraId="4BA0DBBD" w14:textId="77777777" w:rsidR="008F74E3" w:rsidRPr="008F74E3" w:rsidRDefault="008F74E3" w:rsidP="00A87AE2">
            <w:pPr>
              <w:pStyle w:val="TableHeading"/>
              <w:rPr>
                <w:snapToGrid w:val="0"/>
              </w:rPr>
            </w:pPr>
            <w:r w:rsidRPr="008F74E3">
              <w:rPr>
                <w:snapToGrid w:val="0"/>
              </w:rPr>
              <w:t>Prevalence per 100,000 (95% CI)</w:t>
            </w:r>
          </w:p>
        </w:tc>
        <w:tc>
          <w:tcPr>
            <w:tcW w:w="1667" w:type="pct"/>
          </w:tcPr>
          <w:p w14:paraId="751ACB62" w14:textId="77777777" w:rsidR="008F74E3" w:rsidRPr="008F74E3" w:rsidRDefault="008F74E3" w:rsidP="004E5C57">
            <w:pPr>
              <w:pStyle w:val="TableText0"/>
              <w:rPr>
                <w:snapToGrid w:val="0"/>
              </w:rPr>
            </w:pPr>
            <w:r w:rsidRPr="008F74E3">
              <w:rPr>
                <w:snapToGrid w:val="0"/>
              </w:rPr>
              <w:t>0.53 (0.45,0.62)</w:t>
            </w:r>
          </w:p>
          <w:p w14:paraId="1FF953C2" w14:textId="77777777" w:rsidR="008F74E3" w:rsidRPr="008F74E3" w:rsidRDefault="008F74E3" w:rsidP="004E5C57">
            <w:pPr>
              <w:pStyle w:val="TableText0"/>
              <w:rPr>
                <w:snapToGrid w:val="0"/>
              </w:rPr>
            </w:pPr>
            <w:r w:rsidRPr="008F74E3">
              <w:rPr>
                <w:snapToGrid w:val="0"/>
              </w:rPr>
              <w:t>0.70 (0.66,0.74)</w:t>
            </w:r>
            <w:r w:rsidR="004A7B6B">
              <w:rPr>
                <w:snapToGrid w:val="0"/>
                <w:vertAlign w:val="superscript"/>
              </w:rPr>
              <w:t>a</w:t>
            </w:r>
            <w:r w:rsidRPr="008F74E3">
              <w:rPr>
                <w:snapToGrid w:val="0"/>
              </w:rPr>
              <w:t xml:space="preserve"> </w:t>
            </w:r>
          </w:p>
        </w:tc>
        <w:tc>
          <w:tcPr>
            <w:tcW w:w="1666" w:type="pct"/>
          </w:tcPr>
          <w:p w14:paraId="3B0EF558" w14:textId="77777777" w:rsidR="008F74E3" w:rsidRPr="008F74E3" w:rsidRDefault="008F74E3" w:rsidP="004E5C57">
            <w:pPr>
              <w:pStyle w:val="TableText0"/>
              <w:rPr>
                <w:b/>
                <w:snapToGrid w:val="0"/>
                <w:vertAlign w:val="superscript"/>
              </w:rPr>
            </w:pPr>
            <w:r w:rsidRPr="008F74E3">
              <w:rPr>
                <w:snapToGrid w:val="0"/>
              </w:rPr>
              <w:t xml:space="preserve">1.9 </w:t>
            </w:r>
            <w:r w:rsidRPr="008F74E3">
              <w:t>(CI NR)</w:t>
            </w:r>
          </w:p>
        </w:tc>
      </w:tr>
      <w:tr w:rsidR="008F74E3" w:rsidRPr="008F74E3" w14:paraId="74A67D5F" w14:textId="77777777" w:rsidTr="001305CF">
        <w:tc>
          <w:tcPr>
            <w:tcW w:w="1667" w:type="pct"/>
            <w:shd w:val="clear" w:color="auto" w:fill="auto"/>
          </w:tcPr>
          <w:p w14:paraId="06571036" w14:textId="77777777" w:rsidR="008F74E3" w:rsidRPr="008F74E3" w:rsidRDefault="008F74E3" w:rsidP="00A87AE2">
            <w:pPr>
              <w:pStyle w:val="TableHeading"/>
              <w:rPr>
                <w:snapToGrid w:val="0"/>
              </w:rPr>
            </w:pPr>
            <w:r w:rsidRPr="008F74E3">
              <w:rPr>
                <w:snapToGrid w:val="0"/>
              </w:rPr>
              <w:t>n/N (%) +ve AQP4-Ab</w:t>
            </w:r>
          </w:p>
        </w:tc>
        <w:tc>
          <w:tcPr>
            <w:tcW w:w="1667" w:type="pct"/>
          </w:tcPr>
          <w:p w14:paraId="55159313" w14:textId="77777777" w:rsidR="008F74E3" w:rsidRPr="008F74E3" w:rsidRDefault="008F74E3" w:rsidP="004E5C57">
            <w:pPr>
              <w:pStyle w:val="TableText0"/>
              <w:rPr>
                <w:snapToGrid w:val="0"/>
              </w:rPr>
            </w:pPr>
            <w:r w:rsidRPr="008F74E3">
              <w:rPr>
                <w:snapToGrid w:val="0"/>
              </w:rPr>
              <w:t>73/</w:t>
            </w:r>
            <w:r w:rsidR="009F3B3B">
              <w:rPr>
                <w:snapToGrid w:val="0"/>
              </w:rPr>
              <w:t>171</w:t>
            </w:r>
            <w:r w:rsidRPr="008F74E3">
              <w:rPr>
                <w:snapToGrid w:val="0"/>
              </w:rPr>
              <w:t xml:space="preserve"> (</w:t>
            </w:r>
            <w:r w:rsidR="009F3B3B">
              <w:rPr>
                <w:snapToGrid w:val="0"/>
              </w:rPr>
              <w:t>43</w:t>
            </w:r>
            <w:r w:rsidRPr="008F74E3">
              <w:rPr>
                <w:snapToGrid w:val="0"/>
              </w:rPr>
              <w:t>)</w:t>
            </w:r>
          </w:p>
        </w:tc>
        <w:tc>
          <w:tcPr>
            <w:tcW w:w="1666" w:type="pct"/>
          </w:tcPr>
          <w:p w14:paraId="37B8273B" w14:textId="77777777" w:rsidR="008F74E3" w:rsidRPr="008F74E3" w:rsidRDefault="008F74E3" w:rsidP="004E5C57">
            <w:pPr>
              <w:pStyle w:val="TableText0"/>
              <w:rPr>
                <w:snapToGrid w:val="0"/>
                <w:vertAlign w:val="superscript"/>
              </w:rPr>
            </w:pPr>
            <w:r w:rsidRPr="008F74E3">
              <w:rPr>
                <w:snapToGrid w:val="0"/>
              </w:rPr>
              <w:t>5/196 (2.6)</w:t>
            </w:r>
            <w:r w:rsidR="004A7B6B">
              <w:rPr>
                <w:snapToGrid w:val="0"/>
                <w:vertAlign w:val="superscript"/>
              </w:rPr>
              <w:t>b</w:t>
            </w:r>
          </w:p>
          <w:p w14:paraId="2EC5C86B" w14:textId="77777777" w:rsidR="008F74E3" w:rsidRPr="008F74E3" w:rsidRDefault="008F74E3" w:rsidP="004E5C57">
            <w:pPr>
              <w:pStyle w:val="TableText0"/>
              <w:rPr>
                <w:b/>
                <w:snapToGrid w:val="0"/>
              </w:rPr>
            </w:pPr>
            <w:r w:rsidRPr="008F74E3">
              <w:rPr>
                <w:snapToGrid w:val="0"/>
              </w:rPr>
              <w:t>MS cohort (0)</w:t>
            </w:r>
          </w:p>
        </w:tc>
      </w:tr>
      <w:tr w:rsidR="008F74E3" w:rsidRPr="008F74E3" w14:paraId="0405079B" w14:textId="77777777" w:rsidTr="001305CF">
        <w:tc>
          <w:tcPr>
            <w:tcW w:w="1667" w:type="pct"/>
            <w:tcBorders>
              <w:bottom w:val="single" w:sz="4" w:space="0" w:color="auto"/>
            </w:tcBorders>
            <w:shd w:val="clear" w:color="auto" w:fill="auto"/>
          </w:tcPr>
          <w:p w14:paraId="322490CF" w14:textId="77777777" w:rsidR="008F74E3" w:rsidRPr="008F74E3" w:rsidRDefault="008F74E3" w:rsidP="00A87AE2">
            <w:pPr>
              <w:pStyle w:val="TableHeading"/>
              <w:rPr>
                <w:snapToGrid w:val="0"/>
              </w:rPr>
            </w:pPr>
            <w:r w:rsidRPr="008F74E3">
              <w:rPr>
                <w:snapToGrid w:val="0"/>
              </w:rPr>
              <w:t>Assay used</w:t>
            </w:r>
          </w:p>
        </w:tc>
        <w:tc>
          <w:tcPr>
            <w:tcW w:w="1667" w:type="pct"/>
          </w:tcPr>
          <w:p w14:paraId="3FD4333C" w14:textId="77777777" w:rsidR="008F74E3" w:rsidRPr="008F74E3" w:rsidRDefault="008F74E3" w:rsidP="004E5C57">
            <w:pPr>
              <w:pStyle w:val="TableText0"/>
              <w:rPr>
                <w:b/>
                <w:snapToGrid w:val="0"/>
              </w:rPr>
            </w:pPr>
            <w:r w:rsidRPr="008F74E3">
              <w:rPr>
                <w:snapToGrid w:val="0"/>
              </w:rPr>
              <w:t xml:space="preserve">46% Cell-based </w:t>
            </w:r>
          </w:p>
        </w:tc>
        <w:tc>
          <w:tcPr>
            <w:tcW w:w="1666" w:type="pct"/>
          </w:tcPr>
          <w:p w14:paraId="4ABE5D10" w14:textId="77777777" w:rsidR="008F74E3" w:rsidRPr="008F74E3" w:rsidRDefault="008F74E3" w:rsidP="004E5C57">
            <w:pPr>
              <w:pStyle w:val="TableText0"/>
              <w:rPr>
                <w:snapToGrid w:val="0"/>
              </w:rPr>
            </w:pPr>
            <w:r w:rsidRPr="008F74E3">
              <w:rPr>
                <w:snapToGrid w:val="0"/>
              </w:rPr>
              <w:t>Cell-based</w:t>
            </w:r>
          </w:p>
        </w:tc>
      </w:tr>
    </w:tbl>
    <w:p w14:paraId="50018226" w14:textId="77777777" w:rsidR="008F74E3" w:rsidRPr="008F74E3" w:rsidRDefault="008F74E3" w:rsidP="008F74E3">
      <w:pPr>
        <w:widowControl w:val="0"/>
        <w:spacing w:after="120" w:line="240" w:lineRule="auto"/>
        <w:contextualSpacing/>
        <w:jc w:val="left"/>
        <w:rPr>
          <w:rFonts w:ascii="Arial Narrow" w:hAnsi="Arial Narrow" w:cs="Arial"/>
          <w:snapToGrid w:val="0"/>
          <w:sz w:val="18"/>
          <w:szCs w:val="20"/>
          <w:lang w:eastAsia="en-US"/>
        </w:rPr>
      </w:pPr>
      <w:r w:rsidRPr="008F74E3">
        <w:rPr>
          <w:rFonts w:ascii="Arial Narrow" w:hAnsi="Arial Narrow" w:cs="Arial"/>
          <w:snapToGrid w:val="0"/>
          <w:sz w:val="18"/>
          <w:szCs w:val="20"/>
          <w:lang w:eastAsia="en-US"/>
        </w:rPr>
        <w:t xml:space="preserve">AQP4-Ab = aquaporin 4 antibodies; MS = multiple sclerosis; NMOSD = neuromyelitis optica spectrum disorders; NR = not reported; +ve = seropositive </w:t>
      </w:r>
    </w:p>
    <w:p w14:paraId="64EAD886" w14:textId="77777777" w:rsidR="008F74E3" w:rsidRPr="008F74E3" w:rsidRDefault="004A7B6B" w:rsidP="008F74E3">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a</w:t>
      </w:r>
      <w:r w:rsidR="008F74E3" w:rsidRPr="008F74E3">
        <w:rPr>
          <w:rFonts w:ascii="Arial Narrow" w:hAnsi="Arial Narrow" w:cs="Arial"/>
          <w:snapToGrid w:val="0"/>
          <w:sz w:val="18"/>
          <w:szCs w:val="20"/>
          <w:vertAlign w:val="superscript"/>
          <w:lang w:eastAsia="en-US"/>
        </w:rPr>
        <w:t xml:space="preserve"> </w:t>
      </w:r>
      <w:r w:rsidR="008F74E3" w:rsidRPr="008F74E3">
        <w:rPr>
          <w:rFonts w:ascii="Arial Narrow" w:hAnsi="Arial Narrow" w:cs="Arial"/>
          <w:snapToGrid w:val="0"/>
          <w:sz w:val="18"/>
          <w:szCs w:val="20"/>
          <w:lang w:eastAsia="en-US"/>
        </w:rPr>
        <w:t>adjusted based on capture-recapture analysis to identify cases identified in laboratory results that were missed in clinical survey.</w:t>
      </w:r>
    </w:p>
    <w:p w14:paraId="227FC8E0" w14:textId="6A5A64BE" w:rsidR="008F74E3" w:rsidRPr="008F74E3" w:rsidRDefault="004A7B6B" w:rsidP="008F74E3">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b</w:t>
      </w:r>
      <w:r w:rsidR="008F74E3" w:rsidRPr="008F74E3">
        <w:rPr>
          <w:rFonts w:ascii="Arial Narrow" w:hAnsi="Arial Narrow" w:cs="Arial"/>
          <w:snapToGrid w:val="0"/>
          <w:sz w:val="18"/>
          <w:szCs w:val="20"/>
          <w:vertAlign w:val="superscript"/>
          <w:lang w:eastAsia="en-US"/>
        </w:rPr>
        <w:t xml:space="preserve"> </w:t>
      </w:r>
      <w:r w:rsidR="008F74E3" w:rsidRPr="008F74E3">
        <w:rPr>
          <w:rFonts w:ascii="Arial Narrow" w:hAnsi="Arial Narrow" w:cs="Arial"/>
          <w:snapToGrid w:val="0"/>
          <w:sz w:val="18"/>
          <w:szCs w:val="20"/>
          <w:lang w:eastAsia="en-US"/>
        </w:rPr>
        <w:t>patient selection may have inadvertently allowed patients with low risk of NMOSD being included, contributing to the low frequency of AQP4-Ab positivity.</w:t>
      </w:r>
    </w:p>
    <w:p w14:paraId="1B49F2EC" w14:textId="6073312D" w:rsidR="00F57246" w:rsidRDefault="00F57246" w:rsidP="003637B4">
      <w:pPr>
        <w:spacing w:before="240"/>
      </w:pPr>
      <w:r>
        <w:t xml:space="preserve">Further prospective epidemiological studies are warranted to determine the population incidence and prevalence of NMOSD (AQP4-Ab positive and negative) in Australia. Patient numbers (clinical </w:t>
      </w:r>
      <w:r w:rsidR="000F2D0E">
        <w:t>expert advice</w:t>
      </w:r>
      <w:r>
        <w:t>) indicate</w:t>
      </w:r>
      <w:r w:rsidR="00C839C4">
        <w:t xml:space="preserve"> the</w:t>
      </w:r>
      <w:r>
        <w:t xml:space="preserve"> prevalence of NMOSD is higher in Australia than </w:t>
      </w:r>
      <w:r w:rsidR="00C839C4">
        <w:t>reported</w:t>
      </w:r>
      <w:r>
        <w:t xml:space="preserve"> by Bukhari et al.</w:t>
      </w:r>
      <w:r w:rsidR="00771F27">
        <w:t xml:space="preserve"> </w:t>
      </w:r>
      <w:r w:rsidR="00156621">
        <w:fldChar w:fldCharType="begin">
          <w:fldData xml:space="preserve">PEVuZE5vdGU+PENpdGU+PEF1dGhvcj5CdWtoYXJpPC9BdXRob3I+PFllYXI+MjAxNzwvWWVhcj48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</w:fldData>
        </w:fldChar>
      </w:r>
      <w:r w:rsidR="00D96694">
        <w:instrText xml:space="preserve"> ADDIN EN.CITE </w:instrText>
      </w:r>
      <w:r w:rsidR="00D96694">
        <w:fldChar w:fldCharType="begin">
          <w:fldData xml:space="preserve">PEVuZE5vdGU+PENpdGU+PEF1dGhvcj5CdWtoYXJpPC9BdXRob3I+PFllYXI+MjAxNzwvWWVhcj48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</w:fldData>
        </w:fldChar>
      </w:r>
      <w:r w:rsidR="00D96694">
        <w:instrText xml:space="preserve"> ADDIN EN.CITE.DATA </w:instrText>
      </w:r>
      <w:r w:rsidR="00D96694">
        <w:fldChar w:fldCharType="end"/>
      </w:r>
      <w:r w:rsidR="00156621">
        <w:fldChar w:fldCharType="separate"/>
      </w:r>
      <w:r w:rsidR="00156621">
        <w:rPr>
          <w:noProof/>
        </w:rPr>
        <w:t>(</w:t>
      </w:r>
      <w:r w:rsidR="00E37849">
        <w:rPr>
          <w:noProof/>
        </w:rPr>
        <w:t>2</w:t>
      </w:r>
      <w:r w:rsidR="00156621">
        <w:rPr>
          <w:noProof/>
        </w:rPr>
        <w:t>017)</w:t>
      </w:r>
      <w:r w:rsidR="00156621">
        <w:fldChar w:fldCharType="end"/>
      </w:r>
      <w:r>
        <w:t xml:space="preserve">, with an estimate of 500 to 600 patients in total (indicating a prevalence of 2-2.3 per 100,000). </w:t>
      </w:r>
    </w:p>
    <w:p w14:paraId="7EF90E63" w14:textId="5F0290A7" w:rsidR="008F74E3" w:rsidRDefault="00F57246" w:rsidP="00F57246">
      <w:r>
        <w:t xml:space="preserve">The applicant conducted a survey of clinicians and pathology laboratories around Australia on PASC advice. Results indicated a prevalence of 2.9% and 5.4% </w:t>
      </w:r>
      <w:r w:rsidR="00385F84">
        <w:t xml:space="preserve">AQP4-Ab positive NMOSD in the diagnostic cohort suspected of NMOSD in Queensland (includes tests referred by SA Pathology) and Western Australia, respectively. The data from Queensland Health did not specify the number of tests used for patient monitoring and may </w:t>
      </w:r>
      <w:r w:rsidR="006250F4">
        <w:t>ov</w:t>
      </w:r>
      <w:r w:rsidR="00C839C4">
        <w:t>erestimate</w:t>
      </w:r>
      <w:r w:rsidR="00385F84">
        <w:t xml:space="preserve"> the prevalence in the diagnostic population. The crude incidence based on number of positive res</w:t>
      </w:r>
      <w:r w:rsidR="008F2AFA">
        <w:t>ults provided in the above data is</w:t>
      </w:r>
      <w:r w:rsidR="00385F84">
        <w:t xml:space="preserve"> estimated to be around 0.50-0.92 per 100,000. (</w:t>
      </w:r>
      <w:r w:rsidR="00CE0DD3">
        <w:t>Refer</w:t>
      </w:r>
      <w:r w:rsidR="00385F84">
        <w:t xml:space="preserve"> to section C.X for further details). </w:t>
      </w:r>
      <w:r>
        <w:t xml:space="preserve"> </w:t>
      </w:r>
    </w:p>
    <w:p w14:paraId="33A9F72F" w14:textId="77777777" w:rsidR="00ED65EE" w:rsidRDefault="00ED65EE" w:rsidP="003816F6">
      <w:pPr>
        <w:pStyle w:val="Heading2"/>
        <w:numPr>
          <w:ilvl w:val="1"/>
          <w:numId w:val="17"/>
        </w:numPr>
      </w:pPr>
      <w:bookmarkStart w:id="216" w:name="_Toc39588306"/>
      <w:r w:rsidRPr="0048411A">
        <w:lastRenderedPageBreak/>
        <w:t>Reference standard</w:t>
      </w:r>
      <w:bookmarkEnd w:id="216"/>
    </w:p>
    <w:p w14:paraId="1A7C8C6F" w14:textId="49A97172" w:rsidR="00E35E47" w:rsidRDefault="00B13248" w:rsidP="00B1693D">
      <w:r>
        <w:t>The</w:t>
      </w:r>
      <w:r w:rsidR="00636AB7">
        <w:t xml:space="preserve"> clinical reference standard for this assessment</w:t>
      </w:r>
      <w:r w:rsidR="00C7014A">
        <w:t xml:space="preserve"> is</w:t>
      </w:r>
      <w:r w:rsidR="00B1693D">
        <w:t xml:space="preserve"> clinical diagnosis </w:t>
      </w:r>
      <w:r w:rsidR="00636AB7">
        <w:t>based on</w:t>
      </w:r>
      <w:r w:rsidR="00B1693D">
        <w:t xml:space="preserve"> </w:t>
      </w:r>
      <w:r w:rsidR="005C0FEA">
        <w:t>the 2015 IPND criteria</w:t>
      </w:r>
      <w:r w:rsidR="00636AB7">
        <w:t xml:space="preserve">. </w:t>
      </w:r>
      <w:r w:rsidR="003040CA">
        <w:t>However,</w:t>
      </w:r>
      <w:r w:rsidR="00B1693D">
        <w:t xml:space="preserve"> this raises some problems when assessing test accuracy. </w:t>
      </w:r>
    </w:p>
    <w:p w14:paraId="3724474E" w14:textId="77777777" w:rsidR="00247862" w:rsidRDefault="005C0FEA" w:rsidP="00B1693D">
      <w:r>
        <w:t xml:space="preserve">Studies comparing diagnosis by </w:t>
      </w:r>
      <w:r w:rsidR="00247862">
        <w:t xml:space="preserve">AQP4-Ab and MOG-Ab testing with </w:t>
      </w:r>
      <w:r>
        <w:t xml:space="preserve">the 2015 IPND criteria </w:t>
      </w:r>
      <w:r w:rsidR="00B1693D">
        <w:t xml:space="preserve">are inherently flawed. They are at high risk of incorporation bias because </w:t>
      </w:r>
      <w:r w:rsidR="00C7014A">
        <w:t>diagnosis</w:t>
      </w:r>
      <w:r w:rsidR="00B1693D">
        <w:t xml:space="preserve"> based on the </w:t>
      </w:r>
      <w:r w:rsidR="004622EB">
        <w:t>20</w:t>
      </w:r>
      <w:r>
        <w:t>15</w:t>
      </w:r>
      <w:r w:rsidR="004622EB">
        <w:t xml:space="preserve"> </w:t>
      </w:r>
      <w:r>
        <w:t xml:space="preserve">IPND </w:t>
      </w:r>
      <w:r w:rsidR="004622EB">
        <w:t>criteria</w:t>
      </w:r>
      <w:r w:rsidR="00B1693D">
        <w:t xml:space="preserve"> incorporates the results of the index test</w:t>
      </w:r>
      <w:r w:rsidR="004622EB">
        <w:t xml:space="preserve"> (AQP4-Ab testing)</w:t>
      </w:r>
      <w:r w:rsidR="00636AB7">
        <w:t>. I</w:t>
      </w:r>
      <w:r w:rsidR="00B1693D">
        <w:t>n this case,</w:t>
      </w:r>
      <w:r w:rsidR="00631E48">
        <w:t xml:space="preserve"> when</w:t>
      </w:r>
      <w:r w:rsidR="00B1693D">
        <w:t xml:space="preserve"> </w:t>
      </w:r>
      <w:r w:rsidR="004622EB">
        <w:t>A</w:t>
      </w:r>
      <w:r w:rsidR="00321620">
        <w:t>QP</w:t>
      </w:r>
      <w:r w:rsidR="004622EB">
        <w:t xml:space="preserve">4-Ab testing </w:t>
      </w:r>
      <w:r w:rsidR="00631E48">
        <w:t>is</w:t>
      </w:r>
      <w:r w:rsidR="004622EB">
        <w:t xml:space="preserve"> </w:t>
      </w:r>
      <w:r w:rsidR="00636AB7">
        <w:t xml:space="preserve">common to both the </w:t>
      </w:r>
      <w:r w:rsidR="00C7014A">
        <w:t>reference</w:t>
      </w:r>
      <w:r w:rsidR="00636AB7">
        <w:t xml:space="preserve"> standard and the index test</w:t>
      </w:r>
      <w:r w:rsidR="00631E48">
        <w:t xml:space="preserve"> there can be an</w:t>
      </w:r>
      <w:r w:rsidR="00636AB7">
        <w:t xml:space="preserve"> </w:t>
      </w:r>
      <w:r w:rsidR="00B1693D">
        <w:t xml:space="preserve">over-estimate </w:t>
      </w:r>
      <w:r w:rsidR="00C839C4">
        <w:t xml:space="preserve">of </w:t>
      </w:r>
      <w:r w:rsidR="00B1693D">
        <w:t>the accuracy of the index test</w:t>
      </w:r>
      <w:r w:rsidR="00AB42F8">
        <w:t xml:space="preserve"> </w:t>
      </w:r>
      <w:r w:rsidR="00156621">
        <w:fldChar w:fldCharType="begin"/>
      </w:r>
      <w:r w:rsidR="00156621">
        <w:instrText xml:space="preserve"> ADDIN EN.CITE &lt;EndNote&gt;&lt;Cite&gt;&lt;Author&gt;Roever&lt;/Author&gt;&lt;Year&gt;2016&lt;/Year&gt;&lt;RecNum&gt;61&lt;/RecNum&gt;&lt;DisplayText&gt;(Roever 2016)&lt;/DisplayText&gt;&lt;record&gt;&lt;rec-number&gt;61&lt;/rec-number&gt;&lt;foreign-keys&gt;&lt;key app="EN" db-id="r25zptaswpdzade29ws5pf9gx55ztppatt20" timestamp="1579571893"&gt;61&lt;/key&gt;&lt;/foreign-keys&gt;&lt;ref-type name="Journal Article"&gt;17&lt;/ref-type&gt;&lt;contributors&gt;&lt;authors&gt;&lt;author&gt;Roever, Leonardo,&lt;/author&gt;&lt;/authors&gt;&lt;/contributors&gt;&lt;titles&gt;&lt;title&gt;Types of bias in studies of diagnostic test accuracy&lt;/title&gt;&lt;secondary-title&gt;Evidence based Medicine and Practice&lt;/secondary-title&gt;&lt;/titles&gt;&lt;periodical&gt;&lt;full-title&gt;Evidence based Medicine and Practice&lt;/full-title&gt;&lt;/periodical&gt;&lt;pages&gt;- 1-2&lt;/pages&gt;&lt;volume&gt;- 2&lt;/volume&gt;&lt;number&gt;-&lt;/number&gt;&lt;keywords&gt;&lt;keyword&gt;p -&lt;/keyword&gt;&lt;/keywords&gt;&lt;dates&gt;&lt;year&gt;2016&lt;/year&gt;&lt;/dates&gt;&lt;urls&gt;&lt;related-urls&gt;&lt;url&gt;- https://www.omicsonline.org/open-access/types-of-bias-in-studies-of-diagnostic-test-accuracy-ebmp-1000e113.php?aid=70361&lt;/url&gt;&lt;/related-urls&gt;&lt;/urls&gt;&lt;/record&gt;&lt;/Cite&gt;&lt;/EndNote&gt;</w:instrText>
      </w:r>
      <w:r w:rsidR="00156621">
        <w:fldChar w:fldCharType="separate"/>
      </w:r>
      <w:r w:rsidR="00156621">
        <w:rPr>
          <w:noProof/>
        </w:rPr>
        <w:t>(Roever 2016)</w:t>
      </w:r>
      <w:r w:rsidR="00156621">
        <w:fldChar w:fldCharType="end"/>
      </w:r>
      <w:r w:rsidR="00B1693D">
        <w:t xml:space="preserve">. </w:t>
      </w:r>
    </w:p>
    <w:p w14:paraId="05D05208" w14:textId="77777777" w:rsidR="00ED65EE" w:rsidRDefault="00AB42F8" w:rsidP="00B1693D">
      <w:r>
        <w:t xml:space="preserve">It was not always </w:t>
      </w:r>
      <w:r w:rsidR="00247862">
        <w:t>reported</w:t>
      </w:r>
      <w:r>
        <w:t xml:space="preserve"> whether AQP4-Ab testing had been used </w:t>
      </w:r>
      <w:r w:rsidR="00C7014A">
        <w:t>as part of the</w:t>
      </w:r>
      <w:r>
        <w:t xml:space="preserve"> </w:t>
      </w:r>
      <w:r w:rsidR="00247862">
        <w:t>reference</w:t>
      </w:r>
      <w:r>
        <w:t xml:space="preserve"> diagnostic criteria</w:t>
      </w:r>
      <w:r w:rsidR="005C0FEA">
        <w:t xml:space="preserve"> in the articles identified in the literature</w:t>
      </w:r>
      <w:r w:rsidR="00247862">
        <w:t>, and in these cases the risk of incorporation bias was not clear.</w:t>
      </w:r>
      <w:r w:rsidR="00E275C8">
        <w:t xml:space="preserve"> </w:t>
      </w:r>
    </w:p>
    <w:p w14:paraId="0B4F46CD" w14:textId="39100B20" w:rsidR="00B65F59" w:rsidRPr="00376BE2" w:rsidRDefault="00636AB7" w:rsidP="00B1693D">
      <w:r>
        <w:t>AQP4-Ab and MOG-Ab testing are not able to identify all patients with NMOSD. There are still a proportion of patients who test negative for both antibodies. Ideally</w:t>
      </w:r>
      <w:r w:rsidR="00C839C4">
        <w:t>,</w:t>
      </w:r>
      <w:r>
        <w:t xml:space="preserve"> both tests should be used in addition to diagnosis by clinical characteristics as a reference standard to detect all cases. </w:t>
      </w:r>
    </w:p>
    <w:p w14:paraId="7B5BE4F6" w14:textId="77777777" w:rsidR="00ED65EE" w:rsidRPr="007A49EE" w:rsidRDefault="00ED65EE" w:rsidP="003816F6">
      <w:pPr>
        <w:pStyle w:val="Heading2"/>
        <w:numPr>
          <w:ilvl w:val="1"/>
          <w:numId w:val="17"/>
        </w:numPr>
      </w:pPr>
      <w:bookmarkStart w:id="217" w:name="_Toc39588307"/>
      <w:r w:rsidRPr="00183E4D">
        <w:t>Risk of Bias Assessment</w:t>
      </w:r>
      <w:bookmarkEnd w:id="217"/>
    </w:p>
    <w:p w14:paraId="0F6B9DF1" w14:textId="662C830F" w:rsidR="00786F87" w:rsidRDefault="00786F87" w:rsidP="00786F87">
      <w:r>
        <w:t xml:space="preserve">There were </w:t>
      </w:r>
      <w:r w:rsidR="00A52DF8">
        <w:t>12</w:t>
      </w:r>
      <w:r>
        <w:t xml:space="preserve"> studies providing evidence for </w:t>
      </w:r>
      <w:r w:rsidR="00A52DF8">
        <w:t>diagnostic accuracy</w:t>
      </w:r>
      <w:r>
        <w:t xml:space="preserve"> and these were assessed</w:t>
      </w:r>
      <w:r w:rsidRPr="00786F87">
        <w:t xml:space="preserve"> </w:t>
      </w:r>
      <w:r>
        <w:t>us</w:t>
      </w:r>
      <w:r w:rsidR="00C20EFA">
        <w:t>ing the QUADAS-</w:t>
      </w:r>
      <w:r w:rsidR="00A52DF8">
        <w:t xml:space="preserve">2 appraisal tool </w:t>
      </w:r>
      <w:r w:rsidR="00156621">
        <w:fldChar w:fldCharType="begin"/>
      </w:r>
      <w:r w:rsidR="00F83B0E">
        <w:instrText xml:space="preserve"> ADDIN EN.CITE &lt;EndNote&gt;&lt;Cite&gt;&lt;Author&gt;Whiting&lt;/Author&gt;&lt;Year&gt;2011&lt;/Year&gt;&lt;RecNum&gt;63&lt;/RecNum&gt;&lt;DisplayText&gt;(Whiting et al. 2011)&lt;/DisplayText&gt;&lt;record&gt;&lt;rec-number&gt;63&lt;/rec-number&gt;&lt;foreign-keys&gt;&lt;key app="EN" db-id="r25zptaswpdzade29ws5pf9gx55ztppatt20" timestamp="1580177161"&gt;63&lt;/key&gt;&lt;/foreign-keys&gt;&lt;ref-type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sidR="00156621">
        <w:fldChar w:fldCharType="separate"/>
      </w:r>
      <w:r w:rsidR="00F83B0E">
        <w:rPr>
          <w:noProof/>
        </w:rPr>
        <w:t>(Whiting et al. 2011)</w:t>
      </w:r>
      <w:r w:rsidR="00156621">
        <w:fldChar w:fldCharType="end"/>
      </w:r>
      <w:r w:rsidR="00A52DF8">
        <w:t xml:space="preserve">. Of the 12, three were appraised as high risk of bias and the remaining nine were found to be moderate risk of bias. Because of the inherent incorporation bias in the clinical reference standard (diagnosis using the 2015 IPND criteria), all studies were rated high risk </w:t>
      </w:r>
      <w:r w:rsidR="00C7014A">
        <w:t xml:space="preserve">of </w:t>
      </w:r>
      <w:r w:rsidR="00A52DF8">
        <w:t xml:space="preserve">bias for the reference standard (see section B4.1.1 for further information). </w:t>
      </w:r>
      <w:r w:rsidR="00060A9B">
        <w:t>P</w:t>
      </w:r>
      <w:r w:rsidR="00A52DF8">
        <w:t>atient selection was highly specific according to study inclusion criteria. However, th</w:t>
      </w:r>
      <w:r w:rsidR="00060A9B">
        <w:t>e</w:t>
      </w:r>
      <w:r w:rsidR="00A52DF8">
        <w:t xml:space="preserve"> </w:t>
      </w:r>
      <w:r w:rsidR="00060A9B">
        <w:t xml:space="preserve">retrospective </w:t>
      </w:r>
      <w:r w:rsidR="00A52DF8">
        <w:t xml:space="preserve">study design makes it difficult to </w:t>
      </w:r>
      <w:r w:rsidR="00C839C4">
        <w:t>judge</w:t>
      </w:r>
      <w:r w:rsidR="00A52DF8">
        <w:t xml:space="preserve"> selection bias</w:t>
      </w:r>
      <w:r w:rsidR="00060A9B">
        <w:t xml:space="preserve"> </w:t>
      </w:r>
      <w:r w:rsidR="00C7014A">
        <w:t>i</w:t>
      </w:r>
      <w:r w:rsidR="00060A9B">
        <w:t>f there was report of including consecutive cases</w:t>
      </w:r>
      <w:r w:rsidR="00A52DF8">
        <w:t>.</w:t>
      </w:r>
      <w:r w:rsidR="00060A9B">
        <w:t xml:space="preserve"> The </w:t>
      </w:r>
      <w:r w:rsidR="008B4AA0">
        <w:t>studies</w:t>
      </w:r>
      <w:r w:rsidR="00060A9B">
        <w:t xml:space="preserve"> that were rated high for risk of bias either did not fully apply the reference standard to diagnose eligible cases, or included some older cases that had been included by application of the 2006 criteria rather than the 2015 IPND criteria as the reference standard.</w:t>
      </w:r>
    </w:p>
    <w:p w14:paraId="2E96E1AC" w14:textId="284685BC" w:rsidR="00A52DF8" w:rsidRDefault="00A52DF8" w:rsidP="00786F87">
      <w:r>
        <w:t xml:space="preserve">Results of the individual domains from study appraisals for diagnostic accuracy studies </w:t>
      </w:r>
      <w:r w:rsidR="008B4AA0">
        <w:t xml:space="preserve">(level III-3 evidence) </w:t>
      </w:r>
      <w:r>
        <w:t xml:space="preserve">are seen in </w:t>
      </w:r>
      <w:r>
        <w:fldChar w:fldCharType="begin"/>
      </w:r>
      <w:r>
        <w:instrText xml:space="preserve"> REF _Ref31720098 \h </w:instrText>
      </w:r>
      <w:r>
        <w:fldChar w:fldCharType="separate"/>
      </w:r>
      <w:r w:rsidR="008A4991">
        <w:t xml:space="preserve">Table </w:t>
      </w:r>
      <w:r w:rsidR="008A4991">
        <w:rPr>
          <w:noProof/>
        </w:rPr>
        <w:t>19</w:t>
      </w:r>
      <w:r>
        <w:fldChar w:fldCharType="end"/>
      </w:r>
      <w:r>
        <w:t>.</w:t>
      </w:r>
      <w:r w:rsidR="00060A9B">
        <w:t xml:space="preserve"> </w:t>
      </w:r>
    </w:p>
    <w:p w14:paraId="4B9858AE" w14:textId="102FC151" w:rsidR="003637B4" w:rsidRDefault="008B4AA0" w:rsidP="003637B4">
      <w:r w:rsidRPr="00F462A1">
        <w:t xml:space="preserve">A total of </w:t>
      </w:r>
      <w:r w:rsidR="00B5172B">
        <w:t xml:space="preserve">17 </w:t>
      </w:r>
      <w:r w:rsidRPr="00F462A1">
        <w:t xml:space="preserve">studies provided information on diagnostic yield from patients who were positive </w:t>
      </w:r>
      <w:r>
        <w:t>or</w:t>
      </w:r>
      <w:r w:rsidRPr="00F462A1">
        <w:t xml:space="preserve"> negative for AQP4-Ab and MOG-Ab testing (</w:t>
      </w:r>
      <w:r w:rsidRPr="00F462A1">
        <w:fldChar w:fldCharType="begin"/>
      </w:r>
      <w:r w:rsidRPr="00F462A1">
        <w:instrText xml:space="preserve"> REF _Ref27743451 \h  \* MERGEFORMAT </w:instrText>
      </w:r>
      <w:r w:rsidRPr="00F462A1">
        <w:fldChar w:fldCharType="separate"/>
      </w:r>
      <w:r w:rsidR="0014371E" w:rsidRPr="005B13BC">
        <w:t xml:space="preserve">Table </w:t>
      </w:r>
      <w:r w:rsidR="0014371E">
        <w:t>20</w:t>
      </w:r>
      <w:r w:rsidRPr="00F462A1">
        <w:fldChar w:fldCharType="end"/>
      </w:r>
      <w:r w:rsidRPr="00F462A1">
        <w:t xml:space="preserve">). </w:t>
      </w:r>
      <w:r w:rsidR="00B5172B">
        <w:t xml:space="preserve">Fifteen </w:t>
      </w:r>
      <w:r w:rsidR="0012220D">
        <w:t xml:space="preserve">of the </w:t>
      </w:r>
      <w:r w:rsidR="00B5172B">
        <w:t xml:space="preserve">17 </w:t>
      </w:r>
      <w:r w:rsidR="0012220D">
        <w:t xml:space="preserve">studies were case series </w:t>
      </w:r>
      <w:r w:rsidRPr="00F462A1">
        <w:t xml:space="preserve">(level IV) </w:t>
      </w:r>
      <w:r w:rsidR="00C7014A">
        <w:t xml:space="preserve">and </w:t>
      </w:r>
      <w:r w:rsidRPr="00F462A1">
        <w:t xml:space="preserve">were rated from moderate to high for overall risk of bias using the IHE Checklist for case series (IHE 2014). The remaining two studies </w:t>
      </w:r>
      <w:r w:rsidR="00156621">
        <w:fldChar w:fldCharType="begin">
          <w:fldData xml:space="preserve">PEVuZE5vdGU+PENpdGU+PEF1dGhvcj5Cb3V6YXI8L0F1dGhvcj48WWVhcj4yMDE3PC9ZZWFyPjxS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</w:fldData>
        </w:fldChar>
      </w:r>
      <w:r w:rsidR="00D96694">
        <w:instrText xml:space="preserve"> ADDIN EN.CITE </w:instrText>
      </w:r>
      <w:r w:rsidR="00D96694">
        <w:fldChar w:fldCharType="begin">
          <w:fldData xml:space="preserve">PEVuZE5vdGU+PENpdGU+PEF1dGhvcj5Cb3V6YXI8L0F1dGhvcj48WWVhcj4yMDE3PC9ZZWFyPjxS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</w:fldData>
        </w:fldChar>
      </w:r>
      <w:r w:rsidR="00D96694">
        <w:instrText xml:space="preserve"> ADDIN EN.CITE.DATA </w:instrText>
      </w:r>
      <w:r w:rsidR="00D96694">
        <w:fldChar w:fldCharType="end"/>
      </w:r>
      <w:r w:rsidR="00156621">
        <w:fldChar w:fldCharType="separate"/>
      </w:r>
      <w:r w:rsidR="00156621">
        <w:rPr>
          <w:noProof/>
        </w:rPr>
        <w:t>(Bouzar et al. 2017; Hamid et al. 2017)</w:t>
      </w:r>
      <w:r w:rsidR="00156621">
        <w:fldChar w:fldCharType="end"/>
      </w:r>
      <w:r w:rsidRPr="00F462A1">
        <w:t xml:space="preserve"> were assessed for risk of bias using QUADAS-2. The overall risk of bias for these latter two studies was high. (Individual domain outcomes </w:t>
      </w:r>
      <w:r>
        <w:t xml:space="preserve">were </w:t>
      </w:r>
      <w:r w:rsidRPr="00F462A1">
        <w:t>not reported</w:t>
      </w:r>
      <w:r>
        <w:t xml:space="preserve"> for level IV evidence)</w:t>
      </w:r>
      <w:r w:rsidRPr="00F462A1">
        <w:t>.</w:t>
      </w:r>
      <w:bookmarkStart w:id="218" w:name="_Ref31720098"/>
      <w:bookmarkStart w:id="219" w:name="_Toc39580800"/>
      <w:r w:rsidR="003637B4">
        <w:br w:type="page"/>
      </w:r>
    </w:p>
    <w:p w14:paraId="07841839" w14:textId="14F47AF9" w:rsidR="00ED65EE" w:rsidRDefault="00ED65EE" w:rsidP="00ED65EE">
      <w:pPr>
        <w:pStyle w:val="Caption"/>
      </w:pPr>
      <w:r>
        <w:lastRenderedPageBreak/>
        <w:t xml:space="preserve">Table </w:t>
      </w:r>
      <w:r w:rsidR="00E66384">
        <w:rPr>
          <w:noProof/>
        </w:rPr>
        <w:fldChar w:fldCharType="begin"/>
      </w:r>
      <w:r w:rsidR="00E66384">
        <w:rPr>
          <w:noProof/>
        </w:rPr>
        <w:instrText xml:space="preserve"> SEQ Table \* ARABIC </w:instrText>
      </w:r>
      <w:r w:rsidR="00E66384">
        <w:rPr>
          <w:noProof/>
        </w:rPr>
        <w:fldChar w:fldCharType="separate"/>
      </w:r>
      <w:r w:rsidR="00FA7BCD">
        <w:rPr>
          <w:noProof/>
        </w:rPr>
        <w:t>19</w:t>
      </w:r>
      <w:r w:rsidR="00E66384">
        <w:rPr>
          <w:noProof/>
        </w:rPr>
        <w:fldChar w:fldCharType="end"/>
      </w:r>
      <w:bookmarkEnd w:id="218"/>
      <w:r>
        <w:tab/>
      </w:r>
      <w:r w:rsidR="009F7E2F" w:rsidRPr="009F7E2F">
        <w:t xml:space="preserve">Risk of bias </w:t>
      </w:r>
      <w:r w:rsidR="008A4991">
        <w:t xml:space="preserve">domains </w:t>
      </w:r>
      <w:r w:rsidR="009F7E2F" w:rsidRPr="009F7E2F">
        <w:t xml:space="preserve">(QUADAS-2) of </w:t>
      </w:r>
      <w:r w:rsidR="008A4991">
        <w:t xml:space="preserve">the included </w:t>
      </w:r>
      <w:r w:rsidR="007E2A9E">
        <w:t xml:space="preserve">level III-3 </w:t>
      </w:r>
      <w:r w:rsidR="008A4991">
        <w:t>diagnostic accuracy studies</w:t>
      </w:r>
      <w:bookmarkEnd w:id="219"/>
      <w:r w:rsidR="009F7E2F" w:rsidRPr="009F7E2F">
        <w:t xml:space="preserve"> </w:t>
      </w:r>
    </w:p>
    <w:tbl>
      <w:tblPr>
        <w:tblStyle w:val="TableGrid1"/>
        <w:tblW w:w="5000" w:type="pct"/>
        <w:tblCellMar>
          <w:left w:w="28" w:type="dxa"/>
          <w:right w:w="28" w:type="dxa"/>
        </w:tblCellMar>
        <w:tblLook w:val="04A0" w:firstRow="1" w:lastRow="0" w:firstColumn="1" w:lastColumn="0" w:noHBand="0" w:noVBand="1"/>
        <w:tblCaption w:val="Table 19 Risk of bias domains (QUADAS-2) of the included level III-3 diagnostic accuracy studies "/>
        <w:tblDescription w:val="A summary of the individual appraisal domains for risk of bias and applicability concerns for the studies included for diagnostic accuracy."/>
      </w:tblPr>
      <w:tblGrid>
        <w:gridCol w:w="988"/>
        <w:gridCol w:w="1095"/>
        <w:gridCol w:w="936"/>
        <w:gridCol w:w="1293"/>
        <w:gridCol w:w="1132"/>
        <w:gridCol w:w="1309"/>
        <w:gridCol w:w="968"/>
        <w:gridCol w:w="1295"/>
      </w:tblGrid>
      <w:tr w:rsidR="00DF77BA" w:rsidRPr="00183E4D" w14:paraId="46FE29AE" w14:textId="77777777" w:rsidTr="003040CA">
        <w:trPr>
          <w:cnfStyle w:val="100000000000" w:firstRow="1" w:lastRow="0" w:firstColumn="0" w:lastColumn="0" w:oddVBand="0" w:evenVBand="0" w:oddHBand="0" w:evenHBand="0" w:firstRowFirstColumn="0" w:firstRowLastColumn="0" w:lastRowFirstColumn="0" w:lastRowLastColumn="0"/>
          <w:trHeight w:val="634"/>
          <w:tblHeader/>
        </w:trPr>
        <w:tc>
          <w:tcPr>
            <w:tcW w:w="548" w:type="pct"/>
            <w:tcBorders>
              <w:right w:val="nil"/>
            </w:tcBorders>
            <w:shd w:val="clear" w:color="auto" w:fill="auto"/>
            <w:vAlign w:val="center"/>
          </w:tcPr>
          <w:p w14:paraId="71A1EA7E" w14:textId="77777777" w:rsidR="00DF77BA" w:rsidRPr="00183E4D" w:rsidRDefault="00DF77BA" w:rsidP="00A87AE2">
            <w:pPr>
              <w:pStyle w:val="TableHeading"/>
              <w:rPr>
                <w:snapToGrid w:val="0"/>
              </w:rPr>
            </w:pPr>
          </w:p>
        </w:tc>
        <w:tc>
          <w:tcPr>
            <w:tcW w:w="607" w:type="pct"/>
            <w:tcBorders>
              <w:left w:val="nil"/>
              <w:right w:val="nil"/>
            </w:tcBorders>
            <w:shd w:val="clear" w:color="auto" w:fill="auto"/>
            <w:vAlign w:val="center"/>
          </w:tcPr>
          <w:p w14:paraId="6BADCEEB" w14:textId="77777777" w:rsidR="00DF77BA" w:rsidRPr="00183E4D" w:rsidRDefault="00DF77BA" w:rsidP="00A87AE2">
            <w:pPr>
              <w:pStyle w:val="TableHeading"/>
              <w:rPr>
                <w:snapToGrid w:val="0"/>
              </w:rPr>
            </w:pPr>
          </w:p>
        </w:tc>
        <w:tc>
          <w:tcPr>
            <w:tcW w:w="519" w:type="pct"/>
            <w:tcBorders>
              <w:left w:val="nil"/>
              <w:right w:val="nil"/>
            </w:tcBorders>
            <w:shd w:val="clear" w:color="auto" w:fill="auto"/>
            <w:vAlign w:val="center"/>
          </w:tcPr>
          <w:p w14:paraId="05E803FD" w14:textId="77777777" w:rsidR="00DF77BA" w:rsidRPr="00183E4D" w:rsidRDefault="00DF77BA" w:rsidP="00A87AE2">
            <w:pPr>
              <w:pStyle w:val="TableHeading"/>
              <w:rPr>
                <w:snapToGrid w:val="0"/>
              </w:rPr>
            </w:pPr>
            <w:r>
              <w:rPr>
                <w:snapToGrid w:val="0"/>
              </w:rPr>
              <w:t>Risk of bias</w:t>
            </w:r>
          </w:p>
        </w:tc>
        <w:tc>
          <w:tcPr>
            <w:tcW w:w="717" w:type="pct"/>
            <w:tcBorders>
              <w:left w:val="nil"/>
              <w:right w:val="nil"/>
            </w:tcBorders>
            <w:shd w:val="clear" w:color="auto" w:fill="auto"/>
            <w:vAlign w:val="center"/>
          </w:tcPr>
          <w:p w14:paraId="30EDA2B4" w14:textId="77777777" w:rsidR="00DF77BA" w:rsidRPr="00183E4D" w:rsidRDefault="00DF77BA" w:rsidP="00A87AE2">
            <w:pPr>
              <w:pStyle w:val="TableHeading"/>
              <w:rPr>
                <w:snapToGrid w:val="0"/>
              </w:rPr>
            </w:pPr>
          </w:p>
        </w:tc>
        <w:tc>
          <w:tcPr>
            <w:tcW w:w="628" w:type="pct"/>
            <w:tcBorders>
              <w:left w:val="nil"/>
            </w:tcBorders>
            <w:shd w:val="clear" w:color="auto" w:fill="auto"/>
            <w:vAlign w:val="center"/>
          </w:tcPr>
          <w:p w14:paraId="2787AA29" w14:textId="77777777" w:rsidR="00DF77BA" w:rsidRPr="00183E4D" w:rsidRDefault="00DF77BA" w:rsidP="00A87AE2">
            <w:pPr>
              <w:pStyle w:val="TableHeading"/>
              <w:rPr>
                <w:snapToGrid w:val="0"/>
              </w:rPr>
            </w:pPr>
          </w:p>
        </w:tc>
        <w:tc>
          <w:tcPr>
            <w:tcW w:w="1981" w:type="pct"/>
            <w:gridSpan w:val="3"/>
            <w:shd w:val="clear" w:color="auto" w:fill="D9D9D9" w:themeFill="background1" w:themeFillShade="D9"/>
            <w:vAlign w:val="center"/>
          </w:tcPr>
          <w:p w14:paraId="1A97A769" w14:textId="77777777" w:rsidR="00DF77BA" w:rsidRPr="00183E4D" w:rsidRDefault="00DF77BA" w:rsidP="00A87AE2">
            <w:pPr>
              <w:pStyle w:val="TableHeading"/>
              <w:rPr>
                <w:snapToGrid w:val="0"/>
              </w:rPr>
            </w:pPr>
            <w:r>
              <w:rPr>
                <w:snapToGrid w:val="0"/>
              </w:rPr>
              <w:t>Applicability concerns</w:t>
            </w:r>
          </w:p>
        </w:tc>
      </w:tr>
      <w:tr w:rsidR="00C7014A" w:rsidRPr="00183E4D" w14:paraId="64601415" w14:textId="77777777" w:rsidTr="003040CA">
        <w:trPr>
          <w:cnfStyle w:val="100000000000" w:firstRow="1" w:lastRow="0" w:firstColumn="0" w:lastColumn="0" w:oddVBand="0" w:evenVBand="0" w:oddHBand="0" w:evenHBand="0" w:firstRowFirstColumn="0" w:firstRowLastColumn="0" w:lastRowFirstColumn="0" w:lastRowLastColumn="0"/>
          <w:trHeight w:val="616"/>
          <w:tblHeader/>
        </w:trPr>
        <w:tc>
          <w:tcPr>
            <w:tcW w:w="548" w:type="pct"/>
            <w:shd w:val="clear" w:color="auto" w:fill="auto"/>
            <w:vAlign w:val="center"/>
          </w:tcPr>
          <w:p w14:paraId="1F91DD71" w14:textId="77777777" w:rsidR="00C7014A" w:rsidRPr="00183E4D" w:rsidRDefault="00ED65EE" w:rsidP="00A87AE2">
            <w:pPr>
              <w:pStyle w:val="TableHeading"/>
              <w:rPr>
                <w:snapToGrid w:val="0"/>
                <w:highlight w:val="cyan"/>
              </w:rPr>
            </w:pPr>
            <w:r>
              <w:rPr>
                <w:snapToGrid w:val="0"/>
              </w:rPr>
              <w:t>Study</w:t>
            </w:r>
          </w:p>
        </w:tc>
        <w:tc>
          <w:tcPr>
            <w:tcW w:w="607" w:type="pct"/>
            <w:shd w:val="clear" w:color="auto" w:fill="auto"/>
            <w:vAlign w:val="center"/>
          </w:tcPr>
          <w:p w14:paraId="39E8FABD" w14:textId="77777777" w:rsidR="00ED65EE" w:rsidRPr="00976DD6" w:rsidRDefault="00ED65EE" w:rsidP="00A87AE2">
            <w:pPr>
              <w:pStyle w:val="TableHeading"/>
              <w:rPr>
                <w:snapToGrid w:val="0"/>
              </w:rPr>
            </w:pPr>
            <w:r w:rsidRPr="00976DD6">
              <w:rPr>
                <w:snapToGrid w:val="0"/>
              </w:rPr>
              <w:t>Patient selection</w:t>
            </w:r>
          </w:p>
        </w:tc>
        <w:tc>
          <w:tcPr>
            <w:tcW w:w="519" w:type="pct"/>
            <w:shd w:val="clear" w:color="auto" w:fill="auto"/>
            <w:vAlign w:val="center"/>
          </w:tcPr>
          <w:p w14:paraId="39E7F176" w14:textId="77777777" w:rsidR="00ED65EE" w:rsidRPr="00976DD6" w:rsidRDefault="00ED65EE" w:rsidP="00A87AE2">
            <w:pPr>
              <w:pStyle w:val="TableHeading"/>
              <w:rPr>
                <w:snapToGrid w:val="0"/>
              </w:rPr>
            </w:pPr>
            <w:r w:rsidRPr="00976DD6">
              <w:rPr>
                <w:snapToGrid w:val="0"/>
              </w:rPr>
              <w:t>Index test</w:t>
            </w:r>
          </w:p>
        </w:tc>
        <w:tc>
          <w:tcPr>
            <w:tcW w:w="717" w:type="pct"/>
            <w:shd w:val="clear" w:color="auto" w:fill="auto"/>
            <w:vAlign w:val="center"/>
          </w:tcPr>
          <w:p w14:paraId="12271CAD" w14:textId="77777777" w:rsidR="00ED65EE" w:rsidRPr="00976DD6" w:rsidRDefault="00ED65EE" w:rsidP="00A87AE2">
            <w:pPr>
              <w:pStyle w:val="TableHeading"/>
              <w:rPr>
                <w:snapToGrid w:val="0"/>
              </w:rPr>
            </w:pPr>
            <w:r w:rsidRPr="00976DD6">
              <w:rPr>
                <w:snapToGrid w:val="0"/>
              </w:rPr>
              <w:t>Reference standard</w:t>
            </w:r>
          </w:p>
        </w:tc>
        <w:tc>
          <w:tcPr>
            <w:tcW w:w="628" w:type="pct"/>
            <w:shd w:val="clear" w:color="auto" w:fill="auto"/>
            <w:vAlign w:val="center"/>
          </w:tcPr>
          <w:p w14:paraId="0183E667" w14:textId="77777777" w:rsidR="00ED65EE" w:rsidRPr="00976DD6" w:rsidRDefault="00ED65EE" w:rsidP="00A87AE2">
            <w:pPr>
              <w:pStyle w:val="TableHeading"/>
              <w:rPr>
                <w:snapToGrid w:val="0"/>
              </w:rPr>
            </w:pPr>
            <w:r w:rsidRPr="00976DD6">
              <w:rPr>
                <w:snapToGrid w:val="0"/>
              </w:rPr>
              <w:t>Flow and timing</w:t>
            </w:r>
          </w:p>
        </w:tc>
        <w:tc>
          <w:tcPr>
            <w:tcW w:w="726" w:type="pct"/>
            <w:shd w:val="clear" w:color="auto" w:fill="D9D9D9" w:themeFill="background1" w:themeFillShade="D9"/>
            <w:vAlign w:val="center"/>
          </w:tcPr>
          <w:p w14:paraId="3C2AB0D2" w14:textId="77777777" w:rsidR="00ED65EE" w:rsidRPr="00976DD6" w:rsidRDefault="00ED65EE" w:rsidP="00A87AE2">
            <w:pPr>
              <w:pStyle w:val="TableHeading"/>
              <w:rPr>
                <w:snapToGrid w:val="0"/>
              </w:rPr>
            </w:pPr>
            <w:r w:rsidRPr="00976DD6">
              <w:rPr>
                <w:snapToGrid w:val="0"/>
              </w:rPr>
              <w:t>Patient selection</w:t>
            </w:r>
          </w:p>
        </w:tc>
        <w:tc>
          <w:tcPr>
            <w:tcW w:w="537" w:type="pct"/>
            <w:shd w:val="clear" w:color="auto" w:fill="D9D9D9" w:themeFill="background1" w:themeFillShade="D9"/>
            <w:vAlign w:val="center"/>
          </w:tcPr>
          <w:p w14:paraId="4CCE32FE" w14:textId="77777777" w:rsidR="00ED65EE" w:rsidRPr="00976DD6" w:rsidRDefault="00ED65EE" w:rsidP="00A87AE2">
            <w:pPr>
              <w:pStyle w:val="TableHeading"/>
              <w:rPr>
                <w:snapToGrid w:val="0"/>
              </w:rPr>
            </w:pPr>
            <w:r w:rsidRPr="00976DD6">
              <w:rPr>
                <w:snapToGrid w:val="0"/>
              </w:rPr>
              <w:t>Index test</w:t>
            </w:r>
          </w:p>
        </w:tc>
        <w:tc>
          <w:tcPr>
            <w:tcW w:w="718" w:type="pct"/>
            <w:shd w:val="clear" w:color="auto" w:fill="D9D9D9" w:themeFill="background1" w:themeFillShade="D9"/>
            <w:vAlign w:val="center"/>
          </w:tcPr>
          <w:p w14:paraId="1D872340" w14:textId="77777777" w:rsidR="00ED65EE" w:rsidRPr="00976DD6" w:rsidRDefault="00ED65EE" w:rsidP="00A87AE2">
            <w:pPr>
              <w:pStyle w:val="TableHeading"/>
              <w:rPr>
                <w:snapToGrid w:val="0"/>
              </w:rPr>
            </w:pPr>
            <w:r w:rsidRPr="00976DD6">
              <w:rPr>
                <w:snapToGrid w:val="0"/>
              </w:rPr>
              <w:t>Reference standard</w:t>
            </w:r>
          </w:p>
        </w:tc>
      </w:tr>
      <w:tr w:rsidR="00C7014A" w:rsidRPr="00183E4D" w14:paraId="028AF9C6" w14:textId="77777777" w:rsidTr="003040CA">
        <w:trPr>
          <w:trHeight w:val="440"/>
        </w:trPr>
        <w:tc>
          <w:tcPr>
            <w:tcW w:w="548" w:type="pct"/>
            <w:shd w:val="clear" w:color="auto" w:fill="auto"/>
            <w:vAlign w:val="center"/>
          </w:tcPr>
          <w:p w14:paraId="54EF4E8E" w14:textId="77777777" w:rsidR="0052786D" w:rsidRDefault="00EE2883" w:rsidP="004E5C57">
            <w:pPr>
              <w:pStyle w:val="TableText0"/>
              <w:rPr>
                <w:snapToGrid w:val="0"/>
              </w:rPr>
            </w:pPr>
            <w:r>
              <w:rPr>
                <w:snapToGrid w:val="0"/>
              </w:rPr>
              <w:t>Bouzar 2017</w:t>
            </w:r>
          </w:p>
        </w:tc>
        <w:tc>
          <w:tcPr>
            <w:tcW w:w="607" w:type="pct"/>
            <w:shd w:val="clear" w:color="auto" w:fill="auto"/>
            <w:vAlign w:val="center"/>
          </w:tcPr>
          <w:p w14:paraId="7BA5911F" w14:textId="47C6ED79" w:rsidR="00ED65EE" w:rsidRPr="002F1CA9" w:rsidRDefault="0094709A" w:rsidP="0094709A">
            <w:pPr>
              <w:pStyle w:val="TableText0"/>
              <w:rPr>
                <w:snapToGrid w:val="0"/>
              </w:rPr>
            </w:pPr>
            <w:r w:rsidRPr="009251E2">
              <w:rPr>
                <w:color w:val="FF0000"/>
              </w:rPr>
              <w:sym w:font="Wingdings" w:char="F04C"/>
            </w:r>
          </w:p>
        </w:tc>
        <w:tc>
          <w:tcPr>
            <w:tcW w:w="519" w:type="pct"/>
            <w:shd w:val="clear" w:color="auto" w:fill="auto"/>
            <w:vAlign w:val="center"/>
          </w:tcPr>
          <w:p w14:paraId="19BD55EA" w14:textId="51EAD8FB" w:rsidR="00ED65EE" w:rsidRPr="002F1CA9" w:rsidRDefault="0094709A" w:rsidP="0094709A">
            <w:pPr>
              <w:pStyle w:val="TableText0"/>
              <w:rPr>
                <w:snapToGrid w:val="0"/>
              </w:rPr>
            </w:pPr>
            <w:r w:rsidRPr="009251E2">
              <w:rPr>
                <w:color w:val="00B050"/>
              </w:rPr>
              <w:sym w:font="Wingdings" w:char="F04A"/>
            </w:r>
          </w:p>
        </w:tc>
        <w:tc>
          <w:tcPr>
            <w:tcW w:w="717" w:type="pct"/>
            <w:shd w:val="clear" w:color="auto" w:fill="auto"/>
            <w:vAlign w:val="center"/>
          </w:tcPr>
          <w:p w14:paraId="0F95AB08" w14:textId="41F36785" w:rsidR="00ED65EE" w:rsidRPr="002F1CA9" w:rsidRDefault="0094709A" w:rsidP="0094709A">
            <w:pPr>
              <w:pStyle w:val="TableText0"/>
              <w:rPr>
                <w:snapToGrid w:val="0"/>
              </w:rPr>
            </w:pPr>
            <w:r w:rsidRPr="009251E2">
              <w:rPr>
                <w:color w:val="FF0000"/>
              </w:rPr>
              <w:sym w:font="Wingdings" w:char="F04C"/>
            </w:r>
          </w:p>
        </w:tc>
        <w:tc>
          <w:tcPr>
            <w:tcW w:w="628" w:type="pct"/>
            <w:shd w:val="clear" w:color="auto" w:fill="auto"/>
            <w:vAlign w:val="center"/>
          </w:tcPr>
          <w:p w14:paraId="7BCF0E25" w14:textId="0976A9AC" w:rsidR="00ED65EE" w:rsidRPr="002F1CA9" w:rsidRDefault="0094709A" w:rsidP="0094709A">
            <w:pPr>
              <w:pStyle w:val="TableText0"/>
              <w:rPr>
                <w:snapToGrid w:val="0"/>
              </w:rPr>
            </w:pPr>
            <w:r w:rsidRPr="005C4CEA">
              <w:rPr>
                <w:b/>
                <w:color w:val="4472C4" w:themeColor="accent5"/>
              </w:rPr>
              <w:t>?</w:t>
            </w:r>
          </w:p>
        </w:tc>
        <w:tc>
          <w:tcPr>
            <w:tcW w:w="726" w:type="pct"/>
            <w:shd w:val="clear" w:color="auto" w:fill="auto"/>
            <w:vAlign w:val="center"/>
          </w:tcPr>
          <w:p w14:paraId="515EA324" w14:textId="021801F1" w:rsidR="00ED65EE" w:rsidRPr="002F1CA9" w:rsidRDefault="0094709A" w:rsidP="0094709A">
            <w:pPr>
              <w:pStyle w:val="TableText0"/>
              <w:rPr>
                <w:snapToGrid w:val="0"/>
              </w:rPr>
            </w:pPr>
            <w:r w:rsidRPr="009251E2">
              <w:rPr>
                <w:color w:val="00B050"/>
              </w:rPr>
              <w:sym w:font="Wingdings" w:char="F04A"/>
            </w:r>
          </w:p>
        </w:tc>
        <w:tc>
          <w:tcPr>
            <w:tcW w:w="537" w:type="pct"/>
            <w:shd w:val="clear" w:color="auto" w:fill="auto"/>
            <w:vAlign w:val="center"/>
          </w:tcPr>
          <w:p w14:paraId="36A5861A" w14:textId="44F4CF56" w:rsidR="00ED65EE" w:rsidRPr="002F1CA9" w:rsidRDefault="0094709A" w:rsidP="0094709A">
            <w:pPr>
              <w:pStyle w:val="TableText0"/>
              <w:rPr>
                <w:snapToGrid w:val="0"/>
              </w:rPr>
            </w:pPr>
            <w:r w:rsidRPr="009251E2">
              <w:rPr>
                <w:color w:val="00B050"/>
              </w:rPr>
              <w:sym w:font="Wingdings" w:char="F04A"/>
            </w:r>
          </w:p>
        </w:tc>
        <w:tc>
          <w:tcPr>
            <w:tcW w:w="718" w:type="pct"/>
            <w:shd w:val="clear" w:color="auto" w:fill="auto"/>
            <w:vAlign w:val="center"/>
          </w:tcPr>
          <w:p w14:paraId="07166E1D" w14:textId="5ADFBBC6" w:rsidR="00ED65EE" w:rsidRPr="002F1CA9" w:rsidRDefault="0094709A" w:rsidP="0094709A">
            <w:pPr>
              <w:pStyle w:val="TableText0"/>
              <w:rPr>
                <w:snapToGrid w:val="0"/>
              </w:rPr>
            </w:pPr>
            <w:r w:rsidRPr="005C4CEA">
              <w:rPr>
                <w:b/>
                <w:color w:val="4472C4" w:themeColor="accent5"/>
              </w:rPr>
              <w:t>?</w:t>
            </w:r>
          </w:p>
        </w:tc>
      </w:tr>
      <w:tr w:rsidR="00C7014A" w:rsidRPr="00183E4D" w14:paraId="6A01AB43" w14:textId="77777777" w:rsidTr="003040CA">
        <w:trPr>
          <w:trHeight w:val="419"/>
        </w:trPr>
        <w:tc>
          <w:tcPr>
            <w:tcW w:w="548" w:type="pct"/>
            <w:shd w:val="clear" w:color="auto" w:fill="auto"/>
            <w:vAlign w:val="center"/>
          </w:tcPr>
          <w:p w14:paraId="289CCCFD" w14:textId="77777777" w:rsidR="0052786D" w:rsidRDefault="001D7A92" w:rsidP="004E5C57">
            <w:pPr>
              <w:pStyle w:val="TableText0"/>
              <w:rPr>
                <w:snapToGrid w:val="0"/>
              </w:rPr>
            </w:pPr>
            <w:r>
              <w:rPr>
                <w:snapToGrid w:val="0"/>
              </w:rPr>
              <w:t>Contentti 2017</w:t>
            </w:r>
          </w:p>
        </w:tc>
        <w:tc>
          <w:tcPr>
            <w:tcW w:w="607" w:type="pct"/>
            <w:shd w:val="clear" w:color="auto" w:fill="auto"/>
            <w:vAlign w:val="center"/>
          </w:tcPr>
          <w:p w14:paraId="2270D843" w14:textId="23CC5E13" w:rsidR="00ED65EE" w:rsidRPr="002F1CA9" w:rsidRDefault="00A87842" w:rsidP="00A87842">
            <w:pPr>
              <w:pStyle w:val="TableText0"/>
              <w:rPr>
                <w:snapToGrid w:val="0"/>
              </w:rPr>
            </w:pPr>
            <w:r w:rsidRPr="009251E2">
              <w:rPr>
                <w:color w:val="00B050"/>
              </w:rPr>
              <w:sym w:font="Wingdings" w:char="F04A"/>
            </w:r>
          </w:p>
        </w:tc>
        <w:tc>
          <w:tcPr>
            <w:tcW w:w="519" w:type="pct"/>
            <w:shd w:val="clear" w:color="auto" w:fill="auto"/>
            <w:vAlign w:val="center"/>
          </w:tcPr>
          <w:p w14:paraId="5E253E5B" w14:textId="23EB0BC9" w:rsidR="00ED65EE" w:rsidRPr="00C85C14" w:rsidRDefault="00A87842" w:rsidP="00A87842">
            <w:pPr>
              <w:pStyle w:val="TableText0"/>
              <w:rPr>
                <w:snapToGrid w:val="0"/>
                <w:color w:val="FF0000"/>
              </w:rPr>
            </w:pPr>
            <w:r w:rsidRPr="009251E2">
              <w:rPr>
                <w:color w:val="00B050"/>
              </w:rPr>
              <w:sym w:font="Wingdings" w:char="F04A"/>
            </w:r>
          </w:p>
        </w:tc>
        <w:tc>
          <w:tcPr>
            <w:tcW w:w="717" w:type="pct"/>
            <w:shd w:val="clear" w:color="auto" w:fill="auto"/>
            <w:vAlign w:val="center"/>
          </w:tcPr>
          <w:p w14:paraId="55D615DA" w14:textId="13044D24" w:rsidR="00ED65EE"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11114283" w14:textId="7945D4C3" w:rsidR="00ED65EE" w:rsidRPr="002F1CA9" w:rsidRDefault="00A87842" w:rsidP="00A87842">
            <w:pPr>
              <w:pStyle w:val="TableText0"/>
              <w:rPr>
                <w:snapToGrid w:val="0"/>
              </w:rPr>
            </w:pPr>
            <w:r w:rsidRPr="009251E2">
              <w:rPr>
                <w:color w:val="00B050"/>
              </w:rPr>
              <w:sym w:font="Wingdings" w:char="F04A"/>
            </w:r>
          </w:p>
        </w:tc>
        <w:tc>
          <w:tcPr>
            <w:tcW w:w="726" w:type="pct"/>
            <w:shd w:val="clear" w:color="auto" w:fill="auto"/>
            <w:vAlign w:val="center"/>
          </w:tcPr>
          <w:p w14:paraId="5E3147CC" w14:textId="1CA24609" w:rsidR="00ED65EE" w:rsidRPr="002F1CA9" w:rsidRDefault="00A87842" w:rsidP="00A87842">
            <w:pPr>
              <w:pStyle w:val="TableText0"/>
              <w:rPr>
                <w:snapToGrid w:val="0"/>
              </w:rPr>
            </w:pPr>
            <w:r w:rsidRPr="009251E2">
              <w:rPr>
                <w:color w:val="00B050"/>
              </w:rPr>
              <w:sym w:font="Wingdings" w:char="F04A"/>
            </w:r>
          </w:p>
        </w:tc>
        <w:tc>
          <w:tcPr>
            <w:tcW w:w="537" w:type="pct"/>
            <w:shd w:val="clear" w:color="auto" w:fill="auto"/>
            <w:vAlign w:val="center"/>
          </w:tcPr>
          <w:p w14:paraId="239C3D65" w14:textId="30F88ADA" w:rsidR="00ED65EE" w:rsidRPr="002F1CA9" w:rsidRDefault="00A87842" w:rsidP="00A87842">
            <w:pPr>
              <w:pStyle w:val="TableText0"/>
              <w:rPr>
                <w:snapToGrid w:val="0"/>
              </w:rPr>
            </w:pPr>
            <w:r w:rsidRPr="005C4CEA">
              <w:rPr>
                <w:b/>
                <w:color w:val="4472C4" w:themeColor="accent5"/>
              </w:rPr>
              <w:t>?</w:t>
            </w:r>
          </w:p>
        </w:tc>
        <w:tc>
          <w:tcPr>
            <w:tcW w:w="718" w:type="pct"/>
            <w:shd w:val="clear" w:color="auto" w:fill="auto"/>
            <w:vAlign w:val="center"/>
          </w:tcPr>
          <w:p w14:paraId="3BEC0ED4" w14:textId="7201D58C" w:rsidR="00ED65EE" w:rsidRPr="002F1CA9" w:rsidRDefault="00A87842" w:rsidP="00A87842">
            <w:pPr>
              <w:pStyle w:val="TableText0"/>
              <w:rPr>
                <w:snapToGrid w:val="0"/>
              </w:rPr>
            </w:pPr>
            <w:r w:rsidRPr="009251E2">
              <w:rPr>
                <w:color w:val="00B050"/>
              </w:rPr>
              <w:sym w:font="Wingdings" w:char="F04A"/>
            </w:r>
          </w:p>
        </w:tc>
      </w:tr>
      <w:tr w:rsidR="00C7014A" w:rsidRPr="00183E4D" w14:paraId="39B94620" w14:textId="77777777" w:rsidTr="003040CA">
        <w:trPr>
          <w:trHeight w:val="411"/>
        </w:trPr>
        <w:tc>
          <w:tcPr>
            <w:tcW w:w="548" w:type="pct"/>
            <w:shd w:val="clear" w:color="auto" w:fill="auto"/>
            <w:vAlign w:val="center"/>
          </w:tcPr>
          <w:p w14:paraId="5D1417C8" w14:textId="77777777" w:rsidR="002B383A" w:rsidRDefault="001D7A92" w:rsidP="004E5C57">
            <w:pPr>
              <w:pStyle w:val="TableText0"/>
              <w:rPr>
                <w:snapToGrid w:val="0"/>
              </w:rPr>
            </w:pPr>
            <w:r>
              <w:rPr>
                <w:snapToGrid w:val="0"/>
              </w:rPr>
              <w:t>Cheng 201</w:t>
            </w:r>
            <w:r w:rsidR="0052786D">
              <w:rPr>
                <w:snapToGrid w:val="0"/>
              </w:rPr>
              <w:t>6</w:t>
            </w:r>
          </w:p>
        </w:tc>
        <w:tc>
          <w:tcPr>
            <w:tcW w:w="607" w:type="pct"/>
            <w:shd w:val="clear" w:color="auto" w:fill="auto"/>
            <w:vAlign w:val="center"/>
          </w:tcPr>
          <w:p w14:paraId="66E149D1" w14:textId="37B05904" w:rsidR="001D7A92" w:rsidRPr="002F1CA9" w:rsidRDefault="00A87842" w:rsidP="00A87842">
            <w:pPr>
              <w:pStyle w:val="TableText0"/>
              <w:rPr>
                <w:snapToGrid w:val="0"/>
              </w:rPr>
            </w:pPr>
            <w:r w:rsidRPr="009251E2">
              <w:rPr>
                <w:color w:val="FF0000"/>
              </w:rPr>
              <w:sym w:font="Wingdings" w:char="F04C"/>
            </w:r>
          </w:p>
        </w:tc>
        <w:tc>
          <w:tcPr>
            <w:tcW w:w="519" w:type="pct"/>
            <w:shd w:val="clear" w:color="auto" w:fill="auto"/>
            <w:vAlign w:val="center"/>
          </w:tcPr>
          <w:p w14:paraId="6BD9C1EC" w14:textId="2BE718DA" w:rsidR="001D7A92" w:rsidRPr="00C85C14" w:rsidRDefault="00A87842" w:rsidP="00A87842">
            <w:pPr>
              <w:pStyle w:val="TableText0"/>
              <w:rPr>
                <w:snapToGrid w:val="0"/>
              </w:rPr>
            </w:pPr>
            <w:r w:rsidRPr="009251E2">
              <w:rPr>
                <w:color w:val="FF0000"/>
              </w:rPr>
              <w:sym w:font="Wingdings" w:char="F04C"/>
            </w:r>
          </w:p>
        </w:tc>
        <w:tc>
          <w:tcPr>
            <w:tcW w:w="717" w:type="pct"/>
            <w:shd w:val="clear" w:color="auto" w:fill="auto"/>
            <w:vAlign w:val="center"/>
          </w:tcPr>
          <w:p w14:paraId="1BF16343" w14:textId="1F0EE5AF" w:rsidR="001D7A92"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1679C3CE" w14:textId="5A1D7BD1" w:rsidR="001D7A92" w:rsidRPr="002F1CA9" w:rsidRDefault="00A87842" w:rsidP="00A87842">
            <w:pPr>
              <w:pStyle w:val="TableText0"/>
              <w:rPr>
                <w:snapToGrid w:val="0"/>
              </w:rPr>
            </w:pPr>
            <w:r w:rsidRPr="005C4CEA">
              <w:rPr>
                <w:b/>
                <w:color w:val="4472C4" w:themeColor="accent5"/>
              </w:rPr>
              <w:t>?</w:t>
            </w:r>
          </w:p>
        </w:tc>
        <w:tc>
          <w:tcPr>
            <w:tcW w:w="726" w:type="pct"/>
            <w:shd w:val="clear" w:color="auto" w:fill="auto"/>
            <w:vAlign w:val="center"/>
          </w:tcPr>
          <w:p w14:paraId="58596DBB" w14:textId="2EDE783C" w:rsidR="001D7A92" w:rsidRPr="002F1CA9" w:rsidRDefault="00A87842" w:rsidP="00A87842">
            <w:pPr>
              <w:pStyle w:val="TableText0"/>
              <w:rPr>
                <w:snapToGrid w:val="0"/>
              </w:rPr>
            </w:pPr>
            <w:r w:rsidRPr="009251E2">
              <w:rPr>
                <w:color w:val="00B050"/>
              </w:rPr>
              <w:sym w:font="Wingdings" w:char="F04A"/>
            </w:r>
          </w:p>
        </w:tc>
        <w:tc>
          <w:tcPr>
            <w:tcW w:w="537" w:type="pct"/>
            <w:shd w:val="clear" w:color="auto" w:fill="auto"/>
            <w:vAlign w:val="center"/>
          </w:tcPr>
          <w:p w14:paraId="79D38C1A" w14:textId="1E8F8CD3" w:rsidR="001D7A92" w:rsidRPr="002F1CA9" w:rsidRDefault="00A87842" w:rsidP="00A87842">
            <w:pPr>
              <w:pStyle w:val="TableText0"/>
              <w:rPr>
                <w:snapToGrid w:val="0"/>
              </w:rPr>
            </w:pPr>
            <w:r w:rsidRPr="009251E2">
              <w:rPr>
                <w:color w:val="00B050"/>
              </w:rPr>
              <w:sym w:font="Wingdings" w:char="F04A"/>
            </w:r>
          </w:p>
        </w:tc>
        <w:tc>
          <w:tcPr>
            <w:tcW w:w="718" w:type="pct"/>
            <w:shd w:val="clear" w:color="auto" w:fill="auto"/>
            <w:vAlign w:val="center"/>
          </w:tcPr>
          <w:p w14:paraId="43B2B43C" w14:textId="4D691C68" w:rsidR="001D7A92" w:rsidRPr="002F1CA9" w:rsidRDefault="00A87842" w:rsidP="00A87842">
            <w:pPr>
              <w:pStyle w:val="TableText0"/>
              <w:rPr>
                <w:snapToGrid w:val="0"/>
              </w:rPr>
            </w:pPr>
            <w:r w:rsidRPr="009251E2">
              <w:rPr>
                <w:color w:val="00B050"/>
              </w:rPr>
              <w:sym w:font="Wingdings" w:char="F04A"/>
            </w:r>
          </w:p>
        </w:tc>
      </w:tr>
      <w:tr w:rsidR="00C7014A" w:rsidRPr="00183E4D" w14:paraId="110C6DF9" w14:textId="77777777" w:rsidTr="003040CA">
        <w:trPr>
          <w:trHeight w:val="416"/>
        </w:trPr>
        <w:tc>
          <w:tcPr>
            <w:tcW w:w="548" w:type="pct"/>
            <w:shd w:val="clear" w:color="auto" w:fill="auto"/>
            <w:vAlign w:val="center"/>
          </w:tcPr>
          <w:p w14:paraId="13C41BC9" w14:textId="77777777" w:rsidR="001D7A92" w:rsidRDefault="001D7A92" w:rsidP="004E5C57">
            <w:pPr>
              <w:pStyle w:val="TableText0"/>
              <w:rPr>
                <w:snapToGrid w:val="0"/>
              </w:rPr>
            </w:pPr>
            <w:r>
              <w:rPr>
                <w:snapToGrid w:val="0"/>
              </w:rPr>
              <w:t>Duignan 2018</w:t>
            </w:r>
          </w:p>
        </w:tc>
        <w:tc>
          <w:tcPr>
            <w:tcW w:w="607" w:type="pct"/>
            <w:shd w:val="clear" w:color="auto" w:fill="auto"/>
            <w:vAlign w:val="center"/>
          </w:tcPr>
          <w:p w14:paraId="656A9F8C" w14:textId="5BCBFEC1" w:rsidR="001D7A92" w:rsidRPr="002F1CA9" w:rsidRDefault="00A87842" w:rsidP="00A87842">
            <w:pPr>
              <w:pStyle w:val="TableText0"/>
              <w:rPr>
                <w:snapToGrid w:val="0"/>
              </w:rPr>
            </w:pPr>
            <w:r w:rsidRPr="009251E2">
              <w:rPr>
                <w:color w:val="00B050"/>
              </w:rPr>
              <w:sym w:font="Wingdings" w:char="F04A"/>
            </w:r>
          </w:p>
        </w:tc>
        <w:tc>
          <w:tcPr>
            <w:tcW w:w="519" w:type="pct"/>
            <w:shd w:val="clear" w:color="auto" w:fill="auto"/>
            <w:vAlign w:val="center"/>
          </w:tcPr>
          <w:p w14:paraId="46779A2C" w14:textId="593B6613" w:rsidR="001D7A92" w:rsidRPr="00C85C14" w:rsidRDefault="00A87842" w:rsidP="00A87842">
            <w:pPr>
              <w:pStyle w:val="TableText0"/>
              <w:rPr>
                <w:snapToGrid w:val="0"/>
              </w:rPr>
            </w:pPr>
            <w:r w:rsidRPr="009251E2">
              <w:rPr>
                <w:color w:val="00B050"/>
              </w:rPr>
              <w:sym w:font="Wingdings" w:char="F04A"/>
            </w:r>
          </w:p>
        </w:tc>
        <w:tc>
          <w:tcPr>
            <w:tcW w:w="717" w:type="pct"/>
            <w:shd w:val="clear" w:color="auto" w:fill="auto"/>
            <w:vAlign w:val="center"/>
          </w:tcPr>
          <w:p w14:paraId="75625B6E" w14:textId="47C198AA" w:rsidR="001D7A92"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595A75CF" w14:textId="3A94A4D0" w:rsidR="001D7A92" w:rsidRPr="002F1CA9" w:rsidRDefault="00A87842" w:rsidP="00A87842">
            <w:pPr>
              <w:pStyle w:val="TableText0"/>
              <w:rPr>
                <w:snapToGrid w:val="0"/>
              </w:rPr>
            </w:pPr>
            <w:r w:rsidRPr="009251E2">
              <w:rPr>
                <w:color w:val="00B050"/>
              </w:rPr>
              <w:sym w:font="Wingdings" w:char="F04A"/>
            </w:r>
          </w:p>
        </w:tc>
        <w:tc>
          <w:tcPr>
            <w:tcW w:w="726" w:type="pct"/>
            <w:shd w:val="clear" w:color="auto" w:fill="auto"/>
            <w:vAlign w:val="center"/>
          </w:tcPr>
          <w:p w14:paraId="7E6660EF" w14:textId="1EE89264" w:rsidR="001D7A92" w:rsidRPr="002F1CA9" w:rsidRDefault="00A87842" w:rsidP="00A87842">
            <w:pPr>
              <w:pStyle w:val="TableText0"/>
              <w:rPr>
                <w:snapToGrid w:val="0"/>
              </w:rPr>
            </w:pPr>
            <w:r w:rsidRPr="009251E2">
              <w:rPr>
                <w:color w:val="00B050"/>
              </w:rPr>
              <w:sym w:font="Wingdings" w:char="F04A"/>
            </w:r>
          </w:p>
        </w:tc>
        <w:tc>
          <w:tcPr>
            <w:tcW w:w="537" w:type="pct"/>
            <w:shd w:val="clear" w:color="auto" w:fill="auto"/>
            <w:vAlign w:val="center"/>
          </w:tcPr>
          <w:p w14:paraId="38A1AFC1" w14:textId="12DDC8F8" w:rsidR="001D7A92" w:rsidRPr="002F1CA9" w:rsidRDefault="00A87842" w:rsidP="00A87842">
            <w:pPr>
              <w:pStyle w:val="TableText0"/>
              <w:rPr>
                <w:snapToGrid w:val="0"/>
              </w:rPr>
            </w:pPr>
            <w:r w:rsidRPr="009251E2">
              <w:rPr>
                <w:color w:val="00B050"/>
              </w:rPr>
              <w:sym w:font="Wingdings" w:char="F04A"/>
            </w:r>
          </w:p>
        </w:tc>
        <w:tc>
          <w:tcPr>
            <w:tcW w:w="718" w:type="pct"/>
            <w:shd w:val="clear" w:color="auto" w:fill="auto"/>
            <w:vAlign w:val="center"/>
          </w:tcPr>
          <w:p w14:paraId="2DE04D91" w14:textId="49DCEEDC" w:rsidR="001D7A92" w:rsidRPr="002F1CA9" w:rsidRDefault="00A87842" w:rsidP="00A87842">
            <w:pPr>
              <w:pStyle w:val="TableText0"/>
              <w:rPr>
                <w:snapToGrid w:val="0"/>
              </w:rPr>
            </w:pPr>
            <w:r w:rsidRPr="009251E2">
              <w:rPr>
                <w:color w:val="00B050"/>
              </w:rPr>
              <w:sym w:font="Wingdings" w:char="F04A"/>
            </w:r>
          </w:p>
        </w:tc>
      </w:tr>
      <w:tr w:rsidR="00C7014A" w:rsidRPr="00183E4D" w14:paraId="1A325632" w14:textId="77777777" w:rsidTr="003040CA">
        <w:trPr>
          <w:trHeight w:val="422"/>
        </w:trPr>
        <w:tc>
          <w:tcPr>
            <w:tcW w:w="548" w:type="pct"/>
            <w:shd w:val="clear" w:color="auto" w:fill="auto"/>
            <w:vAlign w:val="center"/>
          </w:tcPr>
          <w:p w14:paraId="24E3A913" w14:textId="77777777" w:rsidR="001D7A92" w:rsidRDefault="001D7A92" w:rsidP="004E5C57">
            <w:pPr>
              <w:pStyle w:val="TableText0"/>
              <w:rPr>
                <w:snapToGrid w:val="0"/>
              </w:rPr>
            </w:pPr>
            <w:r>
              <w:rPr>
                <w:snapToGrid w:val="0"/>
              </w:rPr>
              <w:t>Hacohen 2017</w:t>
            </w:r>
          </w:p>
        </w:tc>
        <w:tc>
          <w:tcPr>
            <w:tcW w:w="607" w:type="pct"/>
            <w:shd w:val="clear" w:color="auto" w:fill="auto"/>
            <w:vAlign w:val="center"/>
          </w:tcPr>
          <w:p w14:paraId="4CD9F98B" w14:textId="4A541EAA" w:rsidR="001D7A92" w:rsidRPr="002F1CA9" w:rsidRDefault="00A87842" w:rsidP="00A87842">
            <w:pPr>
              <w:pStyle w:val="TableText0"/>
              <w:rPr>
                <w:snapToGrid w:val="0"/>
              </w:rPr>
            </w:pPr>
            <w:r w:rsidRPr="009251E2">
              <w:rPr>
                <w:color w:val="00B050"/>
              </w:rPr>
              <w:sym w:font="Wingdings" w:char="F04A"/>
            </w:r>
          </w:p>
        </w:tc>
        <w:tc>
          <w:tcPr>
            <w:tcW w:w="519" w:type="pct"/>
            <w:shd w:val="clear" w:color="auto" w:fill="auto"/>
            <w:vAlign w:val="center"/>
          </w:tcPr>
          <w:p w14:paraId="614739D0" w14:textId="3CBEC2A0" w:rsidR="001D7A92" w:rsidRPr="00C85C14" w:rsidRDefault="00A87842" w:rsidP="00A87842">
            <w:pPr>
              <w:pStyle w:val="TableText0"/>
              <w:rPr>
                <w:snapToGrid w:val="0"/>
              </w:rPr>
            </w:pPr>
            <w:r w:rsidRPr="009251E2">
              <w:rPr>
                <w:color w:val="00B050"/>
              </w:rPr>
              <w:sym w:font="Wingdings" w:char="F04A"/>
            </w:r>
          </w:p>
        </w:tc>
        <w:tc>
          <w:tcPr>
            <w:tcW w:w="717" w:type="pct"/>
            <w:shd w:val="clear" w:color="auto" w:fill="auto"/>
            <w:vAlign w:val="center"/>
          </w:tcPr>
          <w:p w14:paraId="0481C51F" w14:textId="272D7AE2" w:rsidR="001D7A92"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0173E09A" w14:textId="42ADF984" w:rsidR="001D7A92" w:rsidRPr="002F1CA9" w:rsidRDefault="00A87842" w:rsidP="00A87842">
            <w:pPr>
              <w:pStyle w:val="TableText0"/>
              <w:rPr>
                <w:snapToGrid w:val="0"/>
              </w:rPr>
            </w:pPr>
            <w:r w:rsidRPr="009251E2">
              <w:rPr>
                <w:color w:val="00B050"/>
              </w:rPr>
              <w:sym w:font="Wingdings" w:char="F04A"/>
            </w:r>
          </w:p>
        </w:tc>
        <w:tc>
          <w:tcPr>
            <w:tcW w:w="726" w:type="pct"/>
            <w:shd w:val="clear" w:color="auto" w:fill="auto"/>
            <w:vAlign w:val="center"/>
          </w:tcPr>
          <w:p w14:paraId="557C191C" w14:textId="01C55811" w:rsidR="001D7A92" w:rsidRPr="002F1CA9" w:rsidRDefault="00A87842" w:rsidP="00A87842">
            <w:pPr>
              <w:pStyle w:val="TableText0"/>
              <w:rPr>
                <w:snapToGrid w:val="0"/>
              </w:rPr>
            </w:pPr>
            <w:r w:rsidRPr="005C4CEA">
              <w:rPr>
                <w:b/>
                <w:color w:val="4472C4" w:themeColor="accent5"/>
              </w:rPr>
              <w:t>?</w:t>
            </w:r>
          </w:p>
        </w:tc>
        <w:tc>
          <w:tcPr>
            <w:tcW w:w="537" w:type="pct"/>
            <w:shd w:val="clear" w:color="auto" w:fill="auto"/>
            <w:vAlign w:val="center"/>
          </w:tcPr>
          <w:p w14:paraId="14DC249D" w14:textId="00B8912E" w:rsidR="001D7A92" w:rsidRPr="002F1CA9" w:rsidRDefault="00A87842" w:rsidP="00A87842">
            <w:pPr>
              <w:pStyle w:val="TableText0"/>
              <w:rPr>
                <w:snapToGrid w:val="0"/>
              </w:rPr>
            </w:pPr>
            <w:r w:rsidRPr="009251E2">
              <w:rPr>
                <w:color w:val="00B050"/>
              </w:rPr>
              <w:sym w:font="Wingdings" w:char="F04A"/>
            </w:r>
          </w:p>
        </w:tc>
        <w:tc>
          <w:tcPr>
            <w:tcW w:w="718" w:type="pct"/>
            <w:shd w:val="clear" w:color="auto" w:fill="auto"/>
            <w:vAlign w:val="center"/>
          </w:tcPr>
          <w:p w14:paraId="5C754704" w14:textId="573391A3" w:rsidR="001D7A92" w:rsidRPr="002F1CA9" w:rsidRDefault="00A87842" w:rsidP="00A87842">
            <w:pPr>
              <w:pStyle w:val="TableText0"/>
              <w:rPr>
                <w:snapToGrid w:val="0"/>
              </w:rPr>
            </w:pPr>
            <w:r w:rsidRPr="009251E2">
              <w:rPr>
                <w:color w:val="00B050"/>
              </w:rPr>
              <w:sym w:font="Wingdings" w:char="F04A"/>
            </w:r>
          </w:p>
        </w:tc>
      </w:tr>
      <w:tr w:rsidR="00C7014A" w:rsidRPr="00183E4D" w14:paraId="184C6329" w14:textId="77777777" w:rsidTr="003040CA">
        <w:trPr>
          <w:trHeight w:val="415"/>
        </w:trPr>
        <w:tc>
          <w:tcPr>
            <w:tcW w:w="548" w:type="pct"/>
            <w:shd w:val="clear" w:color="auto" w:fill="auto"/>
            <w:vAlign w:val="center"/>
          </w:tcPr>
          <w:p w14:paraId="18218BAA" w14:textId="77777777" w:rsidR="001D7A92" w:rsidRDefault="001D7A92" w:rsidP="004E5C57">
            <w:pPr>
              <w:pStyle w:val="TableText0"/>
              <w:rPr>
                <w:snapToGrid w:val="0"/>
              </w:rPr>
            </w:pPr>
            <w:r>
              <w:rPr>
                <w:snapToGrid w:val="0"/>
              </w:rPr>
              <w:t>Hamid 2017</w:t>
            </w:r>
          </w:p>
        </w:tc>
        <w:tc>
          <w:tcPr>
            <w:tcW w:w="607" w:type="pct"/>
            <w:shd w:val="clear" w:color="auto" w:fill="auto"/>
            <w:vAlign w:val="center"/>
          </w:tcPr>
          <w:p w14:paraId="59F7C7E1" w14:textId="785AF808" w:rsidR="001D7A92" w:rsidRPr="002F1CA9" w:rsidRDefault="00A87842" w:rsidP="00A87842">
            <w:pPr>
              <w:pStyle w:val="TableText0"/>
              <w:rPr>
                <w:snapToGrid w:val="0"/>
              </w:rPr>
            </w:pPr>
            <w:r w:rsidRPr="009251E2">
              <w:rPr>
                <w:color w:val="00B050"/>
              </w:rPr>
              <w:sym w:font="Wingdings" w:char="F04A"/>
            </w:r>
          </w:p>
        </w:tc>
        <w:tc>
          <w:tcPr>
            <w:tcW w:w="519" w:type="pct"/>
            <w:shd w:val="clear" w:color="auto" w:fill="auto"/>
            <w:vAlign w:val="center"/>
          </w:tcPr>
          <w:p w14:paraId="11BBFBC0" w14:textId="41326DC7" w:rsidR="001D7A92" w:rsidRPr="00C85C14" w:rsidRDefault="00A87842" w:rsidP="00A87842">
            <w:pPr>
              <w:pStyle w:val="TableText0"/>
              <w:rPr>
                <w:snapToGrid w:val="0"/>
              </w:rPr>
            </w:pPr>
            <w:r w:rsidRPr="009251E2">
              <w:rPr>
                <w:color w:val="00B050"/>
              </w:rPr>
              <w:sym w:font="Wingdings" w:char="F04A"/>
            </w:r>
          </w:p>
        </w:tc>
        <w:tc>
          <w:tcPr>
            <w:tcW w:w="717" w:type="pct"/>
            <w:shd w:val="clear" w:color="auto" w:fill="auto"/>
            <w:vAlign w:val="center"/>
          </w:tcPr>
          <w:p w14:paraId="73B5B5A3" w14:textId="47C1F932" w:rsidR="001D7A92"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1D061398" w14:textId="6D2453C4" w:rsidR="001D7A92" w:rsidRPr="002F1CA9" w:rsidRDefault="00A87842" w:rsidP="00A87842">
            <w:pPr>
              <w:pStyle w:val="TableText0"/>
              <w:rPr>
                <w:snapToGrid w:val="0"/>
              </w:rPr>
            </w:pPr>
            <w:r w:rsidRPr="009251E2">
              <w:rPr>
                <w:color w:val="00B050"/>
              </w:rPr>
              <w:sym w:font="Wingdings" w:char="F04A"/>
            </w:r>
          </w:p>
        </w:tc>
        <w:tc>
          <w:tcPr>
            <w:tcW w:w="726" w:type="pct"/>
            <w:shd w:val="clear" w:color="auto" w:fill="auto"/>
            <w:vAlign w:val="center"/>
          </w:tcPr>
          <w:p w14:paraId="0D2A7EEC" w14:textId="22E2EED4" w:rsidR="001D7A92" w:rsidRPr="002F1CA9" w:rsidRDefault="00A87842" w:rsidP="00A87842">
            <w:pPr>
              <w:pStyle w:val="TableText0"/>
              <w:rPr>
                <w:snapToGrid w:val="0"/>
              </w:rPr>
            </w:pPr>
            <w:r w:rsidRPr="009251E2">
              <w:rPr>
                <w:color w:val="00B050"/>
              </w:rPr>
              <w:sym w:font="Wingdings" w:char="F04A"/>
            </w:r>
          </w:p>
        </w:tc>
        <w:tc>
          <w:tcPr>
            <w:tcW w:w="537" w:type="pct"/>
            <w:shd w:val="clear" w:color="auto" w:fill="auto"/>
            <w:vAlign w:val="center"/>
          </w:tcPr>
          <w:p w14:paraId="3253C8E6" w14:textId="14D94864" w:rsidR="001D7A92" w:rsidRPr="002F1CA9" w:rsidRDefault="00A87842" w:rsidP="00A87842">
            <w:pPr>
              <w:pStyle w:val="TableText0"/>
              <w:rPr>
                <w:snapToGrid w:val="0"/>
              </w:rPr>
            </w:pPr>
            <w:r w:rsidRPr="009251E2">
              <w:rPr>
                <w:color w:val="00B050"/>
              </w:rPr>
              <w:sym w:font="Wingdings" w:char="F04A"/>
            </w:r>
          </w:p>
        </w:tc>
        <w:tc>
          <w:tcPr>
            <w:tcW w:w="718" w:type="pct"/>
            <w:shd w:val="clear" w:color="auto" w:fill="auto"/>
            <w:vAlign w:val="center"/>
          </w:tcPr>
          <w:p w14:paraId="534EFCFD" w14:textId="46ED8D55" w:rsidR="001D7A92" w:rsidRPr="002F1CA9" w:rsidRDefault="00A87842" w:rsidP="00A87842">
            <w:pPr>
              <w:pStyle w:val="TableText0"/>
              <w:rPr>
                <w:snapToGrid w:val="0"/>
              </w:rPr>
            </w:pPr>
            <w:r w:rsidRPr="009251E2">
              <w:rPr>
                <w:color w:val="00B050"/>
              </w:rPr>
              <w:sym w:font="Wingdings" w:char="F04A"/>
            </w:r>
          </w:p>
        </w:tc>
      </w:tr>
      <w:tr w:rsidR="00C7014A" w:rsidRPr="00183E4D" w14:paraId="2C9CDEC3" w14:textId="77777777" w:rsidTr="003040CA">
        <w:trPr>
          <w:trHeight w:val="409"/>
        </w:trPr>
        <w:tc>
          <w:tcPr>
            <w:tcW w:w="548" w:type="pct"/>
            <w:shd w:val="clear" w:color="auto" w:fill="auto"/>
            <w:vAlign w:val="center"/>
          </w:tcPr>
          <w:p w14:paraId="4584C8ED" w14:textId="77777777" w:rsidR="001D7A92" w:rsidRDefault="001D7A92" w:rsidP="004E5C57">
            <w:pPr>
              <w:pStyle w:val="TableText0"/>
              <w:rPr>
                <w:snapToGrid w:val="0"/>
              </w:rPr>
            </w:pPr>
            <w:r>
              <w:rPr>
                <w:snapToGrid w:val="0"/>
              </w:rPr>
              <w:t>Hyun 2017</w:t>
            </w:r>
          </w:p>
        </w:tc>
        <w:tc>
          <w:tcPr>
            <w:tcW w:w="607" w:type="pct"/>
            <w:shd w:val="clear" w:color="auto" w:fill="auto"/>
            <w:vAlign w:val="center"/>
          </w:tcPr>
          <w:p w14:paraId="121D0C4F" w14:textId="0D2B06C7" w:rsidR="001D7A92" w:rsidRPr="002F1CA9" w:rsidRDefault="00A87842" w:rsidP="00A87842">
            <w:pPr>
              <w:pStyle w:val="TableText0"/>
              <w:rPr>
                <w:snapToGrid w:val="0"/>
              </w:rPr>
            </w:pPr>
            <w:r w:rsidRPr="009251E2">
              <w:rPr>
                <w:color w:val="00B050"/>
              </w:rPr>
              <w:sym w:font="Wingdings" w:char="F04A"/>
            </w:r>
          </w:p>
        </w:tc>
        <w:tc>
          <w:tcPr>
            <w:tcW w:w="519" w:type="pct"/>
            <w:shd w:val="clear" w:color="auto" w:fill="auto"/>
            <w:vAlign w:val="center"/>
          </w:tcPr>
          <w:p w14:paraId="7F6DEEDD" w14:textId="29F91C31" w:rsidR="001D7A92" w:rsidRPr="00C85C14" w:rsidRDefault="00A87842" w:rsidP="00A87842">
            <w:pPr>
              <w:pStyle w:val="TableText0"/>
              <w:rPr>
                <w:snapToGrid w:val="0"/>
              </w:rPr>
            </w:pPr>
            <w:r w:rsidRPr="009251E2">
              <w:rPr>
                <w:color w:val="00B050"/>
              </w:rPr>
              <w:sym w:font="Wingdings" w:char="F04A"/>
            </w:r>
          </w:p>
        </w:tc>
        <w:tc>
          <w:tcPr>
            <w:tcW w:w="717" w:type="pct"/>
            <w:shd w:val="clear" w:color="auto" w:fill="auto"/>
            <w:vAlign w:val="center"/>
          </w:tcPr>
          <w:p w14:paraId="37718F05" w14:textId="47EDF742" w:rsidR="001D7A92"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1A887AAD" w14:textId="2DF186C4" w:rsidR="001D7A92" w:rsidRPr="002F1CA9" w:rsidRDefault="00A87842" w:rsidP="00A87842">
            <w:pPr>
              <w:pStyle w:val="TableText0"/>
              <w:rPr>
                <w:snapToGrid w:val="0"/>
              </w:rPr>
            </w:pPr>
            <w:r w:rsidRPr="009251E2">
              <w:rPr>
                <w:color w:val="00B050"/>
              </w:rPr>
              <w:sym w:font="Wingdings" w:char="F04A"/>
            </w:r>
          </w:p>
        </w:tc>
        <w:tc>
          <w:tcPr>
            <w:tcW w:w="726" w:type="pct"/>
            <w:shd w:val="clear" w:color="auto" w:fill="auto"/>
            <w:vAlign w:val="center"/>
          </w:tcPr>
          <w:p w14:paraId="00D6F9BF" w14:textId="045AEB06" w:rsidR="001D7A92" w:rsidRPr="002F1CA9" w:rsidRDefault="00A87842" w:rsidP="00A87842">
            <w:pPr>
              <w:pStyle w:val="TableText0"/>
              <w:rPr>
                <w:snapToGrid w:val="0"/>
              </w:rPr>
            </w:pPr>
            <w:r w:rsidRPr="009251E2">
              <w:rPr>
                <w:color w:val="00B050"/>
              </w:rPr>
              <w:sym w:font="Wingdings" w:char="F04A"/>
            </w:r>
          </w:p>
        </w:tc>
        <w:tc>
          <w:tcPr>
            <w:tcW w:w="537" w:type="pct"/>
            <w:shd w:val="clear" w:color="auto" w:fill="auto"/>
            <w:vAlign w:val="center"/>
          </w:tcPr>
          <w:p w14:paraId="5237BF05" w14:textId="0BFA7305" w:rsidR="001D7A92" w:rsidRPr="002F1CA9" w:rsidRDefault="00A87842" w:rsidP="00A87842">
            <w:pPr>
              <w:pStyle w:val="TableText0"/>
              <w:rPr>
                <w:snapToGrid w:val="0"/>
              </w:rPr>
            </w:pPr>
            <w:r w:rsidRPr="009251E2">
              <w:rPr>
                <w:color w:val="00B050"/>
              </w:rPr>
              <w:sym w:font="Wingdings" w:char="F04A"/>
            </w:r>
          </w:p>
        </w:tc>
        <w:tc>
          <w:tcPr>
            <w:tcW w:w="718" w:type="pct"/>
            <w:shd w:val="clear" w:color="auto" w:fill="auto"/>
            <w:vAlign w:val="center"/>
          </w:tcPr>
          <w:p w14:paraId="3FA80A38" w14:textId="3ACF4714" w:rsidR="001D7A92" w:rsidRPr="002F1CA9" w:rsidRDefault="00A87842" w:rsidP="00A87842">
            <w:pPr>
              <w:pStyle w:val="TableText0"/>
              <w:rPr>
                <w:snapToGrid w:val="0"/>
              </w:rPr>
            </w:pPr>
            <w:r w:rsidRPr="009251E2">
              <w:rPr>
                <w:color w:val="00B050"/>
              </w:rPr>
              <w:sym w:font="Wingdings" w:char="F04A"/>
            </w:r>
          </w:p>
        </w:tc>
      </w:tr>
      <w:tr w:rsidR="00C7014A" w:rsidRPr="00183E4D" w14:paraId="31E768D9" w14:textId="77777777" w:rsidTr="003040CA">
        <w:trPr>
          <w:trHeight w:val="398"/>
        </w:trPr>
        <w:tc>
          <w:tcPr>
            <w:tcW w:w="548" w:type="pct"/>
            <w:shd w:val="clear" w:color="auto" w:fill="auto"/>
            <w:vAlign w:val="center"/>
          </w:tcPr>
          <w:p w14:paraId="191A9F35" w14:textId="77777777" w:rsidR="001D7A92" w:rsidRDefault="001D7A92" w:rsidP="004E5C57">
            <w:pPr>
              <w:pStyle w:val="TableText0"/>
              <w:rPr>
                <w:snapToGrid w:val="0"/>
              </w:rPr>
            </w:pPr>
            <w:r>
              <w:rPr>
                <w:snapToGrid w:val="0"/>
              </w:rPr>
              <w:t>Jain 2016</w:t>
            </w:r>
          </w:p>
        </w:tc>
        <w:tc>
          <w:tcPr>
            <w:tcW w:w="607" w:type="pct"/>
            <w:shd w:val="clear" w:color="auto" w:fill="auto"/>
            <w:vAlign w:val="center"/>
          </w:tcPr>
          <w:p w14:paraId="2D5A68DB" w14:textId="518C5925" w:rsidR="001D7A92" w:rsidRPr="002F1CA9" w:rsidRDefault="00A87842" w:rsidP="00A87842">
            <w:pPr>
              <w:pStyle w:val="TableText0"/>
              <w:rPr>
                <w:snapToGrid w:val="0"/>
              </w:rPr>
            </w:pPr>
            <w:r w:rsidRPr="005C4CEA">
              <w:rPr>
                <w:b/>
                <w:color w:val="4472C4" w:themeColor="accent5"/>
              </w:rPr>
              <w:t>?</w:t>
            </w:r>
          </w:p>
        </w:tc>
        <w:tc>
          <w:tcPr>
            <w:tcW w:w="519" w:type="pct"/>
            <w:shd w:val="clear" w:color="auto" w:fill="auto"/>
            <w:vAlign w:val="center"/>
          </w:tcPr>
          <w:p w14:paraId="007560AB" w14:textId="0D634920" w:rsidR="001D7A92" w:rsidRPr="00C85C14" w:rsidRDefault="00A87842" w:rsidP="00A87842">
            <w:pPr>
              <w:pStyle w:val="TableText0"/>
              <w:rPr>
                <w:snapToGrid w:val="0"/>
              </w:rPr>
            </w:pPr>
            <w:r w:rsidRPr="009251E2">
              <w:rPr>
                <w:color w:val="00B050"/>
              </w:rPr>
              <w:sym w:font="Wingdings" w:char="F04A"/>
            </w:r>
          </w:p>
        </w:tc>
        <w:tc>
          <w:tcPr>
            <w:tcW w:w="717" w:type="pct"/>
            <w:shd w:val="clear" w:color="auto" w:fill="auto"/>
            <w:vAlign w:val="center"/>
          </w:tcPr>
          <w:p w14:paraId="320A420F" w14:textId="059B5AF4" w:rsidR="001D7A92"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4E950D4B" w14:textId="01A5259E" w:rsidR="001D7A92" w:rsidRPr="002F1CA9" w:rsidRDefault="00A87842" w:rsidP="00A87842">
            <w:pPr>
              <w:pStyle w:val="TableText0"/>
              <w:rPr>
                <w:snapToGrid w:val="0"/>
              </w:rPr>
            </w:pPr>
            <w:r w:rsidRPr="009251E2">
              <w:rPr>
                <w:color w:val="00B050"/>
              </w:rPr>
              <w:sym w:font="Wingdings" w:char="F04A"/>
            </w:r>
          </w:p>
        </w:tc>
        <w:tc>
          <w:tcPr>
            <w:tcW w:w="726" w:type="pct"/>
            <w:shd w:val="clear" w:color="auto" w:fill="auto"/>
            <w:vAlign w:val="center"/>
          </w:tcPr>
          <w:p w14:paraId="472BE567" w14:textId="3ED079D6" w:rsidR="001D7A92" w:rsidRPr="002F1CA9" w:rsidRDefault="00A87842" w:rsidP="00A87842">
            <w:pPr>
              <w:pStyle w:val="TableText0"/>
              <w:rPr>
                <w:snapToGrid w:val="0"/>
              </w:rPr>
            </w:pPr>
            <w:r w:rsidRPr="009251E2">
              <w:rPr>
                <w:color w:val="00B050"/>
              </w:rPr>
              <w:sym w:font="Wingdings" w:char="F04A"/>
            </w:r>
          </w:p>
        </w:tc>
        <w:tc>
          <w:tcPr>
            <w:tcW w:w="537" w:type="pct"/>
            <w:shd w:val="clear" w:color="auto" w:fill="auto"/>
            <w:vAlign w:val="center"/>
          </w:tcPr>
          <w:p w14:paraId="7A0C78D5" w14:textId="606AA0C6" w:rsidR="001D7A92" w:rsidRPr="002F1CA9" w:rsidRDefault="00A87842" w:rsidP="00A87842">
            <w:pPr>
              <w:pStyle w:val="TableText0"/>
              <w:rPr>
                <w:snapToGrid w:val="0"/>
              </w:rPr>
            </w:pPr>
            <w:r w:rsidRPr="009251E2">
              <w:rPr>
                <w:color w:val="00B050"/>
              </w:rPr>
              <w:sym w:font="Wingdings" w:char="F04A"/>
            </w:r>
          </w:p>
        </w:tc>
        <w:tc>
          <w:tcPr>
            <w:tcW w:w="718" w:type="pct"/>
            <w:shd w:val="clear" w:color="auto" w:fill="auto"/>
            <w:vAlign w:val="center"/>
          </w:tcPr>
          <w:p w14:paraId="4B846A1B" w14:textId="1C7CF270" w:rsidR="001D7A92" w:rsidRPr="002F1CA9" w:rsidRDefault="00A87842" w:rsidP="00A87842">
            <w:pPr>
              <w:pStyle w:val="TableText0"/>
              <w:rPr>
                <w:snapToGrid w:val="0"/>
              </w:rPr>
            </w:pPr>
            <w:r w:rsidRPr="009251E2">
              <w:rPr>
                <w:color w:val="00B050"/>
              </w:rPr>
              <w:sym w:font="Wingdings" w:char="F04A"/>
            </w:r>
          </w:p>
        </w:tc>
      </w:tr>
      <w:tr w:rsidR="00C7014A" w:rsidRPr="00183E4D" w14:paraId="4A8976BC" w14:textId="77777777" w:rsidTr="003040CA">
        <w:trPr>
          <w:trHeight w:val="418"/>
        </w:trPr>
        <w:tc>
          <w:tcPr>
            <w:tcW w:w="548" w:type="pct"/>
            <w:shd w:val="clear" w:color="auto" w:fill="auto"/>
            <w:vAlign w:val="center"/>
          </w:tcPr>
          <w:p w14:paraId="15AE1AE9" w14:textId="77777777" w:rsidR="001D7A92" w:rsidRDefault="00047330" w:rsidP="004E5C57">
            <w:pPr>
              <w:pStyle w:val="TableText0"/>
              <w:rPr>
                <w:snapToGrid w:val="0"/>
              </w:rPr>
            </w:pPr>
            <w:r>
              <w:rPr>
                <w:snapToGrid w:val="0"/>
              </w:rPr>
              <w:t>Kang 2019</w:t>
            </w:r>
          </w:p>
        </w:tc>
        <w:tc>
          <w:tcPr>
            <w:tcW w:w="607" w:type="pct"/>
            <w:shd w:val="clear" w:color="auto" w:fill="auto"/>
            <w:vAlign w:val="center"/>
          </w:tcPr>
          <w:p w14:paraId="534B1A76" w14:textId="1FDC46D1" w:rsidR="001D7A92" w:rsidRPr="002F1CA9" w:rsidRDefault="00A87842" w:rsidP="00A87842">
            <w:pPr>
              <w:pStyle w:val="TableText0"/>
              <w:rPr>
                <w:snapToGrid w:val="0"/>
              </w:rPr>
            </w:pPr>
            <w:r w:rsidRPr="009251E2">
              <w:rPr>
                <w:color w:val="00B050"/>
              </w:rPr>
              <w:sym w:font="Wingdings" w:char="F04A"/>
            </w:r>
          </w:p>
        </w:tc>
        <w:tc>
          <w:tcPr>
            <w:tcW w:w="519" w:type="pct"/>
            <w:shd w:val="clear" w:color="auto" w:fill="auto"/>
            <w:vAlign w:val="center"/>
          </w:tcPr>
          <w:p w14:paraId="0342F517" w14:textId="5F9A1BD8" w:rsidR="001D7A92" w:rsidRPr="00C85C14" w:rsidRDefault="00A87842" w:rsidP="00A87842">
            <w:pPr>
              <w:pStyle w:val="TableText0"/>
              <w:rPr>
                <w:snapToGrid w:val="0"/>
              </w:rPr>
            </w:pPr>
            <w:r w:rsidRPr="009251E2">
              <w:rPr>
                <w:color w:val="00B050"/>
              </w:rPr>
              <w:sym w:font="Wingdings" w:char="F04A"/>
            </w:r>
          </w:p>
        </w:tc>
        <w:tc>
          <w:tcPr>
            <w:tcW w:w="717" w:type="pct"/>
            <w:shd w:val="clear" w:color="auto" w:fill="auto"/>
            <w:vAlign w:val="center"/>
          </w:tcPr>
          <w:p w14:paraId="3AC12D20" w14:textId="2F5AB9A6" w:rsidR="001D7A92"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1FED0031" w14:textId="76DBC0D3" w:rsidR="001D7A92" w:rsidRPr="002F1CA9" w:rsidRDefault="00A87842" w:rsidP="00A87842">
            <w:pPr>
              <w:pStyle w:val="TableText0"/>
              <w:rPr>
                <w:snapToGrid w:val="0"/>
              </w:rPr>
            </w:pPr>
            <w:r w:rsidRPr="005C4CEA">
              <w:rPr>
                <w:b/>
                <w:color w:val="4472C4" w:themeColor="accent5"/>
              </w:rPr>
              <w:t>?</w:t>
            </w:r>
          </w:p>
        </w:tc>
        <w:tc>
          <w:tcPr>
            <w:tcW w:w="726" w:type="pct"/>
            <w:shd w:val="clear" w:color="auto" w:fill="auto"/>
            <w:vAlign w:val="center"/>
          </w:tcPr>
          <w:p w14:paraId="622D20EE" w14:textId="782AAF5E" w:rsidR="001D7A92" w:rsidRPr="002F1CA9" w:rsidRDefault="00A87842" w:rsidP="00A87842">
            <w:pPr>
              <w:pStyle w:val="TableText0"/>
              <w:rPr>
                <w:snapToGrid w:val="0"/>
              </w:rPr>
            </w:pPr>
            <w:r w:rsidRPr="009251E2">
              <w:rPr>
                <w:color w:val="00B050"/>
              </w:rPr>
              <w:sym w:font="Wingdings" w:char="F04A"/>
            </w:r>
          </w:p>
        </w:tc>
        <w:tc>
          <w:tcPr>
            <w:tcW w:w="537" w:type="pct"/>
            <w:shd w:val="clear" w:color="auto" w:fill="auto"/>
            <w:vAlign w:val="center"/>
          </w:tcPr>
          <w:p w14:paraId="78552F16" w14:textId="53C53BC2" w:rsidR="001D7A92" w:rsidRPr="002F1CA9" w:rsidRDefault="00A87842" w:rsidP="00A87842">
            <w:pPr>
              <w:pStyle w:val="TableText0"/>
              <w:rPr>
                <w:snapToGrid w:val="0"/>
              </w:rPr>
            </w:pPr>
            <w:r w:rsidRPr="009251E2">
              <w:rPr>
                <w:color w:val="00B050"/>
              </w:rPr>
              <w:sym w:font="Wingdings" w:char="F04A"/>
            </w:r>
          </w:p>
        </w:tc>
        <w:tc>
          <w:tcPr>
            <w:tcW w:w="718" w:type="pct"/>
            <w:shd w:val="clear" w:color="auto" w:fill="auto"/>
            <w:vAlign w:val="center"/>
          </w:tcPr>
          <w:p w14:paraId="76FC5D05" w14:textId="2C0293C0" w:rsidR="001D7A92" w:rsidRPr="002F1CA9" w:rsidRDefault="00A87842" w:rsidP="00A87842">
            <w:pPr>
              <w:pStyle w:val="TableText0"/>
              <w:rPr>
                <w:snapToGrid w:val="0"/>
              </w:rPr>
            </w:pPr>
            <w:r w:rsidRPr="005C4CEA">
              <w:rPr>
                <w:b/>
                <w:color w:val="4472C4" w:themeColor="accent5"/>
              </w:rPr>
              <w:t>?</w:t>
            </w:r>
          </w:p>
        </w:tc>
      </w:tr>
      <w:tr w:rsidR="00C7014A" w:rsidRPr="00183E4D" w14:paraId="6B7635EA" w14:textId="77777777" w:rsidTr="003040CA">
        <w:trPr>
          <w:trHeight w:val="425"/>
        </w:trPr>
        <w:tc>
          <w:tcPr>
            <w:tcW w:w="548" w:type="pct"/>
            <w:shd w:val="clear" w:color="auto" w:fill="auto"/>
            <w:vAlign w:val="center"/>
          </w:tcPr>
          <w:p w14:paraId="169CF61F" w14:textId="77777777" w:rsidR="00047330" w:rsidRDefault="00047330" w:rsidP="004E5C57">
            <w:pPr>
              <w:pStyle w:val="TableText0"/>
              <w:rPr>
                <w:snapToGrid w:val="0"/>
              </w:rPr>
            </w:pPr>
            <w:r>
              <w:rPr>
                <w:snapToGrid w:val="0"/>
              </w:rPr>
              <w:t>Contentti 2019</w:t>
            </w:r>
          </w:p>
        </w:tc>
        <w:tc>
          <w:tcPr>
            <w:tcW w:w="607" w:type="pct"/>
            <w:shd w:val="clear" w:color="auto" w:fill="auto"/>
            <w:vAlign w:val="center"/>
          </w:tcPr>
          <w:p w14:paraId="1E9AC55A" w14:textId="12A08371" w:rsidR="00047330" w:rsidRPr="002F1CA9" w:rsidRDefault="00A87842" w:rsidP="00A87842">
            <w:pPr>
              <w:pStyle w:val="TableText0"/>
              <w:rPr>
                <w:snapToGrid w:val="0"/>
              </w:rPr>
            </w:pPr>
            <w:r w:rsidRPr="009251E2">
              <w:rPr>
                <w:color w:val="00B050"/>
              </w:rPr>
              <w:sym w:font="Wingdings" w:char="F04A"/>
            </w:r>
          </w:p>
        </w:tc>
        <w:tc>
          <w:tcPr>
            <w:tcW w:w="519" w:type="pct"/>
            <w:shd w:val="clear" w:color="auto" w:fill="auto"/>
            <w:vAlign w:val="center"/>
          </w:tcPr>
          <w:p w14:paraId="3291C91D" w14:textId="5495A9A2" w:rsidR="00047330" w:rsidRPr="00C85C14" w:rsidRDefault="00A87842" w:rsidP="00A87842">
            <w:pPr>
              <w:pStyle w:val="TableText0"/>
              <w:rPr>
                <w:snapToGrid w:val="0"/>
              </w:rPr>
            </w:pPr>
            <w:r w:rsidRPr="009251E2">
              <w:rPr>
                <w:color w:val="00B050"/>
              </w:rPr>
              <w:sym w:font="Wingdings" w:char="F04A"/>
            </w:r>
          </w:p>
        </w:tc>
        <w:tc>
          <w:tcPr>
            <w:tcW w:w="717" w:type="pct"/>
            <w:shd w:val="clear" w:color="auto" w:fill="auto"/>
            <w:vAlign w:val="center"/>
          </w:tcPr>
          <w:p w14:paraId="1DDD38F3" w14:textId="199278CC" w:rsidR="00047330"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4ADE8CD5" w14:textId="2F12CAA6" w:rsidR="00047330" w:rsidRPr="002F1CA9" w:rsidRDefault="00A87842" w:rsidP="00A87842">
            <w:pPr>
              <w:pStyle w:val="TableText0"/>
              <w:rPr>
                <w:snapToGrid w:val="0"/>
              </w:rPr>
            </w:pPr>
            <w:r w:rsidRPr="009251E2">
              <w:rPr>
                <w:color w:val="00B050"/>
              </w:rPr>
              <w:sym w:font="Wingdings" w:char="F04A"/>
            </w:r>
          </w:p>
        </w:tc>
        <w:tc>
          <w:tcPr>
            <w:tcW w:w="726" w:type="pct"/>
            <w:shd w:val="clear" w:color="auto" w:fill="auto"/>
            <w:vAlign w:val="center"/>
          </w:tcPr>
          <w:p w14:paraId="56CD96F4" w14:textId="13A3AAF2" w:rsidR="00047330" w:rsidRPr="002F1CA9" w:rsidRDefault="00A87842" w:rsidP="00A87842">
            <w:pPr>
              <w:pStyle w:val="TableText0"/>
              <w:rPr>
                <w:snapToGrid w:val="0"/>
              </w:rPr>
            </w:pPr>
            <w:r w:rsidRPr="005C4CEA">
              <w:rPr>
                <w:b/>
                <w:color w:val="4472C4" w:themeColor="accent5"/>
              </w:rPr>
              <w:t>?</w:t>
            </w:r>
          </w:p>
        </w:tc>
        <w:tc>
          <w:tcPr>
            <w:tcW w:w="537" w:type="pct"/>
            <w:shd w:val="clear" w:color="auto" w:fill="auto"/>
            <w:vAlign w:val="center"/>
          </w:tcPr>
          <w:p w14:paraId="2824E4BC" w14:textId="2DB2BD62" w:rsidR="00047330" w:rsidRPr="002F1CA9" w:rsidRDefault="00A87842" w:rsidP="00A87842">
            <w:pPr>
              <w:pStyle w:val="TableText0"/>
              <w:rPr>
                <w:snapToGrid w:val="0"/>
              </w:rPr>
            </w:pPr>
            <w:r w:rsidRPr="009251E2">
              <w:rPr>
                <w:color w:val="00B050"/>
              </w:rPr>
              <w:sym w:font="Wingdings" w:char="F04A"/>
            </w:r>
          </w:p>
        </w:tc>
        <w:tc>
          <w:tcPr>
            <w:tcW w:w="718" w:type="pct"/>
            <w:shd w:val="clear" w:color="auto" w:fill="auto"/>
            <w:vAlign w:val="center"/>
          </w:tcPr>
          <w:p w14:paraId="2A67CED3" w14:textId="13FCAA32" w:rsidR="00047330" w:rsidRPr="002F1CA9" w:rsidRDefault="00A87842" w:rsidP="00A87842">
            <w:pPr>
              <w:pStyle w:val="TableText0"/>
              <w:rPr>
                <w:snapToGrid w:val="0"/>
              </w:rPr>
            </w:pPr>
            <w:r w:rsidRPr="009251E2">
              <w:rPr>
                <w:color w:val="00B050"/>
              </w:rPr>
              <w:sym w:font="Wingdings" w:char="F04A"/>
            </w:r>
          </w:p>
        </w:tc>
      </w:tr>
      <w:tr w:rsidR="00A87842" w:rsidRPr="00183E4D" w14:paraId="55E8D62F" w14:textId="77777777" w:rsidTr="00A87842">
        <w:trPr>
          <w:trHeight w:val="417"/>
        </w:trPr>
        <w:tc>
          <w:tcPr>
            <w:tcW w:w="548" w:type="pct"/>
            <w:shd w:val="clear" w:color="auto" w:fill="auto"/>
            <w:vAlign w:val="center"/>
          </w:tcPr>
          <w:p w14:paraId="30FF33DE" w14:textId="77777777" w:rsidR="00A87842" w:rsidRDefault="00A87842" w:rsidP="004E5C57">
            <w:pPr>
              <w:pStyle w:val="TableText0"/>
              <w:rPr>
                <w:snapToGrid w:val="0"/>
              </w:rPr>
            </w:pPr>
            <w:r>
              <w:rPr>
                <w:snapToGrid w:val="0"/>
              </w:rPr>
              <w:t>Liu 2019</w:t>
            </w:r>
          </w:p>
        </w:tc>
        <w:tc>
          <w:tcPr>
            <w:tcW w:w="607" w:type="pct"/>
            <w:shd w:val="clear" w:color="auto" w:fill="auto"/>
            <w:vAlign w:val="center"/>
          </w:tcPr>
          <w:p w14:paraId="497587D1" w14:textId="7ACA082F" w:rsidR="00A87842" w:rsidRPr="002F1CA9" w:rsidRDefault="00A87842" w:rsidP="00A87842">
            <w:pPr>
              <w:pStyle w:val="TableText0"/>
              <w:rPr>
                <w:snapToGrid w:val="0"/>
              </w:rPr>
            </w:pPr>
            <w:r w:rsidRPr="005C4CEA">
              <w:rPr>
                <w:b/>
                <w:color w:val="4472C4" w:themeColor="accent5"/>
              </w:rPr>
              <w:t>?</w:t>
            </w:r>
          </w:p>
        </w:tc>
        <w:tc>
          <w:tcPr>
            <w:tcW w:w="519" w:type="pct"/>
            <w:shd w:val="clear" w:color="auto" w:fill="auto"/>
            <w:vAlign w:val="center"/>
          </w:tcPr>
          <w:p w14:paraId="3CE8314C" w14:textId="2A405233" w:rsidR="00A87842" w:rsidRPr="00C85C14" w:rsidRDefault="00A87842" w:rsidP="00A87842">
            <w:pPr>
              <w:pStyle w:val="TableText0"/>
              <w:rPr>
                <w:snapToGrid w:val="0"/>
              </w:rPr>
            </w:pPr>
            <w:r w:rsidRPr="009251E2">
              <w:rPr>
                <w:color w:val="FF0000"/>
              </w:rPr>
              <w:sym w:font="Wingdings" w:char="F04C"/>
            </w:r>
          </w:p>
        </w:tc>
        <w:tc>
          <w:tcPr>
            <w:tcW w:w="717" w:type="pct"/>
            <w:shd w:val="clear" w:color="auto" w:fill="auto"/>
            <w:vAlign w:val="center"/>
          </w:tcPr>
          <w:p w14:paraId="32B7F851" w14:textId="5C6D8384" w:rsidR="00A87842"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56BE0EBF" w14:textId="4AB32E77" w:rsidR="00A87842" w:rsidRPr="002F1CA9" w:rsidRDefault="00A87842" w:rsidP="00A87842">
            <w:pPr>
              <w:pStyle w:val="TableText0"/>
              <w:rPr>
                <w:snapToGrid w:val="0"/>
              </w:rPr>
            </w:pPr>
            <w:r w:rsidRPr="00606884">
              <w:rPr>
                <w:color w:val="00B050"/>
              </w:rPr>
              <w:sym w:font="Wingdings" w:char="F04A"/>
            </w:r>
          </w:p>
        </w:tc>
        <w:tc>
          <w:tcPr>
            <w:tcW w:w="726" w:type="pct"/>
            <w:shd w:val="clear" w:color="auto" w:fill="auto"/>
            <w:vAlign w:val="center"/>
          </w:tcPr>
          <w:p w14:paraId="54488EA0" w14:textId="7A9C7016" w:rsidR="00A87842" w:rsidRPr="002F1CA9" w:rsidRDefault="00A87842" w:rsidP="00A87842">
            <w:pPr>
              <w:pStyle w:val="TableText0"/>
              <w:rPr>
                <w:snapToGrid w:val="0"/>
              </w:rPr>
            </w:pPr>
            <w:r w:rsidRPr="009251E2">
              <w:rPr>
                <w:color w:val="00B050"/>
              </w:rPr>
              <w:sym w:font="Wingdings" w:char="F04A"/>
            </w:r>
          </w:p>
        </w:tc>
        <w:tc>
          <w:tcPr>
            <w:tcW w:w="537" w:type="pct"/>
            <w:shd w:val="clear" w:color="auto" w:fill="auto"/>
            <w:vAlign w:val="center"/>
          </w:tcPr>
          <w:p w14:paraId="7E9476C6" w14:textId="4117F0C8" w:rsidR="00A87842" w:rsidRPr="002F1CA9" w:rsidRDefault="00A87842" w:rsidP="00A87842">
            <w:pPr>
              <w:pStyle w:val="TableText0"/>
              <w:rPr>
                <w:snapToGrid w:val="0"/>
              </w:rPr>
            </w:pPr>
            <w:r w:rsidRPr="009251E2">
              <w:rPr>
                <w:color w:val="FF0000"/>
              </w:rPr>
              <w:sym w:font="Wingdings" w:char="F04C"/>
            </w:r>
          </w:p>
        </w:tc>
        <w:tc>
          <w:tcPr>
            <w:tcW w:w="718" w:type="pct"/>
            <w:shd w:val="clear" w:color="auto" w:fill="auto"/>
            <w:vAlign w:val="center"/>
          </w:tcPr>
          <w:p w14:paraId="209D844A" w14:textId="7E30DBA5" w:rsidR="00A87842" w:rsidRPr="002F1CA9" w:rsidRDefault="00A87842" w:rsidP="00A87842">
            <w:pPr>
              <w:pStyle w:val="TableText0"/>
              <w:rPr>
                <w:snapToGrid w:val="0"/>
              </w:rPr>
            </w:pPr>
            <w:r w:rsidRPr="009251E2">
              <w:rPr>
                <w:color w:val="00B050"/>
              </w:rPr>
              <w:sym w:font="Wingdings" w:char="F04A"/>
            </w:r>
          </w:p>
        </w:tc>
      </w:tr>
      <w:tr w:rsidR="00A87842" w:rsidRPr="00183E4D" w14:paraId="4AD8D67B" w14:textId="77777777" w:rsidTr="00A87842">
        <w:trPr>
          <w:trHeight w:val="408"/>
        </w:trPr>
        <w:tc>
          <w:tcPr>
            <w:tcW w:w="548" w:type="pct"/>
            <w:shd w:val="clear" w:color="auto" w:fill="auto"/>
            <w:vAlign w:val="center"/>
          </w:tcPr>
          <w:p w14:paraId="606DB7F7" w14:textId="77777777" w:rsidR="00A87842" w:rsidRDefault="00A87842" w:rsidP="004E5C57">
            <w:pPr>
              <w:pStyle w:val="TableText0"/>
              <w:rPr>
                <w:snapToGrid w:val="0"/>
              </w:rPr>
            </w:pPr>
            <w:r>
              <w:rPr>
                <w:snapToGrid w:val="0"/>
              </w:rPr>
              <w:t>Papais 2018</w:t>
            </w:r>
          </w:p>
        </w:tc>
        <w:tc>
          <w:tcPr>
            <w:tcW w:w="607" w:type="pct"/>
            <w:shd w:val="clear" w:color="auto" w:fill="auto"/>
            <w:vAlign w:val="center"/>
          </w:tcPr>
          <w:p w14:paraId="6C377856" w14:textId="6B0DA900" w:rsidR="00A87842" w:rsidRPr="002F1CA9" w:rsidRDefault="00A87842" w:rsidP="00A87842">
            <w:pPr>
              <w:pStyle w:val="TableText0"/>
              <w:rPr>
                <w:snapToGrid w:val="0"/>
              </w:rPr>
            </w:pPr>
            <w:r w:rsidRPr="009251E2">
              <w:rPr>
                <w:color w:val="00B050"/>
              </w:rPr>
              <w:sym w:font="Wingdings" w:char="F04A"/>
            </w:r>
          </w:p>
        </w:tc>
        <w:tc>
          <w:tcPr>
            <w:tcW w:w="519" w:type="pct"/>
            <w:shd w:val="clear" w:color="auto" w:fill="auto"/>
            <w:vAlign w:val="center"/>
          </w:tcPr>
          <w:p w14:paraId="271073E1" w14:textId="2031947A" w:rsidR="00A87842" w:rsidRPr="00C85C14" w:rsidRDefault="00A87842" w:rsidP="00A87842">
            <w:pPr>
              <w:pStyle w:val="TableText0"/>
              <w:rPr>
                <w:snapToGrid w:val="0"/>
              </w:rPr>
            </w:pPr>
            <w:r w:rsidRPr="009251E2">
              <w:rPr>
                <w:color w:val="00B050"/>
              </w:rPr>
              <w:sym w:font="Wingdings" w:char="F04A"/>
            </w:r>
          </w:p>
        </w:tc>
        <w:tc>
          <w:tcPr>
            <w:tcW w:w="717" w:type="pct"/>
            <w:shd w:val="clear" w:color="auto" w:fill="auto"/>
            <w:vAlign w:val="center"/>
          </w:tcPr>
          <w:p w14:paraId="3D3A434C" w14:textId="71EFC066" w:rsidR="00A87842" w:rsidRPr="002F1CA9" w:rsidRDefault="00A87842" w:rsidP="00A87842">
            <w:pPr>
              <w:pStyle w:val="TableText0"/>
              <w:rPr>
                <w:snapToGrid w:val="0"/>
              </w:rPr>
            </w:pPr>
            <w:r w:rsidRPr="009251E2">
              <w:rPr>
                <w:color w:val="FF0000"/>
              </w:rPr>
              <w:sym w:font="Wingdings" w:char="F04C"/>
            </w:r>
          </w:p>
        </w:tc>
        <w:tc>
          <w:tcPr>
            <w:tcW w:w="628" w:type="pct"/>
            <w:shd w:val="clear" w:color="auto" w:fill="auto"/>
            <w:vAlign w:val="center"/>
          </w:tcPr>
          <w:p w14:paraId="7F349C2A" w14:textId="4607C75F" w:rsidR="00A87842" w:rsidRPr="002F1CA9" w:rsidRDefault="00A87842" w:rsidP="00A87842">
            <w:pPr>
              <w:pStyle w:val="TableText0"/>
              <w:rPr>
                <w:snapToGrid w:val="0"/>
              </w:rPr>
            </w:pPr>
            <w:r w:rsidRPr="00606884">
              <w:rPr>
                <w:color w:val="00B050"/>
              </w:rPr>
              <w:sym w:font="Wingdings" w:char="F04A"/>
            </w:r>
          </w:p>
        </w:tc>
        <w:tc>
          <w:tcPr>
            <w:tcW w:w="726" w:type="pct"/>
            <w:shd w:val="clear" w:color="auto" w:fill="auto"/>
            <w:vAlign w:val="center"/>
          </w:tcPr>
          <w:p w14:paraId="2057E422" w14:textId="66484589" w:rsidR="00A87842" w:rsidRPr="002F1CA9" w:rsidRDefault="00A87842" w:rsidP="00A87842">
            <w:pPr>
              <w:pStyle w:val="TableText0"/>
              <w:rPr>
                <w:snapToGrid w:val="0"/>
              </w:rPr>
            </w:pPr>
            <w:r w:rsidRPr="005C4CEA">
              <w:rPr>
                <w:b/>
                <w:color w:val="4472C4" w:themeColor="accent5"/>
              </w:rPr>
              <w:t>?</w:t>
            </w:r>
          </w:p>
        </w:tc>
        <w:tc>
          <w:tcPr>
            <w:tcW w:w="537" w:type="pct"/>
            <w:shd w:val="clear" w:color="auto" w:fill="auto"/>
            <w:vAlign w:val="center"/>
          </w:tcPr>
          <w:p w14:paraId="66D79CFA" w14:textId="4D856169" w:rsidR="00A87842" w:rsidRPr="002F1CA9" w:rsidRDefault="00A87842" w:rsidP="00A87842">
            <w:pPr>
              <w:pStyle w:val="TableText0"/>
              <w:rPr>
                <w:snapToGrid w:val="0"/>
              </w:rPr>
            </w:pPr>
            <w:r w:rsidRPr="009251E2">
              <w:rPr>
                <w:color w:val="00B050"/>
              </w:rPr>
              <w:sym w:font="Wingdings" w:char="F04A"/>
            </w:r>
          </w:p>
        </w:tc>
        <w:tc>
          <w:tcPr>
            <w:tcW w:w="718" w:type="pct"/>
            <w:shd w:val="clear" w:color="auto" w:fill="auto"/>
            <w:vAlign w:val="center"/>
          </w:tcPr>
          <w:p w14:paraId="78AE1E99" w14:textId="5B20D92F" w:rsidR="00A87842" w:rsidRPr="002F1CA9" w:rsidRDefault="00A87842" w:rsidP="00A87842">
            <w:pPr>
              <w:pStyle w:val="TableText0"/>
              <w:rPr>
                <w:snapToGrid w:val="0"/>
              </w:rPr>
            </w:pPr>
            <w:r w:rsidRPr="009251E2">
              <w:rPr>
                <w:color w:val="00B050"/>
              </w:rPr>
              <w:sym w:font="Wingdings" w:char="F04A"/>
            </w:r>
          </w:p>
        </w:tc>
      </w:tr>
    </w:tbl>
    <w:p w14:paraId="204EFEA1" w14:textId="3ABA379E" w:rsidR="00ED65EE" w:rsidRPr="003637B4" w:rsidRDefault="00ED65EE" w:rsidP="003637B4">
      <w:pPr>
        <w:pStyle w:val="Tablenotes0"/>
        <w:rPr>
          <w:rStyle w:val="TablenotesChar0"/>
          <w:snapToGrid w:val="0"/>
        </w:rPr>
      </w:pPr>
      <w:r w:rsidRPr="009251E2">
        <w:rPr>
          <w:color w:val="00B050"/>
        </w:rPr>
        <w:sym w:font="Wingdings" w:char="F04A"/>
      </w:r>
      <w:r>
        <w:t xml:space="preserve"> Low Risk; </w:t>
      </w:r>
      <w:r w:rsidRPr="009251E2">
        <w:rPr>
          <w:color w:val="FF0000"/>
        </w:rPr>
        <w:sym w:font="Wingdings" w:char="F04C"/>
      </w:r>
      <w:r>
        <w:t xml:space="preserve"> High Risk; </w:t>
      </w:r>
      <w:r w:rsidRPr="005C4CEA">
        <w:rPr>
          <w:b/>
          <w:color w:val="4472C4" w:themeColor="accent5"/>
        </w:rPr>
        <w:t>?</w:t>
      </w:r>
      <w:r w:rsidR="00A87842">
        <w:t xml:space="preserve"> Unclear Risk</w:t>
      </w:r>
    </w:p>
    <w:p w14:paraId="118B17DF" w14:textId="77777777" w:rsidR="00ED65EE" w:rsidRPr="00183E4D" w:rsidRDefault="00ED65EE" w:rsidP="003816F6">
      <w:pPr>
        <w:pStyle w:val="Heading2"/>
        <w:numPr>
          <w:ilvl w:val="1"/>
          <w:numId w:val="17"/>
        </w:numPr>
      </w:pPr>
      <w:bookmarkStart w:id="220" w:name="_Toc39588308"/>
      <w:r w:rsidRPr="00183E4D">
        <w:t>Characteristics of the Evidence Base</w:t>
      </w:r>
      <w:bookmarkEnd w:id="220"/>
    </w:p>
    <w:p w14:paraId="201F6E07" w14:textId="71130917" w:rsidR="00ED65EE" w:rsidRPr="00786F87" w:rsidRDefault="00ED65EE" w:rsidP="00ED65EE">
      <w:r w:rsidRPr="00183E4D">
        <w:t xml:space="preserve">See </w:t>
      </w:r>
      <w:r w:rsidR="0094709A">
        <w:fldChar w:fldCharType="begin"/>
      </w:r>
      <w:r w:rsidR="0094709A">
        <w:instrText xml:space="preserve"> REF _Ref190841600 \h </w:instrText>
      </w:r>
      <w:r w:rsidR="0094709A">
        <w:fldChar w:fldCharType="separate"/>
      </w:r>
      <w:r w:rsidR="0094709A" w:rsidRPr="00183E4D">
        <w:t xml:space="preserve">Appendix </w:t>
      </w:r>
      <w:r w:rsidR="0094709A">
        <w:rPr>
          <w:noProof/>
        </w:rPr>
        <w:t>C</w:t>
      </w:r>
      <w:r w:rsidR="0094709A">
        <w:fldChar w:fldCharType="end"/>
      </w:r>
      <w:r w:rsidRPr="00786F87">
        <w:t xml:space="preserve"> for details on the individual studies included in the evidence base. </w:t>
      </w:r>
    </w:p>
    <w:p w14:paraId="70CCB5DE" w14:textId="02B9EC0A" w:rsidR="00F462A1" w:rsidRDefault="00F462A1" w:rsidP="00F462A1">
      <w:r w:rsidRPr="00786F87">
        <w:t xml:space="preserve">A summary of the characteristics of studies </w:t>
      </w:r>
      <w:r w:rsidR="00786F87" w:rsidRPr="00786F87">
        <w:t xml:space="preserve">meeting inclusion criteria for clinical validity </w:t>
      </w:r>
      <w:r w:rsidR="00472A12">
        <w:t xml:space="preserve">accuracy </w:t>
      </w:r>
      <w:r w:rsidRPr="00786F87">
        <w:t xml:space="preserve">is shown in </w:t>
      </w:r>
      <w:r w:rsidR="00472A12">
        <w:fldChar w:fldCharType="begin"/>
      </w:r>
      <w:r w:rsidR="00472A12">
        <w:instrText xml:space="preserve"> REF _Ref31722457 \h </w:instrText>
      </w:r>
      <w:r w:rsidR="00472A12">
        <w:fldChar w:fldCharType="separate"/>
      </w:r>
      <w:r w:rsidR="008A4991">
        <w:t xml:space="preserve">Table </w:t>
      </w:r>
      <w:r w:rsidR="008A4991">
        <w:rPr>
          <w:noProof/>
        </w:rPr>
        <w:t>20</w:t>
      </w:r>
      <w:r w:rsidR="00472A12">
        <w:fldChar w:fldCharType="end"/>
      </w:r>
      <w:r w:rsidRPr="00786F87">
        <w:t>.</w:t>
      </w:r>
      <w:r w:rsidR="007E2A9E">
        <w:t xml:space="preserve"> </w:t>
      </w:r>
      <w:r w:rsidRPr="00786F87">
        <w:t>Thos</w:t>
      </w:r>
      <w:r w:rsidRPr="00F462A1">
        <w:t xml:space="preserve">e studies which technically met the inclusion criteria, but which were not included in the results section or meta-analyses, </w:t>
      </w:r>
      <w:r w:rsidR="00C839C4">
        <w:t xml:space="preserve">for various reasons, </w:t>
      </w:r>
      <w:r w:rsidRPr="00F462A1">
        <w:t xml:space="preserve">are listed in </w:t>
      </w:r>
      <w:r w:rsidRPr="00F462A1">
        <w:fldChar w:fldCharType="begin"/>
      </w:r>
      <w:r w:rsidRPr="00F462A1">
        <w:instrText xml:space="preserve"> REF _Ref364237293 \h </w:instrText>
      </w:r>
      <w:r w:rsidRPr="00F462A1">
        <w:fldChar w:fldCharType="separate"/>
      </w:r>
      <w:r w:rsidR="0014371E" w:rsidRPr="00183E4D">
        <w:t xml:space="preserve">Appendix </w:t>
      </w:r>
      <w:r w:rsidR="0014371E">
        <w:rPr>
          <w:noProof/>
        </w:rPr>
        <w:t>E</w:t>
      </w:r>
      <w:r w:rsidRPr="00F462A1">
        <w:fldChar w:fldCharType="end"/>
      </w:r>
      <w:r w:rsidRPr="00F462A1">
        <w:t>.</w:t>
      </w:r>
      <w:r w:rsidR="002730F7">
        <w:t xml:space="preserve"> </w:t>
      </w:r>
    </w:p>
    <w:p w14:paraId="7869EFBE" w14:textId="4F4FFCD9" w:rsidR="00594400" w:rsidRDefault="002730F7" w:rsidP="00786F87">
      <w:r>
        <w:t xml:space="preserve">Twelve studies were included for evidence of test accuracy in a clinical setting. Only studies </w:t>
      </w:r>
      <w:r w:rsidR="0019691F">
        <w:t xml:space="preserve">for </w:t>
      </w:r>
      <w:r>
        <w:t xml:space="preserve">which data could be extracted to compare patient AQP4-Ab or MOG-Ab test results to </w:t>
      </w:r>
      <w:r w:rsidR="00786F87">
        <w:t xml:space="preserve">a clinical diagnosis using the 2015 IPND criteria were included. </w:t>
      </w:r>
      <w:r w:rsidR="0019691F">
        <w:t>The 12 studies were retrospective cohorts with before and after test data,</w:t>
      </w:r>
      <w:r w:rsidR="00786F87">
        <w:t xml:space="preserve"> providing level </w:t>
      </w:r>
      <w:r w:rsidR="008B4AA0">
        <w:t xml:space="preserve">III-3 </w:t>
      </w:r>
      <w:r w:rsidR="00786F87">
        <w:t>evidence</w:t>
      </w:r>
      <w:r w:rsidR="008B4AA0">
        <w:t xml:space="preserve"> for diagnostic accuracy</w:t>
      </w:r>
      <w:r w:rsidR="00786F87">
        <w:t xml:space="preserve">. </w:t>
      </w:r>
      <w:r w:rsidR="0019691F">
        <w:t>Study populations varied in their initial CNS symptom, and thus were limited in their comparability</w:t>
      </w:r>
      <w:r>
        <w:t>.</w:t>
      </w:r>
      <w:r w:rsidR="0019691F">
        <w:t xml:space="preserve"> However all met one of the 2015 IPND criteria</w:t>
      </w:r>
      <w:r w:rsidR="00484AF3">
        <w:t>,</w:t>
      </w:r>
      <w:r w:rsidR="0019691F">
        <w:t xml:space="preserve"> which would make the patients eligible for AQP4-Ab testing in the Australian setting (See Appendix F for the IPND diagnostic criteria). Populations also varied in size – ranging </w:t>
      </w:r>
      <w:r w:rsidR="00472A12">
        <w:t>from 31 to 505 cases. W</w:t>
      </w:r>
      <w:r w:rsidR="0019691F">
        <w:t>hile the location where the studies were conducted also varied, a high proportion were conducted in Asian countries</w:t>
      </w:r>
      <w:r w:rsidR="00472A12">
        <w:t xml:space="preserve"> (K= 6 of 12 studies)</w:t>
      </w:r>
      <w:r w:rsidR="0019691F">
        <w:t>.</w:t>
      </w:r>
    </w:p>
    <w:p w14:paraId="131F5405" w14:textId="77777777" w:rsidR="00B431DD" w:rsidRPr="00F462A1" w:rsidRDefault="00A67222" w:rsidP="00786F87">
      <w:r>
        <w:t>T</w:t>
      </w:r>
      <w:r w:rsidR="00B431DD">
        <w:t xml:space="preserve">he sixteen studies that provided diagnostic yield evidence for AQP4-Abs and MOG-Abs </w:t>
      </w:r>
      <w:r w:rsidR="00D37B62">
        <w:t>were level IV evidence. All</w:t>
      </w:r>
      <w:r w:rsidR="00B431DD">
        <w:t xml:space="preserve"> </w:t>
      </w:r>
      <w:r w:rsidR="00D37B62">
        <w:t xml:space="preserve">study </w:t>
      </w:r>
      <w:r w:rsidR="004C247E">
        <w:t>populations met the Wingerchuk IPND 2015 criteria</w:t>
      </w:r>
      <w:r w:rsidR="00C20EFA">
        <w:t xml:space="preserve"> for test eligibility</w:t>
      </w:r>
      <w:r>
        <w:t xml:space="preserve">. Both adults and children were represented in the included studies, with a variety of </w:t>
      </w:r>
      <w:r w:rsidR="004C247E">
        <w:t>initial CNS symptom</w:t>
      </w:r>
      <w:r>
        <w:t xml:space="preserve">s, including </w:t>
      </w:r>
      <w:r w:rsidRPr="005B13BC">
        <w:t>inflammatory conditions or demyelination syndromes</w:t>
      </w:r>
      <w:r>
        <w:t xml:space="preserve">, </w:t>
      </w:r>
      <w:r w:rsidRPr="005B13BC">
        <w:t>ON or LETM and presenting or suspected NMO/NMOSD</w:t>
      </w:r>
      <w:r>
        <w:t>.</w:t>
      </w:r>
      <w:r w:rsidR="004C247E">
        <w:t xml:space="preserve"> The majority of studies used cell-based assays for antibody testing.</w:t>
      </w:r>
      <w:r>
        <w:t xml:space="preserve"> Study </w:t>
      </w:r>
      <w:r>
        <w:lastRenderedPageBreak/>
        <w:t xml:space="preserve">populations </w:t>
      </w:r>
      <w:r w:rsidR="00393E82">
        <w:t xml:space="preserve">came from a variety of different countries including seven studies from Asia. Study populations ranged </w:t>
      </w:r>
      <w:r w:rsidR="00DF77BA">
        <w:t xml:space="preserve">in size </w:t>
      </w:r>
      <w:r w:rsidR="00393E82">
        <w:t>from 1</w:t>
      </w:r>
      <w:r>
        <w:t>4 to 1,917</w:t>
      </w:r>
      <w:r w:rsidR="00DF77BA">
        <w:t xml:space="preserve"> participants</w:t>
      </w:r>
      <w:r w:rsidR="00393E82">
        <w:t xml:space="preserve">. </w:t>
      </w:r>
    </w:p>
    <w:p w14:paraId="33E7115E" w14:textId="07954179" w:rsidR="00484663" w:rsidRDefault="00484663" w:rsidP="00484663">
      <w:pPr>
        <w:pStyle w:val="Caption"/>
      </w:pPr>
      <w:bookmarkStart w:id="221" w:name="_Ref31722457"/>
      <w:bookmarkStart w:id="222" w:name="_Toc39580801"/>
      <w:r>
        <w:t xml:space="preserve">Table </w:t>
      </w:r>
      <w:fldSimple w:instr=" SEQ Table \* ARABIC ">
        <w:r w:rsidR="00FA7BCD">
          <w:rPr>
            <w:noProof/>
          </w:rPr>
          <w:t>20</w:t>
        </w:r>
      </w:fldSimple>
      <w:bookmarkEnd w:id="221"/>
      <w:r>
        <w:tab/>
        <w:t>Key features of the included studies for clinical validity</w:t>
      </w:r>
      <w:bookmarkEnd w:id="222"/>
    </w:p>
    <w:tbl>
      <w:tblPr>
        <w:tblStyle w:val="TableGrid1"/>
        <w:tblW w:w="940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20 Key features of the included studies for clinical validity"/>
        <w:tblDescription w:val="A summary of study details for all articles (level III-3 and IV) included for clinical validity"/>
      </w:tblPr>
      <w:tblGrid>
        <w:gridCol w:w="926"/>
        <w:gridCol w:w="703"/>
        <w:gridCol w:w="846"/>
        <w:gridCol w:w="734"/>
        <w:gridCol w:w="2312"/>
        <w:gridCol w:w="1701"/>
        <w:gridCol w:w="1225"/>
        <w:gridCol w:w="953"/>
      </w:tblGrid>
      <w:tr w:rsidR="003A0EAC" w:rsidRPr="00484663" w14:paraId="1E6FE7BD" w14:textId="77777777" w:rsidTr="00F20D67">
        <w:trPr>
          <w:cnfStyle w:val="100000000000" w:firstRow="1" w:lastRow="0" w:firstColumn="0" w:lastColumn="0" w:oddVBand="0" w:evenVBand="0" w:oddHBand="0" w:evenHBand="0" w:firstRowFirstColumn="0" w:firstRowLastColumn="0" w:lastRowFirstColumn="0" w:lastRowLastColumn="0"/>
        </w:trPr>
        <w:tc>
          <w:tcPr>
            <w:tcW w:w="0" w:type="auto"/>
            <w:tcBorders>
              <w:top w:val="single" w:sz="6" w:space="0" w:color="auto"/>
              <w:left w:val="single" w:sz="6" w:space="0" w:color="auto"/>
              <w:bottom w:val="single" w:sz="6" w:space="0" w:color="auto"/>
              <w:right w:val="single" w:sz="6" w:space="0" w:color="auto"/>
            </w:tcBorders>
            <w:hideMark/>
          </w:tcPr>
          <w:p w14:paraId="42921CEA" w14:textId="77777777" w:rsidR="003A0EAC" w:rsidRPr="00484663" w:rsidRDefault="003A0EAC" w:rsidP="00484663">
            <w:pPr>
              <w:spacing w:before="30" w:after="30"/>
              <w:ind w:left="60" w:right="60"/>
              <w:jc w:val="left"/>
              <w:rPr>
                <w:rFonts w:ascii="Arial Narrow" w:hAnsi="Arial Narrow" w:cs="Times New Roman"/>
                <w:b/>
              </w:rPr>
            </w:pPr>
            <w:r w:rsidRPr="00484663">
              <w:rPr>
                <w:rFonts w:ascii="Arial Narrow" w:hAnsi="Arial Narrow" w:cs="Times New Roman"/>
                <w:b/>
              </w:rPr>
              <w:t>Author</w:t>
            </w:r>
          </w:p>
        </w:tc>
        <w:tc>
          <w:tcPr>
            <w:tcW w:w="0" w:type="auto"/>
            <w:tcBorders>
              <w:top w:val="single" w:sz="6" w:space="0" w:color="auto"/>
              <w:left w:val="single" w:sz="6" w:space="0" w:color="auto"/>
              <w:bottom w:val="single" w:sz="6" w:space="0" w:color="auto"/>
              <w:right w:val="single" w:sz="6" w:space="0" w:color="auto"/>
            </w:tcBorders>
            <w:hideMark/>
          </w:tcPr>
          <w:p w14:paraId="7A6C07B5" w14:textId="77777777" w:rsidR="003A0EAC" w:rsidRPr="00484663" w:rsidRDefault="003A0EAC" w:rsidP="00484663">
            <w:pPr>
              <w:spacing w:before="30" w:after="30"/>
              <w:ind w:left="60" w:right="60"/>
              <w:jc w:val="left"/>
              <w:rPr>
                <w:rFonts w:ascii="Arial Narrow" w:hAnsi="Arial Narrow" w:cs="Times New Roman"/>
                <w:b/>
              </w:rPr>
            </w:pPr>
            <w:r w:rsidRPr="00484663">
              <w:rPr>
                <w:rFonts w:ascii="Arial Narrow" w:hAnsi="Arial Narrow" w:cs="Times New Roman"/>
                <w:b/>
              </w:rPr>
              <w:t>Study Design</w:t>
            </w:r>
          </w:p>
          <w:p w14:paraId="1D70AEA1" w14:textId="77777777" w:rsidR="003A0EAC" w:rsidRPr="00484663" w:rsidRDefault="003A0EAC" w:rsidP="00484663">
            <w:pPr>
              <w:spacing w:before="30" w:after="30"/>
              <w:ind w:left="60" w:right="60"/>
              <w:jc w:val="left"/>
              <w:rPr>
                <w:rFonts w:ascii="Arial Narrow" w:hAnsi="Arial Narrow" w:cs="Times New Roman"/>
                <w:b/>
              </w:rPr>
            </w:pPr>
            <w:r w:rsidRPr="00484663">
              <w:rPr>
                <w:rFonts w:ascii="Arial Narrow" w:hAnsi="Arial Narrow" w:cs="Times New Roman"/>
                <w:b/>
              </w:rPr>
              <w:t>Level</w:t>
            </w:r>
          </w:p>
        </w:tc>
        <w:tc>
          <w:tcPr>
            <w:tcW w:w="0" w:type="auto"/>
            <w:tcBorders>
              <w:top w:val="single" w:sz="6" w:space="0" w:color="auto"/>
              <w:left w:val="single" w:sz="6" w:space="0" w:color="auto"/>
              <w:bottom w:val="single" w:sz="6" w:space="0" w:color="auto"/>
              <w:right w:val="single" w:sz="6" w:space="0" w:color="auto"/>
            </w:tcBorders>
            <w:hideMark/>
          </w:tcPr>
          <w:p w14:paraId="06E82458" w14:textId="77777777" w:rsidR="003A0EAC" w:rsidRPr="00484663" w:rsidRDefault="003A0EAC" w:rsidP="00484663">
            <w:pPr>
              <w:spacing w:before="30" w:after="30"/>
              <w:ind w:left="60" w:right="60"/>
              <w:jc w:val="left"/>
              <w:rPr>
                <w:rFonts w:ascii="Arial Narrow" w:hAnsi="Arial Narrow" w:cs="Times New Roman"/>
                <w:b/>
              </w:rPr>
            </w:pPr>
            <w:r w:rsidRPr="00484663">
              <w:rPr>
                <w:rFonts w:ascii="Arial Narrow" w:hAnsi="Arial Narrow" w:cs="Times New Roman"/>
                <w:b/>
              </w:rPr>
              <w:t>Risk of bias</w:t>
            </w:r>
          </w:p>
        </w:tc>
        <w:tc>
          <w:tcPr>
            <w:tcW w:w="734" w:type="dxa"/>
            <w:tcBorders>
              <w:top w:val="single" w:sz="6" w:space="0" w:color="auto"/>
              <w:left w:val="single" w:sz="6" w:space="0" w:color="auto"/>
              <w:bottom w:val="single" w:sz="6" w:space="0" w:color="auto"/>
              <w:right w:val="single" w:sz="6" w:space="0" w:color="auto"/>
            </w:tcBorders>
            <w:hideMark/>
          </w:tcPr>
          <w:p w14:paraId="12C6ECE2" w14:textId="77777777" w:rsidR="003A0EAC" w:rsidRPr="00484663" w:rsidRDefault="003A0EAC" w:rsidP="00484663">
            <w:pPr>
              <w:spacing w:before="30" w:after="30"/>
              <w:ind w:left="60" w:right="60"/>
              <w:jc w:val="left"/>
              <w:rPr>
                <w:rFonts w:ascii="Arial Narrow" w:hAnsi="Arial Narrow" w:cs="Times New Roman"/>
                <w:b/>
              </w:rPr>
            </w:pPr>
            <w:r w:rsidRPr="00484663">
              <w:rPr>
                <w:rFonts w:ascii="Arial Narrow" w:hAnsi="Arial Narrow" w:cs="Times New Roman"/>
                <w:b/>
              </w:rPr>
              <w:t>Sample Size</w:t>
            </w:r>
          </w:p>
        </w:tc>
        <w:tc>
          <w:tcPr>
            <w:tcW w:w="2312" w:type="dxa"/>
            <w:tcBorders>
              <w:top w:val="single" w:sz="6" w:space="0" w:color="auto"/>
              <w:left w:val="single" w:sz="6" w:space="0" w:color="auto"/>
              <w:bottom w:val="single" w:sz="6" w:space="0" w:color="auto"/>
              <w:right w:val="single" w:sz="6" w:space="0" w:color="auto"/>
            </w:tcBorders>
            <w:hideMark/>
          </w:tcPr>
          <w:p w14:paraId="747A5451" w14:textId="77777777" w:rsidR="003A0EAC" w:rsidRPr="00484663" w:rsidRDefault="003A0EAC" w:rsidP="00484663">
            <w:pPr>
              <w:spacing w:before="30" w:after="30"/>
              <w:ind w:left="60" w:right="60"/>
              <w:jc w:val="left"/>
              <w:rPr>
                <w:rFonts w:ascii="Arial Narrow" w:hAnsi="Arial Narrow" w:cs="Times New Roman"/>
                <w:b/>
              </w:rPr>
            </w:pPr>
            <w:r w:rsidRPr="00484663">
              <w:rPr>
                <w:rFonts w:ascii="Arial Narrow" w:hAnsi="Arial Narrow" w:cs="Times New Roman"/>
                <w:b/>
              </w:rPr>
              <w:t>Patient population</w:t>
            </w:r>
          </w:p>
        </w:tc>
        <w:tc>
          <w:tcPr>
            <w:tcW w:w="1701" w:type="dxa"/>
            <w:tcBorders>
              <w:top w:val="single" w:sz="6" w:space="0" w:color="auto"/>
              <w:left w:val="single" w:sz="6" w:space="0" w:color="auto"/>
              <w:bottom w:val="single" w:sz="6" w:space="0" w:color="auto"/>
              <w:right w:val="single" w:sz="6" w:space="0" w:color="auto"/>
            </w:tcBorders>
            <w:hideMark/>
          </w:tcPr>
          <w:p w14:paraId="1401ACCD" w14:textId="77777777" w:rsidR="003A0EAC" w:rsidRPr="00484663" w:rsidRDefault="003A0EAC" w:rsidP="00484663">
            <w:pPr>
              <w:spacing w:before="30" w:after="30"/>
              <w:ind w:left="60" w:right="60"/>
              <w:jc w:val="left"/>
              <w:rPr>
                <w:rFonts w:ascii="Arial Narrow" w:hAnsi="Arial Narrow" w:cs="Times New Roman"/>
                <w:b/>
              </w:rPr>
            </w:pPr>
            <w:r w:rsidRPr="00484663">
              <w:rPr>
                <w:rFonts w:ascii="Arial Narrow" w:hAnsi="Arial Narrow" w:cs="Times New Roman"/>
                <w:b/>
              </w:rPr>
              <w:t>Intervention</w:t>
            </w:r>
          </w:p>
        </w:tc>
        <w:tc>
          <w:tcPr>
            <w:tcW w:w="1225" w:type="dxa"/>
            <w:tcBorders>
              <w:top w:val="single" w:sz="6" w:space="0" w:color="auto"/>
              <w:left w:val="single" w:sz="6" w:space="0" w:color="auto"/>
              <w:bottom w:val="single" w:sz="6" w:space="0" w:color="auto"/>
              <w:right w:val="single" w:sz="6" w:space="0" w:color="auto"/>
            </w:tcBorders>
            <w:hideMark/>
          </w:tcPr>
          <w:p w14:paraId="1F4EF43D" w14:textId="77777777" w:rsidR="003A0EAC" w:rsidRPr="00484663" w:rsidRDefault="003A0EAC" w:rsidP="00484663">
            <w:pPr>
              <w:spacing w:before="30" w:after="30"/>
              <w:ind w:left="60" w:right="60"/>
              <w:jc w:val="left"/>
              <w:rPr>
                <w:rFonts w:ascii="Arial Narrow" w:hAnsi="Arial Narrow" w:cs="Times New Roman"/>
                <w:b/>
              </w:rPr>
            </w:pPr>
            <w:r w:rsidRPr="00484663">
              <w:rPr>
                <w:rFonts w:ascii="Arial Narrow" w:hAnsi="Arial Narrow" w:cs="Times New Roman"/>
                <w:b/>
              </w:rPr>
              <w:t>Comparator</w:t>
            </w:r>
          </w:p>
        </w:tc>
        <w:tc>
          <w:tcPr>
            <w:tcW w:w="953" w:type="dxa"/>
            <w:tcBorders>
              <w:top w:val="single" w:sz="6" w:space="0" w:color="auto"/>
              <w:left w:val="single" w:sz="6" w:space="0" w:color="auto"/>
              <w:bottom w:val="single" w:sz="6" w:space="0" w:color="auto"/>
              <w:right w:val="single" w:sz="6" w:space="0" w:color="auto"/>
            </w:tcBorders>
          </w:tcPr>
          <w:p w14:paraId="32FC91BE" w14:textId="77777777" w:rsidR="003A0EAC" w:rsidRPr="00484663" w:rsidRDefault="003A0EAC" w:rsidP="00484663">
            <w:pPr>
              <w:spacing w:before="30" w:after="30"/>
              <w:ind w:left="60" w:right="60"/>
              <w:jc w:val="left"/>
              <w:rPr>
                <w:rFonts w:ascii="Arial Narrow" w:hAnsi="Arial Narrow" w:cs="Times New Roman"/>
                <w:b/>
              </w:rPr>
            </w:pPr>
            <w:r w:rsidRPr="00484663">
              <w:rPr>
                <w:rFonts w:ascii="Arial Narrow" w:hAnsi="Arial Narrow" w:cs="Times New Roman"/>
                <w:b/>
              </w:rPr>
              <w:t>Outcomes</w:t>
            </w:r>
          </w:p>
        </w:tc>
      </w:tr>
      <w:tr w:rsidR="003A0EAC" w:rsidRPr="00484663" w14:paraId="3C89BB8C"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4619FC9A" w14:textId="35AA29E3" w:rsidR="0019691F"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PEVuZE5vdGU+PENpdGU+PEF1dGhvcj5Cb3V6YXI8L0F1dGhvcj48WWVhcj4yMDE3PC9ZZWFyPjxS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=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PEVuZE5vdGU+PENpdGU+PEF1dGhvcj5Cb3V6YXI8L0F1dGhvcj48WWVhcj4yMDE3PC9ZZWFyPjxS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=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(Bouzar et al. 2017)</w:t>
            </w:r>
            <w:r>
              <w:rPr>
                <w:rFonts w:ascii="Arial Narrow" w:hAnsi="Arial Narrow" w:cs="Times New Roman"/>
              </w:rPr>
              <w:fldChar w:fldCharType="end"/>
            </w:r>
          </w:p>
          <w:p w14:paraId="6DFC6999" w14:textId="77777777" w:rsidR="003A0EAC" w:rsidRPr="00484663" w:rsidRDefault="0019691F" w:rsidP="00484663">
            <w:pPr>
              <w:spacing w:before="30" w:after="30"/>
              <w:ind w:left="60" w:right="60"/>
              <w:jc w:val="left"/>
              <w:rPr>
                <w:rFonts w:ascii="Arial Narrow" w:hAnsi="Arial Narrow" w:cs="Times New Roman"/>
              </w:rPr>
            </w:pPr>
            <w:r>
              <w:rPr>
                <w:rFonts w:ascii="Arial Narrow" w:hAnsi="Arial Narrow" w:cs="Times New Roman"/>
              </w:rPr>
              <w:t>Algeria</w:t>
            </w:r>
            <w:r w:rsidR="003A0EAC" w:rsidRPr="00484663">
              <w:rPr>
                <w:rFonts w:ascii="Arial Narrow" w:hAnsi="Arial Narrow" w:cs="Times New Roman"/>
              </w:rPr>
              <w:t>.</w:t>
            </w:r>
          </w:p>
        </w:tc>
        <w:tc>
          <w:tcPr>
            <w:tcW w:w="0" w:type="auto"/>
            <w:tcBorders>
              <w:top w:val="single" w:sz="6" w:space="0" w:color="auto"/>
              <w:left w:val="single" w:sz="6" w:space="0" w:color="auto"/>
              <w:bottom w:val="single" w:sz="6" w:space="0" w:color="auto"/>
              <w:right w:val="single" w:sz="6" w:space="0" w:color="auto"/>
            </w:tcBorders>
            <w:hideMark/>
          </w:tcPr>
          <w:p w14:paraId="076C01A1"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55873875"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3F8DB878"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High</w:t>
            </w:r>
          </w:p>
        </w:tc>
        <w:tc>
          <w:tcPr>
            <w:tcW w:w="734" w:type="dxa"/>
            <w:tcBorders>
              <w:top w:val="single" w:sz="6" w:space="0" w:color="auto"/>
              <w:left w:val="single" w:sz="6" w:space="0" w:color="auto"/>
              <w:bottom w:val="single" w:sz="6" w:space="0" w:color="auto"/>
              <w:right w:val="single" w:sz="6" w:space="0" w:color="auto"/>
            </w:tcBorders>
            <w:hideMark/>
          </w:tcPr>
          <w:p w14:paraId="3AEAB6E0"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43</w:t>
            </w:r>
          </w:p>
        </w:tc>
        <w:tc>
          <w:tcPr>
            <w:tcW w:w="2312" w:type="dxa"/>
            <w:tcBorders>
              <w:top w:val="single" w:sz="6" w:space="0" w:color="auto"/>
              <w:left w:val="single" w:sz="6" w:space="0" w:color="auto"/>
              <w:bottom w:val="single" w:sz="6" w:space="0" w:color="auto"/>
              <w:right w:val="single" w:sz="6" w:space="0" w:color="auto"/>
            </w:tcBorders>
            <w:hideMark/>
          </w:tcPr>
          <w:p w14:paraId="59767CB3" w14:textId="77777777" w:rsidR="003A0EAC" w:rsidRPr="00484663" w:rsidRDefault="00786F87" w:rsidP="00786F87">
            <w:pPr>
              <w:spacing w:before="30" w:after="30"/>
              <w:ind w:left="60" w:right="60"/>
              <w:jc w:val="left"/>
              <w:rPr>
                <w:rFonts w:ascii="Arial Narrow" w:hAnsi="Arial Narrow" w:cs="Times New Roman"/>
              </w:rPr>
            </w:pPr>
            <w:r>
              <w:rPr>
                <w:rFonts w:ascii="Arial Narrow" w:hAnsi="Arial Narrow" w:cs="Times New Roman"/>
              </w:rPr>
              <w:t>Adults with m</w:t>
            </w:r>
            <w:r w:rsidR="003A0EAC" w:rsidRPr="00484663">
              <w:rPr>
                <w:rFonts w:ascii="Arial Narrow" w:hAnsi="Arial Narrow" w:cs="Times New Roman"/>
              </w:rPr>
              <w:t>onophasic</w:t>
            </w:r>
            <w:r w:rsidR="003A0EAC">
              <w:rPr>
                <w:rFonts w:ascii="Arial Narrow" w:hAnsi="Arial Narrow" w:cs="Times New Roman"/>
              </w:rPr>
              <w:t xml:space="preserve"> </w:t>
            </w:r>
            <w:r w:rsidR="003A0EAC" w:rsidRPr="00484663">
              <w:rPr>
                <w:rFonts w:ascii="Arial Narrow" w:hAnsi="Arial Narrow" w:cs="Times New Roman"/>
              </w:rPr>
              <w:t xml:space="preserve"> or recurrent inflammatory disease affecting the optic nerve and/or spinal cord</w:t>
            </w:r>
          </w:p>
        </w:tc>
        <w:tc>
          <w:tcPr>
            <w:tcW w:w="1701" w:type="dxa"/>
            <w:tcBorders>
              <w:top w:val="single" w:sz="6" w:space="0" w:color="auto"/>
              <w:left w:val="single" w:sz="6" w:space="0" w:color="auto"/>
              <w:bottom w:val="single" w:sz="6" w:space="0" w:color="auto"/>
              <w:right w:val="single" w:sz="6" w:space="0" w:color="auto"/>
            </w:tcBorders>
            <w:hideMark/>
          </w:tcPr>
          <w:p w14:paraId="319ACA40"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AQP4 and MOG antibody testing</w:t>
            </w:r>
          </w:p>
        </w:tc>
        <w:tc>
          <w:tcPr>
            <w:tcW w:w="1225" w:type="dxa"/>
            <w:tcBorders>
              <w:top w:val="single" w:sz="6" w:space="0" w:color="auto"/>
              <w:left w:val="single" w:sz="6" w:space="0" w:color="auto"/>
              <w:bottom w:val="single" w:sz="6" w:space="0" w:color="auto"/>
              <w:right w:val="single" w:sz="6" w:space="0" w:color="auto"/>
            </w:tcBorders>
            <w:hideMark/>
          </w:tcPr>
          <w:p w14:paraId="1A4DD052"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363D8FD0"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72C2F6FA"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 xml:space="preserve">Yield </w:t>
            </w:r>
          </w:p>
        </w:tc>
      </w:tr>
      <w:tr w:rsidR="003A0EAC" w:rsidRPr="00484663" w14:paraId="07620A75"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0AECC4E7" w14:textId="77777777"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PEVuZE5vdGU+PENpdGU+PEF1dGhvcj5Db250ZW50dGk8L0F1dGhvcj48WWVhcj4yMDE3PC9ZZWFy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=
</w:fldData>
              </w:fldChar>
            </w:r>
            <w:r>
              <w:rPr>
                <w:rFonts w:ascii="Arial Narrow" w:hAnsi="Arial Narrow" w:cs="Times New Roman"/>
              </w:rPr>
              <w:instrText xml:space="preserve"> ADDIN EN.CITE </w:instrText>
            </w:r>
            <w:r>
              <w:rPr>
                <w:rFonts w:ascii="Arial Narrow" w:hAnsi="Arial Narrow" w:cs="Times New Roman"/>
              </w:rPr>
              <w:fldChar w:fldCharType="begin">
                <w:fldData xml:space="preserve">PEVuZE5vdGU+PENpdGU+PEF1dGhvcj5Db250ZW50dGk8L0F1dGhvcj48WWVhcj4yMDE3PC9ZZWFy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=
</w:fldData>
              </w:fldChar>
            </w:r>
            <w:r>
              <w:rPr>
                <w:rFonts w:ascii="Arial Narrow" w:hAnsi="Arial Narrow" w:cs="Times New Roman"/>
              </w:rPr>
              <w:instrText xml:space="preserve"> ADDIN EN.CITE.DATA </w:instrText>
            </w:r>
            <w:r>
              <w:rPr>
                <w:rFonts w:ascii="Arial Narrow" w:hAnsi="Arial Narrow" w:cs="Times New Roman"/>
              </w:rPr>
            </w:r>
            <w:r>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(Contentti, CE et al. 2017)</w:t>
            </w:r>
            <w:r>
              <w:rPr>
                <w:rFonts w:ascii="Arial Narrow" w:hAnsi="Arial Narrow" w:cs="Times New Roman"/>
              </w:rPr>
              <w:fldChar w:fldCharType="end"/>
            </w:r>
          </w:p>
          <w:p w14:paraId="384A79A1"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Argentina</w:t>
            </w:r>
          </w:p>
        </w:tc>
        <w:tc>
          <w:tcPr>
            <w:tcW w:w="0" w:type="auto"/>
            <w:tcBorders>
              <w:top w:val="single" w:sz="6" w:space="0" w:color="auto"/>
              <w:left w:val="single" w:sz="6" w:space="0" w:color="auto"/>
              <w:bottom w:val="single" w:sz="6" w:space="0" w:color="auto"/>
              <w:right w:val="single" w:sz="6" w:space="0" w:color="auto"/>
            </w:tcBorders>
            <w:hideMark/>
          </w:tcPr>
          <w:p w14:paraId="1C28F9AB"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6AFEE957"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504A8EBD"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Moderate</w:t>
            </w:r>
          </w:p>
        </w:tc>
        <w:tc>
          <w:tcPr>
            <w:tcW w:w="734" w:type="dxa"/>
            <w:tcBorders>
              <w:top w:val="single" w:sz="6" w:space="0" w:color="auto"/>
              <w:left w:val="single" w:sz="6" w:space="0" w:color="auto"/>
              <w:bottom w:val="single" w:sz="6" w:space="0" w:color="auto"/>
              <w:right w:val="single" w:sz="6" w:space="0" w:color="auto"/>
            </w:tcBorders>
            <w:hideMark/>
          </w:tcPr>
          <w:p w14:paraId="5752C44C"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30</w:t>
            </w:r>
          </w:p>
        </w:tc>
        <w:tc>
          <w:tcPr>
            <w:tcW w:w="2312" w:type="dxa"/>
            <w:tcBorders>
              <w:top w:val="single" w:sz="6" w:space="0" w:color="auto"/>
              <w:left w:val="single" w:sz="6" w:space="0" w:color="auto"/>
              <w:bottom w:val="single" w:sz="6" w:space="0" w:color="auto"/>
              <w:right w:val="single" w:sz="6" w:space="0" w:color="auto"/>
            </w:tcBorders>
            <w:hideMark/>
          </w:tcPr>
          <w:p w14:paraId="1D417712"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LETM at presentation; remitted for consideration of NMOSD, MS or other immune -mediated CNS disorder</w:t>
            </w:r>
          </w:p>
        </w:tc>
        <w:tc>
          <w:tcPr>
            <w:tcW w:w="1701" w:type="dxa"/>
            <w:tcBorders>
              <w:top w:val="single" w:sz="6" w:space="0" w:color="auto"/>
              <w:left w:val="single" w:sz="6" w:space="0" w:color="auto"/>
              <w:bottom w:val="single" w:sz="6" w:space="0" w:color="auto"/>
              <w:right w:val="single" w:sz="6" w:space="0" w:color="auto"/>
            </w:tcBorders>
            <w:hideMark/>
          </w:tcPr>
          <w:p w14:paraId="7381B0BF"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AQP4-Ab testing; MRI; clinical assessment and diagnosis at follow-up</w:t>
            </w:r>
          </w:p>
        </w:tc>
        <w:tc>
          <w:tcPr>
            <w:tcW w:w="1225" w:type="dxa"/>
            <w:tcBorders>
              <w:top w:val="single" w:sz="6" w:space="0" w:color="auto"/>
              <w:left w:val="single" w:sz="6" w:space="0" w:color="auto"/>
              <w:bottom w:val="single" w:sz="6" w:space="0" w:color="auto"/>
              <w:right w:val="single" w:sz="6" w:space="0" w:color="auto"/>
            </w:tcBorders>
            <w:hideMark/>
          </w:tcPr>
          <w:p w14:paraId="51668CF7"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original diagnosis</w:t>
            </w:r>
          </w:p>
        </w:tc>
        <w:tc>
          <w:tcPr>
            <w:tcW w:w="953" w:type="dxa"/>
            <w:tcBorders>
              <w:top w:val="single" w:sz="6" w:space="0" w:color="auto"/>
              <w:left w:val="single" w:sz="6" w:space="0" w:color="auto"/>
              <w:bottom w:val="single" w:sz="6" w:space="0" w:color="auto"/>
              <w:right w:val="single" w:sz="6" w:space="0" w:color="auto"/>
            </w:tcBorders>
          </w:tcPr>
          <w:p w14:paraId="663ACA0D"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 xml:space="preserve">Accuracy </w:t>
            </w:r>
          </w:p>
          <w:p w14:paraId="78664B42"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 xml:space="preserve">Yield </w:t>
            </w:r>
          </w:p>
        </w:tc>
      </w:tr>
      <w:tr w:rsidR="003A0EAC" w:rsidRPr="00484663" w14:paraId="68CEF99D"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5737D822" w14:textId="6E94DCAE"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PEVuZE5vdGU+PENpdGU+PEF1dGhvcj5DaGVuPC9BdXRob3I+PFllYXI+MjAxODwvWWVhcj48UmVj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PEVuZE5vdGU+PENpdGU+PEF1dGhvcj5DaGVuPC9BdXRob3I+PFllYXI+MjAxODwvWWVhcj48UmVj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(Chen, Q et al. 2018)</w:t>
            </w:r>
            <w:r>
              <w:rPr>
                <w:rFonts w:ascii="Arial Narrow" w:hAnsi="Arial Narrow" w:cs="Times New Roman"/>
              </w:rPr>
              <w:fldChar w:fldCharType="end"/>
            </w:r>
          </w:p>
          <w:p w14:paraId="146B81F2"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China</w:t>
            </w:r>
          </w:p>
        </w:tc>
        <w:tc>
          <w:tcPr>
            <w:tcW w:w="0" w:type="auto"/>
            <w:tcBorders>
              <w:top w:val="single" w:sz="6" w:space="0" w:color="auto"/>
              <w:left w:val="single" w:sz="6" w:space="0" w:color="auto"/>
              <w:bottom w:val="single" w:sz="6" w:space="0" w:color="auto"/>
              <w:right w:val="single" w:sz="6" w:space="0" w:color="auto"/>
            </w:tcBorders>
            <w:hideMark/>
          </w:tcPr>
          <w:p w14:paraId="7B64E279"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685139AF"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IV</w:t>
            </w:r>
          </w:p>
        </w:tc>
        <w:tc>
          <w:tcPr>
            <w:tcW w:w="0" w:type="auto"/>
            <w:tcBorders>
              <w:top w:val="single" w:sz="6" w:space="0" w:color="auto"/>
              <w:left w:val="single" w:sz="6" w:space="0" w:color="auto"/>
              <w:bottom w:val="single" w:sz="6" w:space="0" w:color="auto"/>
              <w:right w:val="single" w:sz="6" w:space="0" w:color="auto"/>
            </w:tcBorders>
            <w:hideMark/>
          </w:tcPr>
          <w:p w14:paraId="0F1EE6FD"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Moderate</w:t>
            </w:r>
          </w:p>
        </w:tc>
        <w:tc>
          <w:tcPr>
            <w:tcW w:w="734" w:type="dxa"/>
            <w:tcBorders>
              <w:top w:val="single" w:sz="6" w:space="0" w:color="auto"/>
              <w:left w:val="single" w:sz="6" w:space="0" w:color="auto"/>
              <w:bottom w:val="single" w:sz="6" w:space="0" w:color="auto"/>
              <w:right w:val="single" w:sz="6" w:space="0" w:color="auto"/>
            </w:tcBorders>
            <w:hideMark/>
          </w:tcPr>
          <w:p w14:paraId="2F90276B"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87</w:t>
            </w:r>
          </w:p>
        </w:tc>
        <w:tc>
          <w:tcPr>
            <w:tcW w:w="2312" w:type="dxa"/>
            <w:tcBorders>
              <w:top w:val="single" w:sz="6" w:space="0" w:color="auto"/>
              <w:left w:val="single" w:sz="6" w:space="0" w:color="auto"/>
              <w:bottom w:val="single" w:sz="6" w:space="0" w:color="auto"/>
              <w:right w:val="single" w:sz="6" w:space="0" w:color="auto"/>
            </w:tcBorders>
            <w:hideMark/>
          </w:tcPr>
          <w:p w14:paraId="4844ED7E"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Patients ≤18 years-old with acute-onset optic neuritis</w:t>
            </w:r>
          </w:p>
        </w:tc>
        <w:tc>
          <w:tcPr>
            <w:tcW w:w="1701" w:type="dxa"/>
            <w:tcBorders>
              <w:top w:val="single" w:sz="6" w:space="0" w:color="auto"/>
              <w:left w:val="single" w:sz="6" w:space="0" w:color="auto"/>
              <w:bottom w:val="single" w:sz="6" w:space="0" w:color="auto"/>
              <w:right w:val="single" w:sz="6" w:space="0" w:color="auto"/>
            </w:tcBorders>
            <w:hideMark/>
          </w:tcPr>
          <w:p w14:paraId="1757C867"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AQP4-Ab and MOG-Ab testing</w:t>
            </w:r>
          </w:p>
        </w:tc>
        <w:tc>
          <w:tcPr>
            <w:tcW w:w="1225" w:type="dxa"/>
            <w:tcBorders>
              <w:top w:val="single" w:sz="6" w:space="0" w:color="auto"/>
              <w:left w:val="single" w:sz="6" w:space="0" w:color="auto"/>
              <w:bottom w:val="single" w:sz="6" w:space="0" w:color="auto"/>
              <w:right w:val="single" w:sz="6" w:space="0" w:color="auto"/>
            </w:tcBorders>
            <w:hideMark/>
          </w:tcPr>
          <w:p w14:paraId="1DAFD1CA"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7D0FF8F6"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Yield</w:t>
            </w:r>
          </w:p>
        </w:tc>
      </w:tr>
      <w:tr w:rsidR="003A0EAC" w:rsidRPr="00484663" w14:paraId="48CAD3B2"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674AECCD" w14:textId="77777777"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rPr>
                <w:rFonts w:ascii="Arial Narrow" w:hAnsi="Arial Narrow" w:cs="Times New Roman"/>
              </w:rPr>
              <w:instrText xml:space="preserve"> ADDIN EN.CITE </w:instrText>
            </w:r>
            <w:r w:rsidR="00AC01FD">
              <w:rPr>
                <w:rFonts w:ascii="Arial Narrow" w:hAnsi="Arial Narrow" w:cs="Times New Roman"/>
              </w:rPr>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rPr>
                <w:rFonts w:ascii="Arial Narrow" w:hAnsi="Arial Narrow" w:cs="Times New Roman"/>
              </w:rPr>
              <w:instrText xml:space="preserve"> ADDIN EN.CITE.DATA </w:instrText>
            </w:r>
            <w:r w:rsidR="00AC01FD">
              <w:rPr>
                <w:rFonts w:ascii="Arial Narrow" w:hAnsi="Arial Narrow" w:cs="Times New Roman"/>
              </w:rPr>
            </w:r>
            <w:r w:rsidR="00AC01FD">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(Cheng et al. 2016)</w:t>
            </w:r>
            <w:r>
              <w:rPr>
                <w:rFonts w:ascii="Arial Narrow" w:hAnsi="Arial Narrow" w:cs="Times New Roman"/>
              </w:rPr>
              <w:fldChar w:fldCharType="end"/>
            </w:r>
          </w:p>
          <w:p w14:paraId="406B5C79"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China</w:t>
            </w:r>
          </w:p>
        </w:tc>
        <w:tc>
          <w:tcPr>
            <w:tcW w:w="0" w:type="auto"/>
            <w:tcBorders>
              <w:top w:val="single" w:sz="6" w:space="0" w:color="auto"/>
              <w:left w:val="single" w:sz="6" w:space="0" w:color="auto"/>
              <w:bottom w:val="single" w:sz="6" w:space="0" w:color="auto"/>
              <w:right w:val="single" w:sz="6" w:space="0" w:color="auto"/>
            </w:tcBorders>
            <w:hideMark/>
          </w:tcPr>
          <w:p w14:paraId="71C76C4A"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0A924706"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28BB79A3" w14:textId="77777777" w:rsidR="003A0EAC" w:rsidRPr="00484663" w:rsidRDefault="002B383A" w:rsidP="00484663">
            <w:pPr>
              <w:spacing w:before="30" w:after="30"/>
              <w:ind w:left="60" w:right="60"/>
              <w:jc w:val="left"/>
              <w:rPr>
                <w:rFonts w:ascii="Arial Narrow" w:hAnsi="Arial Narrow" w:cs="Times New Roman"/>
              </w:rPr>
            </w:pPr>
            <w:r>
              <w:rPr>
                <w:rFonts w:ascii="Arial Narrow" w:hAnsi="Arial Narrow" w:cs="Times New Roman"/>
              </w:rPr>
              <w:t>High</w:t>
            </w:r>
          </w:p>
        </w:tc>
        <w:tc>
          <w:tcPr>
            <w:tcW w:w="734" w:type="dxa"/>
            <w:tcBorders>
              <w:top w:val="single" w:sz="6" w:space="0" w:color="auto"/>
              <w:left w:val="single" w:sz="6" w:space="0" w:color="auto"/>
              <w:bottom w:val="single" w:sz="6" w:space="0" w:color="auto"/>
              <w:right w:val="single" w:sz="6" w:space="0" w:color="auto"/>
            </w:tcBorders>
            <w:hideMark/>
          </w:tcPr>
          <w:p w14:paraId="3B362E7E"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31</w:t>
            </w:r>
          </w:p>
        </w:tc>
        <w:tc>
          <w:tcPr>
            <w:tcW w:w="2312" w:type="dxa"/>
            <w:tcBorders>
              <w:top w:val="single" w:sz="6" w:space="0" w:color="auto"/>
              <w:left w:val="single" w:sz="6" w:space="0" w:color="auto"/>
              <w:bottom w:val="single" w:sz="6" w:space="0" w:color="auto"/>
              <w:right w:val="single" w:sz="6" w:space="0" w:color="auto"/>
            </w:tcBorders>
            <w:hideMark/>
          </w:tcPr>
          <w:p w14:paraId="28A26E2B" w14:textId="77777777" w:rsidR="003A0EAC" w:rsidRPr="00484663" w:rsidRDefault="003A0EAC" w:rsidP="00484663">
            <w:pPr>
              <w:spacing w:before="30" w:after="30"/>
              <w:ind w:left="60" w:right="60"/>
              <w:jc w:val="left"/>
              <w:rPr>
                <w:rFonts w:ascii="Arial Narrow" w:hAnsi="Arial Narrow" w:cs="Times New Roman"/>
              </w:rPr>
            </w:pPr>
            <w:r>
              <w:rPr>
                <w:rFonts w:ascii="Arial Narrow" w:hAnsi="Arial Narrow" w:cs="Times New Roman"/>
              </w:rPr>
              <w:t>First event ABS</w:t>
            </w:r>
          </w:p>
        </w:tc>
        <w:tc>
          <w:tcPr>
            <w:tcW w:w="1701" w:type="dxa"/>
            <w:tcBorders>
              <w:top w:val="single" w:sz="6" w:space="0" w:color="auto"/>
              <w:left w:val="single" w:sz="6" w:space="0" w:color="auto"/>
              <w:bottom w:val="single" w:sz="6" w:space="0" w:color="auto"/>
              <w:right w:val="single" w:sz="6" w:space="0" w:color="auto"/>
            </w:tcBorders>
            <w:hideMark/>
          </w:tcPr>
          <w:p w14:paraId="7A692BA7"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Diagnosis by clinical criteria (2015) and AQP4 status</w:t>
            </w:r>
          </w:p>
        </w:tc>
        <w:tc>
          <w:tcPr>
            <w:tcW w:w="1225" w:type="dxa"/>
            <w:tcBorders>
              <w:top w:val="single" w:sz="6" w:space="0" w:color="auto"/>
              <w:left w:val="single" w:sz="6" w:space="0" w:color="auto"/>
              <w:bottom w:val="single" w:sz="6" w:space="0" w:color="auto"/>
              <w:right w:val="single" w:sz="6" w:space="0" w:color="auto"/>
            </w:tcBorders>
            <w:hideMark/>
          </w:tcPr>
          <w:p w14:paraId="2FBCA32D" w14:textId="77777777" w:rsidR="003A0EAC" w:rsidRPr="00484663" w:rsidRDefault="003A0EAC" w:rsidP="003A0EAC">
            <w:pPr>
              <w:spacing w:before="30" w:after="30"/>
              <w:ind w:left="60" w:right="60"/>
              <w:jc w:val="left"/>
              <w:rPr>
                <w:rFonts w:ascii="Arial Narrow" w:hAnsi="Arial Narrow" w:cs="Times New Roman"/>
              </w:rPr>
            </w:pPr>
            <w:r w:rsidRPr="00484663">
              <w:rPr>
                <w:rFonts w:ascii="Arial Narrow" w:hAnsi="Arial Narrow" w:cs="Times New Roman"/>
              </w:rPr>
              <w:t>diagnosis by clinical criteria (pre 2015 and no AQP4-Ab testing</w:t>
            </w:r>
            <w:r>
              <w:rPr>
                <w:rFonts w:ascii="Arial Narrow" w:hAnsi="Arial Narrow" w:cs="Times New Roman"/>
              </w:rPr>
              <w:t>)</w:t>
            </w:r>
          </w:p>
        </w:tc>
        <w:tc>
          <w:tcPr>
            <w:tcW w:w="953" w:type="dxa"/>
            <w:tcBorders>
              <w:top w:val="single" w:sz="6" w:space="0" w:color="auto"/>
              <w:left w:val="single" w:sz="6" w:space="0" w:color="auto"/>
              <w:bottom w:val="single" w:sz="6" w:space="0" w:color="auto"/>
              <w:right w:val="single" w:sz="6" w:space="0" w:color="auto"/>
            </w:tcBorders>
          </w:tcPr>
          <w:p w14:paraId="72CCB269"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31E567C6"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Yield</w:t>
            </w:r>
          </w:p>
        </w:tc>
      </w:tr>
      <w:tr w:rsidR="003A0EAC" w:rsidRPr="00484663" w14:paraId="4830D85D" w14:textId="77777777" w:rsidTr="00F20D67">
        <w:tc>
          <w:tcPr>
            <w:tcW w:w="0" w:type="auto"/>
            <w:tcBorders>
              <w:top w:val="single" w:sz="6" w:space="0" w:color="auto"/>
              <w:left w:val="single" w:sz="6" w:space="0" w:color="auto"/>
              <w:bottom w:val="single" w:sz="6" w:space="0" w:color="auto"/>
              <w:right w:val="single" w:sz="6" w:space="0" w:color="auto"/>
            </w:tcBorders>
          </w:tcPr>
          <w:p w14:paraId="2828396B" w14:textId="5220CAAE"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PEVuZE5vdGU+PENpdGU+PEF1dGhvcj5EcnVsb3ZpYzwvQXV0aG9yPjxZZWFyPjIwMTk8L1llYXI+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PEVuZE5vdGU+PENpdGU+PEF1dGhvcj5EcnVsb3ZpYzwvQXV0aG9yPjxZZWFyPjIwMTk8L1llYXI+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(Drulovic et al. 2019)</w:t>
            </w:r>
            <w:r>
              <w:rPr>
                <w:rFonts w:ascii="Arial Narrow" w:hAnsi="Arial Narrow" w:cs="Times New Roman"/>
              </w:rPr>
              <w:fldChar w:fldCharType="end"/>
            </w:r>
          </w:p>
          <w:p w14:paraId="2A2F8AF9" w14:textId="77777777" w:rsidR="00472A12" w:rsidRDefault="00472A12" w:rsidP="00484663">
            <w:pPr>
              <w:spacing w:before="30" w:after="30"/>
              <w:ind w:left="60" w:right="60"/>
              <w:jc w:val="left"/>
              <w:rPr>
                <w:rFonts w:ascii="Arial Narrow" w:hAnsi="Arial Narrow" w:cs="Times New Roman"/>
              </w:rPr>
            </w:pPr>
            <w:r>
              <w:rPr>
                <w:rFonts w:ascii="Arial Narrow" w:hAnsi="Arial Narrow" w:cs="Times New Roman"/>
              </w:rPr>
              <w:t>Serbia</w:t>
            </w:r>
          </w:p>
        </w:tc>
        <w:tc>
          <w:tcPr>
            <w:tcW w:w="0" w:type="auto"/>
            <w:tcBorders>
              <w:top w:val="single" w:sz="6" w:space="0" w:color="auto"/>
              <w:left w:val="single" w:sz="6" w:space="0" w:color="auto"/>
              <w:bottom w:val="single" w:sz="6" w:space="0" w:color="auto"/>
              <w:right w:val="single" w:sz="6" w:space="0" w:color="auto"/>
            </w:tcBorders>
          </w:tcPr>
          <w:p w14:paraId="7CF348C5" w14:textId="77777777" w:rsidR="003A0EAC" w:rsidRDefault="003A0EAC" w:rsidP="00484663">
            <w:pPr>
              <w:spacing w:before="30" w:after="30"/>
              <w:ind w:left="60" w:right="60"/>
              <w:jc w:val="left"/>
              <w:rPr>
                <w:rFonts w:ascii="Arial Narrow" w:hAnsi="Arial Narrow" w:cs="Times New Roman"/>
              </w:rPr>
            </w:pPr>
            <w:r>
              <w:rPr>
                <w:rFonts w:ascii="Arial Narrow" w:hAnsi="Arial Narrow" w:cs="Times New Roman"/>
              </w:rPr>
              <w:t>CS</w:t>
            </w:r>
          </w:p>
          <w:p w14:paraId="1C3BB75D" w14:textId="77777777" w:rsidR="003A0EAC" w:rsidRPr="00484663" w:rsidRDefault="003A0EAC" w:rsidP="00484663">
            <w:pPr>
              <w:spacing w:before="30" w:after="30"/>
              <w:ind w:left="60" w:right="60"/>
              <w:jc w:val="left"/>
              <w:rPr>
                <w:rFonts w:ascii="Arial Narrow" w:hAnsi="Arial Narrow" w:cs="Times New Roman"/>
              </w:rPr>
            </w:pPr>
            <w:r>
              <w:rPr>
                <w:rFonts w:ascii="Arial Narrow" w:hAnsi="Arial Narrow" w:cs="Times New Roman"/>
              </w:rPr>
              <w:t>IV</w:t>
            </w:r>
          </w:p>
        </w:tc>
        <w:tc>
          <w:tcPr>
            <w:tcW w:w="0" w:type="auto"/>
            <w:tcBorders>
              <w:top w:val="single" w:sz="6" w:space="0" w:color="auto"/>
              <w:left w:val="single" w:sz="6" w:space="0" w:color="auto"/>
              <w:bottom w:val="single" w:sz="6" w:space="0" w:color="auto"/>
              <w:right w:val="single" w:sz="6" w:space="0" w:color="auto"/>
            </w:tcBorders>
          </w:tcPr>
          <w:p w14:paraId="39F61FC3" w14:textId="77777777" w:rsidR="003A0EAC" w:rsidRPr="00484663" w:rsidRDefault="003A0EAC" w:rsidP="00484663">
            <w:pPr>
              <w:spacing w:before="30" w:after="30"/>
              <w:ind w:left="60" w:right="60"/>
              <w:jc w:val="left"/>
              <w:rPr>
                <w:rFonts w:ascii="Arial Narrow" w:hAnsi="Arial Narrow" w:cs="Times New Roman"/>
              </w:rPr>
            </w:pPr>
            <w:r>
              <w:rPr>
                <w:rFonts w:ascii="Arial Narrow" w:hAnsi="Arial Narrow" w:cs="Times New Roman"/>
              </w:rPr>
              <w:t>Moderate</w:t>
            </w:r>
          </w:p>
        </w:tc>
        <w:tc>
          <w:tcPr>
            <w:tcW w:w="734" w:type="dxa"/>
            <w:tcBorders>
              <w:top w:val="single" w:sz="6" w:space="0" w:color="auto"/>
              <w:left w:val="single" w:sz="6" w:space="0" w:color="auto"/>
              <w:bottom w:val="single" w:sz="6" w:space="0" w:color="auto"/>
              <w:right w:val="single" w:sz="6" w:space="0" w:color="auto"/>
            </w:tcBorders>
          </w:tcPr>
          <w:p w14:paraId="322D3F6D" w14:textId="77777777" w:rsidR="003A0EAC" w:rsidRPr="00484663" w:rsidRDefault="003A0EAC" w:rsidP="00484663">
            <w:pPr>
              <w:spacing w:before="30" w:after="30"/>
              <w:ind w:left="60" w:right="60"/>
              <w:jc w:val="left"/>
              <w:rPr>
                <w:rFonts w:ascii="Arial Narrow" w:hAnsi="Arial Narrow" w:cs="Times New Roman"/>
              </w:rPr>
            </w:pPr>
            <w:r>
              <w:rPr>
                <w:rFonts w:ascii="Arial Narrow" w:hAnsi="Arial Narrow" w:cs="Times New Roman"/>
              </w:rPr>
              <w:t>74</w:t>
            </w:r>
          </w:p>
        </w:tc>
        <w:tc>
          <w:tcPr>
            <w:tcW w:w="2312" w:type="dxa"/>
            <w:tcBorders>
              <w:top w:val="single" w:sz="6" w:space="0" w:color="auto"/>
              <w:left w:val="single" w:sz="6" w:space="0" w:color="auto"/>
              <w:bottom w:val="single" w:sz="6" w:space="0" w:color="auto"/>
              <w:right w:val="single" w:sz="6" w:space="0" w:color="auto"/>
            </w:tcBorders>
          </w:tcPr>
          <w:p w14:paraId="0CE70C4C" w14:textId="77777777" w:rsidR="003A0EAC" w:rsidRPr="00F462A1" w:rsidRDefault="003A0EAC" w:rsidP="003A0EAC">
            <w:pPr>
              <w:spacing w:after="0"/>
              <w:contextualSpacing/>
              <w:jc w:val="left"/>
              <w:rPr>
                <w:rFonts w:ascii="Arial Narrow" w:hAnsi="Arial Narrow"/>
                <w:snapToGrid w:val="0"/>
                <w:lang w:eastAsia="en-US"/>
              </w:rPr>
            </w:pPr>
            <w:r w:rsidRPr="00F462A1">
              <w:rPr>
                <w:rFonts w:ascii="Arial Narrow" w:hAnsi="Arial Narrow"/>
                <w:snapToGrid w:val="0"/>
                <w:lang w:eastAsia="en-US"/>
              </w:rPr>
              <w:t>Patients with NMOSD</w:t>
            </w:r>
          </w:p>
          <w:p w14:paraId="16CF6EF8" w14:textId="77777777" w:rsidR="003A0EAC" w:rsidRPr="00484663" w:rsidRDefault="003A0EAC" w:rsidP="00484663">
            <w:pPr>
              <w:spacing w:before="30" w:after="30"/>
              <w:ind w:left="60" w:right="60"/>
              <w:jc w:val="left"/>
              <w:rPr>
                <w:rFonts w:ascii="Arial Narrow" w:hAnsi="Arial Narrow" w:cs="Times New Roman"/>
              </w:rPr>
            </w:pPr>
          </w:p>
        </w:tc>
        <w:tc>
          <w:tcPr>
            <w:tcW w:w="1701" w:type="dxa"/>
            <w:tcBorders>
              <w:top w:val="single" w:sz="6" w:space="0" w:color="auto"/>
              <w:left w:val="single" w:sz="6" w:space="0" w:color="auto"/>
              <w:bottom w:val="single" w:sz="6" w:space="0" w:color="auto"/>
              <w:right w:val="single" w:sz="6" w:space="0" w:color="auto"/>
            </w:tcBorders>
          </w:tcPr>
          <w:p w14:paraId="2EE0CBC7" w14:textId="77777777" w:rsidR="003A0EAC" w:rsidRPr="00484663" w:rsidRDefault="002119C0" w:rsidP="00484663">
            <w:pPr>
              <w:spacing w:before="30" w:after="30"/>
              <w:ind w:left="60" w:right="60"/>
              <w:jc w:val="left"/>
              <w:rPr>
                <w:rFonts w:ascii="Arial Narrow" w:hAnsi="Arial Narrow" w:cs="Times New Roman"/>
              </w:rPr>
            </w:pPr>
            <w:r w:rsidRPr="00484663">
              <w:rPr>
                <w:rFonts w:ascii="Arial Narrow" w:hAnsi="Arial Narrow" w:cs="Times New Roman"/>
              </w:rPr>
              <w:t>AQP4-Ab and MOG-Ab testing</w:t>
            </w:r>
          </w:p>
        </w:tc>
        <w:tc>
          <w:tcPr>
            <w:tcW w:w="1225" w:type="dxa"/>
            <w:tcBorders>
              <w:top w:val="single" w:sz="6" w:space="0" w:color="auto"/>
              <w:left w:val="single" w:sz="6" w:space="0" w:color="auto"/>
              <w:bottom w:val="single" w:sz="6" w:space="0" w:color="auto"/>
              <w:right w:val="single" w:sz="6" w:space="0" w:color="auto"/>
            </w:tcBorders>
          </w:tcPr>
          <w:p w14:paraId="00F6672A" w14:textId="77777777" w:rsidR="003A0EAC" w:rsidRPr="00484663" w:rsidRDefault="002119C0" w:rsidP="00484663">
            <w:pPr>
              <w:spacing w:before="30" w:after="30"/>
              <w:ind w:left="60" w:right="60"/>
              <w:jc w:val="left"/>
              <w:rPr>
                <w:rFonts w:ascii="Arial Narrow" w:hAnsi="Arial Narrow" w:cs="Times New Roman"/>
              </w:rPr>
            </w:pPr>
            <w:r>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07E06FE2" w14:textId="77777777" w:rsidR="003A0EAC" w:rsidRPr="00484663" w:rsidRDefault="003A0EAC" w:rsidP="00484663">
            <w:pPr>
              <w:spacing w:before="30" w:after="30"/>
              <w:ind w:left="60" w:right="60"/>
              <w:jc w:val="left"/>
              <w:rPr>
                <w:rFonts w:ascii="Arial Narrow" w:hAnsi="Arial Narrow" w:cs="Times New Roman"/>
              </w:rPr>
            </w:pPr>
            <w:r>
              <w:rPr>
                <w:rFonts w:ascii="Arial Narrow" w:hAnsi="Arial Narrow" w:cs="Times New Roman"/>
              </w:rPr>
              <w:t>Yield</w:t>
            </w:r>
          </w:p>
        </w:tc>
      </w:tr>
      <w:tr w:rsidR="003A0EAC" w:rsidRPr="00484663" w14:paraId="48ECD46C"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14E95406" w14:textId="02F96018"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PEVuZE5vdGU+PENpdGU+PEF1dGhvcj5EdWlnbmFuPC9BdXRob3I+PFllYXI+MjAxODwvWWVhcj48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PEVuZE5vdGU+PENpdGU+PEF1dGhvcj5EdWlnbmFuPC9BdXRob3I+PFllYXI+MjAxODwvWWVhcj48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(Duignan et al. 2018)</w:t>
            </w:r>
            <w:r>
              <w:rPr>
                <w:rFonts w:ascii="Arial Narrow" w:hAnsi="Arial Narrow" w:cs="Times New Roman"/>
              </w:rPr>
              <w:fldChar w:fldCharType="end"/>
            </w:r>
          </w:p>
          <w:p w14:paraId="56491915"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UK</w:t>
            </w:r>
          </w:p>
        </w:tc>
        <w:tc>
          <w:tcPr>
            <w:tcW w:w="0" w:type="auto"/>
            <w:tcBorders>
              <w:top w:val="single" w:sz="6" w:space="0" w:color="auto"/>
              <w:left w:val="single" w:sz="6" w:space="0" w:color="auto"/>
              <w:bottom w:val="single" w:sz="6" w:space="0" w:color="auto"/>
              <w:right w:val="single" w:sz="6" w:space="0" w:color="auto"/>
            </w:tcBorders>
            <w:hideMark/>
          </w:tcPr>
          <w:p w14:paraId="4D542F97"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31B2A273"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2D0EF384"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Moderate</w:t>
            </w:r>
          </w:p>
        </w:tc>
        <w:tc>
          <w:tcPr>
            <w:tcW w:w="734" w:type="dxa"/>
            <w:tcBorders>
              <w:top w:val="single" w:sz="6" w:space="0" w:color="auto"/>
              <w:left w:val="single" w:sz="6" w:space="0" w:color="auto"/>
              <w:bottom w:val="single" w:sz="6" w:space="0" w:color="auto"/>
              <w:right w:val="single" w:sz="6" w:space="0" w:color="auto"/>
            </w:tcBorders>
            <w:hideMark/>
          </w:tcPr>
          <w:p w14:paraId="31A0CB59"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371</w:t>
            </w:r>
          </w:p>
        </w:tc>
        <w:tc>
          <w:tcPr>
            <w:tcW w:w="2312" w:type="dxa"/>
            <w:tcBorders>
              <w:top w:val="single" w:sz="6" w:space="0" w:color="auto"/>
              <w:left w:val="single" w:sz="6" w:space="0" w:color="auto"/>
              <w:bottom w:val="single" w:sz="6" w:space="0" w:color="auto"/>
              <w:right w:val="single" w:sz="6" w:space="0" w:color="auto"/>
            </w:tcBorders>
            <w:hideMark/>
          </w:tcPr>
          <w:p w14:paraId="00A5D83F"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Suspected of ADS; AQP4-Ab and MOG-Ab testing requested</w:t>
            </w:r>
          </w:p>
        </w:tc>
        <w:tc>
          <w:tcPr>
            <w:tcW w:w="1701" w:type="dxa"/>
            <w:tcBorders>
              <w:top w:val="single" w:sz="6" w:space="0" w:color="auto"/>
              <w:left w:val="single" w:sz="6" w:space="0" w:color="auto"/>
              <w:bottom w:val="single" w:sz="6" w:space="0" w:color="auto"/>
              <w:right w:val="single" w:sz="6" w:space="0" w:color="auto"/>
            </w:tcBorders>
            <w:hideMark/>
          </w:tcPr>
          <w:p w14:paraId="7565A43A"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Diagnostic assessment following AQP4-Ab and MOG-testing (live sell assays)</w:t>
            </w:r>
          </w:p>
        </w:tc>
        <w:tc>
          <w:tcPr>
            <w:tcW w:w="1225" w:type="dxa"/>
            <w:tcBorders>
              <w:top w:val="single" w:sz="6" w:space="0" w:color="auto"/>
              <w:left w:val="single" w:sz="6" w:space="0" w:color="auto"/>
              <w:bottom w:val="single" w:sz="6" w:space="0" w:color="auto"/>
              <w:right w:val="single" w:sz="6" w:space="0" w:color="auto"/>
            </w:tcBorders>
            <w:hideMark/>
          </w:tcPr>
          <w:p w14:paraId="575A3FE1"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3C517507"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1C0362AA"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Yield</w:t>
            </w:r>
          </w:p>
        </w:tc>
      </w:tr>
      <w:tr w:rsidR="003A0EAC" w:rsidRPr="00484663" w14:paraId="017FFB71"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409E03B5" w14:textId="255D2784"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PEVuZE5vdGU+PENpdGU+PEF1dGhvcj5IYWNvaGVuPC9BdXRob3I+PFllYXI+MjAxNzwvWWVhcj48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PEVuZE5vdGU+PENpdGU+PEF1dGhvcj5IYWNvaGVuPC9BdXRob3I+PFllYXI+MjAxNzwvWWVhcj48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(Hacohen et al. 2017)</w:t>
            </w:r>
            <w:r>
              <w:rPr>
                <w:rFonts w:ascii="Arial Narrow" w:hAnsi="Arial Narrow" w:cs="Times New Roman"/>
              </w:rPr>
              <w:fldChar w:fldCharType="end"/>
            </w:r>
          </w:p>
          <w:p w14:paraId="090113BE"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UK</w:t>
            </w:r>
          </w:p>
        </w:tc>
        <w:tc>
          <w:tcPr>
            <w:tcW w:w="0" w:type="auto"/>
            <w:tcBorders>
              <w:top w:val="single" w:sz="6" w:space="0" w:color="auto"/>
              <w:left w:val="single" w:sz="6" w:space="0" w:color="auto"/>
              <w:bottom w:val="single" w:sz="6" w:space="0" w:color="auto"/>
              <w:right w:val="single" w:sz="6" w:space="0" w:color="auto"/>
            </w:tcBorders>
            <w:hideMark/>
          </w:tcPr>
          <w:p w14:paraId="095F2376"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21E02BA1"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2FF67716"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Moderate</w:t>
            </w:r>
          </w:p>
        </w:tc>
        <w:tc>
          <w:tcPr>
            <w:tcW w:w="734" w:type="dxa"/>
            <w:tcBorders>
              <w:top w:val="single" w:sz="6" w:space="0" w:color="auto"/>
              <w:left w:val="single" w:sz="6" w:space="0" w:color="auto"/>
              <w:bottom w:val="single" w:sz="6" w:space="0" w:color="auto"/>
              <w:right w:val="single" w:sz="6" w:space="0" w:color="auto"/>
            </w:tcBorders>
            <w:hideMark/>
          </w:tcPr>
          <w:p w14:paraId="1D43584B"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110</w:t>
            </w:r>
          </w:p>
        </w:tc>
        <w:tc>
          <w:tcPr>
            <w:tcW w:w="2312" w:type="dxa"/>
            <w:tcBorders>
              <w:top w:val="single" w:sz="6" w:space="0" w:color="auto"/>
              <w:left w:val="single" w:sz="6" w:space="0" w:color="auto"/>
              <w:bottom w:val="single" w:sz="6" w:space="0" w:color="auto"/>
              <w:right w:val="single" w:sz="6" w:space="0" w:color="auto"/>
            </w:tcBorders>
            <w:hideMark/>
          </w:tcPr>
          <w:p w14:paraId="3B9EEBCB" w14:textId="77777777" w:rsidR="003A0EAC" w:rsidRPr="00484663" w:rsidRDefault="003A0EAC" w:rsidP="00F20D67">
            <w:pPr>
              <w:spacing w:before="30" w:after="30"/>
              <w:ind w:left="60" w:right="60"/>
              <w:jc w:val="left"/>
              <w:rPr>
                <w:rFonts w:ascii="Arial Narrow" w:hAnsi="Arial Narrow" w:cs="Times New Roman"/>
              </w:rPr>
            </w:pPr>
            <w:r w:rsidRPr="00484663">
              <w:rPr>
                <w:rFonts w:ascii="Arial Narrow" w:hAnsi="Arial Narrow" w:cs="Times New Roman"/>
              </w:rPr>
              <w:t xml:space="preserve">Children attending CNS Inflammatory Demyelination Work Group Centers diagnosed with RDS </w:t>
            </w:r>
          </w:p>
        </w:tc>
        <w:tc>
          <w:tcPr>
            <w:tcW w:w="1701" w:type="dxa"/>
            <w:tcBorders>
              <w:top w:val="single" w:sz="6" w:space="0" w:color="auto"/>
              <w:left w:val="single" w:sz="6" w:space="0" w:color="auto"/>
              <w:bottom w:val="single" w:sz="6" w:space="0" w:color="auto"/>
              <w:right w:val="single" w:sz="6" w:space="0" w:color="auto"/>
            </w:tcBorders>
            <w:hideMark/>
          </w:tcPr>
          <w:p w14:paraId="5AC8AD93"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 xml:space="preserve">AQP4-Ab and MOG-Ab testing; </w:t>
            </w:r>
            <w:r w:rsidR="002119C0" w:rsidRPr="00484663">
              <w:rPr>
                <w:rFonts w:ascii="Arial Narrow" w:hAnsi="Arial Narrow" w:cs="Times New Roman"/>
              </w:rPr>
              <w:t>clinical</w:t>
            </w:r>
            <w:r w:rsidRPr="00484663">
              <w:rPr>
                <w:rFonts w:ascii="Arial Narrow" w:hAnsi="Arial Narrow" w:cs="Times New Roman"/>
              </w:rPr>
              <w:t xml:space="preserve"> assessment</w:t>
            </w:r>
          </w:p>
        </w:tc>
        <w:tc>
          <w:tcPr>
            <w:tcW w:w="1225" w:type="dxa"/>
            <w:tcBorders>
              <w:top w:val="single" w:sz="6" w:space="0" w:color="auto"/>
              <w:left w:val="single" w:sz="6" w:space="0" w:color="auto"/>
              <w:bottom w:val="single" w:sz="6" w:space="0" w:color="auto"/>
              <w:right w:val="single" w:sz="6" w:space="0" w:color="auto"/>
            </w:tcBorders>
            <w:hideMark/>
          </w:tcPr>
          <w:p w14:paraId="5FB7D0A5"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29CC2787"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18153ADD"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Yield</w:t>
            </w:r>
          </w:p>
        </w:tc>
      </w:tr>
      <w:tr w:rsidR="003A0EAC" w:rsidRPr="00484663" w14:paraId="3CCAE67C"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25DDD8A6" w14:textId="5760121D"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PEVuZE5vdGU+PENpdGU+PEF1dGhvcj5IYW1pZDwvQXV0aG9yPjxZZWFyPjIwMTc8L1llYXI+PFJl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PEVuZE5vdGU+PENpdGU+PEF1dGhvcj5IYW1pZDwvQXV0aG9yPjxZZWFyPjIwMTc8L1llYXI+PFJl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(Hamid et al. 2017)</w:t>
            </w:r>
            <w:r>
              <w:rPr>
                <w:rFonts w:ascii="Arial Narrow" w:hAnsi="Arial Narrow" w:cs="Times New Roman"/>
              </w:rPr>
              <w:fldChar w:fldCharType="end"/>
            </w:r>
          </w:p>
          <w:p w14:paraId="4ACD0D6E"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UK</w:t>
            </w:r>
          </w:p>
        </w:tc>
        <w:tc>
          <w:tcPr>
            <w:tcW w:w="0" w:type="auto"/>
            <w:tcBorders>
              <w:top w:val="single" w:sz="6" w:space="0" w:color="auto"/>
              <w:left w:val="single" w:sz="6" w:space="0" w:color="auto"/>
              <w:bottom w:val="single" w:sz="6" w:space="0" w:color="auto"/>
              <w:right w:val="single" w:sz="6" w:space="0" w:color="auto"/>
            </w:tcBorders>
            <w:hideMark/>
          </w:tcPr>
          <w:p w14:paraId="378911FC"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2083CA9D"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7B00A93F"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High</w:t>
            </w:r>
          </w:p>
        </w:tc>
        <w:tc>
          <w:tcPr>
            <w:tcW w:w="734" w:type="dxa"/>
            <w:tcBorders>
              <w:top w:val="single" w:sz="6" w:space="0" w:color="auto"/>
              <w:left w:val="single" w:sz="6" w:space="0" w:color="auto"/>
              <w:bottom w:val="single" w:sz="6" w:space="0" w:color="auto"/>
              <w:right w:val="single" w:sz="6" w:space="0" w:color="auto"/>
            </w:tcBorders>
            <w:hideMark/>
          </w:tcPr>
          <w:p w14:paraId="6369C946"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261</w:t>
            </w:r>
          </w:p>
        </w:tc>
        <w:tc>
          <w:tcPr>
            <w:tcW w:w="2312" w:type="dxa"/>
            <w:tcBorders>
              <w:top w:val="single" w:sz="6" w:space="0" w:color="auto"/>
              <w:left w:val="single" w:sz="6" w:space="0" w:color="auto"/>
              <w:bottom w:val="single" w:sz="6" w:space="0" w:color="auto"/>
              <w:right w:val="single" w:sz="6" w:space="0" w:color="auto"/>
            </w:tcBorders>
            <w:hideMark/>
          </w:tcPr>
          <w:p w14:paraId="6C5B7824"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Patients seen in the clinic over the last 4 years (after the availability of MOG-IgG testing)</w:t>
            </w:r>
          </w:p>
        </w:tc>
        <w:tc>
          <w:tcPr>
            <w:tcW w:w="1701" w:type="dxa"/>
            <w:tcBorders>
              <w:top w:val="single" w:sz="6" w:space="0" w:color="auto"/>
              <w:left w:val="single" w:sz="6" w:space="0" w:color="auto"/>
              <w:bottom w:val="single" w:sz="6" w:space="0" w:color="auto"/>
              <w:right w:val="single" w:sz="6" w:space="0" w:color="auto"/>
            </w:tcBorders>
            <w:hideMark/>
          </w:tcPr>
          <w:p w14:paraId="0C1CE4A2"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AQP4-Ab and MOG-Ab testing</w:t>
            </w:r>
          </w:p>
        </w:tc>
        <w:tc>
          <w:tcPr>
            <w:tcW w:w="1225" w:type="dxa"/>
            <w:tcBorders>
              <w:top w:val="single" w:sz="6" w:space="0" w:color="auto"/>
              <w:left w:val="single" w:sz="6" w:space="0" w:color="auto"/>
              <w:bottom w:val="single" w:sz="6" w:space="0" w:color="auto"/>
              <w:right w:val="single" w:sz="6" w:space="0" w:color="auto"/>
            </w:tcBorders>
            <w:hideMark/>
          </w:tcPr>
          <w:p w14:paraId="4B7BCF87"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67D53C1E"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7A702F13"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Yield</w:t>
            </w:r>
          </w:p>
        </w:tc>
      </w:tr>
      <w:tr w:rsidR="003A0EAC" w:rsidRPr="00484663" w14:paraId="14F7B7E3"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4EF9032E" w14:textId="47CA31C1"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PEVuZE5vdGU+PENpdGU+PEF1dGhvcj5IeXVuPC9BdXRob3I+PFllYXI+MjAxNzwvWWVhcj48UmVj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PEVuZE5vdGU+PENpdGU+PEF1dGhvcj5IeXVuPC9BdXRob3I+PFllYXI+MjAxNzwvWWVhcj48UmVj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(Hyun et al. 2017)</w:t>
            </w:r>
            <w:r>
              <w:rPr>
                <w:rFonts w:ascii="Arial Narrow" w:hAnsi="Arial Narrow" w:cs="Times New Roman"/>
              </w:rPr>
              <w:fldChar w:fldCharType="end"/>
            </w:r>
          </w:p>
          <w:p w14:paraId="41FBD746"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South Korea</w:t>
            </w:r>
          </w:p>
        </w:tc>
        <w:tc>
          <w:tcPr>
            <w:tcW w:w="0" w:type="auto"/>
            <w:tcBorders>
              <w:top w:val="single" w:sz="6" w:space="0" w:color="auto"/>
              <w:left w:val="single" w:sz="6" w:space="0" w:color="auto"/>
              <w:bottom w:val="single" w:sz="6" w:space="0" w:color="auto"/>
              <w:right w:val="single" w:sz="6" w:space="0" w:color="auto"/>
            </w:tcBorders>
            <w:hideMark/>
          </w:tcPr>
          <w:p w14:paraId="757E70EB"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0EBED512"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4A00C404"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High</w:t>
            </w:r>
          </w:p>
        </w:tc>
        <w:tc>
          <w:tcPr>
            <w:tcW w:w="734" w:type="dxa"/>
            <w:tcBorders>
              <w:top w:val="single" w:sz="6" w:space="0" w:color="auto"/>
              <w:left w:val="single" w:sz="6" w:space="0" w:color="auto"/>
              <w:bottom w:val="single" w:sz="6" w:space="0" w:color="auto"/>
              <w:right w:val="single" w:sz="6" w:space="0" w:color="auto"/>
            </w:tcBorders>
            <w:hideMark/>
          </w:tcPr>
          <w:p w14:paraId="1A6CBB4D"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505</w:t>
            </w:r>
          </w:p>
        </w:tc>
        <w:tc>
          <w:tcPr>
            <w:tcW w:w="2312" w:type="dxa"/>
            <w:tcBorders>
              <w:top w:val="single" w:sz="6" w:space="0" w:color="auto"/>
              <w:left w:val="single" w:sz="6" w:space="0" w:color="auto"/>
              <w:bottom w:val="single" w:sz="6" w:space="0" w:color="auto"/>
              <w:right w:val="single" w:sz="6" w:space="0" w:color="auto"/>
            </w:tcBorders>
            <w:hideMark/>
          </w:tcPr>
          <w:p w14:paraId="585A3763"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Suspected IDD CNS diseases who had available serum samples</w:t>
            </w:r>
          </w:p>
        </w:tc>
        <w:tc>
          <w:tcPr>
            <w:tcW w:w="1701" w:type="dxa"/>
            <w:tcBorders>
              <w:top w:val="single" w:sz="6" w:space="0" w:color="auto"/>
              <w:left w:val="single" w:sz="6" w:space="0" w:color="auto"/>
              <w:bottom w:val="single" w:sz="6" w:space="0" w:color="auto"/>
              <w:right w:val="single" w:sz="6" w:space="0" w:color="auto"/>
            </w:tcBorders>
            <w:hideMark/>
          </w:tcPr>
          <w:p w14:paraId="180BB692"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AQP4-Ab and MOG-Ab testing</w:t>
            </w:r>
          </w:p>
        </w:tc>
        <w:tc>
          <w:tcPr>
            <w:tcW w:w="1225" w:type="dxa"/>
            <w:tcBorders>
              <w:top w:val="single" w:sz="6" w:space="0" w:color="auto"/>
              <w:left w:val="single" w:sz="6" w:space="0" w:color="auto"/>
              <w:bottom w:val="single" w:sz="6" w:space="0" w:color="auto"/>
              <w:right w:val="single" w:sz="6" w:space="0" w:color="auto"/>
            </w:tcBorders>
            <w:hideMark/>
          </w:tcPr>
          <w:p w14:paraId="1467BE35"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6AF8AF73"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616FB175"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Yield</w:t>
            </w:r>
          </w:p>
        </w:tc>
      </w:tr>
      <w:tr w:rsidR="0012220D" w:rsidRPr="00484663" w14:paraId="15739B2E" w14:textId="77777777" w:rsidTr="00F20D67">
        <w:tc>
          <w:tcPr>
            <w:tcW w:w="0" w:type="auto"/>
            <w:tcBorders>
              <w:top w:val="single" w:sz="6" w:space="0" w:color="auto"/>
              <w:left w:val="single" w:sz="6" w:space="0" w:color="auto"/>
              <w:bottom w:val="single" w:sz="6" w:space="0" w:color="auto"/>
              <w:right w:val="single" w:sz="6" w:space="0" w:color="auto"/>
            </w:tcBorders>
          </w:tcPr>
          <w:p w14:paraId="7E5645E5" w14:textId="43A6C611" w:rsidR="0012220D"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PEVuZE5vdGU+PENpdGU+PEF1dGhvcj5Ib3V6ZW48L0F1dGhvcj48WWVhcj4yMDE3PC9ZZWFyPjxS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PEVuZE5vdGU+PENpdGU+PEF1dGhvcj5Ib3V6ZW48L0F1dGhvcj48WWVhcj4yMDE3PC9ZZWFyPjxS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(Houzen et al. 2017)</w:t>
            </w:r>
            <w:r>
              <w:rPr>
                <w:rFonts w:ascii="Arial Narrow" w:hAnsi="Arial Narrow" w:cs="Times New Roman"/>
              </w:rPr>
              <w:fldChar w:fldCharType="end"/>
            </w:r>
          </w:p>
          <w:p w14:paraId="4EC45881" w14:textId="77777777" w:rsidR="00C20EFA" w:rsidRDefault="00C20EFA" w:rsidP="00484663">
            <w:pPr>
              <w:spacing w:before="30" w:after="30"/>
              <w:ind w:left="60" w:right="60"/>
              <w:jc w:val="left"/>
              <w:rPr>
                <w:rFonts w:ascii="Arial Narrow" w:hAnsi="Arial Narrow" w:cs="Times New Roman"/>
              </w:rPr>
            </w:pPr>
            <w:r>
              <w:rPr>
                <w:rFonts w:ascii="Arial Narrow" w:hAnsi="Arial Narrow" w:cs="Times New Roman"/>
              </w:rPr>
              <w:t>Japan</w:t>
            </w:r>
          </w:p>
        </w:tc>
        <w:tc>
          <w:tcPr>
            <w:tcW w:w="0" w:type="auto"/>
            <w:tcBorders>
              <w:top w:val="single" w:sz="6" w:space="0" w:color="auto"/>
              <w:left w:val="single" w:sz="6" w:space="0" w:color="auto"/>
              <w:bottom w:val="single" w:sz="6" w:space="0" w:color="auto"/>
              <w:right w:val="single" w:sz="6" w:space="0" w:color="auto"/>
            </w:tcBorders>
          </w:tcPr>
          <w:p w14:paraId="5D841F82" w14:textId="77777777" w:rsidR="0012220D" w:rsidRDefault="00C20EFA" w:rsidP="00484663">
            <w:pPr>
              <w:spacing w:before="30" w:after="30"/>
              <w:ind w:left="60" w:right="60"/>
              <w:jc w:val="left"/>
              <w:rPr>
                <w:rFonts w:ascii="Arial Narrow" w:hAnsi="Arial Narrow" w:cs="Times New Roman"/>
              </w:rPr>
            </w:pPr>
            <w:r>
              <w:rPr>
                <w:rFonts w:ascii="Arial Narrow" w:hAnsi="Arial Narrow" w:cs="Times New Roman"/>
              </w:rPr>
              <w:t>CS</w:t>
            </w:r>
          </w:p>
          <w:p w14:paraId="30B9A57B" w14:textId="77777777" w:rsidR="00C20EFA" w:rsidRPr="00484663" w:rsidRDefault="00C20EFA" w:rsidP="00484663">
            <w:pPr>
              <w:spacing w:before="30" w:after="30"/>
              <w:ind w:left="60" w:right="60"/>
              <w:jc w:val="left"/>
              <w:rPr>
                <w:rFonts w:ascii="Arial Narrow" w:hAnsi="Arial Narrow" w:cs="Times New Roman"/>
              </w:rPr>
            </w:pPr>
            <w:r>
              <w:rPr>
                <w:rFonts w:ascii="Arial Narrow" w:hAnsi="Arial Narrow" w:cs="Times New Roman"/>
              </w:rPr>
              <w:t>IV</w:t>
            </w:r>
          </w:p>
        </w:tc>
        <w:tc>
          <w:tcPr>
            <w:tcW w:w="0" w:type="auto"/>
            <w:tcBorders>
              <w:top w:val="single" w:sz="6" w:space="0" w:color="auto"/>
              <w:left w:val="single" w:sz="6" w:space="0" w:color="auto"/>
              <w:bottom w:val="single" w:sz="6" w:space="0" w:color="auto"/>
              <w:right w:val="single" w:sz="6" w:space="0" w:color="auto"/>
            </w:tcBorders>
          </w:tcPr>
          <w:p w14:paraId="5D0E1EB2" w14:textId="77777777" w:rsidR="0012220D" w:rsidRPr="00484663" w:rsidRDefault="00C20EFA" w:rsidP="00484663">
            <w:pPr>
              <w:spacing w:before="30" w:after="30"/>
              <w:ind w:left="60" w:right="60"/>
              <w:jc w:val="left"/>
              <w:rPr>
                <w:rFonts w:ascii="Arial Narrow" w:hAnsi="Arial Narrow" w:cs="Times New Roman"/>
              </w:rPr>
            </w:pPr>
            <w:r>
              <w:rPr>
                <w:rFonts w:ascii="Arial Narrow" w:hAnsi="Arial Narrow" w:cs="Times New Roman"/>
              </w:rPr>
              <w:t>Moderate</w:t>
            </w:r>
          </w:p>
        </w:tc>
        <w:tc>
          <w:tcPr>
            <w:tcW w:w="734" w:type="dxa"/>
            <w:tcBorders>
              <w:top w:val="single" w:sz="6" w:space="0" w:color="auto"/>
              <w:left w:val="single" w:sz="6" w:space="0" w:color="auto"/>
              <w:bottom w:val="single" w:sz="6" w:space="0" w:color="auto"/>
              <w:right w:val="single" w:sz="6" w:space="0" w:color="auto"/>
            </w:tcBorders>
          </w:tcPr>
          <w:p w14:paraId="01BC89A8" w14:textId="77777777" w:rsidR="0012220D" w:rsidRPr="00484663" w:rsidRDefault="00C20EFA" w:rsidP="00484663">
            <w:pPr>
              <w:spacing w:before="30" w:after="30"/>
              <w:ind w:left="60" w:right="60"/>
              <w:jc w:val="left"/>
              <w:rPr>
                <w:rFonts w:ascii="Arial Narrow" w:hAnsi="Arial Narrow" w:cs="Times New Roman"/>
              </w:rPr>
            </w:pPr>
            <w:r>
              <w:rPr>
                <w:rFonts w:ascii="Arial Narrow" w:hAnsi="Arial Narrow" w:cs="Times New Roman"/>
              </w:rPr>
              <w:t>14</w:t>
            </w:r>
          </w:p>
        </w:tc>
        <w:tc>
          <w:tcPr>
            <w:tcW w:w="2312" w:type="dxa"/>
            <w:tcBorders>
              <w:top w:val="single" w:sz="6" w:space="0" w:color="auto"/>
              <w:left w:val="single" w:sz="6" w:space="0" w:color="auto"/>
              <w:bottom w:val="single" w:sz="6" w:space="0" w:color="auto"/>
              <w:right w:val="single" w:sz="6" w:space="0" w:color="auto"/>
            </w:tcBorders>
          </w:tcPr>
          <w:p w14:paraId="38F9903A" w14:textId="77777777" w:rsidR="00C20EFA" w:rsidRPr="00F462A1" w:rsidRDefault="00C20EFA" w:rsidP="00C20EFA">
            <w:pPr>
              <w:spacing w:after="0"/>
              <w:contextualSpacing/>
              <w:jc w:val="left"/>
              <w:rPr>
                <w:rFonts w:ascii="Arial Narrow" w:hAnsi="Arial Narrow"/>
                <w:snapToGrid w:val="0"/>
                <w:lang w:eastAsia="en-US"/>
              </w:rPr>
            </w:pPr>
            <w:r w:rsidRPr="00F462A1">
              <w:rPr>
                <w:rFonts w:ascii="Arial Narrow" w:hAnsi="Arial Narrow"/>
                <w:snapToGrid w:val="0"/>
                <w:lang w:eastAsia="en-US"/>
              </w:rPr>
              <w:t>Patients with NMOSD</w:t>
            </w:r>
          </w:p>
          <w:p w14:paraId="591EE2A1" w14:textId="77777777" w:rsidR="0012220D" w:rsidRPr="00484663" w:rsidRDefault="00C20EFA" w:rsidP="00C20EFA">
            <w:pPr>
              <w:spacing w:before="30" w:after="30"/>
              <w:ind w:right="60"/>
              <w:jc w:val="left"/>
              <w:rPr>
                <w:rFonts w:ascii="Arial Narrow" w:hAnsi="Arial Narrow" w:cs="Times New Roman"/>
              </w:rPr>
            </w:pPr>
            <w:r w:rsidRPr="00F462A1">
              <w:rPr>
                <w:rFonts w:ascii="Arial Narrow" w:hAnsi="Arial Narrow"/>
                <w:snapToGrid w:val="0"/>
                <w:lang w:eastAsia="en-US"/>
              </w:rPr>
              <w:t>Mean age at onset 45.2 (13-75)</w:t>
            </w:r>
          </w:p>
        </w:tc>
        <w:tc>
          <w:tcPr>
            <w:tcW w:w="1701" w:type="dxa"/>
            <w:tcBorders>
              <w:top w:val="single" w:sz="6" w:space="0" w:color="auto"/>
              <w:left w:val="single" w:sz="6" w:space="0" w:color="auto"/>
              <w:bottom w:val="single" w:sz="6" w:space="0" w:color="auto"/>
              <w:right w:val="single" w:sz="6" w:space="0" w:color="auto"/>
            </w:tcBorders>
          </w:tcPr>
          <w:p w14:paraId="10E91801" w14:textId="77777777" w:rsidR="0012220D" w:rsidRPr="00484663" w:rsidRDefault="00C20EFA" w:rsidP="00484663">
            <w:pPr>
              <w:spacing w:before="30" w:after="30"/>
              <w:ind w:left="60" w:right="60"/>
              <w:jc w:val="left"/>
              <w:rPr>
                <w:rFonts w:ascii="Arial Narrow" w:hAnsi="Arial Narrow" w:cs="Times New Roman"/>
              </w:rPr>
            </w:pPr>
            <w:r w:rsidRPr="00484663">
              <w:rPr>
                <w:rFonts w:ascii="Arial Narrow" w:hAnsi="Arial Narrow" w:cs="Times New Roman"/>
              </w:rPr>
              <w:t>AQP4-Ab and MOG-Ab testing</w:t>
            </w:r>
          </w:p>
        </w:tc>
        <w:tc>
          <w:tcPr>
            <w:tcW w:w="1225" w:type="dxa"/>
            <w:tcBorders>
              <w:top w:val="single" w:sz="6" w:space="0" w:color="auto"/>
              <w:left w:val="single" w:sz="6" w:space="0" w:color="auto"/>
              <w:bottom w:val="single" w:sz="6" w:space="0" w:color="auto"/>
              <w:right w:val="single" w:sz="6" w:space="0" w:color="auto"/>
            </w:tcBorders>
          </w:tcPr>
          <w:p w14:paraId="594A85D9" w14:textId="77777777" w:rsidR="0012220D" w:rsidRPr="00484663" w:rsidRDefault="00C20EFA" w:rsidP="00484663">
            <w:pPr>
              <w:spacing w:before="30" w:after="30"/>
              <w:ind w:left="60" w:right="60"/>
              <w:jc w:val="left"/>
              <w:rPr>
                <w:rFonts w:ascii="Arial Narrow" w:hAnsi="Arial Narrow" w:cs="Times New Roman"/>
              </w:rPr>
            </w:pPr>
            <w:r>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1AFDCB79" w14:textId="77777777" w:rsidR="0012220D" w:rsidRPr="00484663" w:rsidRDefault="00C20EFA" w:rsidP="00484663">
            <w:pPr>
              <w:spacing w:before="30" w:after="30"/>
              <w:ind w:left="60" w:right="60"/>
              <w:jc w:val="left"/>
              <w:rPr>
                <w:rFonts w:ascii="Arial Narrow" w:hAnsi="Arial Narrow" w:cs="Times New Roman"/>
              </w:rPr>
            </w:pPr>
            <w:r>
              <w:rPr>
                <w:rFonts w:ascii="Arial Narrow" w:hAnsi="Arial Narrow" w:cs="Times New Roman"/>
              </w:rPr>
              <w:t>Yield</w:t>
            </w:r>
          </w:p>
        </w:tc>
      </w:tr>
      <w:tr w:rsidR="003A0EAC" w:rsidRPr="00484663" w14:paraId="534DF82E"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0F14EC5C" w14:textId="0CEF254D"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PEVuZE5vdGU+PENpdGU+PEF1dGhvcj5KYWluPC9BdXRob3I+PFllYXI+MjAxNjwvWWVhcj48UmVj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PEVuZE5vdGU+PENpdGU+PEF1dGhvcj5KYWluPC9BdXRob3I+PFllYXI+MjAxNjwvWWVhcj48UmVj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(Jain et al. 2016)</w:t>
            </w:r>
            <w:r>
              <w:rPr>
                <w:rFonts w:ascii="Arial Narrow" w:hAnsi="Arial Narrow" w:cs="Times New Roman"/>
              </w:rPr>
              <w:fldChar w:fldCharType="end"/>
            </w:r>
          </w:p>
          <w:p w14:paraId="30BC4530"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India</w:t>
            </w:r>
          </w:p>
        </w:tc>
        <w:tc>
          <w:tcPr>
            <w:tcW w:w="0" w:type="auto"/>
            <w:tcBorders>
              <w:top w:val="single" w:sz="6" w:space="0" w:color="auto"/>
              <w:left w:val="single" w:sz="6" w:space="0" w:color="auto"/>
              <w:bottom w:val="single" w:sz="6" w:space="0" w:color="auto"/>
              <w:right w:val="single" w:sz="6" w:space="0" w:color="auto"/>
            </w:tcBorders>
            <w:hideMark/>
          </w:tcPr>
          <w:p w14:paraId="41B70C04"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2654DD88"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20C36959"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High</w:t>
            </w:r>
          </w:p>
        </w:tc>
        <w:tc>
          <w:tcPr>
            <w:tcW w:w="734" w:type="dxa"/>
            <w:tcBorders>
              <w:top w:val="single" w:sz="6" w:space="0" w:color="auto"/>
              <w:left w:val="single" w:sz="6" w:space="0" w:color="auto"/>
              <w:bottom w:val="single" w:sz="6" w:space="0" w:color="auto"/>
              <w:right w:val="single" w:sz="6" w:space="0" w:color="auto"/>
            </w:tcBorders>
            <w:hideMark/>
          </w:tcPr>
          <w:p w14:paraId="03AD44FE"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64</w:t>
            </w:r>
          </w:p>
        </w:tc>
        <w:tc>
          <w:tcPr>
            <w:tcW w:w="2312" w:type="dxa"/>
            <w:tcBorders>
              <w:top w:val="single" w:sz="6" w:space="0" w:color="auto"/>
              <w:left w:val="single" w:sz="6" w:space="0" w:color="auto"/>
              <w:bottom w:val="single" w:sz="6" w:space="0" w:color="auto"/>
              <w:right w:val="single" w:sz="6" w:space="0" w:color="auto"/>
            </w:tcBorders>
            <w:hideMark/>
          </w:tcPr>
          <w:p w14:paraId="293C6698"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LETM of three or more segments of spinal cord on MRI</w:t>
            </w:r>
          </w:p>
        </w:tc>
        <w:tc>
          <w:tcPr>
            <w:tcW w:w="1701" w:type="dxa"/>
            <w:tcBorders>
              <w:top w:val="single" w:sz="6" w:space="0" w:color="auto"/>
              <w:left w:val="single" w:sz="6" w:space="0" w:color="auto"/>
              <w:bottom w:val="single" w:sz="6" w:space="0" w:color="auto"/>
              <w:right w:val="single" w:sz="6" w:space="0" w:color="auto"/>
            </w:tcBorders>
            <w:hideMark/>
          </w:tcPr>
          <w:p w14:paraId="0D38900A"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 xml:space="preserve">AQP4-Ab testing by ELISA; MOG-Ab testing; clinical </w:t>
            </w:r>
            <w:r w:rsidRPr="00484663">
              <w:rPr>
                <w:rFonts w:ascii="Arial Narrow" w:hAnsi="Arial Narrow" w:cs="Times New Roman"/>
              </w:rPr>
              <w:lastRenderedPageBreak/>
              <w:t>assessment and diagnosis</w:t>
            </w:r>
          </w:p>
        </w:tc>
        <w:tc>
          <w:tcPr>
            <w:tcW w:w="1225" w:type="dxa"/>
            <w:tcBorders>
              <w:top w:val="single" w:sz="6" w:space="0" w:color="auto"/>
              <w:left w:val="single" w:sz="6" w:space="0" w:color="auto"/>
              <w:bottom w:val="single" w:sz="6" w:space="0" w:color="auto"/>
              <w:right w:val="single" w:sz="6" w:space="0" w:color="auto"/>
            </w:tcBorders>
            <w:hideMark/>
          </w:tcPr>
          <w:p w14:paraId="4DFA99A9"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lastRenderedPageBreak/>
              <w:t>previous clinical assessment</w:t>
            </w:r>
          </w:p>
        </w:tc>
        <w:tc>
          <w:tcPr>
            <w:tcW w:w="953" w:type="dxa"/>
            <w:tcBorders>
              <w:top w:val="single" w:sz="6" w:space="0" w:color="auto"/>
              <w:left w:val="single" w:sz="6" w:space="0" w:color="auto"/>
              <w:bottom w:val="single" w:sz="6" w:space="0" w:color="auto"/>
              <w:right w:val="single" w:sz="6" w:space="0" w:color="auto"/>
            </w:tcBorders>
          </w:tcPr>
          <w:p w14:paraId="21E5D3EB"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08FFAAF4"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Yield</w:t>
            </w:r>
          </w:p>
        </w:tc>
      </w:tr>
      <w:tr w:rsidR="003A0EAC" w:rsidRPr="00484663" w14:paraId="73CE345E"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7136D69F" w14:textId="33B54E13"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PEVuZE5vdGU+PENpdGU+PEF1dGhvcj5LYW5nPC9BdXRob3I+PFllYXI+MjAxOTwvWWVhcj48UmVj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PEVuZE5vdGU+PENpdGU+PEF1dGhvcj5LYW5nPC9BdXRob3I+PFllYXI+MjAxOTwvWWVhcj48UmVj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(Kang et al. 2019)</w:t>
            </w:r>
            <w:r>
              <w:rPr>
                <w:rFonts w:ascii="Arial Narrow" w:hAnsi="Arial Narrow" w:cs="Times New Roman"/>
              </w:rPr>
              <w:fldChar w:fldCharType="end"/>
            </w:r>
          </w:p>
          <w:p w14:paraId="5FD490C3"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China</w:t>
            </w:r>
          </w:p>
        </w:tc>
        <w:tc>
          <w:tcPr>
            <w:tcW w:w="0" w:type="auto"/>
            <w:tcBorders>
              <w:top w:val="single" w:sz="6" w:space="0" w:color="auto"/>
              <w:left w:val="single" w:sz="6" w:space="0" w:color="auto"/>
              <w:bottom w:val="single" w:sz="6" w:space="0" w:color="auto"/>
              <w:right w:val="single" w:sz="6" w:space="0" w:color="auto"/>
            </w:tcBorders>
            <w:hideMark/>
          </w:tcPr>
          <w:p w14:paraId="78C2848B"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5963C46D"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63737438"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Moderate</w:t>
            </w:r>
          </w:p>
        </w:tc>
        <w:tc>
          <w:tcPr>
            <w:tcW w:w="734" w:type="dxa"/>
            <w:tcBorders>
              <w:top w:val="single" w:sz="6" w:space="0" w:color="auto"/>
              <w:left w:val="single" w:sz="6" w:space="0" w:color="auto"/>
              <w:bottom w:val="single" w:sz="6" w:space="0" w:color="auto"/>
              <w:right w:val="single" w:sz="6" w:space="0" w:color="auto"/>
            </w:tcBorders>
            <w:hideMark/>
          </w:tcPr>
          <w:p w14:paraId="5F3E7464"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51</w:t>
            </w:r>
          </w:p>
        </w:tc>
        <w:tc>
          <w:tcPr>
            <w:tcW w:w="2312" w:type="dxa"/>
            <w:tcBorders>
              <w:top w:val="single" w:sz="6" w:space="0" w:color="auto"/>
              <w:left w:val="single" w:sz="6" w:space="0" w:color="auto"/>
              <w:bottom w:val="single" w:sz="6" w:space="0" w:color="auto"/>
              <w:right w:val="single" w:sz="6" w:space="0" w:color="auto"/>
            </w:tcBorders>
            <w:hideMark/>
          </w:tcPr>
          <w:p w14:paraId="7A03F751"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 xml:space="preserve">Presentation  with simultaneous or nearly simultaneous bilateral ON; diagnosis of ON confirmed by using the ONTT </w:t>
            </w:r>
          </w:p>
        </w:tc>
        <w:tc>
          <w:tcPr>
            <w:tcW w:w="1701" w:type="dxa"/>
            <w:tcBorders>
              <w:top w:val="single" w:sz="6" w:space="0" w:color="auto"/>
              <w:left w:val="single" w:sz="6" w:space="0" w:color="auto"/>
              <w:bottom w:val="single" w:sz="6" w:space="0" w:color="auto"/>
              <w:right w:val="single" w:sz="6" w:space="0" w:color="auto"/>
            </w:tcBorders>
            <w:hideMark/>
          </w:tcPr>
          <w:p w14:paraId="0533DA36"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AQP4-Ab (live cell assay) and MOG- Ab testing (fixed cell-based assay)</w:t>
            </w:r>
          </w:p>
        </w:tc>
        <w:tc>
          <w:tcPr>
            <w:tcW w:w="1225" w:type="dxa"/>
            <w:tcBorders>
              <w:top w:val="single" w:sz="6" w:space="0" w:color="auto"/>
              <w:left w:val="single" w:sz="6" w:space="0" w:color="auto"/>
              <w:bottom w:val="single" w:sz="6" w:space="0" w:color="auto"/>
              <w:right w:val="single" w:sz="6" w:space="0" w:color="auto"/>
            </w:tcBorders>
            <w:hideMark/>
          </w:tcPr>
          <w:p w14:paraId="3146FFCB"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0BCFCEBD"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3E3AE0C8"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Yield</w:t>
            </w:r>
          </w:p>
        </w:tc>
      </w:tr>
      <w:tr w:rsidR="003A0EAC" w:rsidRPr="00484663" w14:paraId="0FE2D2F7"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48BBE093" w14:textId="73300151"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PEVuZE5vdGU+PENpdGU+PEF1dGhvcj5Db250ZW50dGk8L0F1dGhvcj48WWVhcj4yMDE5PC9ZZWFy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PEVuZE5vdGU+PENpdGU+PEF1dGhvcj5Db250ZW50dGk8L0F1dGhvcj48WWVhcj4yMDE5PC9ZZWFy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(Contentti, EC et al. 2019)</w:t>
            </w:r>
            <w:r>
              <w:rPr>
                <w:rFonts w:ascii="Arial Narrow" w:hAnsi="Arial Narrow" w:cs="Times New Roman"/>
              </w:rPr>
              <w:fldChar w:fldCharType="end"/>
            </w:r>
          </w:p>
          <w:p w14:paraId="6AA34CEE"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Argentina</w:t>
            </w:r>
          </w:p>
        </w:tc>
        <w:tc>
          <w:tcPr>
            <w:tcW w:w="0" w:type="auto"/>
            <w:tcBorders>
              <w:top w:val="single" w:sz="6" w:space="0" w:color="auto"/>
              <w:left w:val="single" w:sz="6" w:space="0" w:color="auto"/>
              <w:bottom w:val="single" w:sz="6" w:space="0" w:color="auto"/>
              <w:right w:val="single" w:sz="6" w:space="0" w:color="auto"/>
            </w:tcBorders>
            <w:hideMark/>
          </w:tcPr>
          <w:p w14:paraId="15CB2506"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2D581380"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IV</w:t>
            </w:r>
          </w:p>
        </w:tc>
        <w:tc>
          <w:tcPr>
            <w:tcW w:w="0" w:type="auto"/>
            <w:tcBorders>
              <w:top w:val="single" w:sz="6" w:space="0" w:color="auto"/>
              <w:left w:val="single" w:sz="6" w:space="0" w:color="auto"/>
              <w:bottom w:val="single" w:sz="6" w:space="0" w:color="auto"/>
              <w:right w:val="single" w:sz="6" w:space="0" w:color="auto"/>
            </w:tcBorders>
            <w:hideMark/>
          </w:tcPr>
          <w:p w14:paraId="26F0D172"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Moderate</w:t>
            </w:r>
          </w:p>
        </w:tc>
        <w:tc>
          <w:tcPr>
            <w:tcW w:w="734" w:type="dxa"/>
            <w:tcBorders>
              <w:top w:val="single" w:sz="6" w:space="0" w:color="auto"/>
              <w:left w:val="single" w:sz="6" w:space="0" w:color="auto"/>
              <w:bottom w:val="single" w:sz="6" w:space="0" w:color="auto"/>
              <w:right w:val="single" w:sz="6" w:space="0" w:color="auto"/>
            </w:tcBorders>
            <w:hideMark/>
          </w:tcPr>
          <w:p w14:paraId="7F9FC1E0"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57</w:t>
            </w:r>
          </w:p>
        </w:tc>
        <w:tc>
          <w:tcPr>
            <w:tcW w:w="2312" w:type="dxa"/>
            <w:tcBorders>
              <w:top w:val="single" w:sz="6" w:space="0" w:color="auto"/>
              <w:left w:val="single" w:sz="6" w:space="0" w:color="auto"/>
              <w:bottom w:val="single" w:sz="6" w:space="0" w:color="auto"/>
              <w:right w:val="single" w:sz="6" w:space="0" w:color="auto"/>
            </w:tcBorders>
            <w:hideMark/>
          </w:tcPr>
          <w:p w14:paraId="2EDDA8CF"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First episode of clinically acute ON</w:t>
            </w:r>
          </w:p>
        </w:tc>
        <w:tc>
          <w:tcPr>
            <w:tcW w:w="1701" w:type="dxa"/>
            <w:tcBorders>
              <w:top w:val="single" w:sz="6" w:space="0" w:color="auto"/>
              <w:left w:val="single" w:sz="6" w:space="0" w:color="auto"/>
              <w:bottom w:val="single" w:sz="6" w:space="0" w:color="auto"/>
              <w:right w:val="single" w:sz="6" w:space="0" w:color="auto"/>
            </w:tcBorders>
            <w:hideMark/>
          </w:tcPr>
          <w:p w14:paraId="08A1DF8D" w14:textId="77777777" w:rsidR="003A0EAC" w:rsidRPr="00484663" w:rsidRDefault="003A0EAC" w:rsidP="00F20D67">
            <w:pPr>
              <w:spacing w:before="30" w:after="30"/>
              <w:ind w:left="60" w:right="60"/>
              <w:jc w:val="left"/>
              <w:rPr>
                <w:rFonts w:ascii="Arial Narrow" w:hAnsi="Arial Narrow" w:cs="Times New Roman"/>
              </w:rPr>
            </w:pPr>
            <w:r w:rsidRPr="00484663">
              <w:rPr>
                <w:rFonts w:ascii="Arial Narrow" w:hAnsi="Arial Narrow" w:cs="Times New Roman"/>
              </w:rPr>
              <w:t xml:space="preserve">AQP4-Ab testing; diagnostic categorisation; </w:t>
            </w:r>
          </w:p>
        </w:tc>
        <w:tc>
          <w:tcPr>
            <w:tcW w:w="1225" w:type="dxa"/>
            <w:tcBorders>
              <w:top w:val="single" w:sz="6" w:space="0" w:color="auto"/>
              <w:left w:val="single" w:sz="6" w:space="0" w:color="auto"/>
              <w:bottom w:val="single" w:sz="6" w:space="0" w:color="auto"/>
              <w:right w:val="single" w:sz="6" w:space="0" w:color="auto"/>
            </w:tcBorders>
            <w:hideMark/>
          </w:tcPr>
          <w:p w14:paraId="4509C93D"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2379F8A9" w14:textId="77777777" w:rsidR="003A0EAC"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19453A86" w14:textId="77777777" w:rsidR="0012220D" w:rsidRPr="00484663" w:rsidRDefault="0012220D" w:rsidP="00484663">
            <w:pPr>
              <w:spacing w:before="30" w:after="30"/>
              <w:ind w:left="60" w:right="60"/>
              <w:jc w:val="left"/>
              <w:rPr>
                <w:rFonts w:ascii="Arial Narrow" w:hAnsi="Arial Narrow" w:cs="Times New Roman"/>
              </w:rPr>
            </w:pPr>
            <w:r>
              <w:rPr>
                <w:rFonts w:ascii="Arial Narrow" w:hAnsi="Arial Narrow" w:cs="Times New Roman"/>
              </w:rPr>
              <w:t xml:space="preserve">Yield </w:t>
            </w:r>
          </w:p>
        </w:tc>
      </w:tr>
      <w:tr w:rsidR="003A0EAC" w:rsidRPr="00484663" w14:paraId="27C19E6D"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0BC40E9F" w14:textId="17FC3DFB"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PEVuZE5vdGU+PENpdGU+PEF1dGhvcj5MaXU8L0F1dGhvcj48WWVhcj4yMDE5PC9ZZWFyPjxSZWNO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PEVuZE5vdGU+PENpdGU+PEF1dGhvcj5MaXU8L0F1dGhvcj48WWVhcj4yMDE5PC9ZZWFyPjxSZWNO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(Liu et al. 2019)</w:t>
            </w:r>
            <w:r>
              <w:rPr>
                <w:rFonts w:ascii="Arial Narrow" w:hAnsi="Arial Narrow" w:cs="Times New Roman"/>
              </w:rPr>
              <w:fldChar w:fldCharType="end"/>
            </w:r>
          </w:p>
          <w:p w14:paraId="7B71A8C6"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China</w:t>
            </w:r>
          </w:p>
        </w:tc>
        <w:tc>
          <w:tcPr>
            <w:tcW w:w="0" w:type="auto"/>
            <w:tcBorders>
              <w:top w:val="single" w:sz="6" w:space="0" w:color="auto"/>
              <w:left w:val="single" w:sz="6" w:space="0" w:color="auto"/>
              <w:bottom w:val="single" w:sz="6" w:space="0" w:color="auto"/>
              <w:right w:val="single" w:sz="6" w:space="0" w:color="auto"/>
            </w:tcBorders>
            <w:hideMark/>
          </w:tcPr>
          <w:p w14:paraId="5264AAEA"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7AFDBDED"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736C3504" w14:textId="77777777" w:rsidR="003A0EAC" w:rsidRPr="00484663" w:rsidRDefault="00EA098F" w:rsidP="00484663">
            <w:pPr>
              <w:spacing w:before="30" w:after="30"/>
              <w:ind w:left="60" w:right="60"/>
              <w:jc w:val="left"/>
              <w:rPr>
                <w:rFonts w:ascii="Arial Narrow" w:hAnsi="Arial Narrow" w:cs="Times New Roman"/>
              </w:rPr>
            </w:pPr>
            <w:r>
              <w:rPr>
                <w:rFonts w:ascii="Arial Narrow" w:hAnsi="Arial Narrow" w:cs="Times New Roman"/>
              </w:rPr>
              <w:t>High</w:t>
            </w:r>
          </w:p>
        </w:tc>
        <w:tc>
          <w:tcPr>
            <w:tcW w:w="734" w:type="dxa"/>
            <w:tcBorders>
              <w:top w:val="single" w:sz="6" w:space="0" w:color="auto"/>
              <w:left w:val="single" w:sz="6" w:space="0" w:color="auto"/>
              <w:bottom w:val="single" w:sz="6" w:space="0" w:color="auto"/>
              <w:right w:val="single" w:sz="6" w:space="0" w:color="auto"/>
            </w:tcBorders>
            <w:hideMark/>
          </w:tcPr>
          <w:p w14:paraId="193AC77A"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158</w:t>
            </w:r>
          </w:p>
        </w:tc>
        <w:tc>
          <w:tcPr>
            <w:tcW w:w="2312" w:type="dxa"/>
            <w:tcBorders>
              <w:top w:val="single" w:sz="6" w:space="0" w:color="auto"/>
              <w:left w:val="single" w:sz="6" w:space="0" w:color="auto"/>
              <w:bottom w:val="single" w:sz="6" w:space="0" w:color="auto"/>
              <w:right w:val="single" w:sz="6" w:space="0" w:color="auto"/>
            </w:tcBorders>
            <w:hideMark/>
          </w:tcPr>
          <w:p w14:paraId="7F0351E2"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Adult ON</w:t>
            </w:r>
          </w:p>
        </w:tc>
        <w:tc>
          <w:tcPr>
            <w:tcW w:w="1701" w:type="dxa"/>
            <w:tcBorders>
              <w:top w:val="single" w:sz="6" w:space="0" w:color="auto"/>
              <w:left w:val="single" w:sz="6" w:space="0" w:color="auto"/>
              <w:bottom w:val="single" w:sz="6" w:space="0" w:color="auto"/>
              <w:right w:val="single" w:sz="6" w:space="0" w:color="auto"/>
            </w:tcBorders>
            <w:hideMark/>
          </w:tcPr>
          <w:p w14:paraId="3D693EA4"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Assessment of visual acuity; MS and NMO diagnosis (by current international criteria)</w:t>
            </w:r>
          </w:p>
        </w:tc>
        <w:tc>
          <w:tcPr>
            <w:tcW w:w="1225" w:type="dxa"/>
            <w:tcBorders>
              <w:top w:val="single" w:sz="6" w:space="0" w:color="auto"/>
              <w:left w:val="single" w:sz="6" w:space="0" w:color="auto"/>
              <w:bottom w:val="single" w:sz="6" w:space="0" w:color="auto"/>
              <w:right w:val="single" w:sz="6" w:space="0" w:color="auto"/>
            </w:tcBorders>
            <w:hideMark/>
          </w:tcPr>
          <w:p w14:paraId="0994F704"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32D51B56" w14:textId="77777777" w:rsidR="003A0EAC"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348685A3" w14:textId="77777777" w:rsidR="0012220D" w:rsidRPr="00484663" w:rsidRDefault="0012220D" w:rsidP="00484663">
            <w:pPr>
              <w:spacing w:before="30" w:after="30"/>
              <w:ind w:left="60" w:right="60"/>
              <w:jc w:val="left"/>
              <w:rPr>
                <w:rFonts w:ascii="Arial Narrow" w:hAnsi="Arial Narrow" w:cs="Times New Roman"/>
              </w:rPr>
            </w:pPr>
            <w:r>
              <w:rPr>
                <w:rFonts w:ascii="Arial Narrow" w:hAnsi="Arial Narrow" w:cs="Times New Roman"/>
              </w:rPr>
              <w:t xml:space="preserve">Yield </w:t>
            </w:r>
          </w:p>
        </w:tc>
      </w:tr>
      <w:tr w:rsidR="003A0EAC" w:rsidRPr="00484663" w14:paraId="341D5CCB"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49E777C4" w14:textId="0D9D5B58"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PEVuZE5vdGU+PENpdGU+PEF1dGhvcj5QYXBhaXMtQWx2YXJlbmdhPC9BdXRob3I+PFllYXI+MjAx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PEVuZE5vdGU+PENpdGU+PEF1dGhvcj5QYXBhaXMtQWx2YXJlbmdhPC9BdXRob3I+PFllYXI+MjAx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(Papais-Alvarenga et al. 2018)</w:t>
            </w:r>
            <w:r>
              <w:rPr>
                <w:rFonts w:ascii="Arial Narrow" w:hAnsi="Arial Narrow" w:cs="Times New Roman"/>
              </w:rPr>
              <w:fldChar w:fldCharType="end"/>
            </w:r>
          </w:p>
          <w:p w14:paraId="4FEA6E92"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Brazil</w:t>
            </w:r>
          </w:p>
        </w:tc>
        <w:tc>
          <w:tcPr>
            <w:tcW w:w="0" w:type="auto"/>
            <w:tcBorders>
              <w:top w:val="single" w:sz="6" w:space="0" w:color="auto"/>
              <w:left w:val="single" w:sz="6" w:space="0" w:color="auto"/>
              <w:bottom w:val="single" w:sz="6" w:space="0" w:color="auto"/>
              <w:right w:val="single" w:sz="6" w:space="0" w:color="auto"/>
            </w:tcBorders>
            <w:hideMark/>
          </w:tcPr>
          <w:p w14:paraId="6FA0C51B"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05B6967F" w14:textId="77777777" w:rsidR="003A0EAC" w:rsidRPr="00484663" w:rsidRDefault="008B4AA0" w:rsidP="00484663">
            <w:pPr>
              <w:spacing w:before="30" w:after="30"/>
              <w:ind w:left="60" w:right="60"/>
              <w:jc w:val="left"/>
              <w:rPr>
                <w:rFonts w:ascii="Arial Narrow" w:hAnsi="Arial Narrow" w:cs="Times New Roman"/>
              </w:rPr>
            </w:pPr>
            <w:r>
              <w:rPr>
                <w:rFonts w:ascii="Arial Narrow" w:hAnsi="Arial Narrow" w:cs="Times New Roman"/>
              </w:rPr>
              <w:t>III-3</w:t>
            </w:r>
          </w:p>
        </w:tc>
        <w:tc>
          <w:tcPr>
            <w:tcW w:w="0" w:type="auto"/>
            <w:tcBorders>
              <w:top w:val="single" w:sz="6" w:space="0" w:color="auto"/>
              <w:left w:val="single" w:sz="6" w:space="0" w:color="auto"/>
              <w:bottom w:val="single" w:sz="6" w:space="0" w:color="auto"/>
              <w:right w:val="single" w:sz="6" w:space="0" w:color="auto"/>
            </w:tcBorders>
            <w:hideMark/>
          </w:tcPr>
          <w:p w14:paraId="48B83903"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Moderate</w:t>
            </w:r>
          </w:p>
        </w:tc>
        <w:tc>
          <w:tcPr>
            <w:tcW w:w="734" w:type="dxa"/>
            <w:tcBorders>
              <w:top w:val="single" w:sz="6" w:space="0" w:color="auto"/>
              <w:left w:val="single" w:sz="6" w:space="0" w:color="auto"/>
              <w:bottom w:val="single" w:sz="6" w:space="0" w:color="auto"/>
              <w:right w:val="single" w:sz="6" w:space="0" w:color="auto"/>
            </w:tcBorders>
            <w:hideMark/>
          </w:tcPr>
          <w:p w14:paraId="5E700EBD"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200</w:t>
            </w:r>
          </w:p>
        </w:tc>
        <w:tc>
          <w:tcPr>
            <w:tcW w:w="2312" w:type="dxa"/>
            <w:tcBorders>
              <w:top w:val="single" w:sz="6" w:space="0" w:color="auto"/>
              <w:left w:val="single" w:sz="6" w:space="0" w:color="auto"/>
              <w:bottom w:val="single" w:sz="6" w:space="0" w:color="auto"/>
              <w:right w:val="single" w:sz="6" w:space="0" w:color="auto"/>
            </w:tcBorders>
            <w:hideMark/>
          </w:tcPr>
          <w:p w14:paraId="0BF26306"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adults with NMO (2006 criteria)  and HR-NMO</w:t>
            </w:r>
          </w:p>
        </w:tc>
        <w:tc>
          <w:tcPr>
            <w:tcW w:w="1701" w:type="dxa"/>
            <w:tcBorders>
              <w:top w:val="single" w:sz="6" w:space="0" w:color="auto"/>
              <w:left w:val="single" w:sz="6" w:space="0" w:color="auto"/>
              <w:bottom w:val="single" w:sz="6" w:space="0" w:color="auto"/>
              <w:right w:val="single" w:sz="6" w:space="0" w:color="auto"/>
            </w:tcBorders>
            <w:hideMark/>
          </w:tcPr>
          <w:p w14:paraId="6CCD820B"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AQP4-Ab and MOG-Ab testing; application of 2015 diagnostic criteria</w:t>
            </w:r>
          </w:p>
        </w:tc>
        <w:tc>
          <w:tcPr>
            <w:tcW w:w="1225" w:type="dxa"/>
            <w:tcBorders>
              <w:top w:val="single" w:sz="6" w:space="0" w:color="auto"/>
              <w:left w:val="single" w:sz="6" w:space="0" w:color="auto"/>
              <w:bottom w:val="single" w:sz="6" w:space="0" w:color="auto"/>
              <w:right w:val="single" w:sz="6" w:space="0" w:color="auto"/>
            </w:tcBorders>
            <w:hideMark/>
          </w:tcPr>
          <w:p w14:paraId="2302C7EC"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NA</w:t>
            </w:r>
          </w:p>
        </w:tc>
        <w:tc>
          <w:tcPr>
            <w:tcW w:w="953" w:type="dxa"/>
            <w:tcBorders>
              <w:top w:val="single" w:sz="6" w:space="0" w:color="auto"/>
              <w:left w:val="single" w:sz="6" w:space="0" w:color="auto"/>
              <w:bottom w:val="single" w:sz="6" w:space="0" w:color="auto"/>
              <w:right w:val="single" w:sz="6" w:space="0" w:color="auto"/>
            </w:tcBorders>
          </w:tcPr>
          <w:p w14:paraId="3CBC802D"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Accuracy</w:t>
            </w:r>
          </w:p>
          <w:p w14:paraId="268E1737"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Yield</w:t>
            </w:r>
          </w:p>
        </w:tc>
      </w:tr>
      <w:tr w:rsidR="003A0EAC" w:rsidRPr="00484663" w14:paraId="4247B5AA" w14:textId="77777777" w:rsidTr="00F20D67">
        <w:tc>
          <w:tcPr>
            <w:tcW w:w="0" w:type="auto"/>
            <w:tcBorders>
              <w:top w:val="single" w:sz="6" w:space="0" w:color="auto"/>
              <w:left w:val="single" w:sz="6" w:space="0" w:color="auto"/>
              <w:bottom w:val="single" w:sz="6" w:space="0" w:color="auto"/>
              <w:right w:val="single" w:sz="6" w:space="0" w:color="auto"/>
            </w:tcBorders>
            <w:hideMark/>
          </w:tcPr>
          <w:p w14:paraId="657D99FB" w14:textId="77777777" w:rsidR="003A0EAC" w:rsidRDefault="00156621" w:rsidP="00484663">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PEVuZE5vdGU+PENpdGU+PEF1dGhvcj5QYXBhaXMtQWx2YXJlbmdhPC9BdXRob3I+PFllYXI+MjAx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</w:fldData>
              </w:fldChar>
            </w:r>
            <w:r w:rsidR="00AC01FD">
              <w:rPr>
                <w:rFonts w:ascii="Arial Narrow" w:hAnsi="Arial Narrow" w:cs="Times New Roman"/>
              </w:rPr>
              <w:instrText xml:space="preserve"> ADDIN EN.CITE </w:instrText>
            </w:r>
            <w:r w:rsidR="00AC01FD">
              <w:rPr>
                <w:rFonts w:ascii="Arial Narrow" w:hAnsi="Arial Narrow" w:cs="Times New Roman"/>
              </w:rPr>
              <w:fldChar w:fldCharType="begin">
                <w:fldData xml:space="preserve">PEVuZE5vdGU+PENpdGU+PEF1dGhvcj5QYXBhaXMtQWx2YXJlbmdhPC9BdXRob3I+PFllYXI+MjAx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</w:fldData>
              </w:fldChar>
            </w:r>
            <w:r w:rsidR="00AC01FD">
              <w:rPr>
                <w:rFonts w:ascii="Arial Narrow" w:hAnsi="Arial Narrow" w:cs="Times New Roman"/>
              </w:rPr>
              <w:instrText xml:space="preserve"> ADDIN EN.CITE.DATA </w:instrText>
            </w:r>
            <w:r w:rsidR="00AC01FD">
              <w:rPr>
                <w:rFonts w:ascii="Arial Narrow" w:hAnsi="Arial Narrow" w:cs="Times New Roman"/>
              </w:rPr>
            </w:r>
            <w:r w:rsidR="00AC01FD">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(Papais-Alvarenga et al. 2015)</w:t>
            </w:r>
            <w:r>
              <w:rPr>
                <w:rFonts w:ascii="Arial Narrow" w:hAnsi="Arial Narrow" w:cs="Times New Roman"/>
              </w:rPr>
              <w:fldChar w:fldCharType="end"/>
            </w:r>
          </w:p>
          <w:p w14:paraId="1E8921E7" w14:textId="77777777" w:rsidR="00472A12" w:rsidRPr="00484663" w:rsidRDefault="00472A12" w:rsidP="00484663">
            <w:pPr>
              <w:spacing w:before="30" w:after="30"/>
              <w:ind w:left="60" w:right="60"/>
              <w:jc w:val="left"/>
              <w:rPr>
                <w:rFonts w:ascii="Arial Narrow" w:hAnsi="Arial Narrow" w:cs="Times New Roman"/>
              </w:rPr>
            </w:pPr>
            <w:r>
              <w:rPr>
                <w:rFonts w:ascii="Arial Narrow" w:hAnsi="Arial Narrow" w:cs="Times New Roman"/>
              </w:rPr>
              <w:t>Brazil</w:t>
            </w:r>
          </w:p>
        </w:tc>
        <w:tc>
          <w:tcPr>
            <w:tcW w:w="0" w:type="auto"/>
            <w:tcBorders>
              <w:top w:val="single" w:sz="6" w:space="0" w:color="auto"/>
              <w:left w:val="single" w:sz="6" w:space="0" w:color="auto"/>
              <w:bottom w:val="single" w:sz="6" w:space="0" w:color="auto"/>
              <w:right w:val="single" w:sz="6" w:space="0" w:color="auto"/>
            </w:tcBorders>
            <w:hideMark/>
          </w:tcPr>
          <w:p w14:paraId="0DE66E17"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CS</w:t>
            </w:r>
          </w:p>
          <w:p w14:paraId="5C1A33A8"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IV</w:t>
            </w:r>
          </w:p>
        </w:tc>
        <w:tc>
          <w:tcPr>
            <w:tcW w:w="0" w:type="auto"/>
            <w:tcBorders>
              <w:top w:val="single" w:sz="6" w:space="0" w:color="auto"/>
              <w:left w:val="single" w:sz="6" w:space="0" w:color="auto"/>
              <w:bottom w:val="single" w:sz="6" w:space="0" w:color="auto"/>
              <w:right w:val="single" w:sz="6" w:space="0" w:color="auto"/>
            </w:tcBorders>
            <w:hideMark/>
          </w:tcPr>
          <w:p w14:paraId="743CA2EC"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Moderate</w:t>
            </w:r>
          </w:p>
        </w:tc>
        <w:tc>
          <w:tcPr>
            <w:tcW w:w="734" w:type="dxa"/>
            <w:tcBorders>
              <w:top w:val="single" w:sz="6" w:space="0" w:color="auto"/>
              <w:left w:val="single" w:sz="6" w:space="0" w:color="auto"/>
              <w:bottom w:val="single" w:sz="6" w:space="0" w:color="auto"/>
              <w:right w:val="single" w:sz="6" w:space="0" w:color="auto"/>
            </w:tcBorders>
            <w:hideMark/>
          </w:tcPr>
          <w:p w14:paraId="55433158"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1,917</w:t>
            </w:r>
          </w:p>
        </w:tc>
        <w:tc>
          <w:tcPr>
            <w:tcW w:w="2312" w:type="dxa"/>
            <w:tcBorders>
              <w:top w:val="single" w:sz="6" w:space="0" w:color="auto"/>
              <w:left w:val="single" w:sz="6" w:space="0" w:color="auto"/>
              <w:bottom w:val="single" w:sz="6" w:space="0" w:color="auto"/>
              <w:right w:val="single" w:sz="6" w:space="0" w:color="auto"/>
            </w:tcBorders>
            <w:hideMark/>
          </w:tcPr>
          <w:p w14:paraId="0DC8CF51"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IIDD</w:t>
            </w:r>
          </w:p>
        </w:tc>
        <w:tc>
          <w:tcPr>
            <w:tcW w:w="1701" w:type="dxa"/>
            <w:tcBorders>
              <w:top w:val="single" w:sz="6" w:space="0" w:color="auto"/>
              <w:left w:val="single" w:sz="6" w:space="0" w:color="auto"/>
              <w:bottom w:val="single" w:sz="6" w:space="0" w:color="auto"/>
              <w:right w:val="single" w:sz="6" w:space="0" w:color="auto"/>
            </w:tcBorders>
            <w:hideMark/>
          </w:tcPr>
          <w:p w14:paraId="6BC621CD" w14:textId="77777777" w:rsidR="003A0EAC" w:rsidRPr="00484663" w:rsidRDefault="003A0EAC" w:rsidP="00280BCB">
            <w:pPr>
              <w:spacing w:before="30" w:after="30"/>
              <w:ind w:left="60" w:right="60"/>
              <w:jc w:val="left"/>
              <w:rPr>
                <w:rFonts w:ascii="Arial Narrow" w:hAnsi="Arial Narrow" w:cs="Times New Roman"/>
              </w:rPr>
            </w:pPr>
            <w:r w:rsidRPr="00484663">
              <w:rPr>
                <w:rFonts w:ascii="Arial Narrow" w:hAnsi="Arial Narrow" w:cs="Times New Roman"/>
              </w:rPr>
              <w:t xml:space="preserve">Spectrum of </w:t>
            </w:r>
            <w:r w:rsidR="00280BCB">
              <w:rPr>
                <w:rFonts w:ascii="Arial Narrow" w:hAnsi="Arial Narrow" w:cs="Times New Roman"/>
              </w:rPr>
              <w:t>IIDD</w:t>
            </w:r>
          </w:p>
        </w:tc>
        <w:tc>
          <w:tcPr>
            <w:tcW w:w="1225" w:type="dxa"/>
            <w:tcBorders>
              <w:top w:val="single" w:sz="6" w:space="0" w:color="auto"/>
              <w:left w:val="single" w:sz="6" w:space="0" w:color="auto"/>
              <w:bottom w:val="single" w:sz="6" w:space="0" w:color="auto"/>
              <w:right w:val="single" w:sz="6" w:space="0" w:color="auto"/>
            </w:tcBorders>
            <w:hideMark/>
          </w:tcPr>
          <w:p w14:paraId="2B0BAB56"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None reported</w:t>
            </w:r>
          </w:p>
        </w:tc>
        <w:tc>
          <w:tcPr>
            <w:tcW w:w="953" w:type="dxa"/>
            <w:tcBorders>
              <w:top w:val="single" w:sz="6" w:space="0" w:color="auto"/>
              <w:left w:val="single" w:sz="6" w:space="0" w:color="auto"/>
              <w:bottom w:val="single" w:sz="6" w:space="0" w:color="auto"/>
              <w:right w:val="single" w:sz="6" w:space="0" w:color="auto"/>
            </w:tcBorders>
          </w:tcPr>
          <w:p w14:paraId="79B8D170" w14:textId="77777777" w:rsidR="003A0EAC" w:rsidRPr="00484663" w:rsidRDefault="003A0EAC" w:rsidP="00484663">
            <w:pPr>
              <w:spacing w:before="30" w:after="30"/>
              <w:ind w:left="60" w:right="60"/>
              <w:jc w:val="left"/>
              <w:rPr>
                <w:rFonts w:ascii="Arial Narrow" w:hAnsi="Arial Narrow" w:cs="Times New Roman"/>
              </w:rPr>
            </w:pPr>
            <w:r w:rsidRPr="00484663">
              <w:rPr>
                <w:rFonts w:ascii="Arial Narrow" w:hAnsi="Arial Narrow" w:cs="Times New Roman"/>
              </w:rPr>
              <w:t>Yield</w:t>
            </w:r>
          </w:p>
        </w:tc>
      </w:tr>
    </w:tbl>
    <w:p w14:paraId="54111DE3" w14:textId="77777777" w:rsidR="00280BCB" w:rsidRPr="00280BCB" w:rsidRDefault="00575381" w:rsidP="00280BCB">
      <w:pPr>
        <w:pStyle w:val="Tablenotes0"/>
      </w:pPr>
      <w:r>
        <w:t xml:space="preserve">ABS = acute brainstem syndrome; ADS = acquired demyelination syndrome; </w:t>
      </w:r>
      <w:r w:rsidR="00CA0074">
        <w:t xml:space="preserve">AQP4 = aquaporin 4; AQP4-Ab = aquaporin 4 antibodies; </w:t>
      </w:r>
      <w:r w:rsidR="00280BCB">
        <w:t xml:space="preserve">CNS = central nervous system; </w:t>
      </w:r>
      <w:r w:rsidR="00CA0074">
        <w:t xml:space="preserve">CS = case series; </w:t>
      </w:r>
      <w:r w:rsidR="00280BCB">
        <w:t xml:space="preserve">ELISA = enzyme-linked immunosorbent assay; </w:t>
      </w:r>
      <w:r w:rsidR="00CA0074">
        <w:t xml:space="preserve">HR-NMO = high risk of conversion to NMO; </w:t>
      </w:r>
      <w:r w:rsidR="00280BCB">
        <w:t xml:space="preserve">IDD = inflammatory demyelinating disorder; IIDD = idiopathic inflammatory demyelinating disease; IgG = immunoglobulin G; </w:t>
      </w:r>
      <w:r w:rsidR="00CA0074">
        <w:t xml:space="preserve">LETM = longitudinally extensive transverse myelitis; MOG = myelin oligodendrocyte glycoprotein; MOG-Ab = myelin oligodendrocyte glycoprotein antibodies; MRI = magnetic resonance imaging; MS = multiple sclerosis; NMO = neuromyelitis optica; NMOSD = neuromyelitis optica spectrum disorders; </w:t>
      </w:r>
      <w:r>
        <w:t>ON = optic neuritis</w:t>
      </w:r>
      <w:r w:rsidR="00280BCB">
        <w:t xml:space="preserve">; ONTT = optic neuritis treatment trial; RDS = </w:t>
      </w:r>
      <w:r w:rsidR="00280BCB" w:rsidRPr="00280BCB">
        <w:t>relapsing acquired demyelinating syndrome</w:t>
      </w:r>
    </w:p>
    <w:p w14:paraId="2FB47338" w14:textId="77777777" w:rsidR="00484663" w:rsidRDefault="00484663" w:rsidP="00F462A1"/>
    <w:p w14:paraId="38B4F872" w14:textId="77777777" w:rsidR="00ED65EE" w:rsidRPr="00183E4D" w:rsidRDefault="00ED65EE" w:rsidP="003816F6">
      <w:pPr>
        <w:pStyle w:val="Heading2"/>
        <w:numPr>
          <w:ilvl w:val="1"/>
          <w:numId w:val="17"/>
        </w:numPr>
      </w:pPr>
      <w:bookmarkStart w:id="223" w:name="_Toc39588309"/>
      <w:r w:rsidRPr="00183E4D">
        <w:t>Outcome Measures and Analysis</w:t>
      </w:r>
      <w:bookmarkEnd w:id="223"/>
    </w:p>
    <w:p w14:paraId="11AC03BC" w14:textId="2356A13C" w:rsidR="00ED65EE" w:rsidRPr="00183E4D" w:rsidRDefault="00ED65EE" w:rsidP="00ED65EE">
      <w:r w:rsidRPr="00183E4D">
        <w:t xml:space="preserve">See </w:t>
      </w:r>
      <w:r w:rsidR="0094709A">
        <w:fldChar w:fldCharType="begin"/>
      </w:r>
      <w:r w:rsidR="0094709A">
        <w:instrText xml:space="preserve"> REF _Ref190841600 \h </w:instrText>
      </w:r>
      <w:r w:rsidR="0094709A">
        <w:fldChar w:fldCharType="separate"/>
      </w:r>
      <w:r w:rsidR="0094709A" w:rsidRPr="00183E4D">
        <w:t xml:space="preserve">Appendix </w:t>
      </w:r>
      <w:r w:rsidR="0094709A">
        <w:rPr>
          <w:noProof/>
        </w:rPr>
        <w:t>C</w:t>
      </w:r>
      <w:r w:rsidR="0094709A">
        <w:fldChar w:fldCharType="end"/>
      </w:r>
      <w:r w:rsidRPr="00183E4D">
        <w:t xml:space="preserve"> for details on the outcomes measured in the included studies, along with the statistical methods used to analyse the results.</w:t>
      </w:r>
    </w:p>
    <w:p w14:paraId="0F18005E" w14:textId="33803787" w:rsidR="00ED65EE" w:rsidRDefault="00ED65EE" w:rsidP="00ED65EE">
      <w:r w:rsidRPr="00B44AF2">
        <w:t>To assess the diagnostic accuracy of the proposed test, studies were only included if they provided data that could be extracted into a classic 2 x 2 table</w:t>
      </w:r>
      <w:r w:rsidR="00C66236">
        <w:t xml:space="preserve"> (</w:t>
      </w:r>
      <w:r w:rsidR="00C66236">
        <w:fldChar w:fldCharType="begin"/>
      </w:r>
      <w:r w:rsidR="00C66236">
        <w:instrText xml:space="preserve"> REF _Ref34738867 \h </w:instrText>
      </w:r>
      <w:r w:rsidR="00C66236">
        <w:fldChar w:fldCharType="separate"/>
      </w:r>
      <w:r w:rsidR="006132AD" w:rsidRPr="005613FD">
        <w:t xml:space="preserve">Table </w:t>
      </w:r>
      <w:r w:rsidR="006132AD">
        <w:rPr>
          <w:noProof/>
        </w:rPr>
        <w:t>21</w:t>
      </w:r>
      <w:r w:rsidR="00C66236">
        <w:fldChar w:fldCharType="end"/>
      </w:r>
      <w:r w:rsidR="00C66236">
        <w:t>)</w:t>
      </w:r>
      <w:r w:rsidRPr="00B44AF2">
        <w:t>, in which the results of the index test or the comparator were cross-classified against the results of the reference</w:t>
      </w:r>
      <w:r>
        <w:t xml:space="preserve"> standard</w:t>
      </w:r>
      <w:r>
        <w:rPr>
          <w:rStyle w:val="FootnoteReference"/>
        </w:rPr>
        <w:footnoteReference w:id="6"/>
      </w:r>
      <w:r w:rsidRPr="00901DD6">
        <w:t>, and Bayes</w:t>
      </w:r>
      <w:r>
        <w:t>’</w:t>
      </w:r>
      <w:r w:rsidR="00C149D7">
        <w:t xml:space="preserve"> Theorem was applied.</w:t>
      </w:r>
    </w:p>
    <w:p w14:paraId="26D2CB0D" w14:textId="43210981" w:rsidR="00ED65EE" w:rsidRPr="005613FD" w:rsidRDefault="00ED65EE" w:rsidP="00845170">
      <w:pPr>
        <w:pStyle w:val="TableHeading"/>
        <w:keepLines/>
      </w:pPr>
      <w:bookmarkStart w:id="224" w:name="_Ref34738867"/>
      <w:bookmarkStart w:id="225" w:name="_Toc39580802"/>
      <w:r w:rsidRPr="005613FD">
        <w:lastRenderedPageBreak/>
        <w:t xml:space="preserve">Table </w:t>
      </w:r>
      <w:r w:rsidR="00E66384">
        <w:rPr>
          <w:noProof/>
        </w:rPr>
        <w:fldChar w:fldCharType="begin"/>
      </w:r>
      <w:r w:rsidR="00E66384">
        <w:rPr>
          <w:noProof/>
        </w:rPr>
        <w:instrText xml:space="preserve"> SEQ Table \* ARABIC </w:instrText>
      </w:r>
      <w:r w:rsidR="00E66384">
        <w:rPr>
          <w:noProof/>
        </w:rPr>
        <w:fldChar w:fldCharType="separate"/>
      </w:r>
      <w:r w:rsidR="00FA7BCD">
        <w:rPr>
          <w:noProof/>
        </w:rPr>
        <w:t>21</w:t>
      </w:r>
      <w:r w:rsidR="00E66384">
        <w:rPr>
          <w:noProof/>
        </w:rPr>
        <w:fldChar w:fldCharType="end"/>
      </w:r>
      <w:bookmarkEnd w:id="224"/>
      <w:r>
        <w:rPr>
          <w:noProof/>
        </w:rPr>
        <w:tab/>
      </w:r>
      <w:r w:rsidRPr="005613FD">
        <w:t>Diagnostic accuracy data extraction</w:t>
      </w:r>
      <w:bookmarkEnd w:id="225"/>
      <w:r w:rsidRPr="005613FD">
        <w:t xml:space="preserve"> </w:t>
      </w:r>
    </w:p>
    <w:tbl>
      <w:tblPr>
        <w:tblW w:w="9039" w:type="dxa"/>
        <w:tblLayout w:type="fixed"/>
        <w:tblLook w:val="0000" w:firstRow="0" w:lastRow="0" w:firstColumn="0" w:lastColumn="0" w:noHBand="0" w:noVBand="0"/>
        <w:tblCaption w:val="Table 21 Diagnostic accuracy data extraction "/>
        <w:tblDescription w:val="A description of the 2 x 2 table used to extract data for daignostic accuracy"/>
      </w:tblPr>
      <w:tblGrid>
        <w:gridCol w:w="1526"/>
        <w:gridCol w:w="1134"/>
        <w:gridCol w:w="2268"/>
        <w:gridCol w:w="1984"/>
        <w:gridCol w:w="2127"/>
      </w:tblGrid>
      <w:tr w:rsidR="00ED65EE" w:rsidRPr="00637462" w14:paraId="1CE4FBCF" w14:textId="77777777" w:rsidTr="006132AD">
        <w:trPr>
          <w:trHeight w:val="177"/>
        </w:trPr>
        <w:tc>
          <w:tcPr>
            <w:tcW w:w="1526" w:type="dxa"/>
            <w:vAlign w:val="bottom"/>
          </w:tcPr>
          <w:p w14:paraId="7FC46E56" w14:textId="77777777" w:rsidR="00ED65EE" w:rsidRPr="00637462" w:rsidRDefault="00ED65EE" w:rsidP="00845170">
            <w:pPr>
              <w:pStyle w:val="TableText1"/>
              <w:keepLines/>
              <w:spacing w:line="240" w:lineRule="auto"/>
              <w:rPr>
                <w:color w:val="FFFFFF" w:themeColor="background1"/>
                <w:sz w:val="20"/>
                <w:szCs w:val="20"/>
              </w:rPr>
            </w:pPr>
            <w:r w:rsidRPr="00637462">
              <w:rPr>
                <w:color w:val="FFFFFF" w:themeColor="background1"/>
                <w:sz w:val="20"/>
                <w:szCs w:val="20"/>
              </w:rPr>
              <w:t>-</w:t>
            </w:r>
          </w:p>
        </w:tc>
        <w:tc>
          <w:tcPr>
            <w:tcW w:w="1134" w:type="dxa"/>
            <w:vAlign w:val="bottom"/>
          </w:tcPr>
          <w:p w14:paraId="2DC9D76C" w14:textId="77777777" w:rsidR="00ED65EE" w:rsidRPr="00637462" w:rsidRDefault="00ED65EE" w:rsidP="00845170">
            <w:pPr>
              <w:pStyle w:val="TableText1"/>
              <w:keepLines/>
              <w:spacing w:line="240" w:lineRule="auto"/>
              <w:rPr>
                <w:color w:val="FFFFFF" w:themeColor="background1"/>
                <w:sz w:val="20"/>
                <w:szCs w:val="20"/>
              </w:rPr>
            </w:pPr>
            <w:r w:rsidRPr="00637462">
              <w:rPr>
                <w:color w:val="FFFFFF" w:themeColor="background1"/>
                <w:sz w:val="20"/>
                <w:szCs w:val="20"/>
              </w:rPr>
              <w:t>-</w:t>
            </w:r>
          </w:p>
        </w:tc>
        <w:tc>
          <w:tcPr>
            <w:tcW w:w="2268" w:type="dxa"/>
            <w:vAlign w:val="bottom"/>
          </w:tcPr>
          <w:p w14:paraId="335A1F94" w14:textId="77777777" w:rsidR="00ED65EE" w:rsidRPr="00637462" w:rsidRDefault="00ED65EE" w:rsidP="00845170">
            <w:pPr>
              <w:pStyle w:val="TableText1"/>
              <w:keepLines/>
              <w:spacing w:before="120" w:line="240" w:lineRule="auto"/>
              <w:jc w:val="right"/>
              <w:rPr>
                <w:b/>
                <w:sz w:val="20"/>
                <w:szCs w:val="20"/>
              </w:rPr>
            </w:pPr>
            <w:r w:rsidRPr="00637462">
              <w:rPr>
                <w:b/>
                <w:sz w:val="20"/>
                <w:szCs w:val="20"/>
              </w:rPr>
              <w:t>Reference standard</w:t>
            </w:r>
          </w:p>
        </w:tc>
        <w:tc>
          <w:tcPr>
            <w:tcW w:w="1984" w:type="dxa"/>
            <w:vAlign w:val="bottom"/>
          </w:tcPr>
          <w:p w14:paraId="237A4656" w14:textId="77777777" w:rsidR="00ED65EE" w:rsidRPr="00637462" w:rsidRDefault="00ED65EE" w:rsidP="00845170">
            <w:pPr>
              <w:pStyle w:val="TableText1"/>
              <w:keepLines/>
              <w:spacing w:line="240" w:lineRule="auto"/>
              <w:rPr>
                <w:b/>
                <w:color w:val="FFFFFF" w:themeColor="background1"/>
                <w:sz w:val="20"/>
                <w:szCs w:val="20"/>
              </w:rPr>
            </w:pPr>
          </w:p>
        </w:tc>
        <w:tc>
          <w:tcPr>
            <w:tcW w:w="2127" w:type="dxa"/>
            <w:vAlign w:val="bottom"/>
          </w:tcPr>
          <w:p w14:paraId="24E9155B" w14:textId="77777777" w:rsidR="00ED65EE" w:rsidRPr="00637462" w:rsidRDefault="00ED65EE" w:rsidP="00845170">
            <w:pPr>
              <w:pStyle w:val="TableText1"/>
              <w:keepLines/>
              <w:spacing w:line="240" w:lineRule="auto"/>
              <w:rPr>
                <w:color w:val="FFFFFF" w:themeColor="background1"/>
                <w:sz w:val="20"/>
                <w:szCs w:val="20"/>
              </w:rPr>
            </w:pPr>
            <w:r w:rsidRPr="00637462">
              <w:rPr>
                <w:color w:val="FFFFFF" w:themeColor="background1"/>
                <w:sz w:val="20"/>
                <w:szCs w:val="20"/>
              </w:rPr>
              <w:t>-</w:t>
            </w:r>
          </w:p>
        </w:tc>
      </w:tr>
      <w:tr w:rsidR="00ED65EE" w:rsidRPr="00637462" w14:paraId="23639731" w14:textId="77777777" w:rsidTr="006132AD">
        <w:trPr>
          <w:trHeight w:val="310"/>
        </w:trPr>
        <w:tc>
          <w:tcPr>
            <w:tcW w:w="1526" w:type="dxa"/>
            <w:vAlign w:val="center"/>
          </w:tcPr>
          <w:p w14:paraId="179CED13" w14:textId="77777777" w:rsidR="00ED65EE" w:rsidRPr="00637462" w:rsidRDefault="00ED65EE" w:rsidP="00845170">
            <w:pPr>
              <w:pStyle w:val="TableText1"/>
              <w:keepLines/>
              <w:spacing w:line="240" w:lineRule="auto"/>
              <w:rPr>
                <w:color w:val="FFFFFF" w:themeColor="background1"/>
                <w:sz w:val="20"/>
                <w:szCs w:val="20"/>
              </w:rPr>
            </w:pPr>
            <w:r w:rsidRPr="00637462">
              <w:rPr>
                <w:color w:val="FFFFFF" w:themeColor="background1"/>
                <w:sz w:val="20"/>
                <w:szCs w:val="20"/>
              </w:rPr>
              <w:t>-</w:t>
            </w:r>
          </w:p>
        </w:tc>
        <w:tc>
          <w:tcPr>
            <w:tcW w:w="1134" w:type="dxa"/>
            <w:vAlign w:val="center"/>
          </w:tcPr>
          <w:p w14:paraId="7A3FA034" w14:textId="77777777" w:rsidR="00ED65EE" w:rsidRPr="00637462" w:rsidRDefault="00ED65EE" w:rsidP="00845170">
            <w:pPr>
              <w:pStyle w:val="TableText1"/>
              <w:keepLines/>
              <w:spacing w:line="240" w:lineRule="auto"/>
              <w:rPr>
                <w:color w:val="FFFFFF" w:themeColor="background1"/>
                <w:sz w:val="20"/>
                <w:szCs w:val="20"/>
              </w:rPr>
            </w:pPr>
            <w:r w:rsidRPr="00637462">
              <w:rPr>
                <w:color w:val="FFFFFF" w:themeColor="background1"/>
                <w:sz w:val="20"/>
                <w:szCs w:val="20"/>
              </w:rPr>
              <w:t>-</w:t>
            </w:r>
          </w:p>
        </w:tc>
        <w:tc>
          <w:tcPr>
            <w:tcW w:w="2268" w:type="dxa"/>
            <w:tcBorders>
              <w:bottom w:val="single" w:sz="4" w:space="0" w:color="auto"/>
            </w:tcBorders>
            <w:vAlign w:val="center"/>
          </w:tcPr>
          <w:p w14:paraId="75F1F4D5" w14:textId="77777777" w:rsidR="00ED65EE" w:rsidRPr="00637462" w:rsidRDefault="00ED65EE" w:rsidP="00845170">
            <w:pPr>
              <w:pStyle w:val="TableText1"/>
              <w:keepLines/>
              <w:spacing w:line="240" w:lineRule="auto"/>
              <w:ind w:left="113"/>
              <w:rPr>
                <w:sz w:val="20"/>
                <w:szCs w:val="20"/>
              </w:rPr>
            </w:pPr>
            <w:r w:rsidRPr="00637462">
              <w:rPr>
                <w:i/>
                <w:sz w:val="20"/>
                <w:szCs w:val="20"/>
              </w:rPr>
              <w:t>Disease +</w:t>
            </w:r>
          </w:p>
        </w:tc>
        <w:tc>
          <w:tcPr>
            <w:tcW w:w="1984" w:type="dxa"/>
            <w:tcBorders>
              <w:bottom w:val="single" w:sz="4" w:space="0" w:color="auto"/>
            </w:tcBorders>
            <w:vAlign w:val="center"/>
          </w:tcPr>
          <w:p w14:paraId="5E4A78A7" w14:textId="77777777" w:rsidR="00ED65EE" w:rsidRPr="00637462" w:rsidRDefault="00ED65EE" w:rsidP="00845170">
            <w:pPr>
              <w:pStyle w:val="TableText1"/>
              <w:keepLines/>
              <w:spacing w:line="240" w:lineRule="auto"/>
              <w:ind w:left="113"/>
              <w:rPr>
                <w:sz w:val="20"/>
                <w:szCs w:val="20"/>
              </w:rPr>
            </w:pPr>
            <w:r w:rsidRPr="00637462">
              <w:rPr>
                <w:i/>
                <w:sz w:val="20"/>
                <w:szCs w:val="20"/>
              </w:rPr>
              <w:t>Disease –</w:t>
            </w:r>
          </w:p>
        </w:tc>
        <w:tc>
          <w:tcPr>
            <w:tcW w:w="2127" w:type="dxa"/>
            <w:vAlign w:val="center"/>
          </w:tcPr>
          <w:p w14:paraId="6A038072" w14:textId="77777777" w:rsidR="00ED65EE" w:rsidRPr="00637462" w:rsidRDefault="00ED65EE" w:rsidP="00845170">
            <w:pPr>
              <w:pStyle w:val="TableText1"/>
              <w:keepLines/>
              <w:spacing w:line="240" w:lineRule="auto"/>
              <w:rPr>
                <w:color w:val="FFFFFF" w:themeColor="background1"/>
                <w:sz w:val="20"/>
                <w:szCs w:val="20"/>
              </w:rPr>
            </w:pPr>
            <w:r w:rsidRPr="00637462">
              <w:rPr>
                <w:color w:val="FFFFFF" w:themeColor="background1"/>
                <w:sz w:val="20"/>
                <w:szCs w:val="20"/>
              </w:rPr>
              <w:t>-</w:t>
            </w:r>
          </w:p>
        </w:tc>
      </w:tr>
      <w:tr w:rsidR="00ED65EE" w:rsidRPr="00637462" w14:paraId="45E6C7FE" w14:textId="77777777" w:rsidTr="006132AD">
        <w:trPr>
          <w:trHeight w:val="449"/>
        </w:trPr>
        <w:tc>
          <w:tcPr>
            <w:tcW w:w="1526" w:type="dxa"/>
            <w:vAlign w:val="center"/>
          </w:tcPr>
          <w:p w14:paraId="3EABFD5B" w14:textId="77777777" w:rsidR="00ED65EE" w:rsidRPr="00637462" w:rsidRDefault="00ED65EE" w:rsidP="00845170">
            <w:pPr>
              <w:pStyle w:val="TableText1"/>
              <w:keepLines/>
              <w:jc w:val="center"/>
              <w:rPr>
                <w:b/>
                <w:sz w:val="20"/>
                <w:szCs w:val="20"/>
              </w:rPr>
            </w:pPr>
            <w:r w:rsidRPr="00637462">
              <w:rPr>
                <w:b/>
                <w:sz w:val="20"/>
                <w:szCs w:val="20"/>
              </w:rPr>
              <w:t xml:space="preserve">Index test </w:t>
            </w:r>
          </w:p>
        </w:tc>
        <w:tc>
          <w:tcPr>
            <w:tcW w:w="1134" w:type="dxa"/>
            <w:tcBorders>
              <w:right w:val="single" w:sz="4" w:space="0" w:color="auto"/>
            </w:tcBorders>
            <w:vAlign w:val="center"/>
          </w:tcPr>
          <w:p w14:paraId="67235BA1" w14:textId="77777777" w:rsidR="00ED65EE" w:rsidRPr="00637462" w:rsidRDefault="00ED65EE" w:rsidP="00845170">
            <w:pPr>
              <w:pStyle w:val="TableText1"/>
              <w:keepLines/>
              <w:rPr>
                <w:sz w:val="20"/>
                <w:szCs w:val="20"/>
              </w:rPr>
            </w:pPr>
            <w:r w:rsidRPr="00637462">
              <w:rPr>
                <w:i/>
                <w:sz w:val="20"/>
                <w:szCs w:val="20"/>
              </w:rPr>
              <w:t>Test +</w:t>
            </w:r>
          </w:p>
        </w:tc>
        <w:tc>
          <w:tcPr>
            <w:tcW w:w="2268" w:type="dxa"/>
            <w:tcBorders>
              <w:top w:val="single" w:sz="4" w:space="0" w:color="auto"/>
              <w:left w:val="single" w:sz="4" w:space="0" w:color="auto"/>
              <w:bottom w:val="single" w:sz="4" w:space="0" w:color="auto"/>
              <w:right w:val="single" w:sz="4" w:space="0" w:color="auto"/>
            </w:tcBorders>
            <w:vAlign w:val="center"/>
          </w:tcPr>
          <w:p w14:paraId="527F2BF2" w14:textId="77777777" w:rsidR="00ED65EE" w:rsidRPr="00637462" w:rsidRDefault="00ED65EE" w:rsidP="00845170">
            <w:pPr>
              <w:pStyle w:val="TableText1"/>
              <w:keepLines/>
              <w:ind w:left="113"/>
              <w:rPr>
                <w:sz w:val="20"/>
                <w:szCs w:val="20"/>
              </w:rPr>
            </w:pPr>
            <w:r w:rsidRPr="00637462">
              <w:rPr>
                <w:sz w:val="20"/>
                <w:szCs w:val="20"/>
              </w:rPr>
              <w:t>true positive</w:t>
            </w:r>
          </w:p>
        </w:tc>
        <w:tc>
          <w:tcPr>
            <w:tcW w:w="1984" w:type="dxa"/>
            <w:tcBorders>
              <w:top w:val="single" w:sz="4" w:space="0" w:color="auto"/>
              <w:left w:val="single" w:sz="4" w:space="0" w:color="auto"/>
              <w:bottom w:val="single" w:sz="4" w:space="0" w:color="auto"/>
              <w:right w:val="single" w:sz="4" w:space="0" w:color="auto"/>
            </w:tcBorders>
            <w:vAlign w:val="center"/>
          </w:tcPr>
          <w:p w14:paraId="73C5B170" w14:textId="77777777" w:rsidR="00ED65EE" w:rsidRPr="00637462" w:rsidRDefault="00ED65EE" w:rsidP="00845170">
            <w:pPr>
              <w:pStyle w:val="TableText1"/>
              <w:keepLines/>
              <w:ind w:left="113"/>
              <w:rPr>
                <w:sz w:val="20"/>
                <w:szCs w:val="20"/>
              </w:rPr>
            </w:pPr>
            <w:r w:rsidRPr="00637462">
              <w:rPr>
                <w:sz w:val="20"/>
                <w:szCs w:val="20"/>
              </w:rPr>
              <w:t>false positive</w:t>
            </w:r>
          </w:p>
        </w:tc>
        <w:tc>
          <w:tcPr>
            <w:tcW w:w="2127" w:type="dxa"/>
            <w:tcBorders>
              <w:left w:val="single" w:sz="4" w:space="0" w:color="auto"/>
              <w:right w:val="nil"/>
            </w:tcBorders>
            <w:vAlign w:val="center"/>
          </w:tcPr>
          <w:p w14:paraId="0234FD51" w14:textId="77777777" w:rsidR="00ED65EE" w:rsidRPr="00637462" w:rsidRDefault="00ED65EE" w:rsidP="00845170">
            <w:pPr>
              <w:pStyle w:val="TableText1"/>
              <w:keepLines/>
              <w:rPr>
                <w:sz w:val="20"/>
                <w:szCs w:val="20"/>
              </w:rPr>
            </w:pPr>
            <w:r w:rsidRPr="00637462">
              <w:rPr>
                <w:sz w:val="20"/>
                <w:szCs w:val="20"/>
              </w:rPr>
              <w:t>Total test positive</w:t>
            </w:r>
          </w:p>
        </w:tc>
      </w:tr>
      <w:tr w:rsidR="00ED65EE" w:rsidRPr="00637462" w14:paraId="21EDCCC5" w14:textId="77777777" w:rsidTr="006132AD">
        <w:trPr>
          <w:trHeight w:val="426"/>
        </w:trPr>
        <w:tc>
          <w:tcPr>
            <w:tcW w:w="1526" w:type="dxa"/>
            <w:vAlign w:val="center"/>
          </w:tcPr>
          <w:p w14:paraId="419344A0" w14:textId="77777777" w:rsidR="00ED65EE" w:rsidRPr="00637462" w:rsidRDefault="00ED65EE" w:rsidP="00845170">
            <w:pPr>
              <w:pStyle w:val="TableText0"/>
              <w:keepNext/>
              <w:keepLines/>
              <w:rPr>
                <w:color w:val="FFFFFF" w:themeColor="background1"/>
              </w:rPr>
            </w:pPr>
            <w:r w:rsidRPr="00637462">
              <w:t xml:space="preserve">Or comparator </w:t>
            </w:r>
          </w:p>
        </w:tc>
        <w:tc>
          <w:tcPr>
            <w:tcW w:w="1134" w:type="dxa"/>
            <w:tcBorders>
              <w:right w:val="single" w:sz="4" w:space="0" w:color="auto"/>
            </w:tcBorders>
            <w:vAlign w:val="center"/>
          </w:tcPr>
          <w:p w14:paraId="49BC8770" w14:textId="77777777" w:rsidR="00ED65EE" w:rsidRPr="00637462" w:rsidRDefault="00ED65EE" w:rsidP="00845170">
            <w:pPr>
              <w:pStyle w:val="TableText1"/>
              <w:keepLines/>
              <w:rPr>
                <w:sz w:val="20"/>
                <w:szCs w:val="20"/>
              </w:rPr>
            </w:pPr>
            <w:r w:rsidRPr="00637462">
              <w:rPr>
                <w:i/>
                <w:sz w:val="20"/>
                <w:szCs w:val="20"/>
              </w:rPr>
              <w:t>Test –</w:t>
            </w:r>
          </w:p>
        </w:tc>
        <w:tc>
          <w:tcPr>
            <w:tcW w:w="2268" w:type="dxa"/>
            <w:tcBorders>
              <w:top w:val="single" w:sz="4" w:space="0" w:color="auto"/>
              <w:left w:val="single" w:sz="4" w:space="0" w:color="auto"/>
              <w:bottom w:val="single" w:sz="4" w:space="0" w:color="auto"/>
              <w:right w:val="single" w:sz="4" w:space="0" w:color="auto"/>
            </w:tcBorders>
            <w:vAlign w:val="center"/>
          </w:tcPr>
          <w:p w14:paraId="60A4C14E" w14:textId="77777777" w:rsidR="00ED65EE" w:rsidRPr="00637462" w:rsidRDefault="00ED65EE" w:rsidP="00845170">
            <w:pPr>
              <w:pStyle w:val="TableText1"/>
              <w:keepLines/>
              <w:ind w:left="113"/>
              <w:rPr>
                <w:sz w:val="20"/>
                <w:szCs w:val="20"/>
              </w:rPr>
            </w:pPr>
            <w:r w:rsidRPr="00637462">
              <w:rPr>
                <w:sz w:val="20"/>
                <w:szCs w:val="20"/>
              </w:rPr>
              <w:t>false negative</w:t>
            </w:r>
          </w:p>
        </w:tc>
        <w:tc>
          <w:tcPr>
            <w:tcW w:w="1984" w:type="dxa"/>
            <w:tcBorders>
              <w:top w:val="single" w:sz="4" w:space="0" w:color="auto"/>
              <w:left w:val="single" w:sz="4" w:space="0" w:color="auto"/>
              <w:bottom w:val="single" w:sz="4" w:space="0" w:color="auto"/>
              <w:right w:val="single" w:sz="4" w:space="0" w:color="auto"/>
            </w:tcBorders>
            <w:vAlign w:val="center"/>
          </w:tcPr>
          <w:p w14:paraId="2B98C393" w14:textId="77777777" w:rsidR="00ED65EE" w:rsidRPr="00637462" w:rsidRDefault="00ED65EE" w:rsidP="00845170">
            <w:pPr>
              <w:pStyle w:val="TableText1"/>
              <w:keepLines/>
              <w:ind w:left="113"/>
              <w:rPr>
                <w:sz w:val="20"/>
                <w:szCs w:val="20"/>
              </w:rPr>
            </w:pPr>
            <w:r w:rsidRPr="00637462">
              <w:rPr>
                <w:sz w:val="20"/>
                <w:szCs w:val="20"/>
              </w:rPr>
              <w:t>true negative</w:t>
            </w:r>
          </w:p>
        </w:tc>
        <w:tc>
          <w:tcPr>
            <w:tcW w:w="2127" w:type="dxa"/>
            <w:tcBorders>
              <w:left w:val="single" w:sz="4" w:space="0" w:color="auto"/>
              <w:right w:val="nil"/>
            </w:tcBorders>
            <w:vAlign w:val="center"/>
          </w:tcPr>
          <w:p w14:paraId="1E93AA02" w14:textId="77777777" w:rsidR="00ED65EE" w:rsidRPr="00637462" w:rsidRDefault="00ED65EE" w:rsidP="00845170">
            <w:pPr>
              <w:pStyle w:val="TableText1"/>
              <w:keepLines/>
              <w:rPr>
                <w:sz w:val="20"/>
                <w:szCs w:val="20"/>
              </w:rPr>
            </w:pPr>
            <w:r w:rsidRPr="00637462">
              <w:rPr>
                <w:sz w:val="20"/>
                <w:szCs w:val="20"/>
              </w:rPr>
              <w:t>Total test negative</w:t>
            </w:r>
          </w:p>
        </w:tc>
      </w:tr>
      <w:tr w:rsidR="00ED65EE" w:rsidRPr="00637462" w14:paraId="4947151A" w14:textId="77777777" w:rsidTr="006132AD">
        <w:trPr>
          <w:trHeight w:val="149"/>
        </w:trPr>
        <w:tc>
          <w:tcPr>
            <w:tcW w:w="1526" w:type="dxa"/>
            <w:vAlign w:val="center"/>
          </w:tcPr>
          <w:p w14:paraId="3AD56454" w14:textId="77777777" w:rsidR="00ED65EE" w:rsidRPr="00637462" w:rsidRDefault="00ED65EE" w:rsidP="00845170">
            <w:pPr>
              <w:pStyle w:val="TableText0"/>
              <w:keepNext/>
              <w:keepLines/>
            </w:pPr>
            <w:r w:rsidRPr="00637462">
              <w:t>-</w:t>
            </w:r>
          </w:p>
        </w:tc>
        <w:tc>
          <w:tcPr>
            <w:tcW w:w="1134" w:type="dxa"/>
            <w:vAlign w:val="center"/>
          </w:tcPr>
          <w:p w14:paraId="2776BE4A" w14:textId="77777777" w:rsidR="00ED65EE" w:rsidRPr="00637462" w:rsidRDefault="00ED65EE" w:rsidP="00845170">
            <w:pPr>
              <w:pStyle w:val="TableText1"/>
              <w:keepLines/>
              <w:rPr>
                <w:color w:val="FFFFFF" w:themeColor="background1"/>
                <w:sz w:val="20"/>
                <w:szCs w:val="20"/>
              </w:rPr>
            </w:pPr>
            <w:r w:rsidRPr="00637462">
              <w:rPr>
                <w:color w:val="FFFFFF" w:themeColor="background1"/>
                <w:sz w:val="20"/>
                <w:szCs w:val="20"/>
              </w:rPr>
              <w:t>-</w:t>
            </w:r>
          </w:p>
        </w:tc>
        <w:tc>
          <w:tcPr>
            <w:tcW w:w="2268" w:type="dxa"/>
            <w:tcBorders>
              <w:top w:val="single" w:sz="4" w:space="0" w:color="auto"/>
              <w:bottom w:val="nil"/>
            </w:tcBorders>
            <w:vAlign w:val="center"/>
          </w:tcPr>
          <w:p w14:paraId="116ED336" w14:textId="77777777" w:rsidR="00ED65EE" w:rsidRPr="00637462" w:rsidRDefault="00ED65EE" w:rsidP="00845170">
            <w:pPr>
              <w:pStyle w:val="TableText1"/>
              <w:keepLines/>
              <w:ind w:left="113"/>
              <w:rPr>
                <w:sz w:val="20"/>
                <w:szCs w:val="20"/>
                <w:highlight w:val="yellow"/>
              </w:rPr>
            </w:pPr>
            <w:r w:rsidRPr="00637462">
              <w:rPr>
                <w:sz w:val="20"/>
                <w:szCs w:val="20"/>
              </w:rPr>
              <w:t xml:space="preserve">Total with </w:t>
            </w:r>
            <w:r>
              <w:rPr>
                <w:sz w:val="20"/>
                <w:szCs w:val="20"/>
              </w:rPr>
              <w:t>disease</w:t>
            </w:r>
          </w:p>
        </w:tc>
        <w:tc>
          <w:tcPr>
            <w:tcW w:w="1984" w:type="dxa"/>
            <w:tcBorders>
              <w:top w:val="single" w:sz="4" w:space="0" w:color="auto"/>
              <w:bottom w:val="nil"/>
            </w:tcBorders>
            <w:vAlign w:val="center"/>
          </w:tcPr>
          <w:p w14:paraId="63A9662D" w14:textId="77777777" w:rsidR="00ED65EE" w:rsidRPr="00637462" w:rsidRDefault="00ED65EE" w:rsidP="00845170">
            <w:pPr>
              <w:pStyle w:val="TableText1"/>
              <w:keepLines/>
              <w:ind w:left="113"/>
              <w:rPr>
                <w:sz w:val="20"/>
                <w:szCs w:val="20"/>
                <w:highlight w:val="yellow"/>
              </w:rPr>
            </w:pPr>
            <w:r w:rsidRPr="00637462">
              <w:rPr>
                <w:sz w:val="20"/>
                <w:szCs w:val="20"/>
              </w:rPr>
              <w:t xml:space="preserve">Total without </w:t>
            </w:r>
            <w:r>
              <w:rPr>
                <w:sz w:val="20"/>
                <w:szCs w:val="20"/>
              </w:rPr>
              <w:t>disease</w:t>
            </w:r>
          </w:p>
        </w:tc>
        <w:tc>
          <w:tcPr>
            <w:tcW w:w="2127" w:type="dxa"/>
            <w:tcBorders>
              <w:bottom w:val="nil"/>
            </w:tcBorders>
            <w:vAlign w:val="center"/>
          </w:tcPr>
          <w:p w14:paraId="74C1C8F3" w14:textId="77777777" w:rsidR="00ED65EE" w:rsidRPr="00637462" w:rsidRDefault="00ED65EE" w:rsidP="00845170">
            <w:pPr>
              <w:pStyle w:val="TableText1"/>
              <w:keepLines/>
              <w:rPr>
                <w:color w:val="FFFFFF" w:themeColor="background1"/>
                <w:sz w:val="20"/>
                <w:szCs w:val="20"/>
              </w:rPr>
            </w:pPr>
            <w:r w:rsidRPr="00637462">
              <w:rPr>
                <w:color w:val="FFFFFF" w:themeColor="background1"/>
                <w:sz w:val="20"/>
                <w:szCs w:val="20"/>
              </w:rPr>
              <w:t>-</w:t>
            </w:r>
          </w:p>
        </w:tc>
      </w:tr>
    </w:tbl>
    <w:p w14:paraId="470165FB" w14:textId="77777777" w:rsidR="00ED65EE" w:rsidRDefault="00ED65EE" w:rsidP="00ED65EE"/>
    <w:p w14:paraId="1BB2185D" w14:textId="542E6363" w:rsidR="00A36964" w:rsidRDefault="00DC2627" w:rsidP="00ED65EE">
      <w:r>
        <w:t>In studies from which accuracy data could not be extracted, diagnostic yield data w</w:t>
      </w:r>
      <w:r w:rsidR="00C149D7">
        <w:t>ere</w:t>
      </w:r>
      <w:r>
        <w:t xml:space="preserve"> reported for the number testing positive or negative for AQP4-Ab and MOG-Ab</w:t>
      </w:r>
      <w:r w:rsidR="002E4D5B">
        <w:t xml:space="preserve"> in relevant populations</w:t>
      </w:r>
      <w:r>
        <w:t>.</w:t>
      </w:r>
    </w:p>
    <w:p w14:paraId="12A7A8E8" w14:textId="77777777" w:rsidR="005443A8" w:rsidRDefault="005443A8" w:rsidP="00ED65EE"/>
    <w:p w14:paraId="23913957" w14:textId="77777777" w:rsidR="00ED65EE" w:rsidRDefault="00ED65EE" w:rsidP="003816F6">
      <w:pPr>
        <w:pStyle w:val="Heading2"/>
        <w:numPr>
          <w:ilvl w:val="1"/>
          <w:numId w:val="17"/>
        </w:numPr>
      </w:pPr>
      <w:bookmarkStart w:id="226" w:name="_Toc39588310"/>
      <w:r w:rsidRPr="00183E4D">
        <w:t>Results of the Systematic Literature review</w:t>
      </w:r>
      <w:bookmarkEnd w:id="226"/>
    </w:p>
    <w:p w14:paraId="1551917B" w14:textId="77777777" w:rsidR="00ED65EE" w:rsidRDefault="00ED65EE" w:rsidP="00ED65EE">
      <w:pPr>
        <w:pStyle w:val="Heading3"/>
      </w:pPr>
      <w:bookmarkStart w:id="227" w:name="_Toc39588311"/>
      <w:r>
        <w:t>Is it accurate?</w:t>
      </w:r>
      <w:bookmarkEnd w:id="227"/>
    </w:p>
    <w:p w14:paraId="7546CB1C" w14:textId="77777777" w:rsidR="00ED65EE" w:rsidRDefault="00ED65EE" w:rsidP="00ED65EE">
      <w:pPr>
        <w:pStyle w:val="Summaryboxheading"/>
        <w:pBdr>
          <w:top w:val="single" w:sz="4" w:space="1" w:color="auto"/>
          <w:left w:val="single" w:sz="4" w:space="4" w:color="auto"/>
          <w:bottom w:val="single" w:sz="4" w:space="1" w:color="auto"/>
          <w:right w:val="single" w:sz="4" w:space="4" w:color="auto"/>
        </w:pBdr>
      </w:pPr>
      <w:r w:rsidRPr="00183E4D">
        <w:t xml:space="preserve">Summary – </w:t>
      </w:r>
      <w:r w:rsidR="006C3A54" w:rsidRPr="006C3A54">
        <w:t>What is the clinical validity of AQP4-Ab with/without MOG-Ab testing (either concurrently or sequentially) in patients suspected of NMOSD, compared to being diagnosed by clinical characteristics alone?</w:t>
      </w:r>
    </w:p>
    <w:p w14:paraId="37EAF08D" w14:textId="77777777" w:rsidR="00804D9B" w:rsidRDefault="00804D9B" w:rsidP="006F54CC">
      <w:pPr>
        <w:pStyle w:val="Summaryboxheading"/>
        <w:pBdr>
          <w:top w:val="single" w:sz="4" w:space="1" w:color="auto"/>
          <w:left w:val="single" w:sz="4" w:space="4" w:color="auto"/>
          <w:bottom w:val="single" w:sz="4" w:space="1" w:color="auto"/>
          <w:right w:val="single" w:sz="4" w:space="4" w:color="auto"/>
        </w:pBdr>
        <w:rPr>
          <w:b w:val="0"/>
        </w:rPr>
      </w:pPr>
      <w:r>
        <w:rPr>
          <w:b w:val="0"/>
        </w:rPr>
        <w:t xml:space="preserve">Although </w:t>
      </w:r>
      <w:r w:rsidR="006C3A54">
        <w:rPr>
          <w:b w:val="0"/>
        </w:rPr>
        <w:t xml:space="preserve">the </w:t>
      </w:r>
      <w:r>
        <w:rPr>
          <w:b w:val="0"/>
        </w:rPr>
        <w:t xml:space="preserve">diagnostic accuracy </w:t>
      </w:r>
      <w:r w:rsidR="006C3A54">
        <w:rPr>
          <w:b w:val="0"/>
        </w:rPr>
        <w:t xml:space="preserve">of AQP4-Ab testing compared to diagnosis by clinical characteristics (2015 IPND </w:t>
      </w:r>
      <w:r w:rsidR="008A1746">
        <w:rPr>
          <w:b w:val="0"/>
        </w:rPr>
        <w:t>criteria</w:t>
      </w:r>
      <w:r w:rsidR="006C3A54">
        <w:rPr>
          <w:b w:val="0"/>
        </w:rPr>
        <w:t xml:space="preserve">) </w:t>
      </w:r>
      <w:r>
        <w:rPr>
          <w:b w:val="0"/>
        </w:rPr>
        <w:t>could be calculated from 2</w:t>
      </w:r>
      <w:r w:rsidR="00A642B3">
        <w:rPr>
          <w:b w:val="0"/>
        </w:rPr>
        <w:t xml:space="preserve"> </w:t>
      </w:r>
      <w:r>
        <w:rPr>
          <w:b w:val="0"/>
        </w:rPr>
        <w:t>x</w:t>
      </w:r>
      <w:r w:rsidR="00A642B3">
        <w:rPr>
          <w:b w:val="0"/>
        </w:rPr>
        <w:t xml:space="preserve"> </w:t>
      </w:r>
      <w:r>
        <w:rPr>
          <w:b w:val="0"/>
        </w:rPr>
        <w:t xml:space="preserve">2 tables using data from relevant publications, the nature of the </w:t>
      </w:r>
      <w:r w:rsidR="00982BA9">
        <w:rPr>
          <w:b w:val="0"/>
        </w:rPr>
        <w:t xml:space="preserve">intervention and </w:t>
      </w:r>
      <w:r w:rsidR="00953B6A">
        <w:rPr>
          <w:b w:val="0"/>
        </w:rPr>
        <w:t xml:space="preserve">issues with </w:t>
      </w:r>
      <w:r w:rsidR="00982BA9">
        <w:rPr>
          <w:b w:val="0"/>
        </w:rPr>
        <w:t xml:space="preserve">the </w:t>
      </w:r>
      <w:r>
        <w:rPr>
          <w:b w:val="0"/>
        </w:rPr>
        <w:t xml:space="preserve">reference standard </w:t>
      </w:r>
      <w:r w:rsidR="00982BA9">
        <w:rPr>
          <w:b w:val="0"/>
        </w:rPr>
        <w:t>reduced</w:t>
      </w:r>
      <w:r>
        <w:rPr>
          <w:b w:val="0"/>
        </w:rPr>
        <w:t xml:space="preserve"> the </w:t>
      </w:r>
      <w:r w:rsidR="00982BA9">
        <w:rPr>
          <w:b w:val="0"/>
        </w:rPr>
        <w:t xml:space="preserve">usefulness of the diagnostic accuracy outcome. </w:t>
      </w:r>
    </w:p>
    <w:p w14:paraId="4B1B22F8" w14:textId="77777777" w:rsidR="006C3A54" w:rsidRDefault="006C3A54" w:rsidP="006F54CC">
      <w:pPr>
        <w:pStyle w:val="Summaryboxheading"/>
        <w:pBdr>
          <w:top w:val="single" w:sz="4" w:space="1" w:color="auto"/>
          <w:left w:val="single" w:sz="4" w:space="4" w:color="auto"/>
          <w:bottom w:val="single" w:sz="4" w:space="1" w:color="auto"/>
          <w:right w:val="single" w:sz="4" w:space="4" w:color="auto"/>
        </w:pBdr>
        <w:rPr>
          <w:b w:val="0"/>
        </w:rPr>
      </w:pPr>
      <w:r>
        <w:rPr>
          <w:b w:val="0"/>
        </w:rPr>
        <w:t>There were insufficient data in the literature to determine the diagnostic accuracy of MOG-Ab testing for NMOSD compared to diagnosis by clinical characteristics alone.</w:t>
      </w:r>
    </w:p>
    <w:p w14:paraId="6B196473" w14:textId="067BDB57" w:rsidR="00982BA9" w:rsidRDefault="00982BA9" w:rsidP="00982BA9">
      <w:pPr>
        <w:pStyle w:val="Summaryboxheading"/>
        <w:pBdr>
          <w:top w:val="single" w:sz="4" w:space="1" w:color="auto"/>
          <w:left w:val="single" w:sz="4" w:space="4" w:color="auto"/>
          <w:bottom w:val="single" w:sz="4" w:space="1" w:color="auto"/>
          <w:right w:val="single" w:sz="4" w:space="4" w:color="auto"/>
        </w:pBdr>
        <w:rPr>
          <w:b w:val="0"/>
        </w:rPr>
      </w:pPr>
      <w:r>
        <w:rPr>
          <w:b w:val="0"/>
        </w:rPr>
        <w:t>P</w:t>
      </w:r>
      <w:r w:rsidR="006F54CC" w:rsidRPr="006F54CC">
        <w:rPr>
          <w:b w:val="0"/>
        </w:rPr>
        <w:t xml:space="preserve">rognostic data </w:t>
      </w:r>
      <w:r>
        <w:rPr>
          <w:b w:val="0"/>
        </w:rPr>
        <w:t xml:space="preserve">collected in studies of populations </w:t>
      </w:r>
      <w:r w:rsidRPr="009364AD">
        <w:rPr>
          <w:b w:val="0"/>
          <w:i/>
        </w:rPr>
        <w:t>suspected</w:t>
      </w:r>
      <w:r>
        <w:rPr>
          <w:b w:val="0"/>
        </w:rPr>
        <w:t xml:space="preserve"> of NMOSD due to the presence of one or more relevant symptoms, provided a longitudinal picture of patients tested for AQP4 antibodies. The data </w:t>
      </w:r>
      <w:r w:rsidR="006F54CC" w:rsidRPr="006F54CC">
        <w:rPr>
          <w:b w:val="0"/>
        </w:rPr>
        <w:t xml:space="preserve">indicated that the presence of AQP4 antibodies identifies a group of patients at risk of clinically significant worse outcomes </w:t>
      </w:r>
      <w:r w:rsidR="005A287E">
        <w:rPr>
          <w:b w:val="0"/>
        </w:rPr>
        <w:t xml:space="preserve">(measured by visual impairment and ARR) </w:t>
      </w:r>
      <w:r w:rsidR="006F54CC" w:rsidRPr="006F54CC">
        <w:rPr>
          <w:b w:val="0"/>
        </w:rPr>
        <w:t xml:space="preserve">amongst those </w:t>
      </w:r>
      <w:r w:rsidR="006F54CC" w:rsidRPr="007E13F0">
        <w:rPr>
          <w:b w:val="0"/>
        </w:rPr>
        <w:t>suspected</w:t>
      </w:r>
      <w:r w:rsidR="006F54CC" w:rsidRPr="006F54CC">
        <w:rPr>
          <w:b w:val="0"/>
        </w:rPr>
        <w:t xml:space="preserve"> of NMOSD.</w:t>
      </w:r>
      <w:r w:rsidR="007E13F0" w:rsidRPr="007E13F0">
        <w:rPr>
          <w:b w:val="0"/>
        </w:rPr>
        <w:t xml:space="preserve"> </w:t>
      </w:r>
      <w:r w:rsidR="007E13F0">
        <w:rPr>
          <w:b w:val="0"/>
        </w:rPr>
        <w:t xml:space="preserve">A similar trend of worse visual outcomes in AQP4-Ab positive compared with negative patients was seen in those </w:t>
      </w:r>
      <w:r w:rsidR="007E13F0" w:rsidRPr="002335E0">
        <w:rPr>
          <w:b w:val="0"/>
          <w:i/>
        </w:rPr>
        <w:t>diagnosed</w:t>
      </w:r>
      <w:r w:rsidR="007E13F0">
        <w:rPr>
          <w:b w:val="0"/>
        </w:rPr>
        <w:t xml:space="preserve"> with NMOSD.</w:t>
      </w:r>
      <w:r w:rsidR="006F54CC" w:rsidRPr="006F54CC">
        <w:rPr>
          <w:b w:val="0"/>
        </w:rPr>
        <w:t xml:space="preserve"> </w:t>
      </w:r>
      <w:r w:rsidR="00F57950">
        <w:rPr>
          <w:b w:val="0"/>
        </w:rPr>
        <w:t xml:space="preserve">When </w:t>
      </w:r>
      <w:r w:rsidR="007E13F0">
        <w:rPr>
          <w:b w:val="0"/>
        </w:rPr>
        <w:t xml:space="preserve">assessed by </w:t>
      </w:r>
      <w:r w:rsidR="00F57950">
        <w:rPr>
          <w:b w:val="0"/>
        </w:rPr>
        <w:t xml:space="preserve">EDSS, prognosis appeared </w:t>
      </w:r>
      <w:r w:rsidR="009E4C33">
        <w:rPr>
          <w:b w:val="0"/>
        </w:rPr>
        <w:t xml:space="preserve">worse for AQP4-Ab positive compared to negative patients </w:t>
      </w:r>
      <w:r w:rsidR="009E4C33" w:rsidRPr="009364AD">
        <w:rPr>
          <w:b w:val="0"/>
          <w:i/>
        </w:rPr>
        <w:t>suspected</w:t>
      </w:r>
      <w:r w:rsidR="009E4C33">
        <w:rPr>
          <w:b w:val="0"/>
        </w:rPr>
        <w:t xml:space="preserve"> of NMOSD but there was some inconsistency in the results.</w:t>
      </w:r>
      <w:r w:rsidR="007E13F0">
        <w:rPr>
          <w:b w:val="0"/>
        </w:rPr>
        <w:t xml:space="preserve"> </w:t>
      </w:r>
      <w:r w:rsidR="00323F8A" w:rsidRPr="00323F8A">
        <w:rPr>
          <w:b w:val="0"/>
        </w:rPr>
        <w:t xml:space="preserve">(GRADE: VERY LOW </w:t>
      </w:r>
      <w:r w:rsidR="00323F8A" w:rsidRPr="00323F8A">
        <w:rPr>
          <w:rFonts w:ascii="Cambria Math" w:hAnsi="Cambria Math"/>
          <w:b w:val="0"/>
          <w:color w:val="00B050"/>
        </w:rPr>
        <w:t>⨁</w:t>
      </w:r>
      <w:r w:rsidR="00323F8A" w:rsidRPr="00323F8A">
        <w:rPr>
          <w:rFonts w:ascii="Cambria Math" w:hAnsi="Cambria Math" w:cs="Cambria Math"/>
          <w:b w:val="0"/>
          <w:color w:val="C00000"/>
        </w:rPr>
        <w:t>⨀⨀⨀</w:t>
      </w:r>
      <w:r w:rsidR="00323F8A" w:rsidRPr="00323F8A">
        <w:rPr>
          <w:b w:val="0"/>
        </w:rPr>
        <w:t xml:space="preserve"> to HIGH </w:t>
      </w:r>
      <w:r w:rsidR="00323F8A" w:rsidRPr="00323F8A">
        <w:rPr>
          <w:rFonts w:ascii="Cambria Math" w:hAnsi="Cambria Math"/>
          <w:b w:val="0"/>
          <w:color w:val="00B050"/>
        </w:rPr>
        <w:t>⨁⨁⨁⨁</w:t>
      </w:r>
      <w:r w:rsidR="00323F8A" w:rsidRPr="00323F8A">
        <w:rPr>
          <w:b w:val="0"/>
        </w:rPr>
        <w:t>)</w:t>
      </w:r>
    </w:p>
    <w:p w14:paraId="482F803F" w14:textId="04EA659A" w:rsidR="006C3A54" w:rsidRPr="00183E4D" w:rsidRDefault="005A287E" w:rsidP="00982BA9">
      <w:pPr>
        <w:pStyle w:val="Summaryboxheading"/>
        <w:pBdr>
          <w:top w:val="single" w:sz="4" w:space="1" w:color="auto"/>
          <w:left w:val="single" w:sz="4" w:space="4" w:color="auto"/>
          <w:bottom w:val="single" w:sz="4" w:space="1" w:color="auto"/>
          <w:right w:val="single" w:sz="4" w:space="4" w:color="auto"/>
        </w:pBdr>
        <w:rPr>
          <w:b w:val="0"/>
        </w:rPr>
      </w:pPr>
      <w:r>
        <w:rPr>
          <w:b w:val="0"/>
        </w:rPr>
        <w:t>P</w:t>
      </w:r>
      <w:r w:rsidR="006C3A54">
        <w:rPr>
          <w:b w:val="0"/>
        </w:rPr>
        <w:t xml:space="preserve">rognosis of MOG-Ab positive </w:t>
      </w:r>
      <w:r>
        <w:rPr>
          <w:b w:val="0"/>
        </w:rPr>
        <w:t xml:space="preserve">patients also appears to be worse </w:t>
      </w:r>
      <w:r w:rsidR="009364AD">
        <w:rPr>
          <w:b w:val="0"/>
        </w:rPr>
        <w:t>than</w:t>
      </w:r>
      <w:r w:rsidR="006C3A54">
        <w:rPr>
          <w:b w:val="0"/>
        </w:rPr>
        <w:t xml:space="preserve"> MOG-Ab negative </w:t>
      </w:r>
      <w:r>
        <w:rPr>
          <w:b w:val="0"/>
        </w:rPr>
        <w:t xml:space="preserve">patients amongst those </w:t>
      </w:r>
      <w:r w:rsidRPr="009364AD">
        <w:rPr>
          <w:b w:val="0"/>
          <w:i/>
        </w:rPr>
        <w:t>suspected</w:t>
      </w:r>
      <w:r>
        <w:rPr>
          <w:b w:val="0"/>
        </w:rPr>
        <w:t xml:space="preserve"> of NMOSD (measured with visual acuity, EDSS and ARR). However, there were fewer studies reporting these outcomes and there was some inconsistency among them.</w:t>
      </w:r>
      <w:r w:rsidR="00323F8A" w:rsidRPr="00323F8A">
        <w:rPr>
          <w:b w:val="0"/>
        </w:rPr>
        <w:t xml:space="preserve"> (GRADE: VERY LOW </w:t>
      </w:r>
      <w:r w:rsidR="00323F8A" w:rsidRPr="00323F8A">
        <w:rPr>
          <w:rFonts w:ascii="Cambria Math" w:hAnsi="Cambria Math"/>
          <w:b w:val="0"/>
          <w:color w:val="00B050"/>
        </w:rPr>
        <w:t>⨁</w:t>
      </w:r>
      <w:r w:rsidR="00323F8A" w:rsidRPr="00323F8A">
        <w:rPr>
          <w:rFonts w:ascii="Cambria Math" w:hAnsi="Cambria Math" w:cs="Cambria Math"/>
          <w:b w:val="0"/>
          <w:color w:val="C00000"/>
        </w:rPr>
        <w:t>⨀⨀⨀</w:t>
      </w:r>
      <w:r w:rsidR="00323F8A" w:rsidRPr="00323F8A">
        <w:rPr>
          <w:b w:val="0"/>
        </w:rPr>
        <w:t xml:space="preserve"> to </w:t>
      </w:r>
      <w:r w:rsidR="00323F8A">
        <w:rPr>
          <w:b w:val="0"/>
        </w:rPr>
        <w:t>MODERATE</w:t>
      </w:r>
      <w:r w:rsidR="00323F8A" w:rsidRPr="00323F8A">
        <w:rPr>
          <w:b w:val="0"/>
        </w:rPr>
        <w:t xml:space="preserve"> </w:t>
      </w:r>
      <w:r w:rsidR="00323F8A" w:rsidRPr="00323F8A">
        <w:rPr>
          <w:rFonts w:ascii="Cambria Math" w:hAnsi="Cambria Math"/>
          <w:b w:val="0"/>
          <w:color w:val="00B050"/>
        </w:rPr>
        <w:t>⨁⨁⨁</w:t>
      </w:r>
      <w:r w:rsidR="00323F8A" w:rsidRPr="00323F8A">
        <w:rPr>
          <w:rFonts w:ascii="Cambria Math" w:hAnsi="Cambria Math" w:cs="Cambria Math"/>
          <w:b w:val="0"/>
          <w:color w:val="C00000"/>
        </w:rPr>
        <w:t>⨀</w:t>
      </w:r>
      <w:r w:rsidR="00323F8A" w:rsidRPr="00323F8A">
        <w:rPr>
          <w:b w:val="0"/>
        </w:rPr>
        <w:t>)</w:t>
      </w:r>
    </w:p>
    <w:p w14:paraId="6157BD16" w14:textId="77777777" w:rsidR="00467398" w:rsidRDefault="00467398" w:rsidP="00467398">
      <w:r>
        <w:t xml:space="preserve">There was no </w:t>
      </w:r>
      <w:r w:rsidR="00F82F90">
        <w:t xml:space="preserve">clinical </w:t>
      </w:r>
      <w:r>
        <w:t xml:space="preserve">reference standard available, but </w:t>
      </w:r>
      <w:r w:rsidR="00D71989">
        <w:t>a</w:t>
      </w:r>
      <w:r>
        <w:t xml:space="preserve"> </w:t>
      </w:r>
      <w:r w:rsidR="00D71989">
        <w:t xml:space="preserve">clinical </w:t>
      </w:r>
      <w:r>
        <w:t xml:space="preserve">evidentiary standard of diagnosis by </w:t>
      </w:r>
      <w:r w:rsidR="00D71989">
        <w:t>the 2015 IPND criteria</w:t>
      </w:r>
      <w:r w:rsidR="00380E3A">
        <w:t xml:space="preserve"> was</w:t>
      </w:r>
      <w:r w:rsidR="00F82F90">
        <w:t xml:space="preserve"> used to assess diagnostic accuracy. Problems associated with the evidentiary standard are discussed in Sections B4.1 and B4.1.1.</w:t>
      </w:r>
    </w:p>
    <w:p w14:paraId="7DFDEAC7" w14:textId="77777777" w:rsidR="00B65F59" w:rsidRDefault="00B65F59" w:rsidP="00B65F59">
      <w:pPr>
        <w:pStyle w:val="Heading3"/>
      </w:pPr>
      <w:bookmarkStart w:id="228" w:name="_Toc39588312"/>
      <w:r>
        <w:t>Diagnostic accuracy</w:t>
      </w:r>
      <w:bookmarkEnd w:id="228"/>
    </w:p>
    <w:p w14:paraId="1124C2D1" w14:textId="65BAE42D" w:rsidR="009849D3" w:rsidRDefault="00F82F90" w:rsidP="009849D3">
      <w:r>
        <w:t xml:space="preserve">Data for 2 x 2 tables </w:t>
      </w:r>
      <w:r w:rsidR="004E10A4">
        <w:t>were</w:t>
      </w:r>
      <w:r>
        <w:t xml:space="preserve"> extracted from 12 studies identified in the literature search. The majority of studies were retrospective case series which performed AQP4-Ab testing on </w:t>
      </w:r>
      <w:r w:rsidR="008A340E">
        <w:t xml:space="preserve">patient </w:t>
      </w:r>
      <w:r>
        <w:t xml:space="preserve">serum samples </w:t>
      </w:r>
      <w:r w:rsidR="008A340E">
        <w:lastRenderedPageBreak/>
        <w:t>i</w:t>
      </w:r>
      <w:r>
        <w:t>dentified in clinic databases</w:t>
      </w:r>
      <w:r w:rsidR="004E10A4">
        <w:t>,</w:t>
      </w:r>
      <w:r>
        <w:t xml:space="preserve"> or accessed antibody test results from the data. </w:t>
      </w:r>
      <w:r w:rsidR="00EE094C">
        <w:t>The test results were compared against diagnosis by the 2015 IPND criteria</w:t>
      </w:r>
      <w:r w:rsidR="00B6750F">
        <w:t xml:space="preserve"> (</w:t>
      </w:r>
      <w:r w:rsidR="00B6750F">
        <w:fldChar w:fldCharType="begin"/>
      </w:r>
      <w:r w:rsidR="00B6750F">
        <w:instrText xml:space="preserve"> REF _Ref34731555 \h </w:instrText>
      </w:r>
      <w:r w:rsidR="00B6750F">
        <w:fldChar w:fldCharType="separate"/>
      </w:r>
      <w:r w:rsidR="009364AD" w:rsidRPr="00F82F90">
        <w:t xml:space="preserve">Table </w:t>
      </w:r>
      <w:r w:rsidR="009364AD">
        <w:rPr>
          <w:noProof/>
        </w:rPr>
        <w:t>22</w:t>
      </w:r>
      <w:r w:rsidR="00B6750F">
        <w:fldChar w:fldCharType="end"/>
      </w:r>
      <w:r w:rsidR="00B6750F">
        <w:t>)</w:t>
      </w:r>
      <w:r w:rsidR="00EE094C">
        <w:t xml:space="preserve">. </w:t>
      </w:r>
      <w:r w:rsidR="00DF77BA">
        <w:t xml:space="preserve">The populations had a range of inclusion criteria, such as first event or history </w:t>
      </w:r>
      <w:r w:rsidR="004E10A4">
        <w:t xml:space="preserve">of </w:t>
      </w:r>
      <w:r w:rsidR="00DF77BA">
        <w:t xml:space="preserve">LETM or </w:t>
      </w:r>
      <w:r w:rsidR="00E700D2">
        <w:t>acute brainstem syndrome (</w:t>
      </w:r>
      <w:r w:rsidR="00DF77BA">
        <w:t>ABS</w:t>
      </w:r>
      <w:r w:rsidR="00E700D2">
        <w:t>)</w:t>
      </w:r>
      <w:r w:rsidR="00DF77BA">
        <w:t xml:space="preserve">, </w:t>
      </w:r>
      <w:r w:rsidR="00E700D2">
        <w:t>inflammatory demyelinating disorder (</w:t>
      </w:r>
      <w:r w:rsidR="00DF77BA">
        <w:t>IDD</w:t>
      </w:r>
      <w:r w:rsidR="00E700D2">
        <w:t>)</w:t>
      </w:r>
      <w:r w:rsidR="00DF77BA">
        <w:t xml:space="preserve"> or CNS inflammatory disease; however o</w:t>
      </w:r>
      <w:r>
        <w:t xml:space="preserve">nly studies with populations not yet diagnosed with NMOSD </w:t>
      </w:r>
      <w:r w:rsidR="00DF77BA">
        <w:t>were</w:t>
      </w:r>
      <w:r>
        <w:t xml:space="preserve"> included. In all but </w:t>
      </w:r>
      <w:r w:rsidR="00DF77BA">
        <w:t>two</w:t>
      </w:r>
      <w:r>
        <w:t xml:space="preserve"> stud</w:t>
      </w:r>
      <w:r w:rsidR="00DF77BA">
        <w:t>ies</w:t>
      </w:r>
      <w:r>
        <w:t>, positivity for AQP4-Ab afforded diagnosis of NMOS</w:t>
      </w:r>
      <w:r w:rsidR="008838DE">
        <w:t>D</w:t>
      </w:r>
      <w:r>
        <w:t xml:space="preserve"> with 100% specificity. </w:t>
      </w:r>
      <w:r w:rsidR="008838DE">
        <w:t>In one study of adults with ON, patients were not necessarily diagnosed with NMOSD if they were AQP4-Ab positive and the specificity was 63.1%</w:t>
      </w:r>
      <w:r w:rsidR="00B05F83">
        <w:t xml:space="preserve"> </w:t>
      </w:r>
      <w:r w:rsidR="00156621">
        <w:fldChar w:fldCharType="begin">
          <w:fldData xml:space="preserve">PEVuZE5vdGU+PENpdGU+PEF1dGhvcj5MaXU8L0F1dGhvcj48WWVhcj4yMDE5PC9ZZWFyPjxSZWNO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</w:fldData>
        </w:fldChar>
      </w:r>
      <w:r w:rsidR="00D96694">
        <w:instrText xml:space="preserve"> ADDIN EN.CITE </w:instrText>
      </w:r>
      <w:r w:rsidR="00D96694">
        <w:fldChar w:fldCharType="begin">
          <w:fldData xml:space="preserve">PEVuZE5vdGU+PENpdGU+PEF1dGhvcj5MaXU8L0F1dGhvcj48WWVhcj4yMDE5PC9ZZWFyPjxSZWNO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</w:fldData>
        </w:fldChar>
      </w:r>
      <w:r w:rsidR="00D96694">
        <w:instrText xml:space="preserve"> ADDIN EN.CITE.DATA </w:instrText>
      </w:r>
      <w:r w:rsidR="00D96694">
        <w:fldChar w:fldCharType="end"/>
      </w:r>
      <w:r w:rsidR="00156621">
        <w:fldChar w:fldCharType="separate"/>
      </w:r>
      <w:r w:rsidR="00156621">
        <w:rPr>
          <w:noProof/>
        </w:rPr>
        <w:t>(Liu et al. 2019)</w:t>
      </w:r>
      <w:r w:rsidR="00156621">
        <w:fldChar w:fldCharType="end"/>
      </w:r>
      <w:r w:rsidR="008838DE">
        <w:t xml:space="preserve">. </w:t>
      </w:r>
      <w:r w:rsidR="00DF77BA">
        <w:t xml:space="preserve">Similarly, in a study conducted in children with </w:t>
      </w:r>
      <w:r w:rsidR="004B73A7">
        <w:t>relapsing acquired demyelinating syndrome (</w:t>
      </w:r>
      <w:r w:rsidR="00DF77BA">
        <w:t>RDS</w:t>
      </w:r>
      <w:r w:rsidR="004B73A7">
        <w:t>)</w:t>
      </w:r>
      <w:r w:rsidR="00DF77BA">
        <w:t xml:space="preserve">, specificity was 99.02%. </w:t>
      </w:r>
      <w:r w:rsidR="008838DE">
        <w:t>Sensitivity across the studies ranged from 25.57% in children with non-MS RDS to 88.24</w:t>
      </w:r>
      <w:r w:rsidR="00631E48">
        <w:t>%</w:t>
      </w:r>
      <w:r w:rsidR="008838DE">
        <w:t xml:space="preserve"> in adults with ON. </w:t>
      </w:r>
      <w:r w:rsidR="00321620">
        <w:t xml:space="preserve">AQP4-Ab testing is reported in the </w:t>
      </w:r>
      <w:r w:rsidR="00631E48">
        <w:t>IPND</w:t>
      </w:r>
      <w:r w:rsidR="00321620">
        <w:t xml:space="preserve"> </w:t>
      </w:r>
      <w:r w:rsidR="008838DE">
        <w:t xml:space="preserve">to </w:t>
      </w:r>
      <w:r w:rsidR="00631E48">
        <w:t>have a mean sensitivity of 76.7</w:t>
      </w:r>
      <w:r w:rsidR="008838DE">
        <w:t xml:space="preserve">% </w:t>
      </w:r>
      <w:r w:rsidR="00631E48">
        <w:t xml:space="preserve">(pooled analysis) and a false positive rate of 0.1% (in a MS clinic cohort) for </w:t>
      </w:r>
      <w:r w:rsidR="008838DE">
        <w:t>NMOSD</w:t>
      </w:r>
      <w:r w:rsidR="008928FA">
        <w:t xml:space="preserve"> by cell-based assay of serum </w:t>
      </w:r>
      <w:r w:rsidR="00156621">
        <w:fldChar w:fldCharType="begin"/>
      </w:r>
      <w:r w:rsidR="00646E7C">
        <w:instrText xml:space="preserve"> ADDIN EN.CITE &lt;EndNote&gt;&lt;Cite&gt;&lt;Author&gt;Wingerchuk&lt;/Author&gt;&lt;Year&gt;2015&lt;/Year&gt;&lt;RecNum&gt;35&lt;/RecNum&gt;&lt;DisplayText&gt;(Wingerchuk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fldChar w:fldCharType="separate"/>
      </w:r>
      <w:r w:rsidR="00646E7C">
        <w:rPr>
          <w:noProof/>
        </w:rPr>
        <w:t>(Wingerchuk et al. 2015)</w:t>
      </w:r>
      <w:r w:rsidR="00156621">
        <w:fldChar w:fldCharType="end"/>
      </w:r>
      <w:r w:rsidR="008838DE">
        <w:t xml:space="preserve">. </w:t>
      </w:r>
    </w:p>
    <w:p w14:paraId="4A527C67" w14:textId="17FF62F7" w:rsidR="008838DE" w:rsidRDefault="00321620" w:rsidP="009849D3">
      <w:r>
        <w:t xml:space="preserve">Calculation of </w:t>
      </w:r>
      <w:r w:rsidR="008838DE">
        <w:t xml:space="preserve">PPV and NPV </w:t>
      </w:r>
      <w:r>
        <w:t xml:space="preserve">was </w:t>
      </w:r>
      <w:r w:rsidR="008838DE">
        <w:t xml:space="preserve">based on </w:t>
      </w:r>
      <w:r w:rsidR="00207FA4">
        <w:t xml:space="preserve">a </w:t>
      </w:r>
      <w:r w:rsidR="00AF6601">
        <w:t xml:space="preserve">mean </w:t>
      </w:r>
      <w:r w:rsidR="00E35FDD">
        <w:t xml:space="preserve">pooled </w:t>
      </w:r>
      <w:r w:rsidR="00207FA4">
        <w:t>prevalence</w:t>
      </w:r>
      <w:r w:rsidR="008838DE">
        <w:t xml:space="preserve"> </w:t>
      </w:r>
      <w:r w:rsidR="00E35FDD">
        <w:t xml:space="preserve">of </w:t>
      </w:r>
      <w:r w:rsidR="00080A0A">
        <w:t>34.1</w:t>
      </w:r>
      <w:r w:rsidR="00E35FDD">
        <w:t xml:space="preserve">% </w:t>
      </w:r>
      <w:r w:rsidR="008838DE">
        <w:t xml:space="preserve">estimated </w:t>
      </w:r>
      <w:r w:rsidR="00207FA4">
        <w:t xml:space="preserve">from the </w:t>
      </w:r>
      <w:r w:rsidR="00080A0A">
        <w:t>rate of NMOSD diagnoses</w:t>
      </w:r>
      <w:r w:rsidR="00E35FDD">
        <w:t xml:space="preserve"> </w:t>
      </w:r>
      <w:r w:rsidR="00FB6CAC">
        <w:t xml:space="preserve">based on the 2015 IPND criteria </w:t>
      </w:r>
      <w:r w:rsidR="00080A0A">
        <w:t xml:space="preserve">reported in populations of inflammatory or acquired demyelinating disease </w:t>
      </w:r>
      <w:r w:rsidR="00E35FDD">
        <w:t>(</w:t>
      </w:r>
      <w:r w:rsidR="00080A0A">
        <w:fldChar w:fldCharType="begin"/>
      </w:r>
      <w:r w:rsidR="00080A0A">
        <w:instrText xml:space="preserve"> REF _Ref30062889 \h </w:instrText>
      </w:r>
      <w:r w:rsidR="00080A0A">
        <w:fldChar w:fldCharType="separate"/>
      </w:r>
      <w:r w:rsidR="009364AD">
        <w:t xml:space="preserve">Table </w:t>
      </w:r>
      <w:r w:rsidR="009364AD">
        <w:rPr>
          <w:noProof/>
        </w:rPr>
        <w:t>43</w:t>
      </w:r>
      <w:r w:rsidR="00080A0A">
        <w:fldChar w:fldCharType="end"/>
      </w:r>
      <w:r w:rsidR="00080A0A">
        <w:t>)</w:t>
      </w:r>
      <w:r w:rsidR="00E35FDD">
        <w:t>.</w:t>
      </w:r>
      <w:r w:rsidR="00AF6601">
        <w:t xml:space="preserve"> </w:t>
      </w:r>
      <w:r w:rsidR="00080A0A">
        <w:t>By</w:t>
      </w:r>
      <w:r w:rsidR="00AF6601">
        <w:t xml:space="preserve"> comparison, in Australian data reported by Bukhari et al</w:t>
      </w:r>
      <w:r w:rsidR="00A508BD">
        <w:t>,</w:t>
      </w:r>
      <w:r w:rsidR="00AF6601">
        <w:t xml:space="preserve"> 81 out of 170 suspected NMOSD cases were confirme</w:t>
      </w:r>
      <w:r w:rsidR="002E472D">
        <w:t>d (48%)</w:t>
      </w:r>
      <w:r w:rsidR="00080A0A">
        <w:t xml:space="preserve"> </w:t>
      </w:r>
      <w:r w:rsidR="00156621">
        <w:fldChar w:fldCharType="begin">
          <w:fldData xml:space="preserve">PEVuZE5vdGU+PENpdGU+PEF1dGhvcj5CdWtoYXJpPC9BdXRob3I+PFllYXI+MjAxNzwvWWVhcj48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</w:fldData>
        </w:fldChar>
      </w:r>
      <w:r w:rsidR="00D96694">
        <w:instrText xml:space="preserve"> ADDIN EN.CITE </w:instrText>
      </w:r>
      <w:r w:rsidR="00D96694">
        <w:fldChar w:fldCharType="begin">
          <w:fldData xml:space="preserve">PEVuZE5vdGU+PENpdGU+PEF1dGhvcj5CdWtoYXJpPC9BdXRob3I+PFllYXI+MjAxNzwvWWVhcj48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</w:fldData>
        </w:fldChar>
      </w:r>
      <w:r w:rsidR="00D96694">
        <w:instrText xml:space="preserve"> ADDIN EN.CITE.DATA </w:instrText>
      </w:r>
      <w:r w:rsidR="00D96694">
        <w:fldChar w:fldCharType="end"/>
      </w:r>
      <w:r w:rsidR="00156621">
        <w:fldChar w:fldCharType="separate"/>
      </w:r>
      <w:r w:rsidR="00156621">
        <w:rPr>
          <w:noProof/>
        </w:rPr>
        <w:t>(Bukhari et al. 2017)</w:t>
      </w:r>
      <w:r w:rsidR="00156621">
        <w:fldChar w:fldCharType="end"/>
      </w:r>
      <w:r w:rsidR="00080A0A">
        <w:t xml:space="preserve">. The criteria for suspected NMOSD were more restricted </w:t>
      </w:r>
      <w:r w:rsidR="002064C1">
        <w:t xml:space="preserve">in Bukhari et al </w:t>
      </w:r>
      <w:r w:rsidR="00080A0A">
        <w:t xml:space="preserve">than those studies with diagnoses reported in Table 49. </w:t>
      </w:r>
      <w:r w:rsidR="00A642B3">
        <w:t xml:space="preserve">These prevalence </w:t>
      </w:r>
      <w:r w:rsidR="00935C81">
        <w:t>data</w:t>
      </w:r>
      <w:r w:rsidR="00A642B3">
        <w:t xml:space="preserve"> are contrasted by prevalence determined from Australian clinical laboratory test data collected by the Applicant. </w:t>
      </w:r>
      <w:r w:rsidR="00C9496F">
        <w:t xml:space="preserve">From </w:t>
      </w:r>
      <w:r w:rsidR="00A642B3">
        <w:t xml:space="preserve">the </w:t>
      </w:r>
      <w:r w:rsidR="00C9496F">
        <w:t xml:space="preserve">laboratory </w:t>
      </w:r>
      <w:r w:rsidR="002912B1">
        <w:t>data,</w:t>
      </w:r>
      <w:r w:rsidR="00A642B3">
        <w:t xml:space="preserve"> prevalence was found to be 2.9% in Queensland (including tests sent from South Australia) and </w:t>
      </w:r>
      <w:r w:rsidR="00C9496F">
        <w:t xml:space="preserve">5.4% in </w:t>
      </w:r>
      <w:r w:rsidR="00A642B3">
        <w:t xml:space="preserve">Western Australia, reflecting a broader population undergoing testing than those in the literature. </w:t>
      </w:r>
      <w:r w:rsidR="00AD11FA">
        <w:t>Another aspect influencing rates found in the literature is the retrospective study designs used. Th</w:t>
      </w:r>
      <w:r w:rsidR="00C9496F">
        <w:t>e</w:t>
      </w:r>
      <w:r w:rsidR="00AD11FA">
        <w:t xml:space="preserve"> populations in</w:t>
      </w:r>
      <w:r w:rsidR="00C9496F">
        <w:t xml:space="preserve"> this</w:t>
      </w:r>
      <w:r w:rsidR="00AD11FA">
        <w:t xml:space="preserve"> type of study design tend to be </w:t>
      </w:r>
      <w:r w:rsidR="00C9496F">
        <w:t>highly</w:t>
      </w:r>
      <w:r w:rsidR="00AD11FA">
        <w:t xml:space="preserve"> select</w:t>
      </w:r>
      <w:r w:rsidR="00C9496F">
        <w:t xml:space="preserve">ed and may therefore overestimate the prevalence of NMOSD or AQP4-Ab positivity. </w:t>
      </w:r>
      <w:r w:rsidR="00A642B3">
        <w:t xml:space="preserve">The rates determined from </w:t>
      </w:r>
      <w:r w:rsidR="00C9496F">
        <w:t xml:space="preserve">the Australian </w:t>
      </w:r>
      <w:r w:rsidR="00A642B3">
        <w:t>laboratory data will be used in the economic analysis.</w:t>
      </w:r>
    </w:p>
    <w:p w14:paraId="597B6943" w14:textId="77777777" w:rsidR="00C71CE9" w:rsidRDefault="00C71CE9" w:rsidP="009849D3">
      <w:r>
        <w:t>There was insufficient evidence to extract 2 x 2 table data on MOG-Ab testing compared to the evidentiary standard.</w:t>
      </w:r>
    </w:p>
    <w:p w14:paraId="6E82141E" w14:textId="5B299B0A" w:rsidR="00ED65EE" w:rsidRPr="00183E4D" w:rsidRDefault="00ED65EE" w:rsidP="00ED65EE">
      <w:pPr>
        <w:pStyle w:val="Caption"/>
        <w:ind w:left="1134" w:hanging="1134"/>
        <w:rPr>
          <w:rFonts w:cs="Arial"/>
          <w:snapToGrid w:val="0"/>
          <w:szCs w:val="16"/>
          <w:lang w:eastAsia="en-US"/>
        </w:rPr>
      </w:pPr>
      <w:bookmarkStart w:id="229" w:name="_Ref34731555"/>
      <w:bookmarkStart w:id="230" w:name="_Toc39580803"/>
      <w:r w:rsidRPr="00F82F90">
        <w:t xml:space="preserve">Table </w:t>
      </w:r>
      <w:fldSimple w:instr=" SEQ Table \* ARABIC ">
        <w:r w:rsidR="00FA7BCD">
          <w:rPr>
            <w:noProof/>
          </w:rPr>
          <w:t>22</w:t>
        </w:r>
      </w:fldSimple>
      <w:bookmarkEnd w:id="229"/>
      <w:r w:rsidRPr="00F82F90">
        <w:tab/>
      </w:r>
      <w:r w:rsidRPr="00F82F90">
        <w:rPr>
          <w:rFonts w:cs="Arial"/>
          <w:snapToGrid w:val="0"/>
          <w:szCs w:val="16"/>
          <w:lang w:eastAsia="en-US"/>
        </w:rPr>
        <w:t xml:space="preserve">Results of key accuracy trials comparing </w:t>
      </w:r>
      <w:r w:rsidR="00E149D1" w:rsidRPr="00F82F90">
        <w:rPr>
          <w:rFonts w:cs="Arial"/>
          <w:snapToGrid w:val="0"/>
          <w:szCs w:val="16"/>
          <w:lang w:eastAsia="en-US"/>
        </w:rPr>
        <w:t>AQP4-Ab testing</w:t>
      </w:r>
      <w:r w:rsidRPr="00F82F90">
        <w:rPr>
          <w:rFonts w:cs="Arial"/>
          <w:snapToGrid w:val="0"/>
          <w:szCs w:val="16"/>
          <w:lang w:eastAsia="en-US"/>
        </w:rPr>
        <w:t xml:space="preserve"> against </w:t>
      </w:r>
      <w:r w:rsidR="00E149D1" w:rsidRPr="00F82F90">
        <w:rPr>
          <w:rFonts w:cs="Arial"/>
          <w:snapToGrid w:val="0"/>
          <w:szCs w:val="16"/>
          <w:lang w:eastAsia="en-US"/>
        </w:rPr>
        <w:t xml:space="preserve">a </w:t>
      </w:r>
      <w:r w:rsidR="00CD6762" w:rsidRPr="00F82F90">
        <w:rPr>
          <w:rFonts w:cs="Arial"/>
          <w:snapToGrid w:val="0"/>
          <w:szCs w:val="16"/>
          <w:lang w:eastAsia="en-US"/>
        </w:rPr>
        <w:t>c</w:t>
      </w:r>
      <w:r w:rsidR="00E149D1" w:rsidRPr="00F82F90">
        <w:rPr>
          <w:rFonts w:cs="Arial"/>
          <w:snapToGrid w:val="0"/>
          <w:szCs w:val="16"/>
          <w:lang w:eastAsia="en-US"/>
        </w:rPr>
        <w:t xml:space="preserve">linical </w:t>
      </w:r>
      <w:r w:rsidR="00F82F90" w:rsidRPr="00F82F90">
        <w:rPr>
          <w:rFonts w:cs="Arial"/>
          <w:snapToGrid w:val="0"/>
          <w:szCs w:val="16"/>
          <w:lang w:eastAsia="en-US"/>
        </w:rPr>
        <w:t xml:space="preserve">evidentiary </w:t>
      </w:r>
      <w:r w:rsidRPr="00F82F90">
        <w:rPr>
          <w:rFonts w:cs="Arial"/>
          <w:snapToGrid w:val="0"/>
          <w:szCs w:val="16"/>
          <w:lang w:eastAsia="en-US"/>
        </w:rPr>
        <w:t xml:space="preserve">standard </w:t>
      </w:r>
      <w:r w:rsidR="00E149D1" w:rsidRPr="00F82F90">
        <w:rPr>
          <w:rFonts w:cs="Arial"/>
          <w:snapToGrid w:val="0"/>
          <w:szCs w:val="16"/>
          <w:lang w:eastAsia="en-US"/>
        </w:rPr>
        <w:t>(clinical diagnosis of NMOSD by the 2015 IPND criteria)</w:t>
      </w:r>
      <w:bookmarkEnd w:id="230"/>
    </w:p>
    <w:tbl>
      <w:tblPr>
        <w:tblStyle w:val="TableGrid1"/>
        <w:tblW w:w="4935" w:type="pct"/>
        <w:tblInd w:w="28" w:type="dxa"/>
        <w:tblCellMar>
          <w:left w:w="28" w:type="dxa"/>
          <w:right w:w="28" w:type="dxa"/>
        </w:tblCellMar>
        <w:tblLook w:val="04A0" w:firstRow="1" w:lastRow="0" w:firstColumn="1" w:lastColumn="0" w:noHBand="0" w:noVBand="1"/>
        <w:tblCaption w:val="Table 22 Results of key accuracy trials comparing AQP4-Ab testing against a clinical evidentiary standard (clinical diagnosis of NMOSD by the 2015 IPND criteria)"/>
        <w:tblDescription w:val="Sensitivity, specificity, positive predictive value and negative predictive value calculated from individual study data"/>
      </w:tblPr>
      <w:tblGrid>
        <w:gridCol w:w="1282"/>
        <w:gridCol w:w="1276"/>
        <w:gridCol w:w="1662"/>
        <w:gridCol w:w="1701"/>
        <w:gridCol w:w="1417"/>
        <w:gridCol w:w="1561"/>
      </w:tblGrid>
      <w:tr w:rsidR="009B68D8" w:rsidRPr="00E149D1" w14:paraId="5265D07A" w14:textId="77777777" w:rsidTr="00446D90">
        <w:trPr>
          <w:cnfStyle w:val="100000000000" w:firstRow="1" w:lastRow="0" w:firstColumn="0" w:lastColumn="0" w:oddVBand="0" w:evenVBand="0" w:oddHBand="0" w:evenHBand="0" w:firstRowFirstColumn="0" w:firstRowLastColumn="0" w:lastRowFirstColumn="0" w:lastRowLastColumn="0"/>
        </w:trPr>
        <w:tc>
          <w:tcPr>
            <w:tcW w:w="720" w:type="pct"/>
          </w:tcPr>
          <w:p w14:paraId="0F4AA881" w14:textId="77777777" w:rsidR="009B68D8" w:rsidRDefault="009B68D8" w:rsidP="00A87AE2">
            <w:pPr>
              <w:pStyle w:val="TableHeading"/>
              <w:rPr>
                <w:snapToGrid w:val="0"/>
              </w:rPr>
            </w:pPr>
            <w:r>
              <w:rPr>
                <w:snapToGrid w:val="0"/>
              </w:rPr>
              <w:t>Study ID</w:t>
            </w:r>
          </w:p>
          <w:p w14:paraId="3E2F1C07" w14:textId="77777777" w:rsidR="009B68D8" w:rsidRDefault="009B68D8" w:rsidP="00A87AE2">
            <w:pPr>
              <w:pStyle w:val="TableHeading"/>
              <w:rPr>
                <w:snapToGrid w:val="0"/>
              </w:rPr>
            </w:pPr>
            <w:r>
              <w:rPr>
                <w:snapToGrid w:val="0"/>
              </w:rPr>
              <w:t>N</w:t>
            </w:r>
          </w:p>
        </w:tc>
        <w:tc>
          <w:tcPr>
            <w:tcW w:w="717" w:type="pct"/>
          </w:tcPr>
          <w:p w14:paraId="3053171B" w14:textId="77777777" w:rsidR="009B68D8" w:rsidRDefault="009B68D8" w:rsidP="00A87AE2">
            <w:pPr>
              <w:pStyle w:val="TableHeading"/>
              <w:rPr>
                <w:snapToGrid w:val="0"/>
              </w:rPr>
            </w:pPr>
            <w:r>
              <w:rPr>
                <w:snapToGrid w:val="0"/>
              </w:rPr>
              <w:t>Population tested</w:t>
            </w:r>
          </w:p>
        </w:tc>
        <w:tc>
          <w:tcPr>
            <w:tcW w:w="934" w:type="pct"/>
          </w:tcPr>
          <w:p w14:paraId="7EAA231F" w14:textId="77777777" w:rsidR="009B68D8" w:rsidRDefault="009B68D8" w:rsidP="00A87AE2">
            <w:pPr>
              <w:pStyle w:val="TableHeading"/>
              <w:rPr>
                <w:snapToGrid w:val="0"/>
              </w:rPr>
            </w:pPr>
            <w:r>
              <w:rPr>
                <w:snapToGrid w:val="0"/>
              </w:rPr>
              <w:t>Sensitivity</w:t>
            </w:r>
          </w:p>
          <w:p w14:paraId="601264EE" w14:textId="77777777" w:rsidR="009B68D8" w:rsidRPr="00E149D1" w:rsidRDefault="009B68D8" w:rsidP="00A87AE2">
            <w:pPr>
              <w:pStyle w:val="TableHeading"/>
              <w:rPr>
                <w:snapToGrid w:val="0"/>
              </w:rPr>
            </w:pPr>
            <w:r w:rsidRPr="00E149D1">
              <w:rPr>
                <w:snapToGrid w:val="0"/>
              </w:rPr>
              <w:t>[95%CI]</w:t>
            </w:r>
          </w:p>
        </w:tc>
        <w:tc>
          <w:tcPr>
            <w:tcW w:w="956" w:type="pct"/>
            <w:shd w:val="clear" w:color="auto" w:fill="auto"/>
          </w:tcPr>
          <w:p w14:paraId="3CB6E44A" w14:textId="77777777" w:rsidR="009B68D8" w:rsidRPr="00E149D1" w:rsidRDefault="009B68D8" w:rsidP="00A87AE2">
            <w:pPr>
              <w:pStyle w:val="TableHeading"/>
              <w:rPr>
                <w:snapToGrid w:val="0"/>
              </w:rPr>
            </w:pPr>
            <w:r>
              <w:rPr>
                <w:snapToGrid w:val="0"/>
              </w:rPr>
              <w:t>Specificity</w:t>
            </w:r>
          </w:p>
          <w:p w14:paraId="4F60BEF4" w14:textId="77777777" w:rsidR="009B68D8" w:rsidRPr="00E149D1" w:rsidRDefault="009B68D8" w:rsidP="00A87AE2">
            <w:pPr>
              <w:pStyle w:val="TableHeading"/>
              <w:rPr>
                <w:snapToGrid w:val="0"/>
              </w:rPr>
            </w:pPr>
            <w:r w:rsidRPr="00E149D1">
              <w:rPr>
                <w:snapToGrid w:val="0"/>
              </w:rPr>
              <w:t>[95%CI]</w:t>
            </w:r>
          </w:p>
        </w:tc>
        <w:tc>
          <w:tcPr>
            <w:tcW w:w="796" w:type="pct"/>
            <w:shd w:val="clear" w:color="auto" w:fill="auto"/>
          </w:tcPr>
          <w:p w14:paraId="4D8A68D6" w14:textId="77777777" w:rsidR="009B68D8" w:rsidRPr="00697E4C" w:rsidRDefault="009B68D8" w:rsidP="00A87AE2">
            <w:pPr>
              <w:pStyle w:val="TableHeading"/>
              <w:rPr>
                <w:snapToGrid w:val="0"/>
                <w:vertAlign w:val="superscript"/>
              </w:rPr>
            </w:pPr>
            <w:r>
              <w:rPr>
                <w:snapToGrid w:val="0"/>
              </w:rPr>
              <w:t>PPV</w:t>
            </w:r>
            <w:r w:rsidR="00697E4C">
              <w:rPr>
                <w:snapToGrid w:val="0"/>
                <w:vertAlign w:val="superscript"/>
              </w:rPr>
              <w:t>a</w:t>
            </w:r>
          </w:p>
          <w:p w14:paraId="51E4BD8C" w14:textId="77777777" w:rsidR="009B68D8" w:rsidRPr="00E149D1" w:rsidRDefault="009B68D8" w:rsidP="00A87AE2">
            <w:pPr>
              <w:pStyle w:val="TableHeading"/>
              <w:rPr>
                <w:snapToGrid w:val="0"/>
              </w:rPr>
            </w:pPr>
            <w:r w:rsidRPr="00E149D1">
              <w:rPr>
                <w:snapToGrid w:val="0"/>
              </w:rPr>
              <w:t>[95%CI]</w:t>
            </w:r>
          </w:p>
        </w:tc>
        <w:tc>
          <w:tcPr>
            <w:tcW w:w="877" w:type="pct"/>
            <w:shd w:val="clear" w:color="auto" w:fill="auto"/>
          </w:tcPr>
          <w:p w14:paraId="4F487B9A" w14:textId="77777777" w:rsidR="009B68D8" w:rsidRPr="00697E4C" w:rsidRDefault="008838DE" w:rsidP="00A87AE2">
            <w:pPr>
              <w:pStyle w:val="TableHeading"/>
              <w:rPr>
                <w:snapToGrid w:val="0"/>
                <w:vertAlign w:val="superscript"/>
              </w:rPr>
            </w:pPr>
            <w:r>
              <w:rPr>
                <w:snapToGrid w:val="0"/>
              </w:rPr>
              <w:t>N</w:t>
            </w:r>
            <w:r w:rsidR="009B68D8">
              <w:rPr>
                <w:snapToGrid w:val="0"/>
              </w:rPr>
              <w:t>PV</w:t>
            </w:r>
            <w:r w:rsidR="00697E4C">
              <w:rPr>
                <w:snapToGrid w:val="0"/>
                <w:vertAlign w:val="superscript"/>
              </w:rPr>
              <w:t>a</w:t>
            </w:r>
          </w:p>
          <w:p w14:paraId="2ABA9152" w14:textId="77777777" w:rsidR="009B68D8" w:rsidRPr="00E149D1" w:rsidRDefault="009B68D8" w:rsidP="00A87AE2">
            <w:pPr>
              <w:pStyle w:val="TableHeading"/>
              <w:rPr>
                <w:snapToGrid w:val="0"/>
              </w:rPr>
            </w:pPr>
            <w:r>
              <w:rPr>
                <w:snapToGrid w:val="0"/>
              </w:rPr>
              <w:t>[95%CI]</w:t>
            </w:r>
          </w:p>
        </w:tc>
      </w:tr>
      <w:tr w:rsidR="009B68D8" w:rsidRPr="00E149D1" w14:paraId="01A6564A" w14:textId="77777777" w:rsidTr="00446D90">
        <w:tc>
          <w:tcPr>
            <w:tcW w:w="720" w:type="pct"/>
          </w:tcPr>
          <w:p w14:paraId="26FBC26C" w14:textId="77777777" w:rsidR="009B68D8" w:rsidRDefault="009B68D8" w:rsidP="004E5C57">
            <w:pPr>
              <w:pStyle w:val="TableText0"/>
              <w:rPr>
                <w:snapToGrid w:val="0"/>
              </w:rPr>
            </w:pPr>
            <w:r>
              <w:rPr>
                <w:snapToGrid w:val="0"/>
              </w:rPr>
              <w:t>Contentti et al, 2017</w:t>
            </w:r>
          </w:p>
          <w:p w14:paraId="235E6481" w14:textId="77777777" w:rsidR="009B68D8" w:rsidRDefault="009B68D8" w:rsidP="004E5C57">
            <w:pPr>
              <w:pStyle w:val="TableText0"/>
              <w:rPr>
                <w:snapToGrid w:val="0"/>
              </w:rPr>
            </w:pPr>
            <w:r>
              <w:rPr>
                <w:snapToGrid w:val="0"/>
              </w:rPr>
              <w:t>N=30</w:t>
            </w:r>
          </w:p>
        </w:tc>
        <w:tc>
          <w:tcPr>
            <w:tcW w:w="717" w:type="pct"/>
          </w:tcPr>
          <w:p w14:paraId="77427656" w14:textId="77777777" w:rsidR="009B68D8" w:rsidRDefault="009B68D8" w:rsidP="004E5C57">
            <w:pPr>
              <w:pStyle w:val="TableText0"/>
              <w:rPr>
                <w:snapToGrid w:val="0"/>
              </w:rPr>
            </w:pPr>
            <w:r>
              <w:rPr>
                <w:snapToGrid w:val="0"/>
              </w:rPr>
              <w:t>First event LETM</w:t>
            </w:r>
          </w:p>
        </w:tc>
        <w:tc>
          <w:tcPr>
            <w:tcW w:w="934" w:type="pct"/>
          </w:tcPr>
          <w:p w14:paraId="4BC2BA67" w14:textId="77777777" w:rsidR="009B68D8" w:rsidRPr="00E149D1" w:rsidRDefault="009B68D8" w:rsidP="004E5C57">
            <w:pPr>
              <w:pStyle w:val="TableText0"/>
              <w:rPr>
                <w:snapToGrid w:val="0"/>
              </w:rPr>
            </w:pPr>
            <w:r>
              <w:rPr>
                <w:snapToGrid w:val="0"/>
              </w:rPr>
              <w:t>64.29%</w:t>
            </w:r>
            <w:r>
              <w:rPr>
                <w:snapToGrid w:val="0"/>
              </w:rPr>
              <w:br/>
              <w:t>[35.14, 87.24]</w:t>
            </w:r>
          </w:p>
        </w:tc>
        <w:tc>
          <w:tcPr>
            <w:tcW w:w="956" w:type="pct"/>
            <w:shd w:val="clear" w:color="auto" w:fill="auto"/>
          </w:tcPr>
          <w:p w14:paraId="0875D052" w14:textId="77777777" w:rsidR="009B68D8" w:rsidRPr="00E149D1" w:rsidRDefault="009B68D8" w:rsidP="004E5C57">
            <w:pPr>
              <w:pStyle w:val="TableText0"/>
              <w:rPr>
                <w:snapToGrid w:val="0"/>
              </w:rPr>
            </w:pPr>
            <w:r>
              <w:rPr>
                <w:snapToGrid w:val="0"/>
              </w:rPr>
              <w:t>100</w:t>
            </w:r>
            <w:r w:rsidRPr="00E149D1">
              <w:rPr>
                <w:snapToGrid w:val="0"/>
              </w:rPr>
              <w:t xml:space="preserve">% </w:t>
            </w:r>
            <w:r>
              <w:rPr>
                <w:snapToGrid w:val="0"/>
              </w:rPr>
              <w:br/>
            </w:r>
            <w:r w:rsidRPr="00E149D1">
              <w:rPr>
                <w:snapToGrid w:val="0"/>
              </w:rPr>
              <w:t>[</w:t>
            </w:r>
            <w:r>
              <w:rPr>
                <w:snapToGrid w:val="0"/>
              </w:rPr>
              <w:t>79.41</w:t>
            </w:r>
            <w:r w:rsidRPr="00E149D1">
              <w:rPr>
                <w:snapToGrid w:val="0"/>
              </w:rPr>
              <w:t>,</w:t>
            </w:r>
            <w:r>
              <w:rPr>
                <w:snapToGrid w:val="0"/>
              </w:rPr>
              <w:t xml:space="preserve"> 100.00</w:t>
            </w:r>
            <w:r w:rsidRPr="00E149D1">
              <w:rPr>
                <w:snapToGrid w:val="0"/>
              </w:rPr>
              <w:t>]</w:t>
            </w:r>
          </w:p>
        </w:tc>
        <w:tc>
          <w:tcPr>
            <w:tcW w:w="796" w:type="pct"/>
            <w:shd w:val="clear" w:color="auto" w:fill="auto"/>
          </w:tcPr>
          <w:p w14:paraId="2AC59788" w14:textId="77777777" w:rsidR="009B68D8" w:rsidRPr="00E149D1" w:rsidRDefault="009B68D8" w:rsidP="004E5C57">
            <w:pPr>
              <w:pStyle w:val="TableText0"/>
              <w:rPr>
                <w:snapToGrid w:val="0"/>
              </w:rPr>
            </w:pPr>
            <w:r>
              <w:rPr>
                <w:snapToGrid w:val="0"/>
              </w:rPr>
              <w:t>100</w:t>
            </w:r>
            <w:r w:rsidRPr="00E149D1">
              <w:rPr>
                <w:snapToGrid w:val="0"/>
              </w:rPr>
              <w:t xml:space="preserve">% </w:t>
            </w:r>
          </w:p>
        </w:tc>
        <w:tc>
          <w:tcPr>
            <w:tcW w:w="877" w:type="pct"/>
            <w:shd w:val="clear" w:color="auto" w:fill="auto"/>
          </w:tcPr>
          <w:p w14:paraId="795309A7" w14:textId="77777777" w:rsidR="009B68D8" w:rsidRPr="00E149D1" w:rsidRDefault="002064C1" w:rsidP="004E5C57">
            <w:pPr>
              <w:pStyle w:val="TableText0"/>
              <w:rPr>
                <w:snapToGrid w:val="0"/>
              </w:rPr>
            </w:pPr>
            <w:r>
              <w:t>84.4</w:t>
            </w:r>
            <w:r w:rsidR="009B68D8">
              <w:t xml:space="preserve">% </w:t>
            </w:r>
            <w:r w:rsidR="009B68D8">
              <w:br/>
              <w:t>[</w:t>
            </w:r>
            <w:r>
              <w:t>72.8</w:t>
            </w:r>
            <w:r w:rsidR="009B68D8" w:rsidRPr="00FB3125">
              <w:t>,</w:t>
            </w:r>
            <w:r w:rsidR="009B68D8">
              <w:t xml:space="preserve"> </w:t>
            </w:r>
            <w:r>
              <w:t>91.6</w:t>
            </w:r>
            <w:r w:rsidR="009B68D8" w:rsidRPr="00FB3125">
              <w:t>]</w:t>
            </w:r>
          </w:p>
        </w:tc>
      </w:tr>
      <w:tr w:rsidR="009B68D8" w:rsidRPr="00E149D1" w14:paraId="42261061" w14:textId="77777777" w:rsidTr="00446D90">
        <w:tc>
          <w:tcPr>
            <w:tcW w:w="720" w:type="pct"/>
          </w:tcPr>
          <w:p w14:paraId="654909DB" w14:textId="77777777" w:rsidR="009B68D8" w:rsidRDefault="009B68D8" w:rsidP="004E5C57">
            <w:pPr>
              <w:pStyle w:val="TableText0"/>
            </w:pPr>
            <w:r>
              <w:t>Cheng et al 2016</w:t>
            </w:r>
          </w:p>
          <w:p w14:paraId="3E0C0082" w14:textId="77777777" w:rsidR="009B68D8" w:rsidRPr="00DB025E" w:rsidRDefault="009B68D8" w:rsidP="004E5C57">
            <w:pPr>
              <w:pStyle w:val="TableText0"/>
            </w:pPr>
            <w:r>
              <w:t>N=31</w:t>
            </w:r>
          </w:p>
        </w:tc>
        <w:tc>
          <w:tcPr>
            <w:tcW w:w="717" w:type="pct"/>
          </w:tcPr>
          <w:p w14:paraId="6D7C5A62" w14:textId="77777777" w:rsidR="009B68D8" w:rsidRDefault="009B68D8" w:rsidP="004E5C57">
            <w:pPr>
              <w:pStyle w:val="TableText0"/>
            </w:pPr>
            <w:r>
              <w:t>First event ABS</w:t>
            </w:r>
          </w:p>
        </w:tc>
        <w:tc>
          <w:tcPr>
            <w:tcW w:w="934" w:type="pct"/>
          </w:tcPr>
          <w:p w14:paraId="56A455AA" w14:textId="77777777" w:rsidR="009B68D8" w:rsidRPr="00E149D1" w:rsidRDefault="009B68D8" w:rsidP="004E5C57">
            <w:pPr>
              <w:pStyle w:val="TableText0"/>
              <w:rPr>
                <w:snapToGrid w:val="0"/>
              </w:rPr>
            </w:pPr>
            <w:r>
              <w:t>85.35</w:t>
            </w:r>
            <w:r w:rsidRPr="00DB025E">
              <w:t>%</w:t>
            </w:r>
            <w:r>
              <w:br/>
            </w:r>
            <w:r w:rsidRPr="00DB025E">
              <w:t>[</w:t>
            </w:r>
            <w:r>
              <w:t>56.57</w:t>
            </w:r>
            <w:r w:rsidRPr="00DB025E">
              <w:t>,</w:t>
            </w:r>
            <w:r>
              <w:t xml:space="preserve"> 96.20</w:t>
            </w:r>
            <w:r w:rsidRPr="00DB025E">
              <w:t>]</w:t>
            </w:r>
          </w:p>
        </w:tc>
        <w:tc>
          <w:tcPr>
            <w:tcW w:w="956" w:type="pct"/>
            <w:shd w:val="clear" w:color="auto" w:fill="auto"/>
          </w:tcPr>
          <w:p w14:paraId="79774288" w14:textId="77777777" w:rsidR="009B68D8" w:rsidRPr="00E149D1" w:rsidRDefault="009B68D8" w:rsidP="004E5C57">
            <w:pPr>
              <w:pStyle w:val="TableText0"/>
              <w:rPr>
                <w:snapToGrid w:val="0"/>
              </w:rPr>
            </w:pPr>
            <w:r>
              <w:rPr>
                <w:snapToGrid w:val="0"/>
              </w:rPr>
              <w:t>100</w:t>
            </w:r>
            <w:r w:rsidRPr="00E149D1">
              <w:rPr>
                <w:snapToGrid w:val="0"/>
              </w:rPr>
              <w:t xml:space="preserve">% </w:t>
            </w:r>
            <w:r>
              <w:rPr>
                <w:snapToGrid w:val="0"/>
              </w:rPr>
              <w:br/>
            </w:r>
            <w:r w:rsidRPr="00E149D1">
              <w:rPr>
                <w:snapToGrid w:val="0"/>
              </w:rPr>
              <w:t>[</w:t>
            </w:r>
            <w:r>
              <w:rPr>
                <w:snapToGrid w:val="0"/>
              </w:rPr>
              <w:t>76.84</w:t>
            </w:r>
            <w:r w:rsidRPr="00E149D1">
              <w:rPr>
                <w:snapToGrid w:val="0"/>
              </w:rPr>
              <w:t>,</w:t>
            </w:r>
            <w:r>
              <w:rPr>
                <w:snapToGrid w:val="0"/>
              </w:rPr>
              <w:t xml:space="preserve"> 100.00]</w:t>
            </w:r>
          </w:p>
        </w:tc>
        <w:tc>
          <w:tcPr>
            <w:tcW w:w="796" w:type="pct"/>
            <w:shd w:val="clear" w:color="auto" w:fill="auto"/>
          </w:tcPr>
          <w:p w14:paraId="6F404B32" w14:textId="77777777" w:rsidR="009B68D8" w:rsidRPr="00E149D1" w:rsidRDefault="009B68D8" w:rsidP="004E5C57">
            <w:pPr>
              <w:pStyle w:val="TableText0"/>
              <w:rPr>
                <w:snapToGrid w:val="0"/>
              </w:rPr>
            </w:pPr>
            <w:r>
              <w:rPr>
                <w:snapToGrid w:val="0"/>
              </w:rPr>
              <w:t xml:space="preserve">100% </w:t>
            </w:r>
          </w:p>
        </w:tc>
        <w:tc>
          <w:tcPr>
            <w:tcW w:w="877" w:type="pct"/>
            <w:shd w:val="clear" w:color="auto" w:fill="auto"/>
          </w:tcPr>
          <w:p w14:paraId="1091BDAB" w14:textId="77777777" w:rsidR="009B68D8" w:rsidRPr="00E149D1" w:rsidRDefault="002064C1" w:rsidP="004E5C57">
            <w:pPr>
              <w:pStyle w:val="TableText0"/>
              <w:rPr>
                <w:snapToGrid w:val="0"/>
              </w:rPr>
            </w:pPr>
            <w:r>
              <w:t>91.6</w:t>
            </w:r>
            <w:r w:rsidR="009B68D8" w:rsidRPr="00FB3125">
              <w:t xml:space="preserve">% </w:t>
            </w:r>
            <w:r w:rsidR="009B68D8">
              <w:br/>
            </w:r>
            <w:r w:rsidR="009B68D8" w:rsidRPr="00FB3125">
              <w:t>[</w:t>
            </w:r>
            <w:r>
              <w:t>79.7</w:t>
            </w:r>
            <w:r w:rsidR="009B68D8" w:rsidRPr="00FB3125">
              <w:t>,</w:t>
            </w:r>
            <w:r w:rsidR="009B68D8">
              <w:t xml:space="preserve"> </w:t>
            </w:r>
            <w:r>
              <w:t>96.8</w:t>
            </w:r>
            <w:r w:rsidR="009B68D8" w:rsidRPr="00FB3125">
              <w:t>]</w:t>
            </w:r>
          </w:p>
        </w:tc>
      </w:tr>
      <w:tr w:rsidR="009B68D8" w:rsidRPr="00E149D1" w14:paraId="699A870E" w14:textId="77777777" w:rsidTr="00446D90">
        <w:tc>
          <w:tcPr>
            <w:tcW w:w="720" w:type="pct"/>
          </w:tcPr>
          <w:p w14:paraId="494F291D" w14:textId="77777777" w:rsidR="009B68D8" w:rsidRDefault="009B68D8" w:rsidP="004E5C57">
            <w:pPr>
              <w:pStyle w:val="TableText0"/>
            </w:pPr>
            <w:r>
              <w:t>Liu et al 2019</w:t>
            </w:r>
          </w:p>
          <w:p w14:paraId="7CE90922" w14:textId="77777777" w:rsidR="009B68D8" w:rsidRPr="00DB025E" w:rsidRDefault="009B68D8" w:rsidP="004E5C57">
            <w:pPr>
              <w:pStyle w:val="TableText0"/>
            </w:pPr>
            <w:r>
              <w:t>N=158</w:t>
            </w:r>
          </w:p>
        </w:tc>
        <w:tc>
          <w:tcPr>
            <w:tcW w:w="717" w:type="pct"/>
          </w:tcPr>
          <w:p w14:paraId="1310681F" w14:textId="77777777" w:rsidR="009B68D8" w:rsidRPr="00DB025E" w:rsidRDefault="009B68D8" w:rsidP="004E5C57">
            <w:pPr>
              <w:pStyle w:val="TableText0"/>
            </w:pPr>
            <w:r>
              <w:t>Adults with ON</w:t>
            </w:r>
          </w:p>
        </w:tc>
        <w:tc>
          <w:tcPr>
            <w:tcW w:w="934" w:type="pct"/>
          </w:tcPr>
          <w:p w14:paraId="77773005" w14:textId="77777777" w:rsidR="009B68D8" w:rsidRPr="00E149D1" w:rsidRDefault="009B68D8" w:rsidP="004E5C57">
            <w:pPr>
              <w:pStyle w:val="TableText0"/>
              <w:rPr>
                <w:snapToGrid w:val="0"/>
              </w:rPr>
            </w:pPr>
            <w:r>
              <w:t>88.24</w:t>
            </w:r>
            <w:r w:rsidRPr="00DB025E">
              <w:t xml:space="preserve">% </w:t>
            </w:r>
            <w:r>
              <w:br/>
            </w:r>
            <w:r w:rsidRPr="00DB025E">
              <w:t>[</w:t>
            </w:r>
            <w:r>
              <w:t>63.56</w:t>
            </w:r>
            <w:r w:rsidRPr="00DB025E">
              <w:t>,</w:t>
            </w:r>
            <w:r>
              <w:t xml:space="preserve"> 98.54</w:t>
            </w:r>
            <w:r w:rsidRPr="00DB025E">
              <w:t>]</w:t>
            </w:r>
          </w:p>
        </w:tc>
        <w:tc>
          <w:tcPr>
            <w:tcW w:w="956" w:type="pct"/>
            <w:shd w:val="clear" w:color="auto" w:fill="auto"/>
          </w:tcPr>
          <w:p w14:paraId="327A29F3" w14:textId="77777777" w:rsidR="009B68D8" w:rsidRPr="00E149D1" w:rsidRDefault="002064C1" w:rsidP="004E5C57">
            <w:pPr>
              <w:pStyle w:val="TableText0"/>
              <w:rPr>
                <w:snapToGrid w:val="0"/>
              </w:rPr>
            </w:pPr>
            <w:r>
              <w:rPr>
                <w:snapToGrid w:val="0"/>
              </w:rPr>
              <w:t>63.12</w:t>
            </w:r>
            <w:r w:rsidR="009B68D8" w:rsidRPr="00E149D1">
              <w:rPr>
                <w:snapToGrid w:val="0"/>
              </w:rPr>
              <w:t xml:space="preserve">% </w:t>
            </w:r>
            <w:r w:rsidR="009B68D8">
              <w:rPr>
                <w:snapToGrid w:val="0"/>
              </w:rPr>
              <w:br/>
            </w:r>
            <w:r w:rsidR="009B68D8" w:rsidRPr="00E149D1">
              <w:rPr>
                <w:snapToGrid w:val="0"/>
              </w:rPr>
              <w:t>[</w:t>
            </w:r>
            <w:r w:rsidR="009B68D8">
              <w:rPr>
                <w:snapToGrid w:val="0"/>
              </w:rPr>
              <w:t>54.59</w:t>
            </w:r>
            <w:r w:rsidR="009B68D8" w:rsidRPr="00E149D1">
              <w:rPr>
                <w:snapToGrid w:val="0"/>
              </w:rPr>
              <w:t>,</w:t>
            </w:r>
            <w:r w:rsidR="009B68D8">
              <w:rPr>
                <w:snapToGrid w:val="0"/>
              </w:rPr>
              <w:t xml:space="preserve"> 71.08</w:t>
            </w:r>
            <w:r w:rsidR="009B68D8" w:rsidRPr="00E149D1">
              <w:rPr>
                <w:snapToGrid w:val="0"/>
              </w:rPr>
              <w:t>]</w:t>
            </w:r>
          </w:p>
        </w:tc>
        <w:tc>
          <w:tcPr>
            <w:tcW w:w="796" w:type="pct"/>
            <w:shd w:val="clear" w:color="auto" w:fill="auto"/>
          </w:tcPr>
          <w:p w14:paraId="13A82C1E" w14:textId="77777777" w:rsidR="009B68D8" w:rsidRPr="00E149D1" w:rsidRDefault="00B85728" w:rsidP="004E5C57">
            <w:pPr>
              <w:pStyle w:val="TableText0"/>
              <w:rPr>
                <w:snapToGrid w:val="0"/>
              </w:rPr>
            </w:pPr>
            <w:r>
              <w:rPr>
                <w:snapToGrid w:val="0"/>
              </w:rPr>
              <w:t>55.3</w:t>
            </w:r>
            <w:r w:rsidR="002E472D">
              <w:rPr>
                <w:snapToGrid w:val="0"/>
              </w:rPr>
              <w:t>%</w:t>
            </w:r>
            <w:r w:rsidR="009B68D8">
              <w:rPr>
                <w:snapToGrid w:val="0"/>
              </w:rPr>
              <w:t xml:space="preserve"> </w:t>
            </w:r>
            <w:r w:rsidR="009B68D8">
              <w:rPr>
                <w:snapToGrid w:val="0"/>
              </w:rPr>
              <w:br/>
              <w:t>[</w:t>
            </w:r>
            <w:r>
              <w:rPr>
                <w:snapToGrid w:val="0"/>
              </w:rPr>
              <w:t>48.4</w:t>
            </w:r>
            <w:r w:rsidR="009B68D8">
              <w:rPr>
                <w:snapToGrid w:val="0"/>
              </w:rPr>
              <w:t xml:space="preserve">, </w:t>
            </w:r>
            <w:r>
              <w:rPr>
                <w:snapToGrid w:val="0"/>
              </w:rPr>
              <w:t>62.0</w:t>
            </w:r>
            <w:r w:rsidR="009B68D8">
              <w:rPr>
                <w:snapToGrid w:val="0"/>
              </w:rPr>
              <w:t>]</w:t>
            </w:r>
          </w:p>
        </w:tc>
        <w:tc>
          <w:tcPr>
            <w:tcW w:w="877" w:type="pct"/>
            <w:shd w:val="clear" w:color="auto" w:fill="auto"/>
          </w:tcPr>
          <w:p w14:paraId="35B13066" w14:textId="77777777" w:rsidR="009B68D8" w:rsidRPr="00E149D1" w:rsidRDefault="00B85728" w:rsidP="004E5C57">
            <w:pPr>
              <w:pStyle w:val="TableText0"/>
              <w:rPr>
                <w:snapToGrid w:val="0"/>
              </w:rPr>
            </w:pPr>
            <w:r>
              <w:t>91.2</w:t>
            </w:r>
            <w:r w:rsidR="009B68D8" w:rsidRPr="00FB3125">
              <w:t xml:space="preserve">% </w:t>
            </w:r>
            <w:r w:rsidR="009B68D8">
              <w:br/>
            </w:r>
            <w:r w:rsidR="009B68D8" w:rsidRPr="00FB3125">
              <w:t>[</w:t>
            </w:r>
            <w:r>
              <w:t>73.7</w:t>
            </w:r>
            <w:r w:rsidR="009B68D8" w:rsidRPr="00FB3125">
              <w:t>,</w:t>
            </w:r>
            <w:r w:rsidR="009B68D8">
              <w:t xml:space="preserve"> </w:t>
            </w:r>
            <w:r w:rsidR="007773F7">
              <w:t>97.</w:t>
            </w:r>
            <w:r>
              <w:t>5</w:t>
            </w:r>
            <w:r w:rsidR="009B68D8" w:rsidRPr="00FB3125">
              <w:t>]</w:t>
            </w:r>
          </w:p>
        </w:tc>
      </w:tr>
      <w:tr w:rsidR="009B68D8" w:rsidRPr="00E149D1" w14:paraId="710C953B" w14:textId="77777777" w:rsidTr="00446D90">
        <w:tc>
          <w:tcPr>
            <w:tcW w:w="720" w:type="pct"/>
          </w:tcPr>
          <w:p w14:paraId="683C014B" w14:textId="77777777" w:rsidR="009B68D8" w:rsidRPr="00DB025E" w:rsidRDefault="009B68D8" w:rsidP="004E5C57">
            <w:pPr>
              <w:pStyle w:val="TableText0"/>
            </w:pPr>
            <w:r>
              <w:t>Papais-Alvarenga et al 2018</w:t>
            </w:r>
          </w:p>
        </w:tc>
        <w:tc>
          <w:tcPr>
            <w:tcW w:w="717" w:type="pct"/>
          </w:tcPr>
          <w:p w14:paraId="610A98F3" w14:textId="77777777" w:rsidR="009B68D8" w:rsidRPr="00DB025E" w:rsidRDefault="009B68D8" w:rsidP="004E5C57">
            <w:pPr>
              <w:pStyle w:val="TableText0"/>
            </w:pPr>
            <w:r>
              <w:t>IDD</w:t>
            </w:r>
          </w:p>
        </w:tc>
        <w:tc>
          <w:tcPr>
            <w:tcW w:w="934" w:type="pct"/>
          </w:tcPr>
          <w:p w14:paraId="6E9A8208" w14:textId="77777777" w:rsidR="009B68D8" w:rsidRPr="00E149D1" w:rsidRDefault="009B68D8" w:rsidP="004E5C57">
            <w:pPr>
              <w:pStyle w:val="TableText0"/>
              <w:rPr>
                <w:snapToGrid w:val="0"/>
              </w:rPr>
            </w:pPr>
            <w:r>
              <w:t>40.87</w:t>
            </w:r>
            <w:r w:rsidRPr="00DB025E">
              <w:t xml:space="preserve">% </w:t>
            </w:r>
            <w:r>
              <w:br/>
            </w:r>
            <w:r w:rsidRPr="00DB025E">
              <w:t>[</w:t>
            </w:r>
            <w:r>
              <w:t>31.70</w:t>
            </w:r>
            <w:r w:rsidRPr="00DB025E">
              <w:t>,</w:t>
            </w:r>
            <w:r>
              <w:t xml:space="preserve"> 50.43</w:t>
            </w:r>
            <w:r w:rsidRPr="00DB025E">
              <w:t>]</w:t>
            </w:r>
          </w:p>
        </w:tc>
        <w:tc>
          <w:tcPr>
            <w:tcW w:w="956" w:type="pct"/>
            <w:shd w:val="clear" w:color="auto" w:fill="auto"/>
          </w:tcPr>
          <w:p w14:paraId="387B725B" w14:textId="77777777" w:rsidR="009B68D8" w:rsidRPr="00E149D1" w:rsidRDefault="009B68D8" w:rsidP="004E5C57">
            <w:pPr>
              <w:pStyle w:val="TableText0"/>
              <w:rPr>
                <w:snapToGrid w:val="0"/>
              </w:rPr>
            </w:pPr>
            <w:r>
              <w:rPr>
                <w:snapToGrid w:val="0"/>
              </w:rPr>
              <w:t>100</w:t>
            </w:r>
            <w:r w:rsidRPr="00E149D1">
              <w:rPr>
                <w:snapToGrid w:val="0"/>
              </w:rPr>
              <w:t xml:space="preserve">% </w:t>
            </w:r>
            <w:r>
              <w:rPr>
                <w:snapToGrid w:val="0"/>
              </w:rPr>
              <w:br/>
            </w:r>
            <w:r w:rsidRPr="00E149D1">
              <w:rPr>
                <w:snapToGrid w:val="0"/>
              </w:rPr>
              <w:t>[</w:t>
            </w:r>
            <w:r>
              <w:rPr>
                <w:snapToGrid w:val="0"/>
              </w:rPr>
              <w:t>95.75</w:t>
            </w:r>
            <w:r w:rsidRPr="00E149D1">
              <w:rPr>
                <w:snapToGrid w:val="0"/>
              </w:rPr>
              <w:t>,</w:t>
            </w:r>
            <w:r>
              <w:rPr>
                <w:snapToGrid w:val="0"/>
              </w:rPr>
              <w:t xml:space="preserve"> 100.00</w:t>
            </w:r>
            <w:r w:rsidRPr="00E149D1">
              <w:rPr>
                <w:snapToGrid w:val="0"/>
              </w:rPr>
              <w:t>]</w:t>
            </w:r>
          </w:p>
        </w:tc>
        <w:tc>
          <w:tcPr>
            <w:tcW w:w="796" w:type="pct"/>
            <w:shd w:val="clear" w:color="auto" w:fill="auto"/>
          </w:tcPr>
          <w:p w14:paraId="72DED3DD" w14:textId="77777777" w:rsidR="009B68D8" w:rsidRPr="00E149D1" w:rsidRDefault="009B68D8" w:rsidP="004E5C57">
            <w:pPr>
              <w:pStyle w:val="TableText0"/>
              <w:rPr>
                <w:snapToGrid w:val="0"/>
              </w:rPr>
            </w:pPr>
            <w:r>
              <w:rPr>
                <w:snapToGrid w:val="0"/>
              </w:rPr>
              <w:t xml:space="preserve">100% </w:t>
            </w:r>
          </w:p>
        </w:tc>
        <w:tc>
          <w:tcPr>
            <w:tcW w:w="877" w:type="pct"/>
            <w:shd w:val="clear" w:color="auto" w:fill="auto"/>
          </w:tcPr>
          <w:p w14:paraId="6972B813" w14:textId="77777777" w:rsidR="009B68D8" w:rsidRPr="00E149D1" w:rsidRDefault="00B85728" w:rsidP="004E5C57">
            <w:pPr>
              <w:pStyle w:val="TableText0"/>
              <w:rPr>
                <w:snapToGrid w:val="0"/>
              </w:rPr>
            </w:pPr>
            <w:r>
              <w:t>76.6</w:t>
            </w:r>
            <w:r w:rsidR="009B68D8" w:rsidRPr="00FB3125">
              <w:t xml:space="preserve">% </w:t>
            </w:r>
            <w:r w:rsidR="009B68D8">
              <w:br/>
            </w:r>
            <w:r w:rsidR="009B68D8" w:rsidRPr="00FB3125">
              <w:t>[</w:t>
            </w:r>
            <w:r>
              <w:t>73.7</w:t>
            </w:r>
            <w:r w:rsidR="009B68D8" w:rsidRPr="00FB3125">
              <w:t>,</w:t>
            </w:r>
            <w:r w:rsidR="009B68D8">
              <w:t xml:space="preserve"> </w:t>
            </w:r>
            <w:r>
              <w:t>79.2</w:t>
            </w:r>
            <w:r w:rsidR="009B68D8" w:rsidRPr="00FB3125">
              <w:t>]</w:t>
            </w:r>
          </w:p>
        </w:tc>
      </w:tr>
      <w:tr w:rsidR="009B68D8" w:rsidRPr="00E149D1" w14:paraId="76190538" w14:textId="77777777" w:rsidTr="00446D90">
        <w:tc>
          <w:tcPr>
            <w:tcW w:w="720" w:type="pct"/>
          </w:tcPr>
          <w:p w14:paraId="0AC5DA98" w14:textId="77777777" w:rsidR="009B68D8" w:rsidRDefault="009B68D8" w:rsidP="004E5C57">
            <w:pPr>
              <w:pStyle w:val="TableText0"/>
              <w:rPr>
                <w:snapToGrid w:val="0"/>
              </w:rPr>
            </w:pPr>
            <w:r>
              <w:rPr>
                <w:snapToGrid w:val="0"/>
              </w:rPr>
              <w:t>Hamid et al 2017</w:t>
            </w:r>
          </w:p>
          <w:p w14:paraId="635FAAE5" w14:textId="77777777" w:rsidR="009B68D8" w:rsidRPr="00E149D1" w:rsidRDefault="009B68D8" w:rsidP="004E5C57">
            <w:pPr>
              <w:pStyle w:val="TableText0"/>
              <w:rPr>
                <w:snapToGrid w:val="0"/>
              </w:rPr>
            </w:pPr>
            <w:r>
              <w:rPr>
                <w:snapToGrid w:val="0"/>
              </w:rPr>
              <w:t>N=261</w:t>
            </w:r>
          </w:p>
        </w:tc>
        <w:tc>
          <w:tcPr>
            <w:tcW w:w="717" w:type="pct"/>
          </w:tcPr>
          <w:p w14:paraId="682BFD70" w14:textId="77777777" w:rsidR="009B68D8" w:rsidRPr="00E149D1" w:rsidRDefault="009B68D8" w:rsidP="004E5C57">
            <w:pPr>
              <w:pStyle w:val="TableText0"/>
              <w:rPr>
                <w:snapToGrid w:val="0"/>
              </w:rPr>
            </w:pPr>
            <w:r>
              <w:rPr>
                <w:snapToGrid w:val="0"/>
              </w:rPr>
              <w:t>Adult ADS</w:t>
            </w:r>
          </w:p>
        </w:tc>
        <w:tc>
          <w:tcPr>
            <w:tcW w:w="934" w:type="pct"/>
          </w:tcPr>
          <w:p w14:paraId="7AA6A141" w14:textId="77777777" w:rsidR="009B68D8" w:rsidRDefault="009B68D8" w:rsidP="004E5C57">
            <w:pPr>
              <w:pStyle w:val="TableText0"/>
              <w:rPr>
                <w:snapToGrid w:val="0"/>
              </w:rPr>
            </w:pPr>
            <w:r>
              <w:rPr>
                <w:snapToGrid w:val="0"/>
              </w:rPr>
              <w:t>72.73%</w:t>
            </w:r>
          </w:p>
          <w:p w14:paraId="65852635" w14:textId="77777777" w:rsidR="009B68D8" w:rsidRPr="00E149D1" w:rsidRDefault="009B68D8" w:rsidP="004E5C57">
            <w:pPr>
              <w:pStyle w:val="TableText0"/>
              <w:rPr>
                <w:snapToGrid w:val="0"/>
              </w:rPr>
            </w:pPr>
            <w:r>
              <w:rPr>
                <w:snapToGrid w:val="0"/>
              </w:rPr>
              <w:t xml:space="preserve">[64.29, 80.11} </w:t>
            </w:r>
          </w:p>
        </w:tc>
        <w:tc>
          <w:tcPr>
            <w:tcW w:w="956" w:type="pct"/>
            <w:shd w:val="clear" w:color="auto" w:fill="auto"/>
          </w:tcPr>
          <w:p w14:paraId="4017B92A" w14:textId="77777777" w:rsidR="009B68D8" w:rsidRDefault="009B68D8" w:rsidP="004E5C57">
            <w:pPr>
              <w:pStyle w:val="TableText0"/>
              <w:rPr>
                <w:snapToGrid w:val="0"/>
              </w:rPr>
            </w:pPr>
            <w:r>
              <w:rPr>
                <w:snapToGrid w:val="0"/>
              </w:rPr>
              <w:t>100%</w:t>
            </w:r>
          </w:p>
          <w:p w14:paraId="69274809" w14:textId="77777777" w:rsidR="009B68D8" w:rsidRPr="00E149D1" w:rsidRDefault="009B68D8" w:rsidP="004E5C57">
            <w:pPr>
              <w:pStyle w:val="TableText0"/>
              <w:rPr>
                <w:snapToGrid w:val="0"/>
              </w:rPr>
            </w:pPr>
            <w:r>
              <w:rPr>
                <w:snapToGrid w:val="0"/>
              </w:rPr>
              <w:t>[97.18, 100.00]</w:t>
            </w:r>
          </w:p>
        </w:tc>
        <w:tc>
          <w:tcPr>
            <w:tcW w:w="796" w:type="pct"/>
            <w:shd w:val="clear" w:color="auto" w:fill="auto"/>
          </w:tcPr>
          <w:p w14:paraId="230381EC" w14:textId="77777777" w:rsidR="009B68D8" w:rsidRPr="00E149D1" w:rsidRDefault="009B68D8" w:rsidP="004E5C57">
            <w:pPr>
              <w:pStyle w:val="TableText0"/>
              <w:rPr>
                <w:snapToGrid w:val="0"/>
              </w:rPr>
            </w:pPr>
            <w:r>
              <w:rPr>
                <w:snapToGrid w:val="0"/>
              </w:rPr>
              <w:t>100</w:t>
            </w:r>
            <w:r w:rsidRPr="00F65029">
              <w:rPr>
                <w:snapToGrid w:val="0"/>
              </w:rPr>
              <w:t xml:space="preserve">% </w:t>
            </w:r>
            <w:r w:rsidRPr="00F65029">
              <w:rPr>
                <w:snapToGrid w:val="0"/>
              </w:rPr>
              <w:br/>
            </w:r>
          </w:p>
        </w:tc>
        <w:tc>
          <w:tcPr>
            <w:tcW w:w="877" w:type="pct"/>
            <w:shd w:val="clear" w:color="auto" w:fill="auto"/>
          </w:tcPr>
          <w:p w14:paraId="589C0FDA" w14:textId="77777777" w:rsidR="009B68D8" w:rsidRPr="00E149D1" w:rsidRDefault="00B85728" w:rsidP="004E5C57">
            <w:pPr>
              <w:pStyle w:val="TableText0"/>
              <w:rPr>
                <w:snapToGrid w:val="0"/>
              </w:rPr>
            </w:pPr>
            <w:r>
              <w:rPr>
                <w:snapToGrid w:val="0"/>
              </w:rPr>
              <w:t>87.6</w:t>
            </w:r>
            <w:r w:rsidR="009B68D8" w:rsidRPr="00F65029">
              <w:rPr>
                <w:snapToGrid w:val="0"/>
              </w:rPr>
              <w:t xml:space="preserve">% </w:t>
            </w:r>
            <w:r w:rsidR="009B68D8" w:rsidRPr="00F65029">
              <w:rPr>
                <w:snapToGrid w:val="0"/>
              </w:rPr>
              <w:br/>
              <w:t>[</w:t>
            </w:r>
            <w:r>
              <w:rPr>
                <w:snapToGrid w:val="0"/>
              </w:rPr>
              <w:t>84.3</w:t>
            </w:r>
            <w:r w:rsidR="009B68D8" w:rsidRPr="00F65029">
              <w:rPr>
                <w:snapToGrid w:val="0"/>
              </w:rPr>
              <w:t>,</w:t>
            </w:r>
            <w:r w:rsidR="009B68D8">
              <w:rPr>
                <w:snapToGrid w:val="0"/>
              </w:rPr>
              <w:t xml:space="preserve"> </w:t>
            </w:r>
            <w:r>
              <w:rPr>
                <w:snapToGrid w:val="0"/>
              </w:rPr>
              <w:t>90.4</w:t>
            </w:r>
            <w:r w:rsidR="009B68D8" w:rsidRPr="00F65029">
              <w:rPr>
                <w:snapToGrid w:val="0"/>
              </w:rPr>
              <w:t>]</w:t>
            </w:r>
          </w:p>
        </w:tc>
      </w:tr>
      <w:tr w:rsidR="009B68D8" w:rsidRPr="00E149D1" w14:paraId="4D2ED6D0" w14:textId="77777777" w:rsidTr="00446D90">
        <w:tc>
          <w:tcPr>
            <w:tcW w:w="720" w:type="pct"/>
          </w:tcPr>
          <w:p w14:paraId="38EA2C2E" w14:textId="77777777" w:rsidR="009B68D8" w:rsidRDefault="009B68D8" w:rsidP="004E5C57">
            <w:pPr>
              <w:pStyle w:val="TableText0"/>
              <w:rPr>
                <w:snapToGrid w:val="0"/>
              </w:rPr>
            </w:pPr>
            <w:r>
              <w:rPr>
                <w:snapToGrid w:val="0"/>
              </w:rPr>
              <w:t>Bouzar et al 2017</w:t>
            </w:r>
          </w:p>
          <w:p w14:paraId="0AADBDDA" w14:textId="77777777" w:rsidR="009B68D8" w:rsidRPr="00E149D1" w:rsidRDefault="009B68D8" w:rsidP="004E5C57">
            <w:pPr>
              <w:pStyle w:val="TableText0"/>
              <w:rPr>
                <w:snapToGrid w:val="0"/>
              </w:rPr>
            </w:pPr>
            <w:r>
              <w:rPr>
                <w:snapToGrid w:val="0"/>
              </w:rPr>
              <w:t>N=42</w:t>
            </w:r>
          </w:p>
        </w:tc>
        <w:tc>
          <w:tcPr>
            <w:tcW w:w="717" w:type="pct"/>
          </w:tcPr>
          <w:p w14:paraId="4658FF34" w14:textId="77777777" w:rsidR="009B68D8" w:rsidRPr="00E149D1" w:rsidRDefault="009B68D8" w:rsidP="004E5C57">
            <w:pPr>
              <w:pStyle w:val="TableText0"/>
              <w:rPr>
                <w:snapToGrid w:val="0"/>
              </w:rPr>
            </w:pPr>
            <w:r>
              <w:rPr>
                <w:snapToGrid w:val="0"/>
              </w:rPr>
              <w:t>History of ON, LETM or myelitis</w:t>
            </w:r>
          </w:p>
        </w:tc>
        <w:tc>
          <w:tcPr>
            <w:tcW w:w="934" w:type="pct"/>
          </w:tcPr>
          <w:p w14:paraId="5F4351C5" w14:textId="77777777" w:rsidR="009B68D8" w:rsidRPr="00E149D1" w:rsidRDefault="009B68D8" w:rsidP="004E5C57">
            <w:pPr>
              <w:pStyle w:val="TableText0"/>
              <w:rPr>
                <w:snapToGrid w:val="0"/>
              </w:rPr>
            </w:pPr>
            <w:r>
              <w:rPr>
                <w:snapToGrid w:val="0"/>
              </w:rPr>
              <w:t>46.15</w:t>
            </w:r>
            <w:r w:rsidRPr="00A378A3">
              <w:rPr>
                <w:snapToGrid w:val="0"/>
              </w:rPr>
              <w:t xml:space="preserve">% </w:t>
            </w:r>
            <w:r w:rsidRPr="00A378A3">
              <w:rPr>
                <w:snapToGrid w:val="0"/>
              </w:rPr>
              <w:br/>
              <w:t>[</w:t>
            </w:r>
            <w:r>
              <w:rPr>
                <w:snapToGrid w:val="0"/>
              </w:rPr>
              <w:t>19.22</w:t>
            </w:r>
            <w:r w:rsidRPr="00A378A3">
              <w:rPr>
                <w:snapToGrid w:val="0"/>
              </w:rPr>
              <w:t>,</w:t>
            </w:r>
            <w:r>
              <w:rPr>
                <w:snapToGrid w:val="0"/>
              </w:rPr>
              <w:t xml:space="preserve"> 74.87</w:t>
            </w:r>
            <w:r w:rsidRPr="00A378A3">
              <w:rPr>
                <w:snapToGrid w:val="0"/>
              </w:rPr>
              <w:t>]</w:t>
            </w:r>
          </w:p>
        </w:tc>
        <w:tc>
          <w:tcPr>
            <w:tcW w:w="956" w:type="pct"/>
            <w:shd w:val="clear" w:color="auto" w:fill="auto"/>
          </w:tcPr>
          <w:p w14:paraId="34A4D147" w14:textId="77777777" w:rsidR="009B68D8" w:rsidRPr="00E149D1" w:rsidRDefault="009B68D8" w:rsidP="004E5C57">
            <w:pPr>
              <w:pStyle w:val="TableText0"/>
              <w:rPr>
                <w:snapToGrid w:val="0"/>
              </w:rPr>
            </w:pPr>
            <w:r>
              <w:rPr>
                <w:snapToGrid w:val="0"/>
              </w:rPr>
              <w:t>100</w:t>
            </w:r>
            <w:r w:rsidRPr="00A378A3">
              <w:rPr>
                <w:snapToGrid w:val="0"/>
              </w:rPr>
              <w:t xml:space="preserve">% </w:t>
            </w:r>
            <w:r w:rsidRPr="00A378A3">
              <w:rPr>
                <w:snapToGrid w:val="0"/>
              </w:rPr>
              <w:br/>
              <w:t>[</w:t>
            </w:r>
            <w:r w:rsidR="007773F7">
              <w:rPr>
                <w:snapToGrid w:val="0"/>
              </w:rPr>
              <w:t>88.06</w:t>
            </w:r>
            <w:r w:rsidRPr="00A378A3">
              <w:rPr>
                <w:snapToGrid w:val="0"/>
              </w:rPr>
              <w:t>,</w:t>
            </w:r>
            <w:r>
              <w:rPr>
                <w:snapToGrid w:val="0"/>
              </w:rPr>
              <w:t xml:space="preserve"> 100.00</w:t>
            </w:r>
            <w:r w:rsidRPr="00A378A3">
              <w:rPr>
                <w:snapToGrid w:val="0"/>
              </w:rPr>
              <w:t>]</w:t>
            </w:r>
          </w:p>
        </w:tc>
        <w:tc>
          <w:tcPr>
            <w:tcW w:w="796" w:type="pct"/>
            <w:shd w:val="clear" w:color="auto" w:fill="auto"/>
          </w:tcPr>
          <w:p w14:paraId="31FD5B0C" w14:textId="77777777" w:rsidR="009B68D8" w:rsidRPr="00E149D1" w:rsidRDefault="009B68D8" w:rsidP="004E5C57">
            <w:pPr>
              <w:pStyle w:val="TableText0"/>
              <w:rPr>
                <w:snapToGrid w:val="0"/>
              </w:rPr>
            </w:pPr>
            <w:r>
              <w:rPr>
                <w:snapToGrid w:val="0"/>
              </w:rPr>
              <w:t>100</w:t>
            </w:r>
            <w:r w:rsidRPr="00A378A3">
              <w:rPr>
                <w:snapToGrid w:val="0"/>
              </w:rPr>
              <w:t xml:space="preserve">% </w:t>
            </w:r>
            <w:r w:rsidRPr="00A378A3">
              <w:rPr>
                <w:snapToGrid w:val="0"/>
              </w:rPr>
              <w:br/>
            </w:r>
          </w:p>
        </w:tc>
        <w:tc>
          <w:tcPr>
            <w:tcW w:w="877" w:type="pct"/>
            <w:shd w:val="clear" w:color="auto" w:fill="auto"/>
          </w:tcPr>
          <w:p w14:paraId="5F9AB56C" w14:textId="77777777" w:rsidR="009B68D8" w:rsidRPr="00E149D1" w:rsidRDefault="00B85728" w:rsidP="004E5C57">
            <w:pPr>
              <w:pStyle w:val="TableText0"/>
              <w:rPr>
                <w:snapToGrid w:val="0"/>
              </w:rPr>
            </w:pPr>
            <w:r>
              <w:rPr>
                <w:snapToGrid w:val="0"/>
              </w:rPr>
              <w:t>78.2</w:t>
            </w:r>
            <w:r w:rsidR="009B68D8" w:rsidRPr="00A378A3">
              <w:rPr>
                <w:snapToGrid w:val="0"/>
              </w:rPr>
              <w:t xml:space="preserve">% </w:t>
            </w:r>
            <w:r w:rsidR="009B68D8" w:rsidRPr="00A378A3">
              <w:rPr>
                <w:snapToGrid w:val="0"/>
              </w:rPr>
              <w:br/>
              <w:t>[</w:t>
            </w:r>
            <w:r>
              <w:rPr>
                <w:snapToGrid w:val="0"/>
              </w:rPr>
              <w:t>68.5</w:t>
            </w:r>
            <w:r w:rsidR="009B68D8" w:rsidRPr="00A378A3">
              <w:rPr>
                <w:snapToGrid w:val="0"/>
              </w:rPr>
              <w:t>,</w:t>
            </w:r>
            <w:r w:rsidR="009B68D8">
              <w:rPr>
                <w:snapToGrid w:val="0"/>
              </w:rPr>
              <w:t xml:space="preserve"> </w:t>
            </w:r>
            <w:r>
              <w:rPr>
                <w:snapToGrid w:val="0"/>
              </w:rPr>
              <w:t>85.6</w:t>
            </w:r>
            <w:r w:rsidR="009B68D8" w:rsidRPr="00A378A3">
              <w:rPr>
                <w:snapToGrid w:val="0"/>
              </w:rPr>
              <w:t>]</w:t>
            </w:r>
          </w:p>
        </w:tc>
      </w:tr>
      <w:tr w:rsidR="009B68D8" w:rsidRPr="00E149D1" w14:paraId="2E465BE0" w14:textId="77777777" w:rsidTr="00446D90">
        <w:tc>
          <w:tcPr>
            <w:tcW w:w="720" w:type="pct"/>
          </w:tcPr>
          <w:p w14:paraId="18F3B697" w14:textId="77777777" w:rsidR="009B68D8" w:rsidRDefault="009B68D8" w:rsidP="004E5C57">
            <w:pPr>
              <w:pStyle w:val="TableText0"/>
              <w:rPr>
                <w:snapToGrid w:val="0"/>
              </w:rPr>
            </w:pPr>
            <w:r>
              <w:rPr>
                <w:snapToGrid w:val="0"/>
              </w:rPr>
              <w:lastRenderedPageBreak/>
              <w:t>Jain et al, 2016</w:t>
            </w:r>
          </w:p>
          <w:p w14:paraId="58B08E34" w14:textId="77777777" w:rsidR="009B68D8" w:rsidRPr="00E149D1" w:rsidRDefault="009B68D8" w:rsidP="004E5C57">
            <w:pPr>
              <w:pStyle w:val="TableText0"/>
              <w:rPr>
                <w:snapToGrid w:val="0"/>
              </w:rPr>
            </w:pPr>
            <w:r>
              <w:rPr>
                <w:snapToGrid w:val="0"/>
              </w:rPr>
              <w:t>N=64</w:t>
            </w:r>
          </w:p>
        </w:tc>
        <w:tc>
          <w:tcPr>
            <w:tcW w:w="717" w:type="pct"/>
          </w:tcPr>
          <w:p w14:paraId="084C4872" w14:textId="77777777" w:rsidR="009B68D8" w:rsidRPr="00E149D1" w:rsidRDefault="009B68D8" w:rsidP="004E5C57">
            <w:pPr>
              <w:pStyle w:val="TableText0"/>
              <w:rPr>
                <w:snapToGrid w:val="0"/>
              </w:rPr>
            </w:pPr>
            <w:r>
              <w:rPr>
                <w:snapToGrid w:val="0"/>
              </w:rPr>
              <w:t>LETM, 3 or more segments</w:t>
            </w:r>
          </w:p>
        </w:tc>
        <w:tc>
          <w:tcPr>
            <w:tcW w:w="934" w:type="pct"/>
          </w:tcPr>
          <w:p w14:paraId="7183F1F0" w14:textId="77777777" w:rsidR="009B68D8" w:rsidRPr="00E149D1" w:rsidRDefault="009B68D8" w:rsidP="004E5C57">
            <w:pPr>
              <w:pStyle w:val="TableText0"/>
              <w:rPr>
                <w:snapToGrid w:val="0"/>
              </w:rPr>
            </w:pPr>
            <w:r>
              <w:rPr>
                <w:snapToGrid w:val="0"/>
              </w:rPr>
              <w:t>61.90</w:t>
            </w:r>
            <w:r w:rsidRPr="00A378A3">
              <w:rPr>
                <w:snapToGrid w:val="0"/>
              </w:rPr>
              <w:t xml:space="preserve">% </w:t>
            </w:r>
            <w:r w:rsidRPr="00A378A3">
              <w:rPr>
                <w:snapToGrid w:val="0"/>
              </w:rPr>
              <w:br/>
              <w:t>[</w:t>
            </w:r>
            <w:r>
              <w:rPr>
                <w:snapToGrid w:val="0"/>
              </w:rPr>
              <w:t>38.44</w:t>
            </w:r>
            <w:r w:rsidRPr="00A378A3">
              <w:rPr>
                <w:snapToGrid w:val="0"/>
              </w:rPr>
              <w:t>,</w:t>
            </w:r>
            <w:r>
              <w:rPr>
                <w:snapToGrid w:val="0"/>
              </w:rPr>
              <w:t xml:space="preserve"> 81.89</w:t>
            </w:r>
            <w:r w:rsidRPr="00A378A3">
              <w:rPr>
                <w:snapToGrid w:val="0"/>
              </w:rPr>
              <w:t>]</w:t>
            </w:r>
          </w:p>
        </w:tc>
        <w:tc>
          <w:tcPr>
            <w:tcW w:w="956" w:type="pct"/>
            <w:shd w:val="clear" w:color="auto" w:fill="auto"/>
          </w:tcPr>
          <w:p w14:paraId="6DE56AB0" w14:textId="77777777" w:rsidR="009B68D8" w:rsidRPr="00E149D1" w:rsidRDefault="009B68D8" w:rsidP="004E5C57">
            <w:pPr>
              <w:pStyle w:val="TableText0"/>
              <w:rPr>
                <w:snapToGrid w:val="0"/>
              </w:rPr>
            </w:pPr>
            <w:r>
              <w:rPr>
                <w:snapToGrid w:val="0"/>
              </w:rPr>
              <w:t>100</w:t>
            </w:r>
            <w:r w:rsidRPr="00A378A3">
              <w:rPr>
                <w:snapToGrid w:val="0"/>
              </w:rPr>
              <w:t xml:space="preserve">% </w:t>
            </w:r>
            <w:r w:rsidRPr="00A378A3">
              <w:rPr>
                <w:snapToGrid w:val="0"/>
              </w:rPr>
              <w:br/>
              <w:t>[</w:t>
            </w:r>
            <w:r>
              <w:rPr>
                <w:snapToGrid w:val="0"/>
              </w:rPr>
              <w:t>91.78</w:t>
            </w:r>
            <w:r w:rsidRPr="00A378A3">
              <w:rPr>
                <w:snapToGrid w:val="0"/>
              </w:rPr>
              <w:t>,</w:t>
            </w:r>
            <w:r>
              <w:rPr>
                <w:snapToGrid w:val="0"/>
              </w:rPr>
              <w:t xml:space="preserve"> 100.00</w:t>
            </w:r>
            <w:r w:rsidRPr="00A378A3">
              <w:rPr>
                <w:snapToGrid w:val="0"/>
              </w:rPr>
              <w:t>]</w:t>
            </w:r>
          </w:p>
        </w:tc>
        <w:tc>
          <w:tcPr>
            <w:tcW w:w="796" w:type="pct"/>
            <w:shd w:val="clear" w:color="auto" w:fill="auto"/>
          </w:tcPr>
          <w:p w14:paraId="153ACE5D" w14:textId="77777777" w:rsidR="009B68D8" w:rsidRPr="00E149D1" w:rsidRDefault="009B68D8" w:rsidP="004E5C57">
            <w:pPr>
              <w:pStyle w:val="TableText0"/>
              <w:rPr>
                <w:snapToGrid w:val="0"/>
              </w:rPr>
            </w:pPr>
            <w:r>
              <w:rPr>
                <w:snapToGrid w:val="0"/>
              </w:rPr>
              <w:t>100</w:t>
            </w:r>
            <w:r w:rsidRPr="00A378A3">
              <w:rPr>
                <w:snapToGrid w:val="0"/>
              </w:rPr>
              <w:t xml:space="preserve">% </w:t>
            </w:r>
            <w:r w:rsidRPr="00A378A3">
              <w:rPr>
                <w:snapToGrid w:val="0"/>
              </w:rPr>
              <w:br/>
            </w:r>
          </w:p>
        </w:tc>
        <w:tc>
          <w:tcPr>
            <w:tcW w:w="877" w:type="pct"/>
            <w:shd w:val="clear" w:color="auto" w:fill="auto"/>
          </w:tcPr>
          <w:p w14:paraId="0C0B72F8" w14:textId="77777777" w:rsidR="009B68D8" w:rsidRPr="00E149D1" w:rsidRDefault="00F30468" w:rsidP="004E5C57">
            <w:pPr>
              <w:pStyle w:val="TableText0"/>
              <w:rPr>
                <w:snapToGrid w:val="0"/>
              </w:rPr>
            </w:pPr>
            <w:r>
              <w:rPr>
                <w:snapToGrid w:val="0"/>
              </w:rPr>
              <w:t>83.5</w:t>
            </w:r>
            <w:r w:rsidR="009B68D8" w:rsidRPr="00A378A3">
              <w:rPr>
                <w:snapToGrid w:val="0"/>
              </w:rPr>
              <w:t xml:space="preserve">% </w:t>
            </w:r>
            <w:r w:rsidR="009B68D8" w:rsidRPr="00A378A3">
              <w:rPr>
                <w:snapToGrid w:val="0"/>
              </w:rPr>
              <w:br/>
              <w:t>[</w:t>
            </w:r>
            <w:r>
              <w:rPr>
                <w:snapToGrid w:val="0"/>
              </w:rPr>
              <w:t>74.6</w:t>
            </w:r>
            <w:r w:rsidR="009B68D8" w:rsidRPr="00A378A3">
              <w:rPr>
                <w:snapToGrid w:val="0"/>
              </w:rPr>
              <w:t>,</w:t>
            </w:r>
            <w:r w:rsidR="009B68D8">
              <w:rPr>
                <w:snapToGrid w:val="0"/>
              </w:rPr>
              <w:t xml:space="preserve"> </w:t>
            </w:r>
            <w:r>
              <w:rPr>
                <w:snapToGrid w:val="0"/>
              </w:rPr>
              <w:t>89.7</w:t>
            </w:r>
            <w:r w:rsidR="009B68D8" w:rsidRPr="00A378A3">
              <w:rPr>
                <w:snapToGrid w:val="0"/>
              </w:rPr>
              <w:t>]</w:t>
            </w:r>
          </w:p>
        </w:tc>
      </w:tr>
      <w:tr w:rsidR="009B68D8" w:rsidRPr="00183E4D" w14:paraId="3552DADD" w14:textId="77777777" w:rsidTr="00446D90">
        <w:tc>
          <w:tcPr>
            <w:tcW w:w="720" w:type="pct"/>
          </w:tcPr>
          <w:p w14:paraId="5C3F7AAA" w14:textId="77777777" w:rsidR="009B68D8" w:rsidRDefault="009B68D8" w:rsidP="004E5C57">
            <w:pPr>
              <w:pStyle w:val="TableText0"/>
              <w:rPr>
                <w:snapToGrid w:val="0"/>
              </w:rPr>
            </w:pPr>
            <w:r>
              <w:rPr>
                <w:snapToGrid w:val="0"/>
              </w:rPr>
              <w:t>Contentti et al 2019</w:t>
            </w:r>
          </w:p>
          <w:p w14:paraId="0A51A0E1" w14:textId="77777777" w:rsidR="009B68D8" w:rsidRDefault="009B68D8" w:rsidP="004E5C57">
            <w:pPr>
              <w:pStyle w:val="TableText0"/>
              <w:rPr>
                <w:snapToGrid w:val="0"/>
              </w:rPr>
            </w:pPr>
            <w:r>
              <w:rPr>
                <w:snapToGrid w:val="0"/>
              </w:rPr>
              <w:t>N=57</w:t>
            </w:r>
          </w:p>
        </w:tc>
        <w:tc>
          <w:tcPr>
            <w:tcW w:w="717" w:type="pct"/>
          </w:tcPr>
          <w:p w14:paraId="78959866" w14:textId="77777777" w:rsidR="009B68D8" w:rsidRDefault="009B68D8" w:rsidP="004E5C57">
            <w:pPr>
              <w:pStyle w:val="TableText0"/>
              <w:rPr>
                <w:snapToGrid w:val="0"/>
              </w:rPr>
            </w:pPr>
            <w:r>
              <w:rPr>
                <w:snapToGrid w:val="0"/>
              </w:rPr>
              <w:t>First episode acute ON</w:t>
            </w:r>
          </w:p>
        </w:tc>
        <w:tc>
          <w:tcPr>
            <w:tcW w:w="934" w:type="pct"/>
          </w:tcPr>
          <w:p w14:paraId="1E0477E5" w14:textId="77777777" w:rsidR="009B68D8" w:rsidRDefault="009B68D8" w:rsidP="004E5C57">
            <w:pPr>
              <w:pStyle w:val="TableText0"/>
              <w:rPr>
                <w:snapToGrid w:val="0"/>
              </w:rPr>
            </w:pPr>
            <w:r>
              <w:rPr>
                <w:snapToGrid w:val="0"/>
              </w:rPr>
              <w:t>77.27</w:t>
            </w:r>
            <w:r w:rsidRPr="00A378A3">
              <w:rPr>
                <w:snapToGrid w:val="0"/>
              </w:rPr>
              <w:t xml:space="preserve">% </w:t>
            </w:r>
            <w:r w:rsidRPr="00A378A3">
              <w:rPr>
                <w:snapToGrid w:val="0"/>
              </w:rPr>
              <w:br/>
              <w:t>[</w:t>
            </w:r>
            <w:r>
              <w:rPr>
                <w:snapToGrid w:val="0"/>
              </w:rPr>
              <w:t>54.63</w:t>
            </w:r>
            <w:r w:rsidRPr="00A378A3">
              <w:rPr>
                <w:snapToGrid w:val="0"/>
              </w:rPr>
              <w:t>,</w:t>
            </w:r>
            <w:r>
              <w:rPr>
                <w:snapToGrid w:val="0"/>
              </w:rPr>
              <w:t xml:space="preserve"> 92.18</w:t>
            </w:r>
            <w:r w:rsidRPr="00A378A3">
              <w:rPr>
                <w:snapToGrid w:val="0"/>
              </w:rPr>
              <w:t>]</w:t>
            </w:r>
          </w:p>
        </w:tc>
        <w:tc>
          <w:tcPr>
            <w:tcW w:w="956" w:type="pct"/>
            <w:shd w:val="clear" w:color="auto" w:fill="auto"/>
          </w:tcPr>
          <w:p w14:paraId="2C7842F7" w14:textId="77777777" w:rsidR="009B68D8" w:rsidRPr="00A125ED" w:rsidRDefault="009B68D8" w:rsidP="004E5C57">
            <w:pPr>
              <w:pStyle w:val="TableText0"/>
              <w:rPr>
                <w:snapToGrid w:val="0"/>
              </w:rPr>
            </w:pPr>
            <w:r>
              <w:rPr>
                <w:snapToGrid w:val="0"/>
              </w:rPr>
              <w:t>100</w:t>
            </w:r>
            <w:r w:rsidRPr="00A378A3">
              <w:rPr>
                <w:snapToGrid w:val="0"/>
              </w:rPr>
              <w:t xml:space="preserve">% </w:t>
            </w:r>
            <w:r w:rsidRPr="00A378A3">
              <w:rPr>
                <w:snapToGrid w:val="0"/>
              </w:rPr>
              <w:br/>
              <w:t>[</w:t>
            </w:r>
            <w:r>
              <w:rPr>
                <w:snapToGrid w:val="0"/>
              </w:rPr>
              <w:t>9</w:t>
            </w:r>
            <w:r w:rsidR="007773F7">
              <w:rPr>
                <w:snapToGrid w:val="0"/>
              </w:rPr>
              <w:t>0</w:t>
            </w:r>
            <w:r>
              <w:rPr>
                <w:snapToGrid w:val="0"/>
              </w:rPr>
              <w:t>.00</w:t>
            </w:r>
            <w:r w:rsidRPr="00A378A3">
              <w:rPr>
                <w:snapToGrid w:val="0"/>
              </w:rPr>
              <w:t>,</w:t>
            </w:r>
            <w:r>
              <w:rPr>
                <w:snapToGrid w:val="0"/>
              </w:rPr>
              <w:t xml:space="preserve"> 100.00</w:t>
            </w:r>
            <w:r w:rsidRPr="00A378A3">
              <w:rPr>
                <w:snapToGrid w:val="0"/>
              </w:rPr>
              <w:t>]</w:t>
            </w:r>
          </w:p>
        </w:tc>
        <w:tc>
          <w:tcPr>
            <w:tcW w:w="796" w:type="pct"/>
            <w:shd w:val="clear" w:color="auto" w:fill="auto"/>
          </w:tcPr>
          <w:p w14:paraId="1CADCF1B" w14:textId="77777777" w:rsidR="009B68D8" w:rsidRPr="00A125ED" w:rsidRDefault="009B68D8" w:rsidP="004E5C57">
            <w:pPr>
              <w:pStyle w:val="TableText0"/>
              <w:rPr>
                <w:snapToGrid w:val="0"/>
              </w:rPr>
            </w:pPr>
            <w:r>
              <w:rPr>
                <w:snapToGrid w:val="0"/>
              </w:rPr>
              <w:t>100</w:t>
            </w:r>
            <w:r w:rsidRPr="00A378A3">
              <w:rPr>
                <w:snapToGrid w:val="0"/>
              </w:rPr>
              <w:t xml:space="preserve">% </w:t>
            </w:r>
            <w:r w:rsidRPr="00A378A3">
              <w:rPr>
                <w:snapToGrid w:val="0"/>
              </w:rPr>
              <w:br/>
            </w:r>
          </w:p>
        </w:tc>
        <w:tc>
          <w:tcPr>
            <w:tcW w:w="877" w:type="pct"/>
            <w:shd w:val="clear" w:color="auto" w:fill="auto"/>
          </w:tcPr>
          <w:p w14:paraId="52EEFC53" w14:textId="77777777" w:rsidR="009B68D8" w:rsidRPr="00183E4D" w:rsidRDefault="00F30468" w:rsidP="004E5C57">
            <w:pPr>
              <w:pStyle w:val="TableText0"/>
              <w:rPr>
                <w:snapToGrid w:val="0"/>
              </w:rPr>
            </w:pPr>
            <w:r>
              <w:rPr>
                <w:snapToGrid w:val="0"/>
              </w:rPr>
              <w:t>89.5</w:t>
            </w:r>
            <w:r w:rsidR="009B68D8" w:rsidRPr="00A378A3">
              <w:rPr>
                <w:snapToGrid w:val="0"/>
              </w:rPr>
              <w:t xml:space="preserve">% </w:t>
            </w:r>
            <w:r w:rsidR="009B68D8" w:rsidRPr="00A378A3">
              <w:rPr>
                <w:snapToGrid w:val="0"/>
              </w:rPr>
              <w:br/>
              <w:t>[</w:t>
            </w:r>
            <w:r>
              <w:rPr>
                <w:snapToGrid w:val="0"/>
              </w:rPr>
              <w:t>79.7</w:t>
            </w:r>
            <w:r w:rsidR="009B68D8" w:rsidRPr="00A378A3">
              <w:rPr>
                <w:snapToGrid w:val="0"/>
              </w:rPr>
              <w:t>,</w:t>
            </w:r>
            <w:r w:rsidR="009B68D8">
              <w:rPr>
                <w:snapToGrid w:val="0"/>
              </w:rPr>
              <w:t xml:space="preserve"> </w:t>
            </w:r>
            <w:r>
              <w:rPr>
                <w:snapToGrid w:val="0"/>
              </w:rPr>
              <w:t>94.8</w:t>
            </w:r>
            <w:r w:rsidR="009B68D8" w:rsidRPr="00A378A3">
              <w:rPr>
                <w:snapToGrid w:val="0"/>
              </w:rPr>
              <w:t>]</w:t>
            </w:r>
          </w:p>
        </w:tc>
      </w:tr>
      <w:tr w:rsidR="009B68D8" w:rsidRPr="00183E4D" w14:paraId="3936D98C" w14:textId="77777777" w:rsidTr="00446D90">
        <w:tc>
          <w:tcPr>
            <w:tcW w:w="720" w:type="pct"/>
          </w:tcPr>
          <w:p w14:paraId="46A31A8A" w14:textId="77777777" w:rsidR="009B68D8" w:rsidRDefault="009B68D8" w:rsidP="004E5C57">
            <w:pPr>
              <w:pStyle w:val="TableText0"/>
              <w:rPr>
                <w:snapToGrid w:val="0"/>
              </w:rPr>
            </w:pPr>
            <w:r>
              <w:rPr>
                <w:snapToGrid w:val="0"/>
              </w:rPr>
              <w:t>Hyun et al, 2017</w:t>
            </w:r>
          </w:p>
          <w:p w14:paraId="7A3DFA32" w14:textId="77777777" w:rsidR="009B68D8" w:rsidRDefault="009B68D8" w:rsidP="004E5C57">
            <w:pPr>
              <w:pStyle w:val="TableText0"/>
              <w:rPr>
                <w:snapToGrid w:val="0"/>
              </w:rPr>
            </w:pPr>
            <w:r>
              <w:rPr>
                <w:snapToGrid w:val="0"/>
              </w:rPr>
              <w:t>N=505</w:t>
            </w:r>
          </w:p>
        </w:tc>
        <w:tc>
          <w:tcPr>
            <w:tcW w:w="717" w:type="pct"/>
          </w:tcPr>
          <w:p w14:paraId="36B436BE" w14:textId="77777777" w:rsidR="009B68D8" w:rsidRDefault="009B68D8" w:rsidP="004E5C57">
            <w:pPr>
              <w:pStyle w:val="TableText0"/>
              <w:rPr>
                <w:snapToGrid w:val="0"/>
              </w:rPr>
            </w:pPr>
            <w:r>
              <w:rPr>
                <w:snapToGrid w:val="0"/>
              </w:rPr>
              <w:t>CNS inflammatory disease</w:t>
            </w:r>
          </w:p>
        </w:tc>
        <w:tc>
          <w:tcPr>
            <w:tcW w:w="934" w:type="pct"/>
          </w:tcPr>
          <w:p w14:paraId="3AA4E420" w14:textId="77777777" w:rsidR="009B68D8" w:rsidRDefault="009B68D8" w:rsidP="004E5C57">
            <w:pPr>
              <w:pStyle w:val="TableText0"/>
              <w:rPr>
                <w:snapToGrid w:val="0"/>
              </w:rPr>
            </w:pPr>
            <w:r>
              <w:rPr>
                <w:snapToGrid w:val="0"/>
              </w:rPr>
              <w:t>87.24</w:t>
            </w:r>
            <w:r w:rsidRPr="00A378A3">
              <w:rPr>
                <w:snapToGrid w:val="0"/>
              </w:rPr>
              <w:t xml:space="preserve">% </w:t>
            </w:r>
            <w:r w:rsidRPr="00A378A3">
              <w:rPr>
                <w:snapToGrid w:val="0"/>
              </w:rPr>
              <w:br/>
              <w:t>[</w:t>
            </w:r>
            <w:r>
              <w:rPr>
                <w:snapToGrid w:val="0"/>
              </w:rPr>
              <w:t>82.38</w:t>
            </w:r>
            <w:r w:rsidRPr="00A378A3">
              <w:rPr>
                <w:snapToGrid w:val="0"/>
              </w:rPr>
              <w:t>,</w:t>
            </w:r>
            <w:r>
              <w:rPr>
                <w:snapToGrid w:val="0"/>
              </w:rPr>
              <w:t xml:space="preserve"> 91.16</w:t>
            </w:r>
            <w:r w:rsidRPr="00A378A3">
              <w:rPr>
                <w:snapToGrid w:val="0"/>
              </w:rPr>
              <w:t>]</w:t>
            </w:r>
          </w:p>
        </w:tc>
        <w:tc>
          <w:tcPr>
            <w:tcW w:w="956" w:type="pct"/>
            <w:shd w:val="clear" w:color="auto" w:fill="auto"/>
          </w:tcPr>
          <w:p w14:paraId="62D075F1" w14:textId="77777777" w:rsidR="009B68D8" w:rsidRPr="00A125ED" w:rsidRDefault="009B68D8" w:rsidP="004E5C57">
            <w:pPr>
              <w:pStyle w:val="TableText0"/>
              <w:rPr>
                <w:snapToGrid w:val="0"/>
              </w:rPr>
            </w:pPr>
            <w:r>
              <w:rPr>
                <w:snapToGrid w:val="0"/>
              </w:rPr>
              <w:t>100</w:t>
            </w:r>
            <w:r w:rsidRPr="00A378A3">
              <w:rPr>
                <w:snapToGrid w:val="0"/>
              </w:rPr>
              <w:t xml:space="preserve">% </w:t>
            </w:r>
            <w:r w:rsidRPr="00A378A3">
              <w:rPr>
                <w:snapToGrid w:val="0"/>
              </w:rPr>
              <w:br/>
              <w:t>[</w:t>
            </w:r>
            <w:r>
              <w:rPr>
                <w:snapToGrid w:val="0"/>
              </w:rPr>
              <w:t>98.60</w:t>
            </w:r>
            <w:r w:rsidRPr="00A378A3">
              <w:rPr>
                <w:snapToGrid w:val="0"/>
              </w:rPr>
              <w:t>,</w:t>
            </w:r>
            <w:r>
              <w:rPr>
                <w:snapToGrid w:val="0"/>
              </w:rPr>
              <w:t xml:space="preserve"> 100.00</w:t>
            </w:r>
            <w:r w:rsidRPr="00A378A3">
              <w:rPr>
                <w:snapToGrid w:val="0"/>
              </w:rPr>
              <w:t>]</w:t>
            </w:r>
          </w:p>
        </w:tc>
        <w:tc>
          <w:tcPr>
            <w:tcW w:w="796" w:type="pct"/>
            <w:shd w:val="clear" w:color="auto" w:fill="auto"/>
          </w:tcPr>
          <w:p w14:paraId="724981FA" w14:textId="77777777" w:rsidR="009B68D8" w:rsidRPr="00A125ED" w:rsidRDefault="009B68D8" w:rsidP="004E5C57">
            <w:pPr>
              <w:pStyle w:val="TableText0"/>
              <w:rPr>
                <w:snapToGrid w:val="0"/>
              </w:rPr>
            </w:pPr>
            <w:r>
              <w:rPr>
                <w:snapToGrid w:val="0"/>
              </w:rPr>
              <w:t>100</w:t>
            </w:r>
            <w:r w:rsidRPr="00A378A3">
              <w:rPr>
                <w:snapToGrid w:val="0"/>
              </w:rPr>
              <w:t xml:space="preserve">% </w:t>
            </w:r>
            <w:r w:rsidRPr="00A378A3">
              <w:rPr>
                <w:snapToGrid w:val="0"/>
              </w:rPr>
              <w:br/>
            </w:r>
          </w:p>
        </w:tc>
        <w:tc>
          <w:tcPr>
            <w:tcW w:w="877" w:type="pct"/>
            <w:shd w:val="clear" w:color="auto" w:fill="auto"/>
          </w:tcPr>
          <w:p w14:paraId="090C5573" w14:textId="77777777" w:rsidR="009B68D8" w:rsidRPr="00183E4D" w:rsidRDefault="00F30468" w:rsidP="004E5C57">
            <w:pPr>
              <w:pStyle w:val="TableText0"/>
              <w:rPr>
                <w:snapToGrid w:val="0"/>
              </w:rPr>
            </w:pPr>
            <w:r>
              <w:rPr>
                <w:snapToGrid w:val="0"/>
              </w:rPr>
              <w:t>93.8</w:t>
            </w:r>
            <w:r w:rsidR="009B68D8" w:rsidRPr="00A378A3">
              <w:rPr>
                <w:snapToGrid w:val="0"/>
              </w:rPr>
              <w:t xml:space="preserve">% </w:t>
            </w:r>
            <w:r w:rsidR="009B68D8" w:rsidRPr="00A378A3">
              <w:rPr>
                <w:snapToGrid w:val="0"/>
              </w:rPr>
              <w:br/>
              <w:t>[</w:t>
            </w:r>
            <w:r>
              <w:rPr>
                <w:snapToGrid w:val="0"/>
              </w:rPr>
              <w:t>91.6</w:t>
            </w:r>
            <w:r w:rsidR="009B68D8">
              <w:rPr>
                <w:snapToGrid w:val="0"/>
              </w:rPr>
              <w:t xml:space="preserve">, </w:t>
            </w:r>
            <w:r w:rsidR="00B641B8">
              <w:rPr>
                <w:snapToGrid w:val="0"/>
              </w:rPr>
              <w:t>95.</w:t>
            </w:r>
            <w:r>
              <w:rPr>
                <w:snapToGrid w:val="0"/>
              </w:rPr>
              <w:t>5</w:t>
            </w:r>
            <w:r w:rsidR="009B68D8" w:rsidRPr="00A378A3">
              <w:rPr>
                <w:snapToGrid w:val="0"/>
              </w:rPr>
              <w:t>]</w:t>
            </w:r>
          </w:p>
        </w:tc>
      </w:tr>
      <w:tr w:rsidR="009B68D8" w:rsidRPr="00183E4D" w14:paraId="3BD2E43C" w14:textId="77777777" w:rsidTr="00446D90">
        <w:tc>
          <w:tcPr>
            <w:tcW w:w="720" w:type="pct"/>
          </w:tcPr>
          <w:p w14:paraId="08448F41" w14:textId="77777777" w:rsidR="009B68D8" w:rsidRDefault="009B68D8" w:rsidP="004E5C57">
            <w:pPr>
              <w:pStyle w:val="TableText0"/>
              <w:rPr>
                <w:snapToGrid w:val="0"/>
              </w:rPr>
            </w:pPr>
            <w:r>
              <w:rPr>
                <w:snapToGrid w:val="0"/>
              </w:rPr>
              <w:t>Kang et al 2019</w:t>
            </w:r>
          </w:p>
          <w:p w14:paraId="4938575A" w14:textId="77777777" w:rsidR="009B68D8" w:rsidRDefault="009B68D8" w:rsidP="004E5C57">
            <w:pPr>
              <w:pStyle w:val="TableText0"/>
              <w:rPr>
                <w:snapToGrid w:val="0"/>
              </w:rPr>
            </w:pPr>
            <w:r>
              <w:rPr>
                <w:snapToGrid w:val="0"/>
              </w:rPr>
              <w:t>N=51</w:t>
            </w:r>
          </w:p>
        </w:tc>
        <w:tc>
          <w:tcPr>
            <w:tcW w:w="717" w:type="pct"/>
          </w:tcPr>
          <w:p w14:paraId="117BEE04" w14:textId="77777777" w:rsidR="009B68D8" w:rsidRDefault="009B68D8" w:rsidP="004E5C57">
            <w:pPr>
              <w:pStyle w:val="TableText0"/>
              <w:rPr>
                <w:snapToGrid w:val="0"/>
              </w:rPr>
            </w:pPr>
            <w:r>
              <w:rPr>
                <w:snapToGrid w:val="0"/>
              </w:rPr>
              <w:t>Bilateral optic neuritis</w:t>
            </w:r>
          </w:p>
        </w:tc>
        <w:tc>
          <w:tcPr>
            <w:tcW w:w="934" w:type="pct"/>
          </w:tcPr>
          <w:p w14:paraId="5A66CC85" w14:textId="77777777" w:rsidR="009B68D8" w:rsidRDefault="009B68D8" w:rsidP="004E5C57">
            <w:pPr>
              <w:pStyle w:val="TableText0"/>
              <w:rPr>
                <w:snapToGrid w:val="0"/>
              </w:rPr>
            </w:pPr>
            <w:r>
              <w:rPr>
                <w:snapToGrid w:val="0"/>
              </w:rPr>
              <w:t>64.52</w:t>
            </w:r>
            <w:r w:rsidRPr="00A378A3">
              <w:rPr>
                <w:snapToGrid w:val="0"/>
              </w:rPr>
              <w:t xml:space="preserve">% </w:t>
            </w:r>
            <w:r w:rsidRPr="00A378A3">
              <w:rPr>
                <w:snapToGrid w:val="0"/>
              </w:rPr>
              <w:br/>
              <w:t>[</w:t>
            </w:r>
            <w:r>
              <w:rPr>
                <w:snapToGrid w:val="0"/>
              </w:rPr>
              <w:t>45.37</w:t>
            </w:r>
            <w:r w:rsidRPr="00A378A3">
              <w:rPr>
                <w:snapToGrid w:val="0"/>
              </w:rPr>
              <w:t>,</w:t>
            </w:r>
            <w:r>
              <w:rPr>
                <w:snapToGrid w:val="0"/>
              </w:rPr>
              <w:t xml:space="preserve"> 80.77</w:t>
            </w:r>
            <w:r w:rsidRPr="00A378A3">
              <w:rPr>
                <w:snapToGrid w:val="0"/>
              </w:rPr>
              <w:t>]</w:t>
            </w:r>
          </w:p>
        </w:tc>
        <w:tc>
          <w:tcPr>
            <w:tcW w:w="956" w:type="pct"/>
            <w:shd w:val="clear" w:color="auto" w:fill="auto"/>
          </w:tcPr>
          <w:p w14:paraId="34C0E594" w14:textId="77777777" w:rsidR="009B68D8" w:rsidRPr="00A125ED" w:rsidRDefault="009B68D8" w:rsidP="004E5C57">
            <w:pPr>
              <w:pStyle w:val="TableText0"/>
              <w:rPr>
                <w:snapToGrid w:val="0"/>
              </w:rPr>
            </w:pPr>
            <w:r>
              <w:rPr>
                <w:snapToGrid w:val="0"/>
              </w:rPr>
              <w:t>100</w:t>
            </w:r>
            <w:r w:rsidRPr="00A378A3">
              <w:rPr>
                <w:snapToGrid w:val="0"/>
              </w:rPr>
              <w:t xml:space="preserve">% </w:t>
            </w:r>
            <w:r w:rsidRPr="00A378A3">
              <w:rPr>
                <w:snapToGrid w:val="0"/>
              </w:rPr>
              <w:br/>
              <w:t>[</w:t>
            </w:r>
            <w:r>
              <w:rPr>
                <w:snapToGrid w:val="0"/>
              </w:rPr>
              <w:t>83.16</w:t>
            </w:r>
            <w:r w:rsidRPr="00A378A3">
              <w:rPr>
                <w:snapToGrid w:val="0"/>
              </w:rPr>
              <w:t>,</w:t>
            </w:r>
            <w:r>
              <w:rPr>
                <w:snapToGrid w:val="0"/>
              </w:rPr>
              <w:t xml:space="preserve"> 100.00</w:t>
            </w:r>
            <w:r w:rsidRPr="00A378A3">
              <w:rPr>
                <w:snapToGrid w:val="0"/>
              </w:rPr>
              <w:t>]</w:t>
            </w:r>
          </w:p>
        </w:tc>
        <w:tc>
          <w:tcPr>
            <w:tcW w:w="796" w:type="pct"/>
            <w:shd w:val="clear" w:color="auto" w:fill="auto"/>
          </w:tcPr>
          <w:p w14:paraId="673441BE" w14:textId="77777777" w:rsidR="009B68D8" w:rsidRPr="00A125ED" w:rsidRDefault="009B68D8" w:rsidP="004E5C57">
            <w:pPr>
              <w:pStyle w:val="TableText0"/>
              <w:rPr>
                <w:snapToGrid w:val="0"/>
              </w:rPr>
            </w:pPr>
            <w:r>
              <w:rPr>
                <w:snapToGrid w:val="0"/>
              </w:rPr>
              <w:t>100</w:t>
            </w:r>
            <w:r w:rsidRPr="00A378A3">
              <w:rPr>
                <w:snapToGrid w:val="0"/>
              </w:rPr>
              <w:t xml:space="preserve">% </w:t>
            </w:r>
            <w:r w:rsidRPr="00A378A3">
              <w:rPr>
                <w:snapToGrid w:val="0"/>
              </w:rPr>
              <w:br/>
            </w:r>
          </w:p>
        </w:tc>
        <w:tc>
          <w:tcPr>
            <w:tcW w:w="877" w:type="pct"/>
            <w:shd w:val="clear" w:color="auto" w:fill="auto"/>
          </w:tcPr>
          <w:p w14:paraId="5ACB1434" w14:textId="77777777" w:rsidR="009B68D8" w:rsidRPr="00183E4D" w:rsidRDefault="00F30468" w:rsidP="004E5C57">
            <w:pPr>
              <w:pStyle w:val="TableText0"/>
              <w:rPr>
                <w:snapToGrid w:val="0"/>
              </w:rPr>
            </w:pPr>
            <w:r>
              <w:rPr>
                <w:snapToGrid w:val="0"/>
              </w:rPr>
              <w:t>84.5</w:t>
            </w:r>
            <w:r w:rsidR="009B68D8" w:rsidRPr="00A378A3">
              <w:rPr>
                <w:snapToGrid w:val="0"/>
              </w:rPr>
              <w:t xml:space="preserve">% </w:t>
            </w:r>
            <w:r w:rsidR="009B68D8" w:rsidRPr="00A378A3">
              <w:rPr>
                <w:snapToGrid w:val="0"/>
              </w:rPr>
              <w:br/>
            </w:r>
            <w:r w:rsidR="009B68D8">
              <w:rPr>
                <w:snapToGrid w:val="0"/>
              </w:rPr>
              <w:t>[</w:t>
            </w:r>
            <w:r w:rsidR="005209F9">
              <w:rPr>
                <w:snapToGrid w:val="0"/>
              </w:rPr>
              <w:t>77.2</w:t>
            </w:r>
            <w:r w:rsidR="009B68D8" w:rsidRPr="00A378A3">
              <w:rPr>
                <w:snapToGrid w:val="0"/>
              </w:rPr>
              <w:t>,</w:t>
            </w:r>
            <w:r w:rsidR="009B68D8">
              <w:rPr>
                <w:snapToGrid w:val="0"/>
              </w:rPr>
              <w:t xml:space="preserve"> </w:t>
            </w:r>
            <w:r w:rsidR="005209F9">
              <w:rPr>
                <w:snapToGrid w:val="0"/>
              </w:rPr>
              <w:t>89.8</w:t>
            </w:r>
            <w:r w:rsidR="009B68D8" w:rsidRPr="00A378A3">
              <w:rPr>
                <w:snapToGrid w:val="0"/>
              </w:rPr>
              <w:t>]</w:t>
            </w:r>
          </w:p>
        </w:tc>
      </w:tr>
      <w:tr w:rsidR="009B68D8" w:rsidRPr="00183E4D" w14:paraId="5A4A0E29" w14:textId="77777777" w:rsidTr="00446D90">
        <w:tc>
          <w:tcPr>
            <w:tcW w:w="720" w:type="pct"/>
          </w:tcPr>
          <w:p w14:paraId="248AA75E" w14:textId="77777777" w:rsidR="009B68D8" w:rsidRDefault="009B68D8" w:rsidP="004E5C57">
            <w:pPr>
              <w:pStyle w:val="TableText0"/>
              <w:rPr>
                <w:snapToGrid w:val="0"/>
              </w:rPr>
            </w:pPr>
            <w:r>
              <w:rPr>
                <w:snapToGrid w:val="0"/>
              </w:rPr>
              <w:t>Duignan et al 2018</w:t>
            </w:r>
          </w:p>
          <w:p w14:paraId="76438541" w14:textId="77777777" w:rsidR="009B68D8" w:rsidRDefault="009B68D8" w:rsidP="004E5C57">
            <w:pPr>
              <w:pStyle w:val="TableText0"/>
              <w:rPr>
                <w:snapToGrid w:val="0"/>
              </w:rPr>
            </w:pPr>
            <w:r>
              <w:rPr>
                <w:snapToGrid w:val="0"/>
              </w:rPr>
              <w:t>N=237</w:t>
            </w:r>
          </w:p>
        </w:tc>
        <w:tc>
          <w:tcPr>
            <w:tcW w:w="717" w:type="pct"/>
          </w:tcPr>
          <w:p w14:paraId="175C1317" w14:textId="77777777" w:rsidR="009B68D8" w:rsidRDefault="009B68D8" w:rsidP="004E5C57">
            <w:pPr>
              <w:pStyle w:val="TableText0"/>
              <w:rPr>
                <w:snapToGrid w:val="0"/>
              </w:rPr>
            </w:pPr>
            <w:r>
              <w:rPr>
                <w:snapToGrid w:val="0"/>
              </w:rPr>
              <w:t>Children with ADS</w:t>
            </w:r>
          </w:p>
        </w:tc>
        <w:tc>
          <w:tcPr>
            <w:tcW w:w="934" w:type="pct"/>
          </w:tcPr>
          <w:p w14:paraId="4255123A" w14:textId="77777777" w:rsidR="009B68D8" w:rsidRDefault="009B68D8" w:rsidP="004E5C57">
            <w:pPr>
              <w:pStyle w:val="TableText0"/>
              <w:rPr>
                <w:snapToGrid w:val="0"/>
              </w:rPr>
            </w:pPr>
            <w:r>
              <w:rPr>
                <w:snapToGrid w:val="0"/>
              </w:rPr>
              <w:t>42.42</w:t>
            </w:r>
            <w:r w:rsidRPr="00A378A3">
              <w:rPr>
                <w:snapToGrid w:val="0"/>
              </w:rPr>
              <w:t xml:space="preserve">% </w:t>
            </w:r>
            <w:r w:rsidRPr="00A378A3">
              <w:rPr>
                <w:snapToGrid w:val="0"/>
              </w:rPr>
              <w:br/>
              <w:t>[</w:t>
            </w:r>
            <w:r>
              <w:rPr>
                <w:snapToGrid w:val="0"/>
              </w:rPr>
              <w:t>25.48</w:t>
            </w:r>
            <w:r w:rsidRPr="00A378A3">
              <w:rPr>
                <w:snapToGrid w:val="0"/>
              </w:rPr>
              <w:t>,</w:t>
            </w:r>
            <w:r>
              <w:rPr>
                <w:snapToGrid w:val="0"/>
              </w:rPr>
              <w:t xml:space="preserve"> 60.78</w:t>
            </w:r>
            <w:r w:rsidRPr="00A378A3">
              <w:rPr>
                <w:snapToGrid w:val="0"/>
              </w:rPr>
              <w:t>]</w:t>
            </w:r>
          </w:p>
        </w:tc>
        <w:tc>
          <w:tcPr>
            <w:tcW w:w="956" w:type="pct"/>
            <w:shd w:val="clear" w:color="auto" w:fill="auto"/>
          </w:tcPr>
          <w:p w14:paraId="54A90FBD" w14:textId="77777777" w:rsidR="009B68D8" w:rsidRPr="00A125ED" w:rsidRDefault="009B68D8" w:rsidP="004E5C57">
            <w:pPr>
              <w:pStyle w:val="TableText0"/>
              <w:rPr>
                <w:snapToGrid w:val="0"/>
              </w:rPr>
            </w:pPr>
            <w:r>
              <w:rPr>
                <w:snapToGrid w:val="0"/>
              </w:rPr>
              <w:t>99.02</w:t>
            </w:r>
            <w:r w:rsidRPr="00A378A3">
              <w:rPr>
                <w:snapToGrid w:val="0"/>
              </w:rPr>
              <w:t xml:space="preserve">% </w:t>
            </w:r>
            <w:r w:rsidRPr="00A378A3">
              <w:rPr>
                <w:snapToGrid w:val="0"/>
              </w:rPr>
              <w:br/>
            </w:r>
            <w:r>
              <w:rPr>
                <w:snapToGrid w:val="0"/>
              </w:rPr>
              <w:t>[96.50</w:t>
            </w:r>
            <w:r w:rsidRPr="00A378A3">
              <w:rPr>
                <w:snapToGrid w:val="0"/>
              </w:rPr>
              <w:t>,</w:t>
            </w:r>
            <w:r>
              <w:rPr>
                <w:snapToGrid w:val="0"/>
              </w:rPr>
              <w:t xml:space="preserve"> 99.88</w:t>
            </w:r>
            <w:r w:rsidRPr="00A378A3">
              <w:rPr>
                <w:snapToGrid w:val="0"/>
              </w:rPr>
              <w:t>]</w:t>
            </w:r>
          </w:p>
        </w:tc>
        <w:tc>
          <w:tcPr>
            <w:tcW w:w="796" w:type="pct"/>
            <w:shd w:val="clear" w:color="auto" w:fill="auto"/>
          </w:tcPr>
          <w:p w14:paraId="74CDA93D" w14:textId="77777777" w:rsidR="009B68D8" w:rsidRPr="00A125ED" w:rsidRDefault="00581BE7" w:rsidP="004E5C57">
            <w:pPr>
              <w:pStyle w:val="TableText0"/>
              <w:rPr>
                <w:snapToGrid w:val="0"/>
              </w:rPr>
            </w:pPr>
            <w:r>
              <w:rPr>
                <w:snapToGrid w:val="0"/>
              </w:rPr>
              <w:t>95.</w:t>
            </w:r>
            <w:r w:rsidR="005209F9">
              <w:rPr>
                <w:snapToGrid w:val="0"/>
              </w:rPr>
              <w:t>7</w:t>
            </w:r>
            <w:r w:rsidR="009B68D8" w:rsidRPr="00A378A3">
              <w:rPr>
                <w:snapToGrid w:val="0"/>
              </w:rPr>
              <w:t xml:space="preserve">% </w:t>
            </w:r>
            <w:r w:rsidR="009B68D8" w:rsidRPr="00A378A3">
              <w:rPr>
                <w:snapToGrid w:val="0"/>
              </w:rPr>
              <w:br/>
              <w:t>[</w:t>
            </w:r>
            <w:r w:rsidR="005209F9">
              <w:rPr>
                <w:snapToGrid w:val="0"/>
              </w:rPr>
              <w:t>84.2</w:t>
            </w:r>
            <w:r w:rsidR="009B68D8" w:rsidRPr="00A378A3">
              <w:rPr>
                <w:snapToGrid w:val="0"/>
              </w:rPr>
              <w:t>,</w:t>
            </w:r>
            <w:r w:rsidR="009B68D8">
              <w:rPr>
                <w:snapToGrid w:val="0"/>
              </w:rPr>
              <w:t xml:space="preserve"> </w:t>
            </w:r>
            <w:r>
              <w:rPr>
                <w:snapToGrid w:val="0"/>
              </w:rPr>
              <w:t>98.</w:t>
            </w:r>
            <w:r w:rsidR="005209F9">
              <w:rPr>
                <w:snapToGrid w:val="0"/>
              </w:rPr>
              <w:t>9</w:t>
            </w:r>
            <w:r w:rsidR="009B68D8" w:rsidRPr="00A378A3">
              <w:rPr>
                <w:snapToGrid w:val="0"/>
              </w:rPr>
              <w:t>]</w:t>
            </w:r>
          </w:p>
        </w:tc>
        <w:tc>
          <w:tcPr>
            <w:tcW w:w="877" w:type="pct"/>
            <w:shd w:val="clear" w:color="auto" w:fill="auto"/>
          </w:tcPr>
          <w:p w14:paraId="10E2725D" w14:textId="77777777" w:rsidR="009B68D8" w:rsidRPr="00183E4D" w:rsidRDefault="005209F9" w:rsidP="004E5C57">
            <w:pPr>
              <w:pStyle w:val="TableText0"/>
              <w:rPr>
                <w:snapToGrid w:val="0"/>
              </w:rPr>
            </w:pPr>
            <w:r>
              <w:rPr>
                <w:snapToGrid w:val="0"/>
              </w:rPr>
              <w:t>76.9</w:t>
            </w:r>
            <w:r w:rsidR="009B68D8" w:rsidRPr="00A378A3">
              <w:rPr>
                <w:snapToGrid w:val="0"/>
              </w:rPr>
              <w:t xml:space="preserve">% </w:t>
            </w:r>
            <w:r w:rsidR="009B68D8" w:rsidRPr="00A378A3">
              <w:rPr>
                <w:snapToGrid w:val="0"/>
              </w:rPr>
              <w:br/>
              <w:t>[</w:t>
            </w:r>
            <w:r>
              <w:rPr>
                <w:snapToGrid w:val="0"/>
              </w:rPr>
              <w:t>71.3</w:t>
            </w:r>
            <w:r w:rsidR="009B68D8" w:rsidRPr="00A378A3">
              <w:rPr>
                <w:snapToGrid w:val="0"/>
              </w:rPr>
              <w:t>,</w:t>
            </w:r>
            <w:r w:rsidR="009B68D8">
              <w:rPr>
                <w:snapToGrid w:val="0"/>
              </w:rPr>
              <w:t xml:space="preserve"> </w:t>
            </w:r>
            <w:r>
              <w:rPr>
                <w:snapToGrid w:val="0"/>
              </w:rPr>
              <w:t>81.7</w:t>
            </w:r>
            <w:r w:rsidR="009B68D8" w:rsidRPr="00A378A3">
              <w:rPr>
                <w:snapToGrid w:val="0"/>
              </w:rPr>
              <w:t>]</w:t>
            </w:r>
          </w:p>
        </w:tc>
      </w:tr>
      <w:tr w:rsidR="009B68D8" w:rsidRPr="00183E4D" w14:paraId="0F736923" w14:textId="77777777" w:rsidTr="00446D90">
        <w:tc>
          <w:tcPr>
            <w:tcW w:w="720" w:type="pct"/>
          </w:tcPr>
          <w:p w14:paraId="660E1375" w14:textId="77777777" w:rsidR="009B68D8" w:rsidRDefault="009B68D8" w:rsidP="004E5C57">
            <w:pPr>
              <w:pStyle w:val="TableText0"/>
              <w:rPr>
                <w:snapToGrid w:val="0"/>
              </w:rPr>
            </w:pPr>
            <w:r>
              <w:rPr>
                <w:snapToGrid w:val="0"/>
              </w:rPr>
              <w:t>Hacohen et al 2017</w:t>
            </w:r>
          </w:p>
          <w:p w14:paraId="450D642B" w14:textId="77777777" w:rsidR="009B68D8" w:rsidRDefault="009B68D8" w:rsidP="004E5C57">
            <w:pPr>
              <w:pStyle w:val="TableText0"/>
              <w:rPr>
                <w:snapToGrid w:val="0"/>
              </w:rPr>
            </w:pPr>
            <w:r>
              <w:rPr>
                <w:snapToGrid w:val="0"/>
              </w:rPr>
              <w:t>N=48</w:t>
            </w:r>
          </w:p>
        </w:tc>
        <w:tc>
          <w:tcPr>
            <w:tcW w:w="717" w:type="pct"/>
          </w:tcPr>
          <w:p w14:paraId="2DC89858" w14:textId="77777777" w:rsidR="009B68D8" w:rsidRDefault="009B68D8" w:rsidP="004E5C57">
            <w:pPr>
              <w:pStyle w:val="TableText0"/>
              <w:rPr>
                <w:snapToGrid w:val="0"/>
              </w:rPr>
            </w:pPr>
            <w:r>
              <w:rPr>
                <w:snapToGrid w:val="0"/>
              </w:rPr>
              <w:t>Children with RDS (non-MS)</w:t>
            </w:r>
          </w:p>
        </w:tc>
        <w:tc>
          <w:tcPr>
            <w:tcW w:w="934" w:type="pct"/>
          </w:tcPr>
          <w:p w14:paraId="03892FD4" w14:textId="77777777" w:rsidR="009B68D8" w:rsidRDefault="009B68D8" w:rsidP="004E5C57">
            <w:pPr>
              <w:pStyle w:val="TableText0"/>
              <w:rPr>
                <w:snapToGrid w:val="0"/>
              </w:rPr>
            </w:pPr>
            <w:r>
              <w:rPr>
                <w:snapToGrid w:val="0"/>
              </w:rPr>
              <w:t>28.57</w:t>
            </w:r>
            <w:r w:rsidRPr="00A378A3">
              <w:rPr>
                <w:snapToGrid w:val="0"/>
              </w:rPr>
              <w:t xml:space="preserve">% </w:t>
            </w:r>
            <w:r w:rsidRPr="00A378A3">
              <w:rPr>
                <w:snapToGrid w:val="0"/>
              </w:rPr>
              <w:br/>
              <w:t>[</w:t>
            </w:r>
            <w:r>
              <w:rPr>
                <w:snapToGrid w:val="0"/>
              </w:rPr>
              <w:t>13.22</w:t>
            </w:r>
            <w:r w:rsidRPr="00A378A3">
              <w:rPr>
                <w:snapToGrid w:val="0"/>
              </w:rPr>
              <w:t>,</w:t>
            </w:r>
            <w:r>
              <w:rPr>
                <w:snapToGrid w:val="0"/>
              </w:rPr>
              <w:t xml:space="preserve"> 48.67</w:t>
            </w:r>
            <w:r w:rsidRPr="00A378A3">
              <w:rPr>
                <w:snapToGrid w:val="0"/>
              </w:rPr>
              <w:t>]</w:t>
            </w:r>
          </w:p>
        </w:tc>
        <w:tc>
          <w:tcPr>
            <w:tcW w:w="956" w:type="pct"/>
            <w:shd w:val="clear" w:color="auto" w:fill="auto"/>
          </w:tcPr>
          <w:p w14:paraId="40FC92E9" w14:textId="77777777" w:rsidR="009B68D8" w:rsidRPr="00A125ED" w:rsidRDefault="009B68D8" w:rsidP="004E5C57">
            <w:pPr>
              <w:pStyle w:val="TableText0"/>
              <w:rPr>
                <w:snapToGrid w:val="0"/>
              </w:rPr>
            </w:pPr>
            <w:r>
              <w:rPr>
                <w:snapToGrid w:val="0"/>
              </w:rPr>
              <w:t>100</w:t>
            </w:r>
            <w:r w:rsidRPr="00A378A3">
              <w:rPr>
                <w:snapToGrid w:val="0"/>
              </w:rPr>
              <w:t xml:space="preserve">% </w:t>
            </w:r>
            <w:r w:rsidRPr="00A378A3">
              <w:rPr>
                <w:snapToGrid w:val="0"/>
              </w:rPr>
              <w:br/>
              <w:t>[</w:t>
            </w:r>
            <w:r>
              <w:rPr>
                <w:snapToGrid w:val="0"/>
              </w:rPr>
              <w:t>83.16</w:t>
            </w:r>
            <w:r w:rsidRPr="00A378A3">
              <w:rPr>
                <w:snapToGrid w:val="0"/>
              </w:rPr>
              <w:t>,</w:t>
            </w:r>
            <w:r>
              <w:rPr>
                <w:snapToGrid w:val="0"/>
              </w:rPr>
              <w:t xml:space="preserve"> 100.00</w:t>
            </w:r>
            <w:r w:rsidRPr="00A378A3">
              <w:rPr>
                <w:snapToGrid w:val="0"/>
              </w:rPr>
              <w:t>]</w:t>
            </w:r>
          </w:p>
        </w:tc>
        <w:tc>
          <w:tcPr>
            <w:tcW w:w="796" w:type="pct"/>
            <w:shd w:val="clear" w:color="auto" w:fill="auto"/>
          </w:tcPr>
          <w:p w14:paraId="349CC5A5" w14:textId="77777777" w:rsidR="009B68D8" w:rsidRPr="00A125ED" w:rsidRDefault="009B68D8" w:rsidP="004E5C57">
            <w:pPr>
              <w:pStyle w:val="TableText0"/>
              <w:rPr>
                <w:snapToGrid w:val="0"/>
              </w:rPr>
            </w:pPr>
            <w:r>
              <w:rPr>
                <w:snapToGrid w:val="0"/>
              </w:rPr>
              <w:t>100</w:t>
            </w:r>
            <w:r w:rsidRPr="00A378A3">
              <w:rPr>
                <w:snapToGrid w:val="0"/>
              </w:rPr>
              <w:t xml:space="preserve">% </w:t>
            </w:r>
            <w:r w:rsidRPr="00A378A3">
              <w:rPr>
                <w:snapToGrid w:val="0"/>
              </w:rPr>
              <w:br/>
            </w:r>
          </w:p>
        </w:tc>
        <w:tc>
          <w:tcPr>
            <w:tcW w:w="877" w:type="pct"/>
            <w:shd w:val="clear" w:color="auto" w:fill="auto"/>
          </w:tcPr>
          <w:p w14:paraId="7D570BFA" w14:textId="77777777" w:rsidR="009B68D8" w:rsidRPr="00183E4D" w:rsidRDefault="00037F73" w:rsidP="004E5C57">
            <w:pPr>
              <w:pStyle w:val="TableText0"/>
              <w:rPr>
                <w:snapToGrid w:val="0"/>
              </w:rPr>
            </w:pPr>
            <w:r>
              <w:rPr>
                <w:snapToGrid w:val="0"/>
              </w:rPr>
              <w:t>73.0</w:t>
            </w:r>
            <w:r w:rsidR="009B68D8" w:rsidRPr="00A378A3">
              <w:rPr>
                <w:snapToGrid w:val="0"/>
              </w:rPr>
              <w:t xml:space="preserve">% </w:t>
            </w:r>
            <w:r w:rsidR="009B68D8" w:rsidRPr="00A378A3">
              <w:rPr>
                <w:snapToGrid w:val="0"/>
              </w:rPr>
              <w:br/>
              <w:t>[</w:t>
            </w:r>
            <w:r>
              <w:rPr>
                <w:snapToGrid w:val="0"/>
              </w:rPr>
              <w:t>68.2</w:t>
            </w:r>
            <w:r w:rsidR="009B68D8" w:rsidRPr="00A378A3">
              <w:rPr>
                <w:snapToGrid w:val="0"/>
              </w:rPr>
              <w:t>,</w:t>
            </w:r>
            <w:r w:rsidR="009B68D8">
              <w:rPr>
                <w:snapToGrid w:val="0"/>
              </w:rPr>
              <w:t xml:space="preserve"> </w:t>
            </w:r>
            <w:r>
              <w:rPr>
                <w:snapToGrid w:val="0"/>
              </w:rPr>
              <w:t>77.4</w:t>
            </w:r>
            <w:r w:rsidR="009B68D8" w:rsidRPr="00A378A3">
              <w:rPr>
                <w:snapToGrid w:val="0"/>
              </w:rPr>
              <w:t>]</w:t>
            </w:r>
          </w:p>
        </w:tc>
      </w:tr>
    </w:tbl>
    <w:p w14:paraId="59952C2B" w14:textId="77777777" w:rsidR="00ED65EE" w:rsidRDefault="002C2F15" w:rsidP="00446D90">
      <w:pPr>
        <w:pStyle w:val="Tablenotes0"/>
      </w:pPr>
      <w:r w:rsidRPr="005B13BC">
        <w:t>ABS = acute brainstem syndrome; ADS = acquired demyelination syndromes; AQP4-Ab = aquaporin 4 antibodies;</w:t>
      </w:r>
      <w:r w:rsidR="00446D90">
        <w:t xml:space="preserve"> CI = confidence interval;</w:t>
      </w:r>
      <w:r>
        <w:t xml:space="preserve"> CNS = central nervous system; LETM = longitudinally extensive transverse myelitis; </w:t>
      </w:r>
      <w:r w:rsidR="00446D90">
        <w:t>NPV = negative predictive value; PPV = positive predictive value</w:t>
      </w:r>
      <w:r>
        <w:t>; RDS = relapsing acquired demyelinating syndrome</w:t>
      </w:r>
    </w:p>
    <w:p w14:paraId="4ACC6043" w14:textId="77777777" w:rsidR="00AB42F8" w:rsidRPr="00AB42F8" w:rsidRDefault="00AB42F8" w:rsidP="00446D90">
      <w:pPr>
        <w:pStyle w:val="Tablenotes0"/>
      </w:pPr>
      <w:r>
        <w:rPr>
          <w:vertAlign w:val="superscript"/>
        </w:rPr>
        <w:t>a</w:t>
      </w:r>
      <w:r>
        <w:t xml:space="preserve"> Calculation were performed using the MedCalc online calculator; and were based on the </w:t>
      </w:r>
      <w:r w:rsidR="00AF6601">
        <w:t xml:space="preserve">mean pooled prevalence of </w:t>
      </w:r>
      <w:r w:rsidR="002064C1">
        <w:t>34.1</w:t>
      </w:r>
      <w:r w:rsidR="00AF6601">
        <w:t xml:space="preserve">% in patients with </w:t>
      </w:r>
      <w:r w:rsidR="002064C1">
        <w:t>inflammatory or acquired demyelinating disease</w:t>
      </w:r>
      <w:r w:rsidR="00AF6601">
        <w:t xml:space="preserve"> (</w:t>
      </w:r>
      <w:r w:rsidR="00AF6601">
        <w:fldChar w:fldCharType="begin"/>
      </w:r>
      <w:r w:rsidR="00AF6601">
        <w:instrText xml:space="preserve"> REF _Ref27753180 \h  \* MERGEFORMAT </w:instrText>
      </w:r>
      <w:r w:rsidR="00AF6601">
        <w:fldChar w:fldCharType="separate"/>
      </w:r>
      <w:r w:rsidR="0014371E" w:rsidRPr="005B13BC">
        <w:t xml:space="preserve">Table </w:t>
      </w:r>
      <w:r w:rsidR="0014371E">
        <w:t>21</w:t>
      </w:r>
      <w:r w:rsidR="00AF6601">
        <w:fldChar w:fldCharType="end"/>
      </w:r>
      <w:r w:rsidR="00AF6601">
        <w:t>).</w:t>
      </w:r>
    </w:p>
    <w:p w14:paraId="1D95C0BC" w14:textId="77777777" w:rsidR="00AB3299" w:rsidRDefault="00AB3299" w:rsidP="00ED65EE"/>
    <w:p w14:paraId="150FB056" w14:textId="77777777" w:rsidR="005B13BC" w:rsidRPr="005B13BC" w:rsidRDefault="005B13BC" w:rsidP="00C71CE9">
      <w:pPr>
        <w:pStyle w:val="Heading3"/>
      </w:pPr>
      <w:bookmarkStart w:id="231" w:name="_Toc39588313"/>
      <w:r w:rsidRPr="005B13BC">
        <w:t>Diagnostic Yield</w:t>
      </w:r>
      <w:bookmarkEnd w:id="231"/>
    </w:p>
    <w:p w14:paraId="15EC8406" w14:textId="77777777" w:rsidR="002F2E70" w:rsidRPr="005B13BC" w:rsidRDefault="002F2E70" w:rsidP="002F2E70">
      <w:r w:rsidRPr="005B13BC">
        <w:t>Data on diagnostic yield were tabled according to different populations (</w:t>
      </w:r>
      <w:r w:rsidR="002C7513">
        <w:t xml:space="preserve">all </w:t>
      </w:r>
      <w:r w:rsidRPr="005B13BC">
        <w:t xml:space="preserve">patients, adults and children) and presenting conditions, where the presenting conditions were: 1) inflammatory conditions or demyelination syndromes (including, but not limited to, conditions such as acute brainstem syndrome, idiopathic inflammatory demyelinating disease and acquired demyelination syndromes); 2) ON or LETM and 3) presenting or suspected NMO/NMOSD). </w:t>
      </w:r>
    </w:p>
    <w:p w14:paraId="2D91972C" w14:textId="15E54136" w:rsidR="002F2E70" w:rsidRDefault="002F2E70" w:rsidP="002F2E70">
      <w:r w:rsidRPr="005B13BC">
        <w:t xml:space="preserve">Diagnostic yield from </w:t>
      </w:r>
      <w:r>
        <w:t xml:space="preserve">serum </w:t>
      </w:r>
      <w:r w:rsidRPr="005B13BC">
        <w:t xml:space="preserve">AQP4-Ab and MOG-Ab testing in </w:t>
      </w:r>
      <w:r w:rsidR="002C7513">
        <w:t xml:space="preserve">all </w:t>
      </w:r>
      <w:r w:rsidRPr="005B13BC">
        <w:t xml:space="preserve">patients, adults and children with inflammatory conditions or demyelination syndromes is displayed in </w:t>
      </w:r>
      <w:r w:rsidRPr="005B13BC">
        <w:fldChar w:fldCharType="begin"/>
      </w:r>
      <w:r w:rsidRPr="005B13BC">
        <w:instrText xml:space="preserve"> REF _Ref27743451 \h </w:instrText>
      </w:r>
      <w:r w:rsidR="00204EC1">
        <w:instrText xml:space="preserve"> \* MERGEFORMAT </w:instrText>
      </w:r>
      <w:r w:rsidRPr="005B13BC">
        <w:fldChar w:fldCharType="separate"/>
      </w:r>
      <w:r w:rsidR="000933C0" w:rsidRPr="005B13BC">
        <w:t xml:space="preserve">Table </w:t>
      </w:r>
      <w:r w:rsidR="000933C0">
        <w:t>23</w:t>
      </w:r>
      <w:r w:rsidRPr="005B13BC">
        <w:fldChar w:fldCharType="end"/>
      </w:r>
      <w:r w:rsidRPr="005B13BC">
        <w:t xml:space="preserve">. A total of </w:t>
      </w:r>
      <w:r>
        <w:t>six</w:t>
      </w:r>
      <w:r w:rsidRPr="005B13BC">
        <w:t xml:space="preserve"> </w:t>
      </w:r>
      <w:r>
        <w:t xml:space="preserve">included </w:t>
      </w:r>
      <w:r w:rsidRPr="005B13BC">
        <w:t xml:space="preserve">studies contained between 31 and 1,917 subjects. </w:t>
      </w:r>
    </w:p>
    <w:p w14:paraId="51A302DD" w14:textId="75B1B019" w:rsidR="003637B4" w:rsidRDefault="002F2E70" w:rsidP="003637B4">
      <w:r>
        <w:t xml:space="preserve">For studies that included patients with inflammatory conditions or demyelination syndromes, the diagnostic yield for AQP4-Ab seropositivity ranged from 34.9% to 45.2%. Only one study </w:t>
      </w:r>
      <w:r w:rsidR="00156621">
        <w:fldChar w:fldCharType="begin">
          <w:fldData xml:space="preserve">PEVuZE5vdGU+PENpdGU+PEF1dGhvcj5IeXVuPC9BdXRob3I+PFllYXI+MjAxNzwvWWVhcj48UmVj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</w:fldData>
        </w:fldChar>
      </w:r>
      <w:r w:rsidR="00D96694">
        <w:instrText xml:space="preserve"> ADDIN EN.CITE </w:instrText>
      </w:r>
      <w:r w:rsidR="00D96694">
        <w:fldChar w:fldCharType="begin">
          <w:fldData xml:space="preserve">PEVuZE5vdGU+PENpdGU+PEF1dGhvcj5IeXVuPC9BdXRob3I+PFllYXI+MjAxNzwvWWVhcj48UmVj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</w:fldData>
        </w:fldChar>
      </w:r>
      <w:r w:rsidR="00D96694">
        <w:instrText xml:space="preserve"> ADDIN EN.CITE.DATA </w:instrText>
      </w:r>
      <w:r w:rsidR="00D96694">
        <w:fldChar w:fldCharType="end"/>
      </w:r>
      <w:r w:rsidR="00156621">
        <w:fldChar w:fldCharType="separate"/>
      </w:r>
      <w:r w:rsidR="00156621">
        <w:rPr>
          <w:noProof/>
        </w:rPr>
        <w:t>(Hyun et al. 2017)</w:t>
      </w:r>
      <w:r w:rsidR="00156621">
        <w:fldChar w:fldCharType="end"/>
      </w:r>
      <w:r>
        <w:t xml:space="preserve"> reported MOG-Ab testing</w:t>
      </w:r>
      <w:r w:rsidR="00C27AA7">
        <w:t>,</w:t>
      </w:r>
      <w:r>
        <w:t xml:space="preserve"> which showed that only 4.4% of patients with suspected inflammatory demyelinating CNS diseases were MOG-Ab positive. In adults, the diagnostic yield for positive AQP4-Ab </w:t>
      </w:r>
      <w:r w:rsidR="00C27AA7">
        <w:t xml:space="preserve">ranged from 14.3% to 73% </w:t>
      </w:r>
      <w:r>
        <w:t>and</w:t>
      </w:r>
      <w:r w:rsidR="00C27AA7">
        <w:t xml:space="preserve"> for</w:t>
      </w:r>
      <w:r>
        <w:t xml:space="preserve"> positive MOG-Ab from 7.1% </w:t>
      </w:r>
      <w:r w:rsidR="00C27AA7">
        <w:t xml:space="preserve">to </w:t>
      </w:r>
      <w:r>
        <w:t xml:space="preserve">11%. One of these studies </w:t>
      </w:r>
      <w:r w:rsidR="00156621">
        <w:fldChar w:fldCharType="begin">
          <w:fldData xml:space="preserve">PEVuZE5vdGU+PENpdGU+PEF1dGhvcj5IYW1pZDwvQXV0aG9yPjxZZWFyPjIwMTc8L1llYXI+PFJl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</w:fldData>
        </w:fldChar>
      </w:r>
      <w:r w:rsidR="00D96694">
        <w:instrText xml:space="preserve"> ADDIN EN.CITE </w:instrText>
      </w:r>
      <w:r w:rsidR="00D96694">
        <w:fldChar w:fldCharType="begin">
          <w:fldData xml:space="preserve">PEVuZE5vdGU+PENpdGU+PEF1dGhvcj5IYW1pZDwvQXV0aG9yPjxZZWFyPjIwMTc8L1llYXI+PFJl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</w:fldData>
        </w:fldChar>
      </w:r>
      <w:r w:rsidR="00D96694">
        <w:instrText xml:space="preserve"> ADDIN EN.CITE.DATA </w:instrText>
      </w:r>
      <w:r w:rsidR="00D96694">
        <w:fldChar w:fldCharType="end"/>
      </w:r>
      <w:r w:rsidR="00156621">
        <w:fldChar w:fldCharType="separate"/>
      </w:r>
      <w:r w:rsidR="00156621">
        <w:rPr>
          <w:noProof/>
        </w:rPr>
        <w:t>(Hamid et al. 2017)</w:t>
      </w:r>
      <w:r w:rsidR="00156621">
        <w:fldChar w:fldCharType="end"/>
      </w:r>
      <w:r>
        <w:t xml:space="preserve"> showed that for adults who tested negative for AQP4-Ab, 42% (15/36) tested positive for MOG-Ab. One study reporting on children showed that over 90% tested negative for AQP4-Ab, and 32% tested positive for MOG-Ab.</w:t>
      </w:r>
      <w:r w:rsidR="003637B4">
        <w:br w:type="page"/>
      </w:r>
    </w:p>
    <w:p w14:paraId="3FF855E5" w14:textId="76F6D3B6" w:rsidR="005B13BC" w:rsidRPr="005B13BC" w:rsidRDefault="005B13BC" w:rsidP="00E742E4">
      <w:pPr>
        <w:pStyle w:val="TableHeading"/>
        <w:ind w:left="720" w:hanging="720"/>
      </w:pPr>
      <w:bookmarkStart w:id="232" w:name="_Ref27743451"/>
      <w:bookmarkStart w:id="233" w:name="_Toc39580804"/>
      <w:r w:rsidRPr="005B13BC">
        <w:lastRenderedPageBreak/>
        <w:t xml:space="preserve">Table </w:t>
      </w:r>
      <w:r w:rsidRPr="005B13BC">
        <w:fldChar w:fldCharType="begin"/>
      </w:r>
      <w:r w:rsidRPr="005B13BC">
        <w:instrText xml:space="preserve"> SEQ Table \* ARABIC </w:instrText>
      </w:r>
      <w:r w:rsidRPr="005B13BC">
        <w:fldChar w:fldCharType="separate"/>
      </w:r>
      <w:r w:rsidR="00FA7BCD">
        <w:rPr>
          <w:noProof/>
        </w:rPr>
        <w:t>23</w:t>
      </w:r>
      <w:r w:rsidRPr="005B13BC">
        <w:rPr>
          <w:noProof/>
        </w:rPr>
        <w:fldChar w:fldCharType="end"/>
      </w:r>
      <w:bookmarkEnd w:id="232"/>
      <w:r w:rsidRPr="005B13BC">
        <w:tab/>
        <w:t>Diagnostic yield for AQP4-Ab</w:t>
      </w:r>
      <w:r w:rsidR="00C01B36">
        <w:t>s</w:t>
      </w:r>
      <w:r w:rsidRPr="005B13BC">
        <w:t xml:space="preserve"> and MOG-Ab in patients, adults and children with inflammatory conditions or demyelination syndromes</w:t>
      </w:r>
      <w:bookmarkEnd w:id="233"/>
    </w:p>
    <w:tbl>
      <w:tblPr>
        <w:tblStyle w:val="TableGrid1"/>
        <w:tblW w:w="4871" w:type="pct"/>
        <w:tblCellMar>
          <w:left w:w="28" w:type="dxa"/>
          <w:right w:w="28" w:type="dxa"/>
        </w:tblCellMar>
        <w:tblLook w:val="04A0" w:firstRow="1" w:lastRow="0" w:firstColumn="1" w:lastColumn="0" w:noHBand="0" w:noVBand="1"/>
        <w:tblCaption w:val="Table 23 Diagnostic yield for AQP4-Abs and MOG-Ab in patients, adults and children with inflammatory conditions or demyelination syndromes"/>
        <w:tblDescription w:val="Diangostic yield data for AQP4-Ab and MOG-Ab testing"/>
      </w:tblPr>
      <w:tblGrid>
        <w:gridCol w:w="1273"/>
        <w:gridCol w:w="1840"/>
        <w:gridCol w:w="1416"/>
        <w:gridCol w:w="1562"/>
        <w:gridCol w:w="1418"/>
        <w:gridCol w:w="1274"/>
      </w:tblGrid>
      <w:tr w:rsidR="00594400" w:rsidRPr="005B13BC" w14:paraId="63A9BBC3" w14:textId="77777777" w:rsidTr="00594400">
        <w:trPr>
          <w:cnfStyle w:val="100000000000" w:firstRow="1" w:lastRow="0" w:firstColumn="0" w:lastColumn="0" w:oddVBand="0" w:evenVBand="0" w:oddHBand="0" w:evenHBand="0" w:firstRowFirstColumn="0" w:firstRowLastColumn="0" w:lastRowFirstColumn="0" w:lastRowLastColumn="0"/>
          <w:tblHeader/>
        </w:trPr>
        <w:tc>
          <w:tcPr>
            <w:tcW w:w="725" w:type="pct"/>
            <w:tcBorders>
              <w:bottom w:val="single" w:sz="4" w:space="0" w:color="auto"/>
            </w:tcBorders>
            <w:shd w:val="clear" w:color="auto" w:fill="auto"/>
          </w:tcPr>
          <w:p w14:paraId="350409A2"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Study</w:t>
            </w:r>
          </w:p>
          <w:p w14:paraId="76F264B7" w14:textId="77777777" w:rsidR="00594400" w:rsidRPr="005B13BC" w:rsidRDefault="00594400" w:rsidP="005B13BC">
            <w:pPr>
              <w:keepNext/>
              <w:spacing w:after="0"/>
              <w:contextualSpacing/>
              <w:jc w:val="left"/>
              <w:rPr>
                <w:rFonts w:ascii="Arial Narrow" w:hAnsi="Arial Narrow"/>
                <w:b/>
                <w:snapToGrid w:val="0"/>
                <w:lang w:eastAsia="en-US"/>
              </w:rPr>
            </w:pPr>
            <w:r>
              <w:rPr>
                <w:rFonts w:ascii="Arial Narrow" w:hAnsi="Arial Narrow"/>
                <w:b/>
                <w:snapToGrid w:val="0"/>
                <w:lang w:eastAsia="en-US"/>
              </w:rPr>
              <w:t>P</w:t>
            </w:r>
            <w:r w:rsidRPr="005B13BC">
              <w:rPr>
                <w:rFonts w:ascii="Arial Narrow" w:hAnsi="Arial Narrow"/>
                <w:b/>
                <w:snapToGrid w:val="0"/>
                <w:lang w:eastAsia="en-US"/>
              </w:rPr>
              <w:t>atients (N)</w:t>
            </w:r>
          </w:p>
        </w:tc>
        <w:tc>
          <w:tcPr>
            <w:tcW w:w="1048" w:type="pct"/>
            <w:tcBorders>
              <w:bottom w:val="single" w:sz="4" w:space="0" w:color="auto"/>
            </w:tcBorders>
            <w:shd w:val="clear" w:color="auto" w:fill="auto"/>
          </w:tcPr>
          <w:p w14:paraId="4C0EAAA7"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 xml:space="preserve">Population </w:t>
            </w:r>
          </w:p>
        </w:tc>
        <w:tc>
          <w:tcPr>
            <w:tcW w:w="806" w:type="pct"/>
          </w:tcPr>
          <w:p w14:paraId="69B5B157"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AQP4-Ab +ve (%)</w:t>
            </w:r>
          </w:p>
        </w:tc>
        <w:tc>
          <w:tcPr>
            <w:tcW w:w="889" w:type="pct"/>
            <w:shd w:val="clear" w:color="auto" w:fill="auto"/>
          </w:tcPr>
          <w:p w14:paraId="7A614D4A"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AQP4-Ab –ve (%)</w:t>
            </w:r>
          </w:p>
        </w:tc>
        <w:tc>
          <w:tcPr>
            <w:tcW w:w="807" w:type="pct"/>
            <w:shd w:val="clear" w:color="auto" w:fill="auto"/>
          </w:tcPr>
          <w:p w14:paraId="01DF054D"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MOG-Ab +ve (%)</w:t>
            </w:r>
          </w:p>
        </w:tc>
        <w:tc>
          <w:tcPr>
            <w:tcW w:w="726" w:type="pct"/>
          </w:tcPr>
          <w:p w14:paraId="63DB005C"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Double -ve for AQP4 and MOG Ab (%)</w:t>
            </w:r>
          </w:p>
        </w:tc>
      </w:tr>
      <w:tr w:rsidR="00594400" w:rsidRPr="005B13BC" w14:paraId="2A3BA299" w14:textId="77777777" w:rsidTr="00594400">
        <w:tc>
          <w:tcPr>
            <w:tcW w:w="725" w:type="pct"/>
            <w:tcBorders>
              <w:top w:val="single" w:sz="4" w:space="0" w:color="auto"/>
            </w:tcBorders>
            <w:shd w:val="clear" w:color="auto" w:fill="auto"/>
          </w:tcPr>
          <w:p w14:paraId="01951FBB"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Cheng et al. 2016</w:t>
            </w:r>
          </w:p>
          <w:p w14:paraId="50EEEE06"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 = 31</w:t>
            </w:r>
          </w:p>
        </w:tc>
        <w:tc>
          <w:tcPr>
            <w:tcW w:w="1048" w:type="pct"/>
            <w:tcBorders>
              <w:top w:val="single" w:sz="4" w:space="0" w:color="auto"/>
            </w:tcBorders>
            <w:shd w:val="clear" w:color="auto" w:fill="auto"/>
          </w:tcPr>
          <w:p w14:paraId="792E32A5" w14:textId="77777777" w:rsidR="00594400" w:rsidRPr="005B13BC" w:rsidRDefault="00594400" w:rsidP="005B13BC">
            <w:pPr>
              <w:spacing w:after="0"/>
              <w:contextualSpacing/>
              <w:jc w:val="left"/>
              <w:rPr>
                <w:rFonts w:ascii="Arial Narrow" w:hAnsi="Arial Narrow"/>
                <w:snapToGrid w:val="0"/>
                <w:lang w:eastAsia="en-US"/>
              </w:rPr>
            </w:pPr>
            <w:r>
              <w:rPr>
                <w:rFonts w:ascii="Arial Narrow" w:hAnsi="Arial Narrow"/>
                <w:snapToGrid w:val="0"/>
                <w:lang w:eastAsia="en-US"/>
              </w:rPr>
              <w:t>F</w:t>
            </w:r>
            <w:r w:rsidRPr="005B13BC">
              <w:rPr>
                <w:rFonts w:ascii="Arial Narrow" w:hAnsi="Arial Narrow"/>
                <w:snapToGrid w:val="0"/>
                <w:lang w:eastAsia="en-US"/>
              </w:rPr>
              <w:t>irst-event ABS</w:t>
            </w:r>
          </w:p>
        </w:tc>
        <w:tc>
          <w:tcPr>
            <w:tcW w:w="806" w:type="pct"/>
            <w:tcBorders>
              <w:top w:val="single" w:sz="4" w:space="0" w:color="auto"/>
            </w:tcBorders>
            <w:shd w:val="clear" w:color="auto" w:fill="auto"/>
          </w:tcPr>
          <w:p w14:paraId="7C59E0C5"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14/31 (45.2)</w:t>
            </w:r>
          </w:p>
        </w:tc>
        <w:tc>
          <w:tcPr>
            <w:tcW w:w="889" w:type="pct"/>
            <w:tcBorders>
              <w:top w:val="single" w:sz="4" w:space="0" w:color="auto"/>
            </w:tcBorders>
            <w:shd w:val="clear" w:color="auto" w:fill="auto"/>
          </w:tcPr>
          <w:p w14:paraId="1F10D716"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17/31 (54.8)</w:t>
            </w:r>
          </w:p>
        </w:tc>
        <w:tc>
          <w:tcPr>
            <w:tcW w:w="807" w:type="pct"/>
            <w:tcBorders>
              <w:top w:val="single" w:sz="4" w:space="0" w:color="auto"/>
            </w:tcBorders>
            <w:shd w:val="clear" w:color="auto" w:fill="auto"/>
          </w:tcPr>
          <w:p w14:paraId="641821A9"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NR</w:t>
            </w:r>
          </w:p>
        </w:tc>
        <w:tc>
          <w:tcPr>
            <w:tcW w:w="726" w:type="pct"/>
            <w:tcBorders>
              <w:top w:val="single" w:sz="4" w:space="0" w:color="auto"/>
            </w:tcBorders>
          </w:tcPr>
          <w:p w14:paraId="0CD032DB"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NR</w:t>
            </w:r>
          </w:p>
        </w:tc>
      </w:tr>
      <w:tr w:rsidR="00594400" w:rsidRPr="005B13BC" w14:paraId="7E276EA4" w14:textId="77777777" w:rsidTr="00594400">
        <w:tc>
          <w:tcPr>
            <w:tcW w:w="725" w:type="pct"/>
            <w:tcBorders>
              <w:top w:val="single" w:sz="4" w:space="0" w:color="auto"/>
            </w:tcBorders>
            <w:shd w:val="clear" w:color="auto" w:fill="auto"/>
          </w:tcPr>
          <w:p w14:paraId="4CD99369"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Hyun et al. 2017</w:t>
            </w:r>
          </w:p>
          <w:p w14:paraId="51F8F617"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 xml:space="preserve">N = 505 </w:t>
            </w:r>
          </w:p>
        </w:tc>
        <w:tc>
          <w:tcPr>
            <w:tcW w:w="1048" w:type="pct"/>
            <w:tcBorders>
              <w:top w:val="single" w:sz="4" w:space="0" w:color="auto"/>
            </w:tcBorders>
            <w:shd w:val="clear" w:color="auto" w:fill="auto"/>
          </w:tcPr>
          <w:p w14:paraId="5705AD1E" w14:textId="77777777" w:rsidR="00594400" w:rsidRPr="005B13BC" w:rsidRDefault="00594400" w:rsidP="005B13BC">
            <w:pPr>
              <w:spacing w:after="0"/>
              <w:contextualSpacing/>
              <w:jc w:val="left"/>
              <w:rPr>
                <w:rFonts w:ascii="Arial Narrow" w:hAnsi="Arial Narrow"/>
                <w:snapToGrid w:val="0"/>
                <w:lang w:eastAsia="en-US"/>
              </w:rPr>
            </w:pPr>
            <w:r>
              <w:rPr>
                <w:rFonts w:ascii="Arial Narrow" w:hAnsi="Arial Narrow"/>
                <w:snapToGrid w:val="0"/>
                <w:lang w:eastAsia="en-US"/>
              </w:rPr>
              <w:t>S</w:t>
            </w:r>
            <w:r w:rsidRPr="005B13BC">
              <w:rPr>
                <w:rFonts w:ascii="Arial Narrow" w:hAnsi="Arial Narrow"/>
                <w:snapToGrid w:val="0"/>
                <w:lang w:eastAsia="en-US"/>
              </w:rPr>
              <w:t xml:space="preserve">uspected inflammatory demyelinating CNS diseases </w:t>
            </w:r>
          </w:p>
        </w:tc>
        <w:tc>
          <w:tcPr>
            <w:tcW w:w="806" w:type="pct"/>
            <w:tcBorders>
              <w:top w:val="single" w:sz="4" w:space="0" w:color="auto"/>
            </w:tcBorders>
            <w:shd w:val="clear" w:color="auto" w:fill="auto"/>
          </w:tcPr>
          <w:p w14:paraId="0FCF2CCC"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 xml:space="preserve">212/505 (42) </w:t>
            </w:r>
          </w:p>
        </w:tc>
        <w:tc>
          <w:tcPr>
            <w:tcW w:w="889" w:type="pct"/>
            <w:tcBorders>
              <w:top w:val="single" w:sz="4" w:space="0" w:color="auto"/>
            </w:tcBorders>
            <w:shd w:val="clear" w:color="auto" w:fill="auto"/>
          </w:tcPr>
          <w:p w14:paraId="19F639DF"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 xml:space="preserve">31/505 (6.1) </w:t>
            </w:r>
          </w:p>
        </w:tc>
        <w:tc>
          <w:tcPr>
            <w:tcW w:w="807" w:type="pct"/>
            <w:tcBorders>
              <w:top w:val="single" w:sz="4" w:space="0" w:color="auto"/>
            </w:tcBorders>
            <w:shd w:val="clear" w:color="auto" w:fill="auto"/>
          </w:tcPr>
          <w:p w14:paraId="1616D67D"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22/505 (4.4)</w:t>
            </w:r>
          </w:p>
        </w:tc>
        <w:tc>
          <w:tcPr>
            <w:tcW w:w="726" w:type="pct"/>
            <w:tcBorders>
              <w:top w:val="single" w:sz="4" w:space="0" w:color="auto"/>
            </w:tcBorders>
          </w:tcPr>
          <w:p w14:paraId="052F2EEA" w14:textId="77777777" w:rsidR="00594400" w:rsidRPr="005B13BC" w:rsidRDefault="00594400" w:rsidP="00204EC1">
            <w:pPr>
              <w:spacing w:after="0"/>
              <w:contextualSpacing/>
              <w:jc w:val="left"/>
              <w:rPr>
                <w:rFonts w:ascii="Arial Narrow" w:hAnsi="Arial Narrow"/>
                <w:snapToGrid w:val="0"/>
                <w:lang w:eastAsia="en-US"/>
              </w:rPr>
            </w:pPr>
            <w:r>
              <w:rPr>
                <w:rFonts w:ascii="Arial Narrow" w:hAnsi="Arial Narrow"/>
                <w:snapToGrid w:val="0"/>
                <w:lang w:eastAsia="en-US"/>
              </w:rPr>
              <w:t>NR</w:t>
            </w:r>
          </w:p>
        </w:tc>
      </w:tr>
      <w:tr w:rsidR="00594400" w:rsidRPr="005B13BC" w14:paraId="40074CBA" w14:textId="77777777" w:rsidTr="00594400">
        <w:tc>
          <w:tcPr>
            <w:tcW w:w="725" w:type="pct"/>
            <w:tcBorders>
              <w:top w:val="single" w:sz="4" w:space="0" w:color="auto"/>
            </w:tcBorders>
            <w:shd w:val="clear" w:color="auto" w:fill="auto"/>
          </w:tcPr>
          <w:p w14:paraId="49CC8D27"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Papais-Alvarenga et al. 2015</w:t>
            </w:r>
          </w:p>
          <w:p w14:paraId="474FE982"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N = 1,917</w:t>
            </w:r>
          </w:p>
        </w:tc>
        <w:tc>
          <w:tcPr>
            <w:tcW w:w="1048" w:type="pct"/>
            <w:tcBorders>
              <w:top w:val="single" w:sz="4" w:space="0" w:color="auto"/>
            </w:tcBorders>
            <w:shd w:val="clear" w:color="auto" w:fill="auto"/>
          </w:tcPr>
          <w:p w14:paraId="5FBDFFFC"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IIDD</w:t>
            </w:r>
          </w:p>
        </w:tc>
        <w:tc>
          <w:tcPr>
            <w:tcW w:w="806" w:type="pct"/>
            <w:tcBorders>
              <w:top w:val="single" w:sz="4" w:space="0" w:color="auto"/>
            </w:tcBorders>
            <w:shd w:val="clear" w:color="auto" w:fill="auto"/>
          </w:tcPr>
          <w:p w14:paraId="171245A2"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113/324 (34.9)</w:t>
            </w:r>
          </w:p>
          <w:p w14:paraId="33061E96" w14:textId="77777777" w:rsidR="00594400" w:rsidRPr="005B13BC" w:rsidRDefault="00594400" w:rsidP="005B13BC">
            <w:pPr>
              <w:spacing w:after="0"/>
              <w:contextualSpacing/>
              <w:jc w:val="left"/>
              <w:rPr>
                <w:rFonts w:ascii="Arial Narrow" w:hAnsi="Arial Narrow"/>
                <w:snapToGrid w:val="0"/>
                <w:lang w:eastAsia="en-US"/>
              </w:rPr>
            </w:pPr>
          </w:p>
        </w:tc>
        <w:tc>
          <w:tcPr>
            <w:tcW w:w="889" w:type="pct"/>
            <w:tcBorders>
              <w:top w:val="single" w:sz="4" w:space="0" w:color="auto"/>
            </w:tcBorders>
            <w:shd w:val="clear" w:color="auto" w:fill="auto"/>
          </w:tcPr>
          <w:p w14:paraId="0CD025F4"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123/324 (38)</w:t>
            </w:r>
          </w:p>
          <w:p w14:paraId="284CC3BB" w14:textId="77777777" w:rsidR="00594400" w:rsidRPr="005B13BC" w:rsidRDefault="00594400" w:rsidP="005B13BC">
            <w:pPr>
              <w:spacing w:after="0"/>
              <w:contextualSpacing/>
              <w:jc w:val="left"/>
              <w:rPr>
                <w:rFonts w:ascii="Arial Narrow" w:hAnsi="Arial Narrow"/>
                <w:snapToGrid w:val="0"/>
                <w:lang w:eastAsia="en-US"/>
              </w:rPr>
            </w:pPr>
          </w:p>
        </w:tc>
        <w:tc>
          <w:tcPr>
            <w:tcW w:w="807" w:type="pct"/>
            <w:tcBorders>
              <w:top w:val="single" w:sz="4" w:space="0" w:color="auto"/>
            </w:tcBorders>
            <w:shd w:val="clear" w:color="auto" w:fill="auto"/>
          </w:tcPr>
          <w:p w14:paraId="23FD985B"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NR</w:t>
            </w:r>
          </w:p>
        </w:tc>
        <w:tc>
          <w:tcPr>
            <w:tcW w:w="726" w:type="pct"/>
            <w:tcBorders>
              <w:top w:val="single" w:sz="4" w:space="0" w:color="auto"/>
            </w:tcBorders>
          </w:tcPr>
          <w:p w14:paraId="52CA901B"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NR</w:t>
            </w:r>
          </w:p>
        </w:tc>
      </w:tr>
      <w:tr w:rsidR="00594400" w:rsidRPr="005B13BC" w14:paraId="20B84E76" w14:textId="77777777" w:rsidTr="00594400">
        <w:tc>
          <w:tcPr>
            <w:tcW w:w="725" w:type="pct"/>
            <w:tcBorders>
              <w:top w:val="single" w:sz="4" w:space="0" w:color="auto"/>
            </w:tcBorders>
            <w:shd w:val="clear" w:color="auto" w:fill="auto"/>
          </w:tcPr>
          <w:p w14:paraId="73174B24"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Bouzar et al. 2017</w:t>
            </w:r>
          </w:p>
          <w:p w14:paraId="5FAAA088"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 = 42</w:t>
            </w:r>
          </w:p>
        </w:tc>
        <w:tc>
          <w:tcPr>
            <w:tcW w:w="1048" w:type="pct"/>
            <w:tcBorders>
              <w:top w:val="single" w:sz="4" w:space="0" w:color="auto"/>
            </w:tcBorders>
            <w:shd w:val="clear" w:color="auto" w:fill="auto"/>
          </w:tcPr>
          <w:p w14:paraId="2FDD765F"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Adults with monophasic or recurrent inflammatory disease</w:t>
            </w:r>
          </w:p>
        </w:tc>
        <w:tc>
          <w:tcPr>
            <w:tcW w:w="806" w:type="pct"/>
            <w:tcBorders>
              <w:top w:val="single" w:sz="4" w:space="0" w:color="auto"/>
            </w:tcBorders>
            <w:shd w:val="clear" w:color="auto" w:fill="auto"/>
          </w:tcPr>
          <w:p w14:paraId="5E12E2BE"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6/42</w:t>
            </w:r>
            <w:r w:rsidRPr="005B13BC">
              <w:rPr>
                <w:rFonts w:ascii="Arial Narrow" w:hAnsi="Arial Narrow"/>
                <w:snapToGrid w:val="0"/>
                <w:vertAlign w:val="superscript"/>
                <w:lang w:eastAsia="en-US"/>
              </w:rPr>
              <w:t>a</w:t>
            </w:r>
            <w:r w:rsidRPr="005B13BC">
              <w:rPr>
                <w:rFonts w:ascii="Arial Narrow" w:hAnsi="Arial Narrow"/>
                <w:snapToGrid w:val="0"/>
                <w:lang w:eastAsia="en-US"/>
              </w:rPr>
              <w:t xml:space="preserve"> (14.3)</w:t>
            </w:r>
          </w:p>
        </w:tc>
        <w:tc>
          <w:tcPr>
            <w:tcW w:w="889" w:type="pct"/>
            <w:tcBorders>
              <w:top w:val="single" w:sz="4" w:space="0" w:color="auto"/>
            </w:tcBorders>
            <w:shd w:val="clear" w:color="auto" w:fill="auto"/>
          </w:tcPr>
          <w:p w14:paraId="159170C3"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36/42 (86)</w:t>
            </w:r>
          </w:p>
        </w:tc>
        <w:tc>
          <w:tcPr>
            <w:tcW w:w="807" w:type="pct"/>
            <w:tcBorders>
              <w:top w:val="single" w:sz="4" w:space="0" w:color="auto"/>
            </w:tcBorders>
            <w:shd w:val="clear" w:color="auto" w:fill="auto"/>
          </w:tcPr>
          <w:p w14:paraId="079FA53C"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3/42 (7.1)</w:t>
            </w:r>
          </w:p>
        </w:tc>
        <w:tc>
          <w:tcPr>
            <w:tcW w:w="726" w:type="pct"/>
            <w:tcBorders>
              <w:top w:val="single" w:sz="4" w:space="0" w:color="auto"/>
            </w:tcBorders>
          </w:tcPr>
          <w:p w14:paraId="1292B1B6"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33/42 (78.6)</w:t>
            </w:r>
          </w:p>
        </w:tc>
      </w:tr>
      <w:tr w:rsidR="00594400" w:rsidRPr="005B13BC" w14:paraId="549EC8FB" w14:textId="77777777" w:rsidTr="00594400">
        <w:tc>
          <w:tcPr>
            <w:tcW w:w="725" w:type="pct"/>
            <w:shd w:val="clear" w:color="auto" w:fill="auto"/>
          </w:tcPr>
          <w:p w14:paraId="59A6D94F"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Hamid et al. 2017</w:t>
            </w:r>
          </w:p>
          <w:p w14:paraId="70EBA0BC"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N = 132</w:t>
            </w:r>
          </w:p>
        </w:tc>
        <w:tc>
          <w:tcPr>
            <w:tcW w:w="1048" w:type="pct"/>
            <w:shd w:val="clear" w:color="auto" w:fill="auto"/>
          </w:tcPr>
          <w:p w14:paraId="1A8241DD"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 xml:space="preserve">Adults with non-MS atypical CNS inflammatory conditions </w:t>
            </w:r>
          </w:p>
        </w:tc>
        <w:tc>
          <w:tcPr>
            <w:tcW w:w="806" w:type="pct"/>
            <w:shd w:val="clear" w:color="auto" w:fill="auto"/>
          </w:tcPr>
          <w:p w14:paraId="12256E9D"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96/132 (73)</w:t>
            </w:r>
          </w:p>
        </w:tc>
        <w:tc>
          <w:tcPr>
            <w:tcW w:w="889" w:type="pct"/>
            <w:shd w:val="clear" w:color="auto" w:fill="auto"/>
          </w:tcPr>
          <w:p w14:paraId="411140C5"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36/132 (27)</w:t>
            </w:r>
          </w:p>
        </w:tc>
        <w:tc>
          <w:tcPr>
            <w:tcW w:w="807" w:type="pct"/>
            <w:shd w:val="clear" w:color="auto" w:fill="auto"/>
          </w:tcPr>
          <w:p w14:paraId="4DEEA733"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 xml:space="preserve">15/132 (11) </w:t>
            </w:r>
          </w:p>
          <w:p w14:paraId="57911D01" w14:textId="77777777" w:rsidR="00594400" w:rsidRPr="005B13BC" w:rsidRDefault="00594400" w:rsidP="003816F6">
            <w:pPr>
              <w:numPr>
                <w:ilvl w:val="0"/>
                <w:numId w:val="40"/>
              </w:numPr>
              <w:spacing w:after="0"/>
              <w:ind w:left="188"/>
              <w:contextualSpacing/>
              <w:jc w:val="left"/>
              <w:rPr>
                <w:rFonts w:ascii="Arial Narrow" w:hAnsi="Arial Narrow"/>
                <w:snapToGrid w:val="0"/>
                <w:lang w:eastAsia="en-US"/>
              </w:rPr>
            </w:pPr>
            <w:r w:rsidRPr="005B13BC">
              <w:rPr>
                <w:rFonts w:ascii="Arial Narrow" w:hAnsi="Arial Narrow"/>
                <w:snapToGrid w:val="0"/>
                <w:lang w:eastAsia="en-US"/>
              </w:rPr>
              <w:t>15/36 (42) in AQP4-Ab–ve</w:t>
            </w:r>
          </w:p>
        </w:tc>
        <w:tc>
          <w:tcPr>
            <w:tcW w:w="726" w:type="pct"/>
          </w:tcPr>
          <w:p w14:paraId="75128228"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21/132 (15.9)</w:t>
            </w:r>
          </w:p>
          <w:p w14:paraId="62182DB8" w14:textId="77777777" w:rsidR="00594400" w:rsidRPr="005B13BC" w:rsidRDefault="00594400" w:rsidP="005B13BC">
            <w:pPr>
              <w:spacing w:after="0"/>
              <w:contextualSpacing/>
              <w:jc w:val="left"/>
              <w:rPr>
                <w:rFonts w:ascii="Arial Narrow" w:hAnsi="Arial Narrow"/>
                <w:snapToGrid w:val="0"/>
                <w:lang w:eastAsia="en-US"/>
              </w:rPr>
            </w:pPr>
          </w:p>
        </w:tc>
      </w:tr>
      <w:tr w:rsidR="00594400" w:rsidRPr="005B13BC" w14:paraId="377F3E97" w14:textId="77777777" w:rsidTr="00594400">
        <w:tc>
          <w:tcPr>
            <w:tcW w:w="725" w:type="pct"/>
            <w:tcBorders>
              <w:top w:val="single" w:sz="4" w:space="0" w:color="auto"/>
            </w:tcBorders>
            <w:shd w:val="clear" w:color="auto" w:fill="auto"/>
          </w:tcPr>
          <w:p w14:paraId="6A91168E"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Duignan et al. 2018</w:t>
            </w:r>
          </w:p>
          <w:p w14:paraId="5B1B2977"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N = 237</w:t>
            </w:r>
          </w:p>
        </w:tc>
        <w:tc>
          <w:tcPr>
            <w:tcW w:w="1048" w:type="pct"/>
            <w:tcBorders>
              <w:top w:val="single" w:sz="4" w:space="0" w:color="auto"/>
            </w:tcBorders>
            <w:shd w:val="clear" w:color="auto" w:fill="auto"/>
          </w:tcPr>
          <w:p w14:paraId="3C1298F1"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Children with ADS</w:t>
            </w:r>
          </w:p>
        </w:tc>
        <w:tc>
          <w:tcPr>
            <w:tcW w:w="806" w:type="pct"/>
            <w:tcBorders>
              <w:top w:val="single" w:sz="4" w:space="0" w:color="auto"/>
            </w:tcBorders>
            <w:shd w:val="clear" w:color="auto" w:fill="auto"/>
          </w:tcPr>
          <w:p w14:paraId="30821FCE"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 xml:space="preserve">16/237 (6.8) </w:t>
            </w:r>
          </w:p>
        </w:tc>
        <w:tc>
          <w:tcPr>
            <w:tcW w:w="889" w:type="pct"/>
            <w:tcBorders>
              <w:top w:val="single" w:sz="4" w:space="0" w:color="auto"/>
            </w:tcBorders>
            <w:shd w:val="clear" w:color="auto" w:fill="auto"/>
          </w:tcPr>
          <w:p w14:paraId="0B0AFBE7"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 xml:space="preserve">221/237 (93.2) </w:t>
            </w:r>
          </w:p>
        </w:tc>
        <w:tc>
          <w:tcPr>
            <w:tcW w:w="807" w:type="pct"/>
            <w:tcBorders>
              <w:top w:val="single" w:sz="4" w:space="0" w:color="auto"/>
            </w:tcBorders>
            <w:shd w:val="clear" w:color="auto" w:fill="auto"/>
          </w:tcPr>
          <w:p w14:paraId="3F6E8D22"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76/237 (32)</w:t>
            </w:r>
          </w:p>
        </w:tc>
        <w:tc>
          <w:tcPr>
            <w:tcW w:w="726" w:type="pct"/>
            <w:tcBorders>
              <w:top w:val="single" w:sz="4" w:space="0" w:color="auto"/>
            </w:tcBorders>
          </w:tcPr>
          <w:p w14:paraId="0F291E62" w14:textId="77777777" w:rsidR="00594400" w:rsidRPr="005B13BC" w:rsidRDefault="00594400" w:rsidP="00204EC1">
            <w:pPr>
              <w:spacing w:after="0"/>
              <w:contextualSpacing/>
              <w:jc w:val="left"/>
              <w:rPr>
                <w:rFonts w:ascii="Arial Narrow" w:hAnsi="Arial Narrow"/>
                <w:snapToGrid w:val="0"/>
                <w:lang w:eastAsia="en-US"/>
              </w:rPr>
            </w:pPr>
            <w:r>
              <w:rPr>
                <w:rFonts w:ascii="Arial Narrow" w:hAnsi="Arial Narrow"/>
                <w:snapToGrid w:val="0"/>
                <w:lang w:eastAsia="en-US"/>
              </w:rPr>
              <w:t>NR</w:t>
            </w:r>
          </w:p>
        </w:tc>
      </w:tr>
    </w:tbl>
    <w:p w14:paraId="2790E80B" w14:textId="77777777" w:rsidR="005B13BC" w:rsidRPr="005B13BC" w:rsidRDefault="005B13BC" w:rsidP="005B13BC">
      <w:pPr>
        <w:widowControl w:val="0"/>
        <w:spacing w:after="120" w:line="240" w:lineRule="auto"/>
        <w:contextualSpacing/>
        <w:jc w:val="left"/>
        <w:rPr>
          <w:rFonts w:ascii="Arial Narrow" w:hAnsi="Arial Narrow" w:cs="Arial"/>
          <w:snapToGrid w:val="0"/>
          <w:sz w:val="18"/>
          <w:szCs w:val="20"/>
          <w:lang w:eastAsia="en-US"/>
        </w:rPr>
      </w:pPr>
      <w:r w:rsidRPr="005B13BC">
        <w:rPr>
          <w:rFonts w:ascii="Arial Narrow" w:hAnsi="Arial Narrow" w:cs="Arial"/>
          <w:snapToGrid w:val="0"/>
          <w:sz w:val="18"/>
          <w:szCs w:val="20"/>
          <w:lang w:eastAsia="en-US"/>
        </w:rPr>
        <w:t>+ve = seropositive; -ve = seronegative; ABS = acute brainstem syndrome; ADS = acquired demyelination syndromes; AQP4 = aquaporin 4; AQP4-Ab = aquaporin 4 antibodies; CNS = central nervous system; IIDD =idiopathic inflammatory demyelinating disease; med = median; MOG-Ab = myelin oligodendrocyte glycoprotein antibodies; MS = multiple sclerosis; NMOSD = neuromyelitis optica spectrum disorders</w:t>
      </w:r>
    </w:p>
    <w:p w14:paraId="7D22C8E1" w14:textId="7542CAAE" w:rsidR="005B13BC" w:rsidRPr="005B13BC" w:rsidRDefault="005B13BC" w:rsidP="00E742E4">
      <w:pPr>
        <w:widowControl w:val="0"/>
        <w:spacing w:after="0" w:line="240" w:lineRule="auto"/>
        <w:contextualSpacing/>
        <w:jc w:val="left"/>
        <w:rPr>
          <w:rFonts w:ascii="Arial Narrow" w:hAnsi="Arial Narrow" w:cs="Arial"/>
          <w:snapToGrid w:val="0"/>
          <w:sz w:val="18"/>
          <w:szCs w:val="20"/>
          <w:lang w:eastAsia="en-US"/>
        </w:rPr>
      </w:pPr>
      <w:r w:rsidRPr="005B13BC">
        <w:rPr>
          <w:rFonts w:ascii="Arial Narrow" w:hAnsi="Arial Narrow" w:cs="Arial"/>
          <w:snapToGrid w:val="0"/>
          <w:sz w:val="18"/>
          <w:szCs w:val="20"/>
          <w:vertAlign w:val="superscript"/>
          <w:lang w:eastAsia="en-US"/>
        </w:rPr>
        <w:t xml:space="preserve">a </w:t>
      </w:r>
      <w:r w:rsidRPr="005B13BC">
        <w:rPr>
          <w:rFonts w:ascii="Arial Narrow" w:hAnsi="Arial Narrow" w:cs="Arial"/>
          <w:snapToGrid w:val="0"/>
          <w:sz w:val="18"/>
          <w:szCs w:val="20"/>
          <w:lang w:eastAsia="en-US"/>
        </w:rPr>
        <w:t xml:space="preserve">all six patients +ve for AQP4-Ab met 2015 Wingerchuk diagnosis criteria </w:t>
      </w:r>
      <w:r w:rsidR="00156621">
        <w:rPr>
          <w:rFonts w:ascii="Arial Narrow" w:hAnsi="Arial Narrow" w:cs="Arial"/>
          <w:snapToGrid w:val="0"/>
          <w:sz w:val="18"/>
          <w:szCs w:val="20"/>
          <w:lang w:eastAsia="en-US"/>
        </w:rPr>
        <w:fldChar w:fldCharType="begin"/>
      </w:r>
      <w:r w:rsidR="00646E7C">
        <w:rPr>
          <w:rFonts w:ascii="Arial Narrow" w:hAnsi="Arial Narrow" w:cs="Arial"/>
          <w:snapToGrid w:val="0"/>
          <w:sz w:val="18"/>
          <w:szCs w:val="20"/>
          <w:lang w:eastAsia="en-US"/>
        </w:rPr>
        <w:instrText xml:space="preserve"> ADDIN EN.CITE &lt;EndNote&gt;&lt;Cite&gt;&lt;Author&gt;Wingerchuk&lt;/Author&gt;&lt;Year&gt;2015&lt;/Year&gt;&lt;RecNum&gt;35&lt;/RecNum&gt;&lt;IDText&gt;177-189&lt;/IDText&gt;&lt;DisplayText&gt;(Wingerchuk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rPr>
          <w:rFonts w:ascii="Arial Narrow" w:hAnsi="Arial Narrow" w:cs="Arial"/>
          <w:snapToGrid w:val="0"/>
          <w:sz w:val="18"/>
          <w:szCs w:val="20"/>
          <w:lang w:eastAsia="en-US"/>
        </w:rPr>
        <w:fldChar w:fldCharType="separate"/>
      </w:r>
      <w:r w:rsidR="00E742E4">
        <w:rPr>
          <w:rFonts w:ascii="Arial Narrow" w:hAnsi="Arial Narrow" w:cs="Arial"/>
          <w:noProof/>
          <w:snapToGrid w:val="0"/>
          <w:sz w:val="18"/>
          <w:szCs w:val="20"/>
          <w:lang w:eastAsia="en-US"/>
        </w:rPr>
        <w:t>(</w:t>
      </w:r>
      <w:r w:rsidR="00646E7C">
        <w:rPr>
          <w:rFonts w:ascii="Arial Narrow" w:hAnsi="Arial Narrow" w:cs="Arial"/>
          <w:noProof/>
          <w:snapToGrid w:val="0"/>
          <w:sz w:val="18"/>
          <w:szCs w:val="20"/>
          <w:lang w:eastAsia="en-US"/>
        </w:rPr>
        <w:t>2015)</w:t>
      </w:r>
      <w:r w:rsidR="00156621">
        <w:rPr>
          <w:rFonts w:ascii="Arial Narrow" w:hAnsi="Arial Narrow" w:cs="Arial"/>
          <w:snapToGrid w:val="0"/>
          <w:sz w:val="18"/>
          <w:szCs w:val="20"/>
          <w:lang w:eastAsia="en-US"/>
        </w:rPr>
        <w:fldChar w:fldCharType="end"/>
      </w:r>
      <w:r w:rsidRPr="005B13BC">
        <w:rPr>
          <w:rFonts w:ascii="Arial Narrow" w:hAnsi="Arial Narrow" w:cs="Arial"/>
          <w:snapToGrid w:val="0"/>
          <w:sz w:val="18"/>
          <w:szCs w:val="20"/>
          <w:lang w:eastAsia="en-US"/>
        </w:rPr>
        <w:t xml:space="preserve"> and were all –ve for MOG-Ab </w:t>
      </w:r>
    </w:p>
    <w:p w14:paraId="3A816C9B" w14:textId="77777777" w:rsidR="005B13BC" w:rsidRPr="00204EC1" w:rsidRDefault="005B13BC" w:rsidP="00AA40ED">
      <w:pPr>
        <w:pStyle w:val="Tablenotes0"/>
      </w:pPr>
    </w:p>
    <w:p w14:paraId="12303C5F" w14:textId="0427821B" w:rsidR="009051BF" w:rsidRDefault="009051BF" w:rsidP="009051BF">
      <w:r w:rsidRPr="005B13BC">
        <w:t xml:space="preserve">Diagnostic yield from AQP4-Ab and MOG-Ab testing in </w:t>
      </w:r>
      <w:r w:rsidR="002C7513">
        <w:t xml:space="preserve">all </w:t>
      </w:r>
      <w:r w:rsidRPr="005B13BC">
        <w:t xml:space="preserve">patients, adults and children with ON or LETM is displayed in </w:t>
      </w:r>
      <w:r w:rsidRPr="005B13BC">
        <w:fldChar w:fldCharType="begin"/>
      </w:r>
      <w:r w:rsidRPr="005B13BC">
        <w:instrText xml:space="preserve"> REF _Ref27753180 \h </w:instrText>
      </w:r>
      <w:r w:rsidR="00204EC1">
        <w:instrText xml:space="preserve"> \* MERGEFORMAT </w:instrText>
      </w:r>
      <w:r w:rsidRPr="005B13BC">
        <w:fldChar w:fldCharType="separate"/>
      </w:r>
      <w:r w:rsidR="000933C0" w:rsidRPr="005B13BC">
        <w:t xml:space="preserve">Table </w:t>
      </w:r>
      <w:r w:rsidR="000933C0">
        <w:t>24</w:t>
      </w:r>
      <w:r w:rsidRPr="005B13BC">
        <w:fldChar w:fldCharType="end"/>
      </w:r>
      <w:r w:rsidRPr="005B13BC">
        <w:t xml:space="preserve">. The number of subjects included in the studies ranged from 30 to 158. </w:t>
      </w:r>
    </w:p>
    <w:p w14:paraId="5F88B59E" w14:textId="2F5BECE3" w:rsidR="00311F52" w:rsidRDefault="009051BF" w:rsidP="009051BF">
      <w:r>
        <w:t>For studies including</w:t>
      </w:r>
      <w:r w:rsidR="002C7513">
        <w:t xml:space="preserve"> all</w:t>
      </w:r>
      <w:r>
        <w:t xml:space="preserve"> patients with either ON or LETM, the diagnostic yield for AQP4-Ab seropositivity ranged from 20% </w:t>
      </w:r>
      <w:r w:rsidR="00C27AA7">
        <w:t xml:space="preserve">to </w:t>
      </w:r>
      <w:r>
        <w:t xml:space="preserve">39%. Only one study </w:t>
      </w:r>
      <w:r w:rsidR="00156621">
        <w:fldChar w:fldCharType="begin">
          <w:fldData xml:space="preserve">PEVuZE5vdGU+PENpdGU+PEF1dGhvcj5LYW5nPC9BdXRob3I+PFllYXI+MjAxOTwvWWVhcj48UmVj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=
</w:fldData>
        </w:fldChar>
      </w:r>
      <w:r w:rsidR="00D96694">
        <w:instrText xml:space="preserve"> ADDIN EN.CITE </w:instrText>
      </w:r>
      <w:r w:rsidR="00D96694">
        <w:fldChar w:fldCharType="begin">
          <w:fldData xml:space="preserve">PEVuZE5vdGU+PENpdGU+PEF1dGhvcj5LYW5nPC9BdXRob3I+PFllYXI+MjAxOTwvWWVhcj48UmVj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=
</w:fldData>
        </w:fldChar>
      </w:r>
      <w:r w:rsidR="00D96694">
        <w:instrText xml:space="preserve"> ADDIN EN.CITE.DATA </w:instrText>
      </w:r>
      <w:r w:rsidR="00D96694">
        <w:fldChar w:fldCharType="end"/>
      </w:r>
      <w:r w:rsidR="00156621">
        <w:fldChar w:fldCharType="separate"/>
      </w:r>
      <w:r w:rsidR="00156621">
        <w:rPr>
          <w:noProof/>
        </w:rPr>
        <w:t>(Kang et al. 2019)</w:t>
      </w:r>
      <w:r w:rsidR="00156621">
        <w:fldChar w:fldCharType="end"/>
      </w:r>
      <w:r>
        <w:t xml:space="preserve"> reported MOG-Ab testing and found that 16% of patients with ON tested positive for MOG-Ab, and over a quarter (26%) of patients AQP4-Ab negative were MOG-Ab positive. In adults with ON, between 29.8% and 42.4% were AQP4-Ab positive; one study </w:t>
      </w:r>
      <w:r w:rsidR="00156621">
        <w:fldChar w:fldCharType="begin">
          <w:fldData xml:space="preserve">PEVuZE5vdGU+PENpdGU+PEF1dGhvcj5MaXU8L0F1dGhvcj48WWVhcj4yMDE5PC9ZZWFyPjxSZWNO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</w:fldData>
        </w:fldChar>
      </w:r>
      <w:r w:rsidR="00D96694">
        <w:instrText xml:space="preserve"> ADDIN EN.CITE </w:instrText>
      </w:r>
      <w:r w:rsidR="00D96694">
        <w:fldChar w:fldCharType="begin">
          <w:fldData xml:space="preserve">PEVuZE5vdGU+PENpdGU+PEF1dGhvcj5MaXU8L0F1dGhvcj48WWVhcj4yMDE5PC9ZZWFyPjxSZWNO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</w:fldData>
        </w:fldChar>
      </w:r>
      <w:r w:rsidR="00D96694">
        <w:instrText xml:space="preserve"> ADDIN EN.CITE.DATA </w:instrText>
      </w:r>
      <w:r w:rsidR="00D96694">
        <w:fldChar w:fldCharType="end"/>
      </w:r>
      <w:r w:rsidR="00156621">
        <w:fldChar w:fldCharType="separate"/>
      </w:r>
      <w:r w:rsidR="00156621">
        <w:rPr>
          <w:noProof/>
        </w:rPr>
        <w:t>(Liu et al. 2019)</w:t>
      </w:r>
      <w:r w:rsidR="00156621">
        <w:fldChar w:fldCharType="end"/>
      </w:r>
      <w:r>
        <w:t xml:space="preserve"> reported nearly a fifth of adults (19.6%) were positive for MOG-Ab.</w:t>
      </w:r>
      <w:r w:rsidR="00311F52">
        <w:t xml:space="preserve"> The Australian study by Bukhari et al (2017) 43% (73 of 170 suspected NMOSD cases) were AQP4-Ab positive, whereas 48% (81 of 170 cases) were diagnosed with NMOSD. </w:t>
      </w:r>
    </w:p>
    <w:p w14:paraId="44614DC0" w14:textId="63F09E6E" w:rsidR="003637B4" w:rsidRDefault="009051BF" w:rsidP="003637B4">
      <w:r>
        <w:t xml:space="preserve"> For children, one study </w:t>
      </w:r>
      <w:r w:rsidR="00156621">
        <w:fldChar w:fldCharType="begin">
          <w:fldData xml:space="preserve">PEVuZE5vdGU+PENpdGU+PEF1dGhvcj5DaGVuPC9BdXRob3I+PFllYXI+MjAxODwvWWVhcj48UmVj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</w:fldData>
        </w:fldChar>
      </w:r>
      <w:r w:rsidR="00D96694">
        <w:instrText xml:space="preserve"> ADDIN EN.CITE </w:instrText>
      </w:r>
      <w:r w:rsidR="00D96694">
        <w:fldChar w:fldCharType="begin">
          <w:fldData xml:space="preserve">PEVuZE5vdGU+PENpdGU+PEF1dGhvcj5DaGVuPC9BdXRob3I+PFllYXI+MjAxODwvWWVhcj48UmVj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</w:fldData>
        </w:fldChar>
      </w:r>
      <w:r w:rsidR="00D96694">
        <w:instrText xml:space="preserve"> ADDIN EN.CITE.DATA </w:instrText>
      </w:r>
      <w:r w:rsidR="00D96694">
        <w:fldChar w:fldCharType="end"/>
      </w:r>
      <w:r w:rsidR="00156621">
        <w:fldChar w:fldCharType="separate"/>
      </w:r>
      <w:r w:rsidR="00156621">
        <w:rPr>
          <w:noProof/>
        </w:rPr>
        <w:t>(Chen, Q et al. 2018)</w:t>
      </w:r>
      <w:r w:rsidR="00156621">
        <w:fldChar w:fldCharType="end"/>
      </w:r>
      <w:r>
        <w:t xml:space="preserve"> reported that 84% of children with acute onset ON tested negative for AQP4-Ab, 13.3% tested positive for MOG-Ab and 70.7% tested negative for both AQP4-Ab and MOG-Ab.</w:t>
      </w:r>
      <w:r w:rsidR="003637B4">
        <w:br w:type="page"/>
      </w:r>
    </w:p>
    <w:p w14:paraId="605BC6CF" w14:textId="0BB09030" w:rsidR="005B13BC" w:rsidRPr="005B13BC" w:rsidRDefault="005B13BC" w:rsidP="00A87AE2">
      <w:pPr>
        <w:pStyle w:val="TableHeading"/>
      </w:pPr>
      <w:bookmarkStart w:id="234" w:name="_Ref27753180"/>
      <w:bookmarkStart w:id="235" w:name="_Toc39580805"/>
      <w:r w:rsidRPr="005B13BC">
        <w:lastRenderedPageBreak/>
        <w:t xml:space="preserve">Table </w:t>
      </w:r>
      <w:r w:rsidRPr="005B13BC">
        <w:fldChar w:fldCharType="begin"/>
      </w:r>
      <w:r w:rsidRPr="005B13BC">
        <w:instrText xml:space="preserve"> SEQ Table \* ARABIC </w:instrText>
      </w:r>
      <w:r w:rsidRPr="005B13BC">
        <w:fldChar w:fldCharType="separate"/>
      </w:r>
      <w:r w:rsidR="00FA7BCD">
        <w:rPr>
          <w:noProof/>
        </w:rPr>
        <w:t>24</w:t>
      </w:r>
      <w:r w:rsidRPr="005B13BC">
        <w:rPr>
          <w:noProof/>
        </w:rPr>
        <w:fldChar w:fldCharType="end"/>
      </w:r>
      <w:bookmarkEnd w:id="234"/>
      <w:r w:rsidRPr="005B13BC">
        <w:tab/>
        <w:t>Diagnostic yield for AQP4-Ab and MOG-Ab in patients adults and children with ON or LETM</w:t>
      </w:r>
      <w:bookmarkEnd w:id="235"/>
    </w:p>
    <w:tbl>
      <w:tblPr>
        <w:tblStyle w:val="TableGrid1"/>
        <w:tblW w:w="5000" w:type="pct"/>
        <w:tblCellMar>
          <w:left w:w="28" w:type="dxa"/>
          <w:right w:w="28" w:type="dxa"/>
        </w:tblCellMar>
        <w:tblLook w:val="04A0" w:firstRow="1" w:lastRow="0" w:firstColumn="1" w:lastColumn="0" w:noHBand="0" w:noVBand="1"/>
        <w:tblCaption w:val="Table 24 Diagnostic yield for AQP4-Ab and MOG-Ab in patients adults and children with ON or LETM"/>
        <w:tblDescription w:val="Diagnostic yield data reported for AQP4-Ab and MOG-Ab testing"/>
      </w:tblPr>
      <w:tblGrid>
        <w:gridCol w:w="1414"/>
        <w:gridCol w:w="1560"/>
        <w:gridCol w:w="1419"/>
        <w:gridCol w:w="1417"/>
        <w:gridCol w:w="1417"/>
        <w:gridCol w:w="1789"/>
      </w:tblGrid>
      <w:tr w:rsidR="00594400" w:rsidRPr="005B13BC" w14:paraId="4D0FAB2B" w14:textId="77777777" w:rsidTr="0003367F">
        <w:trPr>
          <w:cnfStyle w:val="100000000000" w:firstRow="1" w:lastRow="0" w:firstColumn="0" w:lastColumn="0" w:oddVBand="0" w:evenVBand="0" w:oddHBand="0" w:evenHBand="0" w:firstRowFirstColumn="0" w:firstRowLastColumn="0" w:lastRowFirstColumn="0" w:lastRowLastColumn="0"/>
          <w:tblHeader/>
        </w:trPr>
        <w:tc>
          <w:tcPr>
            <w:tcW w:w="784" w:type="pct"/>
            <w:tcBorders>
              <w:bottom w:val="single" w:sz="4" w:space="0" w:color="auto"/>
            </w:tcBorders>
            <w:shd w:val="clear" w:color="auto" w:fill="auto"/>
          </w:tcPr>
          <w:p w14:paraId="3BE6EE4F"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Study</w:t>
            </w:r>
          </w:p>
          <w:p w14:paraId="255110E3" w14:textId="77777777" w:rsidR="00594400" w:rsidRPr="005B13BC" w:rsidRDefault="00594400" w:rsidP="005B13BC">
            <w:pPr>
              <w:keepNext/>
              <w:spacing w:after="0"/>
              <w:contextualSpacing/>
              <w:jc w:val="left"/>
              <w:rPr>
                <w:rFonts w:ascii="Arial Narrow" w:hAnsi="Arial Narrow"/>
                <w:b/>
                <w:snapToGrid w:val="0"/>
                <w:lang w:eastAsia="en-US"/>
              </w:rPr>
            </w:pPr>
            <w:r>
              <w:rPr>
                <w:rFonts w:ascii="Arial Narrow" w:hAnsi="Arial Narrow"/>
                <w:b/>
                <w:snapToGrid w:val="0"/>
                <w:lang w:eastAsia="en-US"/>
              </w:rPr>
              <w:t>P</w:t>
            </w:r>
            <w:r w:rsidRPr="005B13BC">
              <w:rPr>
                <w:rFonts w:ascii="Arial Narrow" w:hAnsi="Arial Narrow"/>
                <w:b/>
                <w:snapToGrid w:val="0"/>
                <w:lang w:eastAsia="en-US"/>
              </w:rPr>
              <w:t>atients N (%)</w:t>
            </w:r>
          </w:p>
        </w:tc>
        <w:tc>
          <w:tcPr>
            <w:tcW w:w="865" w:type="pct"/>
            <w:tcBorders>
              <w:bottom w:val="single" w:sz="4" w:space="0" w:color="auto"/>
            </w:tcBorders>
            <w:shd w:val="clear" w:color="auto" w:fill="auto"/>
          </w:tcPr>
          <w:p w14:paraId="3201932E"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 xml:space="preserve">Population </w:t>
            </w:r>
          </w:p>
        </w:tc>
        <w:tc>
          <w:tcPr>
            <w:tcW w:w="787" w:type="pct"/>
          </w:tcPr>
          <w:p w14:paraId="017826D4"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AQP4-Ab +ve (%)</w:t>
            </w:r>
          </w:p>
        </w:tc>
        <w:tc>
          <w:tcPr>
            <w:tcW w:w="786" w:type="pct"/>
            <w:shd w:val="clear" w:color="auto" w:fill="auto"/>
          </w:tcPr>
          <w:p w14:paraId="797641B1"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AQP4-Ab –ve (%)</w:t>
            </w:r>
          </w:p>
        </w:tc>
        <w:tc>
          <w:tcPr>
            <w:tcW w:w="786" w:type="pct"/>
            <w:shd w:val="clear" w:color="auto" w:fill="auto"/>
          </w:tcPr>
          <w:p w14:paraId="48C329B9"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MOG-Ab +ve (%)</w:t>
            </w:r>
          </w:p>
        </w:tc>
        <w:tc>
          <w:tcPr>
            <w:tcW w:w="993" w:type="pct"/>
          </w:tcPr>
          <w:p w14:paraId="02247E58"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Double -ve for AQP4 and MOG Ab (%)</w:t>
            </w:r>
          </w:p>
        </w:tc>
      </w:tr>
      <w:tr w:rsidR="003B6EE7" w:rsidRPr="005B13BC" w14:paraId="6BC0B429" w14:textId="77777777" w:rsidTr="0003367F">
        <w:tc>
          <w:tcPr>
            <w:tcW w:w="784" w:type="pct"/>
            <w:tcBorders>
              <w:top w:val="single" w:sz="4" w:space="0" w:color="auto"/>
            </w:tcBorders>
            <w:shd w:val="clear" w:color="auto" w:fill="auto"/>
          </w:tcPr>
          <w:p w14:paraId="6D26691C" w14:textId="77777777" w:rsidR="003B6EE7" w:rsidRDefault="003B6EE7" w:rsidP="005B13BC">
            <w:pPr>
              <w:spacing w:after="0"/>
              <w:contextualSpacing/>
              <w:jc w:val="left"/>
              <w:rPr>
                <w:rFonts w:ascii="Arial Narrow" w:hAnsi="Arial Narrow"/>
                <w:snapToGrid w:val="0"/>
                <w:lang w:eastAsia="en-US"/>
              </w:rPr>
            </w:pPr>
            <w:r>
              <w:rPr>
                <w:rFonts w:ascii="Arial Narrow" w:hAnsi="Arial Narrow"/>
                <w:snapToGrid w:val="0"/>
                <w:lang w:eastAsia="en-US"/>
              </w:rPr>
              <w:t>Bukhari et al. 2017</w:t>
            </w:r>
          </w:p>
          <w:p w14:paraId="759B5BDE" w14:textId="77777777" w:rsidR="003B6EE7" w:rsidRPr="005B13BC" w:rsidRDefault="003B6EE7" w:rsidP="005B13BC">
            <w:pPr>
              <w:spacing w:after="0"/>
              <w:contextualSpacing/>
              <w:jc w:val="left"/>
              <w:rPr>
                <w:rFonts w:ascii="Arial Narrow" w:hAnsi="Arial Narrow"/>
                <w:snapToGrid w:val="0"/>
                <w:lang w:eastAsia="en-US"/>
              </w:rPr>
            </w:pPr>
            <w:r>
              <w:rPr>
                <w:rFonts w:ascii="Arial Narrow" w:hAnsi="Arial Narrow"/>
                <w:snapToGrid w:val="0"/>
                <w:lang w:eastAsia="en-US"/>
              </w:rPr>
              <w:t>N = 170</w:t>
            </w:r>
          </w:p>
        </w:tc>
        <w:tc>
          <w:tcPr>
            <w:tcW w:w="865" w:type="pct"/>
            <w:tcBorders>
              <w:top w:val="single" w:sz="4" w:space="0" w:color="auto"/>
            </w:tcBorders>
            <w:shd w:val="clear" w:color="auto" w:fill="auto"/>
          </w:tcPr>
          <w:p w14:paraId="642047DC" w14:textId="7B92C704" w:rsidR="003B6EE7" w:rsidRPr="005B13BC" w:rsidRDefault="00185185" w:rsidP="005B13BC">
            <w:pPr>
              <w:spacing w:after="0"/>
              <w:contextualSpacing/>
              <w:jc w:val="left"/>
              <w:rPr>
                <w:rFonts w:ascii="Arial Narrow" w:hAnsi="Arial Narrow"/>
                <w:snapToGrid w:val="0"/>
                <w:lang w:eastAsia="en-US"/>
              </w:rPr>
            </w:pPr>
            <w:r>
              <w:rPr>
                <w:rFonts w:ascii="Arial Narrow" w:hAnsi="Arial Narrow"/>
                <w:snapToGrid w:val="0"/>
                <w:lang w:eastAsia="en-US"/>
              </w:rPr>
              <w:t xml:space="preserve">Patients with severe ON, severe LETM, </w:t>
            </w:r>
            <w:r w:rsidR="002912B1">
              <w:rPr>
                <w:rFonts w:ascii="Arial Narrow" w:hAnsi="Arial Narrow"/>
                <w:snapToGrid w:val="0"/>
                <w:lang w:eastAsia="en-US"/>
              </w:rPr>
              <w:t>or other</w:t>
            </w:r>
            <w:r>
              <w:rPr>
                <w:rFonts w:ascii="Arial Narrow" w:hAnsi="Arial Narrow"/>
                <w:snapToGrid w:val="0"/>
                <w:lang w:eastAsia="en-US"/>
              </w:rPr>
              <w:t xml:space="preserve"> symptoms meeting 2015 IPND criteria for testing</w:t>
            </w:r>
          </w:p>
        </w:tc>
        <w:tc>
          <w:tcPr>
            <w:tcW w:w="787" w:type="pct"/>
            <w:tcBorders>
              <w:top w:val="single" w:sz="4" w:space="0" w:color="auto"/>
            </w:tcBorders>
            <w:shd w:val="clear" w:color="auto" w:fill="auto"/>
          </w:tcPr>
          <w:p w14:paraId="4571B8A2" w14:textId="77777777" w:rsidR="003B6EE7" w:rsidRPr="00185185" w:rsidRDefault="00185185" w:rsidP="005B13BC">
            <w:pPr>
              <w:spacing w:after="0"/>
              <w:contextualSpacing/>
              <w:jc w:val="left"/>
              <w:rPr>
                <w:rFonts w:ascii="Arial Narrow" w:hAnsi="Arial Narrow"/>
                <w:snapToGrid w:val="0"/>
                <w:lang w:eastAsia="en-US"/>
              </w:rPr>
            </w:pPr>
            <w:r>
              <w:rPr>
                <w:rFonts w:ascii="Arial Narrow" w:hAnsi="Arial Narrow"/>
                <w:snapToGrid w:val="0"/>
                <w:lang w:eastAsia="en-US"/>
              </w:rPr>
              <w:t>73/170 (43)</w:t>
            </w:r>
            <w:r>
              <w:rPr>
                <w:rFonts w:ascii="Arial Narrow" w:hAnsi="Arial Narrow"/>
                <w:snapToGrid w:val="0"/>
                <w:vertAlign w:val="superscript"/>
                <w:lang w:eastAsia="en-US"/>
              </w:rPr>
              <w:t>a</w:t>
            </w:r>
          </w:p>
        </w:tc>
        <w:tc>
          <w:tcPr>
            <w:tcW w:w="786" w:type="pct"/>
            <w:tcBorders>
              <w:top w:val="single" w:sz="4" w:space="0" w:color="auto"/>
            </w:tcBorders>
            <w:shd w:val="clear" w:color="auto" w:fill="auto"/>
          </w:tcPr>
          <w:p w14:paraId="36C50667" w14:textId="77777777" w:rsidR="003B6EE7" w:rsidRPr="005B13BC" w:rsidRDefault="00185185" w:rsidP="005B13BC">
            <w:pPr>
              <w:spacing w:after="0"/>
              <w:contextualSpacing/>
              <w:jc w:val="left"/>
              <w:rPr>
                <w:rFonts w:ascii="Arial Narrow" w:hAnsi="Arial Narrow"/>
                <w:snapToGrid w:val="0"/>
                <w:lang w:eastAsia="en-US"/>
              </w:rPr>
            </w:pPr>
            <w:r>
              <w:rPr>
                <w:rFonts w:ascii="Arial Narrow" w:hAnsi="Arial Narrow"/>
                <w:snapToGrid w:val="0"/>
                <w:lang w:eastAsia="en-US"/>
              </w:rPr>
              <w:t>97/170 (57)</w:t>
            </w:r>
          </w:p>
        </w:tc>
        <w:tc>
          <w:tcPr>
            <w:tcW w:w="786" w:type="pct"/>
            <w:tcBorders>
              <w:top w:val="single" w:sz="4" w:space="0" w:color="auto"/>
            </w:tcBorders>
            <w:shd w:val="clear" w:color="auto" w:fill="auto"/>
          </w:tcPr>
          <w:p w14:paraId="3F93784E" w14:textId="77777777" w:rsidR="003B6EE7" w:rsidRPr="005B13BC" w:rsidRDefault="00185185" w:rsidP="005B13BC">
            <w:pPr>
              <w:spacing w:after="0"/>
              <w:contextualSpacing/>
              <w:jc w:val="left"/>
              <w:rPr>
                <w:rFonts w:ascii="Arial Narrow" w:hAnsi="Arial Narrow"/>
                <w:snapToGrid w:val="0"/>
                <w:lang w:eastAsia="en-US"/>
              </w:rPr>
            </w:pPr>
            <w:r>
              <w:rPr>
                <w:rFonts w:ascii="Arial Narrow" w:hAnsi="Arial Narrow"/>
                <w:snapToGrid w:val="0"/>
                <w:lang w:eastAsia="en-US"/>
              </w:rPr>
              <w:t>NR</w:t>
            </w:r>
          </w:p>
        </w:tc>
        <w:tc>
          <w:tcPr>
            <w:tcW w:w="993" w:type="pct"/>
            <w:tcBorders>
              <w:top w:val="single" w:sz="4" w:space="0" w:color="auto"/>
            </w:tcBorders>
          </w:tcPr>
          <w:p w14:paraId="177B2ED7" w14:textId="77777777" w:rsidR="003B6EE7" w:rsidRPr="005B13BC" w:rsidRDefault="00185185" w:rsidP="005B13BC">
            <w:pPr>
              <w:spacing w:after="0"/>
              <w:contextualSpacing/>
              <w:jc w:val="left"/>
              <w:rPr>
                <w:rFonts w:ascii="Arial Narrow" w:hAnsi="Arial Narrow"/>
                <w:snapToGrid w:val="0"/>
                <w:lang w:eastAsia="en-US"/>
              </w:rPr>
            </w:pPr>
            <w:r>
              <w:rPr>
                <w:rFonts w:ascii="Arial Narrow" w:hAnsi="Arial Narrow"/>
                <w:snapToGrid w:val="0"/>
                <w:lang w:eastAsia="en-US"/>
              </w:rPr>
              <w:t>NR</w:t>
            </w:r>
          </w:p>
        </w:tc>
      </w:tr>
      <w:tr w:rsidR="00594400" w:rsidRPr="005B13BC" w14:paraId="604CA65D" w14:textId="77777777" w:rsidTr="0003367F">
        <w:tc>
          <w:tcPr>
            <w:tcW w:w="784" w:type="pct"/>
            <w:tcBorders>
              <w:top w:val="single" w:sz="4" w:space="0" w:color="auto"/>
            </w:tcBorders>
            <w:shd w:val="clear" w:color="auto" w:fill="auto"/>
          </w:tcPr>
          <w:p w14:paraId="5ACC82BA"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Kang et al. 2019</w:t>
            </w:r>
          </w:p>
          <w:p w14:paraId="72C000E5"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 = 51</w:t>
            </w:r>
          </w:p>
          <w:p w14:paraId="4AEF3D8A"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N = 58 controls</w:t>
            </w:r>
          </w:p>
        </w:tc>
        <w:tc>
          <w:tcPr>
            <w:tcW w:w="865" w:type="pct"/>
            <w:tcBorders>
              <w:top w:val="single" w:sz="4" w:space="0" w:color="auto"/>
            </w:tcBorders>
            <w:shd w:val="clear" w:color="auto" w:fill="auto"/>
          </w:tcPr>
          <w:p w14:paraId="5718A3C9"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Patients with simultaneous BON</w:t>
            </w:r>
          </w:p>
        </w:tc>
        <w:tc>
          <w:tcPr>
            <w:tcW w:w="787" w:type="pct"/>
            <w:tcBorders>
              <w:top w:val="single" w:sz="4" w:space="0" w:color="auto"/>
            </w:tcBorders>
            <w:shd w:val="clear" w:color="auto" w:fill="auto"/>
          </w:tcPr>
          <w:p w14:paraId="675028E3"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20/51 (39)</w:t>
            </w:r>
          </w:p>
        </w:tc>
        <w:tc>
          <w:tcPr>
            <w:tcW w:w="786" w:type="pct"/>
            <w:tcBorders>
              <w:top w:val="single" w:sz="4" w:space="0" w:color="auto"/>
            </w:tcBorders>
            <w:shd w:val="clear" w:color="auto" w:fill="auto"/>
          </w:tcPr>
          <w:p w14:paraId="093D88A0"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31/51 (61)</w:t>
            </w:r>
          </w:p>
        </w:tc>
        <w:tc>
          <w:tcPr>
            <w:tcW w:w="786" w:type="pct"/>
            <w:tcBorders>
              <w:top w:val="single" w:sz="4" w:space="0" w:color="auto"/>
            </w:tcBorders>
            <w:shd w:val="clear" w:color="auto" w:fill="auto"/>
          </w:tcPr>
          <w:p w14:paraId="18AF14C7"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8/51 (16)</w:t>
            </w:r>
          </w:p>
          <w:p w14:paraId="0FBCE80B" w14:textId="77777777" w:rsidR="00594400" w:rsidRPr="005B13BC" w:rsidRDefault="00594400" w:rsidP="003816F6">
            <w:pPr>
              <w:numPr>
                <w:ilvl w:val="0"/>
                <w:numId w:val="40"/>
              </w:numPr>
              <w:spacing w:after="0"/>
              <w:ind w:left="188"/>
              <w:contextualSpacing/>
              <w:jc w:val="left"/>
              <w:rPr>
                <w:rFonts w:ascii="Arial Narrow" w:hAnsi="Arial Narrow"/>
                <w:snapToGrid w:val="0"/>
                <w:lang w:eastAsia="en-US"/>
              </w:rPr>
            </w:pPr>
            <w:r w:rsidRPr="005B13BC">
              <w:rPr>
                <w:rFonts w:ascii="Arial Narrow" w:hAnsi="Arial Narrow"/>
                <w:snapToGrid w:val="0"/>
                <w:lang w:eastAsia="en-US"/>
              </w:rPr>
              <w:t>8/31 (26) in AQP4 –ve</w:t>
            </w:r>
          </w:p>
        </w:tc>
        <w:tc>
          <w:tcPr>
            <w:tcW w:w="993" w:type="pct"/>
            <w:tcBorders>
              <w:top w:val="single" w:sz="4" w:space="0" w:color="auto"/>
            </w:tcBorders>
          </w:tcPr>
          <w:p w14:paraId="5D1EA7FD"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23/51 (45)</w:t>
            </w:r>
          </w:p>
          <w:p w14:paraId="7C1F8560" w14:textId="77777777" w:rsidR="00594400" w:rsidRPr="005B13BC" w:rsidRDefault="00594400" w:rsidP="005B13BC">
            <w:pPr>
              <w:spacing w:after="0"/>
              <w:contextualSpacing/>
              <w:jc w:val="left"/>
              <w:rPr>
                <w:rFonts w:ascii="Arial Narrow" w:hAnsi="Arial Narrow"/>
                <w:snapToGrid w:val="0"/>
                <w:lang w:eastAsia="en-US"/>
              </w:rPr>
            </w:pPr>
          </w:p>
        </w:tc>
      </w:tr>
      <w:tr w:rsidR="00594400" w:rsidRPr="005B13BC" w14:paraId="6A34DD0D" w14:textId="77777777" w:rsidTr="0003367F">
        <w:tc>
          <w:tcPr>
            <w:tcW w:w="784" w:type="pct"/>
            <w:tcBorders>
              <w:top w:val="single" w:sz="4" w:space="0" w:color="auto"/>
            </w:tcBorders>
            <w:shd w:val="clear" w:color="auto" w:fill="auto"/>
          </w:tcPr>
          <w:p w14:paraId="77972C9A"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Contentti et al. 2017</w:t>
            </w:r>
          </w:p>
          <w:p w14:paraId="7D970295"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N = 30</w:t>
            </w:r>
          </w:p>
        </w:tc>
        <w:tc>
          <w:tcPr>
            <w:tcW w:w="865" w:type="pct"/>
            <w:tcBorders>
              <w:top w:val="single" w:sz="4" w:space="0" w:color="auto"/>
            </w:tcBorders>
            <w:shd w:val="clear" w:color="auto" w:fill="auto"/>
          </w:tcPr>
          <w:p w14:paraId="254B0B09"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Patients with LETM</w:t>
            </w:r>
          </w:p>
        </w:tc>
        <w:tc>
          <w:tcPr>
            <w:tcW w:w="787" w:type="pct"/>
            <w:tcBorders>
              <w:top w:val="single" w:sz="4" w:space="0" w:color="auto"/>
            </w:tcBorders>
            <w:shd w:val="clear" w:color="auto" w:fill="auto"/>
          </w:tcPr>
          <w:p w14:paraId="4AF32A51"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9/30 (30)</w:t>
            </w:r>
          </w:p>
        </w:tc>
        <w:tc>
          <w:tcPr>
            <w:tcW w:w="786" w:type="pct"/>
            <w:tcBorders>
              <w:top w:val="single" w:sz="4" w:space="0" w:color="auto"/>
            </w:tcBorders>
            <w:shd w:val="clear" w:color="auto" w:fill="auto"/>
          </w:tcPr>
          <w:p w14:paraId="6DAB3B4B"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21/30 (70)</w:t>
            </w:r>
          </w:p>
        </w:tc>
        <w:tc>
          <w:tcPr>
            <w:tcW w:w="786" w:type="pct"/>
            <w:tcBorders>
              <w:top w:val="single" w:sz="4" w:space="0" w:color="auto"/>
            </w:tcBorders>
            <w:shd w:val="clear" w:color="auto" w:fill="auto"/>
          </w:tcPr>
          <w:p w14:paraId="5D0E8C3A"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NR</w:t>
            </w:r>
          </w:p>
        </w:tc>
        <w:tc>
          <w:tcPr>
            <w:tcW w:w="993" w:type="pct"/>
            <w:tcBorders>
              <w:top w:val="single" w:sz="4" w:space="0" w:color="auto"/>
            </w:tcBorders>
          </w:tcPr>
          <w:p w14:paraId="12268123"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NR</w:t>
            </w:r>
          </w:p>
        </w:tc>
      </w:tr>
      <w:tr w:rsidR="00594400" w:rsidRPr="005B13BC" w14:paraId="60DE5235" w14:textId="77777777" w:rsidTr="0003367F">
        <w:tc>
          <w:tcPr>
            <w:tcW w:w="784" w:type="pct"/>
            <w:shd w:val="clear" w:color="auto" w:fill="auto"/>
          </w:tcPr>
          <w:p w14:paraId="0911248D"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Jain et al. 2016</w:t>
            </w:r>
          </w:p>
          <w:p w14:paraId="71B3ED1E" w14:textId="77777777" w:rsidR="00594400" w:rsidRPr="005B13BC" w:rsidRDefault="00594400" w:rsidP="00204EC1">
            <w:pPr>
              <w:spacing w:after="0"/>
              <w:contextualSpacing/>
              <w:jc w:val="left"/>
              <w:rPr>
                <w:rFonts w:ascii="Arial Narrow" w:hAnsi="Arial Narrow"/>
                <w:snapToGrid w:val="0"/>
                <w:lang w:eastAsia="en-US"/>
              </w:rPr>
            </w:pPr>
            <w:r w:rsidRPr="005B13BC">
              <w:rPr>
                <w:rFonts w:ascii="Arial Narrow" w:hAnsi="Arial Narrow"/>
                <w:snapToGrid w:val="0"/>
                <w:lang w:eastAsia="en-US"/>
              </w:rPr>
              <w:t>N = 64</w:t>
            </w:r>
          </w:p>
        </w:tc>
        <w:tc>
          <w:tcPr>
            <w:tcW w:w="865" w:type="pct"/>
            <w:tcBorders>
              <w:top w:val="single" w:sz="4" w:space="0" w:color="auto"/>
            </w:tcBorders>
            <w:shd w:val="clear" w:color="auto" w:fill="auto"/>
          </w:tcPr>
          <w:p w14:paraId="1E9C8512"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Patients with LETM</w:t>
            </w:r>
          </w:p>
        </w:tc>
        <w:tc>
          <w:tcPr>
            <w:tcW w:w="787" w:type="pct"/>
            <w:tcBorders>
              <w:top w:val="single" w:sz="4" w:space="0" w:color="auto"/>
            </w:tcBorders>
            <w:shd w:val="clear" w:color="auto" w:fill="auto"/>
          </w:tcPr>
          <w:p w14:paraId="75A9D00A"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13/64</w:t>
            </w:r>
            <w:r w:rsidRPr="005B13BC">
              <w:rPr>
                <w:rFonts w:ascii="Arial Narrow" w:hAnsi="Arial Narrow"/>
                <w:snapToGrid w:val="0"/>
                <w:vertAlign w:val="superscript"/>
                <w:lang w:eastAsia="en-US"/>
              </w:rPr>
              <w:t>a</w:t>
            </w:r>
            <w:r w:rsidRPr="005B13BC">
              <w:rPr>
                <w:rFonts w:ascii="Arial Narrow" w:hAnsi="Arial Narrow"/>
                <w:snapToGrid w:val="0"/>
                <w:lang w:eastAsia="en-US"/>
              </w:rPr>
              <w:t xml:space="preserve"> (20.31)</w:t>
            </w:r>
          </w:p>
        </w:tc>
        <w:tc>
          <w:tcPr>
            <w:tcW w:w="786" w:type="pct"/>
            <w:tcBorders>
              <w:top w:val="single" w:sz="4" w:space="0" w:color="auto"/>
            </w:tcBorders>
            <w:shd w:val="clear" w:color="auto" w:fill="auto"/>
          </w:tcPr>
          <w:p w14:paraId="0E9EFAEF" w14:textId="77777777" w:rsidR="00594400" w:rsidRPr="005B13BC" w:rsidRDefault="00594400" w:rsidP="00185185">
            <w:pPr>
              <w:spacing w:after="0"/>
              <w:contextualSpacing/>
              <w:jc w:val="left"/>
              <w:rPr>
                <w:rFonts w:ascii="Arial Narrow" w:hAnsi="Arial Narrow"/>
                <w:snapToGrid w:val="0"/>
                <w:lang w:eastAsia="en-US"/>
              </w:rPr>
            </w:pPr>
            <w:r w:rsidRPr="005B13BC">
              <w:rPr>
                <w:rFonts w:ascii="Arial Narrow" w:hAnsi="Arial Narrow"/>
                <w:snapToGrid w:val="0"/>
                <w:lang w:eastAsia="en-US"/>
              </w:rPr>
              <w:t>5/64</w:t>
            </w:r>
            <w:r w:rsidR="00185185">
              <w:rPr>
                <w:rFonts w:ascii="Arial Narrow" w:hAnsi="Arial Narrow"/>
                <w:snapToGrid w:val="0"/>
                <w:vertAlign w:val="superscript"/>
                <w:lang w:eastAsia="en-US"/>
              </w:rPr>
              <w:t>b</w:t>
            </w:r>
            <w:r w:rsidRPr="005B13BC">
              <w:rPr>
                <w:rFonts w:ascii="Arial Narrow" w:hAnsi="Arial Narrow"/>
                <w:snapToGrid w:val="0"/>
                <w:lang w:eastAsia="en-US"/>
              </w:rPr>
              <w:t xml:space="preserve"> (7.8)</w:t>
            </w:r>
          </w:p>
        </w:tc>
        <w:tc>
          <w:tcPr>
            <w:tcW w:w="786" w:type="pct"/>
            <w:tcBorders>
              <w:top w:val="single" w:sz="4" w:space="0" w:color="auto"/>
            </w:tcBorders>
            <w:shd w:val="clear" w:color="auto" w:fill="auto"/>
          </w:tcPr>
          <w:p w14:paraId="040D5A80"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NR</w:t>
            </w:r>
          </w:p>
        </w:tc>
        <w:tc>
          <w:tcPr>
            <w:tcW w:w="993" w:type="pct"/>
            <w:tcBorders>
              <w:top w:val="single" w:sz="4" w:space="0" w:color="auto"/>
            </w:tcBorders>
          </w:tcPr>
          <w:p w14:paraId="0F559268"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NR</w:t>
            </w:r>
          </w:p>
        </w:tc>
      </w:tr>
      <w:tr w:rsidR="00594400" w:rsidRPr="005B13BC" w14:paraId="0E468FF8" w14:textId="77777777" w:rsidTr="0003367F">
        <w:tc>
          <w:tcPr>
            <w:tcW w:w="784" w:type="pct"/>
            <w:tcBorders>
              <w:top w:val="single" w:sz="4" w:space="0" w:color="auto"/>
            </w:tcBorders>
            <w:shd w:val="clear" w:color="auto" w:fill="auto"/>
          </w:tcPr>
          <w:p w14:paraId="4C049E75"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Contentti et al. 2019</w:t>
            </w:r>
          </w:p>
          <w:p w14:paraId="683FDB39"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 = 57</w:t>
            </w:r>
          </w:p>
        </w:tc>
        <w:tc>
          <w:tcPr>
            <w:tcW w:w="865" w:type="pct"/>
            <w:tcBorders>
              <w:top w:val="single" w:sz="4" w:space="0" w:color="auto"/>
            </w:tcBorders>
            <w:shd w:val="clear" w:color="auto" w:fill="auto"/>
          </w:tcPr>
          <w:p w14:paraId="74CA090C"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Adults with first episode of ON</w:t>
            </w:r>
          </w:p>
        </w:tc>
        <w:tc>
          <w:tcPr>
            <w:tcW w:w="787" w:type="pct"/>
            <w:tcBorders>
              <w:top w:val="single" w:sz="4" w:space="0" w:color="auto"/>
            </w:tcBorders>
            <w:shd w:val="clear" w:color="auto" w:fill="auto"/>
          </w:tcPr>
          <w:p w14:paraId="05CA0E6B"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17/57 (29.8)</w:t>
            </w:r>
          </w:p>
        </w:tc>
        <w:tc>
          <w:tcPr>
            <w:tcW w:w="786" w:type="pct"/>
            <w:tcBorders>
              <w:top w:val="single" w:sz="4" w:space="0" w:color="auto"/>
            </w:tcBorders>
            <w:shd w:val="clear" w:color="auto" w:fill="auto"/>
          </w:tcPr>
          <w:p w14:paraId="3397D87E"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40/57 (70.2)</w:t>
            </w:r>
          </w:p>
        </w:tc>
        <w:tc>
          <w:tcPr>
            <w:tcW w:w="786" w:type="pct"/>
            <w:tcBorders>
              <w:top w:val="single" w:sz="4" w:space="0" w:color="auto"/>
            </w:tcBorders>
            <w:shd w:val="clear" w:color="auto" w:fill="auto"/>
          </w:tcPr>
          <w:p w14:paraId="63592766"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NR</w:t>
            </w:r>
          </w:p>
        </w:tc>
        <w:tc>
          <w:tcPr>
            <w:tcW w:w="993" w:type="pct"/>
            <w:tcBorders>
              <w:top w:val="single" w:sz="4" w:space="0" w:color="auto"/>
            </w:tcBorders>
          </w:tcPr>
          <w:p w14:paraId="6E4954C9"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NR</w:t>
            </w:r>
          </w:p>
        </w:tc>
      </w:tr>
      <w:tr w:rsidR="00594400" w:rsidRPr="005B13BC" w14:paraId="372394F8" w14:textId="77777777" w:rsidTr="0003367F">
        <w:tc>
          <w:tcPr>
            <w:tcW w:w="784" w:type="pct"/>
            <w:tcBorders>
              <w:top w:val="single" w:sz="4" w:space="0" w:color="auto"/>
            </w:tcBorders>
            <w:shd w:val="clear" w:color="auto" w:fill="auto"/>
          </w:tcPr>
          <w:p w14:paraId="440DD4C4"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Liu et al. 2019</w:t>
            </w:r>
          </w:p>
          <w:p w14:paraId="61A83B78"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 = 158</w:t>
            </w:r>
          </w:p>
        </w:tc>
        <w:tc>
          <w:tcPr>
            <w:tcW w:w="865" w:type="pct"/>
            <w:tcBorders>
              <w:top w:val="single" w:sz="4" w:space="0" w:color="auto"/>
            </w:tcBorders>
            <w:shd w:val="clear" w:color="auto" w:fill="auto"/>
          </w:tcPr>
          <w:p w14:paraId="0DFE4363"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Adults with ON</w:t>
            </w:r>
          </w:p>
        </w:tc>
        <w:tc>
          <w:tcPr>
            <w:tcW w:w="787" w:type="pct"/>
            <w:tcBorders>
              <w:top w:val="single" w:sz="4" w:space="0" w:color="auto"/>
            </w:tcBorders>
            <w:shd w:val="clear" w:color="auto" w:fill="auto"/>
          </w:tcPr>
          <w:p w14:paraId="6E6BE9CE"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67/158 (42.4)</w:t>
            </w:r>
          </w:p>
        </w:tc>
        <w:tc>
          <w:tcPr>
            <w:tcW w:w="786" w:type="pct"/>
            <w:tcBorders>
              <w:top w:val="single" w:sz="4" w:space="0" w:color="auto"/>
            </w:tcBorders>
            <w:shd w:val="clear" w:color="auto" w:fill="auto"/>
          </w:tcPr>
          <w:p w14:paraId="3CF5708F"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91/158 (57.6)</w:t>
            </w:r>
          </w:p>
        </w:tc>
        <w:tc>
          <w:tcPr>
            <w:tcW w:w="786" w:type="pct"/>
            <w:tcBorders>
              <w:top w:val="single" w:sz="4" w:space="0" w:color="auto"/>
            </w:tcBorders>
            <w:shd w:val="clear" w:color="auto" w:fill="auto"/>
          </w:tcPr>
          <w:p w14:paraId="2EEBE701"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31/157 (19.6)</w:t>
            </w:r>
          </w:p>
        </w:tc>
        <w:tc>
          <w:tcPr>
            <w:tcW w:w="993" w:type="pct"/>
            <w:tcBorders>
              <w:top w:val="single" w:sz="4" w:space="0" w:color="auto"/>
            </w:tcBorders>
          </w:tcPr>
          <w:p w14:paraId="2B09EF06"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60/157 (38.0)</w:t>
            </w:r>
          </w:p>
        </w:tc>
      </w:tr>
      <w:tr w:rsidR="00594400" w:rsidRPr="005B13BC" w14:paraId="0DE81685" w14:textId="77777777" w:rsidTr="0003367F">
        <w:tc>
          <w:tcPr>
            <w:tcW w:w="784" w:type="pct"/>
            <w:tcBorders>
              <w:top w:val="single" w:sz="4" w:space="0" w:color="auto"/>
            </w:tcBorders>
            <w:shd w:val="clear" w:color="auto" w:fill="auto"/>
          </w:tcPr>
          <w:p w14:paraId="6B16B520"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Chen et al. 2018</w:t>
            </w:r>
          </w:p>
          <w:p w14:paraId="612F6DF5"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 = 75</w:t>
            </w:r>
          </w:p>
        </w:tc>
        <w:tc>
          <w:tcPr>
            <w:tcW w:w="865" w:type="pct"/>
            <w:tcBorders>
              <w:top w:val="single" w:sz="4" w:space="0" w:color="auto"/>
            </w:tcBorders>
            <w:shd w:val="clear" w:color="auto" w:fill="auto"/>
          </w:tcPr>
          <w:p w14:paraId="739A280B"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Children with acute onset ON</w:t>
            </w:r>
          </w:p>
        </w:tc>
        <w:tc>
          <w:tcPr>
            <w:tcW w:w="787" w:type="pct"/>
            <w:tcBorders>
              <w:top w:val="single" w:sz="4" w:space="0" w:color="auto"/>
            </w:tcBorders>
            <w:shd w:val="clear" w:color="auto" w:fill="auto"/>
          </w:tcPr>
          <w:p w14:paraId="7BFF183E"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12/75 (16)</w:t>
            </w:r>
          </w:p>
        </w:tc>
        <w:tc>
          <w:tcPr>
            <w:tcW w:w="786" w:type="pct"/>
            <w:tcBorders>
              <w:top w:val="single" w:sz="4" w:space="0" w:color="auto"/>
            </w:tcBorders>
            <w:shd w:val="clear" w:color="auto" w:fill="auto"/>
          </w:tcPr>
          <w:p w14:paraId="0451F23F"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63/75 (84)</w:t>
            </w:r>
          </w:p>
        </w:tc>
        <w:tc>
          <w:tcPr>
            <w:tcW w:w="786" w:type="pct"/>
            <w:tcBorders>
              <w:top w:val="single" w:sz="4" w:space="0" w:color="auto"/>
            </w:tcBorders>
            <w:shd w:val="clear" w:color="auto" w:fill="auto"/>
          </w:tcPr>
          <w:p w14:paraId="56C707C5"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10/75 (13.3)</w:t>
            </w:r>
          </w:p>
        </w:tc>
        <w:tc>
          <w:tcPr>
            <w:tcW w:w="993" w:type="pct"/>
            <w:tcBorders>
              <w:top w:val="single" w:sz="4" w:space="0" w:color="auto"/>
            </w:tcBorders>
          </w:tcPr>
          <w:p w14:paraId="2C81E2D7"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53/75 (70.7)</w:t>
            </w:r>
          </w:p>
        </w:tc>
      </w:tr>
    </w:tbl>
    <w:p w14:paraId="1BB49993" w14:textId="77777777" w:rsidR="005B13BC" w:rsidRPr="005B13BC" w:rsidRDefault="005B13BC" w:rsidP="005B13BC">
      <w:pPr>
        <w:widowControl w:val="0"/>
        <w:spacing w:after="120" w:line="240" w:lineRule="auto"/>
        <w:contextualSpacing/>
        <w:jc w:val="left"/>
        <w:rPr>
          <w:rFonts w:ascii="Arial Narrow" w:hAnsi="Arial Narrow" w:cs="Arial"/>
          <w:snapToGrid w:val="0"/>
          <w:sz w:val="18"/>
          <w:szCs w:val="20"/>
          <w:lang w:eastAsia="en-US"/>
        </w:rPr>
      </w:pPr>
      <w:r w:rsidRPr="005B13BC">
        <w:rPr>
          <w:rFonts w:ascii="Arial Narrow" w:hAnsi="Arial Narrow" w:cs="Arial"/>
          <w:snapToGrid w:val="0"/>
          <w:sz w:val="18"/>
          <w:szCs w:val="20"/>
          <w:lang w:eastAsia="en-US"/>
        </w:rPr>
        <w:t>AQP4-Ab = aquaporin 4 antibodies; BON = bilateral optic neuritis; LETM = longitudinally extensive transverse myelitis; MOG-Ab = myelin oligodendrocyte glycoprotein antibodies; NMOSD = neuromyelitis optica spectrum disorders. NR = not reported; ON = optic neuritis;</w:t>
      </w:r>
    </w:p>
    <w:p w14:paraId="7A746B26" w14:textId="77777777" w:rsidR="00185185" w:rsidRPr="00C01F8A" w:rsidRDefault="00185185" w:rsidP="005B13BC">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a</w:t>
      </w:r>
      <w:r>
        <w:rPr>
          <w:rFonts w:ascii="Arial Narrow" w:hAnsi="Arial Narrow" w:cs="Arial"/>
          <w:snapToGrid w:val="0"/>
          <w:sz w:val="18"/>
          <w:szCs w:val="20"/>
          <w:lang w:eastAsia="en-US"/>
        </w:rPr>
        <w:t xml:space="preserve"> 81 of 170 cases were confirmed to have NMOSD</w:t>
      </w:r>
    </w:p>
    <w:p w14:paraId="5F3F8D55" w14:textId="77777777" w:rsidR="005B13BC" w:rsidRPr="005B13BC" w:rsidRDefault="00185185" w:rsidP="00E742E4">
      <w:pPr>
        <w:widowControl w:val="0"/>
        <w:spacing w:after="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b</w:t>
      </w:r>
      <w:r w:rsidR="005B13BC" w:rsidRPr="005B13BC">
        <w:rPr>
          <w:rFonts w:ascii="Arial Narrow" w:hAnsi="Arial Narrow" w:cs="Arial"/>
          <w:snapToGrid w:val="0"/>
          <w:sz w:val="18"/>
          <w:szCs w:val="20"/>
          <w:vertAlign w:val="superscript"/>
          <w:lang w:eastAsia="en-US"/>
        </w:rPr>
        <w:t xml:space="preserve"> </w:t>
      </w:r>
      <w:r w:rsidR="005B13BC" w:rsidRPr="005B13BC">
        <w:rPr>
          <w:rFonts w:ascii="Arial Narrow" w:hAnsi="Arial Narrow" w:cs="Arial"/>
          <w:snapToGrid w:val="0"/>
          <w:sz w:val="18"/>
          <w:szCs w:val="20"/>
          <w:lang w:eastAsia="en-US"/>
        </w:rPr>
        <w:t>serostatus not available for 3 patients</w:t>
      </w:r>
    </w:p>
    <w:p w14:paraId="241DF1E3" w14:textId="77777777" w:rsidR="005B13BC" w:rsidRDefault="005B13BC" w:rsidP="00E742E4">
      <w:pPr>
        <w:pStyle w:val="Tablenotes0"/>
      </w:pPr>
    </w:p>
    <w:p w14:paraId="2BD55C8B" w14:textId="2C23D9A0" w:rsidR="00715C28" w:rsidRDefault="00715C28" w:rsidP="00715C28">
      <w:r w:rsidRPr="005B13BC">
        <w:t xml:space="preserve">Diagnostic yield from AQP4-Ab and MOG-Ab testing in </w:t>
      </w:r>
      <w:r w:rsidR="0073506B">
        <w:t xml:space="preserve">all </w:t>
      </w:r>
      <w:r w:rsidRPr="005B13BC">
        <w:t>patients</w:t>
      </w:r>
      <w:r>
        <w:t>, adults and children</w:t>
      </w:r>
      <w:r w:rsidRPr="005B13BC">
        <w:t xml:space="preserve"> with or suspected of having NMO or NMOSD is displayed in </w:t>
      </w:r>
      <w:r w:rsidRPr="005B13BC">
        <w:fldChar w:fldCharType="begin"/>
      </w:r>
      <w:r w:rsidRPr="005B13BC">
        <w:instrText xml:space="preserve"> REF _Ref27753457 \h </w:instrText>
      </w:r>
      <w:r w:rsidR="00204EC1">
        <w:instrText xml:space="preserve"> \* MERGEFORMAT </w:instrText>
      </w:r>
      <w:r w:rsidRPr="005B13BC">
        <w:fldChar w:fldCharType="separate"/>
      </w:r>
      <w:r w:rsidR="00857D5B" w:rsidRPr="005B13BC">
        <w:t xml:space="preserve">Table </w:t>
      </w:r>
      <w:r w:rsidR="00857D5B">
        <w:t>25</w:t>
      </w:r>
      <w:r w:rsidRPr="005B13BC">
        <w:fldChar w:fldCharType="end"/>
      </w:r>
      <w:r w:rsidRPr="005B13BC">
        <w:t xml:space="preserve">. The number of subjects in the included studies ranged from 14 to </w:t>
      </w:r>
      <w:r>
        <w:t>243</w:t>
      </w:r>
      <w:r w:rsidRPr="005B13BC">
        <w:t xml:space="preserve">. </w:t>
      </w:r>
    </w:p>
    <w:p w14:paraId="108741C3" w14:textId="2FF27F80" w:rsidR="003637B4" w:rsidRDefault="00715C28" w:rsidP="003637B4">
      <w:r>
        <w:t xml:space="preserve">For studies that included </w:t>
      </w:r>
      <w:r w:rsidR="0073506B">
        <w:t xml:space="preserve">all </w:t>
      </w:r>
      <w:r>
        <w:t>patients, the diagnostic yield for serum positive AQP4-Ab diagnosed with NMOSD ranged from 57% to 89%.</w:t>
      </w:r>
      <w:r w:rsidRPr="003A15DA">
        <w:t xml:space="preserve"> </w:t>
      </w:r>
      <w:r>
        <w:t xml:space="preserve">Of those patients who tested negative for AQP4-Ab, between 0% and 29% tested positive for MOG-Ab. Between 7% and 22% of patients were negative for both AQP4 and MOG antibodies. One study </w:t>
      </w:r>
      <w:r w:rsidR="00156621">
        <w:fldChar w:fldCharType="begin">
          <w:fldData xml:space="preserve">PEVuZE5vdGU+PENpdGU+PEF1dGhvcj5QYXBhaXMtQWx2YXJlbmdhPC9BdXRob3I+PFllYXI+MjAx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</w:fldData>
        </w:fldChar>
      </w:r>
      <w:r w:rsidR="00D96694">
        <w:instrText xml:space="preserve"> ADDIN EN.CITE </w:instrText>
      </w:r>
      <w:r w:rsidR="00D96694">
        <w:fldChar w:fldCharType="begin">
          <w:fldData xml:space="preserve">PEVuZE5vdGU+PENpdGU+PEF1dGhvcj5QYXBhaXMtQWx2YXJlbmdhPC9BdXRob3I+PFllYXI+MjAx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</w:fldData>
        </w:fldChar>
      </w:r>
      <w:r w:rsidR="00D96694">
        <w:instrText xml:space="preserve"> ADDIN EN.CITE.DATA </w:instrText>
      </w:r>
      <w:r w:rsidR="00D96694">
        <w:fldChar w:fldCharType="end"/>
      </w:r>
      <w:r w:rsidR="00156621">
        <w:fldChar w:fldCharType="separate"/>
      </w:r>
      <w:r w:rsidR="00156621">
        <w:rPr>
          <w:noProof/>
        </w:rPr>
        <w:t>(Papais-Alvarenga et al. 2018)</w:t>
      </w:r>
      <w:r w:rsidR="00156621">
        <w:fldChar w:fldCharType="end"/>
      </w:r>
      <w:r>
        <w:t xml:space="preserve"> reported that for adults with NMO, or at high risk of conversion to NMO, there was a higher yield for AQP4-Ab based on the 2015 (67%) versus 2006 (40.9%) Wingerchuk diagnostic criteria. For those testing positive for MOG-Ab, there were also differences based on the Wingerchuk criteria (0% 2015 criteria versus 7.4% 2006 criteria). In children with NMOSD, between 58 and 69% of children were AQP4-Ab negative, and between 39 and 83% positive to MOG-Ab.</w:t>
      </w:r>
      <w:r w:rsidR="003637B4">
        <w:br w:type="page"/>
      </w:r>
    </w:p>
    <w:p w14:paraId="09A0E6A9" w14:textId="47B7BD8E" w:rsidR="005B13BC" w:rsidRPr="005B13BC" w:rsidRDefault="005B13BC" w:rsidP="00A87AE2">
      <w:pPr>
        <w:pStyle w:val="TableHeading"/>
      </w:pPr>
      <w:bookmarkStart w:id="236" w:name="_Ref27753457"/>
      <w:bookmarkStart w:id="237" w:name="_Toc39580806"/>
      <w:r w:rsidRPr="005B13BC">
        <w:lastRenderedPageBreak/>
        <w:t xml:space="preserve">Table </w:t>
      </w:r>
      <w:r w:rsidRPr="005B13BC">
        <w:fldChar w:fldCharType="begin"/>
      </w:r>
      <w:r w:rsidRPr="005B13BC">
        <w:instrText xml:space="preserve"> SEQ Table \* ARABIC </w:instrText>
      </w:r>
      <w:r w:rsidRPr="005B13BC">
        <w:fldChar w:fldCharType="separate"/>
      </w:r>
      <w:r w:rsidR="00FA7BCD">
        <w:rPr>
          <w:noProof/>
        </w:rPr>
        <w:t>25</w:t>
      </w:r>
      <w:r w:rsidRPr="005B13BC">
        <w:rPr>
          <w:noProof/>
        </w:rPr>
        <w:fldChar w:fldCharType="end"/>
      </w:r>
      <w:bookmarkEnd w:id="236"/>
      <w:r w:rsidRPr="005B13BC">
        <w:tab/>
        <w:t>Diagnostic yield for AQP4-Ab and MOG-Ab in patients and adults with NMO or NMOSD</w:t>
      </w:r>
      <w:bookmarkEnd w:id="237"/>
    </w:p>
    <w:tbl>
      <w:tblPr>
        <w:tblStyle w:val="TableGrid1"/>
        <w:tblW w:w="5000" w:type="pct"/>
        <w:tblCellMar>
          <w:left w:w="28" w:type="dxa"/>
          <w:right w:w="28" w:type="dxa"/>
        </w:tblCellMar>
        <w:tblLook w:val="04A0" w:firstRow="1" w:lastRow="0" w:firstColumn="1" w:lastColumn="0" w:noHBand="0" w:noVBand="1"/>
        <w:tblCaption w:val="Table 25 Diagnostic yield for AQP4-Ab and MOG-Ab in patients and adults with NMO or NMOSD"/>
        <w:tblDescription w:val="Diangostic yield data for AQP4-Ab and MOG-Ab testing"/>
      </w:tblPr>
      <w:tblGrid>
        <w:gridCol w:w="1281"/>
        <w:gridCol w:w="1552"/>
        <w:gridCol w:w="1417"/>
        <w:gridCol w:w="1416"/>
        <w:gridCol w:w="1700"/>
        <w:gridCol w:w="1650"/>
      </w:tblGrid>
      <w:tr w:rsidR="00594400" w:rsidRPr="005B13BC" w14:paraId="4AA05F6E" w14:textId="77777777" w:rsidTr="00594400">
        <w:trPr>
          <w:cnfStyle w:val="100000000000" w:firstRow="1" w:lastRow="0" w:firstColumn="0" w:lastColumn="0" w:oddVBand="0" w:evenVBand="0" w:oddHBand="0" w:evenHBand="0" w:firstRowFirstColumn="0" w:firstRowLastColumn="0" w:lastRowFirstColumn="0" w:lastRowLastColumn="0"/>
          <w:tblHeader/>
        </w:trPr>
        <w:tc>
          <w:tcPr>
            <w:tcW w:w="710" w:type="pct"/>
            <w:tcBorders>
              <w:bottom w:val="single" w:sz="4" w:space="0" w:color="auto"/>
            </w:tcBorders>
            <w:shd w:val="clear" w:color="auto" w:fill="auto"/>
          </w:tcPr>
          <w:p w14:paraId="7CBD8C2D"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Study</w:t>
            </w:r>
          </w:p>
          <w:p w14:paraId="0EB78FB0" w14:textId="77777777" w:rsidR="00594400" w:rsidRPr="005B13BC" w:rsidRDefault="00594400" w:rsidP="005B13BC">
            <w:pPr>
              <w:keepNext/>
              <w:spacing w:after="0"/>
              <w:contextualSpacing/>
              <w:jc w:val="left"/>
              <w:rPr>
                <w:rFonts w:ascii="Arial Narrow" w:hAnsi="Arial Narrow"/>
                <w:b/>
                <w:snapToGrid w:val="0"/>
                <w:lang w:eastAsia="en-US"/>
              </w:rPr>
            </w:pPr>
            <w:r>
              <w:rPr>
                <w:rFonts w:ascii="Arial Narrow" w:hAnsi="Arial Narrow"/>
                <w:b/>
                <w:snapToGrid w:val="0"/>
                <w:lang w:eastAsia="en-US"/>
              </w:rPr>
              <w:t>P</w:t>
            </w:r>
            <w:r w:rsidRPr="005B13BC">
              <w:rPr>
                <w:rFonts w:ascii="Arial Narrow" w:hAnsi="Arial Narrow"/>
                <w:b/>
                <w:snapToGrid w:val="0"/>
                <w:lang w:eastAsia="en-US"/>
              </w:rPr>
              <w:t>atients (N)</w:t>
            </w:r>
          </w:p>
        </w:tc>
        <w:tc>
          <w:tcPr>
            <w:tcW w:w="860" w:type="pct"/>
            <w:tcBorders>
              <w:bottom w:val="single" w:sz="4" w:space="0" w:color="auto"/>
            </w:tcBorders>
            <w:shd w:val="clear" w:color="auto" w:fill="auto"/>
          </w:tcPr>
          <w:p w14:paraId="331017CC"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 xml:space="preserve">Population </w:t>
            </w:r>
          </w:p>
        </w:tc>
        <w:tc>
          <w:tcPr>
            <w:tcW w:w="786" w:type="pct"/>
          </w:tcPr>
          <w:p w14:paraId="0B6DC42E"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AQP4-Ab +ve (%)</w:t>
            </w:r>
          </w:p>
        </w:tc>
        <w:tc>
          <w:tcPr>
            <w:tcW w:w="785" w:type="pct"/>
            <w:shd w:val="clear" w:color="auto" w:fill="auto"/>
          </w:tcPr>
          <w:p w14:paraId="0D0BCEBD"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AQP4-Ab –ve (%)</w:t>
            </w:r>
          </w:p>
        </w:tc>
        <w:tc>
          <w:tcPr>
            <w:tcW w:w="943" w:type="pct"/>
            <w:shd w:val="clear" w:color="auto" w:fill="auto"/>
          </w:tcPr>
          <w:p w14:paraId="1906DAB7"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MOG-Ab +ve (%)</w:t>
            </w:r>
          </w:p>
        </w:tc>
        <w:tc>
          <w:tcPr>
            <w:tcW w:w="915" w:type="pct"/>
          </w:tcPr>
          <w:p w14:paraId="37015ED8" w14:textId="77777777" w:rsidR="00594400" w:rsidRPr="005B13BC" w:rsidRDefault="00594400" w:rsidP="005B13BC">
            <w:pPr>
              <w:keepNext/>
              <w:spacing w:after="0"/>
              <w:contextualSpacing/>
              <w:jc w:val="left"/>
              <w:rPr>
                <w:rFonts w:ascii="Arial Narrow" w:hAnsi="Arial Narrow"/>
                <w:b/>
                <w:snapToGrid w:val="0"/>
                <w:lang w:eastAsia="en-US"/>
              </w:rPr>
            </w:pPr>
            <w:r w:rsidRPr="005B13BC">
              <w:rPr>
                <w:rFonts w:ascii="Arial Narrow" w:hAnsi="Arial Narrow"/>
                <w:b/>
                <w:snapToGrid w:val="0"/>
                <w:lang w:eastAsia="en-US"/>
              </w:rPr>
              <w:t>Double -ve for AQP4 and MOG Ab (%)</w:t>
            </w:r>
          </w:p>
        </w:tc>
      </w:tr>
      <w:tr w:rsidR="00594400" w:rsidRPr="005B13BC" w14:paraId="74613326" w14:textId="77777777" w:rsidTr="00594400">
        <w:tc>
          <w:tcPr>
            <w:tcW w:w="710" w:type="pct"/>
            <w:tcBorders>
              <w:top w:val="single" w:sz="4" w:space="0" w:color="auto"/>
            </w:tcBorders>
            <w:shd w:val="clear" w:color="auto" w:fill="auto"/>
          </w:tcPr>
          <w:p w14:paraId="0579EC6F"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Drulovic et al. 2019</w:t>
            </w:r>
          </w:p>
          <w:p w14:paraId="31702043"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 = 74</w:t>
            </w:r>
          </w:p>
        </w:tc>
        <w:tc>
          <w:tcPr>
            <w:tcW w:w="860" w:type="pct"/>
            <w:tcBorders>
              <w:top w:val="single" w:sz="4" w:space="0" w:color="auto"/>
            </w:tcBorders>
            <w:shd w:val="clear" w:color="auto" w:fill="auto"/>
          </w:tcPr>
          <w:p w14:paraId="35927E30"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Patients with NMOSD</w:t>
            </w:r>
          </w:p>
        </w:tc>
        <w:tc>
          <w:tcPr>
            <w:tcW w:w="786" w:type="pct"/>
            <w:tcBorders>
              <w:top w:val="single" w:sz="4" w:space="0" w:color="auto"/>
            </w:tcBorders>
            <w:shd w:val="clear" w:color="auto" w:fill="auto"/>
          </w:tcPr>
          <w:p w14:paraId="4FFFB4BA"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66/74 (89.2)</w:t>
            </w:r>
          </w:p>
        </w:tc>
        <w:tc>
          <w:tcPr>
            <w:tcW w:w="785" w:type="pct"/>
            <w:tcBorders>
              <w:top w:val="single" w:sz="4" w:space="0" w:color="auto"/>
            </w:tcBorders>
            <w:shd w:val="clear" w:color="auto" w:fill="auto"/>
          </w:tcPr>
          <w:p w14:paraId="1FC533BE"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7/74 (9.5)</w:t>
            </w:r>
          </w:p>
        </w:tc>
        <w:tc>
          <w:tcPr>
            <w:tcW w:w="943" w:type="pct"/>
            <w:tcBorders>
              <w:top w:val="single" w:sz="4" w:space="0" w:color="auto"/>
            </w:tcBorders>
            <w:shd w:val="clear" w:color="auto" w:fill="auto"/>
          </w:tcPr>
          <w:p w14:paraId="6B5EB046"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2/7 (28.6)</w:t>
            </w:r>
          </w:p>
        </w:tc>
        <w:tc>
          <w:tcPr>
            <w:tcW w:w="915" w:type="pct"/>
            <w:tcBorders>
              <w:top w:val="single" w:sz="4" w:space="0" w:color="auto"/>
            </w:tcBorders>
          </w:tcPr>
          <w:p w14:paraId="2A9D6CBC"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5/74 (6.8)</w:t>
            </w:r>
          </w:p>
        </w:tc>
      </w:tr>
      <w:tr w:rsidR="00594400" w:rsidRPr="005B13BC" w14:paraId="57C3DD2E" w14:textId="77777777" w:rsidTr="00594400">
        <w:tc>
          <w:tcPr>
            <w:tcW w:w="710" w:type="pct"/>
            <w:shd w:val="clear" w:color="auto" w:fill="auto"/>
          </w:tcPr>
          <w:p w14:paraId="4FF42440"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Houzen et al. 2017</w:t>
            </w:r>
          </w:p>
          <w:p w14:paraId="641F975F"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N = 14</w:t>
            </w:r>
          </w:p>
        </w:tc>
        <w:tc>
          <w:tcPr>
            <w:tcW w:w="860" w:type="pct"/>
            <w:tcBorders>
              <w:top w:val="single" w:sz="4" w:space="0" w:color="auto"/>
            </w:tcBorders>
            <w:shd w:val="clear" w:color="auto" w:fill="auto"/>
          </w:tcPr>
          <w:p w14:paraId="2AFEF579"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Patients with NMOSD</w:t>
            </w:r>
          </w:p>
        </w:tc>
        <w:tc>
          <w:tcPr>
            <w:tcW w:w="786" w:type="pct"/>
            <w:tcBorders>
              <w:top w:val="single" w:sz="4" w:space="0" w:color="auto"/>
            </w:tcBorders>
            <w:shd w:val="clear" w:color="auto" w:fill="auto"/>
          </w:tcPr>
          <w:p w14:paraId="121BF442"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11/14 (78.6)</w:t>
            </w:r>
          </w:p>
        </w:tc>
        <w:tc>
          <w:tcPr>
            <w:tcW w:w="785" w:type="pct"/>
            <w:tcBorders>
              <w:top w:val="single" w:sz="4" w:space="0" w:color="auto"/>
            </w:tcBorders>
            <w:shd w:val="clear" w:color="auto" w:fill="auto"/>
          </w:tcPr>
          <w:p w14:paraId="55763E86"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3/14 (21.4)</w:t>
            </w:r>
          </w:p>
        </w:tc>
        <w:tc>
          <w:tcPr>
            <w:tcW w:w="943" w:type="pct"/>
            <w:tcBorders>
              <w:top w:val="single" w:sz="4" w:space="0" w:color="auto"/>
            </w:tcBorders>
            <w:shd w:val="clear" w:color="auto" w:fill="auto"/>
          </w:tcPr>
          <w:p w14:paraId="34497D83"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0/14 (0)</w:t>
            </w:r>
          </w:p>
        </w:tc>
        <w:tc>
          <w:tcPr>
            <w:tcW w:w="915" w:type="pct"/>
            <w:tcBorders>
              <w:top w:val="single" w:sz="4" w:space="0" w:color="auto"/>
            </w:tcBorders>
          </w:tcPr>
          <w:p w14:paraId="0260D479" w14:textId="77777777" w:rsidR="00594400" w:rsidRPr="005B13BC" w:rsidRDefault="00594400" w:rsidP="005B13BC">
            <w:pPr>
              <w:spacing w:after="0"/>
              <w:contextualSpacing/>
              <w:jc w:val="left"/>
              <w:rPr>
                <w:rFonts w:ascii="Arial Narrow" w:hAnsi="Arial Narrow"/>
                <w:snapToGrid w:val="0"/>
                <w:lang w:eastAsia="en-US"/>
              </w:rPr>
            </w:pPr>
            <w:r w:rsidRPr="005B13BC">
              <w:rPr>
                <w:rFonts w:ascii="Arial Narrow" w:hAnsi="Arial Narrow"/>
                <w:snapToGrid w:val="0"/>
                <w:lang w:eastAsia="en-US"/>
              </w:rPr>
              <w:t>3/14 (21.4)</w:t>
            </w:r>
          </w:p>
        </w:tc>
      </w:tr>
      <w:tr w:rsidR="00594400" w:rsidRPr="005B13BC" w14:paraId="444A9684" w14:textId="77777777" w:rsidTr="00594400">
        <w:tc>
          <w:tcPr>
            <w:tcW w:w="710" w:type="pct"/>
            <w:shd w:val="clear" w:color="auto" w:fill="auto"/>
          </w:tcPr>
          <w:p w14:paraId="10090289"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Hyun et al. 2017</w:t>
            </w:r>
          </w:p>
          <w:p w14:paraId="44B2FD90"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 xml:space="preserve">N = </w:t>
            </w:r>
            <w:r>
              <w:rPr>
                <w:rFonts w:ascii="Arial Narrow" w:hAnsi="Arial Narrow"/>
                <w:snapToGrid w:val="0"/>
                <w:lang w:eastAsia="en-US"/>
              </w:rPr>
              <w:t>243</w:t>
            </w:r>
          </w:p>
        </w:tc>
        <w:tc>
          <w:tcPr>
            <w:tcW w:w="860" w:type="pct"/>
            <w:tcBorders>
              <w:top w:val="single" w:sz="4" w:space="0" w:color="auto"/>
            </w:tcBorders>
            <w:shd w:val="clear" w:color="auto" w:fill="auto"/>
          </w:tcPr>
          <w:p w14:paraId="21B65535"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Patients with NMOSD</w:t>
            </w:r>
          </w:p>
        </w:tc>
        <w:tc>
          <w:tcPr>
            <w:tcW w:w="786" w:type="pct"/>
            <w:tcBorders>
              <w:top w:val="single" w:sz="4" w:space="0" w:color="auto"/>
            </w:tcBorders>
            <w:shd w:val="clear" w:color="auto" w:fill="auto"/>
          </w:tcPr>
          <w:p w14:paraId="6AEF8833"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212 (87.2)</w:t>
            </w:r>
          </w:p>
        </w:tc>
        <w:tc>
          <w:tcPr>
            <w:tcW w:w="785" w:type="pct"/>
            <w:tcBorders>
              <w:top w:val="single" w:sz="4" w:space="0" w:color="auto"/>
            </w:tcBorders>
            <w:shd w:val="clear" w:color="auto" w:fill="auto"/>
          </w:tcPr>
          <w:p w14:paraId="02490457"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31 (12.8)</w:t>
            </w:r>
          </w:p>
        </w:tc>
        <w:tc>
          <w:tcPr>
            <w:tcW w:w="943" w:type="pct"/>
            <w:tcBorders>
              <w:top w:val="single" w:sz="4" w:space="0" w:color="auto"/>
            </w:tcBorders>
            <w:shd w:val="clear" w:color="auto" w:fill="auto"/>
          </w:tcPr>
          <w:p w14:paraId="4638422A" w14:textId="77777777" w:rsidR="00594400"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10 (4.1)</w:t>
            </w:r>
          </w:p>
          <w:p w14:paraId="774F26D0" w14:textId="77777777" w:rsidR="00594400" w:rsidRPr="005B13BC" w:rsidRDefault="00594400" w:rsidP="003816F6">
            <w:pPr>
              <w:numPr>
                <w:ilvl w:val="0"/>
                <w:numId w:val="40"/>
              </w:numPr>
              <w:spacing w:after="0"/>
              <w:ind w:left="188"/>
              <w:contextualSpacing/>
              <w:jc w:val="left"/>
              <w:rPr>
                <w:rFonts w:ascii="Arial Narrow" w:hAnsi="Arial Narrow"/>
                <w:snapToGrid w:val="0"/>
                <w:lang w:eastAsia="en-US"/>
              </w:rPr>
            </w:pPr>
            <w:r w:rsidRPr="005B13BC">
              <w:rPr>
                <w:rFonts w:ascii="Arial Narrow" w:hAnsi="Arial Narrow"/>
                <w:snapToGrid w:val="0"/>
                <w:lang w:eastAsia="en-US"/>
              </w:rPr>
              <w:t>1/212 (0.5)</w:t>
            </w:r>
            <w:r>
              <w:rPr>
                <w:rFonts w:ascii="Arial Narrow" w:hAnsi="Arial Narrow"/>
                <w:snapToGrid w:val="0"/>
                <w:lang w:eastAsia="en-US"/>
              </w:rPr>
              <w:t xml:space="preserve"> </w:t>
            </w:r>
            <w:r w:rsidRPr="005B13BC">
              <w:rPr>
                <w:rFonts w:ascii="Arial Narrow" w:hAnsi="Arial Narrow"/>
                <w:snapToGrid w:val="0"/>
                <w:lang w:eastAsia="en-US"/>
              </w:rPr>
              <w:t>AQP4+ve</w:t>
            </w:r>
          </w:p>
          <w:p w14:paraId="3290FD70" w14:textId="77777777" w:rsidR="00594400" w:rsidRPr="005B13BC" w:rsidRDefault="00594400" w:rsidP="003816F6">
            <w:pPr>
              <w:numPr>
                <w:ilvl w:val="0"/>
                <w:numId w:val="40"/>
              </w:numPr>
              <w:spacing w:after="0"/>
              <w:ind w:left="188"/>
              <w:contextualSpacing/>
              <w:jc w:val="left"/>
              <w:rPr>
                <w:rFonts w:ascii="Arial Narrow" w:hAnsi="Arial Narrow"/>
                <w:snapToGrid w:val="0"/>
                <w:lang w:eastAsia="en-US"/>
              </w:rPr>
            </w:pPr>
            <w:r w:rsidRPr="005B13BC">
              <w:rPr>
                <w:rFonts w:ascii="Arial Narrow" w:hAnsi="Arial Narrow"/>
                <w:snapToGrid w:val="0"/>
                <w:lang w:eastAsia="en-US"/>
              </w:rPr>
              <w:t>9/31 (29) AQP4-ve</w:t>
            </w:r>
          </w:p>
        </w:tc>
        <w:tc>
          <w:tcPr>
            <w:tcW w:w="915" w:type="pct"/>
            <w:tcBorders>
              <w:top w:val="single" w:sz="4" w:space="0" w:color="auto"/>
            </w:tcBorders>
          </w:tcPr>
          <w:p w14:paraId="7F577F89"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53 (21.8)</w:t>
            </w:r>
          </w:p>
          <w:p w14:paraId="5AC4A068" w14:textId="77777777" w:rsidR="00594400" w:rsidRPr="005B13BC" w:rsidRDefault="00594400" w:rsidP="00715C28">
            <w:pPr>
              <w:spacing w:after="0"/>
              <w:contextualSpacing/>
              <w:jc w:val="left"/>
              <w:rPr>
                <w:rFonts w:ascii="Arial Narrow" w:hAnsi="Arial Narrow"/>
                <w:snapToGrid w:val="0"/>
                <w:lang w:eastAsia="en-US"/>
              </w:rPr>
            </w:pPr>
          </w:p>
        </w:tc>
      </w:tr>
      <w:tr w:rsidR="00594400" w:rsidRPr="005B13BC" w14:paraId="717381C4" w14:textId="77777777" w:rsidTr="00594400">
        <w:tc>
          <w:tcPr>
            <w:tcW w:w="710" w:type="pct"/>
            <w:tcBorders>
              <w:top w:val="single" w:sz="4" w:space="0" w:color="auto"/>
              <w:bottom w:val="single" w:sz="4" w:space="0" w:color="auto"/>
            </w:tcBorders>
            <w:shd w:val="clear" w:color="auto" w:fill="auto"/>
          </w:tcPr>
          <w:p w14:paraId="7C7D0C88"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Papais-Alvarenga et al. 2015</w:t>
            </w:r>
          </w:p>
          <w:p w14:paraId="6456C1A7" w14:textId="77777777" w:rsidR="00594400" w:rsidRPr="005B13BC" w:rsidRDefault="00594400" w:rsidP="00A72A51">
            <w:pPr>
              <w:spacing w:after="0"/>
              <w:contextualSpacing/>
              <w:jc w:val="left"/>
              <w:rPr>
                <w:rFonts w:ascii="Arial Narrow" w:hAnsi="Arial Narrow"/>
                <w:snapToGrid w:val="0"/>
                <w:lang w:eastAsia="en-US"/>
              </w:rPr>
            </w:pPr>
            <w:r>
              <w:rPr>
                <w:rFonts w:ascii="Arial Narrow" w:hAnsi="Arial Narrow"/>
                <w:snapToGrid w:val="0"/>
                <w:lang w:eastAsia="en-US"/>
              </w:rPr>
              <w:t>N = 200</w:t>
            </w:r>
          </w:p>
        </w:tc>
        <w:tc>
          <w:tcPr>
            <w:tcW w:w="860" w:type="pct"/>
            <w:shd w:val="clear" w:color="auto" w:fill="auto"/>
          </w:tcPr>
          <w:p w14:paraId="6F50146F"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Patients with NMO/NMOSD</w:t>
            </w:r>
          </w:p>
        </w:tc>
        <w:tc>
          <w:tcPr>
            <w:tcW w:w="786" w:type="pct"/>
            <w:shd w:val="clear" w:color="auto" w:fill="auto"/>
          </w:tcPr>
          <w:p w14:paraId="6E2CCE52"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113 (56.5)</w:t>
            </w:r>
          </w:p>
        </w:tc>
        <w:tc>
          <w:tcPr>
            <w:tcW w:w="785" w:type="pct"/>
            <w:shd w:val="clear" w:color="auto" w:fill="auto"/>
          </w:tcPr>
          <w:p w14:paraId="47F4247D"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87 (43.5)</w:t>
            </w:r>
          </w:p>
        </w:tc>
        <w:tc>
          <w:tcPr>
            <w:tcW w:w="943" w:type="pct"/>
            <w:shd w:val="clear" w:color="auto" w:fill="auto"/>
          </w:tcPr>
          <w:p w14:paraId="7C289D42"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NR</w:t>
            </w:r>
          </w:p>
        </w:tc>
        <w:tc>
          <w:tcPr>
            <w:tcW w:w="915" w:type="pct"/>
          </w:tcPr>
          <w:p w14:paraId="3D25E29D"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NR</w:t>
            </w:r>
          </w:p>
        </w:tc>
      </w:tr>
      <w:tr w:rsidR="00594400" w:rsidRPr="005B13BC" w14:paraId="46991AFB" w14:textId="77777777" w:rsidTr="00594400">
        <w:tc>
          <w:tcPr>
            <w:tcW w:w="710" w:type="pct"/>
            <w:tcBorders>
              <w:top w:val="single" w:sz="4" w:space="0" w:color="auto"/>
              <w:bottom w:val="single" w:sz="4" w:space="0" w:color="auto"/>
            </w:tcBorders>
            <w:shd w:val="clear" w:color="auto" w:fill="auto"/>
          </w:tcPr>
          <w:p w14:paraId="77462925"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Papais-Alvarenga et al. 2018</w:t>
            </w:r>
          </w:p>
          <w:p w14:paraId="59A574D7" w14:textId="77777777" w:rsidR="00594400" w:rsidRPr="005B13BC" w:rsidRDefault="00594400" w:rsidP="00715C28">
            <w:pPr>
              <w:spacing w:after="0"/>
              <w:contextualSpacing/>
              <w:jc w:val="left"/>
              <w:rPr>
                <w:rFonts w:ascii="Arial Narrow" w:hAnsi="Arial Narrow"/>
                <w:snapToGrid w:val="0"/>
                <w:vertAlign w:val="superscript"/>
                <w:lang w:eastAsia="en-US"/>
              </w:rPr>
            </w:pPr>
            <w:r w:rsidRPr="005B13BC">
              <w:rPr>
                <w:rFonts w:ascii="Arial Narrow" w:hAnsi="Arial Narrow"/>
                <w:snapToGrid w:val="0"/>
                <w:lang w:eastAsia="en-US"/>
              </w:rPr>
              <w:t>N = 115</w:t>
            </w:r>
            <w:r w:rsidRPr="005B13BC">
              <w:rPr>
                <w:rFonts w:ascii="Arial Narrow" w:hAnsi="Arial Narrow"/>
                <w:snapToGrid w:val="0"/>
                <w:vertAlign w:val="superscript"/>
                <w:lang w:eastAsia="en-US"/>
              </w:rPr>
              <w:t>a</w:t>
            </w:r>
          </w:p>
        </w:tc>
        <w:tc>
          <w:tcPr>
            <w:tcW w:w="860" w:type="pct"/>
            <w:shd w:val="clear" w:color="auto" w:fill="auto"/>
          </w:tcPr>
          <w:p w14:paraId="3B803472"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Adults with NMO and HR-NMO</w:t>
            </w:r>
            <w:r w:rsidRPr="005B13BC">
              <w:rPr>
                <w:rFonts w:ascii="Arial Narrow" w:hAnsi="Arial Narrow"/>
                <w:snapToGrid w:val="0"/>
                <w:vertAlign w:val="superscript"/>
                <w:lang w:eastAsia="en-US"/>
              </w:rPr>
              <w:t>b</w:t>
            </w:r>
          </w:p>
        </w:tc>
        <w:tc>
          <w:tcPr>
            <w:tcW w:w="786" w:type="pct"/>
            <w:shd w:val="clear" w:color="auto" w:fill="auto"/>
          </w:tcPr>
          <w:p w14:paraId="4068D92C" w14:textId="77777777" w:rsidR="00594400" w:rsidRPr="005B13BC" w:rsidRDefault="00594400" w:rsidP="00715C28">
            <w:pPr>
              <w:spacing w:after="0"/>
              <w:contextualSpacing/>
              <w:jc w:val="left"/>
              <w:rPr>
                <w:rFonts w:ascii="Arial Narrow" w:hAnsi="Arial Narrow"/>
                <w:snapToGrid w:val="0"/>
                <w:vertAlign w:val="superscript"/>
                <w:lang w:eastAsia="en-US"/>
              </w:rPr>
            </w:pPr>
            <w:r w:rsidRPr="005B13BC">
              <w:rPr>
                <w:rFonts w:ascii="Arial Narrow" w:hAnsi="Arial Narrow"/>
                <w:snapToGrid w:val="0"/>
                <w:lang w:eastAsia="en-US"/>
              </w:rPr>
              <w:t>47/115 (40.9)</w:t>
            </w:r>
            <w:r w:rsidRPr="005B13BC">
              <w:rPr>
                <w:rFonts w:ascii="Arial Narrow" w:hAnsi="Arial Narrow"/>
                <w:snapToGrid w:val="0"/>
                <w:vertAlign w:val="superscript"/>
                <w:lang w:eastAsia="en-US"/>
              </w:rPr>
              <w:t>c</w:t>
            </w:r>
          </w:p>
          <w:p w14:paraId="11604C12"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47/70 (67.1)</w:t>
            </w:r>
            <w:r w:rsidRPr="005B13BC">
              <w:rPr>
                <w:rFonts w:ascii="Arial Narrow" w:hAnsi="Arial Narrow"/>
                <w:snapToGrid w:val="0"/>
                <w:vertAlign w:val="superscript"/>
                <w:lang w:eastAsia="en-US"/>
              </w:rPr>
              <w:t>d</w:t>
            </w:r>
          </w:p>
        </w:tc>
        <w:tc>
          <w:tcPr>
            <w:tcW w:w="785" w:type="pct"/>
            <w:shd w:val="clear" w:color="auto" w:fill="auto"/>
          </w:tcPr>
          <w:p w14:paraId="36531546" w14:textId="77777777" w:rsidR="00594400" w:rsidRPr="005B13BC" w:rsidRDefault="00594400" w:rsidP="00715C28">
            <w:pPr>
              <w:spacing w:after="0"/>
              <w:contextualSpacing/>
              <w:jc w:val="left"/>
              <w:rPr>
                <w:rFonts w:ascii="Arial Narrow" w:hAnsi="Arial Narrow"/>
                <w:snapToGrid w:val="0"/>
                <w:vertAlign w:val="superscript"/>
                <w:lang w:eastAsia="en-US"/>
              </w:rPr>
            </w:pPr>
            <w:r w:rsidRPr="005B13BC">
              <w:rPr>
                <w:rFonts w:ascii="Arial Narrow" w:hAnsi="Arial Narrow"/>
                <w:snapToGrid w:val="0"/>
                <w:lang w:eastAsia="en-US"/>
              </w:rPr>
              <w:t>68/115 (59.1)</w:t>
            </w:r>
            <w:r w:rsidRPr="005B13BC">
              <w:rPr>
                <w:rFonts w:ascii="Arial Narrow" w:hAnsi="Arial Narrow"/>
                <w:snapToGrid w:val="0"/>
                <w:vertAlign w:val="superscript"/>
                <w:lang w:eastAsia="en-US"/>
              </w:rPr>
              <w:t>c</w:t>
            </w:r>
          </w:p>
          <w:p w14:paraId="2C63E3E4"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23/70 (32.9)</w:t>
            </w:r>
            <w:r w:rsidRPr="005B13BC">
              <w:rPr>
                <w:rFonts w:ascii="Arial Narrow" w:hAnsi="Arial Narrow"/>
                <w:snapToGrid w:val="0"/>
                <w:vertAlign w:val="superscript"/>
                <w:lang w:eastAsia="en-US"/>
              </w:rPr>
              <w:t>d</w:t>
            </w:r>
          </w:p>
        </w:tc>
        <w:tc>
          <w:tcPr>
            <w:tcW w:w="943" w:type="pct"/>
            <w:shd w:val="clear" w:color="auto" w:fill="auto"/>
          </w:tcPr>
          <w:p w14:paraId="0F2A63EB"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AQP4-Ab–ve</w:t>
            </w:r>
          </w:p>
          <w:p w14:paraId="6847E9C9" w14:textId="77777777" w:rsidR="00594400" w:rsidRPr="005B13BC" w:rsidRDefault="00594400" w:rsidP="003816F6">
            <w:pPr>
              <w:numPr>
                <w:ilvl w:val="0"/>
                <w:numId w:val="40"/>
              </w:numPr>
              <w:spacing w:after="0"/>
              <w:ind w:left="188"/>
              <w:contextualSpacing/>
              <w:jc w:val="left"/>
              <w:rPr>
                <w:rFonts w:ascii="Arial Narrow" w:hAnsi="Arial Narrow"/>
                <w:snapToGrid w:val="0"/>
                <w:vertAlign w:val="superscript"/>
                <w:lang w:eastAsia="en-US"/>
              </w:rPr>
            </w:pPr>
            <w:r w:rsidRPr="005B13BC">
              <w:rPr>
                <w:rFonts w:ascii="Arial Narrow" w:hAnsi="Arial Narrow"/>
                <w:snapToGrid w:val="0"/>
                <w:lang w:eastAsia="en-US"/>
              </w:rPr>
              <w:t>5/68 (7.4)</w:t>
            </w:r>
            <w:r w:rsidRPr="005B13BC">
              <w:rPr>
                <w:rFonts w:ascii="Arial Narrow" w:hAnsi="Arial Narrow"/>
                <w:snapToGrid w:val="0"/>
                <w:vertAlign w:val="superscript"/>
                <w:lang w:eastAsia="en-US"/>
              </w:rPr>
              <w:t>c</w:t>
            </w:r>
          </w:p>
          <w:p w14:paraId="29E0C5CC" w14:textId="77777777" w:rsidR="00594400" w:rsidRPr="005B13BC" w:rsidRDefault="00594400" w:rsidP="003816F6">
            <w:pPr>
              <w:numPr>
                <w:ilvl w:val="0"/>
                <w:numId w:val="40"/>
              </w:numPr>
              <w:spacing w:after="0"/>
              <w:ind w:left="188"/>
              <w:contextualSpacing/>
              <w:jc w:val="left"/>
              <w:rPr>
                <w:rFonts w:ascii="Arial Narrow" w:hAnsi="Arial Narrow"/>
                <w:snapToGrid w:val="0"/>
                <w:lang w:eastAsia="en-US"/>
              </w:rPr>
            </w:pPr>
            <w:r w:rsidRPr="005B13BC">
              <w:rPr>
                <w:rFonts w:ascii="Arial Narrow" w:hAnsi="Arial Narrow"/>
                <w:snapToGrid w:val="0"/>
                <w:lang w:eastAsia="en-US"/>
              </w:rPr>
              <w:t>0/70 (0)</w:t>
            </w:r>
            <w:r w:rsidRPr="009F244F">
              <w:rPr>
                <w:rFonts w:ascii="Arial Narrow" w:hAnsi="Arial Narrow"/>
                <w:snapToGrid w:val="0"/>
                <w:vertAlign w:val="superscript"/>
                <w:lang w:eastAsia="en-US"/>
              </w:rPr>
              <w:t>d</w:t>
            </w:r>
          </w:p>
        </w:tc>
        <w:tc>
          <w:tcPr>
            <w:tcW w:w="915" w:type="pct"/>
          </w:tcPr>
          <w:p w14:paraId="2F10EDAA" w14:textId="77777777" w:rsidR="00594400" w:rsidRPr="005B13BC" w:rsidRDefault="00594400" w:rsidP="00715C28">
            <w:pPr>
              <w:spacing w:after="0"/>
              <w:contextualSpacing/>
              <w:jc w:val="left"/>
              <w:rPr>
                <w:rFonts w:ascii="Arial Narrow" w:hAnsi="Arial Narrow"/>
                <w:snapToGrid w:val="0"/>
                <w:vertAlign w:val="superscript"/>
                <w:lang w:eastAsia="en-US"/>
              </w:rPr>
            </w:pPr>
            <w:r w:rsidRPr="005B13BC">
              <w:rPr>
                <w:rFonts w:ascii="Arial Narrow" w:hAnsi="Arial Narrow"/>
                <w:snapToGrid w:val="0"/>
                <w:lang w:eastAsia="en-US"/>
              </w:rPr>
              <w:t>63/115 (54.8)</w:t>
            </w:r>
            <w:r w:rsidRPr="005B13BC">
              <w:rPr>
                <w:rFonts w:ascii="Arial Narrow" w:hAnsi="Arial Narrow"/>
                <w:snapToGrid w:val="0"/>
                <w:vertAlign w:val="superscript"/>
                <w:lang w:eastAsia="en-US"/>
              </w:rPr>
              <w:t>c</w:t>
            </w:r>
          </w:p>
          <w:p w14:paraId="377A6255" w14:textId="77777777" w:rsidR="00594400" w:rsidRPr="005B13BC" w:rsidRDefault="00594400" w:rsidP="00715C28">
            <w:pPr>
              <w:spacing w:after="0"/>
              <w:contextualSpacing/>
              <w:jc w:val="left"/>
              <w:rPr>
                <w:rFonts w:ascii="Arial Narrow" w:hAnsi="Arial Narrow"/>
                <w:snapToGrid w:val="0"/>
                <w:vertAlign w:val="superscript"/>
                <w:lang w:eastAsia="en-US"/>
              </w:rPr>
            </w:pPr>
            <w:r w:rsidRPr="005B13BC">
              <w:rPr>
                <w:rFonts w:ascii="Arial Narrow" w:hAnsi="Arial Narrow"/>
                <w:snapToGrid w:val="0"/>
                <w:lang w:eastAsia="en-US"/>
              </w:rPr>
              <w:t>23/70 (32.9)</w:t>
            </w:r>
            <w:r w:rsidRPr="005B13BC">
              <w:rPr>
                <w:rFonts w:ascii="Arial Narrow" w:hAnsi="Arial Narrow"/>
                <w:snapToGrid w:val="0"/>
                <w:vertAlign w:val="superscript"/>
                <w:lang w:eastAsia="en-US"/>
              </w:rPr>
              <w:t>d</w:t>
            </w:r>
          </w:p>
          <w:p w14:paraId="6D1B2CF8" w14:textId="77777777" w:rsidR="00594400" w:rsidRPr="005B13BC" w:rsidRDefault="00594400" w:rsidP="00715C28">
            <w:pPr>
              <w:spacing w:after="0"/>
              <w:contextualSpacing/>
              <w:jc w:val="left"/>
              <w:rPr>
                <w:rFonts w:ascii="Arial Narrow" w:hAnsi="Arial Narrow"/>
                <w:snapToGrid w:val="0"/>
                <w:lang w:eastAsia="en-US"/>
              </w:rPr>
            </w:pPr>
          </w:p>
        </w:tc>
      </w:tr>
      <w:tr w:rsidR="00594400" w:rsidRPr="005B13BC" w14:paraId="4318F490" w14:textId="77777777" w:rsidTr="00594400">
        <w:tc>
          <w:tcPr>
            <w:tcW w:w="710" w:type="pct"/>
            <w:tcBorders>
              <w:top w:val="single" w:sz="4" w:space="0" w:color="auto"/>
              <w:bottom w:val="single" w:sz="4" w:space="0" w:color="auto"/>
            </w:tcBorders>
            <w:shd w:val="clear" w:color="auto" w:fill="auto"/>
          </w:tcPr>
          <w:p w14:paraId="7AACF6CE" w14:textId="77777777" w:rsidR="00594400"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Duignan et al. 2018</w:t>
            </w:r>
          </w:p>
          <w:p w14:paraId="5885450E"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N = 33</w:t>
            </w:r>
          </w:p>
        </w:tc>
        <w:tc>
          <w:tcPr>
            <w:tcW w:w="860" w:type="pct"/>
            <w:tcBorders>
              <w:top w:val="single" w:sz="4" w:space="0" w:color="auto"/>
              <w:bottom w:val="single" w:sz="4" w:space="0" w:color="auto"/>
            </w:tcBorders>
            <w:shd w:val="clear" w:color="auto" w:fill="auto"/>
          </w:tcPr>
          <w:p w14:paraId="0BB70C9F"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Children with NMOSD</w:t>
            </w:r>
          </w:p>
        </w:tc>
        <w:tc>
          <w:tcPr>
            <w:tcW w:w="786" w:type="pct"/>
            <w:tcBorders>
              <w:top w:val="single" w:sz="4" w:space="0" w:color="auto"/>
              <w:bottom w:val="single" w:sz="4" w:space="0" w:color="auto"/>
            </w:tcBorders>
            <w:shd w:val="clear" w:color="auto" w:fill="auto"/>
          </w:tcPr>
          <w:p w14:paraId="086BDDC5"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14 (42.4)</w:t>
            </w:r>
          </w:p>
        </w:tc>
        <w:tc>
          <w:tcPr>
            <w:tcW w:w="785" w:type="pct"/>
            <w:tcBorders>
              <w:top w:val="single" w:sz="4" w:space="0" w:color="auto"/>
              <w:bottom w:val="single" w:sz="4" w:space="0" w:color="auto"/>
            </w:tcBorders>
            <w:shd w:val="clear" w:color="auto" w:fill="auto"/>
          </w:tcPr>
          <w:p w14:paraId="2D279646"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19 (57.6)</w:t>
            </w:r>
          </w:p>
        </w:tc>
        <w:tc>
          <w:tcPr>
            <w:tcW w:w="943" w:type="pct"/>
            <w:tcBorders>
              <w:top w:val="single" w:sz="4" w:space="0" w:color="auto"/>
              <w:bottom w:val="single" w:sz="4" w:space="0" w:color="auto"/>
            </w:tcBorders>
            <w:shd w:val="clear" w:color="auto" w:fill="auto"/>
          </w:tcPr>
          <w:p w14:paraId="62BCCEC0"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13 (39.4)</w:t>
            </w:r>
          </w:p>
        </w:tc>
        <w:tc>
          <w:tcPr>
            <w:tcW w:w="915" w:type="pct"/>
            <w:tcBorders>
              <w:top w:val="single" w:sz="4" w:space="0" w:color="auto"/>
              <w:bottom w:val="single" w:sz="4" w:space="0" w:color="auto"/>
            </w:tcBorders>
          </w:tcPr>
          <w:p w14:paraId="005474FE"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6 (18.2)</w:t>
            </w:r>
          </w:p>
        </w:tc>
      </w:tr>
      <w:tr w:rsidR="00594400" w:rsidRPr="005B13BC" w14:paraId="54CE65D2" w14:textId="77777777" w:rsidTr="00594400">
        <w:tc>
          <w:tcPr>
            <w:tcW w:w="710" w:type="pct"/>
            <w:tcBorders>
              <w:top w:val="single" w:sz="4" w:space="0" w:color="auto"/>
            </w:tcBorders>
            <w:shd w:val="clear" w:color="auto" w:fill="auto"/>
          </w:tcPr>
          <w:p w14:paraId="2F6B0C4F" w14:textId="77777777" w:rsidR="00594400"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Hacohen et al. 2017</w:t>
            </w:r>
          </w:p>
          <w:p w14:paraId="38C40C50"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N = 28</w:t>
            </w:r>
          </w:p>
        </w:tc>
        <w:tc>
          <w:tcPr>
            <w:tcW w:w="860" w:type="pct"/>
            <w:tcBorders>
              <w:top w:val="single" w:sz="4" w:space="0" w:color="auto"/>
            </w:tcBorders>
            <w:shd w:val="clear" w:color="auto" w:fill="auto"/>
          </w:tcPr>
          <w:p w14:paraId="54193C31"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Children with NMOSD</w:t>
            </w:r>
          </w:p>
        </w:tc>
        <w:tc>
          <w:tcPr>
            <w:tcW w:w="786" w:type="pct"/>
            <w:tcBorders>
              <w:top w:val="single" w:sz="4" w:space="0" w:color="auto"/>
            </w:tcBorders>
            <w:shd w:val="clear" w:color="auto" w:fill="auto"/>
          </w:tcPr>
          <w:p w14:paraId="6727098D"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8/26</w:t>
            </w:r>
            <w:r w:rsidR="009F244F">
              <w:rPr>
                <w:rFonts w:ascii="Arial Narrow" w:hAnsi="Arial Narrow"/>
                <w:snapToGrid w:val="0"/>
                <w:vertAlign w:val="superscript"/>
                <w:lang w:eastAsia="en-US"/>
              </w:rPr>
              <w:t>e</w:t>
            </w:r>
            <w:r>
              <w:rPr>
                <w:rFonts w:ascii="Arial Narrow" w:hAnsi="Arial Narrow"/>
                <w:snapToGrid w:val="0"/>
                <w:lang w:eastAsia="en-US"/>
              </w:rPr>
              <w:t xml:space="preserve"> (30.7)</w:t>
            </w:r>
          </w:p>
        </w:tc>
        <w:tc>
          <w:tcPr>
            <w:tcW w:w="785" w:type="pct"/>
            <w:tcBorders>
              <w:top w:val="single" w:sz="4" w:space="0" w:color="auto"/>
            </w:tcBorders>
            <w:shd w:val="clear" w:color="auto" w:fill="auto"/>
          </w:tcPr>
          <w:p w14:paraId="5FA659AF" w14:textId="77777777" w:rsidR="00594400" w:rsidRPr="005B13BC"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18/26</w:t>
            </w:r>
            <w:r w:rsidR="009F244F">
              <w:rPr>
                <w:rFonts w:ascii="Arial Narrow" w:hAnsi="Arial Narrow"/>
                <w:snapToGrid w:val="0"/>
                <w:vertAlign w:val="superscript"/>
                <w:lang w:eastAsia="en-US"/>
              </w:rPr>
              <w:t>e</w:t>
            </w:r>
            <w:r>
              <w:rPr>
                <w:rFonts w:ascii="Arial Narrow" w:hAnsi="Arial Narrow"/>
                <w:snapToGrid w:val="0"/>
                <w:lang w:eastAsia="en-US"/>
              </w:rPr>
              <w:t xml:space="preserve"> (69.2)</w:t>
            </w:r>
          </w:p>
        </w:tc>
        <w:tc>
          <w:tcPr>
            <w:tcW w:w="943" w:type="pct"/>
            <w:tcBorders>
              <w:top w:val="single" w:sz="4" w:space="0" w:color="auto"/>
            </w:tcBorders>
            <w:shd w:val="clear" w:color="auto" w:fill="auto"/>
          </w:tcPr>
          <w:p w14:paraId="0BCB8B42" w14:textId="77777777" w:rsidR="00594400" w:rsidRDefault="00594400" w:rsidP="00715C28">
            <w:pPr>
              <w:spacing w:after="0"/>
              <w:contextualSpacing/>
              <w:jc w:val="left"/>
              <w:rPr>
                <w:rFonts w:ascii="Arial Narrow" w:hAnsi="Arial Narrow"/>
                <w:snapToGrid w:val="0"/>
                <w:lang w:eastAsia="en-US"/>
              </w:rPr>
            </w:pPr>
            <w:r>
              <w:rPr>
                <w:rFonts w:ascii="Arial Narrow" w:hAnsi="Arial Narrow"/>
                <w:snapToGrid w:val="0"/>
                <w:lang w:eastAsia="en-US"/>
              </w:rPr>
              <w:t>AQP4-Ab –ve</w:t>
            </w:r>
          </w:p>
          <w:p w14:paraId="1AAA200C"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 xml:space="preserve">15/18 (83.3) </w:t>
            </w:r>
          </w:p>
        </w:tc>
        <w:tc>
          <w:tcPr>
            <w:tcW w:w="915" w:type="pct"/>
            <w:tcBorders>
              <w:top w:val="single" w:sz="4" w:space="0" w:color="auto"/>
            </w:tcBorders>
          </w:tcPr>
          <w:p w14:paraId="0B9C2143" w14:textId="77777777" w:rsidR="00594400" w:rsidRPr="005B13BC" w:rsidRDefault="00594400" w:rsidP="00715C28">
            <w:pPr>
              <w:spacing w:after="0"/>
              <w:contextualSpacing/>
              <w:jc w:val="left"/>
              <w:rPr>
                <w:rFonts w:ascii="Arial Narrow" w:hAnsi="Arial Narrow"/>
                <w:snapToGrid w:val="0"/>
                <w:lang w:eastAsia="en-US"/>
              </w:rPr>
            </w:pPr>
            <w:r w:rsidRPr="005B13BC">
              <w:rPr>
                <w:rFonts w:ascii="Arial Narrow" w:hAnsi="Arial Narrow"/>
                <w:snapToGrid w:val="0"/>
                <w:lang w:eastAsia="en-US"/>
              </w:rPr>
              <w:t>3/26</w:t>
            </w:r>
            <w:r w:rsidR="009F244F">
              <w:rPr>
                <w:rFonts w:ascii="Arial Narrow" w:hAnsi="Arial Narrow"/>
                <w:snapToGrid w:val="0"/>
                <w:vertAlign w:val="superscript"/>
                <w:lang w:eastAsia="en-US"/>
              </w:rPr>
              <w:t xml:space="preserve">e </w:t>
            </w:r>
            <w:r w:rsidRPr="005B13BC">
              <w:rPr>
                <w:rFonts w:ascii="Arial Narrow" w:hAnsi="Arial Narrow"/>
                <w:snapToGrid w:val="0"/>
                <w:lang w:eastAsia="en-US"/>
              </w:rPr>
              <w:t>(11.5)</w:t>
            </w:r>
          </w:p>
          <w:p w14:paraId="7FB4C3F4" w14:textId="77777777" w:rsidR="00594400" w:rsidRPr="005B13BC" w:rsidRDefault="00594400" w:rsidP="00715C28">
            <w:pPr>
              <w:spacing w:after="0"/>
              <w:contextualSpacing/>
              <w:jc w:val="left"/>
              <w:rPr>
                <w:rFonts w:ascii="Arial Narrow" w:hAnsi="Arial Narrow"/>
                <w:snapToGrid w:val="0"/>
                <w:lang w:eastAsia="en-US"/>
              </w:rPr>
            </w:pPr>
          </w:p>
        </w:tc>
      </w:tr>
    </w:tbl>
    <w:p w14:paraId="0D24FEA3" w14:textId="77777777" w:rsidR="005B13BC" w:rsidRPr="005B13BC" w:rsidRDefault="005B13BC" w:rsidP="005B13BC">
      <w:pPr>
        <w:widowControl w:val="0"/>
        <w:spacing w:after="120" w:line="240" w:lineRule="auto"/>
        <w:contextualSpacing/>
        <w:jc w:val="left"/>
        <w:rPr>
          <w:rFonts w:ascii="Arial Narrow" w:hAnsi="Arial Narrow" w:cs="Arial"/>
          <w:snapToGrid w:val="0"/>
          <w:sz w:val="18"/>
          <w:szCs w:val="20"/>
          <w:lang w:eastAsia="en-US"/>
        </w:rPr>
      </w:pPr>
      <w:r w:rsidRPr="005B13BC">
        <w:rPr>
          <w:rFonts w:ascii="Arial Narrow" w:hAnsi="Arial Narrow" w:cs="Arial"/>
          <w:snapToGrid w:val="0"/>
          <w:sz w:val="18"/>
          <w:szCs w:val="20"/>
          <w:lang w:eastAsia="en-US"/>
        </w:rPr>
        <w:t xml:space="preserve">AQP4-Ab = aquaporin 4 antibodies; HR-NMO = high risk of conversion to NMO; MOG-Ab = myelin oligodendrocyte glycoprotein; NMO = neuromyelitis optica; NMOSD = neuromyelitis optica spectrum disorders; </w:t>
      </w:r>
    </w:p>
    <w:p w14:paraId="5F49626B" w14:textId="5D6F935F" w:rsidR="005B13BC" w:rsidRPr="005B13BC" w:rsidRDefault="005B13BC" w:rsidP="005B13BC">
      <w:pPr>
        <w:widowControl w:val="0"/>
        <w:spacing w:after="120" w:line="240" w:lineRule="auto"/>
        <w:contextualSpacing/>
        <w:jc w:val="left"/>
        <w:rPr>
          <w:rFonts w:ascii="Arial Narrow" w:hAnsi="Arial Narrow" w:cs="Arial"/>
          <w:snapToGrid w:val="0"/>
          <w:sz w:val="18"/>
          <w:szCs w:val="20"/>
          <w:lang w:eastAsia="en-US"/>
        </w:rPr>
      </w:pPr>
      <w:r w:rsidRPr="005B13BC">
        <w:rPr>
          <w:rFonts w:ascii="Arial Narrow" w:hAnsi="Arial Narrow" w:cs="Arial"/>
          <w:snapToGrid w:val="0"/>
          <w:sz w:val="18"/>
          <w:szCs w:val="20"/>
          <w:vertAlign w:val="superscript"/>
          <w:lang w:eastAsia="en-US"/>
        </w:rPr>
        <w:t>a</w:t>
      </w:r>
      <w:r w:rsidR="00AA40ED">
        <w:rPr>
          <w:rFonts w:ascii="Arial Narrow" w:hAnsi="Arial Narrow" w:cs="Arial"/>
          <w:snapToGrid w:val="0"/>
          <w:sz w:val="18"/>
          <w:szCs w:val="20"/>
          <w:vertAlign w:val="superscript"/>
          <w:lang w:eastAsia="en-US"/>
        </w:rPr>
        <w:t xml:space="preserve"> </w:t>
      </w:r>
      <w:r w:rsidRPr="005B13BC">
        <w:rPr>
          <w:rFonts w:ascii="Arial Narrow" w:hAnsi="Arial Narrow" w:cs="Arial"/>
          <w:snapToGrid w:val="0"/>
          <w:sz w:val="18"/>
          <w:szCs w:val="20"/>
          <w:lang w:eastAsia="en-US"/>
        </w:rPr>
        <w:t>All 115 met Wingerchuk 2006 criteria and 70/115 (61%) met Wingerchuk 2015 criteria</w:t>
      </w:r>
    </w:p>
    <w:p w14:paraId="1D518D59" w14:textId="77777777" w:rsidR="005B13BC" w:rsidRPr="005B13BC" w:rsidRDefault="005B13BC" w:rsidP="005B13BC">
      <w:pPr>
        <w:widowControl w:val="0"/>
        <w:spacing w:after="120" w:line="240" w:lineRule="auto"/>
        <w:contextualSpacing/>
        <w:jc w:val="left"/>
        <w:rPr>
          <w:rFonts w:ascii="Arial Narrow" w:hAnsi="Arial Narrow" w:cs="Arial"/>
          <w:snapToGrid w:val="0"/>
          <w:sz w:val="18"/>
          <w:szCs w:val="20"/>
          <w:lang w:eastAsia="en-US"/>
        </w:rPr>
      </w:pPr>
      <w:r w:rsidRPr="005B13BC">
        <w:rPr>
          <w:rFonts w:ascii="Arial Narrow" w:hAnsi="Arial Narrow" w:cs="Arial"/>
          <w:snapToGrid w:val="0"/>
          <w:sz w:val="18"/>
          <w:szCs w:val="20"/>
          <w:vertAlign w:val="superscript"/>
          <w:lang w:eastAsia="en-US"/>
        </w:rPr>
        <w:t>b</w:t>
      </w:r>
      <w:r w:rsidRPr="005B13BC">
        <w:rPr>
          <w:rFonts w:ascii="Arial Narrow" w:hAnsi="Arial Narrow" w:cs="Arial"/>
          <w:snapToGrid w:val="0"/>
          <w:sz w:val="18"/>
          <w:szCs w:val="20"/>
          <w:lang w:eastAsia="en-US"/>
        </w:rPr>
        <w:t xml:space="preserve"> HR-NMO Included patients with NMO, LETM, bilateral ON, LETM or bilateral ON plus cerebral or brainstem syndrome</w:t>
      </w:r>
    </w:p>
    <w:p w14:paraId="5CA84714" w14:textId="77777777" w:rsidR="005B13BC" w:rsidRPr="005B13BC" w:rsidRDefault="005B13BC" w:rsidP="005B13BC">
      <w:pPr>
        <w:widowControl w:val="0"/>
        <w:spacing w:after="120" w:line="240" w:lineRule="auto"/>
        <w:contextualSpacing/>
        <w:jc w:val="left"/>
        <w:rPr>
          <w:rFonts w:ascii="Arial Narrow" w:hAnsi="Arial Narrow" w:cs="Arial"/>
          <w:snapToGrid w:val="0"/>
          <w:sz w:val="18"/>
          <w:szCs w:val="20"/>
          <w:lang w:eastAsia="en-US"/>
        </w:rPr>
      </w:pPr>
      <w:r w:rsidRPr="005B13BC">
        <w:rPr>
          <w:rFonts w:ascii="Arial Narrow" w:hAnsi="Arial Narrow" w:cs="Arial"/>
          <w:snapToGrid w:val="0"/>
          <w:sz w:val="18"/>
          <w:szCs w:val="20"/>
          <w:vertAlign w:val="superscript"/>
          <w:lang w:eastAsia="en-US"/>
        </w:rPr>
        <w:t xml:space="preserve">c </w:t>
      </w:r>
      <w:r w:rsidRPr="005B13BC">
        <w:rPr>
          <w:rFonts w:ascii="Arial Narrow" w:hAnsi="Arial Narrow" w:cs="Arial"/>
          <w:snapToGrid w:val="0"/>
          <w:sz w:val="18"/>
          <w:szCs w:val="20"/>
          <w:lang w:eastAsia="en-US"/>
        </w:rPr>
        <w:t>patients who met the Wingerchuk 2006 diagnostic criteria</w:t>
      </w:r>
    </w:p>
    <w:p w14:paraId="3EBBA980" w14:textId="77777777" w:rsidR="005B13BC" w:rsidRPr="005B13BC" w:rsidRDefault="005B13BC" w:rsidP="005B13BC">
      <w:pPr>
        <w:widowControl w:val="0"/>
        <w:spacing w:after="120" w:line="240" w:lineRule="auto"/>
        <w:contextualSpacing/>
        <w:jc w:val="left"/>
        <w:rPr>
          <w:rFonts w:ascii="Arial Narrow" w:hAnsi="Arial Narrow" w:cs="Arial"/>
          <w:snapToGrid w:val="0"/>
          <w:sz w:val="18"/>
          <w:szCs w:val="20"/>
          <w:lang w:eastAsia="en-US"/>
        </w:rPr>
      </w:pPr>
      <w:r w:rsidRPr="005B13BC">
        <w:rPr>
          <w:rFonts w:ascii="Arial Narrow" w:hAnsi="Arial Narrow" w:cs="Arial"/>
          <w:snapToGrid w:val="0"/>
          <w:sz w:val="18"/>
          <w:szCs w:val="20"/>
          <w:vertAlign w:val="superscript"/>
          <w:lang w:eastAsia="en-US"/>
        </w:rPr>
        <w:t xml:space="preserve">d </w:t>
      </w:r>
      <w:r w:rsidRPr="005B13BC">
        <w:rPr>
          <w:rFonts w:ascii="Arial Narrow" w:hAnsi="Arial Narrow" w:cs="Arial"/>
          <w:snapToGrid w:val="0"/>
          <w:sz w:val="18"/>
          <w:szCs w:val="20"/>
          <w:lang w:eastAsia="en-US"/>
        </w:rPr>
        <w:t>patients who met the Wingerchuk 2015 diagnostic criteria</w:t>
      </w:r>
    </w:p>
    <w:p w14:paraId="4062682B" w14:textId="77777777" w:rsidR="005B13BC" w:rsidRPr="005B13BC" w:rsidRDefault="005B13BC" w:rsidP="00A2520F">
      <w:pPr>
        <w:widowControl w:val="0"/>
        <w:spacing w:after="0" w:line="240" w:lineRule="auto"/>
        <w:contextualSpacing/>
        <w:jc w:val="left"/>
        <w:rPr>
          <w:rFonts w:ascii="Arial Narrow" w:hAnsi="Arial Narrow" w:cs="Arial"/>
          <w:snapToGrid w:val="0"/>
          <w:sz w:val="18"/>
          <w:szCs w:val="20"/>
          <w:lang w:eastAsia="en-US"/>
        </w:rPr>
      </w:pPr>
      <w:r w:rsidRPr="005B13BC">
        <w:rPr>
          <w:rFonts w:ascii="Arial Narrow" w:hAnsi="Arial Narrow" w:cs="Arial"/>
          <w:snapToGrid w:val="0"/>
          <w:sz w:val="18"/>
          <w:szCs w:val="20"/>
          <w:vertAlign w:val="superscript"/>
          <w:lang w:eastAsia="en-US"/>
        </w:rPr>
        <w:t>e</w:t>
      </w:r>
      <w:r w:rsidRPr="005B13BC">
        <w:rPr>
          <w:rFonts w:ascii="Arial Narrow" w:hAnsi="Arial Narrow" w:cs="Arial"/>
          <w:snapToGrid w:val="0"/>
          <w:sz w:val="18"/>
          <w:szCs w:val="20"/>
          <w:lang w:eastAsia="en-US"/>
        </w:rPr>
        <w:t xml:space="preserve"> calculated using statistical database https://www.statstodo.com/CombineMeansSDs_Pgm.php</w:t>
      </w:r>
    </w:p>
    <w:p w14:paraId="1A431D34" w14:textId="77777777" w:rsidR="005B13BC" w:rsidRPr="005B13BC" w:rsidRDefault="005B13BC" w:rsidP="00A2520F">
      <w:pPr>
        <w:pStyle w:val="Tablenotes0"/>
      </w:pPr>
    </w:p>
    <w:p w14:paraId="1BC416BB" w14:textId="77777777" w:rsidR="00715C28" w:rsidRPr="00B729C6" w:rsidRDefault="00715C28" w:rsidP="00715C28">
      <w:r>
        <w:t xml:space="preserve">In </w:t>
      </w:r>
      <w:r w:rsidR="00941DFE">
        <w:t>summary</w:t>
      </w:r>
      <w:r>
        <w:t>, diagnostic yield for positive AQP4-Ab testing varied widely based on the inclusion criteria of the study (i.e. type of population (</w:t>
      </w:r>
      <w:r w:rsidR="0073506B">
        <w:t xml:space="preserve">all </w:t>
      </w:r>
      <w:r>
        <w:t xml:space="preserve">patients vs adults vs children) and their presenting conditions or disease state), and which Wingerchuk NMO/NMOSD diagnostic criteria was used. Data on diagnostic yield for MOG-Ab testing </w:t>
      </w:r>
      <w:r w:rsidR="0073506B">
        <w:t>were</w:t>
      </w:r>
      <w:r>
        <w:t xml:space="preserve"> limited, however in those studies that reported MOG-Ab status, it was evident that some (but not all) individuals who tested negative for AQP4-Ab, were found to test positive for MOG-Ab. </w:t>
      </w:r>
    </w:p>
    <w:p w14:paraId="4CA8B84F" w14:textId="77777777" w:rsidR="00ED65EE" w:rsidRDefault="00B5172B" w:rsidP="00C01F8A">
      <w:pPr>
        <w:pStyle w:val="Heading4"/>
      </w:pPr>
      <w:r>
        <w:t xml:space="preserve">Further Australian </w:t>
      </w:r>
      <w:r w:rsidR="008F6BA3">
        <w:t xml:space="preserve">yield </w:t>
      </w:r>
      <w:r>
        <w:t>data</w:t>
      </w:r>
    </w:p>
    <w:p w14:paraId="7FB38743" w14:textId="04FDF5F6" w:rsidR="008F6BA3" w:rsidRDefault="00B5172B" w:rsidP="00ED65EE">
      <w:pPr>
        <w:rPr>
          <w:sz w:val="23"/>
          <w:szCs w:val="23"/>
        </w:rPr>
      </w:pPr>
      <w:r>
        <w:rPr>
          <w:sz w:val="23"/>
          <w:szCs w:val="23"/>
        </w:rPr>
        <w:t>Two additional studies that did not meet the inclusion criteria reported test yield data in Australian clinics</w:t>
      </w:r>
      <w:r w:rsidR="008F6BA3">
        <w:rPr>
          <w:sz w:val="23"/>
          <w:szCs w:val="23"/>
        </w:rPr>
        <w:t xml:space="preserve"> </w:t>
      </w:r>
      <w:r w:rsidR="00156621">
        <w:rPr>
          <w:sz w:val="23"/>
          <w:szCs w:val="23"/>
        </w:rPr>
        <w:fldChar w:fldCharType="begin">
          <w:fldData xml:space="preserve">PEVuZE5vdGU+PENpdGU+PEF1dGhvcj5GYWJpcy1QZWRyaW5pPC9BdXRob3I+PFllYXI+MjAxODwv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</w:fldData>
        </w:fldChar>
      </w:r>
      <w:r w:rsidR="000E2F1B">
        <w:rPr>
          <w:sz w:val="23"/>
          <w:szCs w:val="23"/>
        </w:rPr>
        <w:instrText xml:space="preserve"> ADDIN EN.CITE </w:instrText>
      </w:r>
      <w:r w:rsidR="000E2F1B">
        <w:rPr>
          <w:sz w:val="23"/>
          <w:szCs w:val="23"/>
        </w:rPr>
        <w:fldChar w:fldCharType="begin">
          <w:fldData xml:space="preserve">PEVuZE5vdGU+PENpdGU+PEF1dGhvcj5GYWJpcy1QZWRyaW5pPC9BdXRob3I+PFllYXI+MjAxODwv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</w:fldData>
        </w:fldChar>
      </w:r>
      <w:r w:rsidR="000E2F1B">
        <w:rPr>
          <w:sz w:val="23"/>
          <w:szCs w:val="23"/>
        </w:rPr>
        <w:instrText xml:space="preserve"> ADDIN EN.CITE.DATA </w:instrText>
      </w:r>
      <w:r w:rsidR="000E2F1B">
        <w:rPr>
          <w:sz w:val="23"/>
          <w:szCs w:val="23"/>
        </w:rPr>
      </w:r>
      <w:r w:rsidR="000E2F1B">
        <w:rPr>
          <w:sz w:val="23"/>
          <w:szCs w:val="23"/>
        </w:rPr>
        <w:fldChar w:fldCharType="end"/>
      </w:r>
      <w:r w:rsidR="00156621">
        <w:rPr>
          <w:sz w:val="23"/>
          <w:szCs w:val="23"/>
        </w:rPr>
      </w:r>
      <w:r w:rsidR="00156621">
        <w:rPr>
          <w:sz w:val="23"/>
          <w:szCs w:val="23"/>
        </w:rPr>
        <w:fldChar w:fldCharType="separate"/>
      </w:r>
      <w:r w:rsidR="000E2F1B">
        <w:rPr>
          <w:noProof/>
          <w:sz w:val="23"/>
          <w:szCs w:val="23"/>
        </w:rPr>
        <w:t>(Dahan et al. 2020; Fabis-Pedrini et al. 2018)</w:t>
      </w:r>
      <w:r w:rsidR="00156621">
        <w:rPr>
          <w:sz w:val="23"/>
          <w:szCs w:val="23"/>
        </w:rPr>
        <w:fldChar w:fldCharType="end"/>
      </w:r>
      <w:r>
        <w:rPr>
          <w:sz w:val="23"/>
          <w:szCs w:val="23"/>
        </w:rPr>
        <w:t xml:space="preserve">. The populations in the studies did not </w:t>
      </w:r>
      <w:r w:rsidR="008F6BA3">
        <w:rPr>
          <w:sz w:val="23"/>
          <w:szCs w:val="23"/>
        </w:rPr>
        <w:t>use</w:t>
      </w:r>
      <w:r>
        <w:rPr>
          <w:sz w:val="23"/>
          <w:szCs w:val="23"/>
        </w:rPr>
        <w:t xml:space="preserve"> the 2015 IPND criteria </w:t>
      </w:r>
      <w:r w:rsidR="008F6BA3">
        <w:rPr>
          <w:sz w:val="23"/>
          <w:szCs w:val="23"/>
        </w:rPr>
        <w:t>to determine eligibility for testing</w:t>
      </w:r>
      <w:r w:rsidR="00532AAB">
        <w:rPr>
          <w:sz w:val="23"/>
          <w:szCs w:val="23"/>
        </w:rPr>
        <w:t>, however as the data came from Australian settings, they were used in the economic evaluation</w:t>
      </w:r>
      <w:r w:rsidR="008F6BA3">
        <w:rPr>
          <w:sz w:val="23"/>
          <w:szCs w:val="23"/>
        </w:rPr>
        <w:t>.</w:t>
      </w:r>
    </w:p>
    <w:p w14:paraId="25590A01" w14:textId="1B29D1BA" w:rsidR="008F6BA3" w:rsidRDefault="008F6BA3" w:rsidP="008F6BA3">
      <w:r>
        <w:t>In contrast to Bukhari et al’s (2017) reported AQP4-Ab positive yield (43%) (</w:t>
      </w:r>
      <w:r>
        <w:fldChar w:fldCharType="begin"/>
      </w:r>
      <w:r>
        <w:instrText xml:space="preserve"> REF _Ref27753180 \h </w:instrText>
      </w:r>
      <w:r>
        <w:fldChar w:fldCharType="separate"/>
      </w:r>
      <w:r w:rsidR="00857D5B" w:rsidRPr="005B13BC">
        <w:t xml:space="preserve">Table </w:t>
      </w:r>
      <w:r w:rsidR="00857D5B">
        <w:rPr>
          <w:noProof/>
        </w:rPr>
        <w:t>24</w:t>
      </w:r>
      <w:r>
        <w:fldChar w:fldCharType="end"/>
      </w:r>
      <w:r>
        <w:t xml:space="preserve">), Fabis-Pedrini et al estimated a prevalence of 2.6% of seropositive samples in the diagnostic cohort of 196 consecutive Western Australian patients with a presentation suggestive of NMOSD referred to the PathWest State reference laboratory for diagnostic AQP4-IgG testing during the period from June 2010 to November 2012 </w:t>
      </w:r>
      <w:r w:rsidR="00156621">
        <w:fldChar w:fldCharType="begin">
          <w:fldData xml:space="preserve">PEVuZE5vdGU+PENpdGU+PEF1dGhvcj5GYWJpcy1QZWRyaW5pPC9BdXRob3I+PFllYXI+MjAxODwv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</w:fldData>
        </w:fldChar>
      </w:r>
      <w:r w:rsidR="00D96694">
        <w:instrText xml:space="preserve"> ADDIN EN.CITE </w:instrText>
      </w:r>
      <w:r w:rsidR="00D96694">
        <w:fldChar w:fldCharType="begin">
          <w:fldData xml:space="preserve">PEVuZE5vdGU+PENpdGU+PEF1dGhvcj5GYWJpcy1QZWRyaW5pPC9BdXRob3I+PFllYXI+MjAxODwv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</w:fldData>
        </w:fldChar>
      </w:r>
      <w:r w:rsidR="00D96694">
        <w:instrText xml:space="preserve"> ADDIN EN.CITE.DATA </w:instrText>
      </w:r>
      <w:r w:rsidR="00D96694">
        <w:fldChar w:fldCharType="end"/>
      </w:r>
      <w:r w:rsidR="00156621">
        <w:fldChar w:fldCharType="separate"/>
      </w:r>
      <w:r w:rsidR="00156621">
        <w:rPr>
          <w:noProof/>
        </w:rPr>
        <w:t>(Fabis-Pedrini et al. 2018)</w:t>
      </w:r>
      <w:r w:rsidR="00156621">
        <w:fldChar w:fldCharType="end"/>
      </w:r>
      <w:r>
        <w:t>. Laboratory-based series may not include a uniform clinical population and so the rate of positivity may be less than accurate at the population level.</w:t>
      </w:r>
    </w:p>
    <w:p w14:paraId="63E19B28" w14:textId="683DE037" w:rsidR="00B5172B" w:rsidRDefault="008F6BA3" w:rsidP="008F6BA3">
      <w:r>
        <w:lastRenderedPageBreak/>
        <w:t xml:space="preserve">Another Australian study determined </w:t>
      </w:r>
      <w:r w:rsidRPr="008F0137">
        <w:t>frequency of AQP4-</w:t>
      </w:r>
      <w:r>
        <w:t xml:space="preserve">Ab </w:t>
      </w:r>
      <w:r w:rsidRPr="008F0137">
        <w:t>seropositivity</w:t>
      </w:r>
      <w:r>
        <w:t xml:space="preserve"> (retrospectively)</w:t>
      </w:r>
      <w:r w:rsidRPr="008F0137">
        <w:t xml:space="preserve"> </w:t>
      </w:r>
      <w:r>
        <w:t xml:space="preserve">in a cohort of children with central nervous system (CNS) demyelination </w:t>
      </w:r>
      <w:r w:rsidRPr="008F0137">
        <w:t>at the Royal Children’s Hospital, Melbourne</w:t>
      </w:r>
      <w:r>
        <w:t xml:space="preserve"> </w:t>
      </w:r>
      <w:r w:rsidR="00156621">
        <w:fldChar w:fldCharType="begin">
          <w:fldData xml:space="preserve">PEVuZE5vdGU+PENpdGU+PEF1dGhvcj5EYWhhbjwvQXV0aG9yPjxZZWFyPjIwMjA8L1llYXI+PFJl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</w:fldData>
        </w:fldChar>
      </w:r>
      <w:r w:rsidR="000E2F1B">
        <w:instrText xml:space="preserve"> ADDIN EN.CITE </w:instrText>
      </w:r>
      <w:r w:rsidR="000E2F1B">
        <w:fldChar w:fldCharType="begin">
          <w:fldData xml:space="preserve">PEVuZE5vdGU+PENpdGU+PEF1dGhvcj5EYWhhbjwvQXV0aG9yPjxZZWFyPjIwMjA8L1llYXI+PFJl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</w:fldData>
        </w:fldChar>
      </w:r>
      <w:r w:rsidR="000E2F1B">
        <w:instrText xml:space="preserve"> ADDIN EN.CITE.DATA </w:instrText>
      </w:r>
      <w:r w:rsidR="000E2F1B">
        <w:fldChar w:fldCharType="end"/>
      </w:r>
      <w:r w:rsidR="00156621">
        <w:fldChar w:fldCharType="separate"/>
      </w:r>
      <w:r w:rsidR="000E2F1B">
        <w:rPr>
          <w:noProof/>
        </w:rPr>
        <w:t>(Dahan et al. 2020)</w:t>
      </w:r>
      <w:r w:rsidR="00156621">
        <w:fldChar w:fldCharType="end"/>
      </w:r>
      <w:r>
        <w:t xml:space="preserve">. </w:t>
      </w:r>
      <w:r w:rsidRPr="008F0137">
        <w:t>Of</w:t>
      </w:r>
      <w:r>
        <w:t xml:space="preserve"> </w:t>
      </w:r>
      <w:r w:rsidRPr="008F0137">
        <w:t xml:space="preserve">the 67 children </w:t>
      </w:r>
      <w:r>
        <w:t xml:space="preserve">tested for </w:t>
      </w:r>
      <w:r w:rsidRPr="008F0137">
        <w:t>AQP4-</w:t>
      </w:r>
      <w:r>
        <w:t>Ab</w:t>
      </w:r>
      <w:r w:rsidRPr="008F0137">
        <w:t xml:space="preserve">, </w:t>
      </w:r>
      <w:r>
        <w:t xml:space="preserve">five (7.5%) were diagnosed with NMOSD and only one child was positive for AQP4-Ab (1.5% of the whole cohort and 20% of the NMOSD cases). A total of 12 children (17.9%) in this study were tested for MOG-Ab. Ten children (83.3%) were positive for MOG-Ab, two of these had AQP4-Ab–negative NMOSD. The study concluded that </w:t>
      </w:r>
      <w:r w:rsidRPr="001D52CE">
        <w:t>AQP4-</w:t>
      </w:r>
      <w:r>
        <w:t xml:space="preserve">Ab </w:t>
      </w:r>
      <w:r w:rsidRPr="001D52CE">
        <w:t xml:space="preserve">seropositivity is rare in children presenting with </w:t>
      </w:r>
      <w:r>
        <w:t>CNS</w:t>
      </w:r>
      <w:r w:rsidRPr="001D52CE">
        <w:t xml:space="preserve"> demyelination overall</w:t>
      </w:r>
      <w:r>
        <w:t xml:space="preserve">, but </w:t>
      </w:r>
      <w:r w:rsidRPr="00BC715A">
        <w:t>MOG</w:t>
      </w:r>
      <w:r>
        <w:t>-Ab</w:t>
      </w:r>
      <w:r w:rsidRPr="00BC715A">
        <w:t xml:space="preserve"> are present in a significant proportion of children with AQP4-</w:t>
      </w:r>
      <w:r>
        <w:t>Ab</w:t>
      </w:r>
      <w:r w:rsidRPr="00BC715A">
        <w:t xml:space="preserve">–seronegative </w:t>
      </w:r>
      <w:r>
        <w:t>NMOSD</w:t>
      </w:r>
      <w:r w:rsidRPr="001D52CE">
        <w:t>.</w:t>
      </w:r>
      <w:r>
        <w:t xml:space="preserve"> The results of this study should be interpreted with </w:t>
      </w:r>
      <w:r w:rsidR="002912B1">
        <w:t>caution,</w:t>
      </w:r>
      <w:r>
        <w:t xml:space="preserve"> as the study sample was very small</w:t>
      </w:r>
      <w:r w:rsidR="009F3B3B">
        <w:t>.</w:t>
      </w:r>
    </w:p>
    <w:p w14:paraId="61AE69FA" w14:textId="77777777" w:rsidR="00ED65EE" w:rsidRDefault="00ED65EE" w:rsidP="00ED65EE">
      <w:pPr>
        <w:pStyle w:val="Heading2"/>
      </w:pPr>
      <w:bookmarkStart w:id="238" w:name="_Toc39588314"/>
      <w:r w:rsidRPr="0044547B">
        <w:rPr>
          <w:sz w:val="24"/>
          <w:szCs w:val="24"/>
        </w:rPr>
        <w:t>B4.2</w:t>
      </w:r>
      <w:r>
        <w:tab/>
        <w:t>Prognosis or predisposition</w:t>
      </w:r>
      <w:bookmarkEnd w:id="238"/>
    </w:p>
    <w:p w14:paraId="7B24938D" w14:textId="045D4E54" w:rsidR="00BA57B1" w:rsidRDefault="00AE1781" w:rsidP="00AE1781">
      <w:r>
        <w:t xml:space="preserve">Studies that </w:t>
      </w:r>
      <w:r w:rsidR="007A1EFB">
        <w:t>reported</w:t>
      </w:r>
      <w:r>
        <w:t xml:space="preserve"> the </w:t>
      </w:r>
      <w:r w:rsidR="003C720E">
        <w:t xml:space="preserve">temporal </w:t>
      </w:r>
      <w:r>
        <w:t xml:space="preserve">development of symptoms </w:t>
      </w:r>
      <w:r w:rsidR="007A1EFB">
        <w:t xml:space="preserve">in patients presenting with symptoms of NMOSD, comparing </w:t>
      </w:r>
      <w:r>
        <w:t xml:space="preserve">those testing positive and those testing negative by </w:t>
      </w:r>
      <w:r w:rsidR="003C720E">
        <w:t>an</w:t>
      </w:r>
      <w:r>
        <w:t xml:space="preserve"> AQP4-Ab assay</w:t>
      </w:r>
      <w:r w:rsidR="001D3AC7">
        <w:t>,</w:t>
      </w:r>
      <w:r>
        <w:t xml:space="preserve"> were included in this section. </w:t>
      </w:r>
      <w:r w:rsidR="007A1EFB">
        <w:t>Although t</w:t>
      </w:r>
      <w:r w:rsidR="00BA57B1">
        <w:t xml:space="preserve">he articles </w:t>
      </w:r>
      <w:r w:rsidR="0006602A">
        <w:t>included here</w:t>
      </w:r>
      <w:r w:rsidR="00BA57B1">
        <w:t xml:space="preserve"> </w:t>
      </w:r>
      <w:r w:rsidR="007A1EFB">
        <w:t xml:space="preserve">often documented </w:t>
      </w:r>
      <w:r w:rsidR="001D3AC7">
        <w:t xml:space="preserve">the </w:t>
      </w:r>
      <w:r w:rsidR="007A1EFB">
        <w:t xml:space="preserve">treatments patients were given, they </w:t>
      </w:r>
      <w:r w:rsidR="00BA57B1">
        <w:t xml:space="preserve">did not provide evidence </w:t>
      </w:r>
      <w:r w:rsidR="001D3AC7">
        <w:t xml:space="preserve">of </w:t>
      </w:r>
      <w:r w:rsidR="007A1EFB">
        <w:t>a</w:t>
      </w:r>
      <w:r w:rsidR="00BA57B1">
        <w:t xml:space="preserve"> treatment effect</w:t>
      </w:r>
      <w:r w:rsidR="00F87398">
        <w:t xml:space="preserve"> (even if there was one)</w:t>
      </w:r>
      <w:r w:rsidR="00BA57B1">
        <w:t xml:space="preserve">, reporting only follow-up data on symptoms (articles reporting on treatment effectiveness were included in Section B5.2.4). </w:t>
      </w:r>
      <w:r>
        <w:t xml:space="preserve">Studies with similar outcomes for MOG-Ab testing were also included. </w:t>
      </w:r>
      <w:r w:rsidR="0006602A">
        <w:t>This type of data can</w:t>
      </w:r>
      <w:r w:rsidR="003C720E">
        <w:t xml:space="preserve"> </w:t>
      </w:r>
      <w:r>
        <w:t xml:space="preserve">provide evidence for the prognostic effect of AQP4-Ab and MOG-Ab testing. If antibody positivity can predict a different outcome in the tested population, then </w:t>
      </w:r>
      <w:r w:rsidR="002912B1">
        <w:t>it is possible that earlier detection will</w:t>
      </w:r>
      <w:r>
        <w:t xml:space="preserve"> lead to earlier treatment and better outcomes. </w:t>
      </w:r>
      <w:r w:rsidR="003C720E">
        <w:t xml:space="preserve">In this </w:t>
      </w:r>
      <w:r w:rsidR="00AA40ED">
        <w:t>way,</w:t>
      </w:r>
      <w:r w:rsidR="003C720E">
        <w:t xml:space="preserve"> p</w:t>
      </w:r>
      <w:r>
        <w:t xml:space="preserve">rognostic data </w:t>
      </w:r>
      <w:r w:rsidR="003C720E">
        <w:t>can provide</w:t>
      </w:r>
      <w:r>
        <w:t xml:space="preserve"> evidence </w:t>
      </w:r>
      <w:r w:rsidR="007B37BF">
        <w:t>for</w:t>
      </w:r>
      <w:r w:rsidR="003C720E">
        <w:t xml:space="preserve"> a step of the linked evidence</w:t>
      </w:r>
      <w:r w:rsidR="003B7986">
        <w:t xml:space="preserve"> (in the absence of </w:t>
      </w:r>
      <w:r w:rsidR="006A7D13">
        <w:t>reliable</w:t>
      </w:r>
      <w:r w:rsidR="003B7986">
        <w:t xml:space="preserve"> diagnostic accuracy data)</w:t>
      </w:r>
      <w:r w:rsidR="003C720E">
        <w:t xml:space="preserve">. </w:t>
      </w:r>
    </w:p>
    <w:p w14:paraId="6628BE03" w14:textId="77777777" w:rsidR="009E78CB" w:rsidRDefault="009B4219" w:rsidP="00D71989">
      <w:pPr>
        <w:pStyle w:val="Heading3"/>
      </w:pPr>
      <w:bookmarkStart w:id="239" w:name="_Toc39588315"/>
      <w:r>
        <w:t>B4.2.1</w:t>
      </w:r>
      <w:r>
        <w:tab/>
      </w:r>
      <w:r w:rsidR="00D71989">
        <w:t>Characteristics of the evidence base</w:t>
      </w:r>
      <w:bookmarkEnd w:id="239"/>
    </w:p>
    <w:p w14:paraId="440E70AD" w14:textId="5B9FEB8A" w:rsidR="00AE1781" w:rsidRDefault="004101E1" w:rsidP="00AE1781">
      <w:r w:rsidRPr="00F87398">
        <w:t>Prognostic outcomes have</w:t>
      </w:r>
      <w:r>
        <w:t xml:space="preserve"> been provided </w:t>
      </w:r>
      <w:r w:rsidR="00F87398">
        <w:t>by</w:t>
      </w:r>
      <w:r>
        <w:t xml:space="preserve"> </w:t>
      </w:r>
      <w:r w:rsidR="00920453">
        <w:t xml:space="preserve">eight </w:t>
      </w:r>
      <w:r>
        <w:t xml:space="preserve">case series listed in </w:t>
      </w:r>
      <w:r w:rsidR="00A377C5">
        <w:fldChar w:fldCharType="begin"/>
      </w:r>
      <w:r w:rsidR="00A377C5">
        <w:instrText xml:space="preserve"> REF _Ref29465493 \h </w:instrText>
      </w:r>
      <w:r w:rsidR="00A377C5">
        <w:fldChar w:fldCharType="separate"/>
      </w:r>
      <w:r w:rsidR="00857D5B">
        <w:t xml:space="preserve">Table </w:t>
      </w:r>
      <w:r w:rsidR="00857D5B">
        <w:rPr>
          <w:noProof/>
        </w:rPr>
        <w:t>26</w:t>
      </w:r>
      <w:r w:rsidR="00A377C5">
        <w:fldChar w:fldCharType="end"/>
      </w:r>
      <w:r>
        <w:t xml:space="preserve">. </w:t>
      </w:r>
      <w:r w:rsidR="003C720E">
        <w:t>All of the studies were retrospective case series with before and after data (level IV). They were appraised with the appropriate tool and</w:t>
      </w:r>
      <w:r w:rsidR="000C3A63">
        <w:t xml:space="preserve"> all but two studies were </w:t>
      </w:r>
      <w:r w:rsidR="003C720E">
        <w:t xml:space="preserve">assessed </w:t>
      </w:r>
      <w:r w:rsidR="007A1EFB">
        <w:t xml:space="preserve">as having moderate risk of bias; </w:t>
      </w:r>
      <w:r w:rsidR="002B36F5">
        <w:t xml:space="preserve">Li et al, 2015 </w:t>
      </w:r>
      <w:r w:rsidR="00156621">
        <w:fldChar w:fldCharType="begin">
          <w:fldData xml:space="preserve">PEVuZE5vdGU+PENpdGU+PEF1dGhvcj5MaTwvQXV0aG9yPjxZZWFyPjIwMTU8L1llYXI+PFJlY051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</w:fldData>
        </w:fldChar>
      </w:r>
      <w:r w:rsidR="00D96694">
        <w:instrText xml:space="preserve"> ADDIN EN.CITE </w:instrText>
      </w:r>
      <w:r w:rsidR="00D96694">
        <w:fldChar w:fldCharType="begin">
          <w:fldData xml:space="preserve">PEVuZE5vdGU+PENpdGU+PEF1dGhvcj5MaTwvQXV0aG9yPjxZZWFyPjIwMTU8L1llYXI+PFJlY051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</w:fldData>
        </w:fldChar>
      </w:r>
      <w:r w:rsidR="00D96694">
        <w:instrText xml:space="preserve"> ADDIN EN.CITE.DATA </w:instrText>
      </w:r>
      <w:r w:rsidR="00D96694">
        <w:fldChar w:fldCharType="end"/>
      </w:r>
      <w:r w:rsidR="00156621">
        <w:fldChar w:fldCharType="separate"/>
      </w:r>
      <w:r w:rsidR="00143DE1">
        <w:rPr>
          <w:noProof/>
        </w:rPr>
        <w:t>(</w:t>
      </w:r>
      <w:r w:rsidR="00156621">
        <w:rPr>
          <w:noProof/>
        </w:rPr>
        <w:t>2015)</w:t>
      </w:r>
      <w:r w:rsidR="00156621">
        <w:fldChar w:fldCharType="end"/>
      </w:r>
      <w:r w:rsidR="00DA5C6A">
        <w:t xml:space="preserve"> </w:t>
      </w:r>
      <w:r w:rsidR="002B36F5">
        <w:t>and Zhou et al, 2016</w:t>
      </w:r>
      <w:r w:rsidR="003C720E">
        <w:t xml:space="preserve"> </w:t>
      </w:r>
      <w:r w:rsidR="00156621">
        <w:fldChar w:fldCharType="begin">
          <w:fldData xml:space="preserve">PEVuZE5vdGU+PENpdGU+PEF1dGhvcj5aaG91PC9BdXRob3I+PFllYXI+MjAxNjwvWWVhcj48UmVj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</w:fldData>
        </w:fldChar>
      </w:r>
      <w:r w:rsidR="00D96694">
        <w:instrText xml:space="preserve"> ADDIN EN.CITE </w:instrText>
      </w:r>
      <w:r w:rsidR="00D96694">
        <w:fldChar w:fldCharType="begin">
          <w:fldData xml:space="preserve">PEVuZE5vdGU+PENpdGU+PEF1dGhvcj5aaG91PC9BdXRob3I+PFllYXI+MjAxNjwvWWVhcj48UmVj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</w:fldData>
        </w:fldChar>
      </w:r>
      <w:r w:rsidR="00D96694">
        <w:instrText xml:space="preserve"> ADDIN EN.CITE.DATA </w:instrText>
      </w:r>
      <w:r w:rsidR="00D96694">
        <w:fldChar w:fldCharType="end"/>
      </w:r>
      <w:r w:rsidR="00156621">
        <w:fldChar w:fldCharType="separate"/>
      </w:r>
      <w:r w:rsidR="00143DE1">
        <w:rPr>
          <w:noProof/>
        </w:rPr>
        <w:t>(</w:t>
      </w:r>
      <w:r w:rsidR="00156621">
        <w:rPr>
          <w:noProof/>
        </w:rPr>
        <w:t>2016)</w:t>
      </w:r>
      <w:r w:rsidR="00156621">
        <w:fldChar w:fldCharType="end"/>
      </w:r>
      <w:r w:rsidR="00DA5C6A">
        <w:t xml:space="preserve"> </w:t>
      </w:r>
      <w:r w:rsidR="000C3A63">
        <w:t>were found to have low risk of bias.</w:t>
      </w:r>
    </w:p>
    <w:p w14:paraId="790572CA" w14:textId="01AB765A" w:rsidR="00476B34" w:rsidRDefault="00B12849" w:rsidP="00AE1781">
      <w:r>
        <w:t xml:space="preserve">Four </w:t>
      </w:r>
      <w:r w:rsidR="007B37BF">
        <w:t xml:space="preserve">of the </w:t>
      </w:r>
      <w:r w:rsidR="006D4EDD">
        <w:t xml:space="preserve">level IV </w:t>
      </w:r>
      <w:r w:rsidR="007B37BF">
        <w:t xml:space="preserve">studies </w:t>
      </w:r>
      <w:r w:rsidR="00156621">
        <w:fldChar w:fldCharType="begin">
          <w:fldData xml:space="preserve">PEVuZE5vdGU+PENpdGU+PEF1dGhvcj5DaGVuZzwvQXV0aG9yPjxZZWFyPjIwMTY8L1llYXI+PFJl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</w:fldData>
        </w:fldChar>
      </w:r>
      <w:r w:rsidR="00D96694">
        <w:instrText xml:space="preserve"> ADDIN EN.CITE </w:instrText>
      </w:r>
      <w:r w:rsidR="00D96694">
        <w:fldChar w:fldCharType="begin">
          <w:fldData xml:space="preserve">PEVuZE5vdGU+PENpdGU+PEF1dGhvcj5DaGVuZzwvQXV0aG9yPjxZZWFyPjIwMTY8L1llYXI+PFJl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</w:fldData>
        </w:fldChar>
      </w:r>
      <w:r w:rsidR="00D96694">
        <w:instrText xml:space="preserve"> ADDIN EN.CITE.DATA </w:instrText>
      </w:r>
      <w:r w:rsidR="00D96694">
        <w:fldChar w:fldCharType="end"/>
      </w:r>
      <w:r w:rsidR="00156621">
        <w:fldChar w:fldCharType="separate"/>
      </w:r>
      <w:r w:rsidR="00156621">
        <w:rPr>
          <w:noProof/>
        </w:rPr>
        <w:t>(Cheng et al. 2016; Contentti, CE et al. 2017; Liu et al. 2019; Zhou et al. 2016)</w:t>
      </w:r>
      <w:r w:rsidR="00156621">
        <w:fldChar w:fldCharType="end"/>
      </w:r>
      <w:r w:rsidR="00613D71">
        <w:t xml:space="preserve"> </w:t>
      </w:r>
      <w:r w:rsidR="007B37BF">
        <w:t xml:space="preserve">performed AQP4-Ab </w:t>
      </w:r>
      <w:r w:rsidR="006D4EDD">
        <w:t xml:space="preserve">(or MOG-Ab) </w:t>
      </w:r>
      <w:r w:rsidR="007B37BF">
        <w:t xml:space="preserve">testing and diagnosis based </w:t>
      </w:r>
      <w:r w:rsidR="001D3AC7">
        <w:t>o</w:t>
      </w:r>
      <w:r w:rsidR="007B37BF">
        <w:t xml:space="preserve">n the 2015 IPND criteria </w:t>
      </w:r>
      <w:r w:rsidR="00B956DB">
        <w:fldChar w:fldCharType="begin"/>
      </w:r>
      <w:r w:rsidR="00646E7C">
        <w:instrText xml:space="preserve"> ADDIN EN.CITE &lt;EndNote&gt;&lt;Cite&gt;&lt;Author&gt;Wingerchuk&lt;/Author&gt;&lt;Year&gt;2015&lt;/Year&gt;&lt;RecNum&gt;35&lt;/RecNum&gt;&lt;DisplayText&gt;(Wingerchuk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B956DB">
        <w:fldChar w:fldCharType="separate"/>
      </w:r>
      <w:r w:rsidR="00646E7C">
        <w:rPr>
          <w:noProof/>
        </w:rPr>
        <w:t>(Wingerchuk et al. 2015)</w:t>
      </w:r>
      <w:r w:rsidR="00B956DB">
        <w:fldChar w:fldCharType="end"/>
      </w:r>
      <w:r w:rsidR="005B73C8">
        <w:t xml:space="preserve"> </w:t>
      </w:r>
      <w:r w:rsidR="007B37BF">
        <w:t xml:space="preserve">and </w:t>
      </w:r>
      <w:r w:rsidR="00920453">
        <w:t>two</w:t>
      </w:r>
      <w:r>
        <w:t xml:space="preserve"> </w:t>
      </w:r>
      <w:r w:rsidR="00920453">
        <w:t xml:space="preserve">studies </w:t>
      </w:r>
      <w:r w:rsidR="00156621">
        <w:fldChar w:fldCharType="begin">
          <w:fldData xml:space="preserve">PEVuZE5vdGU+PENpdGU+PEF1dGhvcj5Db2JvLUNhbHZvPC9BdXRob3I+PFllYXI+MjAxNjwvWWVh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</w:fldData>
        </w:fldChar>
      </w:r>
      <w:r w:rsidR="00D96694">
        <w:instrText xml:space="preserve"> ADDIN EN.CITE </w:instrText>
      </w:r>
      <w:r w:rsidR="00D96694">
        <w:fldChar w:fldCharType="begin">
          <w:fldData xml:space="preserve">PEVuZE5vdGU+PENpdGU+PEF1dGhvcj5Db2JvLUNhbHZvPC9BdXRob3I+PFllYXI+MjAxNjwvWWVh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</w:fldData>
        </w:fldChar>
      </w:r>
      <w:r w:rsidR="00D96694">
        <w:instrText xml:space="preserve"> ADDIN EN.CITE.DATA </w:instrText>
      </w:r>
      <w:r w:rsidR="00D96694">
        <w:fldChar w:fldCharType="end"/>
      </w:r>
      <w:r w:rsidR="00156621">
        <w:fldChar w:fldCharType="separate"/>
      </w:r>
      <w:r w:rsidR="00156621">
        <w:rPr>
          <w:noProof/>
        </w:rPr>
        <w:t>(Cobo-Calvo et al. 2016; Li et al. 2015)</w:t>
      </w:r>
      <w:r w:rsidR="00156621">
        <w:fldChar w:fldCharType="end"/>
      </w:r>
      <w:r w:rsidR="00920453">
        <w:t xml:space="preserve"> </w:t>
      </w:r>
      <w:r w:rsidR="007B37BF">
        <w:t>performed testing and diagnosis based on the 2006 criteria (</w:t>
      </w:r>
      <w:r w:rsidR="00B956DB">
        <w:fldChar w:fldCharType="begin">
          <w:fldData xml:space="preserve">PEVuZE5vdGU+PENpdGU+PEF1dGhvcj5XaW5nZXJjaHVrPC9BdXRob3I+PFllYXI+MjAwNjwvWWVh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</w:fldData>
        </w:fldChar>
      </w:r>
      <w:r w:rsidR="00B956DB">
        <w:instrText xml:space="preserve"> ADDIN EN.CITE </w:instrText>
      </w:r>
      <w:r w:rsidR="00B956DB">
        <w:fldChar w:fldCharType="begin">
          <w:fldData xml:space="preserve">PEVuZE5vdGU+PENpdGU+PEF1dGhvcj5XaW5nZXJjaHVrPC9BdXRob3I+PFllYXI+MjAwNjwvWWVh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</w:fldData>
        </w:fldChar>
      </w:r>
      <w:r w:rsidR="00B956DB">
        <w:instrText xml:space="preserve"> ADDIN EN.CITE.DATA </w:instrText>
      </w:r>
      <w:r w:rsidR="00B956DB">
        <w:fldChar w:fldCharType="end"/>
      </w:r>
      <w:r w:rsidR="00B956DB">
        <w:fldChar w:fldCharType="separate"/>
      </w:r>
      <w:r w:rsidR="00B956DB">
        <w:rPr>
          <w:noProof/>
        </w:rPr>
        <w:t>(Wingerchuk et al. 2006)</w:t>
      </w:r>
      <w:r w:rsidR="00B956DB">
        <w:fldChar w:fldCharType="end"/>
      </w:r>
      <w:r w:rsidR="007B37BF">
        <w:t>).</w:t>
      </w:r>
      <w:r w:rsidR="0012043A">
        <w:t xml:space="preserve"> </w:t>
      </w:r>
      <w:r w:rsidR="006D4EDD">
        <w:t>Two other studies</w:t>
      </w:r>
      <w:r w:rsidR="00920453">
        <w:t xml:space="preserve"> </w:t>
      </w:r>
      <w:r w:rsidR="00156621">
        <w:fldChar w:fldCharType="begin">
          <w:fldData xml:space="preserve">PEVuZE5vdGU+PENpdGU+PEF1dGhvcj5NYXRzdWRhPC9BdXRob3I+PFllYXI+MjAxNTwvWWVhcj48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</w:fldData>
        </w:fldChar>
      </w:r>
      <w:r w:rsidR="00AC01FD">
        <w:instrText xml:space="preserve"> ADDIN EN.CITE </w:instrText>
      </w:r>
      <w:r w:rsidR="00AC01FD">
        <w:fldChar w:fldCharType="begin">
          <w:fldData xml:space="preserve">PEVuZE5vdGU+PENpdGU+PEF1dGhvcj5NYXRzdWRhPC9BdXRob3I+PFllYXI+MjAxNTwvWWVhcj48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</w:fldData>
        </w:fldChar>
      </w:r>
      <w:r w:rsidR="00AC01FD">
        <w:instrText xml:space="preserve"> ADDIN EN.CITE.DATA </w:instrText>
      </w:r>
      <w:r w:rsidR="00AC01FD">
        <w:fldChar w:fldCharType="end"/>
      </w:r>
      <w:r w:rsidR="00156621">
        <w:fldChar w:fldCharType="separate"/>
      </w:r>
      <w:r w:rsidR="00156621">
        <w:rPr>
          <w:noProof/>
        </w:rPr>
        <w:t>(Matsuda et al. 2015; Weinshenker et al. 2006)</w:t>
      </w:r>
      <w:r w:rsidR="00156621">
        <w:fldChar w:fldCharType="end"/>
      </w:r>
      <w:r w:rsidR="006D4EDD">
        <w:t xml:space="preserve"> did not use either the 2006 </w:t>
      </w:r>
      <w:r w:rsidR="002912B1">
        <w:t>or the 2015</w:t>
      </w:r>
      <w:r w:rsidR="006D4EDD">
        <w:t xml:space="preserve"> diagnostic criteria, but assessed before and after symptom severity or relapse rate</w:t>
      </w:r>
      <w:r w:rsidR="00920453">
        <w:t>.</w:t>
      </w:r>
      <w:r w:rsidR="00920453" w:rsidRPr="00920453">
        <w:t xml:space="preserve"> </w:t>
      </w:r>
      <w:r w:rsidR="00920453">
        <w:t>Because the outcomes were compared between antibody positive and negative patients (ie test results were not dependent on other criteria), studies that diagnosed patients by the 2006 criteria or symptom severity alone were not excluded.</w:t>
      </w:r>
    </w:p>
    <w:p w14:paraId="61119655" w14:textId="0C373E35" w:rsidR="008F6D0A" w:rsidRDefault="008F6D0A" w:rsidP="00AE1781">
      <w:r>
        <w:t xml:space="preserve">Studies conducted by Liu et al (2019), Cheng et al (2016) and Cobo-Calvo et al (2016) used a cell-based assay for AQP4-Ab determination. Liu et al and Cobo-Calvo et al also assessed MOG-Ab status by </w:t>
      </w:r>
      <w:r w:rsidR="00993818">
        <w:t>c</w:t>
      </w:r>
      <w:r>
        <w:t>ell-based method</w:t>
      </w:r>
      <w:r w:rsidR="00B403A0">
        <w:t xml:space="preserve">s. Contentti et al (2017) used </w:t>
      </w:r>
      <w:r>
        <w:t xml:space="preserve">indirect </w:t>
      </w:r>
      <w:r w:rsidR="00BC2F58">
        <w:t>immunofluorescence</w:t>
      </w:r>
      <w:r>
        <w:t xml:space="preserve"> </w:t>
      </w:r>
      <w:r w:rsidR="00B403A0">
        <w:t>(</w:t>
      </w:r>
      <w:r>
        <w:t>IIF</w:t>
      </w:r>
      <w:r w:rsidR="00B403A0">
        <w:t>)</w:t>
      </w:r>
      <w:r>
        <w:t xml:space="preserve"> to assess AQP4 antibodies, and the authors acknowledged that more seropositive patients </w:t>
      </w:r>
      <w:r w:rsidR="00AA40ED">
        <w:t>might</w:t>
      </w:r>
      <w:r>
        <w:t xml:space="preserve"> have been identified if more sensitive methods were used. </w:t>
      </w:r>
    </w:p>
    <w:p w14:paraId="7AC12AE5" w14:textId="77777777" w:rsidR="00F2733B" w:rsidRDefault="002E77AE" w:rsidP="00AE1781">
      <w:r>
        <w:t>There was</w:t>
      </w:r>
      <w:r w:rsidR="00F2733B">
        <w:t xml:space="preserve"> a </w:t>
      </w:r>
      <w:r>
        <w:t xml:space="preserve">minimum </w:t>
      </w:r>
      <w:r w:rsidR="00F2733B">
        <w:t xml:space="preserve">follow-up time of 12 months </w:t>
      </w:r>
      <w:r>
        <w:t>amongst the studies</w:t>
      </w:r>
      <w:r w:rsidR="00F2733B">
        <w:t xml:space="preserve">. One of the studies focused on longitudinal outcomes for AQP4-Ab </w:t>
      </w:r>
      <w:r w:rsidR="00BC2F58">
        <w:t>negative</w:t>
      </w:r>
      <w:r w:rsidR="00F2733B">
        <w:t xml:space="preserve"> patients </w:t>
      </w:r>
      <w:r w:rsidR="00156621">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 </w:instrText>
      </w:r>
      <w:r w:rsidR="00AC01FD">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EN.CITE.DATA </w:instrText>
      </w:r>
      <w:r w:rsidR="00AC01FD">
        <w:fldChar w:fldCharType="end"/>
      </w:r>
      <w:r w:rsidR="00156621">
        <w:fldChar w:fldCharType="separate"/>
      </w:r>
      <w:r w:rsidR="00156621">
        <w:rPr>
          <w:noProof/>
        </w:rPr>
        <w:t>(Cobo-Calvo et al. 2016)</w:t>
      </w:r>
      <w:r w:rsidR="00156621">
        <w:fldChar w:fldCharType="end"/>
      </w:r>
      <w:r w:rsidR="00613D71">
        <w:t>.</w:t>
      </w:r>
    </w:p>
    <w:p w14:paraId="5D6F606F" w14:textId="0317C3CA" w:rsidR="003C720E" w:rsidRDefault="003C720E" w:rsidP="003C720E">
      <w:pPr>
        <w:pStyle w:val="Caption"/>
      </w:pPr>
      <w:bookmarkStart w:id="240" w:name="_Ref29465493"/>
      <w:bookmarkStart w:id="241" w:name="_Toc39580807"/>
      <w:r>
        <w:lastRenderedPageBreak/>
        <w:t xml:space="preserve">Table </w:t>
      </w:r>
      <w:fldSimple w:instr=" SEQ Table \* ARABIC ">
        <w:r w:rsidR="00FA7BCD">
          <w:rPr>
            <w:noProof/>
          </w:rPr>
          <w:t>26</w:t>
        </w:r>
      </w:fldSimple>
      <w:bookmarkEnd w:id="240"/>
      <w:r>
        <w:tab/>
      </w:r>
      <w:r w:rsidR="00597114">
        <w:t>Case series</w:t>
      </w:r>
      <w:r w:rsidR="002E77AE">
        <w:t xml:space="preserve"> (level IV </w:t>
      </w:r>
      <w:r w:rsidR="00F96CA1">
        <w:t>evidence</w:t>
      </w:r>
      <w:r w:rsidR="002E77AE">
        <w:t>)</w:t>
      </w:r>
      <w:r>
        <w:t xml:space="preserve"> included for prognostic outcomes</w:t>
      </w:r>
      <w:bookmarkEnd w:id="241"/>
    </w:p>
    <w:tbl>
      <w:tblPr>
        <w:tblStyle w:val="TableGrid"/>
        <w:tblW w:w="9209" w:type="dxa"/>
        <w:tblLayout w:type="fixed"/>
        <w:tblLook w:val="04A0" w:firstRow="1" w:lastRow="0" w:firstColumn="1" w:lastColumn="0" w:noHBand="0" w:noVBand="1"/>
        <w:tblCaption w:val="Table 26 Case series (level IV evidence) included for prognostic outcomes"/>
        <w:tblDescription w:val="Study details for primary articles included that reported rpognostic data"/>
      </w:tblPr>
      <w:tblGrid>
        <w:gridCol w:w="988"/>
        <w:gridCol w:w="1275"/>
        <w:gridCol w:w="993"/>
        <w:gridCol w:w="1701"/>
        <w:gridCol w:w="1559"/>
        <w:gridCol w:w="2693"/>
      </w:tblGrid>
      <w:tr w:rsidR="00717C73" w:rsidRPr="007D24FA" w14:paraId="3D45CDB0" w14:textId="77777777" w:rsidTr="0012043A">
        <w:trPr>
          <w:trHeight w:val="699"/>
        </w:trPr>
        <w:tc>
          <w:tcPr>
            <w:tcW w:w="988" w:type="dxa"/>
          </w:tcPr>
          <w:p w14:paraId="14D36B60" w14:textId="77777777" w:rsidR="00717C73" w:rsidRPr="007D24FA" w:rsidRDefault="00717C73" w:rsidP="00447C83">
            <w:pPr>
              <w:pStyle w:val="TableHeading"/>
              <w:ind w:left="0"/>
            </w:pPr>
            <w:r w:rsidRPr="007D24FA">
              <w:t>Study ID</w:t>
            </w:r>
          </w:p>
          <w:p w14:paraId="0DCB0EAE" w14:textId="77777777" w:rsidR="00717C73" w:rsidRPr="007D24FA" w:rsidRDefault="00717C73" w:rsidP="00447C83">
            <w:pPr>
              <w:pStyle w:val="TableHeading"/>
              <w:ind w:left="0"/>
            </w:pPr>
            <w:r w:rsidRPr="007D24FA">
              <w:t>Country</w:t>
            </w:r>
          </w:p>
        </w:tc>
        <w:tc>
          <w:tcPr>
            <w:tcW w:w="1275" w:type="dxa"/>
          </w:tcPr>
          <w:p w14:paraId="41FEE3A8" w14:textId="77777777" w:rsidR="00717C73" w:rsidRPr="007D24FA" w:rsidRDefault="00717C73" w:rsidP="00447C83">
            <w:pPr>
              <w:pStyle w:val="TableHeading"/>
              <w:ind w:left="0"/>
            </w:pPr>
            <w:r>
              <w:t>Median follow-up</w:t>
            </w:r>
          </w:p>
        </w:tc>
        <w:tc>
          <w:tcPr>
            <w:tcW w:w="993" w:type="dxa"/>
          </w:tcPr>
          <w:p w14:paraId="6A707194" w14:textId="77777777" w:rsidR="00717C73" w:rsidRPr="007D24FA" w:rsidRDefault="00717C73" w:rsidP="00447C83">
            <w:pPr>
              <w:pStyle w:val="TableHeading"/>
              <w:ind w:left="0"/>
            </w:pPr>
            <w:r>
              <w:t>Risk of bias</w:t>
            </w:r>
          </w:p>
        </w:tc>
        <w:tc>
          <w:tcPr>
            <w:tcW w:w="1701" w:type="dxa"/>
          </w:tcPr>
          <w:p w14:paraId="76C23AE4" w14:textId="77777777" w:rsidR="00717C73" w:rsidRDefault="00717C73" w:rsidP="00447C83">
            <w:pPr>
              <w:pStyle w:val="TableHeading"/>
              <w:ind w:left="0"/>
            </w:pPr>
            <w:r w:rsidRPr="007D24FA">
              <w:t>Population description</w:t>
            </w:r>
          </w:p>
          <w:p w14:paraId="145A2DE6" w14:textId="77777777" w:rsidR="00717C73" w:rsidRPr="007D24FA" w:rsidRDefault="00717C73" w:rsidP="00447C83">
            <w:pPr>
              <w:pStyle w:val="TableHeading"/>
              <w:ind w:left="0"/>
            </w:pPr>
            <w:r>
              <w:t>N cases</w:t>
            </w:r>
          </w:p>
        </w:tc>
        <w:tc>
          <w:tcPr>
            <w:tcW w:w="1559" w:type="dxa"/>
          </w:tcPr>
          <w:p w14:paraId="629F87C6" w14:textId="77777777" w:rsidR="00717C73" w:rsidRPr="007D24FA" w:rsidRDefault="00717C73" w:rsidP="00447C83">
            <w:pPr>
              <w:pStyle w:val="TableHeading"/>
              <w:ind w:left="0"/>
            </w:pPr>
            <w:r>
              <w:t>Intervention</w:t>
            </w:r>
          </w:p>
        </w:tc>
        <w:tc>
          <w:tcPr>
            <w:tcW w:w="2693" w:type="dxa"/>
          </w:tcPr>
          <w:p w14:paraId="1D28B21D" w14:textId="77777777" w:rsidR="00717C73" w:rsidRPr="007D24FA" w:rsidRDefault="00717C73" w:rsidP="00447C83">
            <w:pPr>
              <w:pStyle w:val="TableHeading"/>
              <w:ind w:left="0"/>
            </w:pPr>
            <w:r>
              <w:t>Outcomes</w:t>
            </w:r>
          </w:p>
        </w:tc>
      </w:tr>
      <w:tr w:rsidR="00717C73" w:rsidRPr="003C720E" w14:paraId="516B57BF" w14:textId="77777777" w:rsidTr="0012043A">
        <w:trPr>
          <w:trHeight w:val="1034"/>
        </w:trPr>
        <w:tc>
          <w:tcPr>
            <w:tcW w:w="988" w:type="dxa"/>
          </w:tcPr>
          <w:p w14:paraId="39F0B9E5" w14:textId="77777777" w:rsidR="00717C73" w:rsidRDefault="00717C73" w:rsidP="00447C83">
            <w:pPr>
              <w:pStyle w:val="TableText0"/>
              <w:ind w:left="0"/>
            </w:pPr>
            <w:r>
              <w:fldChar w:fldCharType="begin">
                <w:fldData xml:space="preserve">PEVuZE5vdGU+PENpdGU+PEF1dGhvcj5Db250ZW50dGk8L0F1dGhvcj48WWVhcj4yMDE3PC9ZZWFy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=
</w:fldData>
              </w:fldChar>
            </w:r>
            <w:r w:rsidR="00156621">
              <w:instrText xml:space="preserve"> ADDIN EN.CITE </w:instrText>
            </w:r>
            <w:r w:rsidR="00156621">
              <w:fldChar w:fldCharType="begin">
                <w:fldData xml:space="preserve">PEVuZE5vdGU+PENpdGU+PEF1dGhvcj5Db250ZW50dGk8L0F1dGhvcj48WWVhcj4yMDE3PC9ZZWFy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=
</w:fldData>
              </w:fldChar>
            </w:r>
            <w:r w:rsidR="00156621">
              <w:instrText xml:space="preserve"> ADDIN EN.CITE.DATA </w:instrText>
            </w:r>
            <w:r w:rsidR="00156621">
              <w:fldChar w:fldCharType="end"/>
            </w:r>
            <w:r>
              <w:fldChar w:fldCharType="separate"/>
            </w:r>
            <w:r w:rsidR="00156621">
              <w:rPr>
                <w:noProof/>
              </w:rPr>
              <w:t>(Contentti, CE et al. 2017)</w:t>
            </w:r>
            <w:r>
              <w:fldChar w:fldCharType="end"/>
            </w:r>
          </w:p>
          <w:p w14:paraId="631861AD" w14:textId="77777777" w:rsidR="00717C73" w:rsidRPr="003C720E" w:rsidRDefault="00717C73" w:rsidP="00447C83">
            <w:pPr>
              <w:pStyle w:val="TableText0"/>
              <w:ind w:left="0"/>
            </w:pPr>
            <w:r>
              <w:t>Argentina</w:t>
            </w:r>
          </w:p>
        </w:tc>
        <w:tc>
          <w:tcPr>
            <w:tcW w:w="1275" w:type="dxa"/>
          </w:tcPr>
          <w:p w14:paraId="396821BC" w14:textId="77777777" w:rsidR="00717C73" w:rsidRDefault="00717C73" w:rsidP="00447C83">
            <w:pPr>
              <w:pStyle w:val="TableText0"/>
              <w:ind w:left="0"/>
            </w:pPr>
            <w:r>
              <w:t xml:space="preserve">Mean 34 </w:t>
            </w:r>
            <w:r>
              <w:rPr>
                <w:rFonts w:cs="Calibri"/>
              </w:rPr>
              <w:t>±</w:t>
            </w:r>
            <w:r>
              <w:t xml:space="preserve"> 20.3 months</w:t>
            </w:r>
          </w:p>
        </w:tc>
        <w:tc>
          <w:tcPr>
            <w:tcW w:w="993" w:type="dxa"/>
          </w:tcPr>
          <w:p w14:paraId="6AE2F4BF" w14:textId="77777777" w:rsidR="00717C73" w:rsidRDefault="00717C73" w:rsidP="00447C83">
            <w:pPr>
              <w:pStyle w:val="TableText0"/>
              <w:ind w:left="0"/>
            </w:pPr>
            <w:r>
              <w:t>Moderate</w:t>
            </w:r>
          </w:p>
        </w:tc>
        <w:tc>
          <w:tcPr>
            <w:tcW w:w="1701" w:type="dxa"/>
          </w:tcPr>
          <w:p w14:paraId="1FD44038" w14:textId="77777777" w:rsidR="00717C73" w:rsidRDefault="00717C73" w:rsidP="00447C83">
            <w:pPr>
              <w:pStyle w:val="TableText0"/>
              <w:ind w:left="0"/>
            </w:pPr>
            <w:r>
              <w:t>First presentation LETM</w:t>
            </w:r>
          </w:p>
          <w:p w14:paraId="2CB06F80" w14:textId="77777777" w:rsidR="00717C73" w:rsidRPr="003C720E" w:rsidRDefault="00717C73" w:rsidP="00447C83">
            <w:pPr>
              <w:pStyle w:val="TableText0"/>
              <w:ind w:left="0"/>
            </w:pPr>
            <w:r>
              <w:t>N=30</w:t>
            </w:r>
          </w:p>
        </w:tc>
        <w:tc>
          <w:tcPr>
            <w:tcW w:w="1559" w:type="dxa"/>
          </w:tcPr>
          <w:p w14:paraId="07B23C19" w14:textId="77777777" w:rsidR="00717C73" w:rsidRPr="003C720E" w:rsidRDefault="00717C73" w:rsidP="00447C83">
            <w:pPr>
              <w:pStyle w:val="TableText0"/>
              <w:ind w:left="0"/>
            </w:pPr>
            <w:r>
              <w:t xml:space="preserve">AQP4-Ab testing and diagnosis </w:t>
            </w:r>
            <w:r w:rsidR="00BD5F0A">
              <w:t>(2015 criteria)</w:t>
            </w:r>
          </w:p>
        </w:tc>
        <w:tc>
          <w:tcPr>
            <w:tcW w:w="2693" w:type="dxa"/>
          </w:tcPr>
          <w:p w14:paraId="5BB84034" w14:textId="77777777" w:rsidR="00717C73" w:rsidRDefault="00717C73" w:rsidP="00447C83">
            <w:pPr>
              <w:pStyle w:val="TableText0"/>
              <w:ind w:left="0"/>
            </w:pPr>
            <w:r>
              <w:t>Rate of conversion from first event to NMOSD or MS diagnosis</w:t>
            </w:r>
          </w:p>
          <w:p w14:paraId="468402C7" w14:textId="77777777" w:rsidR="00717C73" w:rsidRPr="003C720E" w:rsidRDefault="00717C73" w:rsidP="00447C83">
            <w:pPr>
              <w:pStyle w:val="TableText0"/>
              <w:ind w:left="0"/>
            </w:pPr>
            <w:r>
              <w:t>Relapse rate</w:t>
            </w:r>
          </w:p>
        </w:tc>
      </w:tr>
      <w:tr w:rsidR="00717C73" w:rsidRPr="003C720E" w14:paraId="67B5E274" w14:textId="77777777" w:rsidTr="0012043A">
        <w:trPr>
          <w:trHeight w:val="1151"/>
        </w:trPr>
        <w:tc>
          <w:tcPr>
            <w:tcW w:w="988" w:type="dxa"/>
          </w:tcPr>
          <w:p w14:paraId="1E1210DB" w14:textId="77777777" w:rsidR="00717C73" w:rsidRDefault="00717C73" w:rsidP="00447C83">
            <w:pPr>
              <w:pStyle w:val="TableText0"/>
              <w:ind w:left="0"/>
            </w:pPr>
            <w:r>
              <w:fldChar w:fldCharType="begin">
                <w:fldData xml:space="preserve">PEVuZE5vdGU+PENpdGU+PEF1dGhvcj5DaGVuZzwvQXV0aG9yPjxZZWFyPjIwMTY8L1llYXI+PFJl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</w:fldData>
              </w:fldChar>
            </w:r>
            <w:r>
              <w:instrText xml:space="preserve"> ADDIN EN.CITE </w:instrText>
            </w:r>
            <w:r>
              <w:fldChar w:fldCharType="begin">
                <w:fldData xml:space="preserve">PEVuZE5vdGU+PENpdGU+PEF1dGhvcj5DaGVuZzwvQXV0aG9yPjxZZWFyPjIwMTY8L1llYXI+PFJl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</w:fldData>
              </w:fldChar>
            </w:r>
            <w:r>
              <w:instrText xml:space="preserve"> ADDIN EN.CITE.DATA </w:instrText>
            </w:r>
            <w:r>
              <w:fldChar w:fldCharType="end"/>
            </w:r>
            <w:r>
              <w:fldChar w:fldCharType="separate"/>
            </w:r>
            <w:r>
              <w:rPr>
                <w:noProof/>
              </w:rPr>
              <w:t>(Cheng et al. 2016)</w:t>
            </w:r>
            <w:r>
              <w:fldChar w:fldCharType="end"/>
            </w:r>
          </w:p>
          <w:p w14:paraId="361D6C90" w14:textId="77777777" w:rsidR="00717C73" w:rsidRPr="003C720E" w:rsidRDefault="00717C73" w:rsidP="00447C83">
            <w:pPr>
              <w:pStyle w:val="TableText0"/>
              <w:ind w:left="0"/>
            </w:pPr>
            <w:r>
              <w:t>China</w:t>
            </w:r>
          </w:p>
        </w:tc>
        <w:tc>
          <w:tcPr>
            <w:tcW w:w="1275" w:type="dxa"/>
          </w:tcPr>
          <w:p w14:paraId="21DAA356" w14:textId="77777777" w:rsidR="00717C73" w:rsidRDefault="00717C73" w:rsidP="00447C83">
            <w:pPr>
              <w:pStyle w:val="TableText0"/>
              <w:ind w:left="0"/>
            </w:pPr>
            <w:r>
              <w:t xml:space="preserve">Mean 44.51 </w:t>
            </w:r>
            <w:r>
              <w:rPr>
                <w:rFonts w:cs="Calibri"/>
              </w:rPr>
              <w:t>±</w:t>
            </w:r>
            <w:r>
              <w:t xml:space="preserve"> 14.86 months</w:t>
            </w:r>
          </w:p>
        </w:tc>
        <w:tc>
          <w:tcPr>
            <w:tcW w:w="993" w:type="dxa"/>
          </w:tcPr>
          <w:p w14:paraId="5BB8D79B" w14:textId="77777777" w:rsidR="00717C73" w:rsidRDefault="00717C73" w:rsidP="00447C83">
            <w:pPr>
              <w:pStyle w:val="TableText0"/>
              <w:ind w:left="0"/>
            </w:pPr>
            <w:r>
              <w:t>Moderate</w:t>
            </w:r>
          </w:p>
        </w:tc>
        <w:tc>
          <w:tcPr>
            <w:tcW w:w="1701" w:type="dxa"/>
          </w:tcPr>
          <w:p w14:paraId="5D344C71" w14:textId="77777777" w:rsidR="00717C73" w:rsidRDefault="00717C73" w:rsidP="00447C83">
            <w:pPr>
              <w:pStyle w:val="TableText0"/>
              <w:ind w:left="0"/>
            </w:pPr>
            <w:r>
              <w:t>First event ABS</w:t>
            </w:r>
          </w:p>
          <w:p w14:paraId="3A6583E9" w14:textId="77777777" w:rsidR="00717C73" w:rsidRPr="003C720E" w:rsidRDefault="00717C73" w:rsidP="00447C83">
            <w:pPr>
              <w:pStyle w:val="TableText0"/>
              <w:ind w:left="0"/>
            </w:pPr>
            <w:r>
              <w:t>N=31</w:t>
            </w:r>
          </w:p>
        </w:tc>
        <w:tc>
          <w:tcPr>
            <w:tcW w:w="1559" w:type="dxa"/>
          </w:tcPr>
          <w:p w14:paraId="63825AF5" w14:textId="77777777" w:rsidR="00717C73" w:rsidRPr="003C720E" w:rsidRDefault="00717C73" w:rsidP="00447C83">
            <w:pPr>
              <w:pStyle w:val="TableText0"/>
              <w:ind w:left="0"/>
            </w:pPr>
            <w:r>
              <w:t>AQP4-Ab testing and diagnosis</w:t>
            </w:r>
            <w:r w:rsidR="00BD5F0A">
              <w:t xml:space="preserve"> (2006 and 2015 criteria)</w:t>
            </w:r>
          </w:p>
        </w:tc>
        <w:tc>
          <w:tcPr>
            <w:tcW w:w="2693" w:type="dxa"/>
          </w:tcPr>
          <w:p w14:paraId="1AE856A0" w14:textId="77777777" w:rsidR="00717C73" w:rsidRDefault="00717C73" w:rsidP="00447C83">
            <w:pPr>
              <w:pStyle w:val="TableText0"/>
              <w:ind w:left="0"/>
            </w:pPr>
            <w:r>
              <w:t>Rate of conversion from first event to NMOSD or MS diagnosis</w:t>
            </w:r>
          </w:p>
          <w:p w14:paraId="5E5007FF" w14:textId="77777777" w:rsidR="00717C73" w:rsidRDefault="00717C73" w:rsidP="00447C83">
            <w:pPr>
              <w:pStyle w:val="TableText0"/>
              <w:ind w:left="0"/>
            </w:pPr>
            <w:r>
              <w:t>Relapse rate</w:t>
            </w:r>
          </w:p>
          <w:p w14:paraId="3F4FB39A" w14:textId="77777777" w:rsidR="00717C73" w:rsidRDefault="00717C73" w:rsidP="00447C83">
            <w:pPr>
              <w:pStyle w:val="TableText0"/>
              <w:ind w:left="0"/>
            </w:pPr>
            <w:r>
              <w:t>Change in EDSS</w:t>
            </w:r>
          </w:p>
          <w:p w14:paraId="6FA9FF59" w14:textId="77777777" w:rsidR="00717C73" w:rsidRPr="003C720E" w:rsidRDefault="00717C73" w:rsidP="00447C83">
            <w:pPr>
              <w:pStyle w:val="TableText0"/>
              <w:ind w:left="0"/>
            </w:pPr>
            <w:r>
              <w:t>Risk of developing NMOSD</w:t>
            </w:r>
          </w:p>
        </w:tc>
      </w:tr>
      <w:tr w:rsidR="00717C73" w:rsidRPr="003C720E" w14:paraId="22970271" w14:textId="77777777" w:rsidTr="0012043A">
        <w:trPr>
          <w:trHeight w:val="918"/>
        </w:trPr>
        <w:tc>
          <w:tcPr>
            <w:tcW w:w="988" w:type="dxa"/>
          </w:tcPr>
          <w:p w14:paraId="47BD7659" w14:textId="77777777" w:rsidR="00717C73" w:rsidRDefault="00717C73" w:rsidP="00447C83">
            <w:pPr>
              <w:pStyle w:val="TableText0"/>
              <w:ind w:left="0"/>
            </w:pPr>
            <w:r>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Y3VzdG9tMz5FTUJBU0UgNjEyMTI1MTE2PC9jdXN0b20zPjwvcmVjb3JkPjwvQ2l0ZT48Q2l0ZT48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=
</w:fldData>
              </w:fldChar>
            </w:r>
            <w:r w:rsidR="00AC01FD">
              <w:instrText xml:space="preserve"> ADDIN EN.CITE </w:instrText>
            </w:r>
            <w:r w:rsidR="00AC01FD">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Y3VzdG9tMz5FTUJBU0UgNjEyMTI1MTE2PC9jdXN0b20zPjwvcmVjb3JkPjwvQ2l0ZT48Q2l0ZT48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=
</w:fldData>
              </w:fldChar>
            </w:r>
            <w:r w:rsidR="00AC01FD">
              <w:instrText xml:space="preserve"> ADDIN EN.CITE.DATA </w:instrText>
            </w:r>
            <w:r w:rsidR="00AC01FD">
              <w:fldChar w:fldCharType="end"/>
            </w:r>
            <w:r>
              <w:fldChar w:fldCharType="separate"/>
            </w:r>
            <w:r w:rsidR="00156621">
              <w:rPr>
                <w:noProof/>
              </w:rPr>
              <w:t>(Cobo-Calvo et al. 2016)</w:t>
            </w:r>
            <w:r>
              <w:fldChar w:fldCharType="end"/>
            </w:r>
          </w:p>
          <w:p w14:paraId="4A7217FD" w14:textId="77777777" w:rsidR="00717C73" w:rsidRPr="003C720E" w:rsidRDefault="00717C73" w:rsidP="00447C83">
            <w:pPr>
              <w:pStyle w:val="TableText0"/>
              <w:ind w:left="0"/>
            </w:pPr>
            <w:r>
              <w:t>France, Spain</w:t>
            </w:r>
          </w:p>
        </w:tc>
        <w:tc>
          <w:tcPr>
            <w:tcW w:w="1275" w:type="dxa"/>
          </w:tcPr>
          <w:p w14:paraId="160F0EB8" w14:textId="77777777" w:rsidR="00717C73" w:rsidRDefault="00717C73" w:rsidP="00447C83">
            <w:pPr>
              <w:pStyle w:val="TableText0"/>
              <w:ind w:left="0"/>
            </w:pPr>
            <w:r>
              <w:t>42.2 (25-79.5) months</w:t>
            </w:r>
          </w:p>
        </w:tc>
        <w:tc>
          <w:tcPr>
            <w:tcW w:w="993" w:type="dxa"/>
          </w:tcPr>
          <w:p w14:paraId="5AB45919" w14:textId="77777777" w:rsidR="00717C73" w:rsidRDefault="00717C73" w:rsidP="00447C83">
            <w:pPr>
              <w:pStyle w:val="TableText0"/>
              <w:ind w:left="0"/>
            </w:pPr>
            <w:r>
              <w:t>Moderate</w:t>
            </w:r>
          </w:p>
        </w:tc>
        <w:tc>
          <w:tcPr>
            <w:tcW w:w="1701" w:type="dxa"/>
          </w:tcPr>
          <w:p w14:paraId="53CAED05" w14:textId="77777777" w:rsidR="00717C73" w:rsidRDefault="00717C73" w:rsidP="00447C83">
            <w:pPr>
              <w:pStyle w:val="TableText0"/>
              <w:ind w:left="0"/>
            </w:pPr>
            <w:r>
              <w:t>Monophasic LETM; AQP4-AB -ve</w:t>
            </w:r>
          </w:p>
          <w:p w14:paraId="2AF3C9F6" w14:textId="77777777" w:rsidR="00717C73" w:rsidRPr="003C720E" w:rsidRDefault="00717C73" w:rsidP="00447C83">
            <w:pPr>
              <w:pStyle w:val="TableText0"/>
              <w:ind w:left="0"/>
            </w:pPr>
            <w:r>
              <w:t>N=56 Adults</w:t>
            </w:r>
          </w:p>
        </w:tc>
        <w:tc>
          <w:tcPr>
            <w:tcW w:w="1559" w:type="dxa"/>
          </w:tcPr>
          <w:p w14:paraId="6597A07B" w14:textId="77777777" w:rsidR="00717C73" w:rsidRPr="003C720E" w:rsidRDefault="00717C73" w:rsidP="00447C83">
            <w:pPr>
              <w:pStyle w:val="TableText0"/>
              <w:ind w:left="0"/>
            </w:pPr>
            <w:r>
              <w:t>MOG-Ab testing and diagnosis</w:t>
            </w:r>
            <w:r w:rsidR="00BD5F0A">
              <w:t xml:space="preserve"> (2006 criteria)</w:t>
            </w:r>
          </w:p>
        </w:tc>
        <w:tc>
          <w:tcPr>
            <w:tcW w:w="2693" w:type="dxa"/>
          </w:tcPr>
          <w:p w14:paraId="04F47EC8" w14:textId="77777777" w:rsidR="00717C73" w:rsidRDefault="00717C73" w:rsidP="00447C83">
            <w:pPr>
              <w:pStyle w:val="TableText0"/>
              <w:ind w:left="0"/>
            </w:pPr>
            <w:r>
              <w:t>Rate of conversion from first event to NMOSD</w:t>
            </w:r>
          </w:p>
          <w:p w14:paraId="32B067F1" w14:textId="77777777" w:rsidR="00717C73" w:rsidRDefault="00717C73" w:rsidP="00447C83">
            <w:pPr>
              <w:pStyle w:val="TableText0"/>
              <w:ind w:left="0"/>
            </w:pPr>
            <w:r>
              <w:t>Rate of conversion from first event to MS</w:t>
            </w:r>
          </w:p>
          <w:p w14:paraId="3490659D" w14:textId="77777777" w:rsidR="00717C73" w:rsidRPr="003C720E" w:rsidRDefault="00717C73" w:rsidP="00447C83">
            <w:pPr>
              <w:pStyle w:val="TableText0"/>
              <w:ind w:left="0"/>
            </w:pPr>
            <w:r>
              <w:t>Recurrence rate of LETM after first event</w:t>
            </w:r>
          </w:p>
        </w:tc>
      </w:tr>
      <w:tr w:rsidR="00717C73" w:rsidRPr="003C720E" w14:paraId="6EE20C09" w14:textId="77777777" w:rsidTr="0012043A">
        <w:trPr>
          <w:trHeight w:val="992"/>
        </w:trPr>
        <w:tc>
          <w:tcPr>
            <w:tcW w:w="988" w:type="dxa"/>
          </w:tcPr>
          <w:p w14:paraId="16456AB1" w14:textId="2C2DB70A" w:rsidR="00717C73" w:rsidRDefault="00156621" w:rsidP="00447C83">
            <w:pPr>
              <w:pStyle w:val="TableText0"/>
              <w:ind w:left="0"/>
            </w:pPr>
            <w:r>
              <w:fldChar w:fldCharType="begin">
                <w:fldData xml:space="preserve">PEVuZE5vdGU+PENpdGU+PEF1dGhvcj5MaXU8L0F1dGhvcj48WWVhcj4yMDE5PC9ZZWFyPjxSZWNO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</w:fldData>
              </w:fldChar>
            </w:r>
            <w:r w:rsidR="00D96694">
              <w:instrText xml:space="preserve"> ADDIN EN.CITE </w:instrText>
            </w:r>
            <w:r w:rsidR="00D96694">
              <w:fldChar w:fldCharType="begin">
                <w:fldData xml:space="preserve">PEVuZE5vdGU+PENpdGU+PEF1dGhvcj5MaXU8L0F1dGhvcj48WWVhcj4yMDE5PC9ZZWFyPjxSZWNO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</w:fldData>
              </w:fldChar>
            </w:r>
            <w:r w:rsidR="00D96694">
              <w:instrText xml:space="preserve"> ADDIN EN.CITE.DATA </w:instrText>
            </w:r>
            <w:r w:rsidR="00D96694">
              <w:fldChar w:fldCharType="end"/>
            </w:r>
            <w:r>
              <w:fldChar w:fldCharType="separate"/>
            </w:r>
            <w:r>
              <w:rPr>
                <w:noProof/>
              </w:rPr>
              <w:t>(Liu et al. 2019)</w:t>
            </w:r>
            <w:r>
              <w:fldChar w:fldCharType="end"/>
            </w:r>
          </w:p>
          <w:p w14:paraId="001AC047" w14:textId="77777777" w:rsidR="00717C73" w:rsidRPr="003C720E" w:rsidRDefault="00717C73" w:rsidP="00447C83">
            <w:pPr>
              <w:pStyle w:val="TableText0"/>
              <w:ind w:left="0"/>
            </w:pPr>
            <w:r>
              <w:t>China</w:t>
            </w:r>
          </w:p>
        </w:tc>
        <w:tc>
          <w:tcPr>
            <w:tcW w:w="1275" w:type="dxa"/>
          </w:tcPr>
          <w:p w14:paraId="1D4F0B35" w14:textId="77777777" w:rsidR="00717C73" w:rsidRDefault="00717C73" w:rsidP="00447C83">
            <w:pPr>
              <w:pStyle w:val="TableText0"/>
              <w:ind w:left="0"/>
            </w:pPr>
            <w:r>
              <w:t xml:space="preserve">&gt;12 months </w:t>
            </w:r>
          </w:p>
        </w:tc>
        <w:tc>
          <w:tcPr>
            <w:tcW w:w="993" w:type="dxa"/>
          </w:tcPr>
          <w:p w14:paraId="7C6DB88F" w14:textId="77777777" w:rsidR="00717C73" w:rsidRDefault="00717C73" w:rsidP="00447C83">
            <w:pPr>
              <w:pStyle w:val="TableText0"/>
              <w:ind w:left="0"/>
            </w:pPr>
            <w:r>
              <w:t>Moderate</w:t>
            </w:r>
          </w:p>
        </w:tc>
        <w:tc>
          <w:tcPr>
            <w:tcW w:w="1701" w:type="dxa"/>
          </w:tcPr>
          <w:p w14:paraId="184E390B" w14:textId="77777777" w:rsidR="00717C73" w:rsidRDefault="00717C73" w:rsidP="00447C83">
            <w:pPr>
              <w:pStyle w:val="TableText0"/>
              <w:ind w:left="0"/>
            </w:pPr>
            <w:r>
              <w:t>ON diagnosis based on the ONT</w:t>
            </w:r>
            <w:r w:rsidR="008066F8">
              <w:t>T</w:t>
            </w:r>
            <w:r>
              <w:t xml:space="preserve"> criteria</w:t>
            </w:r>
          </w:p>
          <w:p w14:paraId="0BEF0E7A" w14:textId="77777777" w:rsidR="00717C73" w:rsidRPr="003C720E" w:rsidRDefault="00717C73" w:rsidP="00447C83">
            <w:pPr>
              <w:pStyle w:val="TableText0"/>
              <w:ind w:left="0"/>
            </w:pPr>
            <w:r>
              <w:t>N=158</w:t>
            </w:r>
          </w:p>
        </w:tc>
        <w:tc>
          <w:tcPr>
            <w:tcW w:w="1559" w:type="dxa"/>
          </w:tcPr>
          <w:p w14:paraId="6D0B09A0" w14:textId="77777777" w:rsidR="00717C73" w:rsidRPr="003C720E" w:rsidRDefault="00717C73" w:rsidP="00447C83">
            <w:pPr>
              <w:pStyle w:val="TableText0"/>
              <w:ind w:left="0"/>
            </w:pPr>
            <w:r>
              <w:t>AQP4-Ab and MOG-Ab testing; diagnosis</w:t>
            </w:r>
            <w:r w:rsidR="00BD5F0A">
              <w:t xml:space="preserve"> (2015 criteria)</w:t>
            </w:r>
          </w:p>
        </w:tc>
        <w:tc>
          <w:tcPr>
            <w:tcW w:w="2693" w:type="dxa"/>
          </w:tcPr>
          <w:p w14:paraId="5B7D3EE0" w14:textId="77777777" w:rsidR="00717C73" w:rsidRPr="003C720E" w:rsidRDefault="00717C73" w:rsidP="00447C83">
            <w:pPr>
              <w:pStyle w:val="TableText0"/>
              <w:ind w:left="0"/>
            </w:pPr>
            <w:r>
              <w:t>Rate of conversion from ON diagnosis to NMOSD diagnosis</w:t>
            </w:r>
          </w:p>
        </w:tc>
      </w:tr>
      <w:tr w:rsidR="00717C73" w:rsidRPr="003C720E" w14:paraId="70E154AB" w14:textId="77777777" w:rsidTr="0012043A">
        <w:trPr>
          <w:trHeight w:val="760"/>
        </w:trPr>
        <w:tc>
          <w:tcPr>
            <w:tcW w:w="988" w:type="dxa"/>
          </w:tcPr>
          <w:p w14:paraId="70F4AE5A" w14:textId="24640062" w:rsidR="00717C73" w:rsidRDefault="00156621" w:rsidP="00447C83">
            <w:pPr>
              <w:pStyle w:val="TableText0"/>
              <w:ind w:left="0"/>
            </w:pPr>
            <w:r>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instrText xml:space="preserve"> ADDIN EN.CITE </w:instrText>
            </w:r>
            <w:r w:rsidR="00D96694">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instrText xml:space="preserve"> ADDIN EN.CITE.DATA </w:instrText>
            </w:r>
            <w:r w:rsidR="00D96694">
              <w:fldChar w:fldCharType="end"/>
            </w:r>
            <w:r>
              <w:fldChar w:fldCharType="separate"/>
            </w:r>
            <w:r>
              <w:rPr>
                <w:noProof/>
              </w:rPr>
              <w:t>(Li et al. 2015)</w:t>
            </w:r>
            <w:r>
              <w:fldChar w:fldCharType="end"/>
            </w:r>
          </w:p>
          <w:p w14:paraId="75D1A0E9" w14:textId="77777777" w:rsidR="00717C73" w:rsidRDefault="00717C73" w:rsidP="00447C83">
            <w:pPr>
              <w:pStyle w:val="TableText0"/>
              <w:ind w:left="0"/>
            </w:pPr>
            <w:r>
              <w:t>China</w:t>
            </w:r>
          </w:p>
        </w:tc>
        <w:tc>
          <w:tcPr>
            <w:tcW w:w="1275" w:type="dxa"/>
          </w:tcPr>
          <w:p w14:paraId="06171258" w14:textId="77777777" w:rsidR="00717C73" w:rsidRDefault="00717C73" w:rsidP="00447C83">
            <w:pPr>
              <w:pStyle w:val="TableText0"/>
              <w:ind w:left="0"/>
            </w:pPr>
            <w:r>
              <w:t>&gt;12 months</w:t>
            </w:r>
          </w:p>
        </w:tc>
        <w:tc>
          <w:tcPr>
            <w:tcW w:w="993" w:type="dxa"/>
          </w:tcPr>
          <w:p w14:paraId="3E276BA6" w14:textId="77777777" w:rsidR="00717C73" w:rsidRDefault="008F3D7D" w:rsidP="00447C83">
            <w:pPr>
              <w:pStyle w:val="TableText0"/>
              <w:ind w:left="0"/>
            </w:pPr>
            <w:r>
              <w:t>Low</w:t>
            </w:r>
          </w:p>
        </w:tc>
        <w:tc>
          <w:tcPr>
            <w:tcW w:w="1701" w:type="dxa"/>
          </w:tcPr>
          <w:p w14:paraId="09598332" w14:textId="77777777" w:rsidR="00717C73" w:rsidRDefault="00717C73" w:rsidP="00447C83">
            <w:pPr>
              <w:pStyle w:val="TableText0"/>
              <w:ind w:left="0"/>
            </w:pPr>
            <w:r>
              <w:t>Recurrent or bilateral ON</w:t>
            </w:r>
          </w:p>
          <w:p w14:paraId="4A0AB801" w14:textId="77777777" w:rsidR="00717C73" w:rsidRDefault="00717C73" w:rsidP="00447C83">
            <w:pPr>
              <w:pStyle w:val="TableText0"/>
              <w:ind w:left="0"/>
            </w:pPr>
            <w:r>
              <w:t>N=125</w:t>
            </w:r>
          </w:p>
        </w:tc>
        <w:tc>
          <w:tcPr>
            <w:tcW w:w="1559" w:type="dxa"/>
          </w:tcPr>
          <w:p w14:paraId="1841E9F7" w14:textId="77777777" w:rsidR="00717C73" w:rsidRDefault="00717C73" w:rsidP="00447C83">
            <w:pPr>
              <w:pStyle w:val="TableText0"/>
              <w:ind w:left="0"/>
            </w:pPr>
            <w:r>
              <w:t>AQP4-Ab testing</w:t>
            </w:r>
            <w:r w:rsidR="00BD5F0A">
              <w:t xml:space="preserve"> and diagnosis (2006 criteria)</w:t>
            </w:r>
          </w:p>
        </w:tc>
        <w:tc>
          <w:tcPr>
            <w:tcW w:w="2693" w:type="dxa"/>
          </w:tcPr>
          <w:p w14:paraId="33B955EA" w14:textId="77777777" w:rsidR="00717C73" w:rsidRDefault="00717C73" w:rsidP="00447C83">
            <w:pPr>
              <w:pStyle w:val="TableText0"/>
              <w:ind w:left="0"/>
            </w:pPr>
            <w:r>
              <w:t>Rate of conversion to NMOSD or MS</w:t>
            </w:r>
          </w:p>
          <w:p w14:paraId="6821B9C9" w14:textId="77777777" w:rsidR="00717C73" w:rsidRDefault="00717C73" w:rsidP="00447C83">
            <w:pPr>
              <w:pStyle w:val="TableText0"/>
              <w:ind w:left="0"/>
            </w:pPr>
            <w:r>
              <w:t>Rate of VA remission</w:t>
            </w:r>
          </w:p>
        </w:tc>
      </w:tr>
      <w:tr w:rsidR="001423A6" w:rsidRPr="003C720E" w14:paraId="66DC127E" w14:textId="77777777" w:rsidTr="0012043A">
        <w:trPr>
          <w:trHeight w:val="700"/>
        </w:trPr>
        <w:tc>
          <w:tcPr>
            <w:tcW w:w="988" w:type="dxa"/>
          </w:tcPr>
          <w:p w14:paraId="0F7A1F9B" w14:textId="77777777" w:rsidR="001423A6" w:rsidRDefault="00156621" w:rsidP="00447C83">
            <w:pPr>
              <w:pStyle w:val="TableText0"/>
              <w:ind w:left="0"/>
            </w:pPr>
            <w:r>
              <w:fldChar w:fldCharType="begin">
                <w:fldData xml:space="preserve">PEVuZE5vdGU+PENpdGU+PEF1dGhvcj5NYXRzdWRhPC9BdXRob3I+PFllYXI+MjAxNTwvWWVhcj48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</w:fldData>
              </w:fldChar>
            </w:r>
            <w:r w:rsidR="00AC01FD">
              <w:instrText xml:space="preserve"> ADDIN EN.CITE </w:instrText>
            </w:r>
            <w:r w:rsidR="00AC01FD">
              <w:fldChar w:fldCharType="begin">
                <w:fldData xml:space="preserve">PEVuZE5vdGU+PENpdGU+PEF1dGhvcj5NYXRzdWRhPC9BdXRob3I+PFllYXI+MjAxNTwvWWVhcj48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</w:fldData>
              </w:fldChar>
            </w:r>
            <w:r w:rsidR="00AC01FD">
              <w:instrText xml:space="preserve"> ADDIN EN.CITE.DATA </w:instrText>
            </w:r>
            <w:r w:rsidR="00AC01FD">
              <w:fldChar w:fldCharType="end"/>
            </w:r>
            <w:r>
              <w:fldChar w:fldCharType="separate"/>
            </w:r>
            <w:r>
              <w:rPr>
                <w:noProof/>
              </w:rPr>
              <w:t>(Matsuda et al. 2015)</w:t>
            </w:r>
            <w:r>
              <w:fldChar w:fldCharType="end"/>
            </w:r>
          </w:p>
          <w:p w14:paraId="5B1B3DF8" w14:textId="77777777" w:rsidR="001423A6" w:rsidRDefault="001423A6" w:rsidP="00447C83">
            <w:pPr>
              <w:pStyle w:val="TableText0"/>
              <w:ind w:left="0"/>
            </w:pPr>
            <w:r>
              <w:t>Japan</w:t>
            </w:r>
          </w:p>
        </w:tc>
        <w:tc>
          <w:tcPr>
            <w:tcW w:w="1275" w:type="dxa"/>
          </w:tcPr>
          <w:p w14:paraId="3F2549EE" w14:textId="77777777" w:rsidR="001423A6" w:rsidRDefault="001423A6" w:rsidP="00447C83">
            <w:pPr>
              <w:pStyle w:val="TableText0"/>
              <w:ind w:left="0"/>
            </w:pPr>
            <w:r>
              <w:t>Mean 2.8±1.1 years</w:t>
            </w:r>
          </w:p>
        </w:tc>
        <w:tc>
          <w:tcPr>
            <w:tcW w:w="993" w:type="dxa"/>
          </w:tcPr>
          <w:p w14:paraId="14920C73" w14:textId="77777777" w:rsidR="001423A6" w:rsidRDefault="000C3A63" w:rsidP="00447C83">
            <w:pPr>
              <w:pStyle w:val="TableText0"/>
              <w:ind w:left="0"/>
            </w:pPr>
            <w:r>
              <w:t>M</w:t>
            </w:r>
            <w:r w:rsidR="00493D20">
              <w:t>oderate</w:t>
            </w:r>
          </w:p>
        </w:tc>
        <w:tc>
          <w:tcPr>
            <w:tcW w:w="1701" w:type="dxa"/>
          </w:tcPr>
          <w:p w14:paraId="41F45B37" w14:textId="77777777" w:rsidR="001423A6" w:rsidRDefault="001423A6" w:rsidP="00447C83">
            <w:pPr>
              <w:pStyle w:val="TableText0"/>
              <w:ind w:left="0"/>
            </w:pPr>
            <w:r>
              <w:t>Patients with ON</w:t>
            </w:r>
          </w:p>
          <w:p w14:paraId="565C12BD" w14:textId="77777777" w:rsidR="001423A6" w:rsidRDefault="001423A6" w:rsidP="00447C83">
            <w:pPr>
              <w:pStyle w:val="TableText0"/>
              <w:ind w:left="0"/>
            </w:pPr>
            <w:r>
              <w:t>N=70</w:t>
            </w:r>
          </w:p>
        </w:tc>
        <w:tc>
          <w:tcPr>
            <w:tcW w:w="1559" w:type="dxa"/>
          </w:tcPr>
          <w:p w14:paraId="2547BA9F" w14:textId="77777777" w:rsidR="001423A6" w:rsidRDefault="001423A6" w:rsidP="00447C83">
            <w:pPr>
              <w:pStyle w:val="TableText0"/>
              <w:ind w:left="0"/>
            </w:pPr>
            <w:r>
              <w:t>AQP4-Ab and MOG-Ab testing</w:t>
            </w:r>
          </w:p>
        </w:tc>
        <w:tc>
          <w:tcPr>
            <w:tcW w:w="2693" w:type="dxa"/>
          </w:tcPr>
          <w:p w14:paraId="4BCF370F" w14:textId="77777777" w:rsidR="00F13951" w:rsidRDefault="00F13951" w:rsidP="00447C83">
            <w:pPr>
              <w:pStyle w:val="TableText0"/>
              <w:ind w:left="0"/>
            </w:pPr>
            <w:r>
              <w:t>VA improvement</w:t>
            </w:r>
          </w:p>
          <w:p w14:paraId="6780175C" w14:textId="77777777" w:rsidR="00F13951" w:rsidRDefault="00F13951" w:rsidP="00447C83">
            <w:pPr>
              <w:pStyle w:val="TableText0"/>
              <w:ind w:left="0"/>
            </w:pPr>
            <w:r>
              <w:t>VA deficit</w:t>
            </w:r>
          </w:p>
          <w:p w14:paraId="380D0741" w14:textId="77777777" w:rsidR="001423A6" w:rsidRDefault="00F13951" w:rsidP="00447C83">
            <w:pPr>
              <w:pStyle w:val="TableText0"/>
              <w:ind w:left="0"/>
            </w:pPr>
            <w:r>
              <w:t>Annual r</w:t>
            </w:r>
            <w:r w:rsidR="001423A6">
              <w:t>elapse rate</w:t>
            </w:r>
          </w:p>
        </w:tc>
      </w:tr>
      <w:tr w:rsidR="00717C73" w:rsidRPr="003C720E" w14:paraId="4681B641" w14:textId="77777777" w:rsidTr="0012043A">
        <w:trPr>
          <w:trHeight w:val="889"/>
        </w:trPr>
        <w:tc>
          <w:tcPr>
            <w:tcW w:w="988" w:type="dxa"/>
          </w:tcPr>
          <w:p w14:paraId="23BE495C" w14:textId="77777777" w:rsidR="00717C73" w:rsidRDefault="00156621" w:rsidP="00447C83">
            <w:pPr>
              <w:pStyle w:val="TableText0"/>
              <w:ind w:left="0"/>
            </w:pPr>
            <w:r>
              <w:fldChar w:fldCharType="begin">
                <w:fldData xml:space="preserve">PEVuZE5vdGU+PENpdGU+PEF1dGhvcj5XZWluc2hlbmtlcjwvQXV0aG9yPjxZZWFyPjIwMDY8L1ll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</w:fldData>
              </w:fldChar>
            </w:r>
            <w:r w:rsidR="00AC01FD">
              <w:instrText xml:space="preserve"> ADDIN EN.CITE </w:instrText>
            </w:r>
            <w:r w:rsidR="00AC01FD">
              <w:fldChar w:fldCharType="begin">
                <w:fldData xml:space="preserve">PEVuZE5vdGU+PENpdGU+PEF1dGhvcj5XZWluc2hlbmtlcjwvQXV0aG9yPjxZZWFyPjIwMDY8L1ll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</w:fldData>
              </w:fldChar>
            </w:r>
            <w:r w:rsidR="00AC01FD">
              <w:instrText xml:space="preserve"> ADDIN EN.CITE.DATA </w:instrText>
            </w:r>
            <w:r w:rsidR="00AC01FD">
              <w:fldChar w:fldCharType="end"/>
            </w:r>
            <w:r>
              <w:fldChar w:fldCharType="separate"/>
            </w:r>
            <w:r>
              <w:rPr>
                <w:noProof/>
              </w:rPr>
              <w:t>(Weinshenker et al. 2006)</w:t>
            </w:r>
            <w:r>
              <w:fldChar w:fldCharType="end"/>
            </w:r>
          </w:p>
          <w:p w14:paraId="5611233D" w14:textId="77777777" w:rsidR="00717C73" w:rsidRDefault="00717C73" w:rsidP="00447C83">
            <w:pPr>
              <w:pStyle w:val="TableText0"/>
              <w:ind w:left="0"/>
            </w:pPr>
            <w:r>
              <w:t>USA</w:t>
            </w:r>
          </w:p>
        </w:tc>
        <w:tc>
          <w:tcPr>
            <w:tcW w:w="1275" w:type="dxa"/>
          </w:tcPr>
          <w:p w14:paraId="6A81CCAD" w14:textId="77777777" w:rsidR="00717C73" w:rsidRDefault="00717C73" w:rsidP="00447C83">
            <w:pPr>
              <w:pStyle w:val="TableText0"/>
              <w:ind w:left="0"/>
            </w:pPr>
            <w:r>
              <w:t>Median 19.3 (range 2.3-74.1) months</w:t>
            </w:r>
          </w:p>
        </w:tc>
        <w:tc>
          <w:tcPr>
            <w:tcW w:w="993" w:type="dxa"/>
          </w:tcPr>
          <w:p w14:paraId="1095E9CF" w14:textId="77777777" w:rsidR="00717C73" w:rsidRDefault="008F3D7D" w:rsidP="00447C83">
            <w:pPr>
              <w:pStyle w:val="TableText0"/>
              <w:ind w:left="0"/>
            </w:pPr>
            <w:r>
              <w:t>Moderate</w:t>
            </w:r>
          </w:p>
        </w:tc>
        <w:tc>
          <w:tcPr>
            <w:tcW w:w="1701" w:type="dxa"/>
          </w:tcPr>
          <w:p w14:paraId="62375F52" w14:textId="77777777" w:rsidR="00717C73" w:rsidRDefault="00717C73" w:rsidP="00447C83">
            <w:pPr>
              <w:pStyle w:val="TableText0"/>
              <w:ind w:left="0"/>
            </w:pPr>
            <w:r>
              <w:t xml:space="preserve">First episode LETM </w:t>
            </w:r>
          </w:p>
          <w:p w14:paraId="0150C4AE" w14:textId="77777777" w:rsidR="00717C73" w:rsidRPr="007F7F08" w:rsidRDefault="00717C73" w:rsidP="00447C83">
            <w:pPr>
              <w:pStyle w:val="TableText0"/>
              <w:ind w:left="0"/>
            </w:pPr>
            <w:r>
              <w:t>N=29</w:t>
            </w:r>
          </w:p>
        </w:tc>
        <w:tc>
          <w:tcPr>
            <w:tcW w:w="1559" w:type="dxa"/>
          </w:tcPr>
          <w:p w14:paraId="1295EC4E" w14:textId="77777777" w:rsidR="00717C73" w:rsidRDefault="00717C73" w:rsidP="00447C83">
            <w:pPr>
              <w:pStyle w:val="TableText0"/>
              <w:ind w:left="0"/>
            </w:pPr>
            <w:r>
              <w:t xml:space="preserve">AQP4-Ab testing </w:t>
            </w:r>
          </w:p>
        </w:tc>
        <w:tc>
          <w:tcPr>
            <w:tcW w:w="2693" w:type="dxa"/>
          </w:tcPr>
          <w:p w14:paraId="1C971C72" w14:textId="77777777" w:rsidR="00717C73" w:rsidRDefault="00717C73" w:rsidP="00447C83">
            <w:pPr>
              <w:pStyle w:val="TableText0"/>
              <w:ind w:left="0"/>
            </w:pPr>
            <w:r>
              <w:t>Rate of LETM relapse</w:t>
            </w:r>
          </w:p>
          <w:p w14:paraId="6C2AF18E" w14:textId="77777777" w:rsidR="00717C73" w:rsidRDefault="00717C73" w:rsidP="00447C83">
            <w:pPr>
              <w:pStyle w:val="TableText0"/>
              <w:ind w:left="0"/>
            </w:pPr>
            <w:r>
              <w:t>Occurrence rate of ON</w:t>
            </w:r>
          </w:p>
        </w:tc>
      </w:tr>
      <w:tr w:rsidR="00717C73" w:rsidRPr="003C720E" w14:paraId="588C0EF9" w14:textId="77777777" w:rsidTr="0012043A">
        <w:trPr>
          <w:trHeight w:val="1107"/>
        </w:trPr>
        <w:tc>
          <w:tcPr>
            <w:tcW w:w="988" w:type="dxa"/>
          </w:tcPr>
          <w:p w14:paraId="7939BFCA" w14:textId="27395092" w:rsidR="00717C73" w:rsidRDefault="00156621" w:rsidP="00447C83">
            <w:pPr>
              <w:pStyle w:val="TableText0"/>
              <w:ind w:left="0"/>
            </w:pPr>
            <w:r>
              <w:fldChar w:fldCharType="begin">
                <w:fldData xml:space="preserve">PEVuZE5vdGU+PENpdGU+PEF1dGhvcj5aaG91PC9BdXRob3I+PFllYXI+MjAxNjwvWWVhcj48UmVj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==
</w:fldData>
              </w:fldChar>
            </w:r>
            <w:r w:rsidR="00D96694">
              <w:instrText xml:space="preserve"> ADDIN EN.CITE </w:instrText>
            </w:r>
            <w:r w:rsidR="00D96694">
              <w:fldChar w:fldCharType="begin">
                <w:fldData xml:space="preserve">PEVuZE5vdGU+PENpdGU+PEF1dGhvcj5aaG91PC9BdXRob3I+PFllYXI+MjAxNjwvWWVhcj48UmVj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==
</w:fldData>
              </w:fldChar>
            </w:r>
            <w:r w:rsidR="00D96694">
              <w:instrText xml:space="preserve"> ADDIN EN.CITE.DATA </w:instrText>
            </w:r>
            <w:r w:rsidR="00D96694">
              <w:fldChar w:fldCharType="end"/>
            </w:r>
            <w:r>
              <w:fldChar w:fldCharType="separate"/>
            </w:r>
            <w:r>
              <w:rPr>
                <w:noProof/>
              </w:rPr>
              <w:t>(Zhou et al. 2016)</w:t>
            </w:r>
            <w:r>
              <w:fldChar w:fldCharType="end"/>
            </w:r>
          </w:p>
          <w:p w14:paraId="377FA2F7" w14:textId="77777777" w:rsidR="00717C73" w:rsidRDefault="00717C73" w:rsidP="00447C83">
            <w:pPr>
              <w:pStyle w:val="TableText0"/>
              <w:ind w:left="0"/>
            </w:pPr>
            <w:r>
              <w:t>China</w:t>
            </w:r>
          </w:p>
        </w:tc>
        <w:tc>
          <w:tcPr>
            <w:tcW w:w="1275" w:type="dxa"/>
          </w:tcPr>
          <w:p w14:paraId="369BBDDD" w14:textId="77777777" w:rsidR="00717C73" w:rsidRDefault="00717C73" w:rsidP="00447C83">
            <w:pPr>
              <w:pStyle w:val="TableText0"/>
              <w:ind w:left="0"/>
            </w:pPr>
            <w:r>
              <w:t>5 years</w:t>
            </w:r>
          </w:p>
        </w:tc>
        <w:tc>
          <w:tcPr>
            <w:tcW w:w="993" w:type="dxa"/>
          </w:tcPr>
          <w:p w14:paraId="0FCFA2DA" w14:textId="77777777" w:rsidR="00717C73" w:rsidRDefault="000C3A63" w:rsidP="00447C83">
            <w:pPr>
              <w:pStyle w:val="TableText0"/>
              <w:ind w:left="0"/>
            </w:pPr>
            <w:r>
              <w:t>Low</w:t>
            </w:r>
          </w:p>
        </w:tc>
        <w:tc>
          <w:tcPr>
            <w:tcW w:w="1701" w:type="dxa"/>
          </w:tcPr>
          <w:p w14:paraId="2BA73753" w14:textId="77777777" w:rsidR="00717C73" w:rsidRDefault="00717C73" w:rsidP="00447C83">
            <w:pPr>
              <w:pStyle w:val="TableText0"/>
              <w:ind w:left="0"/>
            </w:pPr>
            <w:r>
              <w:t xml:space="preserve">First episode ON </w:t>
            </w:r>
          </w:p>
          <w:p w14:paraId="4902327C" w14:textId="77777777" w:rsidR="00717C73" w:rsidRDefault="00717C73" w:rsidP="00447C83">
            <w:pPr>
              <w:pStyle w:val="TableText0"/>
              <w:ind w:left="0"/>
            </w:pPr>
            <w:r>
              <w:t>N=128</w:t>
            </w:r>
          </w:p>
        </w:tc>
        <w:tc>
          <w:tcPr>
            <w:tcW w:w="1559" w:type="dxa"/>
          </w:tcPr>
          <w:p w14:paraId="745795E3" w14:textId="77777777" w:rsidR="00717C73" w:rsidRDefault="00717C73" w:rsidP="00447C83">
            <w:pPr>
              <w:pStyle w:val="TableText0"/>
              <w:ind w:left="0"/>
            </w:pPr>
            <w:r>
              <w:t>AQP4-Ab testing</w:t>
            </w:r>
            <w:r w:rsidR="00AF3B46">
              <w:t xml:space="preserve"> and diagnosis (2015 criteria)</w:t>
            </w:r>
          </w:p>
        </w:tc>
        <w:tc>
          <w:tcPr>
            <w:tcW w:w="2693" w:type="dxa"/>
          </w:tcPr>
          <w:p w14:paraId="5F1E134F" w14:textId="77777777" w:rsidR="00380E3A" w:rsidRDefault="00717C73" w:rsidP="00447C83">
            <w:pPr>
              <w:pStyle w:val="TableText0"/>
              <w:ind w:left="0"/>
            </w:pPr>
            <w:r>
              <w:t>Visual recovery</w:t>
            </w:r>
          </w:p>
          <w:p w14:paraId="1FD7A2A1" w14:textId="77777777" w:rsidR="00717C73" w:rsidRDefault="00717C73" w:rsidP="00447C83">
            <w:pPr>
              <w:pStyle w:val="TableText0"/>
              <w:ind w:left="0"/>
            </w:pPr>
            <w:r>
              <w:t>Conversion to NMO</w:t>
            </w:r>
          </w:p>
          <w:p w14:paraId="2E86C7AA" w14:textId="77777777" w:rsidR="00717C73" w:rsidRDefault="00717C73" w:rsidP="00447C83">
            <w:pPr>
              <w:pStyle w:val="TableText0"/>
              <w:ind w:left="0"/>
            </w:pPr>
            <w:r>
              <w:t>Conversion to MS</w:t>
            </w:r>
          </w:p>
          <w:p w14:paraId="03A6A20C" w14:textId="77777777" w:rsidR="00717C73" w:rsidRDefault="00717C73" w:rsidP="00447C83">
            <w:pPr>
              <w:pStyle w:val="TableText0"/>
              <w:ind w:left="0"/>
            </w:pPr>
            <w:r>
              <w:t>Rate of relapsing ON</w:t>
            </w:r>
          </w:p>
          <w:p w14:paraId="2AA35F4E" w14:textId="77777777" w:rsidR="00717C73" w:rsidRDefault="00717C73" w:rsidP="00447C83">
            <w:pPr>
              <w:pStyle w:val="TableText0"/>
              <w:ind w:left="0"/>
            </w:pPr>
            <w:r>
              <w:t>Rate of legal blindness</w:t>
            </w:r>
          </w:p>
        </w:tc>
      </w:tr>
    </w:tbl>
    <w:p w14:paraId="102745EB" w14:textId="383B0A63" w:rsidR="003C720E" w:rsidRDefault="00380E3A" w:rsidP="00873A99">
      <w:pPr>
        <w:pStyle w:val="Tablenotes0"/>
      </w:pPr>
      <w:r>
        <w:t xml:space="preserve">AQP4-Ab = aquaporin 4 antibodies; ABS = Acute brainstem syndrome; </w:t>
      </w:r>
      <w:r w:rsidR="004A4613">
        <w:t xml:space="preserve">EDSS = expanded disability scale; IDD = inflammatory demyelinating disorder; </w:t>
      </w:r>
      <w:r>
        <w:t>LETM longitudinal</w:t>
      </w:r>
      <w:r w:rsidR="008066F8">
        <w:t>ly</w:t>
      </w:r>
      <w:r>
        <w:t xml:space="preserve"> extensive transverse myelitis; MOG-Ab = </w:t>
      </w:r>
      <w:r w:rsidRPr="00380E3A">
        <w:t>myelin oligodendrocyte glycoprotein antibodies</w:t>
      </w:r>
      <w:r>
        <w:t xml:space="preserve">; </w:t>
      </w:r>
      <w:r w:rsidR="005738EE">
        <w:t xml:space="preserve">MS = multiple sclerosis; </w:t>
      </w:r>
      <w:r w:rsidR="008066F8">
        <w:t xml:space="preserve">NMOSD = neuromyelitis optica spectrum disorders; ON = optic neuritis; </w:t>
      </w:r>
      <w:r w:rsidR="00EF4214">
        <w:t>ONT</w:t>
      </w:r>
      <w:r>
        <w:t>T</w:t>
      </w:r>
      <w:r w:rsidR="00EF4214">
        <w:t xml:space="preserve"> = </w:t>
      </w:r>
      <w:r>
        <w:t>Optic Neuritis Treatment Trial; RDS =</w:t>
      </w:r>
      <w:r w:rsidR="00873A99">
        <w:t xml:space="preserve"> relapsing acquired demyelinating syndromes</w:t>
      </w:r>
      <w:r w:rsidR="00003669">
        <w:t>; VA = visual acuity</w:t>
      </w:r>
    </w:p>
    <w:p w14:paraId="4C0A39C0" w14:textId="77777777" w:rsidR="002335E0" w:rsidRDefault="002335E0" w:rsidP="00873A99">
      <w:pPr>
        <w:pStyle w:val="Tablenotes0"/>
      </w:pPr>
    </w:p>
    <w:p w14:paraId="7EE81B3F" w14:textId="419D1E39" w:rsidR="002335E0" w:rsidRDefault="002335E0" w:rsidP="002335E0">
      <w:r w:rsidRPr="00F87398">
        <w:t xml:space="preserve">One </w:t>
      </w:r>
      <w:r>
        <w:t xml:space="preserve">additional study, a </w:t>
      </w:r>
      <w:r w:rsidRPr="00F87398">
        <w:t xml:space="preserve">systematic review (SR) </w:t>
      </w:r>
      <w:r>
        <w:t xml:space="preserve">by Lin, N et al </w:t>
      </w:r>
      <w:r w:rsidRPr="00F87398">
        <w:fldChar w:fldCharType="begin">
          <w:fldData xml:space="preserve">PEVuZE5vdGU+PENpdGU+PEF1dGhvcj5MaW48L0F1dGhvcj48WWVhcj4yMDE3PC9ZZWFyPjxSZWNO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</w:fldData>
        </w:fldChar>
      </w:r>
      <w:r>
        <w:instrText xml:space="preserve"> ADDIN EN.CITE </w:instrText>
      </w:r>
      <w:r>
        <w:fldChar w:fldCharType="begin">
          <w:fldData xml:space="preserve">PEVuZE5vdGU+PENpdGU+PEF1dGhvcj5MaW48L0F1dGhvcj48WWVhcj4yMDE3PC9ZZWFyPjxSZWNO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</w:fldData>
        </w:fldChar>
      </w:r>
      <w:r>
        <w:instrText xml:space="preserve"> ADDIN EN.CITE.DATA </w:instrText>
      </w:r>
      <w:r>
        <w:fldChar w:fldCharType="end"/>
      </w:r>
      <w:r w:rsidRPr="00F87398">
        <w:fldChar w:fldCharType="separate"/>
      </w:r>
      <w:r w:rsidR="00143DE1">
        <w:rPr>
          <w:noProof/>
        </w:rPr>
        <w:t>(</w:t>
      </w:r>
      <w:r w:rsidRPr="00F87398">
        <w:rPr>
          <w:noProof/>
        </w:rPr>
        <w:t>2017)</w:t>
      </w:r>
      <w:r w:rsidRPr="00F87398">
        <w:fldChar w:fldCharType="end"/>
      </w:r>
      <w:r>
        <w:t>,</w:t>
      </w:r>
      <w:r w:rsidRPr="00F87398">
        <w:t xml:space="preserve"> </w:t>
      </w:r>
      <w:r>
        <w:t>provided prognostic data for AQP4-Ab testing in patients diagnosed with NMOSD. V</w:t>
      </w:r>
      <w:r w:rsidRPr="00F87398">
        <w:t xml:space="preserve">isual impairment </w:t>
      </w:r>
      <w:r>
        <w:t xml:space="preserve">was compared </w:t>
      </w:r>
      <w:r w:rsidRPr="00F87398">
        <w:t>between AQP4-Ab positive and negative NMOSD patients</w:t>
      </w:r>
      <w:r>
        <w:t>.</w:t>
      </w:r>
      <w:r w:rsidRPr="00F87398">
        <w:t xml:space="preserve"> The study was moderate for risk of bias (AMSTAR 2)</w:t>
      </w:r>
      <w:r w:rsidR="00AA40ED">
        <w:t>,</w:t>
      </w:r>
      <w:r w:rsidRPr="00F87398">
        <w:t xml:space="preserve"> and included cohort studies that were assessed by the authors as moderate to high quality according to the Newcastle-Ottawa Scale. To meet the inclusion criteria patients were diagnosed with NMO by the 1999 or 2006 Wingerchuk criteria and reported any type of visual outcome (</w:t>
      </w:r>
      <w:r w:rsidRPr="00F87398">
        <w:fldChar w:fldCharType="begin"/>
      </w:r>
      <w:r w:rsidRPr="00F87398">
        <w:instrText xml:space="preserve"> REF _Ref29465458 \h  \* MERGEFORMAT </w:instrText>
      </w:r>
      <w:r w:rsidRPr="00F87398">
        <w:fldChar w:fldCharType="separate"/>
      </w:r>
      <w:r w:rsidR="00857D5B" w:rsidRPr="00F87398">
        <w:t xml:space="preserve">Table </w:t>
      </w:r>
      <w:r w:rsidR="00857D5B">
        <w:rPr>
          <w:noProof/>
        </w:rPr>
        <w:t>27</w:t>
      </w:r>
      <w:r w:rsidRPr="00F87398">
        <w:fldChar w:fldCharType="end"/>
      </w:r>
      <w:r w:rsidRPr="00F87398">
        <w:t>).</w:t>
      </w:r>
    </w:p>
    <w:p w14:paraId="296A49E8" w14:textId="0B366E89" w:rsidR="002335E0" w:rsidRPr="00F87398" w:rsidRDefault="002335E0" w:rsidP="002335E0">
      <w:pPr>
        <w:pStyle w:val="Caption"/>
      </w:pPr>
      <w:bookmarkStart w:id="242" w:name="_Ref29465458"/>
      <w:bookmarkStart w:id="243" w:name="_Toc39580808"/>
      <w:r w:rsidRPr="00F87398">
        <w:lastRenderedPageBreak/>
        <w:t xml:space="preserve">Table </w:t>
      </w:r>
      <w:fldSimple w:instr=" SEQ Table \* ARABIC ">
        <w:r w:rsidR="00FA7BCD">
          <w:rPr>
            <w:noProof/>
          </w:rPr>
          <w:t>27</w:t>
        </w:r>
      </w:fldSimple>
      <w:bookmarkEnd w:id="242"/>
      <w:r w:rsidRPr="00F87398">
        <w:tab/>
        <w:t>Systematic review evidence included for prognostic outcomes</w:t>
      </w:r>
      <w:bookmarkEnd w:id="243"/>
    </w:p>
    <w:tbl>
      <w:tblPr>
        <w:tblStyle w:val="TableGrid"/>
        <w:tblW w:w="9296" w:type="dxa"/>
        <w:tblLayout w:type="fixed"/>
        <w:tblLook w:val="04A0" w:firstRow="1" w:lastRow="0" w:firstColumn="1" w:lastColumn="0" w:noHBand="0" w:noVBand="1"/>
        <w:tblCaption w:val="Table 27 Systematic review evidence included for prognostic outcomes"/>
        <w:tblDescription w:val="Study details for one systematic review incuded that reported prognostic data."/>
      </w:tblPr>
      <w:tblGrid>
        <w:gridCol w:w="988"/>
        <w:gridCol w:w="992"/>
        <w:gridCol w:w="992"/>
        <w:gridCol w:w="1559"/>
        <w:gridCol w:w="1276"/>
        <w:gridCol w:w="1276"/>
        <w:gridCol w:w="2213"/>
      </w:tblGrid>
      <w:tr w:rsidR="002335E0" w:rsidRPr="00F87398" w14:paraId="4425E2C5" w14:textId="77777777" w:rsidTr="000D5AEA">
        <w:trPr>
          <w:trHeight w:val="674"/>
        </w:trPr>
        <w:tc>
          <w:tcPr>
            <w:tcW w:w="988" w:type="dxa"/>
            <w:tcBorders>
              <w:bottom w:val="single" w:sz="4" w:space="0" w:color="auto"/>
            </w:tcBorders>
          </w:tcPr>
          <w:p w14:paraId="6DA2133C" w14:textId="77777777" w:rsidR="002335E0" w:rsidRPr="00F87398" w:rsidRDefault="002335E0" w:rsidP="00447C83">
            <w:pPr>
              <w:pStyle w:val="TableHeading"/>
              <w:ind w:left="0"/>
            </w:pPr>
            <w:r w:rsidRPr="00F87398">
              <w:t>Study ID</w:t>
            </w:r>
          </w:p>
          <w:p w14:paraId="7DC8C959" w14:textId="77777777" w:rsidR="002335E0" w:rsidRPr="00F87398" w:rsidRDefault="002335E0" w:rsidP="00447C83">
            <w:pPr>
              <w:pStyle w:val="TableHeading"/>
              <w:ind w:left="0"/>
            </w:pPr>
            <w:r w:rsidRPr="00F87398">
              <w:t>Country</w:t>
            </w:r>
          </w:p>
        </w:tc>
        <w:tc>
          <w:tcPr>
            <w:tcW w:w="992" w:type="dxa"/>
            <w:tcBorders>
              <w:bottom w:val="single" w:sz="4" w:space="0" w:color="auto"/>
            </w:tcBorders>
          </w:tcPr>
          <w:p w14:paraId="1AE1528C" w14:textId="77777777" w:rsidR="002335E0" w:rsidRPr="00F87398" w:rsidRDefault="002335E0" w:rsidP="00447C83">
            <w:pPr>
              <w:pStyle w:val="TableHeading"/>
              <w:ind w:left="0"/>
            </w:pPr>
            <w:r w:rsidRPr="00F87398">
              <w:t>K studies</w:t>
            </w:r>
          </w:p>
          <w:p w14:paraId="51287809" w14:textId="77777777" w:rsidR="002335E0" w:rsidRPr="00F87398" w:rsidRDefault="002335E0" w:rsidP="00447C83">
            <w:pPr>
              <w:pStyle w:val="TableHeading"/>
              <w:ind w:left="0"/>
            </w:pPr>
            <w:r w:rsidRPr="00F87398">
              <w:t>N cases</w:t>
            </w:r>
          </w:p>
        </w:tc>
        <w:tc>
          <w:tcPr>
            <w:tcW w:w="992" w:type="dxa"/>
            <w:tcBorders>
              <w:bottom w:val="single" w:sz="4" w:space="0" w:color="auto"/>
            </w:tcBorders>
          </w:tcPr>
          <w:p w14:paraId="1891CD6F" w14:textId="77777777" w:rsidR="002335E0" w:rsidRPr="00F87398" w:rsidRDefault="002335E0" w:rsidP="00447C83">
            <w:pPr>
              <w:pStyle w:val="TableHeading"/>
              <w:ind w:left="0"/>
            </w:pPr>
            <w:r w:rsidRPr="00F87398">
              <w:t>Risk of bias</w:t>
            </w:r>
          </w:p>
        </w:tc>
        <w:tc>
          <w:tcPr>
            <w:tcW w:w="1559" w:type="dxa"/>
            <w:tcBorders>
              <w:bottom w:val="single" w:sz="4" w:space="0" w:color="auto"/>
            </w:tcBorders>
          </w:tcPr>
          <w:p w14:paraId="2C82DED6" w14:textId="77777777" w:rsidR="002335E0" w:rsidRPr="00F87398" w:rsidRDefault="002335E0" w:rsidP="00447C83">
            <w:pPr>
              <w:pStyle w:val="TableHeading"/>
              <w:ind w:left="0"/>
            </w:pPr>
            <w:r w:rsidRPr="00F87398">
              <w:t>Inclusion criteria</w:t>
            </w:r>
          </w:p>
          <w:p w14:paraId="33AB8478" w14:textId="77777777" w:rsidR="002335E0" w:rsidRPr="00F87398" w:rsidRDefault="002335E0" w:rsidP="00447C83">
            <w:pPr>
              <w:pStyle w:val="TableHeading"/>
              <w:ind w:left="0"/>
            </w:pPr>
            <w:r w:rsidRPr="00F87398">
              <w:t>Follow-up</w:t>
            </w:r>
          </w:p>
        </w:tc>
        <w:tc>
          <w:tcPr>
            <w:tcW w:w="1276" w:type="dxa"/>
            <w:tcBorders>
              <w:bottom w:val="single" w:sz="4" w:space="0" w:color="auto"/>
            </w:tcBorders>
          </w:tcPr>
          <w:p w14:paraId="5605C96F" w14:textId="77777777" w:rsidR="002335E0" w:rsidRPr="00F87398" w:rsidRDefault="002335E0" w:rsidP="00447C83">
            <w:pPr>
              <w:pStyle w:val="TableHeading"/>
              <w:ind w:left="0"/>
            </w:pPr>
            <w:r w:rsidRPr="00F87398">
              <w:t>Intervention</w:t>
            </w:r>
          </w:p>
        </w:tc>
        <w:tc>
          <w:tcPr>
            <w:tcW w:w="1276" w:type="dxa"/>
            <w:tcBorders>
              <w:bottom w:val="single" w:sz="4" w:space="0" w:color="auto"/>
            </w:tcBorders>
          </w:tcPr>
          <w:p w14:paraId="370D78FF" w14:textId="77777777" w:rsidR="002335E0" w:rsidRPr="00F87398" w:rsidRDefault="002335E0" w:rsidP="00447C83">
            <w:pPr>
              <w:pStyle w:val="TableHeading"/>
              <w:ind w:left="0"/>
            </w:pPr>
            <w:r w:rsidRPr="00F87398">
              <w:t>Comparator</w:t>
            </w:r>
          </w:p>
        </w:tc>
        <w:tc>
          <w:tcPr>
            <w:tcW w:w="2213" w:type="dxa"/>
            <w:tcBorders>
              <w:bottom w:val="single" w:sz="4" w:space="0" w:color="auto"/>
            </w:tcBorders>
          </w:tcPr>
          <w:p w14:paraId="1AE7A807" w14:textId="77777777" w:rsidR="002335E0" w:rsidRPr="00F87398" w:rsidRDefault="002335E0" w:rsidP="00447C83">
            <w:pPr>
              <w:pStyle w:val="TableHeading"/>
              <w:ind w:left="0"/>
            </w:pPr>
            <w:r w:rsidRPr="00F87398">
              <w:t>Outcomes</w:t>
            </w:r>
          </w:p>
        </w:tc>
      </w:tr>
      <w:tr w:rsidR="002335E0" w:rsidRPr="00F87398" w14:paraId="0D783CF0" w14:textId="77777777" w:rsidTr="000D5AEA">
        <w:trPr>
          <w:trHeight w:val="1470"/>
        </w:trPr>
        <w:tc>
          <w:tcPr>
            <w:tcW w:w="988" w:type="dxa"/>
            <w:tcBorders>
              <w:bottom w:val="single" w:sz="4" w:space="0" w:color="auto"/>
            </w:tcBorders>
          </w:tcPr>
          <w:p w14:paraId="7C796B51" w14:textId="77777777" w:rsidR="002335E0" w:rsidRPr="00F87398" w:rsidRDefault="002335E0" w:rsidP="00447C83">
            <w:pPr>
              <w:pStyle w:val="TableText0"/>
              <w:ind w:left="0"/>
            </w:pPr>
            <w:r w:rsidRPr="00F87398">
              <w:fldChar w:fldCharType="begin">
                <w:fldData xml:space="preserve">PEVuZE5vdGU+PENpdGU+PEF1dGhvcj5MaW48L0F1dGhvcj48WWVhcj4yMDE3PC9ZZWFyPjxSZWNO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</w:fldData>
              </w:fldChar>
            </w:r>
            <w:r>
              <w:instrText xml:space="preserve"> ADDIN EN.CITE </w:instrText>
            </w:r>
            <w:r>
              <w:fldChar w:fldCharType="begin">
                <w:fldData xml:space="preserve">PEVuZE5vdGU+PENpdGU+PEF1dGhvcj5MaW48L0F1dGhvcj48WWVhcj4yMDE3PC9ZZWFyPjxSZWNO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</w:fldData>
              </w:fldChar>
            </w:r>
            <w:r>
              <w:instrText xml:space="preserve"> ADDIN EN.CITE.DATA </w:instrText>
            </w:r>
            <w:r>
              <w:fldChar w:fldCharType="end"/>
            </w:r>
            <w:r w:rsidRPr="00F87398">
              <w:fldChar w:fldCharType="separate"/>
            </w:r>
            <w:r w:rsidRPr="00F87398">
              <w:rPr>
                <w:noProof/>
              </w:rPr>
              <w:t>(Lin, N et al. 2017)</w:t>
            </w:r>
            <w:r w:rsidRPr="00F87398">
              <w:fldChar w:fldCharType="end"/>
            </w:r>
          </w:p>
          <w:p w14:paraId="5916F4C4" w14:textId="77777777" w:rsidR="002335E0" w:rsidRPr="00F87398" w:rsidRDefault="002335E0" w:rsidP="00447C83">
            <w:pPr>
              <w:pStyle w:val="TableText0"/>
              <w:ind w:left="0"/>
            </w:pPr>
            <w:r w:rsidRPr="00F87398">
              <w:t>Argentina</w:t>
            </w:r>
          </w:p>
        </w:tc>
        <w:tc>
          <w:tcPr>
            <w:tcW w:w="992" w:type="dxa"/>
            <w:tcBorders>
              <w:bottom w:val="single" w:sz="4" w:space="0" w:color="auto"/>
            </w:tcBorders>
          </w:tcPr>
          <w:p w14:paraId="60B8E43C" w14:textId="77777777" w:rsidR="002335E0" w:rsidRPr="00F87398" w:rsidRDefault="002335E0" w:rsidP="00447C83">
            <w:pPr>
              <w:pStyle w:val="TableText0"/>
              <w:ind w:left="0"/>
            </w:pPr>
            <w:r w:rsidRPr="00F87398">
              <w:t>K=18</w:t>
            </w:r>
          </w:p>
          <w:p w14:paraId="3018B441" w14:textId="77777777" w:rsidR="002335E0" w:rsidRPr="00F87398" w:rsidRDefault="002335E0" w:rsidP="00447C83">
            <w:pPr>
              <w:pStyle w:val="TableText0"/>
              <w:ind w:left="0"/>
            </w:pPr>
            <w:r w:rsidRPr="00F87398">
              <w:t>N=1198</w:t>
            </w:r>
          </w:p>
        </w:tc>
        <w:tc>
          <w:tcPr>
            <w:tcW w:w="992" w:type="dxa"/>
            <w:tcBorders>
              <w:bottom w:val="single" w:sz="4" w:space="0" w:color="auto"/>
            </w:tcBorders>
          </w:tcPr>
          <w:p w14:paraId="3EC7EF04" w14:textId="77777777" w:rsidR="002335E0" w:rsidRPr="00F87398" w:rsidRDefault="002335E0" w:rsidP="00447C83">
            <w:pPr>
              <w:pStyle w:val="TableText0"/>
              <w:ind w:left="0"/>
            </w:pPr>
            <w:r w:rsidRPr="00F87398">
              <w:t>Moderate</w:t>
            </w:r>
          </w:p>
        </w:tc>
        <w:tc>
          <w:tcPr>
            <w:tcW w:w="1559" w:type="dxa"/>
            <w:tcBorders>
              <w:bottom w:val="single" w:sz="4" w:space="0" w:color="auto"/>
            </w:tcBorders>
          </w:tcPr>
          <w:p w14:paraId="17293849" w14:textId="77777777" w:rsidR="002335E0" w:rsidRPr="00F87398" w:rsidRDefault="002335E0" w:rsidP="00447C83">
            <w:pPr>
              <w:pStyle w:val="TableText0"/>
              <w:ind w:left="0"/>
            </w:pPr>
            <w:r w:rsidRPr="00F87398">
              <w:t>Cohort studies of NMO patients with AQP4-Ab status</w:t>
            </w:r>
          </w:p>
        </w:tc>
        <w:tc>
          <w:tcPr>
            <w:tcW w:w="1276" w:type="dxa"/>
            <w:tcBorders>
              <w:bottom w:val="single" w:sz="4" w:space="0" w:color="auto"/>
            </w:tcBorders>
          </w:tcPr>
          <w:p w14:paraId="2360F51B" w14:textId="77777777" w:rsidR="002335E0" w:rsidRPr="00F87398" w:rsidRDefault="002335E0" w:rsidP="00447C83">
            <w:pPr>
              <w:pStyle w:val="TableText0"/>
              <w:ind w:left="0"/>
            </w:pPr>
            <w:r w:rsidRPr="00F87398">
              <w:t>AQP4-Ab testing</w:t>
            </w:r>
          </w:p>
        </w:tc>
        <w:tc>
          <w:tcPr>
            <w:tcW w:w="1276" w:type="dxa"/>
            <w:tcBorders>
              <w:bottom w:val="single" w:sz="4" w:space="0" w:color="auto"/>
            </w:tcBorders>
          </w:tcPr>
          <w:p w14:paraId="59A7C335" w14:textId="77777777" w:rsidR="002335E0" w:rsidRPr="00F87398" w:rsidRDefault="002335E0" w:rsidP="00447C83">
            <w:pPr>
              <w:pStyle w:val="TableText0"/>
              <w:ind w:left="0"/>
            </w:pPr>
            <w:r w:rsidRPr="00F87398">
              <w:t>No testing</w:t>
            </w:r>
          </w:p>
        </w:tc>
        <w:tc>
          <w:tcPr>
            <w:tcW w:w="2213" w:type="dxa"/>
            <w:tcBorders>
              <w:bottom w:val="single" w:sz="4" w:space="0" w:color="auto"/>
            </w:tcBorders>
          </w:tcPr>
          <w:p w14:paraId="13F89D27" w14:textId="77777777" w:rsidR="002335E0" w:rsidRPr="00F87398" w:rsidRDefault="002335E0" w:rsidP="00447C83">
            <w:pPr>
              <w:pStyle w:val="TableText0"/>
              <w:ind w:left="0"/>
            </w:pPr>
            <w:r w:rsidRPr="00F87398">
              <w:t>Comparison and meta-analysis of Visual Impairment between seropositive and seronegative patients</w:t>
            </w:r>
          </w:p>
          <w:p w14:paraId="43B18CED" w14:textId="77777777" w:rsidR="002335E0" w:rsidRPr="00F87398" w:rsidRDefault="002335E0" w:rsidP="00447C83">
            <w:pPr>
              <w:pStyle w:val="TableText0"/>
              <w:ind w:left="0"/>
            </w:pPr>
            <w:r w:rsidRPr="00F87398">
              <w:t xml:space="preserve">Sub group analysis between assay types. </w:t>
            </w:r>
          </w:p>
        </w:tc>
      </w:tr>
    </w:tbl>
    <w:p w14:paraId="4DB20B95" w14:textId="1170DA82" w:rsidR="00873A99" w:rsidRDefault="002335E0" w:rsidP="002335E0">
      <w:pPr>
        <w:pStyle w:val="Tablenotes0"/>
      </w:pPr>
      <w:r w:rsidRPr="00F87398">
        <w:t>AQP4-Ab = aquaporin 4 antibodies; NMO = neuromyelitis optica</w:t>
      </w:r>
    </w:p>
    <w:p w14:paraId="317B7562" w14:textId="77777777" w:rsidR="002335E0" w:rsidRPr="000D5AEA" w:rsidRDefault="002335E0" w:rsidP="000D5AEA">
      <w:pPr>
        <w:pStyle w:val="Tablenotes0"/>
      </w:pPr>
    </w:p>
    <w:p w14:paraId="42732A58" w14:textId="77777777" w:rsidR="009B4219" w:rsidRDefault="009B4219" w:rsidP="009B4219">
      <w:pPr>
        <w:pStyle w:val="Heading3"/>
      </w:pPr>
      <w:bookmarkStart w:id="244" w:name="_Toc39588316"/>
      <w:r>
        <w:t>B4.2.2</w:t>
      </w:r>
      <w:r>
        <w:tab/>
        <w:t>Outcome measures and Analysis</w:t>
      </w:r>
      <w:bookmarkEnd w:id="244"/>
    </w:p>
    <w:p w14:paraId="572C5C4A" w14:textId="1847B49C" w:rsidR="009B4219" w:rsidRDefault="009B4219" w:rsidP="009B4219">
      <w:r>
        <w:t xml:space="preserve">Prognosis </w:t>
      </w:r>
      <w:r w:rsidR="001B4123">
        <w:t xml:space="preserve">results </w:t>
      </w:r>
      <w:r>
        <w:t>provided were hazard ratios (HR or OR) or simple rates (</w:t>
      </w:r>
      <w:r w:rsidR="002912B1">
        <w:t xml:space="preserve">percentage; </w:t>
      </w:r>
      <w:r>
        <w:t xml:space="preserve">%), compared between seropositive and seronegative groups. </w:t>
      </w:r>
      <w:r w:rsidR="007A3CDA">
        <w:t xml:space="preserve">Outcomes </w:t>
      </w:r>
      <w:r>
        <w:t xml:space="preserve">were change in EDSS, change in ARR, rate of visual recovery, </w:t>
      </w:r>
      <w:r w:rsidR="002B36F5">
        <w:t xml:space="preserve">and </w:t>
      </w:r>
      <w:r>
        <w:t xml:space="preserve">rate of conversion from first event to NMOSD or MS. </w:t>
      </w:r>
      <w:r w:rsidR="000C16D2">
        <w:t xml:space="preserve">The </w:t>
      </w:r>
      <w:r>
        <w:t xml:space="preserve">EDSS is a scale often used for measuring the level of disability in those with neurological disorders. Kurtzke et al introduced the </w:t>
      </w:r>
      <w:r w:rsidR="00D3335C">
        <w:t>EDSS</w:t>
      </w:r>
      <w:r>
        <w:t xml:space="preserve"> in 1983 as an improvement </w:t>
      </w:r>
      <w:r w:rsidR="007A3CDA">
        <w:t xml:space="preserve">to </w:t>
      </w:r>
      <w:r>
        <w:t xml:space="preserve">the sensitivity of measurement of MS disability </w:t>
      </w:r>
      <w:bookmarkStart w:id="245" w:name="_Ref30666077"/>
      <w:r w:rsidR="00156621">
        <w:fldChar w:fldCharType="begin"/>
      </w:r>
      <w:r w:rsidR="00156621">
        <w:instrText xml:space="preserve"> ADDIN EN.CITE &lt;EndNote&gt;&lt;Cite&gt;&lt;Author&gt;Kurtzke JF&lt;/Author&gt;&lt;Year&gt;1983&lt;/Year&gt;&lt;RecNum&gt;62&lt;/RecNum&gt;&lt;DisplayText&gt;(Kurtzke JF 1983)&lt;/DisplayText&gt;&lt;record&gt;&lt;rec-number&gt;62&lt;/rec-number&gt;&lt;foreign-keys&gt;&lt;key app="EN" db-id="r25zptaswpdzade29ws5pf9gx55ztppatt20" timestamp="1579673357"&gt;62&lt;/key&gt;&lt;key app="ENWeb" db-id=""&gt;0&lt;/key&gt;&lt;/foreign-keys&gt;&lt;ref-type name="Journal Article"&gt;17&lt;/ref-type&gt;&lt;contributors&gt;&lt;authors&gt;&lt;author&gt;Kurtzke JF, &lt;/author&gt;&lt;/authors&gt;&lt;/contributors&gt;&lt;titles&gt;&lt;title&gt;Rating neurologic impairment in multiple sclerosis: An expanded disability status scale (EDSS)&lt;/title&gt;&lt;secondary-title&gt;Neyrology&lt;/secondary-title&gt;&lt;/titles&gt;&lt;periodical&gt;&lt;full-title&gt;Neyrology&lt;/full-title&gt;&lt;/periodical&gt;&lt;pages&gt;1444-52&lt;/pages&gt;&lt;volume&gt;33&lt;/volume&gt;&lt;dates&gt;&lt;year&gt;1983&lt;/year&gt;&lt;/dates&gt;&lt;urls&gt;&lt;/urls&gt;&lt;/record&gt;&lt;/Cite&gt;&lt;/EndNote&gt;</w:instrText>
      </w:r>
      <w:r w:rsidR="00156621">
        <w:fldChar w:fldCharType="separate"/>
      </w:r>
      <w:r w:rsidR="00156621">
        <w:rPr>
          <w:noProof/>
        </w:rPr>
        <w:t>(Kurtzke JF 1983)</w:t>
      </w:r>
      <w:r w:rsidR="00156621">
        <w:fldChar w:fldCharType="end"/>
      </w:r>
      <w:r>
        <w:rPr>
          <w:rStyle w:val="FootnoteReference"/>
        </w:rPr>
        <w:footnoteReference w:id="7"/>
      </w:r>
      <w:bookmarkEnd w:id="245"/>
      <w:r>
        <w:t xml:space="preserve">. It is commonly used in the studies to measure the change in the level of disability over time. </w:t>
      </w:r>
    </w:p>
    <w:p w14:paraId="5BDD796B" w14:textId="51925C3D" w:rsidR="009B4219" w:rsidRDefault="009B4219" w:rsidP="009B4219">
      <w:r>
        <w:t xml:space="preserve">The ARR is another measure commonly used to determine the level of disease severity in neurological disorders in which severe attacks are experienced. A relapse is the worsening of symptoms to a point of increasing disability. </w:t>
      </w:r>
      <w:r w:rsidR="00575C35">
        <w:t xml:space="preserve">Wingerchuk et al. </w:t>
      </w:r>
      <w:r w:rsidR="00156621">
        <w:fldChar w:fldCharType="begin"/>
      </w:r>
      <w:r w:rsidR="00646E7C">
        <w:instrText xml:space="preserve"> ADDIN EN.CITE &lt;EndNote&gt;&lt;Cite&gt;&lt;Author&gt;Wingerchuk&lt;/Author&gt;&lt;Year&gt;2015&lt;/Year&gt;&lt;RecNum&gt;35&lt;/RecNum&gt;&lt;IDText&gt;177-189&lt;/IDText&gt;&lt;DisplayText&gt;(Wingerchuk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156621">
        <w:fldChar w:fldCharType="separate"/>
      </w:r>
      <w:r w:rsidR="00646E7C">
        <w:rPr>
          <w:noProof/>
        </w:rPr>
        <w:t>(Wingerchuk et al. 2015)</w:t>
      </w:r>
      <w:r w:rsidR="00156621">
        <w:fldChar w:fldCharType="end"/>
      </w:r>
      <w:r w:rsidR="00306D93" w:rsidRPr="00575C35">
        <w:t xml:space="preserve"> </w:t>
      </w:r>
      <w:r w:rsidR="00575C35" w:rsidRPr="00575C35">
        <w:t>define</w:t>
      </w:r>
      <w:r w:rsidR="00D20D96">
        <w:t>s</w:t>
      </w:r>
      <w:r w:rsidR="00575C35" w:rsidRPr="00575C35">
        <w:t xml:space="preserve"> a relapse as </w:t>
      </w:r>
      <w:r w:rsidR="00D20D96">
        <w:t xml:space="preserve">the </w:t>
      </w:r>
      <w:r w:rsidR="00575C35" w:rsidRPr="00575C35">
        <w:t xml:space="preserve">recurrence of </w:t>
      </w:r>
      <w:r w:rsidR="004322B9">
        <w:t xml:space="preserve">initial </w:t>
      </w:r>
      <w:r w:rsidR="00D20D96">
        <w:t xml:space="preserve">symptoms </w:t>
      </w:r>
      <w:r w:rsidR="004322B9">
        <w:t>following an index attack</w:t>
      </w:r>
      <w:r w:rsidR="00654DC7">
        <w:t>,</w:t>
      </w:r>
      <w:r w:rsidR="004322B9">
        <w:t xml:space="preserve"> after a</w:t>
      </w:r>
      <w:r w:rsidR="005627E2">
        <w:t xml:space="preserve"> period</w:t>
      </w:r>
      <w:r w:rsidR="004322B9">
        <w:t xml:space="preserve"> </w:t>
      </w:r>
      <w:r w:rsidR="00575C35">
        <w:t>longer than four weeks</w:t>
      </w:r>
      <w:r w:rsidR="004322B9">
        <w:t>.</w:t>
      </w:r>
      <w:r w:rsidR="00306D93" w:rsidRPr="00575C35">
        <w:t xml:space="preserve"> </w:t>
      </w:r>
      <w:r>
        <w:t>The frequency of attacks is an indicator of disease severity and treatment often aims to reduce the frequency.</w:t>
      </w:r>
    </w:p>
    <w:p w14:paraId="5A87E559" w14:textId="366460BC" w:rsidR="009B4219" w:rsidRDefault="009B4219" w:rsidP="009B4219">
      <w:r>
        <w:t xml:space="preserve">A time period between baseline and final measurements was required in the studies so as to allow for development or resolution of symptoms. </w:t>
      </w:r>
    </w:p>
    <w:p w14:paraId="2A765B41" w14:textId="77777777" w:rsidR="00634007" w:rsidRPr="003C720E" w:rsidRDefault="009B4219" w:rsidP="009B4219">
      <w:pPr>
        <w:pStyle w:val="Heading3"/>
      </w:pPr>
      <w:bookmarkStart w:id="246" w:name="_Toc39588317"/>
      <w:r>
        <w:t>B4.2.3</w:t>
      </w:r>
      <w:r>
        <w:tab/>
      </w:r>
      <w:r w:rsidR="00634007">
        <w:t>Results of the systematic literature review</w:t>
      </w:r>
      <w:bookmarkEnd w:id="246"/>
    </w:p>
    <w:p w14:paraId="199790E0" w14:textId="77777777" w:rsidR="00C425AF" w:rsidRPr="00370DAA" w:rsidRDefault="00C425AF" w:rsidP="004F3DB6">
      <w:pPr>
        <w:pStyle w:val="Heading3"/>
      </w:pPr>
      <w:bookmarkStart w:id="247" w:name="_Toc39588318"/>
      <w:r w:rsidRPr="00370DAA">
        <w:t>AQP4-Ab</w:t>
      </w:r>
      <w:r w:rsidR="0000200C">
        <w:t xml:space="preserve"> seropositive </w:t>
      </w:r>
      <w:r w:rsidR="004F3DB6">
        <w:t xml:space="preserve">compared with </w:t>
      </w:r>
      <w:r w:rsidR="0000200C">
        <w:t xml:space="preserve">seronegative </w:t>
      </w:r>
      <w:r w:rsidR="004F3DB6">
        <w:t>patients</w:t>
      </w:r>
      <w:r w:rsidRPr="00370DAA">
        <w:t xml:space="preserve"> </w:t>
      </w:r>
      <w:r w:rsidR="00F87398">
        <w:t>suspected of having NMOSD</w:t>
      </w:r>
      <w:bookmarkEnd w:id="247"/>
    </w:p>
    <w:p w14:paraId="669DA70E" w14:textId="77777777" w:rsidR="0000200C" w:rsidRPr="00F87398" w:rsidRDefault="0000200C" w:rsidP="00476B34">
      <w:pPr>
        <w:pStyle w:val="Heading4"/>
      </w:pPr>
      <w:r w:rsidRPr="00F87398">
        <w:t>Visual impairment</w:t>
      </w:r>
    </w:p>
    <w:p w14:paraId="741609AF" w14:textId="3D296C34" w:rsidR="00205E2E" w:rsidRDefault="007B2205" w:rsidP="0000200C">
      <w:r>
        <w:t xml:space="preserve">One </w:t>
      </w:r>
      <w:r w:rsidR="002B36F5">
        <w:t>case series</w:t>
      </w:r>
      <w:r w:rsidR="00205E2E">
        <w:t xml:space="preserve"> compared the visual acuity (VA) at last follow-up between AQP4-Ab positive and negative patients whose initial presentation was ON </w:t>
      </w:r>
      <w:r w:rsidR="00156621">
        <w:fldChar w:fldCharType="begin">
          <w:fldData xml:space="preserve">PEVuZE5vdGU+PENpdGU+PEF1dGhvcj5aaG91PC9BdXRob3I+PFllYXI+MjAxNjwvWWVhcj48UmVj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==
</w:fldData>
        </w:fldChar>
      </w:r>
      <w:r w:rsidR="00D96694">
        <w:instrText xml:space="preserve"> ADDIN EN.CITE </w:instrText>
      </w:r>
      <w:r w:rsidR="00D96694">
        <w:fldChar w:fldCharType="begin">
          <w:fldData xml:space="preserve">PEVuZE5vdGU+PENpdGU+PEF1dGhvcj5aaG91PC9BdXRob3I+PFllYXI+MjAxNjwvWWVhcj48UmVj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==
</w:fldData>
        </w:fldChar>
      </w:r>
      <w:r w:rsidR="00D96694">
        <w:instrText xml:space="preserve"> ADDIN EN.CITE.DATA </w:instrText>
      </w:r>
      <w:r w:rsidR="00D96694">
        <w:fldChar w:fldCharType="end"/>
      </w:r>
      <w:r w:rsidR="00156621">
        <w:fldChar w:fldCharType="separate"/>
      </w:r>
      <w:r w:rsidR="00156621">
        <w:rPr>
          <w:noProof/>
        </w:rPr>
        <w:t>(Zhou et al. 2016)</w:t>
      </w:r>
      <w:r w:rsidR="00156621">
        <w:fldChar w:fldCharType="end"/>
      </w:r>
      <w:r w:rsidR="00205E2E">
        <w:t xml:space="preserve">. Zhou et al reported the number of eyes with </w:t>
      </w:r>
      <w:r w:rsidR="00A00C45">
        <w:t xml:space="preserve">VA </w:t>
      </w:r>
      <w:r w:rsidR="00A00C45">
        <w:rPr>
          <w:rFonts w:cs="Calibri"/>
        </w:rPr>
        <w:t>≤</w:t>
      </w:r>
      <w:r w:rsidR="00A00C45">
        <w:t xml:space="preserve"> 0.1 at final follow-up (5 years) where a VA of &lt; 1 represents a moderate loss of vision. There was a statistically significant greater number of those with a moderate or larger loss in vision for those who were AQP4-Ab positive compared to those who were AQP4-Ab negative. </w:t>
      </w:r>
      <w:r w:rsidR="000613DF">
        <w:t>The</w:t>
      </w:r>
      <w:r w:rsidR="00650D20">
        <w:t xml:space="preserve"> </w:t>
      </w:r>
      <w:r w:rsidR="00650D20">
        <w:lastRenderedPageBreak/>
        <w:t xml:space="preserve">result was similar for VA </w:t>
      </w:r>
      <w:r w:rsidR="00205E2E">
        <w:rPr>
          <w:rFonts w:cs="Calibri"/>
        </w:rPr>
        <w:t>≥</w:t>
      </w:r>
      <w:r w:rsidR="00205E2E">
        <w:t xml:space="preserve"> 0.5</w:t>
      </w:r>
      <w:r w:rsidR="00073CEB">
        <w:rPr>
          <w:rStyle w:val="FootnoteReference"/>
        </w:rPr>
        <w:footnoteReference w:id="8"/>
      </w:r>
      <w:r w:rsidR="00205E2E">
        <w:t xml:space="preserve"> after 5 years follow-up</w:t>
      </w:r>
      <w:r w:rsidR="000613DF">
        <w:t>,</w:t>
      </w:r>
      <w:r w:rsidR="00650D20">
        <w:t xml:space="preserve"> in that</w:t>
      </w:r>
      <w:r w:rsidR="00205E2E">
        <w:t xml:space="preserve"> </w:t>
      </w:r>
      <w:r w:rsidR="000613DF">
        <w:t xml:space="preserve">there was </w:t>
      </w:r>
      <w:r w:rsidR="00205E2E">
        <w:t xml:space="preserve">a statistically significant difference between groups, </w:t>
      </w:r>
      <w:r w:rsidR="00E91F3E">
        <w:t>with worse VA occurring in</w:t>
      </w:r>
      <w:r w:rsidR="00205E2E">
        <w:t xml:space="preserve"> those who were AQP4-Ab </w:t>
      </w:r>
      <w:r w:rsidR="00E91F3E">
        <w:t>positive (</w:t>
      </w:r>
      <w:r w:rsidR="00E91F3E">
        <w:fldChar w:fldCharType="begin"/>
      </w:r>
      <w:r w:rsidR="00E91F3E">
        <w:instrText xml:space="preserve"> REF _Ref30586629 \h </w:instrText>
      </w:r>
      <w:r w:rsidR="00E91F3E">
        <w:fldChar w:fldCharType="separate"/>
      </w:r>
      <w:r w:rsidR="00857D5B">
        <w:t xml:space="preserve">Table </w:t>
      </w:r>
      <w:r w:rsidR="00857D5B">
        <w:rPr>
          <w:noProof/>
        </w:rPr>
        <w:t>28</w:t>
      </w:r>
      <w:r w:rsidR="00E91F3E">
        <w:fldChar w:fldCharType="end"/>
      </w:r>
      <w:r w:rsidR="00E91F3E">
        <w:t>)</w:t>
      </w:r>
      <w:r w:rsidR="00205E2E">
        <w:t>.</w:t>
      </w:r>
    </w:p>
    <w:p w14:paraId="0C7E6647" w14:textId="5EF5D192" w:rsidR="00C87C80" w:rsidRDefault="00C87C80" w:rsidP="00C87C80">
      <w:pPr>
        <w:pStyle w:val="Caption"/>
      </w:pPr>
      <w:bookmarkStart w:id="248" w:name="_Ref30586629"/>
      <w:bookmarkStart w:id="249" w:name="_Toc39580809"/>
      <w:r>
        <w:t xml:space="preserve">Table </w:t>
      </w:r>
      <w:fldSimple w:instr=" SEQ Table \* ARABIC ">
        <w:r w:rsidR="00FA7BCD">
          <w:rPr>
            <w:noProof/>
          </w:rPr>
          <w:t>28</w:t>
        </w:r>
      </w:fldSimple>
      <w:bookmarkEnd w:id="248"/>
      <w:r>
        <w:tab/>
        <w:t xml:space="preserve">Visual acuity at the </w:t>
      </w:r>
      <w:r w:rsidR="00F03763">
        <w:t>last</w:t>
      </w:r>
      <w:r>
        <w:t xml:space="preserve"> follow-up</w:t>
      </w:r>
      <w:bookmarkEnd w:id="249"/>
      <w:r>
        <w:t xml:space="preserve"> </w:t>
      </w:r>
    </w:p>
    <w:tbl>
      <w:tblPr>
        <w:tblStyle w:val="TableGrid"/>
        <w:tblW w:w="5000" w:type="pct"/>
        <w:tblLook w:val="04A0" w:firstRow="1" w:lastRow="0" w:firstColumn="1" w:lastColumn="0" w:noHBand="0" w:noVBand="1"/>
        <w:tblCaption w:val="Table 28 Visual acuity at the last follow-up "/>
        <w:tblDescription w:val="A comparison of change in visual acuity over time between AQP4 postivie and negative patients suspected of NMOSD"/>
      </w:tblPr>
      <w:tblGrid>
        <w:gridCol w:w="726"/>
        <w:gridCol w:w="1706"/>
        <w:gridCol w:w="1342"/>
        <w:gridCol w:w="1342"/>
        <w:gridCol w:w="1462"/>
        <w:gridCol w:w="1219"/>
        <w:gridCol w:w="1219"/>
      </w:tblGrid>
      <w:tr w:rsidR="006977F6" w14:paraId="556B244D" w14:textId="77777777" w:rsidTr="006977F6">
        <w:tc>
          <w:tcPr>
            <w:tcW w:w="403" w:type="pct"/>
          </w:tcPr>
          <w:p w14:paraId="68267441" w14:textId="77777777" w:rsidR="006977F6" w:rsidRDefault="006977F6" w:rsidP="00447C83">
            <w:pPr>
              <w:pStyle w:val="TableHeading"/>
              <w:ind w:left="0"/>
            </w:pPr>
            <w:r>
              <w:t>Study</w:t>
            </w:r>
          </w:p>
          <w:p w14:paraId="2646BFE0" w14:textId="77777777" w:rsidR="006977F6" w:rsidRDefault="006977F6" w:rsidP="00447C83">
            <w:pPr>
              <w:pStyle w:val="TableHeading"/>
              <w:ind w:left="0"/>
            </w:pPr>
          </w:p>
        </w:tc>
        <w:tc>
          <w:tcPr>
            <w:tcW w:w="946" w:type="pct"/>
          </w:tcPr>
          <w:p w14:paraId="033BBB30" w14:textId="77777777" w:rsidR="006977F6" w:rsidRDefault="006977F6" w:rsidP="00447C83">
            <w:pPr>
              <w:pStyle w:val="TableHeading"/>
              <w:ind w:left="0"/>
            </w:pPr>
            <w:r>
              <w:t>Population</w:t>
            </w:r>
          </w:p>
          <w:p w14:paraId="2588C681" w14:textId="77777777" w:rsidR="006977F6" w:rsidRDefault="006977F6" w:rsidP="00447C83">
            <w:pPr>
              <w:pStyle w:val="TableHeading"/>
              <w:ind w:left="0"/>
            </w:pPr>
            <w:r>
              <w:t>N tested</w:t>
            </w:r>
          </w:p>
        </w:tc>
        <w:tc>
          <w:tcPr>
            <w:tcW w:w="744" w:type="pct"/>
          </w:tcPr>
          <w:p w14:paraId="0B3400D6" w14:textId="77777777" w:rsidR="006977F6" w:rsidRDefault="006977F6" w:rsidP="00447C83">
            <w:pPr>
              <w:pStyle w:val="TableHeading"/>
              <w:ind w:left="0"/>
            </w:pPr>
            <w:r>
              <w:t>Event</w:t>
            </w:r>
          </w:p>
        </w:tc>
        <w:tc>
          <w:tcPr>
            <w:tcW w:w="744" w:type="pct"/>
          </w:tcPr>
          <w:p w14:paraId="6510BE2C" w14:textId="77777777" w:rsidR="006977F6" w:rsidRDefault="006977F6" w:rsidP="00447C83">
            <w:pPr>
              <w:pStyle w:val="TableHeading"/>
              <w:ind w:left="0"/>
            </w:pPr>
            <w:r>
              <w:t>AQP4-Ab +ve</w:t>
            </w:r>
          </w:p>
          <w:p w14:paraId="4E5C932C" w14:textId="77777777" w:rsidR="006977F6" w:rsidRDefault="006977F6" w:rsidP="00447C83">
            <w:pPr>
              <w:pStyle w:val="TableHeading"/>
              <w:ind w:left="0"/>
            </w:pPr>
            <w:r>
              <w:t>N (%)</w:t>
            </w:r>
          </w:p>
        </w:tc>
        <w:tc>
          <w:tcPr>
            <w:tcW w:w="811" w:type="pct"/>
          </w:tcPr>
          <w:p w14:paraId="5086DC1F" w14:textId="77777777" w:rsidR="006977F6" w:rsidRDefault="006977F6" w:rsidP="00447C83">
            <w:pPr>
              <w:pStyle w:val="TableHeading"/>
              <w:ind w:left="0"/>
            </w:pPr>
            <w:r>
              <w:t>AQP4-Ab -ve</w:t>
            </w:r>
          </w:p>
          <w:p w14:paraId="60B762A2" w14:textId="77777777" w:rsidR="006977F6" w:rsidRDefault="006977F6" w:rsidP="00447C83">
            <w:pPr>
              <w:pStyle w:val="TableHeading"/>
              <w:ind w:left="0"/>
            </w:pPr>
            <w:r>
              <w:t>N (%)</w:t>
            </w:r>
          </w:p>
        </w:tc>
        <w:tc>
          <w:tcPr>
            <w:tcW w:w="676" w:type="pct"/>
          </w:tcPr>
          <w:p w14:paraId="764FC4BA" w14:textId="77777777" w:rsidR="006977F6" w:rsidRPr="0073087A" w:rsidRDefault="006977F6" w:rsidP="00447C83">
            <w:pPr>
              <w:pStyle w:val="TableHeading"/>
              <w:ind w:left="0"/>
              <w:rPr>
                <w:vertAlign w:val="superscript"/>
              </w:rPr>
            </w:pPr>
            <w:r>
              <w:t xml:space="preserve">OR [95%CI] </w:t>
            </w:r>
            <w:r w:rsidR="0073087A">
              <w:t>P-</w:t>
            </w:r>
            <w:r>
              <w:t>value</w:t>
            </w:r>
            <w:r w:rsidR="0073087A">
              <w:rPr>
                <w:vertAlign w:val="superscript"/>
              </w:rPr>
              <w:t>a</w:t>
            </w:r>
          </w:p>
        </w:tc>
        <w:tc>
          <w:tcPr>
            <w:tcW w:w="676" w:type="pct"/>
          </w:tcPr>
          <w:p w14:paraId="6D3B18A4" w14:textId="77777777" w:rsidR="006977F6" w:rsidRDefault="006977F6" w:rsidP="00447C83">
            <w:pPr>
              <w:pStyle w:val="TableHeading"/>
              <w:ind w:left="0"/>
            </w:pPr>
            <w:r>
              <w:t>Difference</w:t>
            </w:r>
          </w:p>
          <w:p w14:paraId="0F2D3C33" w14:textId="77777777" w:rsidR="006977F6" w:rsidRPr="0073087A" w:rsidRDefault="006977F6" w:rsidP="00447C83">
            <w:pPr>
              <w:pStyle w:val="TableHeading"/>
              <w:ind w:left="0"/>
              <w:rPr>
                <w:vertAlign w:val="superscript"/>
              </w:rPr>
            </w:pPr>
            <w:r>
              <w:t>P value</w:t>
            </w:r>
            <w:r w:rsidR="0073087A">
              <w:rPr>
                <w:vertAlign w:val="superscript"/>
              </w:rPr>
              <w:t>b</w:t>
            </w:r>
          </w:p>
        </w:tc>
      </w:tr>
      <w:tr w:rsidR="00650D20" w:rsidRPr="00312E36" w14:paraId="072E0EDD" w14:textId="77777777" w:rsidTr="006977F6">
        <w:tc>
          <w:tcPr>
            <w:tcW w:w="403" w:type="pct"/>
            <w:vMerge w:val="restart"/>
          </w:tcPr>
          <w:p w14:paraId="0A5C8B85" w14:textId="77777777" w:rsidR="00650D20" w:rsidRDefault="00650D20" w:rsidP="00447C83">
            <w:pPr>
              <w:pStyle w:val="TableText0"/>
              <w:ind w:left="0"/>
            </w:pPr>
            <w:r>
              <w:t>Zhou et al, 2016</w:t>
            </w:r>
          </w:p>
        </w:tc>
        <w:tc>
          <w:tcPr>
            <w:tcW w:w="946" w:type="pct"/>
            <w:vMerge w:val="restart"/>
          </w:tcPr>
          <w:p w14:paraId="1B613639" w14:textId="77777777" w:rsidR="00650D20" w:rsidRDefault="00650D20" w:rsidP="00447C83">
            <w:pPr>
              <w:pStyle w:val="TableText0"/>
              <w:ind w:left="0"/>
            </w:pPr>
            <w:r>
              <w:t xml:space="preserve">First episode ON </w:t>
            </w:r>
          </w:p>
          <w:p w14:paraId="7B69F86D" w14:textId="77777777" w:rsidR="00650D20" w:rsidRDefault="00650D20" w:rsidP="00447C83">
            <w:pPr>
              <w:pStyle w:val="TableText0"/>
              <w:ind w:left="0"/>
            </w:pPr>
            <w:r>
              <w:t>N=128 patients</w:t>
            </w:r>
          </w:p>
        </w:tc>
        <w:tc>
          <w:tcPr>
            <w:tcW w:w="744" w:type="pct"/>
          </w:tcPr>
          <w:p w14:paraId="2B6C77FE" w14:textId="77777777" w:rsidR="00650D20" w:rsidRDefault="000613DF" w:rsidP="00447C83">
            <w:pPr>
              <w:pStyle w:val="TableText0"/>
              <w:ind w:left="0"/>
            </w:pPr>
            <w:r>
              <w:t>VA≤0.1</w:t>
            </w:r>
          </w:p>
        </w:tc>
        <w:tc>
          <w:tcPr>
            <w:tcW w:w="744" w:type="pct"/>
          </w:tcPr>
          <w:p w14:paraId="7B4411A1" w14:textId="77777777" w:rsidR="00650D20" w:rsidRDefault="000613DF" w:rsidP="00447C83">
            <w:pPr>
              <w:pStyle w:val="TableText0"/>
              <w:ind w:left="0"/>
            </w:pPr>
            <w:r>
              <w:t>43/80 (53.8)</w:t>
            </w:r>
          </w:p>
        </w:tc>
        <w:tc>
          <w:tcPr>
            <w:tcW w:w="811" w:type="pct"/>
          </w:tcPr>
          <w:p w14:paraId="7D653CD4" w14:textId="77777777" w:rsidR="00650D20" w:rsidRDefault="000613DF" w:rsidP="00447C83">
            <w:pPr>
              <w:pStyle w:val="TableText0"/>
              <w:ind w:left="0"/>
            </w:pPr>
            <w:r>
              <w:t>38/133 (28.6)</w:t>
            </w:r>
          </w:p>
        </w:tc>
        <w:tc>
          <w:tcPr>
            <w:tcW w:w="676" w:type="pct"/>
          </w:tcPr>
          <w:p w14:paraId="2FDB8E39" w14:textId="77777777" w:rsidR="00650D20" w:rsidRDefault="000613DF" w:rsidP="00447C83">
            <w:pPr>
              <w:pStyle w:val="TableText0"/>
              <w:ind w:left="0"/>
            </w:pPr>
            <w:r>
              <w:t>2.9</w:t>
            </w:r>
          </w:p>
          <w:p w14:paraId="14EBE844" w14:textId="77777777" w:rsidR="000613DF" w:rsidRDefault="000613DF" w:rsidP="00447C83">
            <w:pPr>
              <w:pStyle w:val="TableText0"/>
              <w:ind w:left="0"/>
            </w:pPr>
            <w:r>
              <w:t>[1.63, 5.18]</w:t>
            </w:r>
          </w:p>
          <w:p w14:paraId="393A3E16" w14:textId="77777777" w:rsidR="000613DF" w:rsidRDefault="000613DF" w:rsidP="00447C83">
            <w:pPr>
              <w:pStyle w:val="TableText0"/>
              <w:ind w:left="0"/>
            </w:pPr>
            <w:r>
              <w:t>0.0003</w:t>
            </w:r>
          </w:p>
        </w:tc>
        <w:tc>
          <w:tcPr>
            <w:tcW w:w="676" w:type="pct"/>
          </w:tcPr>
          <w:p w14:paraId="0A6CB37A" w14:textId="77777777" w:rsidR="00650D20" w:rsidRDefault="000613DF" w:rsidP="00447C83">
            <w:pPr>
              <w:pStyle w:val="TableText0"/>
              <w:ind w:left="0"/>
            </w:pPr>
            <w:r>
              <w:t>0.000</w:t>
            </w:r>
          </w:p>
        </w:tc>
      </w:tr>
      <w:tr w:rsidR="00650D20" w:rsidRPr="00312E36" w14:paraId="43AF2C2C" w14:textId="77777777" w:rsidTr="006977F6">
        <w:tc>
          <w:tcPr>
            <w:tcW w:w="403" w:type="pct"/>
            <w:vMerge/>
          </w:tcPr>
          <w:p w14:paraId="0CFCE8F7" w14:textId="77777777" w:rsidR="00650D20" w:rsidRDefault="00650D20" w:rsidP="00447C83">
            <w:pPr>
              <w:pStyle w:val="TableText0"/>
              <w:ind w:left="0"/>
            </w:pPr>
          </w:p>
        </w:tc>
        <w:tc>
          <w:tcPr>
            <w:tcW w:w="946" w:type="pct"/>
            <w:vMerge/>
          </w:tcPr>
          <w:p w14:paraId="5D81F371" w14:textId="77777777" w:rsidR="00650D20" w:rsidRDefault="00650D20" w:rsidP="00447C83">
            <w:pPr>
              <w:pStyle w:val="TableText0"/>
              <w:ind w:left="0"/>
            </w:pPr>
          </w:p>
        </w:tc>
        <w:tc>
          <w:tcPr>
            <w:tcW w:w="744" w:type="pct"/>
          </w:tcPr>
          <w:p w14:paraId="5D651A3A" w14:textId="77777777" w:rsidR="00650D20" w:rsidRDefault="00650D20" w:rsidP="00447C83">
            <w:pPr>
              <w:pStyle w:val="TableText0"/>
              <w:ind w:left="0"/>
            </w:pPr>
            <w:r>
              <w:t>VA≥0.5</w:t>
            </w:r>
          </w:p>
        </w:tc>
        <w:tc>
          <w:tcPr>
            <w:tcW w:w="744" w:type="pct"/>
          </w:tcPr>
          <w:p w14:paraId="0AAC1DA8" w14:textId="77777777" w:rsidR="00650D20" w:rsidRDefault="00650D20" w:rsidP="00447C83">
            <w:pPr>
              <w:pStyle w:val="TableText0"/>
              <w:ind w:left="0"/>
            </w:pPr>
            <w:r>
              <w:t>24/80 eyes (30)</w:t>
            </w:r>
          </w:p>
        </w:tc>
        <w:tc>
          <w:tcPr>
            <w:tcW w:w="811" w:type="pct"/>
          </w:tcPr>
          <w:p w14:paraId="07FA6FCE" w14:textId="77777777" w:rsidR="00650D20" w:rsidRDefault="00650D20" w:rsidP="00447C83">
            <w:pPr>
              <w:pStyle w:val="TableText0"/>
              <w:ind w:left="0"/>
            </w:pPr>
            <w:r>
              <w:t>75/133 eyes (56.4)</w:t>
            </w:r>
          </w:p>
        </w:tc>
        <w:tc>
          <w:tcPr>
            <w:tcW w:w="676" w:type="pct"/>
          </w:tcPr>
          <w:p w14:paraId="2D9FE709" w14:textId="77777777" w:rsidR="00650D20" w:rsidRDefault="00650D20" w:rsidP="00447C83">
            <w:pPr>
              <w:pStyle w:val="TableText0"/>
              <w:ind w:left="0"/>
            </w:pPr>
            <w:r>
              <w:t>0.33 [0.18,0.60] 0.0002</w:t>
            </w:r>
          </w:p>
        </w:tc>
        <w:tc>
          <w:tcPr>
            <w:tcW w:w="676" w:type="pct"/>
          </w:tcPr>
          <w:p w14:paraId="6A6F1CC2" w14:textId="77777777" w:rsidR="00650D20" w:rsidRDefault="00650D20" w:rsidP="00447C83">
            <w:pPr>
              <w:pStyle w:val="TableText0"/>
              <w:ind w:left="0"/>
            </w:pPr>
            <w:r>
              <w:t>&lt;0.01</w:t>
            </w:r>
          </w:p>
        </w:tc>
      </w:tr>
    </w:tbl>
    <w:p w14:paraId="323E6AD4" w14:textId="77777777" w:rsidR="00E91F3E" w:rsidRDefault="00E91F3E" w:rsidP="00E91F3E">
      <w:pPr>
        <w:pStyle w:val="Tablenotes0"/>
      </w:pPr>
      <w:r>
        <w:t>AQP4-Ab = aquaporin 4 antibodies; O</w:t>
      </w:r>
      <w:r w:rsidR="007B2205">
        <w:t>N</w:t>
      </w:r>
      <w:r>
        <w:t xml:space="preserve"> = </w:t>
      </w:r>
      <w:r w:rsidR="007B2205">
        <w:t>optic</w:t>
      </w:r>
      <w:r>
        <w:t xml:space="preserve"> </w:t>
      </w:r>
      <w:r w:rsidR="007B2205">
        <w:t>neuritis</w:t>
      </w:r>
      <w:r w:rsidR="00CB31CF">
        <w:t>; OR = odds ratio; VA = visual acuity</w:t>
      </w:r>
    </w:p>
    <w:p w14:paraId="1F950E80" w14:textId="77777777" w:rsidR="0073087A" w:rsidRDefault="0073087A" w:rsidP="00E91F3E">
      <w:pPr>
        <w:pStyle w:val="Tablenotes0"/>
      </w:pPr>
      <w:r>
        <w:rPr>
          <w:vertAlign w:val="superscript"/>
        </w:rPr>
        <w:t xml:space="preserve">a </w:t>
      </w:r>
      <w:r>
        <w:t>values calculated using MedCalc</w:t>
      </w:r>
    </w:p>
    <w:p w14:paraId="345A02EB" w14:textId="77777777" w:rsidR="0073087A" w:rsidRPr="0073087A" w:rsidRDefault="0073087A" w:rsidP="00E91F3E">
      <w:pPr>
        <w:pStyle w:val="Tablenotes0"/>
      </w:pPr>
      <w:r>
        <w:rPr>
          <w:vertAlign w:val="superscript"/>
        </w:rPr>
        <w:t xml:space="preserve">b </w:t>
      </w:r>
      <w:r>
        <w:t xml:space="preserve">published </w:t>
      </w:r>
      <w:r w:rsidR="00582E5E">
        <w:t>P</w:t>
      </w:r>
      <w:r>
        <w:t>-val</w:t>
      </w:r>
      <w:r w:rsidR="005D4A17">
        <w:t>u</w:t>
      </w:r>
      <w:r>
        <w:t>e</w:t>
      </w:r>
    </w:p>
    <w:p w14:paraId="7C2EB09B" w14:textId="77777777" w:rsidR="0073087A" w:rsidRPr="0073087A" w:rsidRDefault="0073087A" w:rsidP="00E91F3E">
      <w:pPr>
        <w:pStyle w:val="Tablenotes0"/>
      </w:pPr>
    </w:p>
    <w:p w14:paraId="263A3634" w14:textId="5295D78A" w:rsidR="0000200C" w:rsidRDefault="00205E2E" w:rsidP="0000200C">
      <w:r>
        <w:t xml:space="preserve">Zhou et al (2016) </w:t>
      </w:r>
      <w:r w:rsidR="00E91F3E">
        <w:t>also</w:t>
      </w:r>
      <w:r>
        <w:t xml:space="preserve"> </w:t>
      </w:r>
      <w:r w:rsidR="00E91F3E">
        <w:t>compared</w:t>
      </w:r>
      <w:r>
        <w:t xml:space="preserve"> the </w:t>
      </w:r>
      <w:r w:rsidR="00E91F3E">
        <w:t>number</w:t>
      </w:r>
      <w:r>
        <w:t xml:space="preserve"> of patients with legal blind</w:t>
      </w:r>
      <w:r w:rsidR="000613DF">
        <w:t>ness in one or both eyes in</w:t>
      </w:r>
      <w:r>
        <w:t xml:space="preserve"> AQP4-Ab positive and negative patients. There was a statistically significantly </w:t>
      </w:r>
      <w:r w:rsidR="000613DF">
        <w:t>higher prevalence of legal blindness in</w:t>
      </w:r>
      <w:r>
        <w:t xml:space="preserve"> AQP4-Ab </w:t>
      </w:r>
      <w:r w:rsidR="00E91F3E">
        <w:t xml:space="preserve">positive </w:t>
      </w:r>
      <w:r w:rsidR="000613DF">
        <w:t>patients</w:t>
      </w:r>
      <w:r w:rsidR="00E91F3E">
        <w:t xml:space="preserve"> (</w:t>
      </w:r>
      <w:r w:rsidR="00E91F3E">
        <w:fldChar w:fldCharType="begin"/>
      </w:r>
      <w:r w:rsidR="00E91F3E">
        <w:instrText xml:space="preserve"> REF _Ref30586683 \h </w:instrText>
      </w:r>
      <w:r w:rsidR="00E91F3E">
        <w:fldChar w:fldCharType="separate"/>
      </w:r>
      <w:r w:rsidR="00857D5B">
        <w:t xml:space="preserve">Table </w:t>
      </w:r>
      <w:r w:rsidR="00857D5B">
        <w:rPr>
          <w:noProof/>
        </w:rPr>
        <w:t>29</w:t>
      </w:r>
      <w:r w:rsidR="00E91F3E">
        <w:fldChar w:fldCharType="end"/>
      </w:r>
      <w:r w:rsidR="00E91F3E">
        <w:t xml:space="preserve">). </w:t>
      </w:r>
    </w:p>
    <w:p w14:paraId="223E212A" w14:textId="1AC5712C" w:rsidR="00F03763" w:rsidRDefault="00F03763" w:rsidP="001A319C">
      <w:pPr>
        <w:pStyle w:val="Caption"/>
        <w:keepLines/>
      </w:pPr>
      <w:bookmarkStart w:id="250" w:name="_Ref30586683"/>
      <w:bookmarkStart w:id="251" w:name="_Toc39580810"/>
      <w:r>
        <w:t xml:space="preserve">Table </w:t>
      </w:r>
      <w:fldSimple w:instr=" SEQ Table \* ARABIC ">
        <w:r w:rsidR="00FA7BCD">
          <w:rPr>
            <w:noProof/>
          </w:rPr>
          <w:t>29</w:t>
        </w:r>
      </w:fldSimple>
      <w:bookmarkEnd w:id="250"/>
      <w:r>
        <w:tab/>
      </w:r>
      <w:r w:rsidR="00B441BC">
        <w:t>Patients with l</w:t>
      </w:r>
      <w:r>
        <w:t>egal blindness in one or both eyes at the last follow-up</w:t>
      </w:r>
      <w:bookmarkEnd w:id="251"/>
      <w:r>
        <w:t xml:space="preserve"> </w:t>
      </w:r>
    </w:p>
    <w:tbl>
      <w:tblPr>
        <w:tblStyle w:val="TableGrid"/>
        <w:tblW w:w="5000" w:type="pct"/>
        <w:tblLook w:val="04A0" w:firstRow="1" w:lastRow="0" w:firstColumn="1" w:lastColumn="0" w:noHBand="0" w:noVBand="1"/>
        <w:tblCaption w:val="Table 29 Patients with legal blindness in one or both eyes at the last follow-up "/>
        <w:tblDescription w:val="A comparison of change in legal blindness between AQP4-Ab positive and negative patients suspected of NMOSD"/>
      </w:tblPr>
      <w:tblGrid>
        <w:gridCol w:w="672"/>
        <w:gridCol w:w="1357"/>
        <w:gridCol w:w="1383"/>
        <w:gridCol w:w="1413"/>
        <w:gridCol w:w="1556"/>
        <w:gridCol w:w="1414"/>
        <w:gridCol w:w="1221"/>
      </w:tblGrid>
      <w:tr w:rsidR="00967F1D" w14:paraId="05CD8F57" w14:textId="77777777" w:rsidTr="00967F1D">
        <w:tc>
          <w:tcPr>
            <w:tcW w:w="360" w:type="pct"/>
          </w:tcPr>
          <w:p w14:paraId="448B0B8B" w14:textId="77777777" w:rsidR="00582E5E" w:rsidRDefault="00582E5E" w:rsidP="00447C83">
            <w:pPr>
              <w:pStyle w:val="TableHeading"/>
              <w:ind w:left="0"/>
            </w:pPr>
            <w:r>
              <w:t>Study</w:t>
            </w:r>
          </w:p>
          <w:p w14:paraId="2546B1AF" w14:textId="77777777" w:rsidR="00582E5E" w:rsidRDefault="00582E5E" w:rsidP="00447C83">
            <w:pPr>
              <w:pStyle w:val="TableHeading"/>
              <w:ind w:left="0"/>
            </w:pPr>
          </w:p>
        </w:tc>
        <w:tc>
          <w:tcPr>
            <w:tcW w:w="755" w:type="pct"/>
          </w:tcPr>
          <w:p w14:paraId="241B466A" w14:textId="77777777" w:rsidR="00582E5E" w:rsidRDefault="00582E5E" w:rsidP="00447C83">
            <w:pPr>
              <w:pStyle w:val="TableHeading"/>
              <w:ind w:left="0"/>
            </w:pPr>
            <w:r>
              <w:t>Population</w:t>
            </w:r>
          </w:p>
          <w:p w14:paraId="4569210E" w14:textId="77777777" w:rsidR="00582E5E" w:rsidRDefault="00582E5E" w:rsidP="00447C83">
            <w:pPr>
              <w:pStyle w:val="TableHeading"/>
              <w:ind w:left="0"/>
            </w:pPr>
            <w:r>
              <w:t>N tested</w:t>
            </w:r>
          </w:p>
        </w:tc>
        <w:tc>
          <w:tcPr>
            <w:tcW w:w="769" w:type="pct"/>
          </w:tcPr>
          <w:p w14:paraId="6D25FA0A" w14:textId="77777777" w:rsidR="00582E5E" w:rsidRDefault="00582E5E" w:rsidP="00447C83">
            <w:pPr>
              <w:pStyle w:val="TableHeading"/>
              <w:ind w:left="0"/>
            </w:pPr>
            <w:r>
              <w:t>Event</w:t>
            </w:r>
          </w:p>
        </w:tc>
        <w:tc>
          <w:tcPr>
            <w:tcW w:w="786" w:type="pct"/>
          </w:tcPr>
          <w:p w14:paraId="64F6374F" w14:textId="77777777" w:rsidR="00582E5E" w:rsidRDefault="00582E5E" w:rsidP="00447C83">
            <w:pPr>
              <w:pStyle w:val="TableHeading"/>
              <w:ind w:left="0"/>
            </w:pPr>
            <w:r>
              <w:t>AQP4-Ab +ve</w:t>
            </w:r>
          </w:p>
          <w:p w14:paraId="54B4BE45" w14:textId="77777777" w:rsidR="00582E5E" w:rsidRDefault="00582E5E" w:rsidP="00447C83">
            <w:pPr>
              <w:pStyle w:val="TableHeading"/>
              <w:ind w:left="0"/>
            </w:pPr>
            <w:r>
              <w:t>N (%)</w:t>
            </w:r>
          </w:p>
        </w:tc>
        <w:tc>
          <w:tcPr>
            <w:tcW w:w="865" w:type="pct"/>
          </w:tcPr>
          <w:p w14:paraId="34F43E79" w14:textId="77777777" w:rsidR="00582E5E" w:rsidRDefault="00582E5E" w:rsidP="00447C83">
            <w:pPr>
              <w:pStyle w:val="TableHeading"/>
              <w:ind w:left="0"/>
            </w:pPr>
            <w:r>
              <w:t>AQP4-Ab -ve</w:t>
            </w:r>
          </w:p>
          <w:p w14:paraId="190D86E5" w14:textId="77777777" w:rsidR="00582E5E" w:rsidRDefault="00582E5E" w:rsidP="00447C83">
            <w:pPr>
              <w:pStyle w:val="TableHeading"/>
              <w:ind w:left="0"/>
            </w:pPr>
            <w:r>
              <w:t>N (%)</w:t>
            </w:r>
          </w:p>
        </w:tc>
        <w:tc>
          <w:tcPr>
            <w:tcW w:w="786" w:type="pct"/>
          </w:tcPr>
          <w:p w14:paraId="36FCB7FD" w14:textId="77777777" w:rsidR="00582E5E" w:rsidRPr="00582E5E" w:rsidRDefault="00967F1D" w:rsidP="00447C83">
            <w:pPr>
              <w:pStyle w:val="TableHeading"/>
              <w:ind w:left="0"/>
              <w:rPr>
                <w:vertAlign w:val="superscript"/>
              </w:rPr>
            </w:pPr>
            <w:r>
              <w:t xml:space="preserve">OR [95%CI] P </w:t>
            </w:r>
            <w:r w:rsidR="00582E5E">
              <w:t>value</w:t>
            </w:r>
            <w:r w:rsidR="00582E5E">
              <w:rPr>
                <w:vertAlign w:val="superscript"/>
              </w:rPr>
              <w:t>a</w:t>
            </w:r>
          </w:p>
        </w:tc>
        <w:tc>
          <w:tcPr>
            <w:tcW w:w="679" w:type="pct"/>
          </w:tcPr>
          <w:p w14:paraId="182B329D" w14:textId="77777777" w:rsidR="00582E5E" w:rsidRDefault="00582E5E" w:rsidP="00447C83">
            <w:pPr>
              <w:pStyle w:val="TableHeading"/>
              <w:ind w:left="0"/>
            </w:pPr>
            <w:r>
              <w:t>Difference</w:t>
            </w:r>
          </w:p>
          <w:p w14:paraId="4C41725F" w14:textId="77777777" w:rsidR="00582E5E" w:rsidRPr="00582E5E" w:rsidRDefault="00582E5E" w:rsidP="00447C83">
            <w:pPr>
              <w:pStyle w:val="TableHeading"/>
              <w:ind w:left="0"/>
              <w:rPr>
                <w:vertAlign w:val="superscript"/>
              </w:rPr>
            </w:pPr>
            <w:r>
              <w:t>P value</w:t>
            </w:r>
            <w:r>
              <w:rPr>
                <w:vertAlign w:val="superscript"/>
              </w:rPr>
              <w:t>b</w:t>
            </w:r>
          </w:p>
        </w:tc>
      </w:tr>
      <w:tr w:rsidR="00967F1D" w:rsidRPr="00312E36" w14:paraId="06A0DE24" w14:textId="77777777" w:rsidTr="00967F1D">
        <w:tc>
          <w:tcPr>
            <w:tcW w:w="360" w:type="pct"/>
          </w:tcPr>
          <w:p w14:paraId="3A00B481" w14:textId="77777777" w:rsidR="00582E5E" w:rsidRDefault="00582E5E" w:rsidP="00447C83">
            <w:pPr>
              <w:pStyle w:val="TableText0"/>
              <w:ind w:left="0"/>
            </w:pPr>
            <w:r>
              <w:t>Zhou et al, 2016</w:t>
            </w:r>
          </w:p>
        </w:tc>
        <w:tc>
          <w:tcPr>
            <w:tcW w:w="755" w:type="pct"/>
          </w:tcPr>
          <w:p w14:paraId="48197FAC" w14:textId="197AF6C8" w:rsidR="00582E5E" w:rsidRDefault="00582E5E" w:rsidP="00447C83">
            <w:pPr>
              <w:pStyle w:val="TableText0"/>
              <w:ind w:left="0"/>
            </w:pPr>
            <w:r>
              <w:t xml:space="preserve">First episode ON </w:t>
            </w:r>
          </w:p>
          <w:p w14:paraId="1543B5EA" w14:textId="77777777" w:rsidR="00582E5E" w:rsidRDefault="00582E5E" w:rsidP="00447C83">
            <w:pPr>
              <w:pStyle w:val="TableText0"/>
              <w:ind w:left="0"/>
            </w:pPr>
            <w:r>
              <w:t>N=128 patients</w:t>
            </w:r>
          </w:p>
        </w:tc>
        <w:tc>
          <w:tcPr>
            <w:tcW w:w="769" w:type="pct"/>
          </w:tcPr>
          <w:p w14:paraId="61A68FF9" w14:textId="77777777" w:rsidR="00582E5E" w:rsidRDefault="00582E5E" w:rsidP="00447C83">
            <w:pPr>
              <w:pStyle w:val="TableText0"/>
              <w:ind w:left="0"/>
            </w:pPr>
            <w:r>
              <w:t>Legal blindness (</w:t>
            </w:r>
            <w:r w:rsidRPr="00F03763">
              <w:t>1</w:t>
            </w:r>
            <w:r>
              <w:t xml:space="preserve"> eye)</w:t>
            </w:r>
            <w:r>
              <w:br/>
            </w:r>
          </w:p>
          <w:p w14:paraId="4DEE259D" w14:textId="77777777" w:rsidR="00582E5E" w:rsidRDefault="00582E5E" w:rsidP="00447C83">
            <w:pPr>
              <w:pStyle w:val="TableText0"/>
              <w:ind w:left="0"/>
            </w:pPr>
            <w:r>
              <w:t>Legal blindness (both eyes)</w:t>
            </w:r>
          </w:p>
        </w:tc>
        <w:tc>
          <w:tcPr>
            <w:tcW w:w="786" w:type="pct"/>
          </w:tcPr>
          <w:p w14:paraId="4425CFED" w14:textId="77777777" w:rsidR="00582E5E" w:rsidRDefault="00582E5E" w:rsidP="00447C83">
            <w:pPr>
              <w:pStyle w:val="TableText0"/>
              <w:ind w:left="0"/>
            </w:pPr>
            <w:r>
              <w:t>30/45 (66.7)</w:t>
            </w:r>
            <w:r>
              <w:br/>
            </w:r>
          </w:p>
          <w:p w14:paraId="79A69368" w14:textId="77777777" w:rsidR="00582E5E" w:rsidRDefault="00582E5E" w:rsidP="00447C83">
            <w:pPr>
              <w:pStyle w:val="TableText0"/>
              <w:ind w:left="0"/>
            </w:pPr>
          </w:p>
          <w:p w14:paraId="0671F498" w14:textId="77777777" w:rsidR="00582E5E" w:rsidRDefault="00582E5E" w:rsidP="00447C83">
            <w:pPr>
              <w:pStyle w:val="TableText0"/>
              <w:ind w:left="0"/>
            </w:pPr>
            <w:r>
              <w:t>13/45 (28.9)</w:t>
            </w:r>
          </w:p>
        </w:tc>
        <w:tc>
          <w:tcPr>
            <w:tcW w:w="865" w:type="pct"/>
          </w:tcPr>
          <w:p w14:paraId="5CC12FC7" w14:textId="77777777" w:rsidR="00582E5E" w:rsidRDefault="00582E5E" w:rsidP="00447C83">
            <w:pPr>
              <w:pStyle w:val="TableText0"/>
              <w:ind w:left="0"/>
            </w:pPr>
            <w:r>
              <w:t>27/83 (32.5)</w:t>
            </w:r>
            <w:r>
              <w:br/>
            </w:r>
          </w:p>
          <w:p w14:paraId="7A52C6D9" w14:textId="77777777" w:rsidR="00582E5E" w:rsidRDefault="00582E5E" w:rsidP="00447C83">
            <w:pPr>
              <w:pStyle w:val="TableText0"/>
              <w:ind w:left="0"/>
            </w:pPr>
          </w:p>
          <w:p w14:paraId="54A35FB4" w14:textId="77777777" w:rsidR="00582E5E" w:rsidRDefault="00582E5E" w:rsidP="00447C83">
            <w:pPr>
              <w:pStyle w:val="TableText0"/>
              <w:ind w:left="0"/>
            </w:pPr>
            <w:r>
              <w:t>11/83 (13.3)</w:t>
            </w:r>
          </w:p>
        </w:tc>
        <w:tc>
          <w:tcPr>
            <w:tcW w:w="786" w:type="pct"/>
          </w:tcPr>
          <w:p w14:paraId="1A9B5363" w14:textId="77777777" w:rsidR="00582E5E" w:rsidRDefault="00582E5E" w:rsidP="00447C83">
            <w:pPr>
              <w:pStyle w:val="TableText0"/>
              <w:ind w:left="0"/>
            </w:pPr>
            <w:r>
              <w:t>4.15 [1.92,8.97]</w:t>
            </w:r>
            <w:r w:rsidR="00993818">
              <w:t xml:space="preserve"> </w:t>
            </w:r>
            <w:r>
              <w:t>0.0003</w:t>
            </w:r>
          </w:p>
          <w:p w14:paraId="53DAAC05" w14:textId="77777777" w:rsidR="00993818" w:rsidRDefault="00993818" w:rsidP="00447C83">
            <w:pPr>
              <w:pStyle w:val="TableText0"/>
              <w:ind w:left="0"/>
            </w:pPr>
          </w:p>
          <w:p w14:paraId="0706185B" w14:textId="77777777" w:rsidR="00582E5E" w:rsidRDefault="00582E5E" w:rsidP="00447C83">
            <w:pPr>
              <w:pStyle w:val="TableText0"/>
              <w:ind w:left="0"/>
            </w:pPr>
            <w:r>
              <w:t>2.66</w:t>
            </w:r>
            <w:r w:rsidR="00993818">
              <w:t xml:space="preserve"> </w:t>
            </w:r>
            <w:r>
              <w:t>[1.08,6.57] 0.0341</w:t>
            </w:r>
          </w:p>
        </w:tc>
        <w:tc>
          <w:tcPr>
            <w:tcW w:w="679" w:type="pct"/>
          </w:tcPr>
          <w:p w14:paraId="0FE11B0D" w14:textId="77777777" w:rsidR="00582E5E" w:rsidRDefault="00582E5E" w:rsidP="00447C83">
            <w:pPr>
              <w:pStyle w:val="TableText0"/>
              <w:ind w:left="0"/>
            </w:pPr>
            <w:r>
              <w:t>&lt;0.01</w:t>
            </w:r>
            <w:r>
              <w:br/>
            </w:r>
          </w:p>
          <w:p w14:paraId="49D779D8" w14:textId="77777777" w:rsidR="00582E5E" w:rsidRDefault="00582E5E" w:rsidP="00447C83">
            <w:pPr>
              <w:pStyle w:val="TableText0"/>
              <w:ind w:left="0"/>
            </w:pPr>
          </w:p>
          <w:p w14:paraId="6A6A2F2E" w14:textId="77777777" w:rsidR="00582E5E" w:rsidRDefault="00582E5E" w:rsidP="00447C83">
            <w:pPr>
              <w:pStyle w:val="TableText0"/>
              <w:ind w:left="0"/>
            </w:pPr>
            <w:r>
              <w:t>0.036</w:t>
            </w:r>
          </w:p>
        </w:tc>
      </w:tr>
    </w:tbl>
    <w:p w14:paraId="6476CA2A" w14:textId="77777777" w:rsidR="00E91F3E" w:rsidRDefault="00E91F3E" w:rsidP="00E91F3E">
      <w:pPr>
        <w:pStyle w:val="Tablenotes0"/>
      </w:pPr>
      <w:r>
        <w:t>AQP4-Ab = aquaporin 4 antibodies; O</w:t>
      </w:r>
      <w:r w:rsidR="007B2205">
        <w:t>N</w:t>
      </w:r>
      <w:r>
        <w:t xml:space="preserve"> = </w:t>
      </w:r>
      <w:r w:rsidR="007B2205">
        <w:t>optic neuritis</w:t>
      </w:r>
      <w:r w:rsidR="00B40C0D">
        <w:t>; OR = odds ratio</w:t>
      </w:r>
      <w:r>
        <w:t xml:space="preserve"> </w:t>
      </w:r>
    </w:p>
    <w:p w14:paraId="3C36AB36" w14:textId="77777777" w:rsidR="00582E5E" w:rsidRDefault="00582E5E" w:rsidP="00582E5E">
      <w:pPr>
        <w:pStyle w:val="Tablenotes0"/>
      </w:pPr>
      <w:r>
        <w:rPr>
          <w:vertAlign w:val="superscript"/>
        </w:rPr>
        <w:t xml:space="preserve">a </w:t>
      </w:r>
      <w:r>
        <w:t>values calculated using MedCalc</w:t>
      </w:r>
    </w:p>
    <w:p w14:paraId="18531D6C" w14:textId="77777777" w:rsidR="00582E5E" w:rsidRPr="0073087A" w:rsidRDefault="00582E5E" w:rsidP="00582E5E">
      <w:pPr>
        <w:pStyle w:val="Tablenotes0"/>
      </w:pPr>
      <w:r>
        <w:rPr>
          <w:vertAlign w:val="superscript"/>
        </w:rPr>
        <w:t xml:space="preserve">b </w:t>
      </w:r>
      <w:r>
        <w:t>published P-val</w:t>
      </w:r>
      <w:r w:rsidR="005D4A17">
        <w:t>u</w:t>
      </w:r>
      <w:r>
        <w:t>e</w:t>
      </w:r>
    </w:p>
    <w:p w14:paraId="479C73CD" w14:textId="77777777" w:rsidR="003C720E" w:rsidRDefault="004F3DB6" w:rsidP="00476B34">
      <w:pPr>
        <w:pStyle w:val="Heading4"/>
      </w:pPr>
      <w:r>
        <w:t xml:space="preserve">Conversion to NMOSD </w:t>
      </w:r>
      <w:r w:rsidR="007D24FA">
        <w:t xml:space="preserve">diagnosis </w:t>
      </w:r>
    </w:p>
    <w:p w14:paraId="581368D2" w14:textId="4CAA9D75" w:rsidR="006610A8" w:rsidRDefault="007B2205" w:rsidP="00AE1781">
      <w:r>
        <w:t xml:space="preserve">Five studies reported on the number of patients who eventually </w:t>
      </w:r>
      <w:r w:rsidR="00886B20">
        <w:t>received</w:t>
      </w:r>
      <w:r>
        <w:t xml:space="preserve"> a diagnosis of NMO or NMOSD following an initial neurological event</w:t>
      </w:r>
      <w:r w:rsidR="00EA2594">
        <w:t xml:space="preserve"> </w:t>
      </w:r>
      <w:r w:rsidR="00156621">
        <w:fldChar w:fldCharType="begin">
          <w:fldData xml:space="preserve">PEVuZE5vdGU+PENpdGU+PEF1dGhvcj5DaGVuZzwvQXV0aG9yPjxZZWFyPjIwMTY8L1llYXI+PFJl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==
</w:fldData>
        </w:fldChar>
      </w:r>
      <w:r w:rsidR="00D96694">
        <w:instrText xml:space="preserve"> ADDIN EN.CITE </w:instrText>
      </w:r>
      <w:r w:rsidR="00D96694">
        <w:fldChar w:fldCharType="begin">
          <w:fldData xml:space="preserve">PEVuZE5vdGU+PENpdGU+PEF1dGhvcj5DaGVuZzwvQXV0aG9yPjxZZWFyPjIwMTY8L1llYXI+PFJl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==
</w:fldData>
        </w:fldChar>
      </w:r>
      <w:r w:rsidR="00D96694">
        <w:instrText xml:space="preserve"> ADDIN EN.CITE.DATA </w:instrText>
      </w:r>
      <w:r w:rsidR="00D96694">
        <w:fldChar w:fldCharType="end"/>
      </w:r>
      <w:r w:rsidR="00156621">
        <w:fldChar w:fldCharType="separate"/>
      </w:r>
      <w:r w:rsidR="00156621">
        <w:rPr>
          <w:noProof/>
        </w:rPr>
        <w:t>(Cheng et al. 2016; Contentti, CE et al. 2017; Li et al. 2015; Liu et al. 2019; Zhou et al. 2016)</w:t>
      </w:r>
      <w:r w:rsidR="00156621">
        <w:fldChar w:fldCharType="end"/>
      </w:r>
      <w:r w:rsidR="00EA2594">
        <w:t>.</w:t>
      </w:r>
      <w:r>
        <w:t xml:space="preserve"> Diagnosis </w:t>
      </w:r>
      <w:r w:rsidR="00886B20">
        <w:t xml:space="preserve">was </w:t>
      </w:r>
      <w:r w:rsidR="00845DCF">
        <w:t>according to</w:t>
      </w:r>
      <w:r>
        <w:t xml:space="preserve"> </w:t>
      </w:r>
      <w:r w:rsidR="00BD5F0A">
        <w:t xml:space="preserve">the 2006 or 2015 criteria and therefore was based on </w:t>
      </w:r>
      <w:r w:rsidR="00886B20">
        <w:t xml:space="preserve">the </w:t>
      </w:r>
      <w:r>
        <w:t>recurren</w:t>
      </w:r>
      <w:r w:rsidR="00886B20">
        <w:t>ce</w:t>
      </w:r>
      <w:r>
        <w:t xml:space="preserve"> </w:t>
      </w:r>
      <w:r w:rsidR="00886B20">
        <w:t>of neurological events</w:t>
      </w:r>
      <w:r w:rsidR="00BD5F0A">
        <w:t xml:space="preserve"> and/or antibody testing</w:t>
      </w:r>
      <w:r w:rsidR="00886B20">
        <w:t xml:space="preserve">. </w:t>
      </w:r>
      <w:r w:rsidR="006610A8">
        <w:t xml:space="preserve">Follow-up periods ranged from 12 months to 5 years. </w:t>
      </w:r>
      <w:r w:rsidR="00EA2594">
        <w:t>Results</w:t>
      </w:r>
      <w:r w:rsidR="00845DCF">
        <w:t xml:space="preserve"> </w:t>
      </w:r>
      <w:r w:rsidR="00EA2594">
        <w:t xml:space="preserve">are reported in </w:t>
      </w:r>
      <w:r w:rsidR="00EA2594">
        <w:fldChar w:fldCharType="begin"/>
      </w:r>
      <w:r w:rsidR="00EA2594">
        <w:instrText xml:space="preserve"> REF _Ref30596157 \h </w:instrText>
      </w:r>
      <w:r w:rsidR="00EA2594">
        <w:fldChar w:fldCharType="separate"/>
      </w:r>
      <w:r w:rsidR="00857D5B">
        <w:t xml:space="preserve">Table </w:t>
      </w:r>
      <w:r w:rsidR="00857D5B">
        <w:rPr>
          <w:noProof/>
        </w:rPr>
        <w:t>30</w:t>
      </w:r>
      <w:r w:rsidR="00EA2594">
        <w:fldChar w:fldCharType="end"/>
      </w:r>
      <w:r w:rsidR="00EA2594">
        <w:t>.</w:t>
      </w:r>
    </w:p>
    <w:p w14:paraId="7BA928F6" w14:textId="77777777" w:rsidR="006610A8" w:rsidRDefault="00AF3B46" w:rsidP="006610A8">
      <w:r>
        <w:t>Cheng et al (2016) and Contentti et al (2017)</w:t>
      </w:r>
      <w:r w:rsidR="007B2205">
        <w:t xml:space="preserve"> </w:t>
      </w:r>
      <w:r>
        <w:t xml:space="preserve">found that 100% of those testing positive for AQP4-ab were diagnosed with NMOSD according to the 2015 </w:t>
      </w:r>
      <w:r w:rsidR="00623B82">
        <w:t>criteria</w:t>
      </w:r>
      <w:r w:rsidR="00446BD5">
        <w:t xml:space="preserve"> compared to 0% to 17.7% of the AQP4-Ab </w:t>
      </w:r>
      <w:r w:rsidR="000C16D2">
        <w:t xml:space="preserve">negative </w:t>
      </w:r>
      <w:r w:rsidR="00446BD5">
        <w:t xml:space="preserve">groups. </w:t>
      </w:r>
      <w:r w:rsidR="006610A8">
        <w:t xml:space="preserve">Li et al (2015) found that following a diagnosis of bilateral or recurrent ON, 49% of AQP4-Ab positive patients went on to develop NMO according to the 2006 criteria compared to 10.5% of AQP4-Ab </w:t>
      </w:r>
      <w:r w:rsidR="000613DF">
        <w:t>negati</w:t>
      </w:r>
      <w:r w:rsidR="006610A8">
        <w:t xml:space="preserve">ve patients. </w:t>
      </w:r>
    </w:p>
    <w:p w14:paraId="23955C0E" w14:textId="77777777" w:rsidR="007D24FA" w:rsidRDefault="00446BD5" w:rsidP="00AE1781">
      <w:r>
        <w:t>I</w:t>
      </w:r>
      <w:r w:rsidR="00623B82">
        <w:t>n</w:t>
      </w:r>
      <w:r>
        <w:t xml:space="preserve"> the stud</w:t>
      </w:r>
      <w:r w:rsidR="006610A8">
        <w:t>ies</w:t>
      </w:r>
      <w:r>
        <w:t xml:space="preserve"> by Zh</w:t>
      </w:r>
      <w:r w:rsidR="00623B82">
        <w:t>ou</w:t>
      </w:r>
      <w:r>
        <w:t xml:space="preserve"> et al</w:t>
      </w:r>
      <w:r w:rsidR="006610A8">
        <w:t xml:space="preserve"> (2016)</w:t>
      </w:r>
      <w:r>
        <w:t xml:space="preserve"> </w:t>
      </w:r>
      <w:r w:rsidR="006610A8">
        <w:t>and Liu et al (2019)</w:t>
      </w:r>
      <w:r w:rsidR="00730731">
        <w:t>,</w:t>
      </w:r>
      <w:r w:rsidR="006610A8">
        <w:t xml:space="preserve"> 40% and 22.4% respectively </w:t>
      </w:r>
      <w:r>
        <w:t xml:space="preserve">of </w:t>
      </w:r>
      <w:r w:rsidR="00845DCF">
        <w:t xml:space="preserve">patients meeting the </w:t>
      </w:r>
      <w:r w:rsidR="008E6E7F">
        <w:t>Optic Neuritis Treatment Trial (</w:t>
      </w:r>
      <w:r w:rsidR="00845DCF">
        <w:t>ONTT</w:t>
      </w:r>
      <w:r w:rsidR="008E6E7F">
        <w:t>)</w:t>
      </w:r>
      <w:r w:rsidR="00845DCF">
        <w:t xml:space="preserve"> inclusion criteria</w:t>
      </w:r>
      <w:bookmarkStart w:id="252" w:name="_Ref30678606"/>
      <w:r w:rsidR="00845DCF">
        <w:rPr>
          <w:rStyle w:val="FootnoteReference"/>
        </w:rPr>
        <w:footnoteReference w:id="9"/>
      </w:r>
      <w:bookmarkEnd w:id="252"/>
      <w:r w:rsidR="00845DCF">
        <w:t xml:space="preserve"> or with </w:t>
      </w:r>
      <w:r w:rsidR="00623B82">
        <w:t xml:space="preserve">first event ON </w:t>
      </w:r>
      <w:r>
        <w:t xml:space="preserve">went on to </w:t>
      </w:r>
      <w:r w:rsidR="00623B82">
        <w:t>develop</w:t>
      </w:r>
      <w:r>
        <w:t xml:space="preserve"> </w:t>
      </w:r>
      <w:r>
        <w:lastRenderedPageBreak/>
        <w:t xml:space="preserve">NMOSD in the AQP4-Ab </w:t>
      </w:r>
      <w:r w:rsidR="00623B82">
        <w:t>positive</w:t>
      </w:r>
      <w:r>
        <w:t xml:space="preserve"> </w:t>
      </w:r>
      <w:r w:rsidR="00623B82">
        <w:t>group</w:t>
      </w:r>
      <w:r>
        <w:t xml:space="preserve"> compared to 1.2%</w:t>
      </w:r>
      <w:r w:rsidR="006610A8">
        <w:t xml:space="preserve"> and 2.2% respectively</w:t>
      </w:r>
      <w:r>
        <w:t xml:space="preserve"> in the negative group. A large proportion of patients </w:t>
      </w:r>
      <w:r w:rsidR="006610A8">
        <w:t xml:space="preserve">in both studies </w:t>
      </w:r>
      <w:r>
        <w:t>experienced only a single</w:t>
      </w:r>
      <w:r w:rsidR="006610A8">
        <w:t xml:space="preserve"> ON event and so did not go on to meet criteria for an NMOSD diagnosis. </w:t>
      </w:r>
    </w:p>
    <w:p w14:paraId="33F95423" w14:textId="77777777" w:rsidR="006610A8" w:rsidRDefault="006610A8" w:rsidP="00AE1781">
      <w:r>
        <w:t>In all studies, there was a statistical</w:t>
      </w:r>
      <w:r w:rsidR="000613DF">
        <w:t>ly significant</w:t>
      </w:r>
      <w:r>
        <w:t xml:space="preserve"> difference in the rate of conversion to NMO or NMOSD between AQ</w:t>
      </w:r>
      <w:r w:rsidR="000C16D2">
        <w:t>P</w:t>
      </w:r>
      <w:r>
        <w:t xml:space="preserve">4-Ab </w:t>
      </w:r>
      <w:r w:rsidR="00EA2594">
        <w:t>positive</w:t>
      </w:r>
      <w:r>
        <w:t xml:space="preserve"> and negative </w:t>
      </w:r>
      <w:r w:rsidR="00EA2594">
        <w:t xml:space="preserve">early event patients, with those testing positive more likely to develop the disease. </w:t>
      </w:r>
    </w:p>
    <w:p w14:paraId="7F1D8E64" w14:textId="2BEB762F" w:rsidR="007D24FA" w:rsidRDefault="007D24FA" w:rsidP="007D24FA">
      <w:pPr>
        <w:pStyle w:val="Caption"/>
      </w:pPr>
      <w:bookmarkStart w:id="253" w:name="_Ref30596157"/>
      <w:bookmarkStart w:id="254" w:name="_Toc39580811"/>
      <w:r>
        <w:t xml:space="preserve">Table </w:t>
      </w:r>
      <w:fldSimple w:instr=" SEQ Table \* ARABIC ">
        <w:r w:rsidR="00FA7BCD">
          <w:rPr>
            <w:noProof/>
          </w:rPr>
          <w:t>30</w:t>
        </w:r>
      </w:fldSimple>
      <w:bookmarkEnd w:id="253"/>
      <w:r>
        <w:tab/>
        <w:t xml:space="preserve">Rate of conversion to </w:t>
      </w:r>
      <w:r w:rsidR="007C6C85">
        <w:t>NMO/</w:t>
      </w:r>
      <w:r>
        <w:t>NMOSD</w:t>
      </w:r>
      <w:bookmarkEnd w:id="254"/>
      <w:r>
        <w:t xml:space="preserve"> </w:t>
      </w:r>
    </w:p>
    <w:tbl>
      <w:tblPr>
        <w:tblStyle w:val="TableGrid"/>
        <w:tblW w:w="5000" w:type="pct"/>
        <w:tblLook w:val="04A0" w:firstRow="1" w:lastRow="0" w:firstColumn="1" w:lastColumn="0" w:noHBand="0" w:noVBand="1"/>
        <w:tblCaption w:val="Table 30 Rate of conversion to NMO/NMOSD "/>
        <w:tblDescription w:val="Difference in the rate of conversion to NMOSD between AQP4-Ab positive and negative patients suspected of NMOSD"/>
      </w:tblPr>
      <w:tblGrid>
        <w:gridCol w:w="1059"/>
        <w:gridCol w:w="2013"/>
        <w:gridCol w:w="1539"/>
        <w:gridCol w:w="1537"/>
        <w:gridCol w:w="1448"/>
        <w:gridCol w:w="1420"/>
      </w:tblGrid>
      <w:tr w:rsidR="007763C4" w:rsidRPr="00447C83" w14:paraId="5C17F798" w14:textId="77777777" w:rsidTr="007763C4">
        <w:tc>
          <w:tcPr>
            <w:tcW w:w="590" w:type="pct"/>
          </w:tcPr>
          <w:p w14:paraId="2BEC7DB4" w14:textId="77777777" w:rsidR="007763C4" w:rsidRPr="00447C83" w:rsidRDefault="007763C4" w:rsidP="00447C83">
            <w:pPr>
              <w:pStyle w:val="TableText0"/>
              <w:ind w:left="0"/>
              <w:rPr>
                <w:b/>
              </w:rPr>
            </w:pPr>
            <w:r w:rsidRPr="00447C83">
              <w:rPr>
                <w:b/>
              </w:rPr>
              <w:t xml:space="preserve">Study </w:t>
            </w:r>
          </w:p>
        </w:tc>
        <w:tc>
          <w:tcPr>
            <w:tcW w:w="1119" w:type="pct"/>
          </w:tcPr>
          <w:p w14:paraId="2A9F211B" w14:textId="77777777" w:rsidR="007763C4" w:rsidRPr="00447C83" w:rsidRDefault="007763C4" w:rsidP="00447C83">
            <w:pPr>
              <w:pStyle w:val="TableText0"/>
              <w:ind w:left="0"/>
              <w:rPr>
                <w:b/>
              </w:rPr>
            </w:pPr>
            <w:r w:rsidRPr="00447C83">
              <w:rPr>
                <w:b/>
              </w:rPr>
              <w:t>Population</w:t>
            </w:r>
          </w:p>
          <w:p w14:paraId="35C5E3EC" w14:textId="77777777" w:rsidR="007763C4" w:rsidRPr="00447C83" w:rsidRDefault="007763C4" w:rsidP="00447C83">
            <w:pPr>
              <w:pStyle w:val="TableText0"/>
              <w:ind w:left="0"/>
              <w:rPr>
                <w:b/>
              </w:rPr>
            </w:pPr>
            <w:r w:rsidRPr="00447C83">
              <w:rPr>
                <w:b/>
              </w:rPr>
              <w:t>N tested</w:t>
            </w:r>
          </w:p>
        </w:tc>
        <w:tc>
          <w:tcPr>
            <w:tcW w:w="856" w:type="pct"/>
          </w:tcPr>
          <w:p w14:paraId="03C5A9C8" w14:textId="77777777" w:rsidR="007763C4" w:rsidRPr="00447C83" w:rsidRDefault="007763C4" w:rsidP="00447C83">
            <w:pPr>
              <w:pStyle w:val="TableText0"/>
              <w:ind w:left="0"/>
              <w:rPr>
                <w:b/>
              </w:rPr>
            </w:pPr>
            <w:r w:rsidRPr="00447C83">
              <w:rPr>
                <w:b/>
              </w:rPr>
              <w:t>AQP4-Ab +ve</w:t>
            </w:r>
          </w:p>
          <w:p w14:paraId="510F175A" w14:textId="77777777" w:rsidR="007763C4" w:rsidRPr="00447C83" w:rsidRDefault="007763C4" w:rsidP="00447C83">
            <w:pPr>
              <w:pStyle w:val="TableText0"/>
              <w:ind w:left="0"/>
              <w:rPr>
                <w:b/>
              </w:rPr>
            </w:pPr>
            <w:r w:rsidRPr="00447C83">
              <w:rPr>
                <w:b/>
              </w:rPr>
              <w:t>n/N (%)</w:t>
            </w:r>
          </w:p>
        </w:tc>
        <w:tc>
          <w:tcPr>
            <w:tcW w:w="855" w:type="pct"/>
          </w:tcPr>
          <w:p w14:paraId="4AFFAC4A" w14:textId="77777777" w:rsidR="007763C4" w:rsidRPr="00447C83" w:rsidRDefault="007763C4" w:rsidP="00447C83">
            <w:pPr>
              <w:pStyle w:val="TableText0"/>
              <w:ind w:left="0"/>
              <w:rPr>
                <w:b/>
              </w:rPr>
            </w:pPr>
            <w:r w:rsidRPr="00447C83">
              <w:rPr>
                <w:b/>
              </w:rPr>
              <w:t>AQP4-Ab -ve</w:t>
            </w:r>
          </w:p>
          <w:p w14:paraId="4D816F7E" w14:textId="77777777" w:rsidR="007763C4" w:rsidRPr="00447C83" w:rsidRDefault="007763C4" w:rsidP="00447C83">
            <w:pPr>
              <w:pStyle w:val="TableText0"/>
              <w:ind w:left="0"/>
              <w:rPr>
                <w:b/>
              </w:rPr>
            </w:pPr>
            <w:r w:rsidRPr="00447C83">
              <w:rPr>
                <w:b/>
              </w:rPr>
              <w:t>n/N (%)</w:t>
            </w:r>
          </w:p>
        </w:tc>
        <w:tc>
          <w:tcPr>
            <w:tcW w:w="790" w:type="pct"/>
          </w:tcPr>
          <w:p w14:paraId="799F2217" w14:textId="77777777" w:rsidR="007763C4" w:rsidRPr="00447C83" w:rsidRDefault="007763C4" w:rsidP="00447C83">
            <w:pPr>
              <w:pStyle w:val="TableText0"/>
              <w:ind w:left="0"/>
              <w:rPr>
                <w:b/>
              </w:rPr>
            </w:pPr>
            <w:r w:rsidRPr="00447C83">
              <w:rPr>
                <w:b/>
              </w:rPr>
              <w:t xml:space="preserve">OR [95%CI] </w:t>
            </w:r>
          </w:p>
          <w:p w14:paraId="68EBCD15" w14:textId="77777777" w:rsidR="007763C4" w:rsidRPr="00447C83" w:rsidRDefault="007763C4" w:rsidP="00447C83">
            <w:pPr>
              <w:pStyle w:val="TableText0"/>
              <w:ind w:left="0"/>
              <w:rPr>
                <w:b/>
              </w:rPr>
            </w:pPr>
            <w:r w:rsidRPr="00447C83">
              <w:rPr>
                <w:b/>
              </w:rPr>
              <w:t>P-value</w:t>
            </w:r>
            <w:r w:rsidRPr="00447C83">
              <w:rPr>
                <w:b/>
                <w:vertAlign w:val="superscript"/>
              </w:rPr>
              <w:t>a</w:t>
            </w:r>
          </w:p>
        </w:tc>
        <w:tc>
          <w:tcPr>
            <w:tcW w:w="790" w:type="pct"/>
          </w:tcPr>
          <w:p w14:paraId="39277ADE" w14:textId="77777777" w:rsidR="007763C4" w:rsidRPr="00447C83" w:rsidRDefault="007763C4" w:rsidP="00447C83">
            <w:pPr>
              <w:pStyle w:val="TableText0"/>
              <w:ind w:left="0"/>
              <w:rPr>
                <w:b/>
              </w:rPr>
            </w:pPr>
            <w:r w:rsidRPr="00447C83">
              <w:rPr>
                <w:b/>
              </w:rPr>
              <w:t>Difference</w:t>
            </w:r>
          </w:p>
          <w:p w14:paraId="3AA16121" w14:textId="77777777" w:rsidR="007763C4" w:rsidRPr="00447C83" w:rsidRDefault="007763C4" w:rsidP="00447C83">
            <w:pPr>
              <w:pStyle w:val="TableText0"/>
              <w:ind w:left="0"/>
              <w:rPr>
                <w:b/>
                <w:vertAlign w:val="superscript"/>
              </w:rPr>
            </w:pPr>
            <w:r w:rsidRPr="00447C83">
              <w:rPr>
                <w:b/>
              </w:rPr>
              <w:t>P value</w:t>
            </w:r>
            <w:r w:rsidRPr="00447C83">
              <w:rPr>
                <w:b/>
                <w:vertAlign w:val="superscript"/>
              </w:rPr>
              <w:t>b</w:t>
            </w:r>
          </w:p>
        </w:tc>
      </w:tr>
      <w:tr w:rsidR="007763C4" w:rsidRPr="00312E36" w14:paraId="049E2E62" w14:textId="77777777" w:rsidTr="007763C4">
        <w:tc>
          <w:tcPr>
            <w:tcW w:w="590" w:type="pct"/>
          </w:tcPr>
          <w:p w14:paraId="1E825C6F" w14:textId="77777777" w:rsidR="007763C4" w:rsidRDefault="007763C4" w:rsidP="00447C83">
            <w:pPr>
              <w:pStyle w:val="TableText0"/>
              <w:ind w:left="0"/>
            </w:pPr>
            <w:r>
              <w:t>Cheng et al 2016</w:t>
            </w:r>
          </w:p>
        </w:tc>
        <w:tc>
          <w:tcPr>
            <w:tcW w:w="1119" w:type="pct"/>
          </w:tcPr>
          <w:p w14:paraId="0A20DC7A" w14:textId="77777777" w:rsidR="007763C4" w:rsidRDefault="007763C4" w:rsidP="00447C83">
            <w:pPr>
              <w:pStyle w:val="TableText0"/>
              <w:ind w:left="0"/>
            </w:pPr>
            <w:r>
              <w:t>First event ABS</w:t>
            </w:r>
          </w:p>
          <w:p w14:paraId="29B6F91B" w14:textId="77777777" w:rsidR="007763C4" w:rsidRDefault="007763C4" w:rsidP="00447C83">
            <w:pPr>
              <w:pStyle w:val="TableText0"/>
              <w:ind w:left="0"/>
            </w:pPr>
            <w:r>
              <w:t>N=31</w:t>
            </w:r>
          </w:p>
        </w:tc>
        <w:tc>
          <w:tcPr>
            <w:tcW w:w="856" w:type="pct"/>
          </w:tcPr>
          <w:p w14:paraId="6B7F50E8" w14:textId="77777777" w:rsidR="007763C4" w:rsidRDefault="007763C4" w:rsidP="00447C83">
            <w:pPr>
              <w:pStyle w:val="TableText0"/>
              <w:ind w:left="0"/>
            </w:pPr>
            <w:r>
              <w:t>14/14 (100)</w:t>
            </w:r>
          </w:p>
        </w:tc>
        <w:tc>
          <w:tcPr>
            <w:tcW w:w="855" w:type="pct"/>
          </w:tcPr>
          <w:p w14:paraId="0E4FB4CB" w14:textId="77777777" w:rsidR="007763C4" w:rsidRDefault="007763C4" w:rsidP="00447C83">
            <w:pPr>
              <w:pStyle w:val="TableText0"/>
              <w:ind w:left="0"/>
            </w:pPr>
            <w:r>
              <w:t>3/17 (17.7)</w:t>
            </w:r>
          </w:p>
        </w:tc>
        <w:tc>
          <w:tcPr>
            <w:tcW w:w="790" w:type="pct"/>
          </w:tcPr>
          <w:p w14:paraId="22D7816D" w14:textId="77777777" w:rsidR="007763C4" w:rsidRDefault="003B773A" w:rsidP="00447C83">
            <w:pPr>
              <w:pStyle w:val="TableText0"/>
              <w:ind w:left="0"/>
            </w:pPr>
            <w:r>
              <w:t>120.14</w:t>
            </w:r>
          </w:p>
          <w:p w14:paraId="408CF67C" w14:textId="77777777" w:rsidR="003B773A" w:rsidRDefault="003B773A" w:rsidP="00447C83">
            <w:pPr>
              <w:pStyle w:val="TableText0"/>
              <w:ind w:left="0"/>
            </w:pPr>
            <w:r>
              <w:t>[5.68,2540.26]</w:t>
            </w:r>
          </w:p>
          <w:p w14:paraId="7AD8BC40" w14:textId="77777777" w:rsidR="003B773A" w:rsidRDefault="003B773A" w:rsidP="00447C83">
            <w:pPr>
              <w:pStyle w:val="TableText0"/>
              <w:ind w:left="0"/>
            </w:pPr>
            <w:r>
              <w:t>0.0021</w:t>
            </w:r>
          </w:p>
        </w:tc>
        <w:tc>
          <w:tcPr>
            <w:tcW w:w="790" w:type="pct"/>
          </w:tcPr>
          <w:p w14:paraId="67BACED8" w14:textId="77777777" w:rsidR="007763C4" w:rsidRDefault="007763C4" w:rsidP="00447C83">
            <w:pPr>
              <w:pStyle w:val="TableText0"/>
              <w:ind w:left="0"/>
            </w:pPr>
            <w:r>
              <w:t>&lt;0.001</w:t>
            </w:r>
          </w:p>
        </w:tc>
      </w:tr>
      <w:tr w:rsidR="007763C4" w:rsidRPr="00312E36" w14:paraId="19D40F25" w14:textId="77777777" w:rsidTr="007763C4">
        <w:tc>
          <w:tcPr>
            <w:tcW w:w="590" w:type="pct"/>
          </w:tcPr>
          <w:p w14:paraId="43660705" w14:textId="77777777" w:rsidR="007763C4" w:rsidRDefault="007763C4" w:rsidP="00447C83">
            <w:pPr>
              <w:pStyle w:val="TableText0"/>
              <w:ind w:left="0"/>
            </w:pPr>
            <w:r>
              <w:t>Contentti et al 2017</w:t>
            </w:r>
          </w:p>
        </w:tc>
        <w:tc>
          <w:tcPr>
            <w:tcW w:w="1119" w:type="pct"/>
          </w:tcPr>
          <w:p w14:paraId="3C28251B" w14:textId="77777777" w:rsidR="007763C4" w:rsidRDefault="007763C4" w:rsidP="00447C83">
            <w:pPr>
              <w:pStyle w:val="TableText0"/>
              <w:ind w:left="0"/>
            </w:pPr>
            <w:r>
              <w:t>First presentation LETM</w:t>
            </w:r>
          </w:p>
          <w:p w14:paraId="6B2451ED" w14:textId="77777777" w:rsidR="007763C4" w:rsidRDefault="007763C4" w:rsidP="00447C83">
            <w:pPr>
              <w:pStyle w:val="TableText0"/>
              <w:ind w:left="0"/>
            </w:pPr>
            <w:r>
              <w:t>N=30</w:t>
            </w:r>
          </w:p>
        </w:tc>
        <w:tc>
          <w:tcPr>
            <w:tcW w:w="856" w:type="pct"/>
          </w:tcPr>
          <w:p w14:paraId="6B67D81F" w14:textId="77777777" w:rsidR="007763C4" w:rsidRDefault="007763C4" w:rsidP="00447C83">
            <w:pPr>
              <w:pStyle w:val="TableText0"/>
              <w:ind w:left="0"/>
            </w:pPr>
            <w:r>
              <w:t>6/6 (100)</w:t>
            </w:r>
          </w:p>
        </w:tc>
        <w:tc>
          <w:tcPr>
            <w:tcW w:w="855" w:type="pct"/>
          </w:tcPr>
          <w:p w14:paraId="09DB142D" w14:textId="77777777" w:rsidR="007763C4" w:rsidRDefault="007763C4" w:rsidP="00447C83">
            <w:pPr>
              <w:pStyle w:val="TableText0"/>
              <w:ind w:left="0"/>
            </w:pPr>
            <w:r>
              <w:t>0/21 (0)</w:t>
            </w:r>
          </w:p>
        </w:tc>
        <w:tc>
          <w:tcPr>
            <w:tcW w:w="790" w:type="pct"/>
          </w:tcPr>
          <w:p w14:paraId="34A1C004" w14:textId="77777777" w:rsidR="007763C4" w:rsidRDefault="008D10EC" w:rsidP="00447C83">
            <w:pPr>
              <w:pStyle w:val="TableText0"/>
              <w:ind w:left="0"/>
            </w:pPr>
            <w:r>
              <w:t>559.00</w:t>
            </w:r>
          </w:p>
          <w:p w14:paraId="3C501FBD" w14:textId="77777777" w:rsidR="008D10EC" w:rsidRDefault="008D10EC" w:rsidP="00447C83">
            <w:pPr>
              <w:pStyle w:val="TableText0"/>
              <w:ind w:left="0"/>
            </w:pPr>
            <w:r>
              <w:t>[10.07,31042.90]</w:t>
            </w:r>
          </w:p>
          <w:p w14:paraId="68DE57AB" w14:textId="77777777" w:rsidR="008D10EC" w:rsidRDefault="008D10EC" w:rsidP="00447C83">
            <w:pPr>
              <w:pStyle w:val="TableText0"/>
              <w:ind w:left="0"/>
            </w:pPr>
            <w:r>
              <w:t>0.0020</w:t>
            </w:r>
          </w:p>
        </w:tc>
        <w:tc>
          <w:tcPr>
            <w:tcW w:w="790" w:type="pct"/>
          </w:tcPr>
          <w:p w14:paraId="34D63C4C" w14:textId="77777777" w:rsidR="007763C4" w:rsidRDefault="007763C4" w:rsidP="00447C83">
            <w:pPr>
              <w:pStyle w:val="TableText0"/>
              <w:ind w:left="0"/>
            </w:pPr>
            <w:r>
              <w:t xml:space="preserve">NR </w:t>
            </w:r>
            <w:r>
              <w:br/>
            </w:r>
          </w:p>
        </w:tc>
      </w:tr>
      <w:tr w:rsidR="007763C4" w:rsidRPr="00312E36" w14:paraId="79296D64" w14:textId="77777777" w:rsidTr="007763C4">
        <w:tc>
          <w:tcPr>
            <w:tcW w:w="590" w:type="pct"/>
          </w:tcPr>
          <w:p w14:paraId="7755C89E" w14:textId="77777777" w:rsidR="007763C4" w:rsidRDefault="007763C4" w:rsidP="00447C83">
            <w:pPr>
              <w:pStyle w:val="TableText0"/>
              <w:ind w:left="0"/>
            </w:pPr>
            <w:r>
              <w:t>Li et al, 2015</w:t>
            </w:r>
          </w:p>
        </w:tc>
        <w:tc>
          <w:tcPr>
            <w:tcW w:w="1119" w:type="pct"/>
          </w:tcPr>
          <w:p w14:paraId="30FE4EDC" w14:textId="77777777" w:rsidR="007763C4" w:rsidRDefault="007763C4" w:rsidP="00447C83">
            <w:pPr>
              <w:pStyle w:val="TableText0"/>
              <w:ind w:left="0"/>
            </w:pPr>
            <w:r>
              <w:t>Recurrent or bilateral ON</w:t>
            </w:r>
          </w:p>
          <w:p w14:paraId="27241255" w14:textId="77777777" w:rsidR="007763C4" w:rsidRDefault="007763C4" w:rsidP="00447C83">
            <w:pPr>
              <w:pStyle w:val="TableText0"/>
              <w:ind w:left="0"/>
            </w:pPr>
            <w:r>
              <w:t>N=125</w:t>
            </w:r>
          </w:p>
        </w:tc>
        <w:tc>
          <w:tcPr>
            <w:tcW w:w="856" w:type="pct"/>
          </w:tcPr>
          <w:p w14:paraId="2DE01A80" w14:textId="77777777" w:rsidR="007763C4" w:rsidRDefault="007763C4" w:rsidP="00447C83">
            <w:pPr>
              <w:pStyle w:val="TableText0"/>
              <w:ind w:left="0"/>
            </w:pPr>
            <w:r>
              <w:t>49/125 (49)</w:t>
            </w:r>
          </w:p>
        </w:tc>
        <w:tc>
          <w:tcPr>
            <w:tcW w:w="855" w:type="pct"/>
          </w:tcPr>
          <w:p w14:paraId="09656F41" w14:textId="77777777" w:rsidR="007763C4" w:rsidRDefault="007763C4" w:rsidP="00447C83">
            <w:pPr>
              <w:pStyle w:val="TableText0"/>
              <w:ind w:left="0"/>
            </w:pPr>
            <w:r>
              <w:t>13/125 (10.5)</w:t>
            </w:r>
          </w:p>
        </w:tc>
        <w:tc>
          <w:tcPr>
            <w:tcW w:w="790" w:type="pct"/>
          </w:tcPr>
          <w:p w14:paraId="1369C06C" w14:textId="77777777" w:rsidR="007763C4" w:rsidRDefault="002A05B9" w:rsidP="00447C83">
            <w:pPr>
              <w:pStyle w:val="TableText0"/>
              <w:ind w:left="0"/>
            </w:pPr>
            <w:r>
              <w:t>5.55</w:t>
            </w:r>
          </w:p>
          <w:p w14:paraId="5B079E5D" w14:textId="77777777" w:rsidR="002A05B9" w:rsidRDefault="002A05B9" w:rsidP="00447C83">
            <w:pPr>
              <w:pStyle w:val="TableText0"/>
              <w:ind w:left="0"/>
            </w:pPr>
            <w:r>
              <w:t>[2.82,10.93]</w:t>
            </w:r>
          </w:p>
          <w:p w14:paraId="4E53394A" w14:textId="77777777" w:rsidR="002A05B9" w:rsidRDefault="002A05B9" w:rsidP="00447C83">
            <w:pPr>
              <w:pStyle w:val="TableText0"/>
              <w:ind w:left="0"/>
            </w:pPr>
            <w:r>
              <w:t>&lt; 0.0001</w:t>
            </w:r>
          </w:p>
        </w:tc>
        <w:tc>
          <w:tcPr>
            <w:tcW w:w="790" w:type="pct"/>
          </w:tcPr>
          <w:p w14:paraId="69C9AE1D" w14:textId="77777777" w:rsidR="007763C4" w:rsidRDefault="007763C4" w:rsidP="00447C83">
            <w:pPr>
              <w:pStyle w:val="TableText0"/>
              <w:ind w:left="0"/>
            </w:pPr>
            <w:r>
              <w:t>&lt;0.0001</w:t>
            </w:r>
          </w:p>
        </w:tc>
      </w:tr>
      <w:tr w:rsidR="007763C4" w:rsidRPr="00312E36" w14:paraId="18E5AE54" w14:textId="77777777" w:rsidTr="007763C4">
        <w:tc>
          <w:tcPr>
            <w:tcW w:w="590" w:type="pct"/>
          </w:tcPr>
          <w:p w14:paraId="455693E2" w14:textId="77777777" w:rsidR="007763C4" w:rsidRDefault="007763C4" w:rsidP="00447C83">
            <w:pPr>
              <w:pStyle w:val="TableText0"/>
              <w:ind w:left="0"/>
            </w:pPr>
            <w:r>
              <w:t>Liu et al 2019</w:t>
            </w:r>
          </w:p>
        </w:tc>
        <w:tc>
          <w:tcPr>
            <w:tcW w:w="1119" w:type="pct"/>
          </w:tcPr>
          <w:p w14:paraId="25741700" w14:textId="77777777" w:rsidR="007763C4" w:rsidRPr="004927D1" w:rsidRDefault="007763C4" w:rsidP="00447C83">
            <w:pPr>
              <w:pStyle w:val="TableText0"/>
              <w:ind w:left="0"/>
              <w:rPr>
                <w:vertAlign w:val="superscript"/>
              </w:rPr>
            </w:pPr>
            <w:r>
              <w:t>ON diagnosis based on the ONTT criteria</w:t>
            </w:r>
          </w:p>
          <w:p w14:paraId="71A322EE" w14:textId="77777777" w:rsidR="007763C4" w:rsidRDefault="007763C4" w:rsidP="00447C83">
            <w:pPr>
              <w:pStyle w:val="TableText0"/>
              <w:ind w:left="0"/>
            </w:pPr>
            <w:r>
              <w:t>N=158</w:t>
            </w:r>
          </w:p>
        </w:tc>
        <w:tc>
          <w:tcPr>
            <w:tcW w:w="856" w:type="pct"/>
          </w:tcPr>
          <w:p w14:paraId="1A7FECB0" w14:textId="77777777" w:rsidR="007763C4" w:rsidRDefault="007763C4" w:rsidP="00447C83">
            <w:pPr>
              <w:pStyle w:val="TableText0"/>
              <w:ind w:left="0"/>
            </w:pPr>
            <w:r>
              <w:t>15/67 (22.4)</w:t>
            </w:r>
          </w:p>
        </w:tc>
        <w:tc>
          <w:tcPr>
            <w:tcW w:w="855" w:type="pct"/>
          </w:tcPr>
          <w:p w14:paraId="38A7E8E4" w14:textId="77777777" w:rsidR="007763C4" w:rsidRPr="00312E36" w:rsidRDefault="007763C4" w:rsidP="00447C83">
            <w:pPr>
              <w:pStyle w:val="TableText0"/>
              <w:ind w:left="0"/>
            </w:pPr>
            <w:r>
              <w:t>2/91 (2.2)</w:t>
            </w:r>
          </w:p>
        </w:tc>
        <w:tc>
          <w:tcPr>
            <w:tcW w:w="790" w:type="pct"/>
          </w:tcPr>
          <w:p w14:paraId="1C9E3B36" w14:textId="77777777" w:rsidR="007763C4" w:rsidRDefault="00523FA4" w:rsidP="00447C83">
            <w:pPr>
              <w:pStyle w:val="TableText0"/>
              <w:ind w:left="0"/>
            </w:pPr>
            <w:r>
              <w:t>12.84</w:t>
            </w:r>
          </w:p>
          <w:p w14:paraId="7D524BEC" w14:textId="77777777" w:rsidR="00523FA4" w:rsidRDefault="00523FA4" w:rsidP="00447C83">
            <w:pPr>
              <w:pStyle w:val="TableText0"/>
              <w:ind w:left="0"/>
            </w:pPr>
            <w:r>
              <w:t>[2.82,58.37]</w:t>
            </w:r>
          </w:p>
          <w:p w14:paraId="59379D9C" w14:textId="77777777" w:rsidR="00523FA4" w:rsidRDefault="00523FA4" w:rsidP="00447C83">
            <w:pPr>
              <w:pStyle w:val="TableText0"/>
              <w:ind w:left="0"/>
            </w:pPr>
            <w:r>
              <w:t>0.0010</w:t>
            </w:r>
          </w:p>
        </w:tc>
        <w:tc>
          <w:tcPr>
            <w:tcW w:w="790" w:type="pct"/>
          </w:tcPr>
          <w:p w14:paraId="45A653B2" w14:textId="77777777" w:rsidR="007763C4" w:rsidRPr="00312E36" w:rsidRDefault="007763C4" w:rsidP="00447C83">
            <w:pPr>
              <w:pStyle w:val="TableText0"/>
              <w:ind w:left="0"/>
            </w:pPr>
            <w:r>
              <w:t>&lt;0.001</w:t>
            </w:r>
            <w:r w:rsidR="00F67D8E">
              <w:rPr>
                <w:vertAlign w:val="superscript"/>
              </w:rPr>
              <w:t>a</w:t>
            </w:r>
          </w:p>
        </w:tc>
      </w:tr>
      <w:tr w:rsidR="007763C4" w:rsidRPr="00312E36" w14:paraId="0068AA86" w14:textId="77777777" w:rsidTr="007763C4">
        <w:tc>
          <w:tcPr>
            <w:tcW w:w="590" w:type="pct"/>
          </w:tcPr>
          <w:p w14:paraId="3E5D9E1D" w14:textId="77777777" w:rsidR="007763C4" w:rsidRDefault="007763C4" w:rsidP="00447C83">
            <w:pPr>
              <w:pStyle w:val="TableText0"/>
              <w:ind w:left="0"/>
            </w:pPr>
            <w:r>
              <w:t>Zhou et al, 2016</w:t>
            </w:r>
          </w:p>
        </w:tc>
        <w:tc>
          <w:tcPr>
            <w:tcW w:w="1119" w:type="pct"/>
          </w:tcPr>
          <w:p w14:paraId="288790F5" w14:textId="77777777" w:rsidR="007763C4" w:rsidRDefault="007763C4" w:rsidP="00447C83">
            <w:pPr>
              <w:pStyle w:val="TableText0"/>
              <w:ind w:left="0"/>
            </w:pPr>
            <w:r>
              <w:t xml:space="preserve">First episode ON </w:t>
            </w:r>
          </w:p>
          <w:p w14:paraId="73D0D959" w14:textId="77777777" w:rsidR="007763C4" w:rsidRDefault="007763C4" w:rsidP="00447C83">
            <w:pPr>
              <w:pStyle w:val="TableText0"/>
              <w:ind w:left="0"/>
            </w:pPr>
            <w:r>
              <w:t>N=128</w:t>
            </w:r>
          </w:p>
        </w:tc>
        <w:tc>
          <w:tcPr>
            <w:tcW w:w="856" w:type="pct"/>
          </w:tcPr>
          <w:p w14:paraId="2E2F1D13" w14:textId="77777777" w:rsidR="007763C4" w:rsidRDefault="007763C4" w:rsidP="00447C83">
            <w:pPr>
              <w:pStyle w:val="TableText0"/>
              <w:ind w:left="0"/>
            </w:pPr>
            <w:r>
              <w:t>18/45 (40)</w:t>
            </w:r>
          </w:p>
        </w:tc>
        <w:tc>
          <w:tcPr>
            <w:tcW w:w="855" w:type="pct"/>
          </w:tcPr>
          <w:p w14:paraId="607B318D" w14:textId="77777777" w:rsidR="007763C4" w:rsidRDefault="007763C4" w:rsidP="00447C83">
            <w:pPr>
              <w:pStyle w:val="TableText0"/>
              <w:ind w:left="0"/>
            </w:pPr>
            <w:r>
              <w:t>1/83 (1.2)</w:t>
            </w:r>
          </w:p>
        </w:tc>
        <w:tc>
          <w:tcPr>
            <w:tcW w:w="790" w:type="pct"/>
          </w:tcPr>
          <w:p w14:paraId="7128CB48" w14:textId="77777777" w:rsidR="007763C4" w:rsidRDefault="00121D5C" w:rsidP="00447C83">
            <w:pPr>
              <w:pStyle w:val="TableText0"/>
              <w:ind w:left="0"/>
            </w:pPr>
            <w:r>
              <w:t>54.67</w:t>
            </w:r>
          </w:p>
          <w:p w14:paraId="450B79EC" w14:textId="77777777" w:rsidR="00121D5C" w:rsidRDefault="00121D5C" w:rsidP="00447C83">
            <w:pPr>
              <w:pStyle w:val="TableText0"/>
              <w:ind w:left="0"/>
            </w:pPr>
            <w:r>
              <w:t>[6.97,428.97]</w:t>
            </w:r>
          </w:p>
          <w:p w14:paraId="64513ACF" w14:textId="77777777" w:rsidR="00121D5C" w:rsidRDefault="00121D5C" w:rsidP="00447C83">
            <w:pPr>
              <w:pStyle w:val="TableText0"/>
              <w:ind w:left="0"/>
            </w:pPr>
            <w:r>
              <w:t>0.0001</w:t>
            </w:r>
          </w:p>
        </w:tc>
        <w:tc>
          <w:tcPr>
            <w:tcW w:w="790" w:type="pct"/>
          </w:tcPr>
          <w:p w14:paraId="1B49FC81" w14:textId="77777777" w:rsidR="007763C4" w:rsidRDefault="007763C4" w:rsidP="00447C83">
            <w:pPr>
              <w:pStyle w:val="TableText0"/>
              <w:ind w:left="0"/>
            </w:pPr>
            <w:r>
              <w:t>&lt;0.01</w:t>
            </w:r>
          </w:p>
        </w:tc>
      </w:tr>
    </w:tbl>
    <w:p w14:paraId="4A6278FF" w14:textId="77777777" w:rsidR="0064287D" w:rsidRPr="00011B03" w:rsidRDefault="00886B20" w:rsidP="00011B03">
      <w:pPr>
        <w:pStyle w:val="Tablenotes0"/>
      </w:pPr>
      <w:r w:rsidRPr="00011B03">
        <w:t xml:space="preserve">ABS = acute brainstem syndrome; AQP4-Ab = aquaporin 4 antibodies; LETM = longitudinally extensive transverse myelitis; </w:t>
      </w:r>
      <w:r w:rsidR="006F1CC9" w:rsidRPr="00011B03">
        <w:t xml:space="preserve">NMO = neuritis optica; NMOSD = neuromyelitis optica spectrum disorders; </w:t>
      </w:r>
      <w:r w:rsidRPr="00011B03">
        <w:t xml:space="preserve">NR = not reported; ON = optic neuritis </w:t>
      </w:r>
      <w:r w:rsidR="006F1CC9" w:rsidRPr="00011B03">
        <w:t xml:space="preserve">OR = odds </w:t>
      </w:r>
      <w:r w:rsidRPr="00011B03">
        <w:t xml:space="preserve">ratio; </w:t>
      </w:r>
      <w:r w:rsidR="004927D1" w:rsidRPr="00011B03">
        <w:t>ONT</w:t>
      </w:r>
      <w:r w:rsidR="0064287D" w:rsidRPr="00011B03">
        <w:t>T = Optic Neuritis Treatment Trial</w:t>
      </w:r>
    </w:p>
    <w:p w14:paraId="3EC8AFD2" w14:textId="77777777" w:rsidR="00011B03" w:rsidRPr="00011B03" w:rsidRDefault="00011B03" w:rsidP="00011B03">
      <w:pPr>
        <w:pStyle w:val="Tablenotes0"/>
      </w:pPr>
      <w:r w:rsidRPr="00814DB5">
        <w:rPr>
          <w:vertAlign w:val="superscript"/>
        </w:rPr>
        <w:t>a</w:t>
      </w:r>
      <w:r w:rsidRPr="00011B03">
        <w:t xml:space="preserve"> values calculated using MedCalc</w:t>
      </w:r>
    </w:p>
    <w:p w14:paraId="340DE3B5" w14:textId="77777777" w:rsidR="00011B03" w:rsidRDefault="00011B03" w:rsidP="00011B03">
      <w:pPr>
        <w:pStyle w:val="Tablenotes0"/>
      </w:pPr>
      <w:r w:rsidRPr="00814DB5">
        <w:rPr>
          <w:vertAlign w:val="superscript"/>
        </w:rPr>
        <w:t>b</w:t>
      </w:r>
      <w:r w:rsidRPr="00011B03">
        <w:t xml:space="preserve"> published P-value</w:t>
      </w:r>
    </w:p>
    <w:p w14:paraId="13E5571F" w14:textId="77777777" w:rsidR="00E63A5D" w:rsidRPr="00011B03" w:rsidRDefault="00E63A5D" w:rsidP="00011B03">
      <w:pPr>
        <w:pStyle w:val="Tablenotes0"/>
      </w:pPr>
    </w:p>
    <w:p w14:paraId="3DAFC049" w14:textId="7C133BF9" w:rsidR="002335E0" w:rsidRDefault="004327A9" w:rsidP="004B21EF">
      <w:r>
        <w:t>One study conducted a survival analysis to compare the risk of developing NMO or NMOSD between AQP4-Ab positive and negative patients</w:t>
      </w:r>
      <w:r w:rsidR="004B6308">
        <w:t xml:space="preserve"> </w:t>
      </w:r>
      <w:r w:rsidR="00156621">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instrText xml:space="preserve"> ADDIN EN.CITE </w:instrText>
      </w:r>
      <w:r w:rsidR="00AC01FD">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instrText xml:space="preserve"> ADDIN EN.CITE.DATA </w:instrText>
      </w:r>
      <w:r w:rsidR="00AC01FD">
        <w:fldChar w:fldCharType="end"/>
      </w:r>
      <w:r w:rsidR="00156621">
        <w:fldChar w:fldCharType="separate"/>
      </w:r>
      <w:r w:rsidR="00156621">
        <w:rPr>
          <w:noProof/>
        </w:rPr>
        <w:t>(Cheng et al. 2016)</w:t>
      </w:r>
      <w:r w:rsidR="00156621">
        <w:fldChar w:fldCharType="end"/>
      </w:r>
      <w:r>
        <w:t>.</w:t>
      </w:r>
      <w:r w:rsidR="004B21EF">
        <w:t xml:space="preserve"> </w:t>
      </w:r>
      <w:r w:rsidR="00E20BE1">
        <w:t>The study population included 31</w:t>
      </w:r>
      <w:r w:rsidR="004B6308">
        <w:t xml:space="preserve"> </w:t>
      </w:r>
      <w:r w:rsidR="00E20BE1">
        <w:t xml:space="preserve">adults attending a Chinese university hospital with first event ABS. </w:t>
      </w:r>
      <w:r w:rsidR="00397504">
        <w:t xml:space="preserve">Cheng et al used the Kaplan-Meier method to compare the risk of developing NMSOD between AQP4-Ab positive and negative patients. </w:t>
      </w:r>
      <w:r w:rsidR="00E20BE1">
        <w:t xml:space="preserve">The risk was significantly higher in AQP4-Ab </w:t>
      </w:r>
      <w:r w:rsidR="00710F5C">
        <w:t xml:space="preserve">positive </w:t>
      </w:r>
      <w:r w:rsidR="00E20BE1">
        <w:t xml:space="preserve">patients (log rank 5.23; p = 0.012). The follow-up time for the risk assessment was a mean 44.51 </w:t>
      </w:r>
      <w:r w:rsidR="00E20BE1">
        <w:rPr>
          <w:rFonts w:cs="Calibri"/>
        </w:rPr>
        <w:t>±</w:t>
      </w:r>
      <w:r w:rsidR="00E20BE1">
        <w:t xml:space="preserve"> 14.86 months. </w:t>
      </w:r>
    </w:p>
    <w:p w14:paraId="3CAFB668" w14:textId="77777777" w:rsidR="004327A9" w:rsidRDefault="004327A9" w:rsidP="004327A9">
      <w:pPr>
        <w:pStyle w:val="Heading4"/>
      </w:pPr>
      <w:r>
        <w:t>Rate of conversion to MS diagnosis</w:t>
      </w:r>
    </w:p>
    <w:p w14:paraId="3BF587ED" w14:textId="1AF79439" w:rsidR="007B3F61" w:rsidRDefault="00EA2594" w:rsidP="00AE1781">
      <w:r>
        <w:t xml:space="preserve">Four studies compared the number of patients who eventually received a diagnosis of MS following an initial acute neurological event </w:t>
      </w:r>
      <w:r w:rsidR="00156621">
        <w:fldChar w:fldCharType="begin">
          <w:fldData xml:space="preserve">PEVuZE5vdGU+PENpdGU+PEF1dGhvcj5DaGVuZzwvQXV0aG9yPjxZZWFyPjIwMTY8L1llYXI+PFJl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</w:fldData>
        </w:fldChar>
      </w:r>
      <w:r w:rsidR="00D96694">
        <w:instrText xml:space="preserve"> ADDIN EN.CITE </w:instrText>
      </w:r>
      <w:r w:rsidR="00D96694">
        <w:fldChar w:fldCharType="begin">
          <w:fldData xml:space="preserve">PEVuZE5vdGU+PENpdGU+PEF1dGhvcj5DaGVuZzwvQXV0aG9yPjxZZWFyPjIwMTY8L1llYXI+PFJl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</w:fldData>
        </w:fldChar>
      </w:r>
      <w:r w:rsidR="00D96694">
        <w:instrText xml:space="preserve"> ADDIN EN.CITE.DATA </w:instrText>
      </w:r>
      <w:r w:rsidR="00D96694">
        <w:fldChar w:fldCharType="end"/>
      </w:r>
      <w:r w:rsidR="00156621">
        <w:fldChar w:fldCharType="separate"/>
      </w:r>
      <w:r w:rsidR="00156621">
        <w:rPr>
          <w:noProof/>
        </w:rPr>
        <w:t>(Cheng et al. 2016; Contentti, CE et al. 2017; Li et al. 2015; Zhou et al. 2016)</w:t>
      </w:r>
      <w:r w:rsidR="00156621">
        <w:fldChar w:fldCharType="end"/>
      </w:r>
      <w:r>
        <w:t xml:space="preserve">. In all four </w:t>
      </w:r>
      <w:r w:rsidR="00F67D8E">
        <w:t>studies</w:t>
      </w:r>
      <w:r>
        <w:t xml:space="preserve">, patients who were AQP4-Ab negative were more likely to receive a diagnosis of MS than those who were AQP4-Ab positive. Three studies found that none of AQP4-Ab positive patients were diagnosed with MS, but results were statistically significant in only two of the four studies </w:t>
      </w:r>
      <w:r w:rsidR="00156621">
        <w:fldChar w:fldCharType="begin">
          <w:fldData xml:space="preserve">PEVuZE5vdGU+PENpdGU+PEF1dGhvcj5DaGVuZzwvQXV0aG9yPjxZZWFyPjIwMTY8L1llYXI+PFJl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</w:fldData>
        </w:fldChar>
      </w:r>
      <w:r w:rsidR="00D96694">
        <w:instrText xml:space="preserve"> ADDIN EN.CITE </w:instrText>
      </w:r>
      <w:r w:rsidR="00D96694">
        <w:fldChar w:fldCharType="begin">
          <w:fldData xml:space="preserve">PEVuZE5vdGU+PENpdGU+PEF1dGhvcj5DaGVuZzwvQXV0aG9yPjxZZWFyPjIwMTY8L1llYXI+PFJl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</w:fldData>
        </w:fldChar>
      </w:r>
      <w:r w:rsidR="00D96694">
        <w:instrText xml:space="preserve"> ADDIN EN.CITE.DATA </w:instrText>
      </w:r>
      <w:r w:rsidR="00D96694">
        <w:fldChar w:fldCharType="end"/>
      </w:r>
      <w:r w:rsidR="00156621">
        <w:fldChar w:fldCharType="separate"/>
      </w:r>
      <w:r w:rsidR="00156621">
        <w:rPr>
          <w:noProof/>
        </w:rPr>
        <w:t>(Cheng et al. 2016; Li et al. 2015)</w:t>
      </w:r>
      <w:r w:rsidR="00156621">
        <w:fldChar w:fldCharType="end"/>
      </w:r>
      <w:r>
        <w:t xml:space="preserve">. </w:t>
      </w:r>
      <w:r w:rsidR="00BB1A94">
        <w:t xml:space="preserve">Results are given in </w:t>
      </w:r>
      <w:r w:rsidR="00BB1A94">
        <w:fldChar w:fldCharType="begin"/>
      </w:r>
      <w:r w:rsidR="00BB1A94">
        <w:instrText xml:space="preserve"> REF _Ref33693511 \h </w:instrText>
      </w:r>
      <w:r w:rsidR="00BB1A94">
        <w:fldChar w:fldCharType="separate"/>
      </w:r>
      <w:r w:rsidR="00B93D00">
        <w:t xml:space="preserve">Table </w:t>
      </w:r>
      <w:r w:rsidR="00B93D00">
        <w:rPr>
          <w:noProof/>
        </w:rPr>
        <w:t>31</w:t>
      </w:r>
      <w:r w:rsidR="00BB1A94">
        <w:fldChar w:fldCharType="end"/>
      </w:r>
      <w:r w:rsidR="00BB1A94">
        <w:t>.</w:t>
      </w:r>
    </w:p>
    <w:p w14:paraId="556C6843" w14:textId="50BC10B6" w:rsidR="00476B34" w:rsidRDefault="00476B34" w:rsidP="00476B34">
      <w:pPr>
        <w:pStyle w:val="Caption"/>
      </w:pPr>
      <w:bookmarkStart w:id="255" w:name="_Ref33693511"/>
      <w:bookmarkStart w:id="256" w:name="_Ref33693503"/>
      <w:bookmarkStart w:id="257" w:name="_Toc39580812"/>
      <w:r>
        <w:lastRenderedPageBreak/>
        <w:t xml:space="preserve">Table </w:t>
      </w:r>
      <w:fldSimple w:instr=" SEQ Table \* ARABIC ">
        <w:r w:rsidR="00FA7BCD">
          <w:rPr>
            <w:noProof/>
          </w:rPr>
          <w:t>31</w:t>
        </w:r>
      </w:fldSimple>
      <w:bookmarkEnd w:id="255"/>
      <w:r>
        <w:tab/>
        <w:t>Rate of conversion to MS</w:t>
      </w:r>
      <w:bookmarkEnd w:id="256"/>
      <w:bookmarkEnd w:id="257"/>
      <w:r>
        <w:t xml:space="preserve"> </w:t>
      </w:r>
    </w:p>
    <w:tbl>
      <w:tblPr>
        <w:tblStyle w:val="TableGrid"/>
        <w:tblW w:w="5000" w:type="pct"/>
        <w:tblLook w:val="04A0" w:firstRow="1" w:lastRow="0" w:firstColumn="1" w:lastColumn="0" w:noHBand="0" w:noVBand="1"/>
        <w:tblCaption w:val="Table 31 Rate of conversion to MS "/>
        <w:tblDescription w:val="A comparison of the rate of cases converting to MS between AQP4-Ab postivie and negative patients suspected of NMOSD"/>
      </w:tblPr>
      <w:tblGrid>
        <w:gridCol w:w="1077"/>
        <w:gridCol w:w="2045"/>
        <w:gridCol w:w="1803"/>
        <w:gridCol w:w="1443"/>
        <w:gridCol w:w="1324"/>
        <w:gridCol w:w="1324"/>
      </w:tblGrid>
      <w:tr w:rsidR="009C5F26" w:rsidRPr="00447C83" w14:paraId="149E86C0" w14:textId="77777777" w:rsidTr="00447C83">
        <w:trPr>
          <w:tblHeader/>
        </w:trPr>
        <w:tc>
          <w:tcPr>
            <w:tcW w:w="598" w:type="pct"/>
          </w:tcPr>
          <w:p w14:paraId="3AE8B206" w14:textId="77777777" w:rsidR="009C5F26" w:rsidRPr="00447C83" w:rsidRDefault="009C5F26" w:rsidP="00447C83">
            <w:pPr>
              <w:pStyle w:val="TableText0"/>
              <w:ind w:left="0"/>
              <w:rPr>
                <w:b/>
              </w:rPr>
            </w:pPr>
            <w:r w:rsidRPr="00447C83">
              <w:rPr>
                <w:b/>
              </w:rPr>
              <w:t xml:space="preserve">Study </w:t>
            </w:r>
          </w:p>
        </w:tc>
        <w:tc>
          <w:tcPr>
            <w:tcW w:w="1134" w:type="pct"/>
          </w:tcPr>
          <w:p w14:paraId="0C02684D" w14:textId="77777777" w:rsidR="009C5F26" w:rsidRPr="00447C83" w:rsidRDefault="009C5F26" w:rsidP="00447C83">
            <w:pPr>
              <w:pStyle w:val="TableText0"/>
              <w:ind w:left="0"/>
              <w:rPr>
                <w:b/>
              </w:rPr>
            </w:pPr>
            <w:r w:rsidRPr="00447C83">
              <w:rPr>
                <w:b/>
              </w:rPr>
              <w:t>Population</w:t>
            </w:r>
          </w:p>
          <w:p w14:paraId="5367F676" w14:textId="77777777" w:rsidR="009C5F26" w:rsidRPr="00447C83" w:rsidRDefault="009C5F26" w:rsidP="00447C83">
            <w:pPr>
              <w:pStyle w:val="TableText0"/>
              <w:ind w:left="0"/>
              <w:rPr>
                <w:b/>
              </w:rPr>
            </w:pPr>
            <w:r w:rsidRPr="00447C83">
              <w:rPr>
                <w:b/>
              </w:rPr>
              <w:t>N tested</w:t>
            </w:r>
          </w:p>
        </w:tc>
        <w:tc>
          <w:tcPr>
            <w:tcW w:w="1000" w:type="pct"/>
          </w:tcPr>
          <w:p w14:paraId="5666F850" w14:textId="77777777" w:rsidR="009C5F26" w:rsidRPr="00447C83" w:rsidRDefault="009C5F26" w:rsidP="00447C83">
            <w:pPr>
              <w:pStyle w:val="TableText0"/>
              <w:ind w:left="0"/>
              <w:rPr>
                <w:b/>
              </w:rPr>
            </w:pPr>
            <w:r w:rsidRPr="00447C83">
              <w:rPr>
                <w:b/>
              </w:rPr>
              <w:t>AQP4-Ab +ve</w:t>
            </w:r>
          </w:p>
          <w:p w14:paraId="47510109" w14:textId="77777777" w:rsidR="009C5F26" w:rsidRPr="00447C83" w:rsidRDefault="009C5F26" w:rsidP="00447C83">
            <w:pPr>
              <w:pStyle w:val="TableText0"/>
              <w:ind w:left="0"/>
              <w:rPr>
                <w:b/>
              </w:rPr>
            </w:pPr>
            <w:r w:rsidRPr="00447C83">
              <w:rPr>
                <w:b/>
              </w:rPr>
              <w:t>n/N (%)</w:t>
            </w:r>
          </w:p>
        </w:tc>
        <w:tc>
          <w:tcPr>
            <w:tcW w:w="800" w:type="pct"/>
          </w:tcPr>
          <w:p w14:paraId="09A1864C" w14:textId="77777777" w:rsidR="009C5F26" w:rsidRPr="00447C83" w:rsidRDefault="009C5F26" w:rsidP="00447C83">
            <w:pPr>
              <w:pStyle w:val="TableText0"/>
              <w:ind w:left="0"/>
              <w:rPr>
                <w:b/>
              </w:rPr>
            </w:pPr>
            <w:r w:rsidRPr="00447C83">
              <w:rPr>
                <w:b/>
              </w:rPr>
              <w:t>AQP4-Ab -ve</w:t>
            </w:r>
          </w:p>
          <w:p w14:paraId="14A9C4CA" w14:textId="77777777" w:rsidR="009C5F26" w:rsidRPr="00447C83" w:rsidRDefault="009C5F26" w:rsidP="00447C83">
            <w:pPr>
              <w:pStyle w:val="TableText0"/>
              <w:ind w:left="0"/>
              <w:rPr>
                <w:b/>
              </w:rPr>
            </w:pPr>
            <w:r w:rsidRPr="00447C83">
              <w:rPr>
                <w:b/>
              </w:rPr>
              <w:t>n/N (%)</w:t>
            </w:r>
          </w:p>
        </w:tc>
        <w:tc>
          <w:tcPr>
            <w:tcW w:w="734" w:type="pct"/>
          </w:tcPr>
          <w:p w14:paraId="4FEF2F2E" w14:textId="77777777" w:rsidR="009C5F26" w:rsidRPr="00447C83" w:rsidRDefault="009C5F26" w:rsidP="00447C83">
            <w:pPr>
              <w:pStyle w:val="TableText0"/>
              <w:ind w:left="0"/>
              <w:rPr>
                <w:b/>
              </w:rPr>
            </w:pPr>
            <w:r w:rsidRPr="00447C83">
              <w:rPr>
                <w:b/>
              </w:rPr>
              <w:t xml:space="preserve">OR [95%CI] </w:t>
            </w:r>
          </w:p>
          <w:p w14:paraId="25F1E196" w14:textId="77777777" w:rsidR="009C5F26" w:rsidRPr="00447C83" w:rsidRDefault="009C5F26" w:rsidP="00447C83">
            <w:pPr>
              <w:pStyle w:val="TableText0"/>
              <w:ind w:left="0"/>
              <w:rPr>
                <w:b/>
              </w:rPr>
            </w:pPr>
            <w:r w:rsidRPr="00447C83">
              <w:rPr>
                <w:b/>
              </w:rPr>
              <w:t>P-value</w:t>
            </w:r>
            <w:r w:rsidRPr="00447C83">
              <w:rPr>
                <w:b/>
                <w:vertAlign w:val="superscript"/>
              </w:rPr>
              <w:t>a</w:t>
            </w:r>
          </w:p>
        </w:tc>
        <w:tc>
          <w:tcPr>
            <w:tcW w:w="734" w:type="pct"/>
          </w:tcPr>
          <w:p w14:paraId="4B680438" w14:textId="77777777" w:rsidR="009C5F26" w:rsidRPr="00447C83" w:rsidRDefault="009C5F26" w:rsidP="00447C83">
            <w:pPr>
              <w:pStyle w:val="TableText0"/>
              <w:ind w:left="0"/>
              <w:rPr>
                <w:b/>
              </w:rPr>
            </w:pPr>
            <w:r w:rsidRPr="00447C83">
              <w:rPr>
                <w:b/>
              </w:rPr>
              <w:t>Difference</w:t>
            </w:r>
          </w:p>
          <w:p w14:paraId="7076B22E" w14:textId="77777777" w:rsidR="009C5F26" w:rsidRPr="00447C83" w:rsidRDefault="009C5F26" w:rsidP="00447C83">
            <w:pPr>
              <w:pStyle w:val="TableText0"/>
              <w:ind w:left="0"/>
              <w:rPr>
                <w:b/>
                <w:vertAlign w:val="superscript"/>
              </w:rPr>
            </w:pPr>
            <w:r w:rsidRPr="00447C83">
              <w:rPr>
                <w:b/>
              </w:rPr>
              <w:t>P value</w:t>
            </w:r>
            <w:r w:rsidRPr="00447C83">
              <w:rPr>
                <w:b/>
                <w:vertAlign w:val="superscript"/>
              </w:rPr>
              <w:t>b</w:t>
            </w:r>
          </w:p>
        </w:tc>
      </w:tr>
      <w:tr w:rsidR="009C5F26" w:rsidRPr="00312E36" w14:paraId="0B1EBA19" w14:textId="77777777" w:rsidTr="009C5F26">
        <w:tc>
          <w:tcPr>
            <w:tcW w:w="598" w:type="pct"/>
          </w:tcPr>
          <w:p w14:paraId="20A426EE" w14:textId="77777777" w:rsidR="009C5F26" w:rsidRDefault="009C5F26" w:rsidP="00447C83">
            <w:pPr>
              <w:pStyle w:val="TableText0"/>
              <w:ind w:left="0"/>
            </w:pPr>
            <w:r>
              <w:t>Cheng et al 2016</w:t>
            </w:r>
          </w:p>
        </w:tc>
        <w:tc>
          <w:tcPr>
            <w:tcW w:w="1134" w:type="pct"/>
          </w:tcPr>
          <w:p w14:paraId="54762E42" w14:textId="77777777" w:rsidR="009C5F26" w:rsidRDefault="009C5F26" w:rsidP="00447C83">
            <w:pPr>
              <w:pStyle w:val="TableText0"/>
              <w:ind w:left="0"/>
            </w:pPr>
            <w:r>
              <w:t>First event ABS</w:t>
            </w:r>
          </w:p>
          <w:p w14:paraId="54D983D9" w14:textId="77777777" w:rsidR="009C5F26" w:rsidRDefault="009C5F26" w:rsidP="00447C83">
            <w:pPr>
              <w:pStyle w:val="TableText0"/>
              <w:ind w:left="0"/>
            </w:pPr>
            <w:r>
              <w:t>N=31</w:t>
            </w:r>
          </w:p>
        </w:tc>
        <w:tc>
          <w:tcPr>
            <w:tcW w:w="1000" w:type="pct"/>
          </w:tcPr>
          <w:p w14:paraId="37A40EEC" w14:textId="77777777" w:rsidR="009C5F26" w:rsidRDefault="009C5F26" w:rsidP="00447C83">
            <w:pPr>
              <w:pStyle w:val="TableText0"/>
              <w:ind w:left="0"/>
            </w:pPr>
            <w:r>
              <w:t>0/14 (0)</w:t>
            </w:r>
          </w:p>
        </w:tc>
        <w:tc>
          <w:tcPr>
            <w:tcW w:w="800" w:type="pct"/>
          </w:tcPr>
          <w:p w14:paraId="2BDD4D93" w14:textId="77777777" w:rsidR="009C5F26" w:rsidRDefault="009C5F26" w:rsidP="00447C83">
            <w:pPr>
              <w:pStyle w:val="TableText0"/>
              <w:ind w:left="0"/>
            </w:pPr>
            <w:r>
              <w:t>7/17 (41.17)</w:t>
            </w:r>
          </w:p>
        </w:tc>
        <w:tc>
          <w:tcPr>
            <w:tcW w:w="734" w:type="pct"/>
          </w:tcPr>
          <w:p w14:paraId="63F5D213" w14:textId="77777777" w:rsidR="009C5F26" w:rsidRDefault="009C5F26" w:rsidP="00447C83">
            <w:pPr>
              <w:pStyle w:val="TableText0"/>
              <w:ind w:left="0"/>
            </w:pPr>
            <w:r>
              <w:t>0.048</w:t>
            </w:r>
          </w:p>
          <w:p w14:paraId="6888FC4A" w14:textId="77777777" w:rsidR="009C5F26" w:rsidRDefault="009C5F26" w:rsidP="00447C83">
            <w:pPr>
              <w:pStyle w:val="TableText0"/>
              <w:ind w:left="0"/>
            </w:pPr>
            <w:r>
              <w:t>[0.003,0.942]</w:t>
            </w:r>
          </w:p>
          <w:p w14:paraId="6A439778" w14:textId="77777777" w:rsidR="009C5F26" w:rsidRDefault="009C5F26" w:rsidP="00447C83">
            <w:pPr>
              <w:pStyle w:val="TableText0"/>
              <w:ind w:left="0"/>
            </w:pPr>
            <w:r>
              <w:t>0.04</w:t>
            </w:r>
            <w:r w:rsidR="00A40DCD">
              <w:t>6</w:t>
            </w:r>
          </w:p>
        </w:tc>
        <w:tc>
          <w:tcPr>
            <w:tcW w:w="734" w:type="pct"/>
          </w:tcPr>
          <w:p w14:paraId="3E16C8B6" w14:textId="77777777" w:rsidR="009C5F26" w:rsidRDefault="009C5F26" w:rsidP="00447C83">
            <w:pPr>
              <w:pStyle w:val="TableText0"/>
              <w:ind w:left="0"/>
            </w:pPr>
            <w:r>
              <w:t>0.007</w:t>
            </w:r>
          </w:p>
        </w:tc>
      </w:tr>
      <w:tr w:rsidR="009C5F26" w:rsidRPr="00312E36" w14:paraId="7BDCA540" w14:textId="77777777" w:rsidTr="009C5F26">
        <w:tc>
          <w:tcPr>
            <w:tcW w:w="598" w:type="pct"/>
          </w:tcPr>
          <w:p w14:paraId="34D60B9A" w14:textId="77777777" w:rsidR="009C5F26" w:rsidRDefault="009C5F26" w:rsidP="00447C83">
            <w:pPr>
              <w:pStyle w:val="TableText0"/>
              <w:ind w:left="0"/>
            </w:pPr>
            <w:r>
              <w:t>Contentti et al 2017</w:t>
            </w:r>
          </w:p>
        </w:tc>
        <w:tc>
          <w:tcPr>
            <w:tcW w:w="1134" w:type="pct"/>
          </w:tcPr>
          <w:p w14:paraId="1287E778" w14:textId="77777777" w:rsidR="009C5F26" w:rsidRDefault="009C5F26" w:rsidP="00447C83">
            <w:pPr>
              <w:pStyle w:val="TableText0"/>
              <w:ind w:left="0"/>
            </w:pPr>
            <w:r>
              <w:t>First presentation LETM</w:t>
            </w:r>
          </w:p>
          <w:p w14:paraId="02C795E1" w14:textId="77777777" w:rsidR="009C5F26" w:rsidRDefault="009C5F26" w:rsidP="00447C83">
            <w:pPr>
              <w:pStyle w:val="TableText0"/>
              <w:ind w:left="0"/>
            </w:pPr>
            <w:r>
              <w:t>N=30</w:t>
            </w:r>
          </w:p>
        </w:tc>
        <w:tc>
          <w:tcPr>
            <w:tcW w:w="1000" w:type="pct"/>
          </w:tcPr>
          <w:p w14:paraId="3DCD7D74" w14:textId="77777777" w:rsidR="009C5F26" w:rsidRDefault="009C5F26" w:rsidP="00447C83">
            <w:pPr>
              <w:pStyle w:val="TableText0"/>
              <w:ind w:left="0"/>
            </w:pPr>
            <w:r>
              <w:t>0/9 (0)</w:t>
            </w:r>
          </w:p>
        </w:tc>
        <w:tc>
          <w:tcPr>
            <w:tcW w:w="800" w:type="pct"/>
          </w:tcPr>
          <w:p w14:paraId="0F52A523" w14:textId="77777777" w:rsidR="009C5F26" w:rsidRDefault="009C5F26" w:rsidP="00447C83">
            <w:pPr>
              <w:pStyle w:val="TableText0"/>
              <w:ind w:left="0"/>
            </w:pPr>
            <w:r>
              <w:t>2/21 (9.5)</w:t>
            </w:r>
          </w:p>
        </w:tc>
        <w:tc>
          <w:tcPr>
            <w:tcW w:w="734" w:type="pct"/>
          </w:tcPr>
          <w:p w14:paraId="7095D999" w14:textId="77777777" w:rsidR="009C5F26" w:rsidRDefault="009C5F26" w:rsidP="00447C83">
            <w:pPr>
              <w:pStyle w:val="TableText0"/>
              <w:ind w:left="0"/>
            </w:pPr>
            <w:r>
              <w:t>0.411</w:t>
            </w:r>
          </w:p>
          <w:p w14:paraId="3FC9B107" w14:textId="77777777" w:rsidR="009C5F26" w:rsidRDefault="009C5F26" w:rsidP="00447C83">
            <w:pPr>
              <w:pStyle w:val="TableText0"/>
              <w:ind w:left="0"/>
            </w:pPr>
            <w:r>
              <w:t>0.018,9.427]</w:t>
            </w:r>
          </w:p>
          <w:p w14:paraId="3799297E" w14:textId="77777777" w:rsidR="009C5F26" w:rsidRDefault="009C5F26" w:rsidP="00447C83">
            <w:pPr>
              <w:pStyle w:val="TableText0"/>
              <w:ind w:left="0"/>
            </w:pPr>
            <w:r>
              <w:t>0.578</w:t>
            </w:r>
          </w:p>
        </w:tc>
        <w:tc>
          <w:tcPr>
            <w:tcW w:w="734" w:type="pct"/>
          </w:tcPr>
          <w:p w14:paraId="09D99959" w14:textId="77777777" w:rsidR="009C5F26" w:rsidRDefault="009C5F26" w:rsidP="00447C83">
            <w:pPr>
              <w:pStyle w:val="TableText0"/>
              <w:ind w:left="0"/>
            </w:pPr>
            <w:r>
              <w:t>NR</w:t>
            </w:r>
            <w:r>
              <w:br/>
            </w:r>
          </w:p>
        </w:tc>
      </w:tr>
      <w:tr w:rsidR="009C5F26" w:rsidRPr="00312E36" w14:paraId="0406D145" w14:textId="77777777" w:rsidTr="009C5F26">
        <w:tc>
          <w:tcPr>
            <w:tcW w:w="598" w:type="pct"/>
          </w:tcPr>
          <w:p w14:paraId="5ABC71BF" w14:textId="77777777" w:rsidR="009C5F26" w:rsidRDefault="009C5F26" w:rsidP="00447C83">
            <w:pPr>
              <w:pStyle w:val="TableText0"/>
              <w:ind w:left="0"/>
            </w:pPr>
            <w:r>
              <w:t>Li et al, 2015</w:t>
            </w:r>
          </w:p>
        </w:tc>
        <w:tc>
          <w:tcPr>
            <w:tcW w:w="1134" w:type="pct"/>
          </w:tcPr>
          <w:p w14:paraId="0A64A300" w14:textId="77777777" w:rsidR="009C5F26" w:rsidRDefault="009C5F26" w:rsidP="00447C83">
            <w:pPr>
              <w:pStyle w:val="TableText0"/>
              <w:ind w:left="0"/>
            </w:pPr>
            <w:r>
              <w:t>Recurrent or bilateral ON</w:t>
            </w:r>
          </w:p>
          <w:p w14:paraId="51CDFF15" w14:textId="77777777" w:rsidR="009C5F26" w:rsidRDefault="009C5F26" w:rsidP="00447C83">
            <w:pPr>
              <w:pStyle w:val="TableText0"/>
              <w:ind w:left="0"/>
            </w:pPr>
            <w:r>
              <w:t>N=125</w:t>
            </w:r>
          </w:p>
        </w:tc>
        <w:tc>
          <w:tcPr>
            <w:tcW w:w="1000" w:type="pct"/>
          </w:tcPr>
          <w:p w14:paraId="66BF986D" w14:textId="77777777" w:rsidR="009C5F26" w:rsidRDefault="009C5F26" w:rsidP="00447C83">
            <w:pPr>
              <w:pStyle w:val="TableText0"/>
              <w:ind w:left="0"/>
            </w:pPr>
            <w:r>
              <w:t>1/125 (2)</w:t>
            </w:r>
          </w:p>
        </w:tc>
        <w:tc>
          <w:tcPr>
            <w:tcW w:w="800" w:type="pct"/>
          </w:tcPr>
          <w:p w14:paraId="5F477898" w14:textId="77777777" w:rsidR="009C5F26" w:rsidRDefault="009C5F26" w:rsidP="00447C83">
            <w:pPr>
              <w:pStyle w:val="TableText0"/>
              <w:ind w:left="0"/>
            </w:pPr>
            <w:r>
              <w:t>11/125 (14.5)</w:t>
            </w:r>
          </w:p>
        </w:tc>
        <w:tc>
          <w:tcPr>
            <w:tcW w:w="734" w:type="pct"/>
          </w:tcPr>
          <w:p w14:paraId="53EA47BE" w14:textId="77777777" w:rsidR="009C5F26" w:rsidRDefault="00123EC3" w:rsidP="00447C83">
            <w:pPr>
              <w:pStyle w:val="TableText0"/>
              <w:ind w:left="0"/>
            </w:pPr>
            <w:r>
              <w:t>0.084</w:t>
            </w:r>
          </w:p>
          <w:p w14:paraId="5DCF2CC6" w14:textId="77777777" w:rsidR="00123EC3" w:rsidRDefault="00123EC3" w:rsidP="00447C83">
            <w:pPr>
              <w:pStyle w:val="TableText0"/>
              <w:ind w:left="0"/>
            </w:pPr>
            <w:r>
              <w:t>[0.011,0.658]</w:t>
            </w:r>
          </w:p>
          <w:p w14:paraId="6FF57F38" w14:textId="77777777" w:rsidR="00123EC3" w:rsidRDefault="00123EC3" w:rsidP="00447C83">
            <w:pPr>
              <w:pStyle w:val="TableText0"/>
              <w:ind w:left="0"/>
            </w:pPr>
            <w:r>
              <w:t>0.018</w:t>
            </w:r>
          </w:p>
        </w:tc>
        <w:tc>
          <w:tcPr>
            <w:tcW w:w="734" w:type="pct"/>
          </w:tcPr>
          <w:p w14:paraId="381E78A3" w14:textId="77777777" w:rsidR="009C5F26" w:rsidRDefault="009C5F26" w:rsidP="00447C83">
            <w:pPr>
              <w:pStyle w:val="TableText0"/>
              <w:ind w:left="0"/>
            </w:pPr>
            <w:r>
              <w:t>0.027</w:t>
            </w:r>
          </w:p>
        </w:tc>
      </w:tr>
      <w:tr w:rsidR="009C5F26" w:rsidRPr="00312E36" w14:paraId="13B51536" w14:textId="77777777" w:rsidTr="009C5F26">
        <w:tc>
          <w:tcPr>
            <w:tcW w:w="598" w:type="pct"/>
          </w:tcPr>
          <w:p w14:paraId="1497058F" w14:textId="77777777" w:rsidR="009C5F26" w:rsidRDefault="009C5F26" w:rsidP="00447C83">
            <w:pPr>
              <w:pStyle w:val="TableText0"/>
              <w:ind w:left="0"/>
            </w:pPr>
            <w:r>
              <w:t>Zhou et al, 2016</w:t>
            </w:r>
          </w:p>
        </w:tc>
        <w:tc>
          <w:tcPr>
            <w:tcW w:w="1134" w:type="pct"/>
          </w:tcPr>
          <w:p w14:paraId="00BCE8FD" w14:textId="77777777" w:rsidR="009C5F26" w:rsidRDefault="009C5F26" w:rsidP="00447C83">
            <w:pPr>
              <w:pStyle w:val="TableText0"/>
              <w:ind w:left="0"/>
            </w:pPr>
            <w:r>
              <w:t xml:space="preserve">First episode ON </w:t>
            </w:r>
          </w:p>
          <w:p w14:paraId="6A42E190" w14:textId="77777777" w:rsidR="009C5F26" w:rsidRDefault="009C5F26" w:rsidP="00447C83">
            <w:pPr>
              <w:pStyle w:val="TableText0"/>
              <w:ind w:left="0"/>
            </w:pPr>
            <w:r>
              <w:t>N=128</w:t>
            </w:r>
          </w:p>
        </w:tc>
        <w:tc>
          <w:tcPr>
            <w:tcW w:w="1000" w:type="pct"/>
          </w:tcPr>
          <w:p w14:paraId="22D43F3C" w14:textId="77777777" w:rsidR="009C5F26" w:rsidRDefault="009C5F26" w:rsidP="00447C83">
            <w:pPr>
              <w:pStyle w:val="TableText0"/>
              <w:ind w:left="0"/>
            </w:pPr>
            <w:r>
              <w:t>0/45 (0)</w:t>
            </w:r>
          </w:p>
        </w:tc>
        <w:tc>
          <w:tcPr>
            <w:tcW w:w="800" w:type="pct"/>
          </w:tcPr>
          <w:p w14:paraId="438AB1A5" w14:textId="77777777" w:rsidR="009C5F26" w:rsidRDefault="009C5F26" w:rsidP="00447C83">
            <w:pPr>
              <w:pStyle w:val="TableText0"/>
              <w:ind w:left="0"/>
            </w:pPr>
            <w:r>
              <w:t>4/83 (4.8)</w:t>
            </w:r>
          </w:p>
        </w:tc>
        <w:tc>
          <w:tcPr>
            <w:tcW w:w="734" w:type="pct"/>
          </w:tcPr>
          <w:p w14:paraId="3ACDE068" w14:textId="77777777" w:rsidR="009C5F26" w:rsidRDefault="00A40DCD" w:rsidP="00447C83">
            <w:pPr>
              <w:pStyle w:val="TableText0"/>
              <w:ind w:left="0"/>
            </w:pPr>
            <w:r>
              <w:t>0.194</w:t>
            </w:r>
          </w:p>
          <w:p w14:paraId="0726CAFA" w14:textId="77777777" w:rsidR="00A40DCD" w:rsidRDefault="00A40DCD" w:rsidP="00447C83">
            <w:pPr>
              <w:pStyle w:val="TableText0"/>
              <w:ind w:left="0"/>
            </w:pPr>
            <w:r>
              <w:t>[0.010,3.689]</w:t>
            </w:r>
          </w:p>
          <w:p w14:paraId="7645A073" w14:textId="77777777" w:rsidR="00A40DCD" w:rsidRDefault="00A40DCD" w:rsidP="00447C83">
            <w:pPr>
              <w:pStyle w:val="TableText0"/>
              <w:ind w:left="0"/>
            </w:pPr>
            <w:r>
              <w:t>0.275</w:t>
            </w:r>
          </w:p>
        </w:tc>
        <w:tc>
          <w:tcPr>
            <w:tcW w:w="734" w:type="pct"/>
          </w:tcPr>
          <w:p w14:paraId="68294E7E" w14:textId="77777777" w:rsidR="009C5F26" w:rsidRDefault="009C5F26" w:rsidP="00447C83">
            <w:pPr>
              <w:pStyle w:val="TableText0"/>
              <w:ind w:left="0"/>
            </w:pPr>
            <w:r>
              <w:t>0.297</w:t>
            </w:r>
          </w:p>
        </w:tc>
      </w:tr>
    </w:tbl>
    <w:p w14:paraId="24FB7F80" w14:textId="77777777" w:rsidR="00476B34" w:rsidRDefault="00DB3CAB" w:rsidP="00DB3CAB">
      <w:pPr>
        <w:pStyle w:val="Tablenotes0"/>
      </w:pPr>
      <w:r>
        <w:t>ABS = acute brainstem syndrome; AQP4-Ab = aquaporin 4 antibodies; LETM = longitudinally extensive transverse myelitis; MS = multiple sclerosis; NR = not reported; ON = optic neuritis</w:t>
      </w:r>
      <w:r w:rsidR="00850F1E">
        <w:t>; OR = odds ratio</w:t>
      </w:r>
    </w:p>
    <w:p w14:paraId="5F5724E5" w14:textId="77777777" w:rsidR="009C5F26" w:rsidRPr="004034F6" w:rsidRDefault="009C5F26" w:rsidP="009C5F26">
      <w:pPr>
        <w:pStyle w:val="Tablenotes0"/>
        <w:rPr>
          <w:rFonts w:cs="Tahoma"/>
          <w:snapToGrid/>
          <w:sz w:val="20"/>
          <w:szCs w:val="22"/>
          <w:vertAlign w:val="superscript"/>
        </w:rPr>
      </w:pPr>
      <w:r>
        <w:rPr>
          <w:vertAlign w:val="superscript"/>
        </w:rPr>
        <w:t xml:space="preserve">a </w:t>
      </w:r>
      <w:r>
        <w:t>values calculated using MedCalc</w:t>
      </w:r>
    </w:p>
    <w:p w14:paraId="2D2F4567" w14:textId="77777777" w:rsidR="009C5F26" w:rsidRDefault="009C5F26" w:rsidP="009C5F26">
      <w:pPr>
        <w:pStyle w:val="Tablenotes0"/>
        <w:spacing w:after="60"/>
      </w:pPr>
      <w:r>
        <w:rPr>
          <w:rFonts w:cs="Tahoma"/>
          <w:snapToGrid/>
          <w:sz w:val="20"/>
          <w:szCs w:val="22"/>
          <w:vertAlign w:val="superscript"/>
        </w:rPr>
        <w:t xml:space="preserve">b </w:t>
      </w:r>
      <w:r w:rsidRPr="003B773A">
        <w:t xml:space="preserve">published P-value </w:t>
      </w:r>
    </w:p>
    <w:p w14:paraId="09863C97" w14:textId="77777777" w:rsidR="00BE4598" w:rsidRPr="007763C4" w:rsidRDefault="00BE4598" w:rsidP="00143DE1">
      <w:pPr>
        <w:pStyle w:val="Tablenotes0"/>
      </w:pPr>
    </w:p>
    <w:p w14:paraId="7DCF1ADC" w14:textId="77777777" w:rsidR="007D24FA" w:rsidRDefault="00476B34" w:rsidP="00476B34">
      <w:pPr>
        <w:pStyle w:val="Heading4"/>
      </w:pPr>
      <w:r>
        <w:t xml:space="preserve">Rate of relapse or symptom recurrence </w:t>
      </w:r>
    </w:p>
    <w:p w14:paraId="0D4657FF" w14:textId="07C7C6BA" w:rsidR="004F3DB6" w:rsidRPr="004F3DB6" w:rsidRDefault="00835707" w:rsidP="004F3DB6">
      <w:r>
        <w:t xml:space="preserve">Three studies compared the number of relapses between AQP4-Ab positive and negative patients after a follow-up period </w:t>
      </w:r>
      <w:r w:rsidR="00156621">
        <w:fldChar w:fldCharType="begin">
          <w:fldData xml:space="preserve">PEVuZE5vdGU+PENpdGU+PEF1dGhvcj5DaGVuZzwvQXV0aG9yPjxZZWFyPjIwMTY8L1llYXI+PFJl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</w:fldData>
        </w:fldChar>
      </w:r>
      <w:r w:rsidR="00AC01FD">
        <w:instrText xml:space="preserve"> ADDIN EN.CITE </w:instrText>
      </w:r>
      <w:r w:rsidR="00AC01FD">
        <w:fldChar w:fldCharType="begin">
          <w:fldData xml:space="preserve">PEVuZE5vdGU+PENpdGU+PEF1dGhvcj5DaGVuZzwvQXV0aG9yPjxZZWFyPjIwMTY8L1llYXI+PFJl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</w:fldData>
        </w:fldChar>
      </w:r>
      <w:r w:rsidR="00AC01FD">
        <w:instrText xml:space="preserve"> ADDIN EN.CITE.DATA </w:instrText>
      </w:r>
      <w:r w:rsidR="00AC01FD">
        <w:fldChar w:fldCharType="end"/>
      </w:r>
      <w:r w:rsidR="00156621">
        <w:fldChar w:fldCharType="separate"/>
      </w:r>
      <w:r w:rsidR="00156621">
        <w:rPr>
          <w:noProof/>
        </w:rPr>
        <w:t>(Cheng et al. 2016; Contentti, CE et al. 2017; Weinshenker et al. 2006)</w:t>
      </w:r>
      <w:r w:rsidR="00156621">
        <w:fldChar w:fldCharType="end"/>
      </w:r>
      <w:r>
        <w:t xml:space="preserve">. The study populations were patients identified with first event ABS or first event LETM. </w:t>
      </w:r>
      <w:r w:rsidR="004A7A39">
        <w:t>In the ABS population</w:t>
      </w:r>
      <w:r w:rsidR="00F67D8E">
        <w:t xml:space="preserve"> </w:t>
      </w:r>
      <w:r w:rsidR="00156621">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instrText xml:space="preserve"> ADDIN EN.CITE </w:instrText>
      </w:r>
      <w:r w:rsidR="00AC01FD">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instrText xml:space="preserve"> ADDIN EN.CITE.DATA </w:instrText>
      </w:r>
      <w:r w:rsidR="00AC01FD">
        <w:fldChar w:fldCharType="end"/>
      </w:r>
      <w:r w:rsidR="00156621">
        <w:fldChar w:fldCharType="separate"/>
      </w:r>
      <w:r w:rsidR="00156621">
        <w:rPr>
          <w:noProof/>
        </w:rPr>
        <w:t>(Cheng et al. 2016)</w:t>
      </w:r>
      <w:r w:rsidR="00156621">
        <w:fldChar w:fldCharType="end"/>
      </w:r>
      <w:r w:rsidR="004A7A39">
        <w:t>, the occurrence of ON or myelitis attacks, or recurrence of ABS symptoms were considered a relapse. C</w:t>
      </w:r>
      <w:r w:rsidR="00DB3CAB">
        <w:t>o</w:t>
      </w:r>
      <w:r w:rsidR="004A7A39">
        <w:t xml:space="preserve">ntentti et al reported on the </w:t>
      </w:r>
      <w:r w:rsidR="00DB3CAB">
        <w:t>ARR</w:t>
      </w:r>
      <w:r w:rsidR="004A7A39">
        <w:t xml:space="preserve"> of </w:t>
      </w:r>
      <w:r w:rsidR="00DB3CAB">
        <w:t>acute transverse myelitis (ATM), and in Weinshenker et al, the occurrence of trans</w:t>
      </w:r>
      <w:r w:rsidR="00F67D8E">
        <w:t>verse</w:t>
      </w:r>
      <w:r w:rsidR="00DB3CAB">
        <w:t xml:space="preserve"> myelitis or ON symptoms were considered a relapse. </w:t>
      </w:r>
      <w:r>
        <w:t xml:space="preserve">The relapse rate </w:t>
      </w:r>
      <w:r w:rsidR="00DB3CAB">
        <w:t xml:space="preserve">in the three studies </w:t>
      </w:r>
      <w:r>
        <w:t xml:space="preserve">(either ARR or </w:t>
      </w:r>
      <w:r w:rsidR="00AA40ED">
        <w:t>percentage</w:t>
      </w:r>
      <w:r w:rsidR="00DB3CAB">
        <w:t xml:space="preserve"> patients relapsed</w:t>
      </w:r>
      <w:r>
        <w:t xml:space="preserve">) was higher in the AQP4-Ab positive group </w:t>
      </w:r>
      <w:r w:rsidR="00DB3CAB">
        <w:t xml:space="preserve">compared to the seronegative group </w:t>
      </w:r>
      <w:r>
        <w:t xml:space="preserve">after the follow-up period. The difference between groups was statistically </w:t>
      </w:r>
      <w:r w:rsidR="00DB3CAB">
        <w:t xml:space="preserve">significant </w:t>
      </w:r>
      <w:r>
        <w:t>in all three studies.</w:t>
      </w:r>
      <w:r w:rsidR="00DB3CAB">
        <w:t xml:space="preserve"> Results are reported in </w:t>
      </w:r>
      <w:r w:rsidR="00DB3CAB">
        <w:fldChar w:fldCharType="begin"/>
      </w:r>
      <w:r w:rsidR="00DB3CAB">
        <w:instrText xml:space="preserve"> REF _Ref30601593 \h </w:instrText>
      </w:r>
      <w:r w:rsidR="00DB3CAB">
        <w:fldChar w:fldCharType="separate"/>
      </w:r>
      <w:r w:rsidR="00534FEC">
        <w:t xml:space="preserve">Table </w:t>
      </w:r>
      <w:r w:rsidR="00534FEC">
        <w:rPr>
          <w:noProof/>
        </w:rPr>
        <w:t>32</w:t>
      </w:r>
      <w:r w:rsidR="00DB3CAB">
        <w:fldChar w:fldCharType="end"/>
      </w:r>
      <w:r w:rsidR="00DB3CAB">
        <w:t>.</w:t>
      </w:r>
    </w:p>
    <w:p w14:paraId="5EAA7EAB" w14:textId="551B3643" w:rsidR="00AC3E9A" w:rsidRDefault="00AC3E9A" w:rsidP="00AC3E9A">
      <w:pPr>
        <w:pStyle w:val="Caption"/>
      </w:pPr>
      <w:bookmarkStart w:id="258" w:name="_Ref30601593"/>
      <w:bookmarkStart w:id="259" w:name="_Toc39580813"/>
      <w:r>
        <w:t xml:space="preserve">Table </w:t>
      </w:r>
      <w:fldSimple w:instr=" SEQ Table \* ARABIC ">
        <w:r w:rsidR="00FA7BCD">
          <w:rPr>
            <w:noProof/>
          </w:rPr>
          <w:t>32</w:t>
        </w:r>
      </w:fldSimple>
      <w:bookmarkEnd w:id="258"/>
      <w:r>
        <w:tab/>
        <w:t xml:space="preserve">Annual relapse rate </w:t>
      </w:r>
      <w:r w:rsidR="0009153A">
        <w:t>or patients relapsed</w:t>
      </w:r>
      <w:bookmarkEnd w:id="259"/>
    </w:p>
    <w:tbl>
      <w:tblPr>
        <w:tblStyle w:val="TableGrid"/>
        <w:tblW w:w="4871" w:type="pct"/>
        <w:tblLayout w:type="fixed"/>
        <w:tblLook w:val="04A0" w:firstRow="1" w:lastRow="0" w:firstColumn="1" w:lastColumn="0" w:noHBand="0" w:noVBand="1"/>
        <w:tblCaption w:val="Table 32 Annual relapse rate or patients relapsed"/>
        <w:tblDescription w:val="A comparison of the annual relapse rate between AQP4-An positive and negative patients suspected of NMOSD"/>
      </w:tblPr>
      <w:tblGrid>
        <w:gridCol w:w="847"/>
        <w:gridCol w:w="1558"/>
        <w:gridCol w:w="2977"/>
        <w:gridCol w:w="1133"/>
        <w:gridCol w:w="1135"/>
        <w:gridCol w:w="1133"/>
      </w:tblGrid>
      <w:tr w:rsidR="00A87D89" w:rsidRPr="00961809" w14:paraId="1D92DAF4" w14:textId="77777777" w:rsidTr="00447C83">
        <w:trPr>
          <w:tblHeader/>
        </w:trPr>
        <w:tc>
          <w:tcPr>
            <w:tcW w:w="482" w:type="pct"/>
          </w:tcPr>
          <w:p w14:paraId="4DCA4654" w14:textId="77777777" w:rsidR="00E60A85" w:rsidRPr="00961809" w:rsidRDefault="00E60A85" w:rsidP="00961809">
            <w:pPr>
              <w:pStyle w:val="Tabletext"/>
              <w:ind w:left="0"/>
              <w:rPr>
                <w:b/>
              </w:rPr>
            </w:pPr>
            <w:r w:rsidRPr="00961809">
              <w:rPr>
                <w:b/>
              </w:rPr>
              <w:t>Study</w:t>
            </w:r>
          </w:p>
        </w:tc>
        <w:tc>
          <w:tcPr>
            <w:tcW w:w="887" w:type="pct"/>
          </w:tcPr>
          <w:p w14:paraId="63F8E70B" w14:textId="77777777" w:rsidR="00E60A85" w:rsidRPr="00961809" w:rsidRDefault="00E60A85" w:rsidP="00961809">
            <w:pPr>
              <w:pStyle w:val="Tabletext"/>
              <w:ind w:left="0"/>
              <w:rPr>
                <w:b/>
              </w:rPr>
            </w:pPr>
            <w:r w:rsidRPr="00961809">
              <w:rPr>
                <w:b/>
              </w:rPr>
              <w:t>Population</w:t>
            </w:r>
          </w:p>
          <w:p w14:paraId="5EC48BBA" w14:textId="77777777" w:rsidR="00E60A85" w:rsidRPr="00961809" w:rsidRDefault="00E60A85" w:rsidP="00961809">
            <w:pPr>
              <w:pStyle w:val="Tabletext"/>
              <w:ind w:left="0"/>
              <w:rPr>
                <w:b/>
              </w:rPr>
            </w:pPr>
            <w:r w:rsidRPr="00961809">
              <w:rPr>
                <w:b/>
              </w:rPr>
              <w:t>N tested</w:t>
            </w:r>
          </w:p>
        </w:tc>
        <w:tc>
          <w:tcPr>
            <w:tcW w:w="1695" w:type="pct"/>
          </w:tcPr>
          <w:p w14:paraId="35314CA4" w14:textId="77777777" w:rsidR="00E60A85" w:rsidRPr="00961809" w:rsidRDefault="00E60A85" w:rsidP="00961809">
            <w:pPr>
              <w:pStyle w:val="Tabletext"/>
              <w:ind w:left="0"/>
              <w:rPr>
                <w:b/>
              </w:rPr>
            </w:pPr>
            <w:r w:rsidRPr="00961809">
              <w:rPr>
                <w:b/>
              </w:rPr>
              <w:t>Measure</w:t>
            </w:r>
          </w:p>
        </w:tc>
        <w:tc>
          <w:tcPr>
            <w:tcW w:w="645" w:type="pct"/>
          </w:tcPr>
          <w:p w14:paraId="3F5602E6" w14:textId="77777777" w:rsidR="00E60A85" w:rsidRPr="00961809" w:rsidRDefault="00E60A85" w:rsidP="00961809">
            <w:pPr>
              <w:pStyle w:val="Tabletext"/>
              <w:ind w:left="0"/>
              <w:rPr>
                <w:b/>
              </w:rPr>
            </w:pPr>
            <w:r w:rsidRPr="00961809">
              <w:rPr>
                <w:b/>
              </w:rPr>
              <w:t>AQP4-Ab +ve</w:t>
            </w:r>
          </w:p>
        </w:tc>
        <w:tc>
          <w:tcPr>
            <w:tcW w:w="646" w:type="pct"/>
          </w:tcPr>
          <w:p w14:paraId="61BA0ACB" w14:textId="77777777" w:rsidR="00E60A85" w:rsidRPr="00961809" w:rsidRDefault="00E60A85" w:rsidP="00961809">
            <w:pPr>
              <w:pStyle w:val="Tabletext"/>
              <w:ind w:left="0"/>
              <w:rPr>
                <w:b/>
              </w:rPr>
            </w:pPr>
            <w:r w:rsidRPr="00961809">
              <w:rPr>
                <w:b/>
              </w:rPr>
              <w:t xml:space="preserve">AQP4-Ab </w:t>
            </w:r>
            <w:r w:rsidR="008A1746" w:rsidRPr="00961809">
              <w:rPr>
                <w:b/>
              </w:rPr>
              <w:br/>
              <w:t>-v</w:t>
            </w:r>
            <w:r w:rsidRPr="00961809">
              <w:rPr>
                <w:b/>
              </w:rPr>
              <w:t>e</w:t>
            </w:r>
          </w:p>
        </w:tc>
        <w:tc>
          <w:tcPr>
            <w:tcW w:w="645" w:type="pct"/>
          </w:tcPr>
          <w:p w14:paraId="393CF466" w14:textId="77777777" w:rsidR="00812C9F" w:rsidRPr="00961809" w:rsidRDefault="00E60A85" w:rsidP="00961809">
            <w:pPr>
              <w:pStyle w:val="Tabletext"/>
              <w:ind w:left="0"/>
              <w:rPr>
                <w:b/>
              </w:rPr>
            </w:pPr>
            <w:r w:rsidRPr="00961809">
              <w:rPr>
                <w:b/>
              </w:rPr>
              <w:t>Difference</w:t>
            </w:r>
          </w:p>
          <w:p w14:paraId="7278C10C" w14:textId="77777777" w:rsidR="00E60A85" w:rsidRPr="00961809" w:rsidRDefault="00E60A85" w:rsidP="00961809">
            <w:pPr>
              <w:pStyle w:val="Tabletext"/>
              <w:ind w:left="0"/>
              <w:rPr>
                <w:b/>
              </w:rPr>
            </w:pPr>
            <w:r w:rsidRPr="00961809">
              <w:rPr>
                <w:b/>
              </w:rPr>
              <w:t>P value</w:t>
            </w:r>
          </w:p>
        </w:tc>
      </w:tr>
      <w:tr w:rsidR="00A87D89" w:rsidRPr="00312E36" w14:paraId="4E4B1F48" w14:textId="77777777" w:rsidTr="00A87D89">
        <w:tc>
          <w:tcPr>
            <w:tcW w:w="482" w:type="pct"/>
          </w:tcPr>
          <w:p w14:paraId="25E68434" w14:textId="77777777" w:rsidR="00E60A85" w:rsidRDefault="00E60A85" w:rsidP="00447C83">
            <w:pPr>
              <w:pStyle w:val="TableText0"/>
              <w:ind w:left="0"/>
            </w:pPr>
            <w:r>
              <w:t>Cheng et al 2016</w:t>
            </w:r>
          </w:p>
        </w:tc>
        <w:tc>
          <w:tcPr>
            <w:tcW w:w="887" w:type="pct"/>
          </w:tcPr>
          <w:p w14:paraId="176A9643" w14:textId="77777777" w:rsidR="00E60A85" w:rsidRDefault="00E60A85" w:rsidP="00447C83">
            <w:pPr>
              <w:pStyle w:val="TableText0"/>
              <w:ind w:left="0"/>
            </w:pPr>
            <w:r>
              <w:t>First event ABS</w:t>
            </w:r>
          </w:p>
          <w:p w14:paraId="6F1333DF" w14:textId="77777777" w:rsidR="00E60A85" w:rsidRDefault="00E60A85" w:rsidP="00447C83">
            <w:pPr>
              <w:pStyle w:val="TableText0"/>
              <w:ind w:left="0"/>
            </w:pPr>
            <w:r>
              <w:t>N=31</w:t>
            </w:r>
          </w:p>
        </w:tc>
        <w:tc>
          <w:tcPr>
            <w:tcW w:w="1695" w:type="pct"/>
          </w:tcPr>
          <w:p w14:paraId="4EB9E04E" w14:textId="77777777" w:rsidR="00E60A85" w:rsidRPr="00DB3CAB" w:rsidRDefault="00E60A85" w:rsidP="00447C83">
            <w:pPr>
              <w:pStyle w:val="TableText0"/>
              <w:ind w:left="0"/>
              <w:rPr>
                <w:vertAlign w:val="superscript"/>
              </w:rPr>
            </w:pPr>
            <w:r>
              <w:t>Mean ARR ± SD</w:t>
            </w:r>
            <w:r>
              <w:rPr>
                <w:vertAlign w:val="superscript"/>
              </w:rPr>
              <w:t>a</w:t>
            </w:r>
          </w:p>
          <w:p w14:paraId="4BDEF890" w14:textId="77777777" w:rsidR="00E60A85" w:rsidRDefault="00E60A85" w:rsidP="00447C83">
            <w:pPr>
              <w:pStyle w:val="TableText0"/>
              <w:ind w:left="0"/>
            </w:pPr>
            <w:r>
              <w:t xml:space="preserve">(Mean follow-up 44.5 </w:t>
            </w:r>
            <w:r w:rsidRPr="00312E36">
              <w:t>±</w:t>
            </w:r>
            <w:r>
              <w:t xml:space="preserve"> 14.86 mo)</w:t>
            </w:r>
          </w:p>
        </w:tc>
        <w:tc>
          <w:tcPr>
            <w:tcW w:w="645" w:type="pct"/>
          </w:tcPr>
          <w:p w14:paraId="43F27930" w14:textId="77777777" w:rsidR="00E60A85" w:rsidRDefault="00E60A85" w:rsidP="00447C83">
            <w:pPr>
              <w:pStyle w:val="TableText0"/>
              <w:ind w:left="0"/>
            </w:pPr>
            <w:r>
              <w:t xml:space="preserve">1.05 </w:t>
            </w:r>
            <w:r w:rsidRPr="00312E36">
              <w:t>±</w:t>
            </w:r>
            <w:r>
              <w:t xml:space="preserve"> 0.40</w:t>
            </w:r>
          </w:p>
        </w:tc>
        <w:tc>
          <w:tcPr>
            <w:tcW w:w="646" w:type="pct"/>
          </w:tcPr>
          <w:p w14:paraId="48200E37" w14:textId="77777777" w:rsidR="00E60A85" w:rsidRDefault="00E60A85" w:rsidP="00447C83">
            <w:pPr>
              <w:pStyle w:val="TableText0"/>
              <w:ind w:left="0"/>
            </w:pPr>
            <w:r>
              <w:t xml:space="preserve">0.72 </w:t>
            </w:r>
            <w:r w:rsidRPr="00312E36">
              <w:t>±</w:t>
            </w:r>
            <w:r>
              <w:t xml:space="preserve"> 0.40</w:t>
            </w:r>
          </w:p>
        </w:tc>
        <w:tc>
          <w:tcPr>
            <w:tcW w:w="645" w:type="pct"/>
          </w:tcPr>
          <w:p w14:paraId="10CE1D6A" w14:textId="77777777" w:rsidR="00E60A85" w:rsidRDefault="00E60A85" w:rsidP="00447C83">
            <w:pPr>
              <w:pStyle w:val="TableText0"/>
              <w:ind w:left="0"/>
            </w:pPr>
            <w:r>
              <w:t>0.031</w:t>
            </w:r>
          </w:p>
        </w:tc>
      </w:tr>
      <w:tr w:rsidR="00A87D89" w:rsidRPr="00312E36" w14:paraId="47161EFE" w14:textId="77777777" w:rsidTr="00A87D89">
        <w:tc>
          <w:tcPr>
            <w:tcW w:w="482" w:type="pct"/>
          </w:tcPr>
          <w:p w14:paraId="32FBFAB4" w14:textId="77777777" w:rsidR="00E60A85" w:rsidRDefault="00E60A85" w:rsidP="00447C83">
            <w:pPr>
              <w:pStyle w:val="TableText0"/>
              <w:ind w:left="0"/>
            </w:pPr>
            <w:r>
              <w:t>Contentti et al 2017</w:t>
            </w:r>
          </w:p>
        </w:tc>
        <w:tc>
          <w:tcPr>
            <w:tcW w:w="887" w:type="pct"/>
          </w:tcPr>
          <w:p w14:paraId="07CD944D" w14:textId="77777777" w:rsidR="00E60A85" w:rsidRDefault="00E60A85" w:rsidP="00447C83">
            <w:pPr>
              <w:pStyle w:val="TableText0"/>
              <w:ind w:left="0"/>
            </w:pPr>
            <w:r>
              <w:t>First presentation LETM</w:t>
            </w:r>
          </w:p>
          <w:p w14:paraId="74BEF755" w14:textId="77777777" w:rsidR="00E60A85" w:rsidRDefault="00E60A85" w:rsidP="00447C83">
            <w:pPr>
              <w:pStyle w:val="TableText0"/>
              <w:ind w:left="0"/>
            </w:pPr>
            <w:r>
              <w:t>N=30</w:t>
            </w:r>
          </w:p>
        </w:tc>
        <w:tc>
          <w:tcPr>
            <w:tcW w:w="1695" w:type="pct"/>
          </w:tcPr>
          <w:p w14:paraId="5D235BE8" w14:textId="77777777" w:rsidR="00E60A85" w:rsidRDefault="00E60A85" w:rsidP="00447C83">
            <w:pPr>
              <w:pStyle w:val="TableText0"/>
              <w:ind w:left="0"/>
            </w:pPr>
            <w:r>
              <w:t xml:space="preserve">Mean ATM ARR ± SD </w:t>
            </w:r>
          </w:p>
          <w:p w14:paraId="3089C001" w14:textId="77777777" w:rsidR="00E60A85" w:rsidRDefault="00E60A85" w:rsidP="00447C83">
            <w:pPr>
              <w:pStyle w:val="TableText0"/>
              <w:ind w:left="0"/>
            </w:pPr>
            <w:r>
              <w:t>(Median follow-up 2.84 ± 1.68 yr)</w:t>
            </w:r>
          </w:p>
        </w:tc>
        <w:tc>
          <w:tcPr>
            <w:tcW w:w="645" w:type="pct"/>
          </w:tcPr>
          <w:p w14:paraId="2F97AF58" w14:textId="77777777" w:rsidR="00E60A85" w:rsidRDefault="00E60A85" w:rsidP="00447C83">
            <w:pPr>
              <w:pStyle w:val="TableText0"/>
              <w:ind w:left="0"/>
            </w:pPr>
            <w:r>
              <w:t xml:space="preserve">1.33 </w:t>
            </w:r>
            <w:r w:rsidRPr="00312E36">
              <w:t>±</w:t>
            </w:r>
            <w:r>
              <w:t xml:space="preserve"> 1</w:t>
            </w:r>
          </w:p>
        </w:tc>
        <w:tc>
          <w:tcPr>
            <w:tcW w:w="646" w:type="pct"/>
          </w:tcPr>
          <w:p w14:paraId="692E99A9" w14:textId="77777777" w:rsidR="00E60A85" w:rsidRDefault="00E60A85" w:rsidP="00447C83">
            <w:pPr>
              <w:pStyle w:val="TableText0"/>
              <w:ind w:left="0"/>
            </w:pPr>
            <w:r>
              <w:t xml:space="preserve">0.42 </w:t>
            </w:r>
            <w:r w:rsidRPr="00312E36">
              <w:t>±</w:t>
            </w:r>
            <w:r>
              <w:t xml:space="preserve"> 0.74</w:t>
            </w:r>
          </w:p>
        </w:tc>
        <w:tc>
          <w:tcPr>
            <w:tcW w:w="645" w:type="pct"/>
          </w:tcPr>
          <w:p w14:paraId="3BC9C84E" w14:textId="77777777" w:rsidR="00E60A85" w:rsidRDefault="00E60A85" w:rsidP="00447C83">
            <w:pPr>
              <w:pStyle w:val="TableText0"/>
              <w:ind w:left="0"/>
            </w:pPr>
            <w:r>
              <w:t>0.03</w:t>
            </w:r>
          </w:p>
        </w:tc>
      </w:tr>
      <w:tr w:rsidR="00A87D89" w:rsidRPr="00312E36" w14:paraId="58BD94B8" w14:textId="77777777" w:rsidTr="00A87D89">
        <w:tc>
          <w:tcPr>
            <w:tcW w:w="482" w:type="pct"/>
          </w:tcPr>
          <w:p w14:paraId="36AFDB21" w14:textId="77777777" w:rsidR="00E60A85" w:rsidRDefault="00E60A85" w:rsidP="00447C83">
            <w:pPr>
              <w:pStyle w:val="TableText0"/>
              <w:ind w:left="0"/>
            </w:pPr>
            <w:r>
              <w:t>Weinshenker et al, 2006</w:t>
            </w:r>
          </w:p>
        </w:tc>
        <w:tc>
          <w:tcPr>
            <w:tcW w:w="887" w:type="pct"/>
          </w:tcPr>
          <w:p w14:paraId="13764733" w14:textId="77777777" w:rsidR="00E60A85" w:rsidRDefault="00E60A85" w:rsidP="00447C83">
            <w:pPr>
              <w:pStyle w:val="TableText0"/>
              <w:ind w:left="0"/>
            </w:pPr>
            <w:r>
              <w:t xml:space="preserve">First episode LETM </w:t>
            </w:r>
          </w:p>
          <w:p w14:paraId="3B962A92" w14:textId="77777777" w:rsidR="00E60A85" w:rsidRDefault="00E60A85" w:rsidP="00447C83">
            <w:pPr>
              <w:pStyle w:val="TableText0"/>
              <w:ind w:left="0"/>
            </w:pPr>
            <w:r>
              <w:t>N=29</w:t>
            </w:r>
          </w:p>
        </w:tc>
        <w:tc>
          <w:tcPr>
            <w:tcW w:w="1695" w:type="pct"/>
          </w:tcPr>
          <w:p w14:paraId="0AEC01FA" w14:textId="77777777" w:rsidR="00E60A85" w:rsidRPr="00F81B07" w:rsidRDefault="00E60A85" w:rsidP="00447C83">
            <w:pPr>
              <w:pStyle w:val="TableText0"/>
              <w:ind w:left="0"/>
            </w:pPr>
            <w:r>
              <w:t>Patients relapsed n/N (%)</w:t>
            </w:r>
            <w:r>
              <w:rPr>
                <w:vertAlign w:val="superscript"/>
              </w:rPr>
              <w:t>b</w:t>
            </w:r>
          </w:p>
          <w:p w14:paraId="1B148C9E" w14:textId="77777777" w:rsidR="00E60A85" w:rsidRDefault="00E60A85" w:rsidP="00447C83">
            <w:pPr>
              <w:pStyle w:val="TableText0"/>
              <w:ind w:left="0"/>
            </w:pPr>
            <w:r>
              <w:t>(Follow-up - seropositive 14.4 [IQR 11.6-41.2]; seronegative 18.2 [18.2-40.2])</w:t>
            </w:r>
          </w:p>
        </w:tc>
        <w:tc>
          <w:tcPr>
            <w:tcW w:w="645" w:type="pct"/>
          </w:tcPr>
          <w:p w14:paraId="7E635718" w14:textId="77777777" w:rsidR="00E60A85" w:rsidRDefault="00E60A85" w:rsidP="00447C83">
            <w:pPr>
              <w:pStyle w:val="TableText0"/>
              <w:ind w:left="0"/>
            </w:pPr>
            <w:r>
              <w:t>6/11 (54.5)</w:t>
            </w:r>
          </w:p>
        </w:tc>
        <w:tc>
          <w:tcPr>
            <w:tcW w:w="646" w:type="pct"/>
          </w:tcPr>
          <w:p w14:paraId="441141C8" w14:textId="77777777" w:rsidR="00E60A85" w:rsidRDefault="00E60A85" w:rsidP="00447C83">
            <w:pPr>
              <w:pStyle w:val="TableText0"/>
              <w:ind w:left="0"/>
            </w:pPr>
            <w:r>
              <w:t>0/18 (0)</w:t>
            </w:r>
          </w:p>
        </w:tc>
        <w:tc>
          <w:tcPr>
            <w:tcW w:w="645" w:type="pct"/>
          </w:tcPr>
          <w:p w14:paraId="65157E7B" w14:textId="77777777" w:rsidR="00E60A85" w:rsidRDefault="00E60A85" w:rsidP="00447C83">
            <w:pPr>
              <w:pStyle w:val="TableText0"/>
              <w:ind w:left="0"/>
            </w:pPr>
            <w:r>
              <w:t>NR</w:t>
            </w:r>
          </w:p>
          <w:p w14:paraId="04A212F3" w14:textId="77777777" w:rsidR="00E60A85" w:rsidRDefault="00E60A85" w:rsidP="00447C83">
            <w:pPr>
              <w:pStyle w:val="TableText0"/>
              <w:ind w:left="0"/>
            </w:pPr>
            <w:r>
              <w:t>(MedCalc: 0.0005)</w:t>
            </w:r>
          </w:p>
        </w:tc>
      </w:tr>
    </w:tbl>
    <w:p w14:paraId="7BFF49A1" w14:textId="77777777" w:rsidR="00647DA6" w:rsidRDefault="00190350" w:rsidP="00647DA6">
      <w:pPr>
        <w:pStyle w:val="Tablenotes0"/>
        <w:spacing w:after="60"/>
      </w:pPr>
      <w:r>
        <w:t xml:space="preserve">ABS = acute brainstem syndrome; AQP4-Ab = aquaporin 4 antibodies; </w:t>
      </w:r>
      <w:r w:rsidR="00F81B07">
        <w:t xml:space="preserve">ARR = </w:t>
      </w:r>
      <w:r w:rsidR="000C16D2">
        <w:t>annualised</w:t>
      </w:r>
      <w:r w:rsidR="00F81B07">
        <w:t xml:space="preserve"> relapse rate; ATM = </w:t>
      </w:r>
      <w:r w:rsidR="00DB3CAB">
        <w:t>acute transverse myelitis</w:t>
      </w:r>
      <w:r>
        <w:t>; LETM = longitudinally extensive transverse myelitis; NR = not reported; ON = optic neuritis</w:t>
      </w:r>
      <w:r w:rsidR="00F95772">
        <w:t>; SD = standard deviation</w:t>
      </w:r>
    </w:p>
    <w:p w14:paraId="0BB8B02F" w14:textId="77777777" w:rsidR="00476B34" w:rsidRDefault="00F81B07" w:rsidP="00F81B07">
      <w:pPr>
        <w:pStyle w:val="Tablenotes0"/>
      </w:pPr>
      <w:r>
        <w:rPr>
          <w:vertAlign w:val="superscript"/>
        </w:rPr>
        <w:t>a</w:t>
      </w:r>
      <w:r>
        <w:t xml:space="preserve"> Relapse refers to the occurrence of either ON</w:t>
      </w:r>
      <w:r w:rsidR="00DB3CAB">
        <w:t xml:space="preserve">, </w:t>
      </w:r>
      <w:r>
        <w:t>LETM</w:t>
      </w:r>
      <w:r w:rsidR="00DB3CAB">
        <w:t xml:space="preserve">  or recurrence of ABS symptoms</w:t>
      </w:r>
    </w:p>
    <w:p w14:paraId="474BB6F1" w14:textId="77777777" w:rsidR="00DB3CAB" w:rsidRPr="00DB3CAB" w:rsidRDefault="00DB3CAB" w:rsidP="00F81B07">
      <w:pPr>
        <w:pStyle w:val="Tablenotes0"/>
      </w:pPr>
      <w:r>
        <w:rPr>
          <w:vertAlign w:val="superscript"/>
        </w:rPr>
        <w:t>b</w:t>
      </w:r>
      <w:r>
        <w:t xml:space="preserve"> Relapse refers to the occurrence of either ON or trans myelitis</w:t>
      </w:r>
    </w:p>
    <w:p w14:paraId="3EB61A69" w14:textId="77777777" w:rsidR="00F81B07" w:rsidRDefault="00F81B07" w:rsidP="00476B34"/>
    <w:p w14:paraId="6B200655" w14:textId="10FC6A73" w:rsidR="005A4592" w:rsidRDefault="002335E0" w:rsidP="005A4592">
      <w:pPr>
        <w:pStyle w:val="Heading4"/>
      </w:pPr>
      <w:r>
        <w:lastRenderedPageBreak/>
        <w:t>Change in EDSS</w:t>
      </w:r>
    </w:p>
    <w:p w14:paraId="469FE310" w14:textId="05CFFE77" w:rsidR="00B20675" w:rsidRDefault="00190350" w:rsidP="000726BB">
      <w:r>
        <w:t xml:space="preserve">Change in EDSS was </w:t>
      </w:r>
      <w:r w:rsidR="00160289">
        <w:t>assess</w:t>
      </w:r>
      <w:r>
        <w:t xml:space="preserve">ed in one population of first event ABS patients </w:t>
      </w:r>
      <w:r w:rsidR="00156621">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instrText xml:space="preserve"> ADDIN EN.CITE </w:instrText>
      </w:r>
      <w:r w:rsidR="00AC01FD">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instrText xml:space="preserve"> ADDIN EN.CITE.DATA </w:instrText>
      </w:r>
      <w:r w:rsidR="00AC01FD">
        <w:fldChar w:fldCharType="end"/>
      </w:r>
      <w:r w:rsidR="00156621">
        <w:fldChar w:fldCharType="separate"/>
      </w:r>
      <w:r w:rsidR="00156621">
        <w:rPr>
          <w:noProof/>
        </w:rPr>
        <w:t>(Cheng et al. 2016)</w:t>
      </w:r>
      <w:r w:rsidR="00156621">
        <w:fldChar w:fldCharType="end"/>
      </w:r>
      <w:r>
        <w:t xml:space="preserve"> and one of first presentation LETM patients </w:t>
      </w:r>
      <w:r w:rsidR="00156621">
        <w:fldChar w:fldCharType="begin">
          <w:fldData xml:space="preserve">PEVuZE5vdGU+PENpdGU+PEF1dGhvcj5Db250ZW50dGk8L0F1dGhvcj48WWVhcj4yMDE3PC9ZZWFy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=
</w:fldData>
        </w:fldChar>
      </w:r>
      <w:r w:rsidR="00156621">
        <w:instrText xml:space="preserve"> ADDIN EN.CITE </w:instrText>
      </w:r>
      <w:r w:rsidR="00156621">
        <w:fldChar w:fldCharType="begin">
          <w:fldData xml:space="preserve">PEVuZE5vdGU+PENpdGU+PEF1dGhvcj5Db250ZW50dGk8L0F1dGhvcj48WWVhcj4yMDE3PC9ZZWFy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=
</w:fldData>
        </w:fldChar>
      </w:r>
      <w:r w:rsidR="00156621">
        <w:instrText xml:space="preserve"> ADDIN EN.CITE.DATA </w:instrText>
      </w:r>
      <w:r w:rsidR="00156621">
        <w:fldChar w:fldCharType="end"/>
      </w:r>
      <w:r w:rsidR="00156621">
        <w:fldChar w:fldCharType="separate"/>
      </w:r>
      <w:r w:rsidR="00156621">
        <w:rPr>
          <w:noProof/>
        </w:rPr>
        <w:t>(Contentti, CE et al. 2017)</w:t>
      </w:r>
      <w:r w:rsidR="00156621">
        <w:fldChar w:fldCharType="end"/>
      </w:r>
      <w:r>
        <w:t>. The mean follow-up times were approximately 44 months and 34 months</w:t>
      </w:r>
      <w:r w:rsidR="008C427E">
        <w:t>,</w:t>
      </w:r>
      <w:r w:rsidR="00534FEC">
        <w:t xml:space="preserve"> </w:t>
      </w:r>
      <w:r>
        <w:t>respectively. In that period a number of patients experienced relapses and underwent a range of treatments. At baseline, the EDSS was not statistically different between AQP4-Ab positive and negative groups</w:t>
      </w:r>
      <w:r w:rsidR="006F10AE">
        <w:t xml:space="preserve"> (</w:t>
      </w:r>
      <w:r w:rsidR="006F10AE">
        <w:fldChar w:fldCharType="begin"/>
      </w:r>
      <w:r w:rsidR="006F10AE">
        <w:instrText xml:space="preserve"> REF _Ref30603772 \h </w:instrText>
      </w:r>
      <w:r w:rsidR="006F10AE">
        <w:fldChar w:fldCharType="separate"/>
      </w:r>
      <w:r w:rsidR="00534FEC">
        <w:t xml:space="preserve">Table </w:t>
      </w:r>
      <w:r w:rsidR="00534FEC">
        <w:rPr>
          <w:noProof/>
        </w:rPr>
        <w:t>33</w:t>
      </w:r>
      <w:r w:rsidR="006F10AE">
        <w:fldChar w:fldCharType="end"/>
      </w:r>
      <w:r w:rsidR="006F10AE">
        <w:t>)</w:t>
      </w:r>
      <w:r>
        <w:t xml:space="preserve">. </w:t>
      </w:r>
    </w:p>
    <w:p w14:paraId="7ED6C423" w14:textId="1D0345D9" w:rsidR="000726BB" w:rsidRDefault="00190350" w:rsidP="000726BB">
      <w:r>
        <w:t xml:space="preserve">At follow-up the EDSS was higher (disability was worse) in the AQP4-Ab positive group compared with the negative patients (p &lt; 0.001) in patients with first event ABS </w:t>
      </w:r>
      <w:r w:rsidR="00156621">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instrText xml:space="preserve"> ADDIN EN.CITE </w:instrText>
      </w:r>
      <w:r w:rsidR="00AC01FD">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instrText xml:space="preserve"> ADDIN EN.CITE.DATA </w:instrText>
      </w:r>
      <w:r w:rsidR="00AC01FD">
        <w:fldChar w:fldCharType="end"/>
      </w:r>
      <w:r w:rsidR="00156621">
        <w:fldChar w:fldCharType="separate"/>
      </w:r>
      <w:r w:rsidR="00156621">
        <w:rPr>
          <w:noProof/>
        </w:rPr>
        <w:t>(Cheng et al. 2016)</w:t>
      </w:r>
      <w:r w:rsidR="00156621">
        <w:fldChar w:fldCharType="end"/>
      </w:r>
      <w:r>
        <w:t>.</w:t>
      </w:r>
      <w:r w:rsidR="00B20675">
        <w:t xml:space="preserve"> Cheng et al used the Kurtz EDSS </w:t>
      </w:r>
      <w:r w:rsidR="00156621">
        <w:fldChar w:fldCharType="begin"/>
      </w:r>
      <w:r w:rsidR="00156621">
        <w:instrText xml:space="preserve"> ADDIN EN.CITE &lt;EndNote&gt;&lt;Cite&gt;&lt;Author&gt;Kurtzke JF&lt;/Author&gt;&lt;Year&gt;1983&lt;/Year&gt;&lt;RecNum&gt;62&lt;/RecNum&gt;&lt;DisplayText&gt;(Kurtzke JF 1983)&lt;/DisplayText&gt;&lt;record&gt;&lt;rec-number&gt;62&lt;/rec-number&gt;&lt;foreign-keys&gt;&lt;key app="EN" db-id="r25zptaswpdzade29ws5pf9gx55ztppatt20" timestamp="1579673357"&gt;62&lt;/key&gt;&lt;key app="ENWeb" db-id=""&gt;0&lt;/key&gt;&lt;/foreign-keys&gt;&lt;ref-type name="Journal Article"&gt;17&lt;/ref-type&gt;&lt;contributors&gt;&lt;authors&gt;&lt;author&gt;Kurtzke JF, &lt;/author&gt;&lt;/authors&gt;&lt;/contributors&gt;&lt;titles&gt;&lt;title&gt;Rating neurologic impairment in multiple sclerosis: An expanded disability status scale (EDSS)&lt;/title&gt;&lt;secondary-title&gt;Neyrology&lt;/secondary-title&gt;&lt;/titles&gt;&lt;periodical&gt;&lt;full-title&gt;Neyrology&lt;/full-title&gt;&lt;/periodical&gt;&lt;pages&gt;1444-52&lt;/pages&gt;&lt;volume&gt;33&lt;/volume&gt;&lt;dates&gt;&lt;year&gt;1983&lt;/year&gt;&lt;/dates&gt;&lt;urls&gt;&lt;/urls&gt;&lt;/record&gt;&lt;/Cite&gt;&lt;/EndNote&gt;</w:instrText>
      </w:r>
      <w:r w:rsidR="00156621">
        <w:fldChar w:fldCharType="separate"/>
      </w:r>
      <w:r w:rsidR="00156621">
        <w:rPr>
          <w:noProof/>
        </w:rPr>
        <w:t>(Kurtzke JF 1983)</w:t>
      </w:r>
      <w:r w:rsidR="00156621">
        <w:fldChar w:fldCharType="end"/>
      </w:r>
      <w:r w:rsidR="00F1090A" w:rsidRPr="00F1090A">
        <w:rPr>
          <w:vertAlign w:val="superscript"/>
        </w:rPr>
        <w:fldChar w:fldCharType="begin"/>
      </w:r>
      <w:r w:rsidR="00F1090A" w:rsidRPr="00F1090A">
        <w:rPr>
          <w:vertAlign w:val="superscript"/>
        </w:rPr>
        <w:instrText xml:space="preserve"> NOTEREF _Ref30666077 \h </w:instrText>
      </w:r>
      <w:r w:rsidR="00F1090A">
        <w:rPr>
          <w:vertAlign w:val="superscript"/>
        </w:rPr>
        <w:instrText xml:space="preserve"> \* MERGEFORMAT </w:instrText>
      </w:r>
      <w:r w:rsidR="00F1090A" w:rsidRPr="00F1090A">
        <w:rPr>
          <w:vertAlign w:val="superscript"/>
        </w:rPr>
      </w:r>
      <w:r w:rsidR="00F1090A" w:rsidRPr="00F1090A">
        <w:rPr>
          <w:vertAlign w:val="superscript"/>
        </w:rPr>
        <w:fldChar w:fldCharType="separate"/>
      </w:r>
      <w:r w:rsidR="00534FEC">
        <w:rPr>
          <w:vertAlign w:val="superscript"/>
        </w:rPr>
        <w:t>7</w:t>
      </w:r>
      <w:r w:rsidR="00F1090A" w:rsidRPr="00F1090A">
        <w:rPr>
          <w:vertAlign w:val="superscript"/>
        </w:rPr>
        <w:fldChar w:fldCharType="end"/>
      </w:r>
      <w:r w:rsidR="00B20675">
        <w:t>.</w:t>
      </w:r>
      <w:r>
        <w:t xml:space="preserve"> In the study of first event LETM patients there was no</w:t>
      </w:r>
      <w:r w:rsidR="002F1A1C">
        <w:t xml:space="preserve"> significant difference in EDSS </w:t>
      </w:r>
      <w:r w:rsidR="005D5C83">
        <w:t xml:space="preserve">found </w:t>
      </w:r>
      <w:r w:rsidR="002F1A1C">
        <w:t xml:space="preserve">between groups </w:t>
      </w:r>
      <w:r w:rsidR="005D5C83">
        <w:t xml:space="preserve">but no further detail was reported on the follow-up status </w:t>
      </w:r>
      <w:r w:rsidR="00156621">
        <w:fldChar w:fldCharType="begin">
          <w:fldData xml:space="preserve">PEVuZE5vdGU+PENpdGU+PEF1dGhvcj5Db250ZW50dGk8L0F1dGhvcj48WWVhcj4yMDE3PC9ZZWFy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=
</w:fldData>
        </w:fldChar>
      </w:r>
      <w:r w:rsidR="00156621">
        <w:instrText xml:space="preserve"> ADDIN EN.CITE </w:instrText>
      </w:r>
      <w:r w:rsidR="00156621">
        <w:fldChar w:fldCharType="begin">
          <w:fldData xml:space="preserve">PEVuZE5vdGU+PENpdGU+PEF1dGhvcj5Db250ZW50dGk8L0F1dGhvcj48WWVhcj4yMDE3PC9ZZWFy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=
</w:fldData>
        </w:fldChar>
      </w:r>
      <w:r w:rsidR="00156621">
        <w:instrText xml:space="preserve"> ADDIN EN.CITE.DATA </w:instrText>
      </w:r>
      <w:r w:rsidR="00156621">
        <w:fldChar w:fldCharType="end"/>
      </w:r>
      <w:r w:rsidR="00156621">
        <w:fldChar w:fldCharType="separate"/>
      </w:r>
      <w:r w:rsidR="00156621">
        <w:rPr>
          <w:noProof/>
        </w:rPr>
        <w:t>(Contentti, CE et al. 2017)</w:t>
      </w:r>
      <w:r w:rsidR="00156621">
        <w:fldChar w:fldCharType="end"/>
      </w:r>
      <w:r w:rsidR="002F1A1C">
        <w:t xml:space="preserve">. </w:t>
      </w:r>
      <w:r w:rsidR="005D5C83">
        <w:t>This result is inconsistent with the majority of results comparing AQP4-Ab positive and negative patients</w:t>
      </w:r>
      <w:r w:rsidR="00F67D8E">
        <w:t xml:space="preserve"> in this review</w:t>
      </w:r>
      <w:r w:rsidR="005D5C83">
        <w:t xml:space="preserve">. </w:t>
      </w:r>
      <w:r w:rsidR="002F1A1C">
        <w:t xml:space="preserve">Contentti et al </w:t>
      </w:r>
      <w:r w:rsidR="005D5C83">
        <w:t xml:space="preserve">also used the Kurtz EDSS and in addition </w:t>
      </w:r>
      <w:r w:rsidR="002F1A1C">
        <w:t>defined severe disabili</w:t>
      </w:r>
      <w:r w:rsidR="00B20675">
        <w:t>t</w:t>
      </w:r>
      <w:r w:rsidR="002F1A1C">
        <w:t>y (</w:t>
      </w:r>
      <w:r w:rsidR="000726BB">
        <w:t xml:space="preserve">EDSS </w:t>
      </w:r>
      <w:r w:rsidR="000726BB">
        <w:rPr>
          <w:rFonts w:cs="Calibri"/>
        </w:rPr>
        <w:t>≥</w:t>
      </w:r>
      <w:r w:rsidR="000726BB">
        <w:t>6</w:t>
      </w:r>
      <w:r w:rsidR="002F1A1C">
        <w:t>)</w:t>
      </w:r>
      <w:r w:rsidR="000726BB">
        <w:t xml:space="preserve"> </w:t>
      </w:r>
      <w:r w:rsidR="000726BB" w:rsidRPr="000726BB">
        <w:t>as intermittent or unilateral assistance (braces, canes or crutches) required for walking 100 m with or without resting.</w:t>
      </w:r>
      <w:r w:rsidR="000726BB">
        <w:t xml:space="preserve"> </w:t>
      </w:r>
      <w:r w:rsidR="002F1A1C">
        <w:t>The same authors found tha</w:t>
      </w:r>
      <w:r w:rsidR="00B20675">
        <w:t>t</w:t>
      </w:r>
      <w:r w:rsidR="002F1A1C">
        <w:t xml:space="preserve"> limitations of their study w</w:t>
      </w:r>
      <w:r w:rsidR="005D5C83">
        <w:t>ere</w:t>
      </w:r>
      <w:r w:rsidR="002F1A1C">
        <w:t xml:space="preserve"> the inconsistent follow-up time an</w:t>
      </w:r>
      <w:r w:rsidR="00F67D8E">
        <w:t>d differences in</w:t>
      </w:r>
      <w:r w:rsidR="002F1A1C">
        <w:t xml:space="preserve"> treatments between groups, and the AQP4-Ab assay method </w:t>
      </w:r>
      <w:r w:rsidR="00B20675">
        <w:t xml:space="preserve">(IIF) </w:t>
      </w:r>
      <w:r w:rsidR="002F1A1C">
        <w:t>which may not have identified all seropositive patients</w:t>
      </w:r>
      <w:r w:rsidR="00B20675">
        <w:t>.</w:t>
      </w:r>
    </w:p>
    <w:p w14:paraId="102F5F10" w14:textId="1FE5A648" w:rsidR="005A4592" w:rsidRDefault="005A4592" w:rsidP="005A4592">
      <w:pPr>
        <w:pStyle w:val="Caption"/>
      </w:pPr>
      <w:bookmarkStart w:id="260" w:name="_Ref30603772"/>
      <w:bookmarkStart w:id="261" w:name="_Toc39580814"/>
      <w:r>
        <w:t xml:space="preserve">Table </w:t>
      </w:r>
      <w:fldSimple w:instr=" SEQ Table \* ARABIC ">
        <w:r w:rsidR="00FA7BCD">
          <w:rPr>
            <w:noProof/>
          </w:rPr>
          <w:t>33</w:t>
        </w:r>
      </w:fldSimple>
      <w:bookmarkEnd w:id="260"/>
      <w:r>
        <w:tab/>
        <w:t>Change in EDSS</w:t>
      </w:r>
      <w:r w:rsidR="006F10AE">
        <w:rPr>
          <w:vertAlign w:val="superscript"/>
        </w:rPr>
        <w:t>a</w:t>
      </w:r>
      <w:r>
        <w:t xml:space="preserve"> at follow-up</w:t>
      </w:r>
      <w:bookmarkEnd w:id="261"/>
    </w:p>
    <w:tbl>
      <w:tblPr>
        <w:tblStyle w:val="TableGrid"/>
        <w:tblW w:w="8784" w:type="dxa"/>
        <w:tblLook w:val="04A0" w:firstRow="1" w:lastRow="0" w:firstColumn="1" w:lastColumn="0" w:noHBand="0" w:noVBand="1"/>
        <w:tblCaption w:val="Table 33 Change in EDSSa at follow-up"/>
        <w:tblDescription w:val="A comparison of the change in EDSS between AQP4-Ab positive and negative patients suspected of NMOSD"/>
      </w:tblPr>
      <w:tblGrid>
        <w:gridCol w:w="1121"/>
        <w:gridCol w:w="1568"/>
        <w:gridCol w:w="2268"/>
        <w:gridCol w:w="2268"/>
        <w:gridCol w:w="1559"/>
      </w:tblGrid>
      <w:tr w:rsidR="003A5798" w:rsidRPr="00961809" w14:paraId="6A1F5890" w14:textId="77777777" w:rsidTr="00447C83">
        <w:trPr>
          <w:tblHeader/>
        </w:trPr>
        <w:tc>
          <w:tcPr>
            <w:tcW w:w="1121" w:type="dxa"/>
          </w:tcPr>
          <w:p w14:paraId="045EB578" w14:textId="77777777" w:rsidR="003A5798" w:rsidRPr="00961809" w:rsidRDefault="003A5798" w:rsidP="00961809">
            <w:pPr>
              <w:pStyle w:val="Tabletext"/>
              <w:ind w:left="0"/>
              <w:rPr>
                <w:b/>
              </w:rPr>
            </w:pPr>
            <w:r w:rsidRPr="00961809">
              <w:rPr>
                <w:b/>
              </w:rPr>
              <w:t>Study</w:t>
            </w:r>
          </w:p>
          <w:p w14:paraId="4064691A" w14:textId="77777777" w:rsidR="003A5798" w:rsidRPr="00961809" w:rsidRDefault="003A5798" w:rsidP="00961809">
            <w:pPr>
              <w:pStyle w:val="Tabletext"/>
              <w:ind w:left="0"/>
              <w:rPr>
                <w:b/>
              </w:rPr>
            </w:pPr>
          </w:p>
        </w:tc>
        <w:tc>
          <w:tcPr>
            <w:tcW w:w="1568" w:type="dxa"/>
          </w:tcPr>
          <w:p w14:paraId="6720E03C" w14:textId="77777777" w:rsidR="003A5798" w:rsidRPr="00961809" w:rsidRDefault="003A5798" w:rsidP="00961809">
            <w:pPr>
              <w:pStyle w:val="Tabletext"/>
              <w:ind w:left="0"/>
              <w:rPr>
                <w:b/>
              </w:rPr>
            </w:pPr>
            <w:r w:rsidRPr="00961809">
              <w:rPr>
                <w:b/>
              </w:rPr>
              <w:t>Population</w:t>
            </w:r>
          </w:p>
          <w:p w14:paraId="73475D2C" w14:textId="77777777" w:rsidR="00410271" w:rsidRPr="00961809" w:rsidRDefault="00410271" w:rsidP="00961809">
            <w:pPr>
              <w:pStyle w:val="Tabletext"/>
              <w:ind w:left="0"/>
              <w:rPr>
                <w:b/>
              </w:rPr>
            </w:pPr>
            <w:r w:rsidRPr="00961809">
              <w:rPr>
                <w:b/>
              </w:rPr>
              <w:t>N tested</w:t>
            </w:r>
          </w:p>
        </w:tc>
        <w:tc>
          <w:tcPr>
            <w:tcW w:w="2268" w:type="dxa"/>
          </w:tcPr>
          <w:p w14:paraId="13CE5919" w14:textId="77777777" w:rsidR="003A5798" w:rsidRPr="00961809" w:rsidRDefault="003A5798" w:rsidP="00961809">
            <w:pPr>
              <w:pStyle w:val="Tabletext"/>
              <w:ind w:left="0"/>
              <w:rPr>
                <w:b/>
              </w:rPr>
            </w:pPr>
            <w:r w:rsidRPr="00961809">
              <w:rPr>
                <w:b/>
              </w:rPr>
              <w:t>AQP4-Ab +ve</w:t>
            </w:r>
          </w:p>
          <w:p w14:paraId="6E3CCE26" w14:textId="77777777" w:rsidR="003A5798" w:rsidRPr="00961809" w:rsidRDefault="003A5798" w:rsidP="00961809">
            <w:pPr>
              <w:pStyle w:val="Tabletext"/>
              <w:ind w:left="0"/>
              <w:rPr>
                <w:b/>
              </w:rPr>
            </w:pPr>
            <w:r w:rsidRPr="00961809">
              <w:rPr>
                <w:b/>
              </w:rPr>
              <w:t>Median (range)</w:t>
            </w:r>
          </w:p>
        </w:tc>
        <w:tc>
          <w:tcPr>
            <w:tcW w:w="2268" w:type="dxa"/>
          </w:tcPr>
          <w:p w14:paraId="2DBD7F3E" w14:textId="77777777" w:rsidR="003A5798" w:rsidRPr="00961809" w:rsidRDefault="003A5798" w:rsidP="00961809">
            <w:pPr>
              <w:pStyle w:val="Tabletext"/>
              <w:ind w:left="0"/>
              <w:rPr>
                <w:b/>
              </w:rPr>
            </w:pPr>
            <w:r w:rsidRPr="00961809">
              <w:rPr>
                <w:b/>
              </w:rPr>
              <w:t>AQP4-Ab -ve</w:t>
            </w:r>
          </w:p>
          <w:p w14:paraId="59C735AE" w14:textId="77777777" w:rsidR="003A5798" w:rsidRPr="00961809" w:rsidRDefault="003A5798" w:rsidP="00961809">
            <w:pPr>
              <w:pStyle w:val="Tabletext"/>
              <w:ind w:left="0"/>
              <w:rPr>
                <w:b/>
              </w:rPr>
            </w:pPr>
            <w:r w:rsidRPr="00961809">
              <w:rPr>
                <w:b/>
              </w:rPr>
              <w:t>Median (range)</w:t>
            </w:r>
          </w:p>
        </w:tc>
        <w:tc>
          <w:tcPr>
            <w:tcW w:w="1559" w:type="dxa"/>
          </w:tcPr>
          <w:p w14:paraId="4A632AFA" w14:textId="77777777" w:rsidR="003A5798" w:rsidRPr="00961809" w:rsidRDefault="003A5798" w:rsidP="00961809">
            <w:pPr>
              <w:pStyle w:val="Tabletext"/>
              <w:ind w:left="0"/>
              <w:rPr>
                <w:b/>
              </w:rPr>
            </w:pPr>
            <w:r w:rsidRPr="00961809">
              <w:rPr>
                <w:b/>
              </w:rPr>
              <w:t>Difference</w:t>
            </w:r>
          </w:p>
          <w:p w14:paraId="59749FB2" w14:textId="77777777" w:rsidR="002761E6" w:rsidRPr="00961809" w:rsidRDefault="002761E6" w:rsidP="00961809">
            <w:pPr>
              <w:pStyle w:val="Tabletext"/>
              <w:ind w:left="0"/>
              <w:rPr>
                <w:b/>
              </w:rPr>
            </w:pPr>
            <w:r w:rsidRPr="00961809">
              <w:rPr>
                <w:b/>
              </w:rPr>
              <w:t>P value</w:t>
            </w:r>
          </w:p>
        </w:tc>
      </w:tr>
      <w:tr w:rsidR="003A5798" w:rsidRPr="00312E36" w14:paraId="0EFEC989" w14:textId="77777777" w:rsidTr="00CE033C">
        <w:trPr>
          <w:trHeight w:val="451"/>
        </w:trPr>
        <w:tc>
          <w:tcPr>
            <w:tcW w:w="1121" w:type="dxa"/>
            <w:vMerge w:val="restart"/>
          </w:tcPr>
          <w:p w14:paraId="4F95718A" w14:textId="77777777" w:rsidR="003A5798" w:rsidRDefault="003A5798" w:rsidP="00447C83">
            <w:pPr>
              <w:pStyle w:val="TableText0"/>
              <w:ind w:left="0"/>
            </w:pPr>
            <w:r>
              <w:t xml:space="preserve">Cheng </w:t>
            </w:r>
            <w:r w:rsidR="00EF4214">
              <w:t xml:space="preserve">et al, </w:t>
            </w:r>
            <w:r>
              <w:t>2016</w:t>
            </w:r>
          </w:p>
        </w:tc>
        <w:tc>
          <w:tcPr>
            <w:tcW w:w="1568" w:type="dxa"/>
            <w:vMerge w:val="restart"/>
          </w:tcPr>
          <w:p w14:paraId="3331A42F" w14:textId="77777777" w:rsidR="003A5798" w:rsidRDefault="003A5798" w:rsidP="00447C83">
            <w:pPr>
              <w:pStyle w:val="TableText0"/>
              <w:ind w:left="0"/>
            </w:pPr>
            <w:r>
              <w:t>First event ABS</w:t>
            </w:r>
          </w:p>
          <w:p w14:paraId="12746BE1" w14:textId="77777777" w:rsidR="00410271" w:rsidRDefault="00410271" w:rsidP="00447C83">
            <w:pPr>
              <w:pStyle w:val="TableText0"/>
              <w:ind w:left="0"/>
            </w:pPr>
            <w:r>
              <w:t>N=31</w:t>
            </w:r>
          </w:p>
        </w:tc>
        <w:tc>
          <w:tcPr>
            <w:tcW w:w="2268" w:type="dxa"/>
          </w:tcPr>
          <w:p w14:paraId="175B512F" w14:textId="77777777" w:rsidR="003A5798" w:rsidRDefault="003A5798" w:rsidP="00447C83">
            <w:pPr>
              <w:pStyle w:val="TableText0"/>
              <w:ind w:left="0"/>
            </w:pPr>
            <w:r>
              <w:t>Baseline</w:t>
            </w:r>
            <w:r w:rsidR="00F4022E">
              <w:t xml:space="preserve"> median (range)</w:t>
            </w:r>
            <w:r>
              <w:t xml:space="preserve">: </w:t>
            </w:r>
            <w:r w:rsidR="00F4022E">
              <w:br/>
            </w:r>
            <w:r>
              <w:t xml:space="preserve">3 </w:t>
            </w:r>
            <w:r w:rsidRPr="00312E36">
              <w:t>(2-4)</w:t>
            </w:r>
          </w:p>
        </w:tc>
        <w:tc>
          <w:tcPr>
            <w:tcW w:w="2268" w:type="dxa"/>
          </w:tcPr>
          <w:p w14:paraId="254645A1" w14:textId="77777777" w:rsidR="003A5798" w:rsidRDefault="003A5798" w:rsidP="00447C83">
            <w:pPr>
              <w:pStyle w:val="TableText0"/>
              <w:ind w:left="0"/>
            </w:pPr>
            <w:r>
              <w:t>Baseline</w:t>
            </w:r>
            <w:r w:rsidR="00F4022E">
              <w:t xml:space="preserve"> median (range)</w:t>
            </w:r>
            <w:r>
              <w:t xml:space="preserve">: </w:t>
            </w:r>
            <w:r w:rsidR="00F4022E">
              <w:br/>
            </w:r>
            <w:r>
              <w:t>3 (2-3)</w:t>
            </w:r>
          </w:p>
        </w:tc>
        <w:tc>
          <w:tcPr>
            <w:tcW w:w="1559" w:type="dxa"/>
          </w:tcPr>
          <w:p w14:paraId="13E9E4E4" w14:textId="77777777" w:rsidR="003A5798" w:rsidRDefault="003A5798" w:rsidP="00447C83">
            <w:pPr>
              <w:pStyle w:val="TableText0"/>
              <w:ind w:left="0"/>
            </w:pPr>
            <w:r>
              <w:t>0.141</w:t>
            </w:r>
          </w:p>
        </w:tc>
      </w:tr>
      <w:tr w:rsidR="003A5798" w:rsidRPr="00312E36" w14:paraId="693881BE" w14:textId="77777777" w:rsidTr="00CE033C">
        <w:trPr>
          <w:trHeight w:val="543"/>
        </w:trPr>
        <w:tc>
          <w:tcPr>
            <w:tcW w:w="1121" w:type="dxa"/>
            <w:vMerge/>
          </w:tcPr>
          <w:p w14:paraId="5F8643EA" w14:textId="77777777" w:rsidR="003A5798" w:rsidRDefault="003A5798" w:rsidP="00447C83">
            <w:pPr>
              <w:pStyle w:val="TableText0"/>
              <w:ind w:left="0"/>
            </w:pPr>
          </w:p>
        </w:tc>
        <w:tc>
          <w:tcPr>
            <w:tcW w:w="1568" w:type="dxa"/>
            <w:vMerge/>
          </w:tcPr>
          <w:p w14:paraId="3CE85C39" w14:textId="77777777" w:rsidR="003A5798" w:rsidRDefault="003A5798" w:rsidP="00447C83">
            <w:pPr>
              <w:pStyle w:val="TableText0"/>
              <w:ind w:left="0"/>
            </w:pPr>
          </w:p>
        </w:tc>
        <w:tc>
          <w:tcPr>
            <w:tcW w:w="2268" w:type="dxa"/>
          </w:tcPr>
          <w:p w14:paraId="3926C5FB" w14:textId="77777777" w:rsidR="003A5798" w:rsidRDefault="003A5798" w:rsidP="00447C83">
            <w:pPr>
              <w:pStyle w:val="TableText0"/>
              <w:ind w:left="0"/>
            </w:pPr>
            <w:r>
              <w:t>Follow-up</w:t>
            </w:r>
            <w:r w:rsidR="00F4022E">
              <w:t xml:space="preserve"> median (range)</w:t>
            </w:r>
            <w:r>
              <w:t>:</w:t>
            </w:r>
            <w:r w:rsidR="00F4022E">
              <w:br/>
            </w:r>
            <w:r>
              <w:t>5 (3-7)</w:t>
            </w:r>
          </w:p>
        </w:tc>
        <w:tc>
          <w:tcPr>
            <w:tcW w:w="2268" w:type="dxa"/>
          </w:tcPr>
          <w:p w14:paraId="1F860EC5" w14:textId="77777777" w:rsidR="003A5798" w:rsidRDefault="003A5798" w:rsidP="00447C83">
            <w:pPr>
              <w:pStyle w:val="TableText0"/>
              <w:ind w:left="0"/>
            </w:pPr>
            <w:r>
              <w:t>Follow-up</w:t>
            </w:r>
            <w:r w:rsidR="00F4022E">
              <w:t xml:space="preserve"> median (range)</w:t>
            </w:r>
            <w:r>
              <w:t>:</w:t>
            </w:r>
            <w:r w:rsidR="00F4022E">
              <w:br/>
            </w:r>
            <w:r>
              <w:t>2.5 (1.5-7)</w:t>
            </w:r>
          </w:p>
        </w:tc>
        <w:tc>
          <w:tcPr>
            <w:tcW w:w="1559" w:type="dxa"/>
          </w:tcPr>
          <w:p w14:paraId="74F15436" w14:textId="77777777" w:rsidR="003A5798" w:rsidRDefault="003A5798" w:rsidP="00447C83">
            <w:pPr>
              <w:pStyle w:val="TableText0"/>
              <w:ind w:left="0"/>
            </w:pPr>
            <w:r>
              <w:t>&lt;0.001</w:t>
            </w:r>
          </w:p>
        </w:tc>
      </w:tr>
      <w:tr w:rsidR="003A5798" w:rsidRPr="00312E36" w14:paraId="56600A92" w14:textId="77777777" w:rsidTr="00CE033C">
        <w:trPr>
          <w:trHeight w:val="423"/>
        </w:trPr>
        <w:tc>
          <w:tcPr>
            <w:tcW w:w="1121" w:type="dxa"/>
            <w:vMerge w:val="restart"/>
          </w:tcPr>
          <w:p w14:paraId="37D6460B" w14:textId="77777777" w:rsidR="003A5798" w:rsidRDefault="000726BB" w:rsidP="00447C83">
            <w:pPr>
              <w:pStyle w:val="TableText0"/>
              <w:ind w:left="0"/>
            </w:pPr>
            <w:r>
              <w:t>Contentti et al 2017</w:t>
            </w:r>
          </w:p>
        </w:tc>
        <w:tc>
          <w:tcPr>
            <w:tcW w:w="1568" w:type="dxa"/>
            <w:vMerge w:val="restart"/>
          </w:tcPr>
          <w:p w14:paraId="3249DCAD" w14:textId="77777777" w:rsidR="00F4022E" w:rsidRDefault="00F4022E" w:rsidP="00447C83">
            <w:pPr>
              <w:pStyle w:val="TableText0"/>
              <w:ind w:left="0"/>
            </w:pPr>
            <w:r>
              <w:t>First presentation LETM</w:t>
            </w:r>
          </w:p>
          <w:p w14:paraId="56A3BA07" w14:textId="77777777" w:rsidR="003A5798" w:rsidRDefault="00F4022E" w:rsidP="00447C83">
            <w:pPr>
              <w:pStyle w:val="TableText0"/>
              <w:ind w:left="0"/>
            </w:pPr>
            <w:r>
              <w:t>N=30</w:t>
            </w:r>
          </w:p>
        </w:tc>
        <w:tc>
          <w:tcPr>
            <w:tcW w:w="2268" w:type="dxa"/>
          </w:tcPr>
          <w:p w14:paraId="62248EEF" w14:textId="77777777" w:rsidR="003A5798" w:rsidRDefault="003A5798" w:rsidP="00447C83">
            <w:pPr>
              <w:pStyle w:val="TableText0"/>
              <w:ind w:left="0"/>
            </w:pPr>
            <w:r>
              <w:t>Baseline</w:t>
            </w:r>
            <w:r w:rsidR="00F4022E">
              <w:t xml:space="preserve"> mean (SD)</w:t>
            </w:r>
            <w:r>
              <w:t xml:space="preserve">: </w:t>
            </w:r>
            <w:r w:rsidR="00F4022E">
              <w:br/>
              <w:t>5.44 (2.08)</w:t>
            </w:r>
          </w:p>
        </w:tc>
        <w:tc>
          <w:tcPr>
            <w:tcW w:w="2268" w:type="dxa"/>
          </w:tcPr>
          <w:p w14:paraId="2F8C5259" w14:textId="77777777" w:rsidR="003A5798" w:rsidRDefault="003A5798" w:rsidP="00447C83">
            <w:pPr>
              <w:pStyle w:val="TableText0"/>
              <w:ind w:left="0"/>
            </w:pPr>
            <w:r>
              <w:t>Baseline</w:t>
            </w:r>
            <w:r w:rsidR="00F4022E">
              <w:t xml:space="preserve"> mean (SD)</w:t>
            </w:r>
            <w:r>
              <w:t xml:space="preserve">: </w:t>
            </w:r>
          </w:p>
          <w:p w14:paraId="353FECE9" w14:textId="77777777" w:rsidR="00F4022E" w:rsidRDefault="00F4022E" w:rsidP="00447C83">
            <w:pPr>
              <w:pStyle w:val="TableText0"/>
              <w:ind w:left="0"/>
            </w:pPr>
            <w:r>
              <w:t>4.90 (2.10)</w:t>
            </w:r>
          </w:p>
        </w:tc>
        <w:tc>
          <w:tcPr>
            <w:tcW w:w="1559" w:type="dxa"/>
          </w:tcPr>
          <w:p w14:paraId="7070728B" w14:textId="77777777" w:rsidR="003A5798" w:rsidRDefault="00F4022E" w:rsidP="00447C83">
            <w:pPr>
              <w:pStyle w:val="TableText0"/>
              <w:ind w:left="0"/>
            </w:pPr>
            <w:r>
              <w:t>NR</w:t>
            </w:r>
          </w:p>
          <w:p w14:paraId="24E73EC6" w14:textId="77777777" w:rsidR="002761E6" w:rsidRDefault="002761E6" w:rsidP="00447C83">
            <w:pPr>
              <w:pStyle w:val="TableText0"/>
              <w:ind w:left="0"/>
            </w:pPr>
            <w:r>
              <w:t>(MedCalc: 0.52)</w:t>
            </w:r>
          </w:p>
        </w:tc>
      </w:tr>
      <w:tr w:rsidR="003A5798" w:rsidRPr="00312E36" w14:paraId="0CD13C04" w14:textId="77777777" w:rsidTr="00CE033C">
        <w:trPr>
          <w:trHeight w:val="473"/>
        </w:trPr>
        <w:tc>
          <w:tcPr>
            <w:tcW w:w="1121" w:type="dxa"/>
            <w:vMerge/>
          </w:tcPr>
          <w:p w14:paraId="3D82584F" w14:textId="77777777" w:rsidR="003A5798" w:rsidRDefault="003A5798" w:rsidP="00447C83">
            <w:pPr>
              <w:pStyle w:val="TableText0"/>
              <w:ind w:left="0"/>
            </w:pPr>
          </w:p>
        </w:tc>
        <w:tc>
          <w:tcPr>
            <w:tcW w:w="1568" w:type="dxa"/>
            <w:vMerge/>
          </w:tcPr>
          <w:p w14:paraId="4C829D4C" w14:textId="77777777" w:rsidR="003A5798" w:rsidRDefault="003A5798" w:rsidP="00447C83">
            <w:pPr>
              <w:pStyle w:val="TableText0"/>
              <w:ind w:left="0"/>
            </w:pPr>
          </w:p>
        </w:tc>
        <w:tc>
          <w:tcPr>
            <w:tcW w:w="2268" w:type="dxa"/>
          </w:tcPr>
          <w:p w14:paraId="49D95B34" w14:textId="77777777" w:rsidR="003A5798" w:rsidRDefault="003A5798" w:rsidP="00447C83">
            <w:pPr>
              <w:pStyle w:val="TableText0"/>
              <w:ind w:left="0"/>
            </w:pPr>
            <w:r>
              <w:t xml:space="preserve">Follow-up: </w:t>
            </w:r>
            <w:r w:rsidR="00F4022E">
              <w:br/>
            </w:r>
            <w:r w:rsidR="00081E37">
              <w:t>NR</w:t>
            </w:r>
          </w:p>
        </w:tc>
        <w:tc>
          <w:tcPr>
            <w:tcW w:w="2268" w:type="dxa"/>
          </w:tcPr>
          <w:p w14:paraId="328CB7A1" w14:textId="77777777" w:rsidR="003A5798" w:rsidRDefault="002761E6" w:rsidP="00447C83">
            <w:pPr>
              <w:pStyle w:val="TableText0"/>
              <w:ind w:left="0"/>
            </w:pPr>
            <w:r>
              <w:t>Follow-up</w:t>
            </w:r>
            <w:r w:rsidR="003A5798">
              <w:t>:</w:t>
            </w:r>
            <w:r w:rsidR="00F4022E">
              <w:br/>
            </w:r>
            <w:r w:rsidR="00081E37">
              <w:t>NR</w:t>
            </w:r>
          </w:p>
        </w:tc>
        <w:tc>
          <w:tcPr>
            <w:tcW w:w="1559" w:type="dxa"/>
          </w:tcPr>
          <w:p w14:paraId="5B6D57E1" w14:textId="77777777" w:rsidR="003A5798" w:rsidRDefault="00F4022E" w:rsidP="00447C83">
            <w:pPr>
              <w:pStyle w:val="TableText0"/>
              <w:ind w:left="0"/>
            </w:pPr>
            <w:r>
              <w:t>No significant difference</w:t>
            </w:r>
          </w:p>
        </w:tc>
      </w:tr>
    </w:tbl>
    <w:p w14:paraId="51F820CC" w14:textId="77777777" w:rsidR="006F10AE" w:rsidRDefault="006F10AE" w:rsidP="006F10AE">
      <w:pPr>
        <w:pStyle w:val="Tablenotes0"/>
      </w:pPr>
      <w:r>
        <w:t xml:space="preserve">ABS = acute brainstem syndrome; AQP4-Ab = aquaporin 4 antibodies; EDSS = expanded disability status scale; LETM = longitudinally extensive transverse myelitis; NR = not reported; </w:t>
      </w:r>
      <w:r w:rsidR="000002A3">
        <w:t>SD = standard deviation</w:t>
      </w:r>
    </w:p>
    <w:p w14:paraId="370F068E" w14:textId="77777777" w:rsidR="00C751AE" w:rsidRDefault="006F10AE" w:rsidP="005D5C83">
      <w:pPr>
        <w:pStyle w:val="Tablenotes0"/>
      </w:pPr>
      <w:r>
        <w:rPr>
          <w:vertAlign w:val="superscript"/>
        </w:rPr>
        <w:t xml:space="preserve">a </w:t>
      </w:r>
      <w:r>
        <w:t xml:space="preserve">The </w:t>
      </w:r>
      <w:r w:rsidR="005D5C83">
        <w:t xml:space="preserve">Kurtz </w:t>
      </w:r>
      <w:r>
        <w:t>EDSS</w:t>
      </w:r>
      <w:r w:rsidR="005D5C83">
        <w:t xml:space="preserve"> </w:t>
      </w:r>
      <w:r w:rsidR="00156621">
        <w:fldChar w:fldCharType="begin"/>
      </w:r>
      <w:r w:rsidR="00156621">
        <w:instrText xml:space="preserve"> ADDIN EN.CITE &lt;EndNote&gt;&lt;Cite&gt;&lt;Author&gt;Kurtzke JF&lt;/Author&gt;&lt;Year&gt;1983&lt;/Year&gt;&lt;RecNum&gt;62&lt;/RecNum&gt;&lt;DisplayText&gt;(Kurtzke JF 1983)&lt;/DisplayText&gt;&lt;record&gt;&lt;rec-number&gt;62&lt;/rec-number&gt;&lt;foreign-keys&gt;&lt;key app="EN" db-id="r25zptaswpdzade29ws5pf9gx55ztppatt20" timestamp="1579673357"&gt;62&lt;/key&gt;&lt;key app="ENWeb" db-id=""&gt;0&lt;/key&gt;&lt;/foreign-keys&gt;&lt;ref-type name="Journal Article"&gt;17&lt;/ref-type&gt;&lt;contributors&gt;&lt;authors&gt;&lt;author&gt;Kurtzke JF, &lt;/author&gt;&lt;/authors&gt;&lt;/contributors&gt;&lt;titles&gt;&lt;title&gt;Rating neurologic impairment in multiple sclerosis: An expanded disability status scale (EDSS)&lt;/title&gt;&lt;secondary-title&gt;Neyrology&lt;/secondary-title&gt;&lt;/titles&gt;&lt;periodical&gt;&lt;full-title&gt;Neyrology&lt;/full-title&gt;&lt;/periodical&gt;&lt;pages&gt;1444-52&lt;/pages&gt;&lt;volume&gt;33&lt;/volume&gt;&lt;dates&gt;&lt;year&gt;1983&lt;/year&gt;&lt;/dates&gt;&lt;urls&gt;&lt;/urls&gt;&lt;/record&gt;&lt;/Cite&gt;&lt;/EndNote&gt;</w:instrText>
      </w:r>
      <w:r w:rsidR="00156621">
        <w:fldChar w:fldCharType="separate"/>
      </w:r>
      <w:r w:rsidR="00156621">
        <w:rPr>
          <w:noProof/>
        </w:rPr>
        <w:t>(Kurtzke JF 1983)</w:t>
      </w:r>
      <w:r w:rsidR="00156621">
        <w:fldChar w:fldCharType="end"/>
      </w:r>
    </w:p>
    <w:p w14:paraId="567B4442" w14:textId="77777777" w:rsidR="0000200C" w:rsidRPr="00DB4969" w:rsidRDefault="0000200C" w:rsidP="00143DE1">
      <w:pPr>
        <w:pStyle w:val="Tablenotes0"/>
      </w:pPr>
    </w:p>
    <w:p w14:paraId="51F68D8A" w14:textId="77777777" w:rsidR="00C425AF" w:rsidRDefault="00C425AF" w:rsidP="004F3DB6">
      <w:pPr>
        <w:pStyle w:val="Heading3"/>
      </w:pPr>
      <w:bookmarkStart w:id="262" w:name="_Toc39588319"/>
      <w:r w:rsidRPr="00370DAA">
        <w:t>MOG-Ab</w:t>
      </w:r>
      <w:r w:rsidR="0000200C">
        <w:t xml:space="preserve"> seropositive compared with seronegative</w:t>
      </w:r>
      <w:r w:rsidR="004F3DB6">
        <w:t xml:space="preserve"> patients</w:t>
      </w:r>
      <w:r w:rsidR="00E63A5D">
        <w:t xml:space="preserve"> suspected of NMOSD</w:t>
      </w:r>
      <w:bookmarkEnd w:id="262"/>
    </w:p>
    <w:p w14:paraId="7AA0C0BE" w14:textId="1FC15ADA" w:rsidR="00DC7697" w:rsidRPr="00DC7697" w:rsidRDefault="00DC7697" w:rsidP="00DC7697">
      <w:r>
        <w:t>Prognostic data w</w:t>
      </w:r>
      <w:r w:rsidR="008F2AFA">
        <w:t>ere</w:t>
      </w:r>
      <w:r>
        <w:t xml:space="preserve"> extracted from a total of three retrospective case series with baseline and follow-up data on patients tested for MOG-Ab </w:t>
      </w:r>
      <w:r w:rsidR="00156621">
        <w:fldChar w:fldCharType="begin">
          <w:fldData xml:space="preserve">PEVuZE5vdGU+PENpdGU+PEF1dGhvcj5Db2JvLUNhbHZvPC9BdXRob3I+PFllYXI+MjAxNjwvWWVh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</w:fldData>
        </w:fldChar>
      </w:r>
      <w:r w:rsidR="00D96694">
        <w:instrText xml:space="preserve"> ADDIN EN.CITE </w:instrText>
      </w:r>
      <w:r w:rsidR="00D96694">
        <w:fldChar w:fldCharType="begin">
          <w:fldData xml:space="preserve">PEVuZE5vdGU+PENpdGU+PEF1dGhvcj5Db2JvLUNhbHZvPC9BdXRob3I+PFllYXI+MjAxNjwvWWVh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</w:fldData>
        </w:fldChar>
      </w:r>
      <w:r w:rsidR="00D96694">
        <w:instrText xml:space="preserve"> ADDIN EN.CITE.DATA </w:instrText>
      </w:r>
      <w:r w:rsidR="00D96694">
        <w:fldChar w:fldCharType="end"/>
      </w:r>
      <w:r w:rsidR="00156621">
        <w:fldChar w:fldCharType="separate"/>
      </w:r>
      <w:r w:rsidR="00156621">
        <w:rPr>
          <w:noProof/>
        </w:rPr>
        <w:t>(Cobo-Calvo et al. 2016; Liu et al. 2019; Matsuda et al. 2015)</w:t>
      </w:r>
      <w:r w:rsidR="00156621">
        <w:fldChar w:fldCharType="end"/>
      </w:r>
      <w:r>
        <w:t xml:space="preserve">. Other studies were identified that reported data on MOG-Ab positive and negative patients but they did not meet the criteria for inclusion in this section because they did not compare outcomes </w:t>
      </w:r>
      <w:r w:rsidR="00160289">
        <w:t>between sero</w:t>
      </w:r>
      <w:r>
        <w:t xml:space="preserve">positive and </w:t>
      </w:r>
      <w:r w:rsidR="00160289">
        <w:t xml:space="preserve">seronegative </w:t>
      </w:r>
      <w:r>
        <w:t>patients at risk of NMOSD.</w:t>
      </w:r>
    </w:p>
    <w:p w14:paraId="040F4285" w14:textId="77777777" w:rsidR="00EC4741" w:rsidRDefault="00EC4741" w:rsidP="0091323E">
      <w:pPr>
        <w:pStyle w:val="Heading4"/>
      </w:pPr>
      <w:r>
        <w:t>Visual impairment</w:t>
      </w:r>
    </w:p>
    <w:p w14:paraId="5877A7C8" w14:textId="38770E79" w:rsidR="004B0006" w:rsidRPr="004B0006" w:rsidRDefault="00194D95" w:rsidP="004B0006">
      <w:r>
        <w:t xml:space="preserve">The retrospective case series by Matsuda et al </w:t>
      </w:r>
      <w:r w:rsidR="00156621">
        <w:fldChar w:fldCharType="begin">
          <w:fldData xml:space="preserve">PEVuZE5vdGU+PENpdGU+PEF1dGhvcj5NYXRzdWRhPC9BdXRob3I+PFllYXI+MjAxNTwvWWVhcj48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</w:fldData>
        </w:fldChar>
      </w:r>
      <w:r w:rsidR="00AC01FD">
        <w:instrText xml:space="preserve"> ADDIN EN.CITE </w:instrText>
      </w:r>
      <w:r w:rsidR="00AC01FD">
        <w:fldChar w:fldCharType="begin">
          <w:fldData xml:space="preserve">PEVuZE5vdGU+PENpdGU+PEF1dGhvcj5NYXRzdWRhPC9BdXRob3I+PFllYXI+MjAxNTwvWWVhcj48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</w:fldData>
        </w:fldChar>
      </w:r>
      <w:r w:rsidR="00AC01FD">
        <w:instrText xml:space="preserve"> ADDIN EN.CITE.DATA </w:instrText>
      </w:r>
      <w:r w:rsidR="00AC01FD">
        <w:fldChar w:fldCharType="end"/>
      </w:r>
      <w:r w:rsidR="00156621">
        <w:fldChar w:fldCharType="separate"/>
      </w:r>
      <w:r w:rsidR="00156621">
        <w:rPr>
          <w:noProof/>
        </w:rPr>
        <w:t>(2015)</w:t>
      </w:r>
      <w:r w:rsidR="00156621">
        <w:fldChar w:fldCharType="end"/>
      </w:r>
      <w:r>
        <w:t xml:space="preserve"> compared the VA improvement and</w:t>
      </w:r>
      <w:r w:rsidR="001609F3">
        <w:t xml:space="preserve"> residual</w:t>
      </w:r>
      <w:r>
        <w:t xml:space="preserve"> visual field deficit between MOG-Ab positive and negative patients after a mean follow-up period of</w:t>
      </w:r>
      <w:r w:rsidRPr="00194D95">
        <w:t xml:space="preserve"> </w:t>
      </w:r>
      <w:r>
        <w:t>2.8</w:t>
      </w:r>
      <w:r w:rsidR="00F67D8E">
        <w:t xml:space="preserve"> </w:t>
      </w:r>
      <w:r>
        <w:t>±</w:t>
      </w:r>
      <w:r w:rsidR="00F67D8E">
        <w:t xml:space="preserve"> </w:t>
      </w:r>
      <w:r>
        <w:t>1.1 years. Of the population of 70 ON patients, 18 were found to be MOG-Ab positive. Visual field was measure</w:t>
      </w:r>
      <w:r w:rsidR="001609F3">
        <w:t>d</w:t>
      </w:r>
      <w:r>
        <w:t xml:space="preserve"> </w:t>
      </w:r>
      <w:r w:rsidR="001609F3">
        <w:t>using the Goldmann kinetic perimeter method</w:t>
      </w:r>
      <w:r w:rsidR="001609F3">
        <w:rPr>
          <w:rStyle w:val="FootnoteReference"/>
        </w:rPr>
        <w:footnoteReference w:id="10"/>
      </w:r>
      <w:r w:rsidR="00160289">
        <w:t xml:space="preserve"> at follow-up.</w:t>
      </w:r>
      <w:r w:rsidR="001609F3">
        <w:t xml:space="preserve"> </w:t>
      </w:r>
      <w:r w:rsidR="00160289">
        <w:t>R</w:t>
      </w:r>
      <w:r w:rsidR="001609F3">
        <w:t xml:space="preserve">esidual visual field </w:t>
      </w:r>
      <w:r w:rsidR="001609F3">
        <w:lastRenderedPageBreak/>
        <w:t xml:space="preserve">deficit was defined as the presence of any </w:t>
      </w:r>
      <w:r w:rsidR="007D7D94">
        <w:t xml:space="preserve">remaining </w:t>
      </w:r>
      <w:r w:rsidR="001609F3">
        <w:t xml:space="preserve">deficits </w:t>
      </w:r>
      <w:r w:rsidR="007D7D94">
        <w:t xml:space="preserve">at follow-up that were </w:t>
      </w:r>
      <w:r w:rsidR="001609F3">
        <w:t xml:space="preserve">observed at disease onset. </w:t>
      </w:r>
      <w:r>
        <w:t xml:space="preserve">VA improvement was found to be similar between MOG-Ab positive and negative groups. In contrast there was a statistically significant difference in visual field deficit remaining between the groups, which was worse in the MOG-Ab positive patients (p = 0.0015). Results are found in </w:t>
      </w:r>
      <w:r>
        <w:fldChar w:fldCharType="begin"/>
      </w:r>
      <w:r>
        <w:instrText xml:space="preserve"> REF _Ref30674901 \h </w:instrText>
      </w:r>
      <w:r>
        <w:fldChar w:fldCharType="separate"/>
      </w:r>
      <w:r w:rsidR="00534FEC">
        <w:t xml:space="preserve">Table </w:t>
      </w:r>
      <w:r w:rsidR="00534FEC">
        <w:rPr>
          <w:noProof/>
        </w:rPr>
        <w:t>34</w:t>
      </w:r>
      <w:r>
        <w:fldChar w:fldCharType="end"/>
      </w:r>
      <w:r>
        <w:t>.</w:t>
      </w:r>
    </w:p>
    <w:p w14:paraId="016C77BB" w14:textId="65020354" w:rsidR="00EC4741" w:rsidRDefault="00EC4741" w:rsidP="00EC4741">
      <w:pPr>
        <w:pStyle w:val="Caption"/>
      </w:pPr>
      <w:bookmarkStart w:id="263" w:name="_Ref30674901"/>
      <w:bookmarkStart w:id="264" w:name="_Toc39580815"/>
      <w:r>
        <w:t xml:space="preserve">Table </w:t>
      </w:r>
      <w:fldSimple w:instr=" SEQ Table \* ARABIC ">
        <w:r w:rsidR="00FA7BCD">
          <w:rPr>
            <w:noProof/>
          </w:rPr>
          <w:t>34</w:t>
        </w:r>
      </w:fldSimple>
      <w:bookmarkEnd w:id="263"/>
      <w:r>
        <w:tab/>
      </w:r>
      <w:r w:rsidR="00360158">
        <w:t>V</w:t>
      </w:r>
      <w:r>
        <w:t xml:space="preserve">isual acuity </w:t>
      </w:r>
      <w:r w:rsidR="00F13951">
        <w:t>and visual f</w:t>
      </w:r>
      <w:r w:rsidR="00534FEC">
        <w:t>iel</w:t>
      </w:r>
      <w:r w:rsidR="00F13951">
        <w:t>d deficit</w:t>
      </w:r>
      <w:r w:rsidR="00360158">
        <w:t xml:space="preserve"> changes</w:t>
      </w:r>
      <w:bookmarkEnd w:id="264"/>
    </w:p>
    <w:tbl>
      <w:tblPr>
        <w:tblStyle w:val="TableGrid"/>
        <w:tblW w:w="9016" w:type="dxa"/>
        <w:tblLook w:val="04A0" w:firstRow="1" w:lastRow="0" w:firstColumn="1" w:lastColumn="0" w:noHBand="0" w:noVBand="1"/>
        <w:tblCaption w:val="Table 34 Visual acuity and visual field deficit changes"/>
        <w:tblDescription w:val="A comparison of the change in visual acuity and visual fiel deficit between MOG-Ab positive and negative patients suspected of NMOSD."/>
      </w:tblPr>
      <w:tblGrid>
        <w:gridCol w:w="846"/>
        <w:gridCol w:w="1134"/>
        <w:gridCol w:w="1984"/>
        <w:gridCol w:w="1276"/>
        <w:gridCol w:w="1245"/>
        <w:gridCol w:w="1265"/>
        <w:gridCol w:w="1266"/>
      </w:tblGrid>
      <w:tr w:rsidR="00C931CC" w14:paraId="7787DFDF" w14:textId="77777777" w:rsidTr="007D7D94">
        <w:tc>
          <w:tcPr>
            <w:tcW w:w="846" w:type="dxa"/>
          </w:tcPr>
          <w:p w14:paraId="3939ECC4" w14:textId="77777777" w:rsidR="00C931CC" w:rsidRDefault="00C931CC" w:rsidP="00447C83">
            <w:pPr>
              <w:pStyle w:val="TableHeading"/>
              <w:ind w:left="0"/>
            </w:pPr>
            <w:r>
              <w:t>Study</w:t>
            </w:r>
          </w:p>
        </w:tc>
        <w:tc>
          <w:tcPr>
            <w:tcW w:w="1134" w:type="dxa"/>
          </w:tcPr>
          <w:p w14:paraId="7E3CFF01" w14:textId="77777777" w:rsidR="00C931CC" w:rsidRDefault="00C931CC" w:rsidP="00447C83">
            <w:pPr>
              <w:pStyle w:val="TableHeading"/>
              <w:ind w:left="0"/>
            </w:pPr>
            <w:r>
              <w:t>Population</w:t>
            </w:r>
          </w:p>
          <w:p w14:paraId="050FD2EF" w14:textId="77777777" w:rsidR="00C931CC" w:rsidRDefault="00C931CC" w:rsidP="00447C83">
            <w:pPr>
              <w:pStyle w:val="TableHeading"/>
              <w:ind w:left="0"/>
            </w:pPr>
            <w:r>
              <w:t>N tested</w:t>
            </w:r>
          </w:p>
        </w:tc>
        <w:tc>
          <w:tcPr>
            <w:tcW w:w="1984" w:type="dxa"/>
          </w:tcPr>
          <w:p w14:paraId="4B1BE12E" w14:textId="77777777" w:rsidR="00C931CC" w:rsidRDefault="00C931CC" w:rsidP="00447C83">
            <w:pPr>
              <w:pStyle w:val="TableHeading"/>
              <w:ind w:left="0"/>
            </w:pPr>
            <w:r>
              <w:t>Event</w:t>
            </w:r>
          </w:p>
          <w:p w14:paraId="079A910F" w14:textId="77777777" w:rsidR="00C931CC" w:rsidRDefault="00C931CC" w:rsidP="00447C83">
            <w:pPr>
              <w:pStyle w:val="TableHeading"/>
              <w:ind w:left="0"/>
            </w:pPr>
            <w:r>
              <w:t>(follow-up)</w:t>
            </w:r>
          </w:p>
        </w:tc>
        <w:tc>
          <w:tcPr>
            <w:tcW w:w="1276" w:type="dxa"/>
          </w:tcPr>
          <w:p w14:paraId="4FBB9CC7" w14:textId="77777777" w:rsidR="00C931CC" w:rsidRDefault="00C931CC" w:rsidP="00447C83">
            <w:pPr>
              <w:pStyle w:val="TableHeading"/>
              <w:ind w:left="0"/>
            </w:pPr>
            <w:r>
              <w:t>MOG-Ab +ve</w:t>
            </w:r>
          </w:p>
          <w:p w14:paraId="6B7A5E33" w14:textId="77777777" w:rsidR="00C931CC" w:rsidRDefault="00C931CC" w:rsidP="00447C83">
            <w:pPr>
              <w:pStyle w:val="TableHeading"/>
              <w:ind w:left="0"/>
            </w:pPr>
            <w:r>
              <w:t>n/N (%)</w:t>
            </w:r>
          </w:p>
        </w:tc>
        <w:tc>
          <w:tcPr>
            <w:tcW w:w="1245" w:type="dxa"/>
          </w:tcPr>
          <w:p w14:paraId="507CB78C" w14:textId="77777777" w:rsidR="00C931CC" w:rsidRDefault="00C931CC" w:rsidP="00447C83">
            <w:pPr>
              <w:pStyle w:val="TableHeading"/>
              <w:ind w:left="0"/>
            </w:pPr>
            <w:r>
              <w:t>MOG-Ab -ve</w:t>
            </w:r>
          </w:p>
          <w:p w14:paraId="5B9A5AC9" w14:textId="77777777" w:rsidR="00C931CC" w:rsidRDefault="00C931CC" w:rsidP="00447C83">
            <w:pPr>
              <w:pStyle w:val="TableHeading"/>
              <w:ind w:left="0"/>
            </w:pPr>
            <w:r>
              <w:t>n/N (%)</w:t>
            </w:r>
          </w:p>
        </w:tc>
        <w:tc>
          <w:tcPr>
            <w:tcW w:w="1265" w:type="dxa"/>
          </w:tcPr>
          <w:p w14:paraId="4B99C48F" w14:textId="77777777" w:rsidR="00C931CC" w:rsidRDefault="00C931CC" w:rsidP="00447C83">
            <w:pPr>
              <w:pStyle w:val="TableHeading"/>
              <w:ind w:left="0"/>
            </w:pPr>
            <w:r>
              <w:t xml:space="preserve">OR [95%CI] </w:t>
            </w:r>
          </w:p>
          <w:p w14:paraId="65167F3C" w14:textId="77777777" w:rsidR="00C931CC" w:rsidRDefault="00C931CC" w:rsidP="00447C83">
            <w:pPr>
              <w:pStyle w:val="TableHeading"/>
              <w:ind w:left="0"/>
            </w:pPr>
            <w:r>
              <w:t>P-value</w:t>
            </w:r>
            <w:r>
              <w:rPr>
                <w:vertAlign w:val="superscript"/>
              </w:rPr>
              <w:t>a</w:t>
            </w:r>
          </w:p>
        </w:tc>
        <w:tc>
          <w:tcPr>
            <w:tcW w:w="1266" w:type="dxa"/>
          </w:tcPr>
          <w:p w14:paraId="2B1C001B" w14:textId="77777777" w:rsidR="00C931CC" w:rsidRDefault="00C931CC" w:rsidP="00447C83">
            <w:pPr>
              <w:pStyle w:val="TableHeading"/>
              <w:ind w:left="0"/>
            </w:pPr>
            <w:r>
              <w:t>Difference</w:t>
            </w:r>
          </w:p>
          <w:p w14:paraId="6C3CE772" w14:textId="77777777" w:rsidR="00C931CC" w:rsidRPr="00C931CC" w:rsidRDefault="00C931CC" w:rsidP="00447C83">
            <w:pPr>
              <w:pStyle w:val="TableHeading"/>
              <w:ind w:left="0"/>
              <w:rPr>
                <w:vertAlign w:val="superscript"/>
              </w:rPr>
            </w:pPr>
            <w:r>
              <w:t>P value</w:t>
            </w:r>
            <w:r>
              <w:rPr>
                <w:vertAlign w:val="superscript"/>
              </w:rPr>
              <w:t>b</w:t>
            </w:r>
          </w:p>
        </w:tc>
      </w:tr>
      <w:tr w:rsidR="00C931CC" w:rsidRPr="00312E36" w14:paraId="28F7CEA3" w14:textId="77777777" w:rsidTr="007D7D94">
        <w:tc>
          <w:tcPr>
            <w:tcW w:w="846" w:type="dxa"/>
            <w:vMerge w:val="restart"/>
          </w:tcPr>
          <w:p w14:paraId="32A457BD" w14:textId="77777777" w:rsidR="00C931CC" w:rsidRDefault="00C931CC" w:rsidP="00447C83">
            <w:pPr>
              <w:pStyle w:val="TableText0"/>
              <w:ind w:left="0"/>
            </w:pPr>
            <w:r>
              <w:t>Matsuda et al, 2015</w:t>
            </w:r>
          </w:p>
        </w:tc>
        <w:tc>
          <w:tcPr>
            <w:tcW w:w="1134" w:type="dxa"/>
            <w:vMerge w:val="restart"/>
          </w:tcPr>
          <w:p w14:paraId="65C6AC86" w14:textId="77777777" w:rsidR="00C931CC" w:rsidRDefault="00C931CC" w:rsidP="00447C83">
            <w:pPr>
              <w:pStyle w:val="TableText0"/>
              <w:ind w:left="0"/>
            </w:pPr>
            <w:r>
              <w:t>ON</w:t>
            </w:r>
          </w:p>
          <w:p w14:paraId="11D579BB" w14:textId="77777777" w:rsidR="00C931CC" w:rsidRDefault="00C931CC" w:rsidP="00447C83">
            <w:pPr>
              <w:pStyle w:val="TableText0"/>
              <w:ind w:left="0"/>
            </w:pPr>
            <w:r>
              <w:t>N=70</w:t>
            </w:r>
          </w:p>
        </w:tc>
        <w:tc>
          <w:tcPr>
            <w:tcW w:w="1984" w:type="dxa"/>
          </w:tcPr>
          <w:p w14:paraId="45ABC7BC" w14:textId="77777777" w:rsidR="00C931CC" w:rsidRDefault="00C931CC" w:rsidP="00447C83">
            <w:pPr>
              <w:pStyle w:val="TableText0"/>
              <w:ind w:left="0"/>
            </w:pPr>
            <w:r>
              <w:t>VA improvement</w:t>
            </w:r>
          </w:p>
          <w:p w14:paraId="6A1A581A" w14:textId="77777777" w:rsidR="00C931CC" w:rsidRDefault="00C931CC" w:rsidP="00447C83">
            <w:pPr>
              <w:pStyle w:val="TableText0"/>
              <w:ind w:left="0"/>
            </w:pPr>
            <w:r>
              <w:t>(Mean 2.8±1.1 years)</w:t>
            </w:r>
          </w:p>
        </w:tc>
        <w:tc>
          <w:tcPr>
            <w:tcW w:w="1276" w:type="dxa"/>
          </w:tcPr>
          <w:p w14:paraId="0FB2D15D" w14:textId="77777777" w:rsidR="00C931CC" w:rsidRDefault="00C931CC" w:rsidP="00447C83">
            <w:pPr>
              <w:pStyle w:val="TableText0"/>
              <w:ind w:left="0"/>
            </w:pPr>
            <w:r>
              <w:t>16/18 (88.9)</w:t>
            </w:r>
          </w:p>
        </w:tc>
        <w:tc>
          <w:tcPr>
            <w:tcW w:w="1245" w:type="dxa"/>
          </w:tcPr>
          <w:p w14:paraId="5A16902F" w14:textId="77777777" w:rsidR="00C931CC" w:rsidRDefault="00C931CC" w:rsidP="00447C83">
            <w:pPr>
              <w:pStyle w:val="TableText0"/>
              <w:ind w:left="0"/>
            </w:pPr>
            <w:r>
              <w:t>37/52 (71.2)</w:t>
            </w:r>
          </w:p>
        </w:tc>
        <w:tc>
          <w:tcPr>
            <w:tcW w:w="1265" w:type="dxa"/>
          </w:tcPr>
          <w:p w14:paraId="2EA64C24" w14:textId="77777777" w:rsidR="00C931CC" w:rsidRDefault="00C931CC" w:rsidP="00447C83">
            <w:pPr>
              <w:pStyle w:val="TableText0"/>
              <w:ind w:left="0"/>
            </w:pPr>
            <w:r>
              <w:t>3.243</w:t>
            </w:r>
          </w:p>
          <w:p w14:paraId="3CC3DE97" w14:textId="77777777" w:rsidR="00C931CC" w:rsidRDefault="00C931CC" w:rsidP="00447C83">
            <w:pPr>
              <w:pStyle w:val="TableText0"/>
              <w:ind w:left="0"/>
            </w:pPr>
            <w:r>
              <w:t>[0.663,15.868]</w:t>
            </w:r>
          </w:p>
          <w:p w14:paraId="413F14B5" w14:textId="77777777" w:rsidR="00C931CC" w:rsidRDefault="00C931CC" w:rsidP="00447C83">
            <w:pPr>
              <w:pStyle w:val="TableText0"/>
              <w:ind w:left="0"/>
            </w:pPr>
            <w:r>
              <w:t>0.146</w:t>
            </w:r>
          </w:p>
        </w:tc>
        <w:tc>
          <w:tcPr>
            <w:tcW w:w="1266" w:type="dxa"/>
          </w:tcPr>
          <w:p w14:paraId="2C0A3308" w14:textId="77777777" w:rsidR="00C931CC" w:rsidRDefault="00C931CC" w:rsidP="00447C83">
            <w:pPr>
              <w:pStyle w:val="TableText0"/>
              <w:ind w:left="0"/>
            </w:pPr>
            <w:r>
              <w:t>No significant difference</w:t>
            </w:r>
          </w:p>
          <w:p w14:paraId="1E547421" w14:textId="77777777" w:rsidR="00C931CC" w:rsidRDefault="00C931CC" w:rsidP="00447C83">
            <w:pPr>
              <w:pStyle w:val="TableText0"/>
              <w:ind w:left="0"/>
            </w:pPr>
          </w:p>
        </w:tc>
      </w:tr>
      <w:tr w:rsidR="00C931CC" w:rsidRPr="00312E36" w14:paraId="665F302D" w14:textId="77777777" w:rsidTr="007D7D94">
        <w:tc>
          <w:tcPr>
            <w:tcW w:w="846" w:type="dxa"/>
            <w:vMerge/>
          </w:tcPr>
          <w:p w14:paraId="45BF02FB" w14:textId="77777777" w:rsidR="00C931CC" w:rsidRDefault="00C931CC" w:rsidP="00447C83">
            <w:pPr>
              <w:pStyle w:val="TableText0"/>
              <w:ind w:left="0"/>
            </w:pPr>
          </w:p>
        </w:tc>
        <w:tc>
          <w:tcPr>
            <w:tcW w:w="1134" w:type="dxa"/>
            <w:vMerge/>
          </w:tcPr>
          <w:p w14:paraId="4BE220C3" w14:textId="77777777" w:rsidR="00C931CC" w:rsidRDefault="00C931CC" w:rsidP="00447C83">
            <w:pPr>
              <w:pStyle w:val="TableText0"/>
              <w:ind w:left="0"/>
            </w:pPr>
          </w:p>
        </w:tc>
        <w:tc>
          <w:tcPr>
            <w:tcW w:w="1984" w:type="dxa"/>
          </w:tcPr>
          <w:p w14:paraId="3D0FC0EA" w14:textId="77777777" w:rsidR="00C931CC" w:rsidRDefault="00C931CC" w:rsidP="00447C83">
            <w:pPr>
              <w:pStyle w:val="TableText0"/>
              <w:ind w:left="0"/>
            </w:pPr>
            <w:r>
              <w:t xml:space="preserve">Residual visual field deficit </w:t>
            </w:r>
          </w:p>
          <w:p w14:paraId="2068B650" w14:textId="77777777" w:rsidR="00C931CC" w:rsidRDefault="00C931CC" w:rsidP="00447C83">
            <w:pPr>
              <w:pStyle w:val="TableText0"/>
              <w:ind w:left="0"/>
            </w:pPr>
            <w:r>
              <w:t>(Mean 2.8±1.1 years)</w:t>
            </w:r>
          </w:p>
        </w:tc>
        <w:tc>
          <w:tcPr>
            <w:tcW w:w="1276" w:type="dxa"/>
          </w:tcPr>
          <w:p w14:paraId="6C26E4B7" w14:textId="77777777" w:rsidR="00C931CC" w:rsidRDefault="00C931CC" w:rsidP="00447C83">
            <w:pPr>
              <w:pStyle w:val="TableText0"/>
              <w:ind w:left="0"/>
            </w:pPr>
            <w:r>
              <w:t>14/18 (77.8)</w:t>
            </w:r>
          </w:p>
        </w:tc>
        <w:tc>
          <w:tcPr>
            <w:tcW w:w="1245" w:type="dxa"/>
          </w:tcPr>
          <w:p w14:paraId="2B212F87" w14:textId="77777777" w:rsidR="00C931CC" w:rsidRDefault="00C931CC" w:rsidP="00447C83">
            <w:pPr>
              <w:pStyle w:val="TableText0"/>
              <w:ind w:left="0"/>
            </w:pPr>
            <w:r>
              <w:t>16/52 (30.8)</w:t>
            </w:r>
          </w:p>
        </w:tc>
        <w:tc>
          <w:tcPr>
            <w:tcW w:w="1265" w:type="dxa"/>
          </w:tcPr>
          <w:p w14:paraId="33290903" w14:textId="77777777" w:rsidR="00C931CC" w:rsidRDefault="00C931CC" w:rsidP="00447C83">
            <w:pPr>
              <w:pStyle w:val="TableText0"/>
              <w:ind w:left="0"/>
            </w:pPr>
            <w:r>
              <w:t>7.875</w:t>
            </w:r>
          </w:p>
          <w:p w14:paraId="484B900E" w14:textId="77777777" w:rsidR="00C931CC" w:rsidRDefault="00C931CC" w:rsidP="00447C83">
            <w:pPr>
              <w:pStyle w:val="TableText0"/>
              <w:ind w:left="0"/>
            </w:pPr>
            <w:r>
              <w:t>[2.239,27.697]</w:t>
            </w:r>
          </w:p>
          <w:p w14:paraId="15E24C5E" w14:textId="77777777" w:rsidR="00C931CC" w:rsidRDefault="00C931CC" w:rsidP="00447C83">
            <w:pPr>
              <w:pStyle w:val="TableText0"/>
              <w:ind w:left="0"/>
            </w:pPr>
            <w:r>
              <w:t>0.0013</w:t>
            </w:r>
          </w:p>
        </w:tc>
        <w:tc>
          <w:tcPr>
            <w:tcW w:w="1266" w:type="dxa"/>
          </w:tcPr>
          <w:p w14:paraId="25987F7A" w14:textId="77777777" w:rsidR="00C931CC" w:rsidRDefault="00C931CC" w:rsidP="00447C83">
            <w:pPr>
              <w:pStyle w:val="TableText0"/>
              <w:ind w:left="0"/>
            </w:pPr>
            <w:r>
              <w:t>0.0015</w:t>
            </w:r>
          </w:p>
        </w:tc>
      </w:tr>
    </w:tbl>
    <w:p w14:paraId="6CC82BC6" w14:textId="77777777" w:rsidR="00EC4741" w:rsidRDefault="00194D95" w:rsidP="00F13951">
      <w:pPr>
        <w:pStyle w:val="Tablenotes0"/>
      </w:pPr>
      <w:r>
        <w:t xml:space="preserve">MOG-Ab = myelin oligodendrocyte glycoprotein antibodies; ON = optic neuritis; </w:t>
      </w:r>
      <w:r w:rsidR="00B64365">
        <w:t xml:space="preserve">OR = odds ratio; </w:t>
      </w:r>
      <w:r w:rsidR="00F13951">
        <w:t>VA = visual acuity</w:t>
      </w:r>
    </w:p>
    <w:p w14:paraId="56444DAE" w14:textId="77777777" w:rsidR="00C931CC" w:rsidRPr="004034F6" w:rsidRDefault="00C931CC" w:rsidP="00C931CC">
      <w:pPr>
        <w:pStyle w:val="Tablenotes0"/>
        <w:rPr>
          <w:rFonts w:cs="Tahoma"/>
          <w:snapToGrid/>
          <w:sz w:val="20"/>
          <w:szCs w:val="22"/>
          <w:vertAlign w:val="superscript"/>
        </w:rPr>
      </w:pPr>
      <w:r>
        <w:rPr>
          <w:vertAlign w:val="superscript"/>
        </w:rPr>
        <w:t xml:space="preserve">a </w:t>
      </w:r>
      <w:r>
        <w:t>values calculated using MedCalc</w:t>
      </w:r>
    </w:p>
    <w:p w14:paraId="1564E4B4" w14:textId="77777777" w:rsidR="00C931CC" w:rsidRPr="007763C4" w:rsidRDefault="00C931CC" w:rsidP="00C931CC">
      <w:pPr>
        <w:pStyle w:val="Tablenotes0"/>
        <w:spacing w:after="60"/>
      </w:pPr>
      <w:r>
        <w:rPr>
          <w:rFonts w:cs="Tahoma"/>
          <w:snapToGrid/>
          <w:sz w:val="20"/>
          <w:szCs w:val="22"/>
          <w:vertAlign w:val="superscript"/>
        </w:rPr>
        <w:t xml:space="preserve">b </w:t>
      </w:r>
      <w:r w:rsidRPr="003B773A">
        <w:t xml:space="preserve">published P-value </w:t>
      </w:r>
    </w:p>
    <w:p w14:paraId="5AA694B9" w14:textId="77777777" w:rsidR="00C931CC" w:rsidRPr="00EC4741" w:rsidRDefault="00C931CC" w:rsidP="00F13951">
      <w:pPr>
        <w:pStyle w:val="Tablenotes0"/>
      </w:pPr>
    </w:p>
    <w:p w14:paraId="43A4540D" w14:textId="77777777" w:rsidR="0091323E" w:rsidRDefault="00717C73" w:rsidP="0091323E">
      <w:pPr>
        <w:pStyle w:val="Heading4"/>
      </w:pPr>
      <w:r>
        <w:t>Conversion to NMOSD or MS</w:t>
      </w:r>
    </w:p>
    <w:p w14:paraId="12393E35" w14:textId="4D30E12F" w:rsidR="0091323E" w:rsidRDefault="00690D02" w:rsidP="00C425AF">
      <w:r>
        <w:t xml:space="preserve">Two studies reported on the number of patients with initial neurological episodes that went on to be </w:t>
      </w:r>
      <w:r w:rsidR="005657C9">
        <w:t>diagnosed</w:t>
      </w:r>
      <w:r>
        <w:t xml:space="preserve"> with NMOSD</w:t>
      </w:r>
      <w:r w:rsidR="005657C9">
        <w:t xml:space="preserve"> </w:t>
      </w:r>
      <w:r w:rsidR="00156621">
        <w:fldChar w:fldCharType="begin">
          <w:fldData xml:space="preserve">PEVuZE5vdGU+PENpdGU+PEF1dGhvcj5Db2JvLUNhbHZvPC9BdXRob3I+PFllYXI+MjAxNjwvWWVh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</w:fldData>
        </w:fldChar>
      </w:r>
      <w:r w:rsidR="00D96694">
        <w:instrText xml:space="preserve"> ADDIN EN.CITE </w:instrText>
      </w:r>
      <w:r w:rsidR="00D96694">
        <w:fldChar w:fldCharType="begin">
          <w:fldData xml:space="preserve">PEVuZE5vdGU+PENpdGU+PEF1dGhvcj5Db2JvLUNhbHZvPC9BdXRob3I+PFllYXI+MjAxNjwvWWVh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</w:fldData>
        </w:fldChar>
      </w:r>
      <w:r w:rsidR="00D96694">
        <w:instrText xml:space="preserve"> ADDIN EN.CITE.DATA </w:instrText>
      </w:r>
      <w:r w:rsidR="00D96694">
        <w:fldChar w:fldCharType="end"/>
      </w:r>
      <w:r w:rsidR="00156621">
        <w:fldChar w:fldCharType="separate"/>
      </w:r>
      <w:r w:rsidR="00156621">
        <w:rPr>
          <w:noProof/>
        </w:rPr>
        <w:t>(Cobo-Calvo et al. 2016; Liu et al. 2019)</w:t>
      </w:r>
      <w:r w:rsidR="00156621">
        <w:fldChar w:fldCharType="end"/>
      </w:r>
      <w:r>
        <w:t xml:space="preserve">. Cobo-Calvo et al reported NMOSD diagnoses in a population of monophasic LETM patients. Liu et al reported the number of NMOSD diagnoses in patients initially diagnosed with ON, based </w:t>
      </w:r>
      <w:r w:rsidR="00F67D8E">
        <w:t>o</w:t>
      </w:r>
      <w:r>
        <w:t xml:space="preserve">n the ONTT inclusion criteria. </w:t>
      </w:r>
      <w:r w:rsidR="005657C9">
        <w:t>The follow-up period</w:t>
      </w:r>
      <w:r w:rsidR="00F67D8E">
        <w:t>s</w:t>
      </w:r>
      <w:r w:rsidR="005657C9">
        <w:t xml:space="preserve"> were &gt; 1 year and a me</w:t>
      </w:r>
      <w:r w:rsidR="009C2AA7">
        <w:t>di</w:t>
      </w:r>
      <w:r w:rsidR="005657C9">
        <w:t xml:space="preserve">an 42.2 (range 25-79.5) months for the studies. </w:t>
      </w:r>
      <w:r>
        <w:t xml:space="preserve">The trend was for a higher number of NMOSD diagnoses in MOG-Ab positive compared </w:t>
      </w:r>
      <w:r w:rsidR="00407A1B">
        <w:t xml:space="preserve">to </w:t>
      </w:r>
      <w:r>
        <w:t>negative patients</w:t>
      </w:r>
      <w:r w:rsidR="00407A1B">
        <w:t xml:space="preserve"> in</w:t>
      </w:r>
      <w:r>
        <w:t xml:space="preserve"> both study populations, but statistical significance was only reached in the LETM population </w:t>
      </w:r>
      <w:r w:rsidR="005657C9">
        <w:t>(</w:t>
      </w:r>
      <w:r>
        <w:fldChar w:fldCharType="begin"/>
      </w:r>
      <w:r>
        <w:instrText xml:space="preserve"> REF _Ref30676841 \h </w:instrText>
      </w:r>
      <w:r>
        <w:fldChar w:fldCharType="separate"/>
      </w:r>
      <w:r w:rsidR="003B6A2F">
        <w:t xml:space="preserve">Table </w:t>
      </w:r>
      <w:r w:rsidR="003B6A2F">
        <w:rPr>
          <w:noProof/>
        </w:rPr>
        <w:t>35</w:t>
      </w:r>
      <w:r>
        <w:fldChar w:fldCharType="end"/>
      </w:r>
      <w:r w:rsidR="005657C9">
        <w:t>)</w:t>
      </w:r>
      <w:r>
        <w:t xml:space="preserve">. </w:t>
      </w:r>
    </w:p>
    <w:p w14:paraId="391435AC" w14:textId="081F15F0" w:rsidR="009C2AA7" w:rsidRDefault="009C2AA7" w:rsidP="009C2AA7">
      <w:r>
        <w:t>Cobo-C</w:t>
      </w:r>
      <w:r w:rsidR="00BB1A94">
        <w:t>a</w:t>
      </w:r>
      <w:r>
        <w:t xml:space="preserve">lvo et al </w:t>
      </w:r>
      <w:r w:rsidR="00156621">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 </w:instrText>
      </w:r>
      <w:r w:rsidR="00AC01FD">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EN.CITE.DATA </w:instrText>
      </w:r>
      <w:r w:rsidR="00AC01FD">
        <w:fldChar w:fldCharType="end"/>
      </w:r>
      <w:r w:rsidR="00156621">
        <w:fldChar w:fldCharType="separate"/>
      </w:r>
      <w:r w:rsidR="00174071">
        <w:rPr>
          <w:noProof/>
        </w:rPr>
        <w:t>(</w:t>
      </w:r>
      <w:r w:rsidR="00156621">
        <w:rPr>
          <w:noProof/>
        </w:rPr>
        <w:t>2016)</w:t>
      </w:r>
      <w:r w:rsidR="00156621">
        <w:fldChar w:fldCharType="end"/>
      </w:r>
      <w:r>
        <w:t xml:space="preserve"> also reported the number of MS diagnoses in the study population of 56 monophasic LETM patients. After a median follow-up period of 42 (range 25-79.55) months, only one patient, who was MOG-Ab negative had received a diagnosis of MS. There was no statistical significance in the difference between MOG-Ab positive and negative patients.</w:t>
      </w:r>
    </w:p>
    <w:p w14:paraId="575BC6B9" w14:textId="1A63C49F" w:rsidR="00C425AF" w:rsidRDefault="00C425AF" w:rsidP="00C425AF">
      <w:pPr>
        <w:pStyle w:val="Caption"/>
      </w:pPr>
      <w:bookmarkStart w:id="265" w:name="_Ref30676841"/>
      <w:bookmarkStart w:id="266" w:name="_Toc39580816"/>
      <w:r>
        <w:t xml:space="preserve">Table </w:t>
      </w:r>
      <w:fldSimple w:instr=" SEQ Table \* ARABIC ">
        <w:r w:rsidR="00FA7BCD">
          <w:rPr>
            <w:noProof/>
          </w:rPr>
          <w:t>35</w:t>
        </w:r>
      </w:fldSimple>
      <w:bookmarkEnd w:id="265"/>
      <w:r>
        <w:tab/>
        <w:t>Rate of conversion to NMOSD</w:t>
      </w:r>
      <w:bookmarkEnd w:id="266"/>
      <w:r>
        <w:t xml:space="preserve"> </w:t>
      </w:r>
    </w:p>
    <w:tbl>
      <w:tblPr>
        <w:tblStyle w:val="TableGrid"/>
        <w:tblW w:w="5000" w:type="pct"/>
        <w:tblLook w:val="04A0" w:firstRow="1" w:lastRow="0" w:firstColumn="1" w:lastColumn="0" w:noHBand="0" w:noVBand="1"/>
        <w:tblCaption w:val="Table 35 Rate of conversion to NMOSD "/>
        <w:tblDescription w:val="A comparison of the rate of cases converting to NMOSD between MOG-Ab positive and negative patients suspected of NMSOD"/>
      </w:tblPr>
      <w:tblGrid>
        <w:gridCol w:w="904"/>
        <w:gridCol w:w="1640"/>
        <w:gridCol w:w="1273"/>
        <w:gridCol w:w="1370"/>
        <w:gridCol w:w="1403"/>
        <w:gridCol w:w="1357"/>
        <w:gridCol w:w="1069"/>
      </w:tblGrid>
      <w:tr w:rsidR="00C931CC" w14:paraId="57C76069" w14:textId="77777777" w:rsidTr="00AA40ED">
        <w:tc>
          <w:tcPr>
            <w:tcW w:w="509" w:type="pct"/>
          </w:tcPr>
          <w:p w14:paraId="76E38CBB" w14:textId="77777777" w:rsidR="00C931CC" w:rsidRDefault="00C931CC" w:rsidP="00447C83">
            <w:pPr>
              <w:pStyle w:val="TableHeading"/>
              <w:ind w:left="0"/>
            </w:pPr>
            <w:r>
              <w:t>Study</w:t>
            </w:r>
          </w:p>
        </w:tc>
        <w:tc>
          <w:tcPr>
            <w:tcW w:w="917" w:type="pct"/>
          </w:tcPr>
          <w:p w14:paraId="129AE6DC" w14:textId="77777777" w:rsidR="00C931CC" w:rsidRDefault="00C931CC" w:rsidP="00447C83">
            <w:pPr>
              <w:pStyle w:val="TableHeading"/>
              <w:ind w:left="0"/>
            </w:pPr>
            <w:r>
              <w:t>Population</w:t>
            </w:r>
          </w:p>
          <w:p w14:paraId="5B974263" w14:textId="77777777" w:rsidR="00C931CC" w:rsidRDefault="00C931CC" w:rsidP="00447C83">
            <w:pPr>
              <w:pStyle w:val="TableHeading"/>
              <w:ind w:left="0"/>
            </w:pPr>
            <w:r>
              <w:t>N tested</w:t>
            </w:r>
          </w:p>
        </w:tc>
        <w:tc>
          <w:tcPr>
            <w:tcW w:w="714" w:type="pct"/>
          </w:tcPr>
          <w:p w14:paraId="54DAC035" w14:textId="77777777" w:rsidR="00C931CC" w:rsidRDefault="00C931CC" w:rsidP="00447C83">
            <w:pPr>
              <w:pStyle w:val="TableHeading"/>
              <w:ind w:left="0"/>
            </w:pPr>
            <w:r>
              <w:t>Follow-up period</w:t>
            </w:r>
          </w:p>
        </w:tc>
        <w:tc>
          <w:tcPr>
            <w:tcW w:w="767" w:type="pct"/>
          </w:tcPr>
          <w:p w14:paraId="670C8ED6" w14:textId="77777777" w:rsidR="00C931CC" w:rsidRDefault="00C931CC" w:rsidP="00447C83">
            <w:pPr>
              <w:pStyle w:val="TableHeading"/>
              <w:ind w:left="0"/>
            </w:pPr>
            <w:r>
              <w:t>MOG-Ab +ve</w:t>
            </w:r>
          </w:p>
          <w:p w14:paraId="67D0A2EC" w14:textId="77777777" w:rsidR="00C931CC" w:rsidRDefault="00C931CC" w:rsidP="00447C83">
            <w:pPr>
              <w:pStyle w:val="TableHeading"/>
              <w:ind w:left="0"/>
            </w:pPr>
            <w:r>
              <w:t>n/N (%)</w:t>
            </w:r>
          </w:p>
        </w:tc>
        <w:tc>
          <w:tcPr>
            <w:tcW w:w="785" w:type="pct"/>
          </w:tcPr>
          <w:p w14:paraId="4A072940" w14:textId="77777777" w:rsidR="00C931CC" w:rsidRDefault="00C931CC" w:rsidP="00447C83">
            <w:pPr>
              <w:pStyle w:val="TableHeading"/>
              <w:ind w:left="0"/>
            </w:pPr>
            <w:r>
              <w:t>MOG-Ab -ve</w:t>
            </w:r>
          </w:p>
          <w:p w14:paraId="0FC65D36" w14:textId="77777777" w:rsidR="00C931CC" w:rsidRDefault="00C931CC" w:rsidP="00447C83">
            <w:pPr>
              <w:pStyle w:val="TableHeading"/>
              <w:ind w:left="0"/>
            </w:pPr>
            <w:r>
              <w:t>n/N (%)</w:t>
            </w:r>
          </w:p>
        </w:tc>
        <w:tc>
          <w:tcPr>
            <w:tcW w:w="708" w:type="pct"/>
          </w:tcPr>
          <w:p w14:paraId="47F295BE" w14:textId="77777777" w:rsidR="00447101" w:rsidRDefault="00447101" w:rsidP="00447C83">
            <w:pPr>
              <w:pStyle w:val="TableHeading"/>
              <w:ind w:left="0"/>
            </w:pPr>
            <w:r w:rsidRPr="00447101">
              <w:t xml:space="preserve">OR [95%CI] </w:t>
            </w:r>
          </w:p>
          <w:p w14:paraId="40676B8C" w14:textId="77777777" w:rsidR="00C931CC" w:rsidRDefault="00447101" w:rsidP="00447C83">
            <w:pPr>
              <w:pStyle w:val="TableHeading"/>
              <w:ind w:left="0"/>
            </w:pPr>
            <w:r w:rsidRPr="00447101">
              <w:t>P-value</w:t>
            </w:r>
            <w:r w:rsidRPr="00447101">
              <w:rPr>
                <w:vertAlign w:val="superscript"/>
              </w:rPr>
              <w:t>a</w:t>
            </w:r>
          </w:p>
        </w:tc>
        <w:tc>
          <w:tcPr>
            <w:tcW w:w="600" w:type="pct"/>
          </w:tcPr>
          <w:p w14:paraId="5A95A550" w14:textId="77777777" w:rsidR="00C931CC" w:rsidRDefault="00C931CC" w:rsidP="00447C83">
            <w:pPr>
              <w:pStyle w:val="TableHeading"/>
              <w:ind w:left="0"/>
            </w:pPr>
            <w:r>
              <w:t>Difference</w:t>
            </w:r>
          </w:p>
          <w:p w14:paraId="39F3C488" w14:textId="77777777" w:rsidR="00C931CC" w:rsidRPr="00216AEB" w:rsidRDefault="00C931CC" w:rsidP="00447C83">
            <w:pPr>
              <w:pStyle w:val="TableHeading"/>
              <w:ind w:left="0"/>
              <w:rPr>
                <w:vertAlign w:val="superscript"/>
              </w:rPr>
            </w:pPr>
            <w:r>
              <w:t>P value</w:t>
            </w:r>
            <w:r w:rsidR="00216AEB">
              <w:rPr>
                <w:vertAlign w:val="superscript"/>
              </w:rPr>
              <w:t>b</w:t>
            </w:r>
          </w:p>
        </w:tc>
      </w:tr>
      <w:tr w:rsidR="00C931CC" w:rsidRPr="00312E36" w14:paraId="1AFF7CCB" w14:textId="77777777" w:rsidTr="00AA40ED">
        <w:tc>
          <w:tcPr>
            <w:tcW w:w="509" w:type="pct"/>
          </w:tcPr>
          <w:p w14:paraId="16CA6F2B" w14:textId="77777777" w:rsidR="00C931CC" w:rsidRDefault="00156621" w:rsidP="00447C83">
            <w:pPr>
              <w:pStyle w:val="TableText0"/>
              <w:ind w:left="0"/>
            </w:pPr>
            <w:r>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 </w:instrText>
            </w:r>
            <w:r w:rsidR="00AC01FD">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EN.CITE.DATA </w:instrText>
            </w:r>
            <w:r w:rsidR="00AC01FD">
              <w:fldChar w:fldCharType="end"/>
            </w:r>
            <w:r>
              <w:fldChar w:fldCharType="separate"/>
            </w:r>
            <w:r>
              <w:rPr>
                <w:noProof/>
              </w:rPr>
              <w:t>(Cobo-Calvo et al. 2016)</w:t>
            </w:r>
            <w:r>
              <w:fldChar w:fldCharType="end"/>
            </w:r>
          </w:p>
        </w:tc>
        <w:tc>
          <w:tcPr>
            <w:tcW w:w="917" w:type="pct"/>
          </w:tcPr>
          <w:p w14:paraId="6F1781FC" w14:textId="77777777" w:rsidR="00C931CC" w:rsidRDefault="00C931CC" w:rsidP="00447C83">
            <w:pPr>
              <w:pStyle w:val="TableText0"/>
              <w:ind w:left="0"/>
            </w:pPr>
            <w:r>
              <w:t>Monophasic LETM; AQP4-Ab –ve</w:t>
            </w:r>
          </w:p>
          <w:p w14:paraId="73E297AE" w14:textId="77777777" w:rsidR="00C931CC" w:rsidRDefault="00C931CC" w:rsidP="00447C83">
            <w:pPr>
              <w:pStyle w:val="TableText0"/>
              <w:ind w:left="0"/>
            </w:pPr>
            <w:r>
              <w:t>N=56</w:t>
            </w:r>
          </w:p>
        </w:tc>
        <w:tc>
          <w:tcPr>
            <w:tcW w:w="714" w:type="pct"/>
          </w:tcPr>
          <w:p w14:paraId="56E1E738" w14:textId="77777777" w:rsidR="00C931CC" w:rsidRDefault="00C931CC" w:rsidP="00447C83">
            <w:pPr>
              <w:pStyle w:val="TableText0"/>
              <w:ind w:left="0"/>
            </w:pPr>
            <w:r>
              <w:t>Median 42.2 (25-79.5) months</w:t>
            </w:r>
          </w:p>
        </w:tc>
        <w:tc>
          <w:tcPr>
            <w:tcW w:w="767" w:type="pct"/>
          </w:tcPr>
          <w:p w14:paraId="337036AC" w14:textId="77777777" w:rsidR="00C931CC" w:rsidRDefault="00C931CC" w:rsidP="00447C83">
            <w:pPr>
              <w:pStyle w:val="TableText0"/>
              <w:ind w:left="0"/>
            </w:pPr>
            <w:r>
              <w:t>4/13 (30.8)</w:t>
            </w:r>
          </w:p>
        </w:tc>
        <w:tc>
          <w:tcPr>
            <w:tcW w:w="785" w:type="pct"/>
          </w:tcPr>
          <w:p w14:paraId="72EE2A77" w14:textId="77777777" w:rsidR="00C931CC" w:rsidRDefault="00C931CC" w:rsidP="00447C83">
            <w:pPr>
              <w:pStyle w:val="TableText0"/>
              <w:ind w:left="0"/>
            </w:pPr>
            <w:r>
              <w:t>2/43 (4.7)</w:t>
            </w:r>
          </w:p>
        </w:tc>
        <w:tc>
          <w:tcPr>
            <w:tcW w:w="708" w:type="pct"/>
          </w:tcPr>
          <w:p w14:paraId="35E00A19" w14:textId="77777777" w:rsidR="00C931CC" w:rsidRDefault="00216AEB" w:rsidP="00447C83">
            <w:pPr>
              <w:pStyle w:val="TableText0"/>
              <w:ind w:left="0"/>
            </w:pPr>
            <w:r>
              <w:t>9.111</w:t>
            </w:r>
          </w:p>
          <w:p w14:paraId="6EF02617" w14:textId="77777777" w:rsidR="00216AEB" w:rsidRDefault="00216AEB" w:rsidP="00447C83">
            <w:pPr>
              <w:pStyle w:val="TableText0"/>
              <w:ind w:left="0"/>
            </w:pPr>
            <w:r>
              <w:t>[1.441,57.620]</w:t>
            </w:r>
          </w:p>
          <w:p w14:paraId="0DF2255D" w14:textId="77777777" w:rsidR="00216AEB" w:rsidRDefault="00216AEB" w:rsidP="00447C83">
            <w:pPr>
              <w:pStyle w:val="TableText0"/>
              <w:ind w:left="0"/>
            </w:pPr>
            <w:r>
              <w:t>0.0189</w:t>
            </w:r>
          </w:p>
        </w:tc>
        <w:tc>
          <w:tcPr>
            <w:tcW w:w="600" w:type="pct"/>
          </w:tcPr>
          <w:p w14:paraId="1D900E92" w14:textId="77777777" w:rsidR="00C931CC" w:rsidRDefault="00C931CC" w:rsidP="00447C83">
            <w:pPr>
              <w:pStyle w:val="TableText0"/>
              <w:ind w:left="0"/>
            </w:pPr>
            <w:r>
              <w:t>NR</w:t>
            </w:r>
          </w:p>
          <w:p w14:paraId="3A8BA9D7" w14:textId="77777777" w:rsidR="00C931CC" w:rsidRDefault="00C931CC" w:rsidP="00447C83">
            <w:pPr>
              <w:pStyle w:val="TableText0"/>
              <w:ind w:left="0"/>
            </w:pPr>
          </w:p>
        </w:tc>
      </w:tr>
      <w:tr w:rsidR="00C931CC" w:rsidRPr="00312E36" w14:paraId="1CF54F80" w14:textId="77777777" w:rsidTr="00AA40ED">
        <w:tc>
          <w:tcPr>
            <w:tcW w:w="509" w:type="pct"/>
          </w:tcPr>
          <w:p w14:paraId="5663297F" w14:textId="0B307326" w:rsidR="00C931CC" w:rsidRDefault="00156621" w:rsidP="00447C83">
            <w:pPr>
              <w:pStyle w:val="TableText0"/>
              <w:ind w:left="0"/>
            </w:pPr>
            <w:r>
              <w:fldChar w:fldCharType="begin">
                <w:fldData xml:space="preserve">PEVuZE5vdGU+PENpdGU+PEF1dGhvcj5MaXU8L0F1dGhvcj48WWVhcj4yMDE5PC9ZZWFyPjxSZWNO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</w:fldData>
              </w:fldChar>
            </w:r>
            <w:r w:rsidR="00D96694">
              <w:instrText xml:space="preserve"> ADDIN EN.CITE </w:instrText>
            </w:r>
            <w:r w:rsidR="00D96694">
              <w:fldChar w:fldCharType="begin">
                <w:fldData xml:space="preserve">PEVuZE5vdGU+PENpdGU+PEF1dGhvcj5MaXU8L0F1dGhvcj48WWVhcj4yMDE5PC9ZZWFyPjxSZWNO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</w:fldData>
              </w:fldChar>
            </w:r>
            <w:r w:rsidR="00D96694">
              <w:instrText xml:space="preserve"> ADDIN EN.CITE.DATA </w:instrText>
            </w:r>
            <w:r w:rsidR="00D96694">
              <w:fldChar w:fldCharType="end"/>
            </w:r>
            <w:r>
              <w:fldChar w:fldCharType="separate"/>
            </w:r>
            <w:r>
              <w:rPr>
                <w:noProof/>
              </w:rPr>
              <w:t>(Liu et al. 2019)</w:t>
            </w:r>
            <w:r>
              <w:fldChar w:fldCharType="end"/>
            </w:r>
          </w:p>
        </w:tc>
        <w:tc>
          <w:tcPr>
            <w:tcW w:w="917" w:type="pct"/>
          </w:tcPr>
          <w:p w14:paraId="353BDE5B" w14:textId="77777777" w:rsidR="00C931CC" w:rsidRPr="00690D02" w:rsidRDefault="00C931CC" w:rsidP="00447C83">
            <w:pPr>
              <w:pStyle w:val="TableText0"/>
              <w:ind w:left="0"/>
              <w:rPr>
                <w:vertAlign w:val="superscript"/>
              </w:rPr>
            </w:pPr>
            <w:r>
              <w:t>ON diagnosis based on the ONTT criteria</w:t>
            </w:r>
          </w:p>
          <w:p w14:paraId="54CE0E24" w14:textId="77777777" w:rsidR="00C931CC" w:rsidRPr="009C2AA7" w:rsidRDefault="00C931CC" w:rsidP="00447C83">
            <w:pPr>
              <w:pStyle w:val="TableText0"/>
              <w:ind w:left="0"/>
              <w:rPr>
                <w:vertAlign w:val="superscript"/>
              </w:rPr>
            </w:pPr>
            <w:r>
              <w:t>N=</w:t>
            </w:r>
            <w:r w:rsidR="00216AEB">
              <w:t>158</w:t>
            </w:r>
            <w:r w:rsidR="00216AEB">
              <w:rPr>
                <w:vertAlign w:val="superscript"/>
              </w:rPr>
              <w:t>c</w:t>
            </w:r>
          </w:p>
        </w:tc>
        <w:tc>
          <w:tcPr>
            <w:tcW w:w="714" w:type="pct"/>
          </w:tcPr>
          <w:p w14:paraId="0001670E" w14:textId="77777777" w:rsidR="00C931CC" w:rsidRPr="006F5520" w:rsidRDefault="00C931CC" w:rsidP="00447C83">
            <w:pPr>
              <w:pStyle w:val="TableText0"/>
              <w:ind w:left="0"/>
            </w:pPr>
            <w:r w:rsidRPr="006F5520">
              <w:t>&gt;</w:t>
            </w:r>
            <w:r>
              <w:t xml:space="preserve"> </w:t>
            </w:r>
            <w:r w:rsidRPr="006F5520">
              <w:t>1 year</w:t>
            </w:r>
          </w:p>
        </w:tc>
        <w:tc>
          <w:tcPr>
            <w:tcW w:w="767" w:type="pct"/>
          </w:tcPr>
          <w:p w14:paraId="50DB2DBF" w14:textId="77777777" w:rsidR="00C931CC" w:rsidRDefault="00C931CC" w:rsidP="00447C83">
            <w:pPr>
              <w:pStyle w:val="TableText0"/>
              <w:ind w:left="0"/>
            </w:pPr>
            <w:r>
              <w:t>2/31 (6.5)</w:t>
            </w:r>
          </w:p>
        </w:tc>
        <w:tc>
          <w:tcPr>
            <w:tcW w:w="785" w:type="pct"/>
          </w:tcPr>
          <w:p w14:paraId="0376D1EE" w14:textId="77777777" w:rsidR="00C931CC" w:rsidRDefault="00C931CC" w:rsidP="00447C83">
            <w:pPr>
              <w:pStyle w:val="TableText0"/>
              <w:ind w:left="0"/>
            </w:pPr>
            <w:r>
              <w:t>0/60 (0)</w:t>
            </w:r>
          </w:p>
        </w:tc>
        <w:tc>
          <w:tcPr>
            <w:tcW w:w="708" w:type="pct"/>
          </w:tcPr>
          <w:p w14:paraId="00605B20" w14:textId="77777777" w:rsidR="00C931CC" w:rsidRDefault="0051675D" w:rsidP="00447C83">
            <w:pPr>
              <w:pStyle w:val="TableText0"/>
              <w:ind w:left="0"/>
            </w:pPr>
            <w:r>
              <w:t>10.254</w:t>
            </w:r>
          </w:p>
          <w:p w14:paraId="0B948EEE" w14:textId="77777777" w:rsidR="0051675D" w:rsidRDefault="0051675D" w:rsidP="00447C83">
            <w:pPr>
              <w:pStyle w:val="TableText0"/>
              <w:ind w:left="0"/>
            </w:pPr>
            <w:r>
              <w:t>[0.477,220.488]</w:t>
            </w:r>
          </w:p>
          <w:p w14:paraId="5D3BEBB2" w14:textId="77777777" w:rsidR="0051675D" w:rsidRDefault="0051675D" w:rsidP="00447C83">
            <w:pPr>
              <w:pStyle w:val="TableText0"/>
              <w:ind w:left="0"/>
            </w:pPr>
            <w:r>
              <w:t>0.1370</w:t>
            </w:r>
          </w:p>
        </w:tc>
        <w:tc>
          <w:tcPr>
            <w:tcW w:w="600" w:type="pct"/>
          </w:tcPr>
          <w:p w14:paraId="5ECDEC76" w14:textId="77777777" w:rsidR="00C931CC" w:rsidRDefault="00C931CC" w:rsidP="00447C83">
            <w:pPr>
              <w:pStyle w:val="TableText0"/>
              <w:ind w:left="0"/>
            </w:pPr>
            <w:r>
              <w:t>0.114</w:t>
            </w:r>
          </w:p>
        </w:tc>
      </w:tr>
    </w:tbl>
    <w:p w14:paraId="09F792CE" w14:textId="77777777" w:rsidR="00690D02" w:rsidRPr="00356E7A" w:rsidRDefault="00951C3A" w:rsidP="00356E7A">
      <w:pPr>
        <w:pStyle w:val="Tablenotes0"/>
      </w:pPr>
      <w:r>
        <w:t xml:space="preserve">AQP4-Ab = aquaporin 4 antibodies; LETM = longitudinally extensive transverse myelitis; </w:t>
      </w:r>
      <w:r w:rsidR="00690D02" w:rsidRPr="00356E7A">
        <w:t xml:space="preserve">MOG-Ab = myelin oligodendrocyte glycoprotein antibodies; </w:t>
      </w:r>
      <w:r w:rsidR="00356E7A">
        <w:t xml:space="preserve">NMOSD = neuromyelitis optica spectrum disorders; </w:t>
      </w:r>
      <w:r>
        <w:t xml:space="preserve">ON = optic neuritis; </w:t>
      </w:r>
      <w:r w:rsidR="00690D02" w:rsidRPr="00356E7A">
        <w:t>ONTT = Optic Neuritis Treatment Trial</w:t>
      </w:r>
      <w:r>
        <w:t>; OR = odds ratio</w:t>
      </w:r>
    </w:p>
    <w:p w14:paraId="79C7B03D" w14:textId="77777777" w:rsidR="00216AEB" w:rsidRPr="00356E7A" w:rsidRDefault="00216AEB" w:rsidP="00356E7A">
      <w:pPr>
        <w:pStyle w:val="Tablenotes0"/>
      </w:pPr>
      <w:r w:rsidRPr="008774D1">
        <w:rPr>
          <w:vertAlign w:val="superscript"/>
        </w:rPr>
        <w:t>a</w:t>
      </w:r>
      <w:r w:rsidRPr="00356E7A">
        <w:t xml:space="preserve"> values calculated using MedCalc</w:t>
      </w:r>
    </w:p>
    <w:p w14:paraId="7CC11855" w14:textId="77777777" w:rsidR="00216AEB" w:rsidRPr="00356E7A" w:rsidRDefault="00216AEB" w:rsidP="00356E7A">
      <w:pPr>
        <w:pStyle w:val="Tablenotes0"/>
      </w:pPr>
      <w:r w:rsidRPr="008774D1">
        <w:rPr>
          <w:vertAlign w:val="superscript"/>
        </w:rPr>
        <w:t>b</w:t>
      </w:r>
      <w:r w:rsidRPr="00356E7A">
        <w:t xml:space="preserve"> published P-value </w:t>
      </w:r>
    </w:p>
    <w:p w14:paraId="16CF5E9B" w14:textId="77777777" w:rsidR="009C2AA7" w:rsidRPr="00356E7A" w:rsidRDefault="00216AEB" w:rsidP="00356E7A">
      <w:pPr>
        <w:pStyle w:val="Tablenotes0"/>
      </w:pPr>
      <w:r w:rsidRPr="008774D1">
        <w:rPr>
          <w:vertAlign w:val="superscript"/>
        </w:rPr>
        <w:t>c</w:t>
      </w:r>
      <w:r w:rsidRPr="00356E7A">
        <w:t xml:space="preserve"> </w:t>
      </w:r>
      <w:r w:rsidR="009C2AA7" w:rsidRPr="00356E7A">
        <w:t>67 patients who were AQP4-Ab positive were not included in the analysis</w:t>
      </w:r>
    </w:p>
    <w:p w14:paraId="2C6D1F2D" w14:textId="77777777" w:rsidR="00F4022E" w:rsidRDefault="00F4022E" w:rsidP="00174071">
      <w:pPr>
        <w:pStyle w:val="Tablenotes0"/>
      </w:pPr>
    </w:p>
    <w:p w14:paraId="7151C408" w14:textId="587B291D" w:rsidR="004F3DB6" w:rsidRDefault="002335E0" w:rsidP="004F3DB6">
      <w:pPr>
        <w:pStyle w:val="Heading4"/>
      </w:pPr>
      <w:r>
        <w:lastRenderedPageBreak/>
        <w:t>Change in EDSS</w:t>
      </w:r>
    </w:p>
    <w:p w14:paraId="68DA5A12" w14:textId="28F0B6A8" w:rsidR="004F3DB6" w:rsidRDefault="00845DCF" w:rsidP="00F4022E">
      <w:r>
        <w:t xml:space="preserve">Cobo-Calvo et al </w:t>
      </w:r>
      <w:r w:rsidR="00174071">
        <w:t>(</w:t>
      </w:r>
      <w:r w:rsidR="00156621">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 </w:instrText>
      </w:r>
      <w:r w:rsidR="00AC01FD">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EN.CITE.DATA </w:instrText>
      </w:r>
      <w:r w:rsidR="00AC01FD">
        <w:fldChar w:fldCharType="end"/>
      </w:r>
      <w:r w:rsidR="00156621">
        <w:fldChar w:fldCharType="separate"/>
      </w:r>
      <w:r w:rsidR="00156621">
        <w:rPr>
          <w:noProof/>
        </w:rPr>
        <w:t>2016)</w:t>
      </w:r>
      <w:r w:rsidR="00156621">
        <w:fldChar w:fldCharType="end"/>
      </w:r>
      <w:r>
        <w:t xml:space="preserve"> compared the EDSS</w:t>
      </w:r>
      <w:r w:rsidR="007E058D">
        <w:t xml:space="preserve"> at baseline and follow-up between MOG-Ab positive and negative monophasic LETM patients. There were 13 MOG-Ab positive and 43 MOG-Ab negative patients in the analysis. There was no difference between the seropositive and seronegative groups at baseline. At follow-up, EDSS had decreased in both groups but there was statistically significant </w:t>
      </w:r>
      <w:r w:rsidR="00407A1B">
        <w:t xml:space="preserve">more </w:t>
      </w:r>
      <w:r w:rsidR="007E058D">
        <w:t>improvement (lower EDSS) in the MOG-Ab positive group</w:t>
      </w:r>
      <w:r w:rsidR="00326AC9">
        <w:t xml:space="preserve"> (</w:t>
      </w:r>
      <w:r w:rsidR="00326AC9">
        <w:fldChar w:fldCharType="begin"/>
      </w:r>
      <w:r w:rsidR="00326AC9">
        <w:instrText xml:space="preserve"> REF _Ref31725537 \h </w:instrText>
      </w:r>
      <w:r w:rsidR="00326AC9">
        <w:fldChar w:fldCharType="separate"/>
      </w:r>
      <w:r w:rsidR="003B6A2F">
        <w:t xml:space="preserve">Table </w:t>
      </w:r>
      <w:r w:rsidR="003B6A2F">
        <w:rPr>
          <w:noProof/>
        </w:rPr>
        <w:t>36</w:t>
      </w:r>
      <w:r w:rsidR="00326AC9">
        <w:fldChar w:fldCharType="end"/>
      </w:r>
      <w:r w:rsidR="00326AC9">
        <w:t>)</w:t>
      </w:r>
      <w:r w:rsidR="007E058D">
        <w:t xml:space="preserve">. </w:t>
      </w:r>
    </w:p>
    <w:p w14:paraId="1BBE456D" w14:textId="30046375" w:rsidR="00717C73" w:rsidRDefault="00717C73" w:rsidP="00717C73">
      <w:pPr>
        <w:pStyle w:val="Caption"/>
      </w:pPr>
      <w:bookmarkStart w:id="267" w:name="_Ref31725537"/>
      <w:bookmarkStart w:id="268" w:name="_Toc39580817"/>
      <w:r>
        <w:t xml:space="preserve">Table </w:t>
      </w:r>
      <w:fldSimple w:instr=" SEQ Table \* ARABIC ">
        <w:r w:rsidR="00FA7BCD">
          <w:rPr>
            <w:noProof/>
          </w:rPr>
          <w:t>36</w:t>
        </w:r>
      </w:fldSimple>
      <w:bookmarkEnd w:id="267"/>
      <w:r>
        <w:tab/>
        <w:t>Change in EDSS</w:t>
      </w:r>
      <w:r w:rsidR="00F14255">
        <w:rPr>
          <w:vertAlign w:val="superscript"/>
        </w:rPr>
        <w:t>a</w:t>
      </w:r>
      <w:r>
        <w:t xml:space="preserve"> at follow-up</w:t>
      </w:r>
      <w:bookmarkEnd w:id="268"/>
    </w:p>
    <w:tbl>
      <w:tblPr>
        <w:tblStyle w:val="TableGrid"/>
        <w:tblW w:w="8926" w:type="dxa"/>
        <w:tblLook w:val="04A0" w:firstRow="1" w:lastRow="0" w:firstColumn="1" w:lastColumn="0" w:noHBand="0" w:noVBand="1"/>
        <w:tblCaption w:val="Table 36 Change in EDSSa at follow-up"/>
        <w:tblDescription w:val="A comparison of the change in EDSS between MOG-Ab positive and negative patient suspected og NMOSD"/>
      </w:tblPr>
      <w:tblGrid>
        <w:gridCol w:w="1123"/>
        <w:gridCol w:w="1849"/>
        <w:gridCol w:w="1985"/>
        <w:gridCol w:w="1984"/>
        <w:gridCol w:w="1985"/>
      </w:tblGrid>
      <w:tr w:rsidR="00717C73" w14:paraId="5E780F46" w14:textId="77777777" w:rsidTr="0027735B">
        <w:trPr>
          <w:trHeight w:val="740"/>
        </w:trPr>
        <w:tc>
          <w:tcPr>
            <w:tcW w:w="1123" w:type="dxa"/>
          </w:tcPr>
          <w:p w14:paraId="6D7A14C0" w14:textId="77777777" w:rsidR="00717C73" w:rsidRDefault="00717C73" w:rsidP="00447C83">
            <w:pPr>
              <w:pStyle w:val="TableHeading"/>
              <w:ind w:left="0"/>
            </w:pPr>
            <w:r>
              <w:t>Study</w:t>
            </w:r>
          </w:p>
          <w:p w14:paraId="7F7B05C1" w14:textId="77777777" w:rsidR="00717C73" w:rsidRDefault="00717C73" w:rsidP="00447C83">
            <w:pPr>
              <w:pStyle w:val="TableHeading"/>
              <w:ind w:left="0"/>
            </w:pPr>
            <w:r>
              <w:t>N tested</w:t>
            </w:r>
          </w:p>
        </w:tc>
        <w:tc>
          <w:tcPr>
            <w:tcW w:w="1849" w:type="dxa"/>
          </w:tcPr>
          <w:p w14:paraId="2D98AEA2" w14:textId="77777777" w:rsidR="00717C73" w:rsidRDefault="00717C73" w:rsidP="00447C83">
            <w:pPr>
              <w:pStyle w:val="TableHeading"/>
              <w:ind w:left="0"/>
            </w:pPr>
            <w:r>
              <w:t>Population</w:t>
            </w:r>
          </w:p>
        </w:tc>
        <w:tc>
          <w:tcPr>
            <w:tcW w:w="1985" w:type="dxa"/>
          </w:tcPr>
          <w:p w14:paraId="55703785" w14:textId="77777777" w:rsidR="00717C73" w:rsidRDefault="00717C73" w:rsidP="00447C83">
            <w:pPr>
              <w:pStyle w:val="TableHeading"/>
              <w:ind w:left="0"/>
            </w:pPr>
            <w:r>
              <w:t>MOG-Ab +ve</w:t>
            </w:r>
          </w:p>
          <w:p w14:paraId="4D0ECBC6" w14:textId="77777777" w:rsidR="00717C73" w:rsidRDefault="00717C73" w:rsidP="00447C83">
            <w:pPr>
              <w:pStyle w:val="TableHeading"/>
              <w:ind w:left="0"/>
            </w:pPr>
            <w:r>
              <w:t>Median (range)</w:t>
            </w:r>
          </w:p>
        </w:tc>
        <w:tc>
          <w:tcPr>
            <w:tcW w:w="1984" w:type="dxa"/>
          </w:tcPr>
          <w:p w14:paraId="4BAC3855" w14:textId="77777777" w:rsidR="00717C73" w:rsidRDefault="00717C73" w:rsidP="00447C83">
            <w:pPr>
              <w:pStyle w:val="TableHeading"/>
              <w:ind w:left="0"/>
            </w:pPr>
            <w:r>
              <w:t>MOG-Ab -ve</w:t>
            </w:r>
          </w:p>
          <w:p w14:paraId="28F9E0B5" w14:textId="77777777" w:rsidR="00717C73" w:rsidRDefault="00717C73" w:rsidP="00447C83">
            <w:pPr>
              <w:pStyle w:val="TableHeading"/>
              <w:ind w:left="0"/>
            </w:pPr>
            <w:r>
              <w:t>Median (range)</w:t>
            </w:r>
          </w:p>
        </w:tc>
        <w:tc>
          <w:tcPr>
            <w:tcW w:w="1985" w:type="dxa"/>
          </w:tcPr>
          <w:p w14:paraId="152E52B4" w14:textId="77777777" w:rsidR="00717C73" w:rsidRDefault="00717C73" w:rsidP="00447C83">
            <w:pPr>
              <w:pStyle w:val="TableHeading"/>
              <w:ind w:left="0"/>
            </w:pPr>
            <w:r>
              <w:t>Difference</w:t>
            </w:r>
          </w:p>
          <w:p w14:paraId="2D2779CA" w14:textId="77777777" w:rsidR="00717C73" w:rsidRDefault="00717C73" w:rsidP="00447C83">
            <w:pPr>
              <w:pStyle w:val="TableHeading"/>
              <w:ind w:left="0"/>
            </w:pPr>
            <w:r>
              <w:t>P value</w:t>
            </w:r>
          </w:p>
        </w:tc>
      </w:tr>
      <w:tr w:rsidR="00717C73" w:rsidRPr="00EC2E50" w14:paraId="005BE275" w14:textId="77777777" w:rsidTr="0027735B">
        <w:trPr>
          <w:trHeight w:val="430"/>
        </w:trPr>
        <w:tc>
          <w:tcPr>
            <w:tcW w:w="1123" w:type="dxa"/>
            <w:vMerge w:val="restart"/>
          </w:tcPr>
          <w:p w14:paraId="3EEEE8EA" w14:textId="77777777" w:rsidR="00717C73" w:rsidRDefault="00156621" w:rsidP="00447C83">
            <w:pPr>
              <w:pStyle w:val="TableText0"/>
              <w:ind w:left="0"/>
            </w:pPr>
            <w:r>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 </w:instrText>
            </w:r>
            <w:r w:rsidR="00AC01FD">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EN.CITE.DATA </w:instrText>
            </w:r>
            <w:r w:rsidR="00AC01FD">
              <w:fldChar w:fldCharType="end"/>
            </w:r>
            <w:r>
              <w:fldChar w:fldCharType="separate"/>
            </w:r>
            <w:r>
              <w:rPr>
                <w:noProof/>
              </w:rPr>
              <w:t>(Cobo-Calvo et al. 2016)</w:t>
            </w:r>
            <w:r>
              <w:fldChar w:fldCharType="end"/>
            </w:r>
          </w:p>
        </w:tc>
        <w:tc>
          <w:tcPr>
            <w:tcW w:w="1849" w:type="dxa"/>
            <w:vMerge w:val="restart"/>
          </w:tcPr>
          <w:p w14:paraId="6E6A35D7" w14:textId="77777777" w:rsidR="00717C73" w:rsidRDefault="00717C73" w:rsidP="00447C83">
            <w:pPr>
              <w:pStyle w:val="TableText0"/>
              <w:ind w:left="0"/>
            </w:pPr>
            <w:r>
              <w:t>Monophasic LETM; AQP4-Ab –ve</w:t>
            </w:r>
          </w:p>
          <w:p w14:paraId="7BA07B54" w14:textId="77777777" w:rsidR="00717C73" w:rsidRDefault="00717C73" w:rsidP="00447C83">
            <w:pPr>
              <w:pStyle w:val="TableText0"/>
              <w:ind w:left="0"/>
            </w:pPr>
            <w:r>
              <w:t>N=56</w:t>
            </w:r>
          </w:p>
        </w:tc>
        <w:tc>
          <w:tcPr>
            <w:tcW w:w="1985" w:type="dxa"/>
          </w:tcPr>
          <w:p w14:paraId="56A83A07" w14:textId="77777777" w:rsidR="00717C73" w:rsidRDefault="00717C73" w:rsidP="00447C83">
            <w:pPr>
              <w:pStyle w:val="TableText0"/>
              <w:ind w:left="0"/>
            </w:pPr>
            <w:r>
              <w:t>Baseline: 5.5 (3.5-7.0)</w:t>
            </w:r>
          </w:p>
        </w:tc>
        <w:tc>
          <w:tcPr>
            <w:tcW w:w="1984" w:type="dxa"/>
          </w:tcPr>
          <w:p w14:paraId="0EC709C5" w14:textId="77777777" w:rsidR="00717C73" w:rsidRDefault="00717C73" w:rsidP="00447C83">
            <w:pPr>
              <w:pStyle w:val="TableText0"/>
              <w:ind w:left="0"/>
            </w:pPr>
            <w:r>
              <w:t>Baseline: 4.5 (3.5-8.0)</w:t>
            </w:r>
          </w:p>
        </w:tc>
        <w:tc>
          <w:tcPr>
            <w:tcW w:w="1985" w:type="dxa"/>
          </w:tcPr>
          <w:p w14:paraId="04CE7B46" w14:textId="77777777" w:rsidR="00717C73" w:rsidRDefault="00717C73" w:rsidP="00447C83">
            <w:pPr>
              <w:pStyle w:val="TableText0"/>
              <w:ind w:left="0"/>
            </w:pPr>
            <w:r>
              <w:t>0.79</w:t>
            </w:r>
          </w:p>
        </w:tc>
      </w:tr>
      <w:tr w:rsidR="00717C73" w14:paraId="6040F207" w14:textId="77777777" w:rsidTr="0027735B">
        <w:trPr>
          <w:trHeight w:val="462"/>
        </w:trPr>
        <w:tc>
          <w:tcPr>
            <w:tcW w:w="1123" w:type="dxa"/>
            <w:vMerge/>
          </w:tcPr>
          <w:p w14:paraId="600B548E" w14:textId="77777777" w:rsidR="00717C73" w:rsidRDefault="00717C73" w:rsidP="00447C83">
            <w:pPr>
              <w:spacing w:after="160" w:line="259" w:lineRule="auto"/>
              <w:ind w:left="0"/>
            </w:pPr>
          </w:p>
        </w:tc>
        <w:tc>
          <w:tcPr>
            <w:tcW w:w="1849" w:type="dxa"/>
            <w:vMerge/>
          </w:tcPr>
          <w:p w14:paraId="2DB7B251" w14:textId="77777777" w:rsidR="00717C73" w:rsidRDefault="00717C73" w:rsidP="00447C83">
            <w:pPr>
              <w:spacing w:after="160" w:line="259" w:lineRule="auto"/>
              <w:ind w:left="0"/>
            </w:pPr>
          </w:p>
        </w:tc>
        <w:tc>
          <w:tcPr>
            <w:tcW w:w="1985" w:type="dxa"/>
          </w:tcPr>
          <w:p w14:paraId="7B409069" w14:textId="77777777" w:rsidR="00717C73" w:rsidRDefault="00717C73" w:rsidP="00447C83">
            <w:pPr>
              <w:pStyle w:val="TableText0"/>
              <w:ind w:left="0"/>
            </w:pPr>
            <w:r>
              <w:t xml:space="preserve">Follow-up: 2 </w:t>
            </w:r>
            <w:r w:rsidRPr="00EC2E50">
              <w:t>(0-2.5)</w:t>
            </w:r>
          </w:p>
        </w:tc>
        <w:tc>
          <w:tcPr>
            <w:tcW w:w="1984" w:type="dxa"/>
          </w:tcPr>
          <w:p w14:paraId="76F0F4D1" w14:textId="77777777" w:rsidR="00717C73" w:rsidRDefault="00717C73" w:rsidP="00447C83">
            <w:pPr>
              <w:pStyle w:val="TableText0"/>
              <w:ind w:left="0"/>
            </w:pPr>
            <w:r>
              <w:t>Follow-up: 3 (2.0-5.5)</w:t>
            </w:r>
          </w:p>
        </w:tc>
        <w:tc>
          <w:tcPr>
            <w:tcW w:w="1985" w:type="dxa"/>
          </w:tcPr>
          <w:p w14:paraId="14ECECB1" w14:textId="77777777" w:rsidR="00717C73" w:rsidRDefault="00717C73" w:rsidP="00447C83">
            <w:pPr>
              <w:pStyle w:val="TableText0"/>
              <w:ind w:left="0"/>
            </w:pPr>
            <w:r>
              <w:t>0.027</w:t>
            </w:r>
          </w:p>
        </w:tc>
      </w:tr>
    </w:tbl>
    <w:p w14:paraId="3691EB6F" w14:textId="77777777" w:rsidR="00C425AF" w:rsidRDefault="00F14255" w:rsidP="00F14255">
      <w:pPr>
        <w:pStyle w:val="Tablenotes0"/>
      </w:pPr>
      <w:r>
        <w:t>AQP4-Ab = aquaporin 4 antibodies; EDSS = expanded disability status scale; LETM = longitudinally extensive transverse myelitis; MOG-Ab = myelin oligodendrocyte glycoprotein antibodies</w:t>
      </w:r>
    </w:p>
    <w:p w14:paraId="1701C297" w14:textId="441E44C1" w:rsidR="00F14255" w:rsidRDefault="00F14255" w:rsidP="00F14255">
      <w:pPr>
        <w:pStyle w:val="Tablenotes0"/>
      </w:pPr>
      <w:r>
        <w:rPr>
          <w:vertAlign w:val="superscript"/>
        </w:rPr>
        <w:t xml:space="preserve">a </w:t>
      </w:r>
      <w:r>
        <w:t xml:space="preserve">The Kurtz EDSS </w:t>
      </w:r>
      <w:r w:rsidR="00156621">
        <w:fldChar w:fldCharType="begin"/>
      </w:r>
      <w:r w:rsidR="00156621">
        <w:instrText xml:space="preserve"> ADDIN EN.CITE &lt;EndNote&gt;&lt;Cite&gt;&lt;Author&gt;Kurtzke JF&lt;/Author&gt;&lt;Year&gt;1983&lt;/Year&gt;&lt;RecNum&gt;62&lt;/RecNum&gt;&lt;DisplayText&gt;(Kurtzke JF 1983)&lt;/DisplayText&gt;&lt;record&gt;&lt;rec-number&gt;62&lt;/rec-number&gt;&lt;foreign-keys&gt;&lt;key app="EN" db-id="r25zptaswpdzade29ws5pf9gx55ztppatt20" timestamp="1579673357"&gt;62&lt;/key&gt;&lt;key app="ENWeb" db-id=""&gt;0&lt;/key&gt;&lt;/foreign-keys&gt;&lt;ref-type name="Journal Article"&gt;17&lt;/ref-type&gt;&lt;contributors&gt;&lt;authors&gt;&lt;author&gt;Kurtzke JF, &lt;/author&gt;&lt;/authors&gt;&lt;/contributors&gt;&lt;titles&gt;&lt;title&gt;Rating neurologic impairment in multiple sclerosis: An expanded disability status scale (EDSS)&lt;/title&gt;&lt;secondary-title&gt;Neyrology&lt;/secondary-title&gt;&lt;/titles&gt;&lt;periodical&gt;&lt;full-title&gt;Neyrology&lt;/full-title&gt;&lt;/periodical&gt;&lt;pages&gt;1444-52&lt;/pages&gt;&lt;volume&gt;33&lt;/volume&gt;&lt;dates&gt;&lt;year&gt;1983&lt;/year&gt;&lt;/dates&gt;&lt;urls&gt;&lt;/urls&gt;&lt;/record&gt;&lt;/Cite&gt;&lt;/EndNote&gt;</w:instrText>
      </w:r>
      <w:r w:rsidR="00156621">
        <w:fldChar w:fldCharType="separate"/>
      </w:r>
      <w:r w:rsidR="00156621">
        <w:rPr>
          <w:noProof/>
        </w:rPr>
        <w:t>(Kurtzke JF 1983)</w:t>
      </w:r>
      <w:r w:rsidR="00156621">
        <w:fldChar w:fldCharType="end"/>
      </w:r>
    </w:p>
    <w:p w14:paraId="584078AD" w14:textId="77777777" w:rsidR="003B6A2F" w:rsidRDefault="003B6A2F" w:rsidP="00F14255">
      <w:pPr>
        <w:pStyle w:val="Tablenotes0"/>
      </w:pPr>
    </w:p>
    <w:p w14:paraId="3992D659" w14:textId="77777777" w:rsidR="00717C73" w:rsidRDefault="00717C73" w:rsidP="00717C73">
      <w:pPr>
        <w:pStyle w:val="Heading4"/>
      </w:pPr>
      <w:r>
        <w:t xml:space="preserve">Rate of relapse or symptom recurrence </w:t>
      </w:r>
    </w:p>
    <w:p w14:paraId="5135F6B6" w14:textId="77777777" w:rsidR="00C425AF" w:rsidRDefault="00422BD8" w:rsidP="00C425AF">
      <w:r>
        <w:t xml:space="preserve">Cobo-Calvo et al and Matsuda et al compared the </w:t>
      </w:r>
      <w:r w:rsidR="00311C28">
        <w:t xml:space="preserve">symptom recurrence rate </w:t>
      </w:r>
      <w:r>
        <w:t xml:space="preserve">between </w:t>
      </w:r>
      <w:r w:rsidR="00311C28">
        <w:t>MOG-Ab positive and negative patients</w:t>
      </w:r>
      <w:r w:rsidR="00A75524">
        <w:t xml:space="preserve"> </w:t>
      </w:r>
      <w:r w:rsidR="00156621">
        <w:fldChar w:fldCharType="begin">
          <w:fldData xml:space="preserve">PEVuZE5vdGU+PENpdGU+PEF1dGhvcj5Db2JvLUNhbHZvPC9BdXRob3I+PFllYXI+MjAxNjwvWWVh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</w:fldData>
        </w:fldChar>
      </w:r>
      <w:r w:rsidR="00AC01FD">
        <w:instrText xml:space="preserve"> ADDIN EN.CITE </w:instrText>
      </w:r>
      <w:r w:rsidR="00AC01FD">
        <w:fldChar w:fldCharType="begin">
          <w:fldData xml:space="preserve">PEVuZE5vdGU+PENpdGU+PEF1dGhvcj5Db2JvLUNhbHZvPC9BdXRob3I+PFllYXI+MjAxNjwvWWVh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</w:fldData>
        </w:fldChar>
      </w:r>
      <w:r w:rsidR="00AC01FD">
        <w:instrText xml:space="preserve"> ADDIN EN.CITE.DATA </w:instrText>
      </w:r>
      <w:r w:rsidR="00AC01FD">
        <w:fldChar w:fldCharType="end"/>
      </w:r>
      <w:r w:rsidR="00156621">
        <w:fldChar w:fldCharType="separate"/>
      </w:r>
      <w:r w:rsidR="00156621">
        <w:rPr>
          <w:noProof/>
        </w:rPr>
        <w:t>(Cobo-Calvo et al. 2016; Matsuda et al. 2015)</w:t>
      </w:r>
      <w:r w:rsidR="00156621">
        <w:fldChar w:fldCharType="end"/>
      </w:r>
      <w:r w:rsidR="00311C28">
        <w:t xml:space="preserve">. </w:t>
      </w:r>
      <w:r w:rsidR="00A75524">
        <w:t xml:space="preserve">In a population of 56 monophasic LETM patients Cobo-Calvo et al found that there was no difference in the rate of patients who developed recurrent LETM between MOG-Ab positive and negative patients. </w:t>
      </w:r>
    </w:p>
    <w:p w14:paraId="1E4690EA" w14:textId="7DC7FBDD" w:rsidR="00A75524" w:rsidRDefault="00A75524" w:rsidP="00C425AF">
      <w:r>
        <w:t>Both studies found that the recurrence of ON was higher in those who were MOG-Ab positive compared with those who were negative. In monophasic LETM patients</w:t>
      </w:r>
      <w:r w:rsidR="001462FC">
        <w:t>,</w:t>
      </w:r>
      <w:r>
        <w:t xml:space="preserve"> 30.8% of MOG-Ab positive patients went on to develop recurrent ON compared with 4.7% of MOG-negative patients (p = 0.022) </w:t>
      </w:r>
      <w:r w:rsidR="00156621">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 </w:instrText>
      </w:r>
      <w:r w:rsidR="00AC01FD">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EN.CITE.DATA </w:instrText>
      </w:r>
      <w:r w:rsidR="00AC01FD">
        <w:fldChar w:fldCharType="end"/>
      </w:r>
      <w:r w:rsidR="00156621">
        <w:fldChar w:fldCharType="separate"/>
      </w:r>
      <w:r w:rsidR="00156621">
        <w:rPr>
          <w:noProof/>
        </w:rPr>
        <w:t>(Cobo-Calvo et al. 2016)</w:t>
      </w:r>
      <w:r w:rsidR="00156621">
        <w:fldChar w:fldCharType="end"/>
      </w:r>
      <w:r>
        <w:t xml:space="preserve">. Amongst a population of ON patients, the ARR of ON was higher in MOG-Ab positive patients compared to negative patients (p = 0.0005) </w:t>
      </w:r>
      <w:r w:rsidR="00156621">
        <w:fldChar w:fldCharType="begin">
          <w:fldData xml:space="preserve">PEVuZE5vdGU+PENpdGU+PEF1dGhvcj5NYXRzdWRhPC9BdXRob3I+PFllYXI+MjAxNTwvWWVhcj48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</w:fldData>
        </w:fldChar>
      </w:r>
      <w:r w:rsidR="00AC01FD">
        <w:instrText xml:space="preserve"> ADDIN EN.CITE </w:instrText>
      </w:r>
      <w:r w:rsidR="00AC01FD">
        <w:fldChar w:fldCharType="begin">
          <w:fldData xml:space="preserve">PEVuZE5vdGU+PENpdGU+PEF1dGhvcj5NYXRzdWRhPC9BdXRob3I+PFllYXI+MjAxNTwvWWVhcj48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</w:fldData>
        </w:fldChar>
      </w:r>
      <w:r w:rsidR="00AC01FD">
        <w:instrText xml:space="preserve"> ADDIN EN.CITE.DATA </w:instrText>
      </w:r>
      <w:r w:rsidR="00AC01FD">
        <w:fldChar w:fldCharType="end"/>
      </w:r>
      <w:r w:rsidR="00156621">
        <w:fldChar w:fldCharType="separate"/>
      </w:r>
      <w:r w:rsidR="00156621">
        <w:rPr>
          <w:noProof/>
        </w:rPr>
        <w:t>(Matsuda et al. 2015)</w:t>
      </w:r>
      <w:r w:rsidR="00156621">
        <w:fldChar w:fldCharType="end"/>
      </w:r>
      <w:r>
        <w:t xml:space="preserve">. Results are reported in </w:t>
      </w:r>
      <w:r>
        <w:fldChar w:fldCharType="begin"/>
      </w:r>
      <w:r>
        <w:instrText xml:space="preserve"> REF _Ref30681066 \h </w:instrText>
      </w:r>
      <w:r>
        <w:fldChar w:fldCharType="separate"/>
      </w:r>
      <w:r w:rsidR="003B6A2F">
        <w:t xml:space="preserve">Table </w:t>
      </w:r>
      <w:r w:rsidR="003B6A2F">
        <w:rPr>
          <w:noProof/>
        </w:rPr>
        <w:t>37</w:t>
      </w:r>
      <w:r>
        <w:fldChar w:fldCharType="end"/>
      </w:r>
      <w:r>
        <w:t>.</w:t>
      </w:r>
    </w:p>
    <w:p w14:paraId="143230F6" w14:textId="02DCE880" w:rsidR="00C425AF" w:rsidRDefault="00C425AF" w:rsidP="00C425AF">
      <w:pPr>
        <w:pStyle w:val="Caption"/>
      </w:pPr>
      <w:bookmarkStart w:id="269" w:name="_Ref30681066"/>
      <w:bookmarkStart w:id="270" w:name="_Toc39580818"/>
      <w:r>
        <w:t xml:space="preserve">Table </w:t>
      </w:r>
      <w:fldSimple w:instr=" SEQ Table \* ARABIC ">
        <w:r w:rsidR="00FA7BCD">
          <w:rPr>
            <w:noProof/>
          </w:rPr>
          <w:t>37</w:t>
        </w:r>
      </w:fldSimple>
      <w:bookmarkEnd w:id="269"/>
      <w:r>
        <w:tab/>
        <w:t xml:space="preserve">Rate of </w:t>
      </w:r>
      <w:r w:rsidR="001423A6">
        <w:t>symptom</w:t>
      </w:r>
      <w:r>
        <w:t xml:space="preserve"> recurrence</w:t>
      </w:r>
      <w:bookmarkEnd w:id="270"/>
      <w:r>
        <w:t xml:space="preserve"> </w:t>
      </w:r>
    </w:p>
    <w:tbl>
      <w:tblPr>
        <w:tblStyle w:val="TableGrid"/>
        <w:tblW w:w="9016" w:type="dxa"/>
        <w:tblLook w:val="04A0" w:firstRow="1" w:lastRow="0" w:firstColumn="1" w:lastColumn="0" w:noHBand="0" w:noVBand="1"/>
        <w:tblCaption w:val="Table 37 Rate of symptom recurrence "/>
        <w:tblDescription w:val="A comparison of the rate of symptom recurrence between MOG-Ab positive and negative patients suspected of NMOSD"/>
      </w:tblPr>
      <w:tblGrid>
        <w:gridCol w:w="1037"/>
        <w:gridCol w:w="1181"/>
        <w:gridCol w:w="1695"/>
        <w:gridCol w:w="1273"/>
        <w:gridCol w:w="1177"/>
        <w:gridCol w:w="1265"/>
        <w:gridCol w:w="1388"/>
      </w:tblGrid>
      <w:tr w:rsidR="006C1E7B" w14:paraId="3F258B8E" w14:textId="77777777" w:rsidTr="006C1E7B">
        <w:tc>
          <w:tcPr>
            <w:tcW w:w="1043" w:type="dxa"/>
          </w:tcPr>
          <w:p w14:paraId="648CF993" w14:textId="77777777" w:rsidR="006C1E7B" w:rsidRDefault="006C1E7B" w:rsidP="00447C83">
            <w:pPr>
              <w:pStyle w:val="TableHeading"/>
              <w:ind w:left="0"/>
            </w:pPr>
            <w:r>
              <w:t>Study</w:t>
            </w:r>
          </w:p>
        </w:tc>
        <w:tc>
          <w:tcPr>
            <w:tcW w:w="1184" w:type="dxa"/>
          </w:tcPr>
          <w:p w14:paraId="0F4F5CB0" w14:textId="77777777" w:rsidR="006C1E7B" w:rsidRDefault="006C1E7B" w:rsidP="00447C83">
            <w:pPr>
              <w:pStyle w:val="TableHeading"/>
              <w:ind w:left="0"/>
            </w:pPr>
            <w:r>
              <w:t>Population</w:t>
            </w:r>
          </w:p>
          <w:p w14:paraId="72A38F12" w14:textId="77777777" w:rsidR="006C1E7B" w:rsidRDefault="006C1E7B" w:rsidP="00447C83">
            <w:pPr>
              <w:pStyle w:val="TableHeading"/>
              <w:ind w:left="0"/>
            </w:pPr>
            <w:r>
              <w:t>N tested</w:t>
            </w:r>
          </w:p>
        </w:tc>
        <w:tc>
          <w:tcPr>
            <w:tcW w:w="1724" w:type="dxa"/>
          </w:tcPr>
          <w:p w14:paraId="07B49C28" w14:textId="77777777" w:rsidR="006C1E7B" w:rsidRDefault="006C1E7B" w:rsidP="00447C83">
            <w:pPr>
              <w:pStyle w:val="TableHeading"/>
              <w:ind w:left="0"/>
            </w:pPr>
            <w:r>
              <w:t>Event</w:t>
            </w:r>
          </w:p>
          <w:p w14:paraId="36D74C53" w14:textId="77777777" w:rsidR="006C1E7B" w:rsidRDefault="006C1E7B" w:rsidP="00447C83">
            <w:pPr>
              <w:pStyle w:val="TableHeading"/>
              <w:ind w:left="0"/>
            </w:pPr>
            <w:r>
              <w:t>(follow-up)</w:t>
            </w:r>
          </w:p>
        </w:tc>
        <w:tc>
          <w:tcPr>
            <w:tcW w:w="1297" w:type="dxa"/>
          </w:tcPr>
          <w:p w14:paraId="7C97E2EA" w14:textId="77777777" w:rsidR="006C1E7B" w:rsidRDefault="006C1E7B" w:rsidP="00447C83">
            <w:pPr>
              <w:pStyle w:val="TableHeading"/>
              <w:ind w:left="0"/>
            </w:pPr>
            <w:r>
              <w:t>MOG-Ab +ve</w:t>
            </w:r>
          </w:p>
          <w:p w14:paraId="69E9383F" w14:textId="77777777" w:rsidR="006C1E7B" w:rsidRDefault="006C1E7B" w:rsidP="00447C83">
            <w:pPr>
              <w:pStyle w:val="TableHeading"/>
              <w:ind w:left="0"/>
            </w:pPr>
            <w:r>
              <w:t>n/N (%)</w:t>
            </w:r>
          </w:p>
        </w:tc>
        <w:tc>
          <w:tcPr>
            <w:tcW w:w="1197" w:type="dxa"/>
          </w:tcPr>
          <w:p w14:paraId="331FB1DD" w14:textId="77777777" w:rsidR="006C1E7B" w:rsidRDefault="006C1E7B" w:rsidP="00447C83">
            <w:pPr>
              <w:pStyle w:val="TableHeading"/>
              <w:ind w:left="0"/>
            </w:pPr>
            <w:r>
              <w:t>MOG-Ab -ve</w:t>
            </w:r>
          </w:p>
          <w:p w14:paraId="61F7311E" w14:textId="77777777" w:rsidR="006C1E7B" w:rsidRDefault="006C1E7B" w:rsidP="00447C83">
            <w:pPr>
              <w:pStyle w:val="TableHeading"/>
              <w:ind w:left="0"/>
            </w:pPr>
            <w:r>
              <w:t>n/N (%)</w:t>
            </w:r>
          </w:p>
        </w:tc>
        <w:tc>
          <w:tcPr>
            <w:tcW w:w="1169" w:type="dxa"/>
          </w:tcPr>
          <w:p w14:paraId="632430D3" w14:textId="77777777" w:rsidR="006C1E7B" w:rsidRDefault="006C1E7B" w:rsidP="00447C83">
            <w:pPr>
              <w:pStyle w:val="TableHeading"/>
              <w:ind w:left="0"/>
            </w:pPr>
            <w:r w:rsidRPr="00447101">
              <w:t xml:space="preserve">OR [95%CI] </w:t>
            </w:r>
          </w:p>
          <w:p w14:paraId="7E720230" w14:textId="77777777" w:rsidR="006C1E7B" w:rsidRDefault="006C1E7B" w:rsidP="00447C83">
            <w:pPr>
              <w:pStyle w:val="TableHeading"/>
              <w:ind w:left="0"/>
            </w:pPr>
            <w:r w:rsidRPr="00447101">
              <w:t>P-value</w:t>
            </w:r>
            <w:r w:rsidRPr="00447101">
              <w:rPr>
                <w:vertAlign w:val="superscript"/>
              </w:rPr>
              <w:t>a</w:t>
            </w:r>
          </w:p>
        </w:tc>
        <w:tc>
          <w:tcPr>
            <w:tcW w:w="1402" w:type="dxa"/>
          </w:tcPr>
          <w:p w14:paraId="76CAEF15" w14:textId="77777777" w:rsidR="006C1E7B" w:rsidRDefault="006C1E7B" w:rsidP="00447C83">
            <w:pPr>
              <w:pStyle w:val="TableHeading"/>
              <w:ind w:left="0"/>
            </w:pPr>
            <w:r>
              <w:t>Difference</w:t>
            </w:r>
          </w:p>
          <w:p w14:paraId="6242FE60" w14:textId="77777777" w:rsidR="006C1E7B" w:rsidRPr="00467BC2" w:rsidRDefault="006C1E7B" w:rsidP="00447C83">
            <w:pPr>
              <w:pStyle w:val="TableHeading"/>
              <w:ind w:left="0"/>
              <w:rPr>
                <w:vertAlign w:val="superscript"/>
              </w:rPr>
            </w:pPr>
            <w:r>
              <w:t>P value</w:t>
            </w:r>
            <w:r w:rsidR="00467BC2">
              <w:rPr>
                <w:vertAlign w:val="superscript"/>
              </w:rPr>
              <w:t>b</w:t>
            </w:r>
          </w:p>
        </w:tc>
      </w:tr>
      <w:tr w:rsidR="006C1E7B" w:rsidRPr="00312E36" w14:paraId="39C67BD4" w14:textId="77777777" w:rsidTr="006C1E7B">
        <w:tc>
          <w:tcPr>
            <w:tcW w:w="1043" w:type="dxa"/>
            <w:vMerge w:val="restart"/>
          </w:tcPr>
          <w:p w14:paraId="1E67A8E5" w14:textId="77777777" w:rsidR="006C1E7B" w:rsidRDefault="00156621" w:rsidP="00447C83">
            <w:pPr>
              <w:pStyle w:val="TableText0"/>
              <w:ind w:left="0"/>
            </w:pPr>
            <w:r>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 </w:instrText>
            </w:r>
            <w:r w:rsidR="00AC01FD">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instrText xml:space="preserve"> ADDIN EN.CITE.DATA </w:instrText>
            </w:r>
            <w:r w:rsidR="00AC01FD">
              <w:fldChar w:fldCharType="end"/>
            </w:r>
            <w:r>
              <w:fldChar w:fldCharType="separate"/>
            </w:r>
            <w:r>
              <w:rPr>
                <w:noProof/>
              </w:rPr>
              <w:t>(Cobo-Calvo et al. 2016)</w:t>
            </w:r>
            <w:r>
              <w:fldChar w:fldCharType="end"/>
            </w:r>
          </w:p>
        </w:tc>
        <w:tc>
          <w:tcPr>
            <w:tcW w:w="1184" w:type="dxa"/>
            <w:vMerge w:val="restart"/>
          </w:tcPr>
          <w:p w14:paraId="09C718A9" w14:textId="77777777" w:rsidR="006C1E7B" w:rsidRDefault="006C1E7B" w:rsidP="00447C83">
            <w:pPr>
              <w:pStyle w:val="TableText0"/>
              <w:ind w:left="0"/>
            </w:pPr>
            <w:r>
              <w:t>Monophasic LETM</w:t>
            </w:r>
          </w:p>
          <w:p w14:paraId="3609B91A" w14:textId="77777777" w:rsidR="006C1E7B" w:rsidRDefault="006C1E7B" w:rsidP="00447C83">
            <w:pPr>
              <w:pStyle w:val="TableText0"/>
              <w:ind w:left="0"/>
            </w:pPr>
            <w:r>
              <w:t>N=56</w:t>
            </w:r>
          </w:p>
        </w:tc>
        <w:tc>
          <w:tcPr>
            <w:tcW w:w="1724" w:type="dxa"/>
          </w:tcPr>
          <w:p w14:paraId="2E0EECA5" w14:textId="77777777" w:rsidR="006C1E7B" w:rsidRDefault="006C1E7B" w:rsidP="00447C83">
            <w:pPr>
              <w:pStyle w:val="TableText0"/>
              <w:ind w:left="0"/>
            </w:pPr>
            <w:r>
              <w:t>Recurrent LETM</w:t>
            </w:r>
          </w:p>
          <w:p w14:paraId="0D993363" w14:textId="77777777" w:rsidR="006C1E7B" w:rsidRDefault="006C1E7B" w:rsidP="00447C83">
            <w:pPr>
              <w:pStyle w:val="TableText0"/>
              <w:ind w:left="0"/>
            </w:pPr>
            <w:r>
              <w:t>(42.2, range 25-79.5 years)</w:t>
            </w:r>
          </w:p>
        </w:tc>
        <w:tc>
          <w:tcPr>
            <w:tcW w:w="1297" w:type="dxa"/>
          </w:tcPr>
          <w:p w14:paraId="49550E58" w14:textId="77777777" w:rsidR="006C1E7B" w:rsidRDefault="006C1E7B" w:rsidP="00447C83">
            <w:pPr>
              <w:pStyle w:val="TableText0"/>
              <w:ind w:left="0"/>
            </w:pPr>
            <w:r>
              <w:t>2/13 (15.4)</w:t>
            </w:r>
          </w:p>
        </w:tc>
        <w:tc>
          <w:tcPr>
            <w:tcW w:w="1197" w:type="dxa"/>
          </w:tcPr>
          <w:p w14:paraId="5F141458" w14:textId="77777777" w:rsidR="006C1E7B" w:rsidRDefault="006C1E7B" w:rsidP="00447C83">
            <w:pPr>
              <w:pStyle w:val="TableText0"/>
              <w:ind w:left="0"/>
            </w:pPr>
            <w:r>
              <w:t>7/43 (16.3)</w:t>
            </w:r>
          </w:p>
        </w:tc>
        <w:tc>
          <w:tcPr>
            <w:tcW w:w="1169" w:type="dxa"/>
          </w:tcPr>
          <w:p w14:paraId="205D4DA9" w14:textId="77777777" w:rsidR="00BB4FBF" w:rsidRDefault="00BB4FBF" w:rsidP="00447C83">
            <w:pPr>
              <w:pStyle w:val="TableText0"/>
              <w:ind w:left="0"/>
            </w:pPr>
            <w:r>
              <w:t>0.935</w:t>
            </w:r>
          </w:p>
          <w:p w14:paraId="36791021" w14:textId="77777777" w:rsidR="00BB4FBF" w:rsidRDefault="00BB4FBF" w:rsidP="00447C83">
            <w:pPr>
              <w:pStyle w:val="TableText0"/>
              <w:ind w:left="0"/>
            </w:pPr>
            <w:r>
              <w:t>[0.169,5.172]</w:t>
            </w:r>
          </w:p>
          <w:p w14:paraId="5D6CA39E" w14:textId="77777777" w:rsidR="006C1E7B" w:rsidRDefault="00BB4FBF" w:rsidP="00447C83">
            <w:pPr>
              <w:pStyle w:val="TableText0"/>
              <w:ind w:left="0"/>
            </w:pPr>
            <w:r>
              <w:t>0.939</w:t>
            </w:r>
          </w:p>
        </w:tc>
        <w:tc>
          <w:tcPr>
            <w:tcW w:w="1402" w:type="dxa"/>
          </w:tcPr>
          <w:p w14:paraId="2BCDD83D" w14:textId="77777777" w:rsidR="006C1E7B" w:rsidRDefault="006C1E7B" w:rsidP="00447C83">
            <w:pPr>
              <w:pStyle w:val="TableText0"/>
              <w:ind w:left="0"/>
            </w:pPr>
            <w:r>
              <w:t>NR</w:t>
            </w:r>
          </w:p>
          <w:p w14:paraId="12ED6EF6" w14:textId="77777777" w:rsidR="00BB4FBF" w:rsidRDefault="00BB4FBF" w:rsidP="00447C83">
            <w:pPr>
              <w:pStyle w:val="TableText0"/>
              <w:ind w:left="0"/>
            </w:pPr>
            <w:r>
              <w:t xml:space="preserve"> </w:t>
            </w:r>
          </w:p>
        </w:tc>
      </w:tr>
      <w:tr w:rsidR="006C1E7B" w:rsidRPr="00312E36" w14:paraId="2BB666EF" w14:textId="77777777" w:rsidTr="006C1E7B">
        <w:tc>
          <w:tcPr>
            <w:tcW w:w="1043" w:type="dxa"/>
            <w:vMerge/>
          </w:tcPr>
          <w:p w14:paraId="0E895128" w14:textId="77777777" w:rsidR="006C1E7B" w:rsidRDefault="006C1E7B" w:rsidP="00447C83">
            <w:pPr>
              <w:pStyle w:val="TableText0"/>
              <w:ind w:left="0"/>
            </w:pPr>
          </w:p>
        </w:tc>
        <w:tc>
          <w:tcPr>
            <w:tcW w:w="1184" w:type="dxa"/>
            <w:vMerge/>
          </w:tcPr>
          <w:p w14:paraId="44FB168A" w14:textId="77777777" w:rsidR="006C1E7B" w:rsidRDefault="006C1E7B" w:rsidP="00447C83">
            <w:pPr>
              <w:pStyle w:val="TableText0"/>
              <w:ind w:left="0"/>
            </w:pPr>
          </w:p>
        </w:tc>
        <w:tc>
          <w:tcPr>
            <w:tcW w:w="1724" w:type="dxa"/>
          </w:tcPr>
          <w:p w14:paraId="6F9C9002" w14:textId="77777777" w:rsidR="006C1E7B" w:rsidRDefault="006C1E7B" w:rsidP="00447C83">
            <w:pPr>
              <w:pStyle w:val="TableText0"/>
              <w:ind w:left="0"/>
            </w:pPr>
            <w:r>
              <w:t>Recurrent ON</w:t>
            </w:r>
          </w:p>
          <w:p w14:paraId="644DA1CC" w14:textId="77777777" w:rsidR="006C1E7B" w:rsidRDefault="006C1E7B" w:rsidP="00447C83">
            <w:pPr>
              <w:pStyle w:val="TableText0"/>
              <w:ind w:left="0"/>
            </w:pPr>
            <w:r>
              <w:t>(42.2, range 25-79.5 years)</w:t>
            </w:r>
          </w:p>
        </w:tc>
        <w:tc>
          <w:tcPr>
            <w:tcW w:w="1297" w:type="dxa"/>
          </w:tcPr>
          <w:p w14:paraId="1144FFBB" w14:textId="77777777" w:rsidR="006C1E7B" w:rsidRDefault="006C1E7B" w:rsidP="00447C83">
            <w:pPr>
              <w:pStyle w:val="TableText0"/>
              <w:ind w:left="0"/>
            </w:pPr>
            <w:r>
              <w:t>4/13 (30.8)</w:t>
            </w:r>
          </w:p>
        </w:tc>
        <w:tc>
          <w:tcPr>
            <w:tcW w:w="1197" w:type="dxa"/>
          </w:tcPr>
          <w:p w14:paraId="1F135CA3" w14:textId="77777777" w:rsidR="006C1E7B" w:rsidRDefault="006C1E7B" w:rsidP="00447C83">
            <w:pPr>
              <w:pStyle w:val="TableText0"/>
              <w:ind w:left="0"/>
            </w:pPr>
            <w:r>
              <w:t>2/43 (4.7)</w:t>
            </w:r>
          </w:p>
        </w:tc>
        <w:tc>
          <w:tcPr>
            <w:tcW w:w="1169" w:type="dxa"/>
          </w:tcPr>
          <w:p w14:paraId="44D5996E" w14:textId="77777777" w:rsidR="006C1E7B" w:rsidRDefault="00BB4FBF" w:rsidP="00447C83">
            <w:pPr>
              <w:pStyle w:val="TableText0"/>
              <w:ind w:left="0"/>
            </w:pPr>
            <w:r>
              <w:t>9.111</w:t>
            </w:r>
          </w:p>
          <w:p w14:paraId="516BDDFD" w14:textId="77777777" w:rsidR="00BB4FBF" w:rsidRDefault="00BB4FBF" w:rsidP="00447C83">
            <w:pPr>
              <w:pStyle w:val="TableText0"/>
              <w:ind w:left="0"/>
            </w:pPr>
            <w:r>
              <w:t>[1.441,57.620]</w:t>
            </w:r>
          </w:p>
          <w:p w14:paraId="32300243" w14:textId="77777777" w:rsidR="00BB4FBF" w:rsidRDefault="00BB4FBF" w:rsidP="00447C83">
            <w:pPr>
              <w:pStyle w:val="TableText0"/>
              <w:ind w:left="0"/>
            </w:pPr>
            <w:r>
              <w:t>0.019</w:t>
            </w:r>
          </w:p>
        </w:tc>
        <w:tc>
          <w:tcPr>
            <w:tcW w:w="1402" w:type="dxa"/>
          </w:tcPr>
          <w:p w14:paraId="76D38586" w14:textId="77777777" w:rsidR="006C1E7B" w:rsidRDefault="006C1E7B" w:rsidP="00447C83">
            <w:pPr>
              <w:pStyle w:val="TableText0"/>
              <w:ind w:left="0"/>
            </w:pPr>
            <w:r>
              <w:t>0.022</w:t>
            </w:r>
          </w:p>
        </w:tc>
      </w:tr>
      <w:tr w:rsidR="006C1E7B" w:rsidRPr="00312E36" w14:paraId="48A6FC55" w14:textId="77777777" w:rsidTr="006C1E7B">
        <w:tc>
          <w:tcPr>
            <w:tcW w:w="1043" w:type="dxa"/>
          </w:tcPr>
          <w:p w14:paraId="0F979F0B" w14:textId="77777777" w:rsidR="006C1E7B" w:rsidRDefault="00156621" w:rsidP="00447C83">
            <w:pPr>
              <w:pStyle w:val="TableText0"/>
              <w:ind w:left="0"/>
            </w:pPr>
            <w:r>
              <w:fldChar w:fldCharType="begin">
                <w:fldData xml:space="preserve">PEVuZE5vdGU+PENpdGU+PEF1dGhvcj5NYXRzdWRhPC9BdXRob3I+PFllYXI+MjAxNTwvWWVhcj48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</w:fldData>
              </w:fldChar>
            </w:r>
            <w:r w:rsidR="00AC01FD">
              <w:instrText xml:space="preserve"> ADDIN EN.CITE </w:instrText>
            </w:r>
            <w:r w:rsidR="00AC01FD">
              <w:fldChar w:fldCharType="begin">
                <w:fldData xml:space="preserve">PEVuZE5vdGU+PENpdGU+PEF1dGhvcj5NYXRzdWRhPC9BdXRob3I+PFllYXI+MjAxNTwvWWVhcj48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</w:fldData>
              </w:fldChar>
            </w:r>
            <w:r w:rsidR="00AC01FD">
              <w:instrText xml:space="preserve"> ADDIN EN.CITE.DATA </w:instrText>
            </w:r>
            <w:r w:rsidR="00AC01FD">
              <w:fldChar w:fldCharType="end"/>
            </w:r>
            <w:r>
              <w:fldChar w:fldCharType="separate"/>
            </w:r>
            <w:r>
              <w:rPr>
                <w:noProof/>
              </w:rPr>
              <w:t>(Matsuda et al. 2015)</w:t>
            </w:r>
            <w:r>
              <w:fldChar w:fldCharType="end"/>
            </w:r>
          </w:p>
        </w:tc>
        <w:tc>
          <w:tcPr>
            <w:tcW w:w="1184" w:type="dxa"/>
          </w:tcPr>
          <w:p w14:paraId="46BD0FA9" w14:textId="77777777" w:rsidR="006C1E7B" w:rsidRDefault="006C1E7B" w:rsidP="00447C83">
            <w:pPr>
              <w:pStyle w:val="TableText0"/>
              <w:ind w:left="0"/>
            </w:pPr>
            <w:r>
              <w:t>ON</w:t>
            </w:r>
          </w:p>
          <w:p w14:paraId="5E0E95BE" w14:textId="77777777" w:rsidR="006C1E7B" w:rsidRDefault="006C1E7B" w:rsidP="00447C83">
            <w:pPr>
              <w:pStyle w:val="TableText0"/>
              <w:ind w:left="0"/>
            </w:pPr>
            <w:r>
              <w:t>N=70</w:t>
            </w:r>
          </w:p>
        </w:tc>
        <w:tc>
          <w:tcPr>
            <w:tcW w:w="1724" w:type="dxa"/>
          </w:tcPr>
          <w:p w14:paraId="70938192" w14:textId="77777777" w:rsidR="006C1E7B" w:rsidRDefault="006C1E7B" w:rsidP="00447C83">
            <w:pPr>
              <w:pStyle w:val="TableText0"/>
              <w:ind w:left="0"/>
            </w:pPr>
            <w:r>
              <w:t>ARR of ON</w:t>
            </w:r>
          </w:p>
          <w:p w14:paraId="65DEBF4A" w14:textId="77777777" w:rsidR="006C1E7B" w:rsidRDefault="006C1E7B" w:rsidP="00447C83">
            <w:pPr>
              <w:pStyle w:val="TableText0"/>
              <w:ind w:left="0"/>
            </w:pPr>
            <w:r>
              <w:t>(Mean 2.8±1.1 years)</w:t>
            </w:r>
          </w:p>
        </w:tc>
        <w:tc>
          <w:tcPr>
            <w:tcW w:w="1297" w:type="dxa"/>
          </w:tcPr>
          <w:p w14:paraId="2D5D6076" w14:textId="77777777" w:rsidR="006C1E7B" w:rsidRDefault="006C1E7B" w:rsidP="00447C83">
            <w:pPr>
              <w:pStyle w:val="TableText0"/>
              <w:ind w:left="0"/>
            </w:pPr>
            <w:r>
              <w:t>0.82</w:t>
            </w:r>
          </w:p>
        </w:tc>
        <w:tc>
          <w:tcPr>
            <w:tcW w:w="1197" w:type="dxa"/>
          </w:tcPr>
          <w:p w14:paraId="724A5BE4" w14:textId="77777777" w:rsidR="006C1E7B" w:rsidRDefault="006C1E7B" w:rsidP="00447C83">
            <w:pPr>
              <w:pStyle w:val="TableText0"/>
              <w:ind w:left="0"/>
            </w:pPr>
            <w:r>
              <w:t>0.40</w:t>
            </w:r>
          </w:p>
        </w:tc>
        <w:tc>
          <w:tcPr>
            <w:tcW w:w="1169" w:type="dxa"/>
          </w:tcPr>
          <w:p w14:paraId="29B42F8B" w14:textId="77777777" w:rsidR="006C1E7B" w:rsidRDefault="00975F29" w:rsidP="00447C83">
            <w:pPr>
              <w:pStyle w:val="TableText0"/>
              <w:ind w:left="0"/>
            </w:pPr>
            <w:r>
              <w:t>-</w:t>
            </w:r>
          </w:p>
        </w:tc>
        <w:tc>
          <w:tcPr>
            <w:tcW w:w="1402" w:type="dxa"/>
          </w:tcPr>
          <w:p w14:paraId="0090A8C3" w14:textId="77777777" w:rsidR="006C1E7B" w:rsidRDefault="006C1E7B" w:rsidP="00447C83">
            <w:pPr>
              <w:pStyle w:val="TableText0"/>
              <w:ind w:left="0"/>
            </w:pPr>
            <w:r>
              <w:t>0.0005</w:t>
            </w:r>
          </w:p>
        </w:tc>
      </w:tr>
    </w:tbl>
    <w:p w14:paraId="492B2B43" w14:textId="77777777" w:rsidR="003A5798" w:rsidRDefault="00A75524" w:rsidP="006C1E7B">
      <w:pPr>
        <w:pStyle w:val="Tablenotes0"/>
      </w:pPr>
      <w:r>
        <w:t xml:space="preserve">ARR = </w:t>
      </w:r>
      <w:r w:rsidR="006C1E7B">
        <w:t>annualised relapse rate</w:t>
      </w:r>
      <w:r w:rsidR="00467BC2">
        <w:t>; LETM = longitudinally extensive transverse myelitis; MOG-Ab = myelin oligodendrocyte glycoprotein antibody; NR = not reported; ON = optic neuritis</w:t>
      </w:r>
      <w:r w:rsidR="00DD3281">
        <w:t>; OR = odds ratio</w:t>
      </w:r>
    </w:p>
    <w:p w14:paraId="18277B3D" w14:textId="77777777" w:rsidR="00467BC2" w:rsidRPr="004034F6" w:rsidRDefault="00467BC2" w:rsidP="00467BC2">
      <w:pPr>
        <w:pStyle w:val="Tablenotes0"/>
        <w:rPr>
          <w:rFonts w:cs="Tahoma"/>
          <w:snapToGrid/>
          <w:sz w:val="20"/>
          <w:szCs w:val="22"/>
          <w:vertAlign w:val="superscript"/>
        </w:rPr>
      </w:pPr>
      <w:r>
        <w:rPr>
          <w:vertAlign w:val="superscript"/>
        </w:rPr>
        <w:t xml:space="preserve">a </w:t>
      </w:r>
      <w:r>
        <w:t>values calculated using MedCalc</w:t>
      </w:r>
    </w:p>
    <w:p w14:paraId="3DAF9B17" w14:textId="77777777" w:rsidR="00467BC2" w:rsidRPr="007763C4" w:rsidRDefault="00467BC2" w:rsidP="00467BC2">
      <w:pPr>
        <w:pStyle w:val="Tablenotes0"/>
        <w:spacing w:after="60"/>
      </w:pPr>
      <w:r>
        <w:rPr>
          <w:rFonts w:cs="Tahoma"/>
          <w:snapToGrid/>
          <w:sz w:val="20"/>
          <w:szCs w:val="22"/>
          <w:vertAlign w:val="superscript"/>
        </w:rPr>
        <w:t xml:space="preserve">b </w:t>
      </w:r>
      <w:r w:rsidRPr="003B773A">
        <w:t xml:space="preserve">published P-value </w:t>
      </w:r>
    </w:p>
    <w:p w14:paraId="14DDA995" w14:textId="77777777" w:rsidR="00467BC2" w:rsidRDefault="00467BC2" w:rsidP="006C1E7B">
      <w:pPr>
        <w:pStyle w:val="Tablenotes0"/>
      </w:pPr>
    </w:p>
    <w:p w14:paraId="16BF8602" w14:textId="77777777" w:rsidR="00C40358" w:rsidRPr="00370DAA" w:rsidRDefault="00C40358" w:rsidP="00C40358">
      <w:pPr>
        <w:pStyle w:val="Heading3"/>
      </w:pPr>
      <w:bookmarkStart w:id="271" w:name="_Toc39588320"/>
      <w:r w:rsidRPr="00370DAA">
        <w:lastRenderedPageBreak/>
        <w:t>AQP4-Ab</w:t>
      </w:r>
      <w:r>
        <w:t xml:space="preserve"> seropositive compared with seronegative patients</w:t>
      </w:r>
      <w:r w:rsidRPr="00370DAA">
        <w:t xml:space="preserve"> </w:t>
      </w:r>
      <w:r>
        <w:t>diagnosed with NMOSD</w:t>
      </w:r>
      <w:bookmarkEnd w:id="271"/>
    </w:p>
    <w:p w14:paraId="4C84BC23" w14:textId="77777777" w:rsidR="00C40358" w:rsidRPr="00F87398" w:rsidRDefault="00C40358" w:rsidP="00C40358">
      <w:pPr>
        <w:pStyle w:val="Heading4"/>
      </w:pPr>
      <w:r w:rsidRPr="00F87398">
        <w:t>Visual impairment</w:t>
      </w:r>
    </w:p>
    <w:p w14:paraId="1B327A83" w14:textId="08188661" w:rsidR="00C40358" w:rsidRPr="00F87398" w:rsidRDefault="00C40358" w:rsidP="00C40358">
      <w:r w:rsidRPr="00F87398">
        <w:t xml:space="preserve">One SR </w:t>
      </w:r>
      <w:r w:rsidRPr="00F87398">
        <w:fldChar w:fldCharType="begin">
          <w:fldData xml:space="preserve">PEVuZE5vdGU+PENpdGU+PEF1dGhvcj5MaW48L0F1dGhvcj48WWVhcj4yMDE3PC9ZZWFyPjxSZWNO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</w:fldData>
        </w:fldChar>
      </w:r>
      <w:r w:rsidR="00AC01FD">
        <w:instrText xml:space="preserve"> ADDIN EN.CITE </w:instrText>
      </w:r>
      <w:r w:rsidR="00AC01FD">
        <w:fldChar w:fldCharType="begin">
          <w:fldData xml:space="preserve">PEVuZE5vdGU+PENpdGU+PEF1dGhvcj5MaW48L0F1dGhvcj48WWVhcj4yMDE3PC9ZZWFyPjxSZWNO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</w:fldData>
        </w:fldChar>
      </w:r>
      <w:r w:rsidR="00AC01FD">
        <w:instrText xml:space="preserve"> ADDIN EN.CITE.DATA </w:instrText>
      </w:r>
      <w:r w:rsidR="00AC01FD">
        <w:fldChar w:fldCharType="end"/>
      </w:r>
      <w:r w:rsidRPr="00F87398">
        <w:fldChar w:fldCharType="separate"/>
      </w:r>
      <w:r w:rsidR="00576185">
        <w:rPr>
          <w:noProof/>
        </w:rPr>
        <w:t>(Lin</w:t>
      </w:r>
      <w:r w:rsidRPr="00F87398">
        <w:rPr>
          <w:noProof/>
        </w:rPr>
        <w:t xml:space="preserve"> et al. 2017)</w:t>
      </w:r>
      <w:r w:rsidRPr="00F87398">
        <w:fldChar w:fldCharType="end"/>
      </w:r>
      <w:r w:rsidRPr="00F87398">
        <w:t xml:space="preserve"> performed a meta-analysis of visual impairment in NMO patients</w:t>
      </w:r>
      <w:r>
        <w:t>,</w:t>
      </w:r>
      <w:r w:rsidRPr="00F87398">
        <w:t xml:space="preserve"> comparing outcomes between </w:t>
      </w:r>
      <w:r w:rsidR="00711329">
        <w:t xml:space="preserve">those testing </w:t>
      </w:r>
      <w:r w:rsidRPr="00F87398">
        <w:t>AQP4-Ab positive and negative. Follow-up periods ranged from 1 year to &gt; 10 years amongst 16 of the 18 included articles</w:t>
      </w:r>
      <w:r w:rsidR="00711329">
        <w:t xml:space="preserve"> </w:t>
      </w:r>
      <w:r>
        <w:t>that stated this factor</w:t>
      </w:r>
      <w:r w:rsidRPr="00F87398">
        <w:t xml:space="preserve">. The studies were performed in populations from </w:t>
      </w:r>
      <w:r>
        <w:t>Asia, the USA and Europe.</w:t>
      </w:r>
      <w:r w:rsidRPr="00F87398">
        <w:t xml:space="preserve"> AQP4-Ab positivity was found to be associated with worse visual impairment when co</w:t>
      </w:r>
      <w:r>
        <w:t>mpared with AQP4-Ab negativity using a random</w:t>
      </w:r>
      <w:r w:rsidR="00711329">
        <w:t xml:space="preserve"> </w:t>
      </w:r>
      <w:r>
        <w:t>effects model (</w:t>
      </w:r>
      <w:r w:rsidRPr="00F87398">
        <w:t xml:space="preserve">OR 3.16; 95%CI 1.09, 9.19; p = 0.03). </w:t>
      </w:r>
      <w:r>
        <w:t>V</w:t>
      </w:r>
      <w:r w:rsidRPr="00F87398">
        <w:t xml:space="preserve">isual impairment measures varied amongst the studies </w:t>
      </w:r>
      <w:r w:rsidR="00711329">
        <w:t>(although</w:t>
      </w:r>
      <w:r w:rsidRPr="00F87398">
        <w:t xml:space="preserve"> not clarified in the SR</w:t>
      </w:r>
      <w:r w:rsidR="00711329">
        <w:t>)</w:t>
      </w:r>
      <w:r w:rsidRPr="00F87398">
        <w:t xml:space="preserve"> </w:t>
      </w:r>
      <w:r>
        <w:t>and</w:t>
      </w:r>
      <w:r w:rsidRPr="00F87398">
        <w:t xml:space="preserve"> </w:t>
      </w:r>
      <w:r>
        <w:t>h</w:t>
      </w:r>
      <w:r w:rsidRPr="00F87398">
        <w:t>eterogeneity was found to be high (p=0.001, I</w:t>
      </w:r>
      <w:r w:rsidRPr="00F87398">
        <w:rPr>
          <w:vertAlign w:val="superscript"/>
        </w:rPr>
        <w:t>2</w:t>
      </w:r>
      <w:r w:rsidRPr="00F87398">
        <w:t>=69%)</w:t>
      </w:r>
      <w:r>
        <w:t xml:space="preserve">. </w:t>
      </w:r>
      <w:r w:rsidR="00711329">
        <w:t>The</w:t>
      </w:r>
      <w:r w:rsidRPr="00F87398">
        <w:t xml:space="preserve"> risk of publication bias was assessed as low by funnel plot.</w:t>
      </w:r>
    </w:p>
    <w:p w14:paraId="7A92A75D" w14:textId="527D8CAC" w:rsidR="00C40358" w:rsidRPr="00F87398" w:rsidRDefault="00C40358" w:rsidP="00C40358">
      <w:r w:rsidRPr="00F87398">
        <w:t>In a subgroup analysis of AQP4-Ab assay types, only cell-based assays found a statistically significant association between AQP4-Ab positivity and worse visual impairment. ELISA and IIF assays showed a similar trend but a statistically significant association was not found</w:t>
      </w:r>
      <w:r w:rsidR="00711329">
        <w:t xml:space="preserve"> </w:t>
      </w:r>
      <w:r w:rsidR="00D07382">
        <w:t>(</w:t>
      </w:r>
      <w:r w:rsidR="00D07382">
        <w:fldChar w:fldCharType="begin"/>
      </w:r>
      <w:r w:rsidR="00D07382">
        <w:instrText xml:space="preserve"> REF _Ref31206801 \h </w:instrText>
      </w:r>
      <w:r w:rsidR="00D07382">
        <w:fldChar w:fldCharType="separate"/>
      </w:r>
      <w:r w:rsidR="00D07382">
        <w:t xml:space="preserve">Table </w:t>
      </w:r>
      <w:r w:rsidR="00D07382">
        <w:rPr>
          <w:noProof/>
        </w:rPr>
        <w:t>38</w:t>
      </w:r>
      <w:r w:rsidR="00D07382">
        <w:fldChar w:fldCharType="end"/>
      </w:r>
      <w:r w:rsidR="00D07382">
        <w:t>)</w:t>
      </w:r>
      <w:r w:rsidRPr="00F87398">
        <w:t>.</w:t>
      </w:r>
    </w:p>
    <w:p w14:paraId="672B8854" w14:textId="721C2F12" w:rsidR="00C40358" w:rsidRPr="00F87398" w:rsidRDefault="00C40358" w:rsidP="00C40358">
      <w:pPr>
        <w:pStyle w:val="Caption"/>
        <w:keepLines/>
        <w:ind w:left="720" w:hanging="720"/>
      </w:pPr>
      <w:bookmarkStart w:id="272" w:name="_Toc39580819"/>
      <w:r w:rsidRPr="00F87398">
        <w:t xml:space="preserve">Table </w:t>
      </w:r>
      <w:r w:rsidRPr="00C40358">
        <w:fldChar w:fldCharType="begin"/>
      </w:r>
      <w:r w:rsidRPr="00F87398">
        <w:instrText xml:space="preserve"> SEQ Table \* ARABIC </w:instrText>
      </w:r>
      <w:r w:rsidRPr="00C40358">
        <w:fldChar w:fldCharType="separate"/>
      </w:r>
      <w:r w:rsidR="00FA7BCD">
        <w:rPr>
          <w:noProof/>
        </w:rPr>
        <w:t>38</w:t>
      </w:r>
      <w:r w:rsidRPr="00C40358">
        <w:rPr>
          <w:noProof/>
        </w:rPr>
        <w:fldChar w:fldCharType="end"/>
      </w:r>
      <w:r w:rsidRPr="00F87398">
        <w:tab/>
        <w:t xml:space="preserve">Occurrence of visual impairment at last follow-up in AQP4-AB positive compared with AQP4-Ab negative NMO patients </w:t>
      </w:r>
      <w:r w:rsidRPr="00C40358">
        <w:fldChar w:fldCharType="begin">
          <w:fldData xml:space="preserve">PEVuZE5vdGU+PENpdGU+PEF1dGhvcj5MaW48L0F1dGhvcj48WWVhcj4yMDE3PC9ZZWFyPjxSZWNO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</w:fldData>
        </w:fldChar>
      </w:r>
      <w:r w:rsidR="00AC01FD">
        <w:instrText xml:space="preserve"> ADDIN EN.CITE </w:instrText>
      </w:r>
      <w:r w:rsidR="00AC01FD">
        <w:fldChar w:fldCharType="begin">
          <w:fldData xml:space="preserve">PEVuZE5vdGU+PENpdGU+PEF1dGhvcj5MaW48L0F1dGhvcj48WWVhcj4yMDE3PC9ZZWFyPjxSZWNO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</w:fldData>
        </w:fldChar>
      </w:r>
      <w:r w:rsidR="00AC01FD">
        <w:instrText xml:space="preserve"> ADDIN EN.CITE.DATA </w:instrText>
      </w:r>
      <w:r w:rsidR="00AC01FD">
        <w:fldChar w:fldCharType="end"/>
      </w:r>
      <w:r w:rsidRPr="00C40358">
        <w:fldChar w:fldCharType="separate"/>
      </w:r>
      <w:r w:rsidRPr="00F87398">
        <w:rPr>
          <w:noProof/>
        </w:rPr>
        <w:t>(Lin et al. 2017)</w:t>
      </w:r>
      <w:bookmarkEnd w:id="272"/>
      <w:r w:rsidRPr="00C40358">
        <w:fldChar w:fldCharType="end"/>
      </w:r>
    </w:p>
    <w:tbl>
      <w:tblPr>
        <w:tblStyle w:val="TableGrid"/>
        <w:tblW w:w="9067" w:type="dxa"/>
        <w:tblLook w:val="04A0" w:firstRow="1" w:lastRow="0" w:firstColumn="1" w:lastColumn="0" w:noHBand="0" w:noVBand="1"/>
        <w:tblCaption w:val="Table 38 Occurrence of visual impairment at last follow-up in AQP4-AB positive compared with AQP4-Ab negative NMO patients (Lin, N et al. 2017)"/>
        <w:tblDescription w:val="A comparison of change in visual impairment between AQP4-Ab positive and negative patients diagnosed with NMOSD, stratified by assay type."/>
      </w:tblPr>
      <w:tblGrid>
        <w:gridCol w:w="1696"/>
        <w:gridCol w:w="1985"/>
        <w:gridCol w:w="1843"/>
        <w:gridCol w:w="2126"/>
        <w:gridCol w:w="1417"/>
      </w:tblGrid>
      <w:tr w:rsidR="00C40358" w:rsidRPr="00C40358" w14:paraId="78678B14" w14:textId="77777777" w:rsidTr="002647F8">
        <w:trPr>
          <w:trHeight w:val="576"/>
        </w:trPr>
        <w:tc>
          <w:tcPr>
            <w:tcW w:w="1696" w:type="dxa"/>
          </w:tcPr>
          <w:p w14:paraId="0C19EDF0" w14:textId="77777777" w:rsidR="00C40358" w:rsidRPr="00F87398" w:rsidRDefault="00C40358" w:rsidP="00447C83">
            <w:pPr>
              <w:pStyle w:val="TableText0"/>
              <w:ind w:left="0"/>
            </w:pPr>
            <w:r w:rsidRPr="00F87398">
              <w:t xml:space="preserve">Meta-analysis </w:t>
            </w:r>
          </w:p>
          <w:p w14:paraId="59C9C77C" w14:textId="77777777" w:rsidR="00C40358" w:rsidRPr="00F87398" w:rsidRDefault="00C40358" w:rsidP="00447C83">
            <w:pPr>
              <w:pStyle w:val="TableText0"/>
              <w:ind w:left="0"/>
            </w:pPr>
            <w:r w:rsidRPr="00F87398">
              <w:t>K studies</w:t>
            </w:r>
          </w:p>
        </w:tc>
        <w:tc>
          <w:tcPr>
            <w:tcW w:w="1985" w:type="dxa"/>
          </w:tcPr>
          <w:p w14:paraId="2CF6BBD6" w14:textId="77777777" w:rsidR="00C40358" w:rsidRPr="00F87398" w:rsidRDefault="00C40358" w:rsidP="00447C83">
            <w:pPr>
              <w:pStyle w:val="TableText0"/>
              <w:ind w:left="0"/>
            </w:pPr>
            <w:r w:rsidRPr="00F87398">
              <w:t>AQP4-Ab +ve</w:t>
            </w:r>
          </w:p>
          <w:p w14:paraId="1090C7C7" w14:textId="77777777" w:rsidR="00C40358" w:rsidRPr="00F87398" w:rsidRDefault="00C40358" w:rsidP="00447C83">
            <w:pPr>
              <w:pStyle w:val="TableText0"/>
              <w:ind w:left="0"/>
            </w:pPr>
            <w:r w:rsidRPr="00F87398">
              <w:t>n/N (%)</w:t>
            </w:r>
          </w:p>
        </w:tc>
        <w:tc>
          <w:tcPr>
            <w:tcW w:w="1843" w:type="dxa"/>
          </w:tcPr>
          <w:p w14:paraId="1D4CD844" w14:textId="77777777" w:rsidR="00C40358" w:rsidRPr="00F87398" w:rsidRDefault="00C40358" w:rsidP="00447C83">
            <w:pPr>
              <w:pStyle w:val="TableText0"/>
              <w:ind w:left="0"/>
            </w:pPr>
            <w:r w:rsidRPr="00F87398">
              <w:t>AQP4-Ab -ve</w:t>
            </w:r>
          </w:p>
          <w:p w14:paraId="28115A4F" w14:textId="77777777" w:rsidR="00C40358" w:rsidRPr="00F87398" w:rsidRDefault="00C40358" w:rsidP="00447C83">
            <w:pPr>
              <w:pStyle w:val="TableText0"/>
              <w:ind w:left="0"/>
            </w:pPr>
            <w:r w:rsidRPr="00F87398">
              <w:t>n/N (%)</w:t>
            </w:r>
          </w:p>
        </w:tc>
        <w:tc>
          <w:tcPr>
            <w:tcW w:w="2126" w:type="dxa"/>
          </w:tcPr>
          <w:p w14:paraId="3CC2459E" w14:textId="77777777" w:rsidR="00C40358" w:rsidRPr="00F87398" w:rsidRDefault="00C40358" w:rsidP="00447C83">
            <w:pPr>
              <w:pStyle w:val="TableText0"/>
              <w:ind w:left="0"/>
              <w:rPr>
                <w:vertAlign w:val="superscript"/>
              </w:rPr>
            </w:pPr>
            <w:r w:rsidRPr="00F87398">
              <w:t>OR</w:t>
            </w:r>
            <w:r w:rsidRPr="00F87398">
              <w:rPr>
                <w:vertAlign w:val="superscript"/>
              </w:rPr>
              <w:t>a</w:t>
            </w:r>
          </w:p>
          <w:p w14:paraId="03F58BBA" w14:textId="77777777" w:rsidR="00C40358" w:rsidRPr="00F87398" w:rsidRDefault="00C40358" w:rsidP="00447C83">
            <w:pPr>
              <w:pStyle w:val="TableText0"/>
              <w:ind w:left="0"/>
            </w:pPr>
            <w:r w:rsidRPr="00F87398">
              <w:t>[95% CI]</w:t>
            </w:r>
          </w:p>
        </w:tc>
        <w:tc>
          <w:tcPr>
            <w:tcW w:w="1417" w:type="dxa"/>
          </w:tcPr>
          <w:p w14:paraId="7DFE236D" w14:textId="77777777" w:rsidR="00C40358" w:rsidRPr="00F87398" w:rsidRDefault="00C40358" w:rsidP="00447C83">
            <w:pPr>
              <w:pStyle w:val="TableText0"/>
              <w:ind w:left="0"/>
            </w:pPr>
            <w:r w:rsidRPr="00F87398">
              <w:t>Difference</w:t>
            </w:r>
          </w:p>
          <w:p w14:paraId="19A20A08" w14:textId="77777777" w:rsidR="00C40358" w:rsidRPr="00F87398" w:rsidRDefault="00C40358" w:rsidP="00447C83">
            <w:pPr>
              <w:pStyle w:val="TableText0"/>
              <w:ind w:left="0"/>
              <w:rPr>
                <w:vertAlign w:val="superscript"/>
              </w:rPr>
            </w:pPr>
            <w:r w:rsidRPr="00F87398">
              <w:t>P value</w:t>
            </w:r>
            <w:r w:rsidRPr="00F87398">
              <w:rPr>
                <w:vertAlign w:val="superscript"/>
              </w:rPr>
              <w:t>a</w:t>
            </w:r>
          </w:p>
        </w:tc>
      </w:tr>
      <w:tr w:rsidR="00C40358" w:rsidRPr="00C40358" w14:paraId="3AC7B9D4" w14:textId="77777777" w:rsidTr="002647F8">
        <w:trPr>
          <w:trHeight w:val="445"/>
        </w:trPr>
        <w:tc>
          <w:tcPr>
            <w:tcW w:w="1696" w:type="dxa"/>
          </w:tcPr>
          <w:p w14:paraId="374F649E" w14:textId="77777777" w:rsidR="00C40358" w:rsidRPr="00C40358" w:rsidRDefault="00C40358" w:rsidP="00447C83">
            <w:pPr>
              <w:pStyle w:val="TableText0"/>
              <w:ind w:left="0"/>
            </w:pPr>
            <w:r w:rsidRPr="00C40358">
              <w:t>All assay types</w:t>
            </w:r>
          </w:p>
          <w:p w14:paraId="7BD3E008" w14:textId="77777777" w:rsidR="00C40358" w:rsidRPr="00C40358" w:rsidRDefault="00C40358" w:rsidP="00447C83">
            <w:pPr>
              <w:pStyle w:val="TableText0"/>
              <w:ind w:left="0"/>
            </w:pPr>
            <w:r w:rsidRPr="00C40358">
              <w:t>K=9</w:t>
            </w:r>
          </w:p>
        </w:tc>
        <w:tc>
          <w:tcPr>
            <w:tcW w:w="1985" w:type="dxa"/>
          </w:tcPr>
          <w:p w14:paraId="0A467C8F" w14:textId="77777777" w:rsidR="00C40358" w:rsidRPr="00C40358" w:rsidRDefault="00C40358" w:rsidP="00447C83">
            <w:pPr>
              <w:pStyle w:val="TableText0"/>
              <w:ind w:left="0"/>
            </w:pPr>
            <w:r w:rsidRPr="00C40358">
              <w:t>299/529 (57)</w:t>
            </w:r>
          </w:p>
        </w:tc>
        <w:tc>
          <w:tcPr>
            <w:tcW w:w="1843" w:type="dxa"/>
          </w:tcPr>
          <w:p w14:paraId="4D2531EC" w14:textId="77777777" w:rsidR="00C40358" w:rsidRPr="00C40358" w:rsidRDefault="00C40358" w:rsidP="00447C83">
            <w:pPr>
              <w:pStyle w:val="TableText0"/>
              <w:ind w:left="0"/>
            </w:pPr>
            <w:r w:rsidRPr="00C40358">
              <w:t>46/116 (40)</w:t>
            </w:r>
          </w:p>
        </w:tc>
        <w:tc>
          <w:tcPr>
            <w:tcW w:w="2126" w:type="dxa"/>
          </w:tcPr>
          <w:p w14:paraId="26F8F883" w14:textId="77777777" w:rsidR="00C40358" w:rsidRPr="00C40358" w:rsidRDefault="00C40358" w:rsidP="00447C83">
            <w:pPr>
              <w:pStyle w:val="TableText0"/>
              <w:ind w:left="0"/>
            </w:pPr>
            <w:r w:rsidRPr="00C40358">
              <w:t>3.16</w:t>
            </w:r>
          </w:p>
          <w:p w14:paraId="386281E5" w14:textId="77777777" w:rsidR="00C40358" w:rsidRPr="00C40358" w:rsidRDefault="00C40358" w:rsidP="00447C83">
            <w:pPr>
              <w:pStyle w:val="TableText0"/>
              <w:ind w:left="0"/>
            </w:pPr>
            <w:r w:rsidRPr="00C40358">
              <w:t>[1.09, 9.19]</w:t>
            </w:r>
          </w:p>
        </w:tc>
        <w:tc>
          <w:tcPr>
            <w:tcW w:w="1417" w:type="dxa"/>
          </w:tcPr>
          <w:p w14:paraId="361E12E5" w14:textId="77777777" w:rsidR="00C40358" w:rsidRPr="00C40358" w:rsidRDefault="00C40358" w:rsidP="00447C83">
            <w:pPr>
              <w:pStyle w:val="TableText0"/>
              <w:ind w:left="0"/>
            </w:pPr>
            <w:r w:rsidRPr="00C40358">
              <w:t>0.03</w:t>
            </w:r>
          </w:p>
        </w:tc>
      </w:tr>
      <w:tr w:rsidR="00C40358" w:rsidRPr="00C40358" w14:paraId="6563D184" w14:textId="77777777" w:rsidTr="002647F8">
        <w:trPr>
          <w:trHeight w:val="254"/>
        </w:trPr>
        <w:tc>
          <w:tcPr>
            <w:tcW w:w="1696" w:type="dxa"/>
          </w:tcPr>
          <w:p w14:paraId="1B30BD4E" w14:textId="77777777" w:rsidR="00C40358" w:rsidRPr="00C40358" w:rsidRDefault="00C40358" w:rsidP="00447C83">
            <w:pPr>
              <w:pStyle w:val="TableText0"/>
              <w:ind w:left="0"/>
            </w:pPr>
            <w:r w:rsidRPr="00C40358">
              <w:t>CBA assays</w:t>
            </w:r>
          </w:p>
          <w:p w14:paraId="37DB1129" w14:textId="77777777" w:rsidR="00C40358" w:rsidRPr="00C40358" w:rsidRDefault="00C40358" w:rsidP="00447C83">
            <w:pPr>
              <w:pStyle w:val="TableText0"/>
              <w:ind w:left="0"/>
            </w:pPr>
            <w:r w:rsidRPr="00C40358">
              <w:t>K=3</w:t>
            </w:r>
          </w:p>
        </w:tc>
        <w:tc>
          <w:tcPr>
            <w:tcW w:w="1985" w:type="dxa"/>
          </w:tcPr>
          <w:p w14:paraId="6A2E11BB" w14:textId="77777777" w:rsidR="00C40358" w:rsidRPr="00C40358" w:rsidRDefault="00C40358" w:rsidP="00447C83">
            <w:pPr>
              <w:pStyle w:val="TableText0"/>
              <w:ind w:left="0"/>
            </w:pPr>
            <w:r w:rsidRPr="00C40358">
              <w:t>50/79 (64)</w:t>
            </w:r>
          </w:p>
        </w:tc>
        <w:tc>
          <w:tcPr>
            <w:tcW w:w="1843" w:type="dxa"/>
          </w:tcPr>
          <w:p w14:paraId="046B29D9" w14:textId="77777777" w:rsidR="00C40358" w:rsidRPr="00C40358" w:rsidRDefault="00C40358" w:rsidP="00447C83">
            <w:pPr>
              <w:pStyle w:val="TableText0"/>
              <w:ind w:left="0"/>
            </w:pPr>
            <w:r w:rsidRPr="00C40358">
              <w:t>4/31 (13)</w:t>
            </w:r>
          </w:p>
        </w:tc>
        <w:tc>
          <w:tcPr>
            <w:tcW w:w="2126" w:type="dxa"/>
          </w:tcPr>
          <w:p w14:paraId="1E31276D" w14:textId="77777777" w:rsidR="00C40358" w:rsidRPr="00C40358" w:rsidRDefault="00C40358" w:rsidP="00447C83">
            <w:pPr>
              <w:pStyle w:val="TableText0"/>
              <w:ind w:left="0"/>
            </w:pPr>
            <w:r w:rsidRPr="00C40358">
              <w:t xml:space="preserve">9.32 </w:t>
            </w:r>
          </w:p>
          <w:p w14:paraId="5EC23FE9" w14:textId="77777777" w:rsidR="00C40358" w:rsidRPr="00C40358" w:rsidRDefault="00C40358" w:rsidP="00447C83">
            <w:pPr>
              <w:pStyle w:val="TableText0"/>
              <w:ind w:left="0"/>
            </w:pPr>
            <w:r w:rsidRPr="00C40358">
              <w:t>[3.01, 28.84]</w:t>
            </w:r>
          </w:p>
        </w:tc>
        <w:tc>
          <w:tcPr>
            <w:tcW w:w="1417" w:type="dxa"/>
          </w:tcPr>
          <w:p w14:paraId="5D1ABA24" w14:textId="77777777" w:rsidR="00C40358" w:rsidRPr="00C40358" w:rsidRDefault="00C40358" w:rsidP="00447C83">
            <w:pPr>
              <w:pStyle w:val="TableText0"/>
              <w:ind w:left="0"/>
            </w:pPr>
            <w:r w:rsidRPr="00C40358">
              <w:t>0.0001</w:t>
            </w:r>
          </w:p>
        </w:tc>
      </w:tr>
      <w:tr w:rsidR="00C40358" w:rsidRPr="00C40358" w14:paraId="43B47E78" w14:textId="77777777" w:rsidTr="002647F8">
        <w:trPr>
          <w:trHeight w:val="254"/>
        </w:trPr>
        <w:tc>
          <w:tcPr>
            <w:tcW w:w="1696" w:type="dxa"/>
          </w:tcPr>
          <w:p w14:paraId="41699802" w14:textId="77777777" w:rsidR="00C40358" w:rsidRPr="00C40358" w:rsidRDefault="00C40358" w:rsidP="00447C83">
            <w:pPr>
              <w:pStyle w:val="TableText0"/>
              <w:ind w:left="0"/>
            </w:pPr>
            <w:r w:rsidRPr="00C40358">
              <w:t>IIF assays</w:t>
            </w:r>
          </w:p>
          <w:p w14:paraId="0AF96384" w14:textId="77777777" w:rsidR="00C40358" w:rsidRPr="00C40358" w:rsidRDefault="00C40358" w:rsidP="00447C83">
            <w:pPr>
              <w:pStyle w:val="TableText0"/>
              <w:ind w:left="0"/>
            </w:pPr>
            <w:r w:rsidRPr="00C40358">
              <w:t>K=5</w:t>
            </w:r>
          </w:p>
        </w:tc>
        <w:tc>
          <w:tcPr>
            <w:tcW w:w="1985" w:type="dxa"/>
          </w:tcPr>
          <w:p w14:paraId="1C6B69D1" w14:textId="77777777" w:rsidR="00C40358" w:rsidRPr="00C40358" w:rsidRDefault="00C40358" w:rsidP="00447C83">
            <w:pPr>
              <w:pStyle w:val="TableText0"/>
              <w:ind w:left="0"/>
            </w:pPr>
            <w:r w:rsidRPr="00C40358">
              <w:t>239/433 (55)</w:t>
            </w:r>
          </w:p>
        </w:tc>
        <w:tc>
          <w:tcPr>
            <w:tcW w:w="1843" w:type="dxa"/>
          </w:tcPr>
          <w:p w14:paraId="5FC72681" w14:textId="77777777" w:rsidR="00C40358" w:rsidRPr="00C40358" w:rsidRDefault="00C40358" w:rsidP="00447C83">
            <w:pPr>
              <w:pStyle w:val="TableText0"/>
              <w:ind w:left="0"/>
            </w:pPr>
            <w:r w:rsidRPr="00C40358">
              <w:t>37/73 (51)</w:t>
            </w:r>
          </w:p>
        </w:tc>
        <w:tc>
          <w:tcPr>
            <w:tcW w:w="2126" w:type="dxa"/>
          </w:tcPr>
          <w:p w14:paraId="761D09D0" w14:textId="77777777" w:rsidR="00C40358" w:rsidRPr="00C40358" w:rsidRDefault="00C40358" w:rsidP="00447C83">
            <w:pPr>
              <w:pStyle w:val="TableText0"/>
              <w:ind w:left="0"/>
            </w:pPr>
            <w:r w:rsidRPr="00C40358">
              <w:t>2.13</w:t>
            </w:r>
          </w:p>
          <w:p w14:paraId="530E606E" w14:textId="77777777" w:rsidR="00C40358" w:rsidRPr="00C40358" w:rsidRDefault="00C40358" w:rsidP="00447C83">
            <w:pPr>
              <w:pStyle w:val="TableText0"/>
              <w:ind w:left="0"/>
            </w:pPr>
            <w:r w:rsidRPr="00C40358">
              <w:t>[0.25, 17.92]</w:t>
            </w:r>
          </w:p>
        </w:tc>
        <w:tc>
          <w:tcPr>
            <w:tcW w:w="1417" w:type="dxa"/>
          </w:tcPr>
          <w:p w14:paraId="69963D24" w14:textId="77777777" w:rsidR="00C40358" w:rsidRPr="00C40358" w:rsidRDefault="00C40358" w:rsidP="00447C83">
            <w:pPr>
              <w:pStyle w:val="TableText0"/>
              <w:ind w:left="0"/>
            </w:pPr>
            <w:r w:rsidRPr="00C40358">
              <w:t>0.49</w:t>
            </w:r>
          </w:p>
        </w:tc>
      </w:tr>
      <w:tr w:rsidR="00C40358" w:rsidRPr="00C40358" w14:paraId="0C88F58D" w14:textId="77777777" w:rsidTr="002647F8">
        <w:trPr>
          <w:trHeight w:val="254"/>
        </w:trPr>
        <w:tc>
          <w:tcPr>
            <w:tcW w:w="1696" w:type="dxa"/>
          </w:tcPr>
          <w:p w14:paraId="7E64AD1D" w14:textId="77777777" w:rsidR="00C40358" w:rsidRPr="00C40358" w:rsidRDefault="00C40358" w:rsidP="00447C83">
            <w:pPr>
              <w:pStyle w:val="TableText0"/>
              <w:ind w:left="0"/>
            </w:pPr>
            <w:r w:rsidRPr="00C40358">
              <w:t>ELISA assays</w:t>
            </w:r>
          </w:p>
          <w:p w14:paraId="77522479" w14:textId="77777777" w:rsidR="00C40358" w:rsidRPr="00C40358" w:rsidRDefault="00C40358" w:rsidP="00447C83">
            <w:pPr>
              <w:pStyle w:val="TableText0"/>
              <w:ind w:left="0"/>
            </w:pPr>
            <w:r w:rsidRPr="00C40358">
              <w:t>K=1</w:t>
            </w:r>
          </w:p>
        </w:tc>
        <w:tc>
          <w:tcPr>
            <w:tcW w:w="1985" w:type="dxa"/>
          </w:tcPr>
          <w:p w14:paraId="254E2860" w14:textId="77777777" w:rsidR="00C40358" w:rsidRPr="00C40358" w:rsidRDefault="00C40358" w:rsidP="00447C83">
            <w:pPr>
              <w:pStyle w:val="TableText0"/>
              <w:ind w:left="0"/>
            </w:pPr>
            <w:r w:rsidRPr="00C40358">
              <w:t>10/17 (59)</w:t>
            </w:r>
          </w:p>
        </w:tc>
        <w:tc>
          <w:tcPr>
            <w:tcW w:w="1843" w:type="dxa"/>
          </w:tcPr>
          <w:p w14:paraId="426FAC70" w14:textId="77777777" w:rsidR="00C40358" w:rsidRPr="00C40358" w:rsidRDefault="00C40358" w:rsidP="00447C83">
            <w:pPr>
              <w:pStyle w:val="TableText0"/>
              <w:ind w:left="0"/>
            </w:pPr>
            <w:r w:rsidRPr="00C40358">
              <w:t>5/12 (42)</w:t>
            </w:r>
          </w:p>
        </w:tc>
        <w:tc>
          <w:tcPr>
            <w:tcW w:w="2126" w:type="dxa"/>
          </w:tcPr>
          <w:p w14:paraId="51371C0E" w14:textId="77777777" w:rsidR="00C40358" w:rsidRPr="00C40358" w:rsidRDefault="00C40358" w:rsidP="00447C83">
            <w:pPr>
              <w:pStyle w:val="TableText0"/>
              <w:ind w:left="0"/>
            </w:pPr>
            <w:r w:rsidRPr="00C40358">
              <w:t>2.00</w:t>
            </w:r>
          </w:p>
          <w:p w14:paraId="4A3C16FB" w14:textId="77777777" w:rsidR="00C40358" w:rsidRPr="00C40358" w:rsidRDefault="00C40358" w:rsidP="00447C83">
            <w:pPr>
              <w:pStyle w:val="TableText0"/>
              <w:ind w:left="0"/>
            </w:pPr>
            <w:r w:rsidRPr="00C40358">
              <w:t>[0.45, 8.96]</w:t>
            </w:r>
          </w:p>
        </w:tc>
        <w:tc>
          <w:tcPr>
            <w:tcW w:w="1417" w:type="dxa"/>
          </w:tcPr>
          <w:p w14:paraId="7E4A8979" w14:textId="77777777" w:rsidR="00C40358" w:rsidRPr="00C40358" w:rsidRDefault="00C40358" w:rsidP="00447C83">
            <w:pPr>
              <w:pStyle w:val="TableText0"/>
              <w:ind w:left="0"/>
            </w:pPr>
            <w:r w:rsidRPr="00C40358">
              <w:t>0.37</w:t>
            </w:r>
          </w:p>
        </w:tc>
      </w:tr>
    </w:tbl>
    <w:p w14:paraId="7D40C8CF" w14:textId="77777777" w:rsidR="00C40358" w:rsidRPr="00C40358" w:rsidRDefault="00C40358" w:rsidP="00C40358">
      <w:pPr>
        <w:pStyle w:val="Tablenotes0"/>
      </w:pPr>
      <w:r w:rsidRPr="00C40358">
        <w:t>AQP4-Ab = aquaporin 4 antibodies; CBA = cell-based assay; ELISA = enzyme-linked immunosorbent assay; IIF = indirect immunofluorescence assay; OR = odds ratio</w:t>
      </w:r>
    </w:p>
    <w:p w14:paraId="39649BF2" w14:textId="77777777" w:rsidR="00C40358" w:rsidRPr="00D50826" w:rsidRDefault="00C40358" w:rsidP="00C40358">
      <w:pPr>
        <w:pStyle w:val="Tablenotes0"/>
        <w:rPr>
          <w:vertAlign w:val="superscript"/>
        </w:rPr>
      </w:pPr>
      <w:r w:rsidRPr="00C40358">
        <w:rPr>
          <w:vertAlign w:val="superscript"/>
        </w:rPr>
        <w:t xml:space="preserve">a </w:t>
      </w:r>
      <w:r w:rsidRPr="00C40358">
        <w:t>published OR and p-value</w:t>
      </w:r>
    </w:p>
    <w:p w14:paraId="63BF585F" w14:textId="77777777" w:rsidR="003A5798" w:rsidRDefault="003A5798" w:rsidP="00576185">
      <w:pPr>
        <w:pStyle w:val="Tablenotes0"/>
      </w:pPr>
    </w:p>
    <w:p w14:paraId="3EAE1CF6" w14:textId="7571599B" w:rsidR="00ED65EE" w:rsidRPr="00540195" w:rsidRDefault="00ED65EE" w:rsidP="00540195">
      <w:pPr>
        <w:pStyle w:val="Heading1"/>
      </w:pPr>
      <w:bookmarkStart w:id="273" w:name="_Toc39588321"/>
      <w:r w:rsidRPr="00540195">
        <w:lastRenderedPageBreak/>
        <w:t>B5</w:t>
      </w:r>
      <w:r w:rsidR="009C309C">
        <w:tab/>
      </w:r>
      <w:r w:rsidRPr="00540195">
        <w:t>Clinical utility</w:t>
      </w:r>
      <w:bookmarkEnd w:id="273"/>
    </w:p>
    <w:p w14:paraId="3899EB26" w14:textId="77777777" w:rsidR="00ED65EE" w:rsidRDefault="00ED65EE" w:rsidP="00ED65EE">
      <w:r w:rsidRPr="002F0DD8">
        <w:t>Clinical utility refers to how likely the test is to significantly impact on patient management and health outcomes.</w:t>
      </w:r>
    </w:p>
    <w:p w14:paraId="03DEEC39" w14:textId="77777777" w:rsidR="00ED65EE" w:rsidRPr="00B17263" w:rsidRDefault="00547F95" w:rsidP="00547F95">
      <w:r>
        <w:t>As the intervention</w:t>
      </w:r>
      <w:r w:rsidR="00ED65EE">
        <w:t xml:space="preserve"> </w:t>
      </w:r>
      <w:r>
        <w:t xml:space="preserve">(diagnosis with testing) </w:t>
      </w:r>
      <w:r w:rsidR="00ED65EE">
        <w:t xml:space="preserve">is </w:t>
      </w:r>
      <w:r w:rsidR="00315F96">
        <w:t>likely</w:t>
      </w:r>
      <w:r>
        <w:t xml:space="preserve"> to be</w:t>
      </w:r>
      <w:r w:rsidR="00ED65EE">
        <w:t xml:space="preserve"> more accurate</w:t>
      </w:r>
      <w:r w:rsidR="00315F96">
        <w:t xml:space="preserve"> than </w:t>
      </w:r>
      <w:r w:rsidR="00ED65EE">
        <w:t xml:space="preserve">the </w:t>
      </w:r>
      <w:r>
        <w:t>comparator (diagnosis without testing)</w:t>
      </w:r>
      <w:r w:rsidR="00ED65EE">
        <w:t xml:space="preserve">, the clinical utility of the test </w:t>
      </w:r>
      <w:r w:rsidR="00315F96">
        <w:t>should</w:t>
      </w:r>
      <w:r w:rsidR="00ED65EE">
        <w:t xml:space="preserve"> be evaluated. </w:t>
      </w:r>
      <w:r w:rsidR="00315F96">
        <w:t xml:space="preserve">To determine the safety of a diagnostic test it is important to investigate the impact on patients with false negative and false positive results. </w:t>
      </w:r>
      <w:r w:rsidR="00ED65EE">
        <w:t xml:space="preserve">If the new test is more accurate but less safe, or less accurate but safer, the impact of change in patient management should be evaluated, as there is a trade-off. </w:t>
      </w:r>
    </w:p>
    <w:p w14:paraId="48F84921" w14:textId="77777777" w:rsidR="00ED65EE" w:rsidRDefault="00ED65EE" w:rsidP="00ED65EE">
      <w:pPr>
        <w:pStyle w:val="Heading2"/>
      </w:pPr>
      <w:bookmarkStart w:id="274" w:name="_Toc39588322"/>
      <w:r w:rsidRPr="00430BAD">
        <w:rPr>
          <w:sz w:val="24"/>
          <w:szCs w:val="24"/>
        </w:rPr>
        <w:t>B5.1</w:t>
      </w:r>
      <w:r>
        <w:tab/>
        <w:t>Impact on clinical management (Therapeutic efficacy)</w:t>
      </w:r>
      <w:bookmarkEnd w:id="274"/>
    </w:p>
    <w:p w14:paraId="781A4D14" w14:textId="77777777" w:rsidR="00ED65EE" w:rsidRPr="00183E4D" w:rsidRDefault="00ED65EE" w:rsidP="003816F6">
      <w:pPr>
        <w:pStyle w:val="Heading2"/>
        <w:numPr>
          <w:ilvl w:val="1"/>
          <w:numId w:val="11"/>
        </w:numPr>
      </w:pPr>
      <w:bookmarkStart w:id="275" w:name="_Toc39588323"/>
      <w:r w:rsidRPr="00183E4D">
        <w:t>Risk of Bias Assessment</w:t>
      </w:r>
      <w:bookmarkEnd w:id="275"/>
    </w:p>
    <w:p w14:paraId="240BED28" w14:textId="646E5014" w:rsidR="00ED65EE" w:rsidRDefault="00315F96" w:rsidP="00ED65EE">
      <w:r>
        <w:t xml:space="preserve">The risk of bias for studies included to assess therapeutic efficacy was </w:t>
      </w:r>
      <w:r w:rsidR="00DA16DF">
        <w:t xml:space="preserve">assessed using appraisal checklists for interventional </w:t>
      </w:r>
      <w:r w:rsidR="00272599">
        <w:t xml:space="preserve">evidence (see </w:t>
      </w:r>
      <w:r w:rsidR="00272599">
        <w:fldChar w:fldCharType="begin"/>
      </w:r>
      <w:r w:rsidR="00272599">
        <w:instrText xml:space="preserve"> REF _Ref20218669 \h </w:instrText>
      </w:r>
      <w:r w:rsidR="00272599">
        <w:fldChar w:fldCharType="separate"/>
      </w:r>
      <w:r w:rsidR="0014371E" w:rsidRPr="008737A4">
        <w:t xml:space="preserve">Table </w:t>
      </w:r>
      <w:r w:rsidR="0014371E">
        <w:rPr>
          <w:noProof/>
        </w:rPr>
        <w:t>10</w:t>
      </w:r>
      <w:r w:rsidR="00272599">
        <w:fldChar w:fldCharType="end"/>
      </w:r>
      <w:r w:rsidR="00272599">
        <w:t>)</w:t>
      </w:r>
      <w:r w:rsidR="00DA16DF">
        <w:t>, appropriate to the individual study</w:t>
      </w:r>
      <w:r w:rsidR="00272599">
        <w:t xml:space="preserve"> design</w:t>
      </w:r>
      <w:r w:rsidR="00DA16DF">
        <w:t>.</w:t>
      </w:r>
      <w:r w:rsidR="00272599">
        <w:t xml:space="preserve"> </w:t>
      </w:r>
      <w:r w:rsidR="008E52A3">
        <w:t xml:space="preserve">Of seven articles included for change in management evidence, four provided level IV evidence and were appraised using the IHE checklist for case series </w:t>
      </w:r>
      <w:r w:rsidR="008D3578">
        <w:fldChar w:fldCharType="begin"/>
      </w:r>
      <w:r w:rsidR="00D96694">
        <w:instrText xml:space="preserve"> ADDIN EN.CITE &lt;EndNote&gt;&lt;Cite&gt;&lt;Author&gt;IHE&lt;/Author&gt;&lt;Year&gt;2016&lt;/Year&gt;&lt;RecNum&gt;94&lt;/RecNum&gt;&lt;DisplayText&gt;(IHE 2016)&lt;/DisplayText&gt;&lt;record&gt;&lt;rec-number&gt;94&lt;/rec-number&gt;&lt;foreign-keys&gt;&lt;key app="EN" db-id="r25zptaswpdzade29ws5pf9gx55ztppatt20" timestamp="1585525473"&gt;94&lt;/key&gt;&lt;/foreign-keys&gt;&lt;ref-type name="Report"&gt;27&lt;/ref-type&gt;&lt;contributors&gt;&lt;authors&gt;&lt;author&gt; IHE&lt;/author&gt;&lt;/authors&gt;&lt;/contributors&gt;&lt;titles&gt;&lt;title&gt;Institute of Health Economics: Quality Appraisal of Case Series Studies Checklist&lt;/title&gt;&lt;/titles&gt;&lt;dates&gt;&lt;year&gt;2016&lt;/year&gt;&lt;/dates&gt;&lt;pub-location&gt;Edmonton (AB)&lt;/pub-location&gt;&lt;urls&gt;&lt;related-urls&gt;&lt;url&gt;&lt;style face="underline" font="default" size="100%"&gt;http://www.ihe.ca/research-programs/rmd/cssqac/cssqac-about&lt;/style&gt;&lt;/url&gt;&lt;/related-urls&gt;&lt;/urls&gt;&lt;/record&gt;&lt;/Cite&gt;&lt;/EndNote&gt;</w:instrText>
      </w:r>
      <w:r w:rsidR="008D3578">
        <w:fldChar w:fldCharType="separate"/>
      </w:r>
      <w:r w:rsidR="008D3578">
        <w:rPr>
          <w:noProof/>
        </w:rPr>
        <w:t>(IHE 2016)</w:t>
      </w:r>
      <w:r w:rsidR="008D3578">
        <w:fldChar w:fldCharType="end"/>
      </w:r>
      <w:r w:rsidR="00E35DD8">
        <w:t xml:space="preserve">. </w:t>
      </w:r>
      <w:r w:rsidR="008E52A3">
        <w:t xml:space="preserve">They ranged from low to high risk of bias. </w:t>
      </w:r>
      <w:r w:rsidR="00883972">
        <w:t>Three</w:t>
      </w:r>
      <w:r w:rsidR="008E52A3">
        <w:t xml:space="preserve"> articles were retrospective cohort design and provided comparative data between patients were who AQP4-Ab positive or negative (level III-3 evidence). They were found to be of low or moderate risk of bias when assessed using the SIGN Checklist 3 for cohort studies </w:t>
      </w:r>
      <w:r w:rsidR="00156621">
        <w:fldChar w:fldCharType="begin"/>
      </w:r>
      <w:r w:rsidR="008D3578">
        <w:instrText xml:space="preserve"> ADDIN EN.CITE &lt;EndNote&gt;&lt;Cite&gt;&lt;Author&gt;SIGN&lt;/Author&gt;&lt;Year&gt;2014&lt;/Year&gt;&lt;RecNum&gt;88&lt;/RecNum&gt;&lt;DisplayText&gt;(SIGN 2014)&lt;/DisplayText&gt;&lt;record&gt;&lt;rec-number&gt;88&lt;/rec-number&gt;&lt;foreign-keys&gt;&lt;key app="EN" db-id="s205ztsw6v99t1ee2r6vpat820d0x9tefftv" timestamp="1481089976"&gt;88&lt;/key&gt;&lt;/foreign-keys&gt;&lt;ref-type name="Report"&gt;27&lt;/ref-type&gt;&lt;contributors&gt;&lt;authors&gt;&lt;author&gt;SIGN&lt;/author&gt;&lt;/authors&gt;&lt;/contributors&gt;&lt;titles&gt;&lt;title&gt;SIGN 50: a guideline developer’s handbook (SIGN publication no. 50)&lt;/title&gt;&lt;/titles&gt;&lt;dates&gt;&lt;year&gt;2014&lt;/year&gt;&lt;pub-dates&gt;&lt;date&gt;October&lt;/date&gt;&lt;/pub-dates&gt;&lt;/dates&gt;&lt;pub-location&gt;Edinburgh&lt;/pub-location&gt;&lt;publisher&gt;Scottish Intercollegiate Guidelines Network&lt;/publisher&gt;&lt;urls&gt;&lt;related-urls&gt;&lt;url&gt; http://www.sign.ac.uk&lt;/url&gt;&lt;/related-urls&gt;&lt;/urls&gt;&lt;/record&gt;&lt;/Cite&gt;&lt;/EndNote&gt;</w:instrText>
      </w:r>
      <w:r w:rsidR="00156621">
        <w:fldChar w:fldCharType="separate"/>
      </w:r>
      <w:r w:rsidR="00156621">
        <w:rPr>
          <w:noProof/>
        </w:rPr>
        <w:t>(SIGN 2014)</w:t>
      </w:r>
      <w:r w:rsidR="00156621">
        <w:fldChar w:fldCharType="end"/>
      </w:r>
      <w:r w:rsidR="008E52A3">
        <w:t xml:space="preserve">. </w:t>
      </w:r>
      <w:r w:rsidR="005C0A83">
        <w:t xml:space="preserve">Domain scores for the cohort studies are shown in </w:t>
      </w:r>
      <w:r w:rsidR="005C0A83">
        <w:fldChar w:fldCharType="begin"/>
      </w:r>
      <w:r w:rsidR="005C0A83">
        <w:instrText xml:space="preserve"> REF _Ref31206801 \h </w:instrText>
      </w:r>
      <w:r w:rsidR="005C0A83">
        <w:fldChar w:fldCharType="separate"/>
      </w:r>
      <w:r w:rsidR="002C4E7F">
        <w:t xml:space="preserve">Table </w:t>
      </w:r>
      <w:r w:rsidR="002C4E7F">
        <w:rPr>
          <w:noProof/>
        </w:rPr>
        <w:t>39</w:t>
      </w:r>
      <w:r w:rsidR="005C0A83">
        <w:fldChar w:fldCharType="end"/>
      </w:r>
      <w:r w:rsidR="005C0A83">
        <w:t>.</w:t>
      </w:r>
      <w:r w:rsidR="008E52A3">
        <w:t xml:space="preserve">Quality appraisal outcomes can be seen in </w:t>
      </w:r>
      <w:r w:rsidR="008E52A3">
        <w:fldChar w:fldCharType="begin"/>
      </w:r>
      <w:r w:rsidR="008E52A3">
        <w:instrText xml:space="preserve"> REF _Ref31205142 \h </w:instrText>
      </w:r>
      <w:r w:rsidR="008E52A3">
        <w:fldChar w:fldCharType="separate"/>
      </w:r>
      <w:r w:rsidR="002C4E7F">
        <w:t xml:space="preserve">Table </w:t>
      </w:r>
      <w:r w:rsidR="002C4E7F">
        <w:rPr>
          <w:noProof/>
        </w:rPr>
        <w:t>40</w:t>
      </w:r>
      <w:r w:rsidR="008E52A3">
        <w:fldChar w:fldCharType="end"/>
      </w:r>
      <w:r w:rsidR="008E52A3">
        <w:t>.</w:t>
      </w:r>
      <w:r w:rsidR="00883972">
        <w:t xml:space="preserve"> </w:t>
      </w:r>
    </w:p>
    <w:p w14:paraId="04EE8006" w14:textId="243A93CF" w:rsidR="002C4E7F" w:rsidRDefault="00AB1568" w:rsidP="002C4E7F">
      <w:r>
        <w:t>O</w:t>
      </w:r>
      <w:r w:rsidR="008E52A3">
        <w:t xml:space="preserve">utcomes were also </w:t>
      </w:r>
      <w:r>
        <w:t xml:space="preserve">rated for overall quality across studies, based on the study limitations (risk of bias), imprecision, inconsistency of results, indirectness of evidence, and the likelihood of publication bias (GRADE Evidence </w:t>
      </w:r>
      <w:r w:rsidRPr="00B4136F">
        <w:t xml:space="preserve">profile tables, </w:t>
      </w:r>
      <w:r w:rsidRPr="00B4136F">
        <w:fldChar w:fldCharType="begin"/>
      </w:r>
      <w:r w:rsidRPr="00B4136F">
        <w:instrText xml:space="preserve"> REF _Ref421611175 \h </w:instrText>
      </w:r>
      <w:r w:rsidR="00B4136F" w:rsidRPr="00B4136F">
        <w:instrText xml:space="preserve"> \* MERGEFORMAT </w:instrText>
      </w:r>
      <w:r w:rsidRPr="00B4136F">
        <w:fldChar w:fldCharType="separate"/>
      </w:r>
      <w:r w:rsidR="0014371E">
        <w:t xml:space="preserve">Appendix </w:t>
      </w:r>
      <w:r w:rsidR="0014371E">
        <w:rPr>
          <w:noProof/>
        </w:rPr>
        <w:t>D</w:t>
      </w:r>
      <w:r w:rsidRPr="00B4136F">
        <w:fldChar w:fldCharType="end"/>
      </w:r>
      <w:r w:rsidRPr="00B4136F">
        <w:t xml:space="preserve">). </w:t>
      </w:r>
      <w:r w:rsidR="00B4136F" w:rsidRPr="00B4136F">
        <w:t>C</w:t>
      </w:r>
      <w:r w:rsidRPr="00B4136F">
        <w:t xml:space="preserve">linically critical </w:t>
      </w:r>
      <w:r w:rsidR="00B4136F" w:rsidRPr="00B4136F">
        <w:t>outcomes</w:t>
      </w:r>
      <w:r w:rsidRPr="00B4136F">
        <w:t xml:space="preserve"> a</w:t>
      </w:r>
      <w:r w:rsidR="00B4136F" w:rsidRPr="00B4136F">
        <w:t>re also reported in the GRADE</w:t>
      </w:r>
      <w:r w:rsidRPr="00B4136F">
        <w:t xml:space="preserve"> </w:t>
      </w:r>
      <w:r w:rsidR="00B4136F" w:rsidRPr="00B4136F">
        <w:t>S</w:t>
      </w:r>
      <w:r w:rsidRPr="00B4136F">
        <w:t xml:space="preserve">ummary of </w:t>
      </w:r>
      <w:r w:rsidR="00B4136F" w:rsidRPr="00B4136F">
        <w:t>Finding</w:t>
      </w:r>
      <w:r w:rsidR="00B4136F">
        <w:t>s</w:t>
      </w:r>
      <w:r w:rsidR="00B4136F" w:rsidRPr="00B4136F">
        <w:t xml:space="preserve"> </w:t>
      </w:r>
      <w:bookmarkStart w:id="276" w:name="_Ref31206801"/>
      <w:r w:rsidR="002C4E7F">
        <w:fldChar w:fldCharType="begin"/>
      </w:r>
      <w:r w:rsidR="002C4E7F">
        <w:instrText xml:space="preserve"> REF _Ref33002067 \h </w:instrText>
      </w:r>
      <w:r w:rsidR="002C4E7F">
        <w:fldChar w:fldCharType="separate"/>
      </w:r>
      <w:r w:rsidR="00480604" w:rsidRPr="00BA413E">
        <w:t xml:space="preserve">Table </w:t>
      </w:r>
      <w:r w:rsidR="00480604">
        <w:rPr>
          <w:noProof/>
        </w:rPr>
        <w:t>68</w:t>
      </w:r>
      <w:r w:rsidR="002C4E7F">
        <w:fldChar w:fldCharType="end"/>
      </w:r>
      <w:r w:rsidR="002C4E7F">
        <w:t xml:space="preserve"> and </w:t>
      </w:r>
      <w:r w:rsidR="002C4E7F">
        <w:fldChar w:fldCharType="begin"/>
      </w:r>
      <w:r w:rsidR="002C4E7F">
        <w:instrText xml:space="preserve"> REF _Ref33021356 \h </w:instrText>
      </w:r>
      <w:r w:rsidR="002C4E7F">
        <w:fldChar w:fldCharType="separate"/>
      </w:r>
      <w:r w:rsidR="00480604">
        <w:t xml:space="preserve">Table </w:t>
      </w:r>
      <w:r w:rsidR="00480604">
        <w:rPr>
          <w:noProof/>
        </w:rPr>
        <w:t>69</w:t>
      </w:r>
      <w:r w:rsidR="002C4E7F">
        <w:fldChar w:fldCharType="end"/>
      </w:r>
      <w:r w:rsidR="002C4E7F">
        <w:t>.</w:t>
      </w:r>
    </w:p>
    <w:p w14:paraId="27AAC59B" w14:textId="64A3E57D" w:rsidR="00883972" w:rsidRDefault="00883972" w:rsidP="002C4E7F">
      <w:pPr>
        <w:pStyle w:val="Caption"/>
      </w:pPr>
      <w:bookmarkStart w:id="277" w:name="_Toc39580820"/>
      <w:r>
        <w:t xml:space="preserve">Table </w:t>
      </w:r>
      <w:fldSimple w:instr=" SEQ Table \* ARABIC ">
        <w:r w:rsidR="00FA7BCD">
          <w:rPr>
            <w:noProof/>
          </w:rPr>
          <w:t>39</w:t>
        </w:r>
      </w:fldSimple>
      <w:bookmarkEnd w:id="276"/>
      <w:r>
        <w:tab/>
        <w:t>Domain scores for the quality appraisal of cohort studies using the SIGN Checklist 3</w:t>
      </w:r>
      <w:bookmarkEnd w:id="277"/>
    </w:p>
    <w:tbl>
      <w:tblPr>
        <w:tblStyle w:val="TableGrid1"/>
        <w:tblW w:w="903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CellMar>
          <w:top w:w="15" w:type="dxa"/>
          <w:left w:w="15" w:type="dxa"/>
          <w:bottom w:w="15" w:type="dxa"/>
          <w:right w:w="15" w:type="dxa"/>
        </w:tblCellMar>
        <w:tblLook w:val="04A0" w:firstRow="1" w:lastRow="0" w:firstColumn="1" w:lastColumn="0" w:noHBand="0" w:noVBand="1"/>
        <w:tblCaption w:val="Table 39 Domain scores for the quality appraisal of cohort studies using the SIGN Checklist 3"/>
        <w:tblDescription w:val="A summary of the appraisal of bias domains in cohort studies included for clinical utility"/>
      </w:tblPr>
      <w:tblGrid>
        <w:gridCol w:w="843"/>
        <w:gridCol w:w="1036"/>
        <w:gridCol w:w="1232"/>
        <w:gridCol w:w="1276"/>
        <w:gridCol w:w="1275"/>
        <w:gridCol w:w="1418"/>
        <w:gridCol w:w="1953"/>
      </w:tblGrid>
      <w:tr w:rsidR="002329DA" w:rsidRPr="009E090B" w14:paraId="0E93150D" w14:textId="77777777" w:rsidTr="00480604">
        <w:trPr>
          <w:cnfStyle w:val="100000000000" w:firstRow="1" w:lastRow="0" w:firstColumn="0" w:lastColumn="0" w:oddVBand="0" w:evenVBand="0" w:oddHBand="0" w:evenHBand="0" w:firstRowFirstColumn="0" w:firstRowLastColumn="0" w:lastRowFirstColumn="0" w:lastRowLastColumn="0"/>
          <w:trHeight w:val="331"/>
        </w:trPr>
        <w:tc>
          <w:tcPr>
            <w:tcW w:w="843" w:type="dxa"/>
            <w:vMerge w:val="restart"/>
            <w:tcBorders>
              <w:top w:val="single" w:sz="6" w:space="0" w:color="auto"/>
              <w:left w:val="single" w:sz="6" w:space="0" w:color="auto"/>
              <w:bottom w:val="nil"/>
              <w:right w:val="single" w:sz="6" w:space="0" w:color="auto"/>
            </w:tcBorders>
            <w:hideMark/>
          </w:tcPr>
          <w:p w14:paraId="5D6B8779" w14:textId="77777777" w:rsidR="002329DA" w:rsidRPr="009E090B" w:rsidRDefault="002329DA" w:rsidP="002329DA">
            <w:pPr>
              <w:keepNext/>
              <w:keepLines/>
              <w:ind w:left="60" w:right="60"/>
              <w:jc w:val="left"/>
              <w:rPr>
                <w:rFonts w:ascii="Arial Narrow" w:hAnsi="Arial Narrow" w:cs="Times New Roman"/>
                <w:b/>
              </w:rPr>
            </w:pPr>
            <w:r w:rsidRPr="009E090B">
              <w:rPr>
                <w:rFonts w:ascii="Arial Narrow" w:hAnsi="Arial Narrow" w:cs="Times New Roman"/>
                <w:b/>
              </w:rPr>
              <w:t>Study ID</w:t>
            </w:r>
          </w:p>
        </w:tc>
        <w:tc>
          <w:tcPr>
            <w:tcW w:w="4819" w:type="dxa"/>
            <w:gridSpan w:val="4"/>
            <w:tcBorders>
              <w:top w:val="single" w:sz="6" w:space="0" w:color="auto"/>
              <w:left w:val="single" w:sz="6" w:space="0" w:color="auto"/>
              <w:bottom w:val="single" w:sz="6" w:space="0" w:color="auto"/>
              <w:right w:val="single" w:sz="6" w:space="0" w:color="auto"/>
            </w:tcBorders>
            <w:hideMark/>
          </w:tcPr>
          <w:p w14:paraId="013927B2" w14:textId="77777777" w:rsidR="002329DA" w:rsidRPr="009E090B" w:rsidRDefault="002329DA" w:rsidP="00883972">
            <w:pPr>
              <w:keepNext/>
              <w:keepLines/>
              <w:ind w:left="60" w:right="60"/>
              <w:jc w:val="center"/>
              <w:rPr>
                <w:rFonts w:ascii="Arial Narrow" w:hAnsi="Arial Narrow" w:cs="Times New Roman"/>
                <w:b/>
              </w:rPr>
            </w:pPr>
            <w:r>
              <w:rPr>
                <w:rFonts w:ascii="Arial Narrow" w:hAnsi="Arial Narrow" w:cs="Times New Roman"/>
                <w:b/>
              </w:rPr>
              <w:t>Internal validity</w:t>
            </w:r>
          </w:p>
        </w:tc>
        <w:tc>
          <w:tcPr>
            <w:tcW w:w="3371" w:type="dxa"/>
            <w:gridSpan w:val="2"/>
            <w:tcBorders>
              <w:top w:val="single" w:sz="6" w:space="0" w:color="auto"/>
              <w:left w:val="single" w:sz="6" w:space="0" w:color="auto"/>
              <w:bottom w:val="single" w:sz="4" w:space="0" w:color="auto"/>
            </w:tcBorders>
          </w:tcPr>
          <w:p w14:paraId="08B47903" w14:textId="77777777" w:rsidR="002329DA" w:rsidRPr="009E090B" w:rsidRDefault="002329DA" w:rsidP="002329DA">
            <w:pPr>
              <w:keepNext/>
              <w:keepLines/>
              <w:ind w:left="60" w:right="60"/>
              <w:jc w:val="center"/>
              <w:rPr>
                <w:rFonts w:ascii="Arial Narrow" w:hAnsi="Arial Narrow" w:cs="Times New Roman"/>
                <w:b/>
              </w:rPr>
            </w:pPr>
            <w:r>
              <w:rPr>
                <w:rFonts w:ascii="Arial Narrow" w:hAnsi="Arial Narrow" w:cs="Times New Roman"/>
                <w:b/>
              </w:rPr>
              <w:t>Overall Assessment</w:t>
            </w:r>
          </w:p>
        </w:tc>
      </w:tr>
      <w:tr w:rsidR="002329DA" w:rsidRPr="009E090B" w14:paraId="35CDE0BF" w14:textId="77777777" w:rsidTr="002C4E7F">
        <w:trPr>
          <w:trHeight w:val="58"/>
        </w:trPr>
        <w:tc>
          <w:tcPr>
            <w:tcW w:w="843" w:type="dxa"/>
            <w:vMerge/>
            <w:tcBorders>
              <w:left w:val="single" w:sz="6" w:space="0" w:color="auto"/>
              <w:bottom w:val="single" w:sz="6" w:space="0" w:color="auto"/>
              <w:right w:val="single" w:sz="6" w:space="0" w:color="auto"/>
            </w:tcBorders>
          </w:tcPr>
          <w:p w14:paraId="3B9B521A" w14:textId="77777777" w:rsidR="002329DA" w:rsidRPr="009E090B" w:rsidRDefault="002329DA" w:rsidP="006F6B7F">
            <w:pPr>
              <w:keepNext/>
              <w:keepLines/>
              <w:ind w:left="60" w:right="60"/>
              <w:jc w:val="left"/>
              <w:rPr>
                <w:rFonts w:ascii="Arial Narrow" w:hAnsi="Arial Narrow" w:cs="Times New Roman"/>
                <w:b/>
              </w:rPr>
            </w:pPr>
          </w:p>
        </w:tc>
        <w:tc>
          <w:tcPr>
            <w:tcW w:w="1036" w:type="dxa"/>
            <w:tcBorders>
              <w:top w:val="single" w:sz="6" w:space="0" w:color="auto"/>
              <w:left w:val="single" w:sz="6" w:space="0" w:color="auto"/>
              <w:bottom w:val="single" w:sz="6" w:space="0" w:color="auto"/>
              <w:right w:val="single" w:sz="6" w:space="0" w:color="auto"/>
            </w:tcBorders>
          </w:tcPr>
          <w:p w14:paraId="50A97E62" w14:textId="77777777" w:rsidR="002329DA" w:rsidRDefault="002329DA" w:rsidP="006F6B7F">
            <w:pPr>
              <w:keepNext/>
              <w:keepLines/>
              <w:ind w:left="60" w:right="60"/>
              <w:jc w:val="left"/>
              <w:rPr>
                <w:rFonts w:ascii="Arial Narrow" w:hAnsi="Arial Narrow" w:cs="Times New Roman"/>
                <w:b/>
              </w:rPr>
            </w:pPr>
            <w:r>
              <w:rPr>
                <w:rFonts w:ascii="Arial Narrow" w:hAnsi="Arial Narrow" w:cs="Times New Roman"/>
                <w:b/>
              </w:rPr>
              <w:t>Selection of subjects</w:t>
            </w:r>
          </w:p>
        </w:tc>
        <w:tc>
          <w:tcPr>
            <w:tcW w:w="1232" w:type="dxa"/>
            <w:tcBorders>
              <w:top w:val="single" w:sz="6" w:space="0" w:color="auto"/>
              <w:left w:val="single" w:sz="6" w:space="0" w:color="auto"/>
              <w:bottom w:val="single" w:sz="6" w:space="0" w:color="auto"/>
              <w:right w:val="single" w:sz="6" w:space="0" w:color="auto"/>
            </w:tcBorders>
          </w:tcPr>
          <w:p w14:paraId="116249F9" w14:textId="77777777" w:rsidR="002329DA" w:rsidRPr="009E090B" w:rsidRDefault="002329DA" w:rsidP="006F6B7F">
            <w:pPr>
              <w:keepNext/>
              <w:keepLines/>
              <w:ind w:left="60" w:right="60"/>
              <w:jc w:val="left"/>
              <w:rPr>
                <w:rFonts w:ascii="Arial Narrow" w:hAnsi="Arial Narrow" w:cs="Times New Roman"/>
                <w:b/>
              </w:rPr>
            </w:pPr>
            <w:r>
              <w:rPr>
                <w:rFonts w:ascii="Arial Narrow" w:hAnsi="Arial Narrow" w:cs="Times New Roman"/>
                <w:b/>
              </w:rPr>
              <w:t>Assessment</w:t>
            </w:r>
          </w:p>
        </w:tc>
        <w:tc>
          <w:tcPr>
            <w:tcW w:w="1276" w:type="dxa"/>
            <w:tcBorders>
              <w:top w:val="single" w:sz="6" w:space="0" w:color="auto"/>
              <w:left w:val="single" w:sz="6" w:space="0" w:color="auto"/>
              <w:bottom w:val="single" w:sz="6" w:space="0" w:color="auto"/>
              <w:right w:val="single" w:sz="6" w:space="0" w:color="auto"/>
            </w:tcBorders>
          </w:tcPr>
          <w:p w14:paraId="02BC9D2B" w14:textId="77777777" w:rsidR="002329DA" w:rsidRPr="009E090B" w:rsidRDefault="002329DA" w:rsidP="006F6B7F">
            <w:pPr>
              <w:keepNext/>
              <w:keepLines/>
              <w:ind w:left="60" w:right="60"/>
              <w:jc w:val="left"/>
              <w:rPr>
                <w:rFonts w:ascii="Arial Narrow" w:hAnsi="Arial Narrow" w:cs="Times New Roman"/>
                <w:b/>
              </w:rPr>
            </w:pPr>
            <w:r>
              <w:rPr>
                <w:rFonts w:ascii="Arial Narrow" w:hAnsi="Arial Narrow" w:cs="Times New Roman"/>
                <w:b/>
              </w:rPr>
              <w:t>Confounding</w:t>
            </w:r>
          </w:p>
        </w:tc>
        <w:tc>
          <w:tcPr>
            <w:tcW w:w="1275" w:type="dxa"/>
            <w:tcBorders>
              <w:top w:val="single" w:sz="6" w:space="0" w:color="auto"/>
              <w:left w:val="single" w:sz="6" w:space="0" w:color="auto"/>
              <w:bottom w:val="single" w:sz="6" w:space="0" w:color="auto"/>
              <w:right w:val="single" w:sz="6" w:space="0" w:color="auto"/>
            </w:tcBorders>
          </w:tcPr>
          <w:p w14:paraId="18E62795" w14:textId="77777777" w:rsidR="002329DA" w:rsidRPr="009E090B" w:rsidRDefault="002329DA" w:rsidP="006F6B7F">
            <w:pPr>
              <w:keepNext/>
              <w:keepLines/>
              <w:ind w:left="60" w:right="60"/>
              <w:jc w:val="left"/>
              <w:rPr>
                <w:rFonts w:ascii="Arial Narrow" w:hAnsi="Arial Narrow" w:cs="Times New Roman"/>
                <w:b/>
              </w:rPr>
            </w:pPr>
            <w:r>
              <w:rPr>
                <w:rFonts w:ascii="Arial Narrow" w:hAnsi="Arial Narrow" w:cs="Times New Roman"/>
                <w:b/>
              </w:rPr>
              <w:t>Statistical Analysis</w:t>
            </w:r>
          </w:p>
        </w:tc>
        <w:tc>
          <w:tcPr>
            <w:tcW w:w="1418" w:type="dxa"/>
            <w:tcBorders>
              <w:top w:val="single" w:sz="4" w:space="0" w:color="auto"/>
              <w:left w:val="single" w:sz="6" w:space="0" w:color="auto"/>
              <w:bottom w:val="single" w:sz="6" w:space="0" w:color="auto"/>
            </w:tcBorders>
          </w:tcPr>
          <w:p w14:paraId="50893202" w14:textId="77777777" w:rsidR="002329DA" w:rsidRPr="009E090B" w:rsidRDefault="002329DA" w:rsidP="006F6B7F">
            <w:pPr>
              <w:keepNext/>
              <w:keepLines/>
              <w:ind w:left="60" w:right="60"/>
              <w:jc w:val="left"/>
              <w:rPr>
                <w:rFonts w:ascii="Arial Narrow" w:hAnsi="Arial Narrow" w:cs="Times New Roman"/>
                <w:b/>
              </w:rPr>
            </w:pPr>
            <w:r>
              <w:rPr>
                <w:rFonts w:ascii="Arial Narrow" w:hAnsi="Arial Narrow" w:cs="Times New Roman"/>
                <w:b/>
              </w:rPr>
              <w:t>Applicability</w:t>
            </w:r>
          </w:p>
        </w:tc>
        <w:tc>
          <w:tcPr>
            <w:tcW w:w="1953" w:type="dxa"/>
            <w:tcBorders>
              <w:top w:val="single" w:sz="4" w:space="0" w:color="auto"/>
              <w:left w:val="single" w:sz="6" w:space="0" w:color="auto"/>
              <w:bottom w:val="single" w:sz="6" w:space="0" w:color="auto"/>
            </w:tcBorders>
          </w:tcPr>
          <w:p w14:paraId="3A504E05" w14:textId="77777777" w:rsidR="002329DA" w:rsidRPr="009E090B" w:rsidRDefault="002329DA" w:rsidP="006F6B7F">
            <w:pPr>
              <w:keepNext/>
              <w:keepLines/>
              <w:ind w:left="60" w:right="60"/>
              <w:jc w:val="left"/>
              <w:rPr>
                <w:rFonts w:ascii="Arial Narrow" w:hAnsi="Arial Narrow" w:cs="Times New Roman"/>
                <w:b/>
              </w:rPr>
            </w:pPr>
            <w:r>
              <w:rPr>
                <w:rFonts w:ascii="Arial Narrow" w:hAnsi="Arial Narrow" w:cs="Times New Roman"/>
                <w:b/>
              </w:rPr>
              <w:t>Risk of bias</w:t>
            </w:r>
          </w:p>
        </w:tc>
      </w:tr>
      <w:tr w:rsidR="006F6B7F" w:rsidRPr="009E090B" w14:paraId="14BA6A03" w14:textId="77777777" w:rsidTr="002C4E7F">
        <w:trPr>
          <w:trHeight w:val="661"/>
        </w:trPr>
        <w:tc>
          <w:tcPr>
            <w:tcW w:w="843" w:type="dxa"/>
            <w:tcBorders>
              <w:top w:val="single" w:sz="6" w:space="0" w:color="auto"/>
              <w:left w:val="single" w:sz="6" w:space="0" w:color="auto"/>
              <w:bottom w:val="single" w:sz="6" w:space="0" w:color="auto"/>
              <w:right w:val="single" w:sz="6" w:space="0" w:color="auto"/>
            </w:tcBorders>
            <w:hideMark/>
          </w:tcPr>
          <w:p w14:paraId="3633CB71" w14:textId="43CA854F" w:rsidR="006F6B7F" w:rsidRPr="009E090B" w:rsidRDefault="00156621" w:rsidP="00D96694">
            <w:pPr>
              <w:keepNext/>
              <w:keepLines/>
              <w:ind w:left="60" w:right="60"/>
              <w:jc w:val="left"/>
              <w:rPr>
                <w:rFonts w:ascii="Arial Narrow" w:hAnsi="Arial Narrow" w:cs="Times New Roman"/>
              </w:rPr>
            </w:pPr>
            <w:r>
              <w:rPr>
                <w:rFonts w:ascii="Arial Narrow" w:hAnsi="Arial Narrow" w:cs="Times New Roman"/>
              </w:rPr>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(Akman-Demir et al. 2011)</w:t>
            </w:r>
            <w:r>
              <w:rPr>
                <w:rFonts w:ascii="Arial Narrow" w:hAnsi="Arial Narrow" w:cs="Times New Roman"/>
              </w:rPr>
              <w:fldChar w:fldCharType="end"/>
            </w:r>
          </w:p>
        </w:tc>
        <w:tc>
          <w:tcPr>
            <w:tcW w:w="1036" w:type="dxa"/>
            <w:tcBorders>
              <w:top w:val="single" w:sz="6" w:space="0" w:color="auto"/>
              <w:left w:val="single" w:sz="6" w:space="0" w:color="auto"/>
              <w:bottom w:val="single" w:sz="6" w:space="0" w:color="auto"/>
              <w:right w:val="single" w:sz="6" w:space="0" w:color="auto"/>
            </w:tcBorders>
          </w:tcPr>
          <w:p w14:paraId="7C106F89" w14:textId="77777777" w:rsidR="006F6B7F" w:rsidRPr="009E090B" w:rsidRDefault="00AC41AB" w:rsidP="006F6B7F">
            <w:pPr>
              <w:keepNext/>
              <w:keepLines/>
              <w:ind w:left="60" w:right="60"/>
              <w:jc w:val="left"/>
              <w:rPr>
                <w:rFonts w:ascii="Arial Narrow" w:hAnsi="Arial Narrow" w:cs="Times New Roman"/>
              </w:rPr>
            </w:pPr>
            <w:r>
              <w:rPr>
                <w:rFonts w:ascii="Arial Narrow" w:hAnsi="Arial Narrow" w:cs="Times New Roman"/>
              </w:rPr>
              <w:t>3/6</w:t>
            </w:r>
          </w:p>
        </w:tc>
        <w:tc>
          <w:tcPr>
            <w:tcW w:w="1232" w:type="dxa"/>
            <w:tcBorders>
              <w:top w:val="single" w:sz="6" w:space="0" w:color="auto"/>
              <w:left w:val="single" w:sz="6" w:space="0" w:color="auto"/>
              <w:bottom w:val="single" w:sz="6" w:space="0" w:color="auto"/>
              <w:right w:val="single" w:sz="6" w:space="0" w:color="auto"/>
            </w:tcBorders>
          </w:tcPr>
          <w:p w14:paraId="1D93D189" w14:textId="77777777" w:rsidR="006F6B7F" w:rsidRPr="009E090B" w:rsidRDefault="00AC41AB" w:rsidP="006F6B7F">
            <w:pPr>
              <w:keepNext/>
              <w:keepLines/>
              <w:ind w:left="60" w:right="60"/>
              <w:jc w:val="left"/>
              <w:rPr>
                <w:rFonts w:ascii="Arial Narrow" w:hAnsi="Arial Narrow" w:cs="Times New Roman"/>
              </w:rPr>
            </w:pPr>
            <w:r>
              <w:rPr>
                <w:rFonts w:ascii="Arial Narrow" w:hAnsi="Arial Narrow" w:cs="Times New Roman"/>
              </w:rPr>
              <w:t>5/5</w:t>
            </w:r>
          </w:p>
        </w:tc>
        <w:tc>
          <w:tcPr>
            <w:tcW w:w="1276" w:type="dxa"/>
            <w:tcBorders>
              <w:top w:val="single" w:sz="6" w:space="0" w:color="auto"/>
              <w:left w:val="single" w:sz="6" w:space="0" w:color="auto"/>
              <w:bottom w:val="single" w:sz="6" w:space="0" w:color="auto"/>
              <w:right w:val="single" w:sz="6" w:space="0" w:color="auto"/>
            </w:tcBorders>
          </w:tcPr>
          <w:p w14:paraId="4ADA2480" w14:textId="77777777" w:rsidR="006F6B7F" w:rsidRPr="009E090B" w:rsidRDefault="00AC41AB" w:rsidP="006F6B7F">
            <w:pPr>
              <w:keepNext/>
              <w:keepLines/>
              <w:ind w:left="60" w:right="60"/>
              <w:jc w:val="left"/>
              <w:rPr>
                <w:rFonts w:ascii="Arial Narrow" w:hAnsi="Arial Narrow" w:cs="Times New Roman"/>
              </w:rPr>
            </w:pPr>
            <w:r>
              <w:rPr>
                <w:rFonts w:ascii="Arial Narrow" w:hAnsi="Arial Narrow" w:cs="Times New Roman"/>
              </w:rPr>
              <w:t>0/1</w:t>
            </w:r>
          </w:p>
        </w:tc>
        <w:tc>
          <w:tcPr>
            <w:tcW w:w="1275" w:type="dxa"/>
            <w:tcBorders>
              <w:top w:val="single" w:sz="6" w:space="0" w:color="auto"/>
              <w:left w:val="single" w:sz="6" w:space="0" w:color="auto"/>
              <w:bottom w:val="single" w:sz="6" w:space="0" w:color="auto"/>
              <w:right w:val="single" w:sz="6" w:space="0" w:color="auto"/>
            </w:tcBorders>
          </w:tcPr>
          <w:p w14:paraId="2DB71107" w14:textId="77777777" w:rsidR="006F6B7F" w:rsidRPr="009E090B" w:rsidRDefault="00AC41AB" w:rsidP="006F6B7F">
            <w:pPr>
              <w:keepNext/>
              <w:keepLines/>
              <w:ind w:left="60" w:right="60"/>
              <w:jc w:val="left"/>
              <w:rPr>
                <w:rFonts w:ascii="Arial Narrow" w:hAnsi="Arial Narrow" w:cs="Times New Roman"/>
              </w:rPr>
            </w:pPr>
            <w:r>
              <w:rPr>
                <w:rFonts w:ascii="Arial Narrow" w:hAnsi="Arial Narrow" w:cs="Times New Roman"/>
              </w:rPr>
              <w:t>0/1</w:t>
            </w:r>
          </w:p>
        </w:tc>
        <w:tc>
          <w:tcPr>
            <w:tcW w:w="1418" w:type="dxa"/>
            <w:tcBorders>
              <w:top w:val="single" w:sz="6" w:space="0" w:color="auto"/>
              <w:left w:val="single" w:sz="6" w:space="0" w:color="auto"/>
              <w:bottom w:val="single" w:sz="6" w:space="0" w:color="auto"/>
              <w:right w:val="single" w:sz="6" w:space="0" w:color="auto"/>
            </w:tcBorders>
          </w:tcPr>
          <w:p w14:paraId="6314FACE" w14:textId="77777777" w:rsidR="006F6B7F" w:rsidRPr="009E090B" w:rsidRDefault="00AC41AB" w:rsidP="006F6B7F">
            <w:pPr>
              <w:keepNext/>
              <w:keepLines/>
              <w:ind w:left="60" w:right="60"/>
              <w:jc w:val="left"/>
              <w:rPr>
                <w:rFonts w:ascii="Arial Narrow" w:hAnsi="Arial Narrow" w:cs="Times New Roman"/>
              </w:rPr>
            </w:pPr>
            <w:r>
              <w:rPr>
                <w:rFonts w:ascii="Arial Narrow" w:hAnsi="Arial Narrow" w:cs="Times New Roman"/>
              </w:rPr>
              <w:t>2/2</w:t>
            </w:r>
          </w:p>
        </w:tc>
        <w:tc>
          <w:tcPr>
            <w:tcW w:w="1953" w:type="dxa"/>
            <w:tcBorders>
              <w:top w:val="single" w:sz="6" w:space="0" w:color="auto"/>
              <w:left w:val="single" w:sz="6" w:space="0" w:color="auto"/>
              <w:bottom w:val="single" w:sz="6" w:space="0" w:color="auto"/>
              <w:right w:val="single" w:sz="6" w:space="0" w:color="auto"/>
            </w:tcBorders>
          </w:tcPr>
          <w:p w14:paraId="36E692B1" w14:textId="77777777" w:rsidR="006F6B7F" w:rsidRDefault="00AC41AB" w:rsidP="006F6B7F">
            <w:pPr>
              <w:keepNext/>
              <w:keepLines/>
              <w:ind w:left="60" w:right="60"/>
              <w:jc w:val="left"/>
              <w:rPr>
                <w:rFonts w:ascii="Arial Narrow" w:hAnsi="Arial Narrow" w:cs="Times New Roman"/>
              </w:rPr>
            </w:pPr>
            <w:r>
              <w:rPr>
                <w:rFonts w:ascii="Arial Narrow" w:hAnsi="Arial Narrow" w:cs="Times New Roman"/>
              </w:rPr>
              <w:t>10/15</w:t>
            </w:r>
          </w:p>
          <w:p w14:paraId="469672AE" w14:textId="77777777" w:rsidR="00AC41AB" w:rsidRPr="009E090B" w:rsidRDefault="00AC41AB" w:rsidP="006F6B7F">
            <w:pPr>
              <w:keepNext/>
              <w:keepLines/>
              <w:ind w:left="60" w:right="60"/>
              <w:jc w:val="left"/>
              <w:rPr>
                <w:rFonts w:ascii="Arial Narrow" w:hAnsi="Arial Narrow" w:cs="Times New Roman"/>
              </w:rPr>
            </w:pPr>
            <w:r>
              <w:rPr>
                <w:rFonts w:ascii="Arial Narrow" w:hAnsi="Arial Narrow" w:cs="Times New Roman"/>
              </w:rPr>
              <w:t>Moderate risk of bias</w:t>
            </w:r>
          </w:p>
        </w:tc>
      </w:tr>
      <w:tr w:rsidR="006F6B7F" w:rsidRPr="009E090B" w14:paraId="4D52A24D" w14:textId="77777777" w:rsidTr="002C4E7F">
        <w:trPr>
          <w:trHeight w:val="493"/>
        </w:trPr>
        <w:tc>
          <w:tcPr>
            <w:tcW w:w="843" w:type="dxa"/>
            <w:tcBorders>
              <w:top w:val="single" w:sz="6" w:space="0" w:color="auto"/>
              <w:left w:val="single" w:sz="6" w:space="0" w:color="auto"/>
              <w:bottom w:val="single" w:sz="6" w:space="0" w:color="auto"/>
              <w:right w:val="single" w:sz="6" w:space="0" w:color="auto"/>
            </w:tcBorders>
            <w:hideMark/>
          </w:tcPr>
          <w:p w14:paraId="4E819EAD" w14:textId="5E9BDF4C" w:rsidR="006F6B7F" w:rsidRPr="009E090B" w:rsidRDefault="00156621" w:rsidP="00D96694">
            <w:pPr>
              <w:ind w:left="60" w:right="60"/>
              <w:jc w:val="left"/>
              <w:rPr>
                <w:rFonts w:ascii="Arial Narrow" w:hAnsi="Arial Narrow" w:cs="Times New Roman"/>
              </w:rPr>
            </w:pPr>
            <w:r>
              <w:rPr>
                <w:rFonts w:ascii="Arial Narrow" w:hAnsi="Arial Narrow" w:cs="Times New Roman"/>
              </w:rPr>
              <w:fldChar w:fldCharType="begin"/>
            </w:r>
            <w:r w:rsidR="00D96694">
              <w:rPr>
                <w:rFonts w:ascii="Arial Narrow" w:hAnsi="Arial Narrow" w:cs="Times New Roman"/>
              </w:rPr>
              <w:instrText xml:space="preserve"> ADDIN EN.CITE &lt;EndNote&gt;&lt;Cite&gt;&lt;Author&gt;Hyun&lt;/Author&gt;&lt;Year&gt;2016&lt;/Year&gt;&lt;RecNum&gt;90&lt;/RecNum&gt;&lt;DisplayText&gt;(Hyun et al. 2016)&lt;/DisplayText&gt;&lt;record&gt;&lt;rec-number&gt;90&lt;/rec-number&gt;&lt;foreign-keys&gt;&lt;key app="EN" db-id="r25zptaswpdzade29ws5pf9gx55ztppatt20" timestamp="1582849117"&gt;90&lt;/key&gt;&lt;/foreign-keys&gt;&lt;ref-type name="Journal Article"&gt;17&lt;/ref-type&gt;&lt;contributors&gt;&lt;authors&gt;&lt;author&gt;Hyun, J. W.&lt;/author&gt;&lt;author&gt;Jeong, I. H.&lt;/author&gt;&lt;author&gt;Joung, A.&lt;/author&gt;&lt;author&gt;Kim, S. H.&lt;/author&gt;&lt;author&gt;Kim, H. J.&lt;/author&gt;&lt;/authors&gt;&lt;/contributors&gt;&lt;auth-address&gt;From the Department of Neurology, Research Institute and Hospital of National Cancer Center, Goyang, Korea. From the Department of Neurology, Research Institute and Hospital of National Cancer Center, Goyang, Korea. hojinkim@ncc.re.kr.&lt;/auth-address&gt;&lt;titles&gt;&lt;title&gt;Evaluation of the 2015 diagnostic criteria for neuromyelitis optica spectrum disorder&lt;/title&gt;&lt;secondary-title&gt;Neurology&lt;/secondary-title&gt;&lt;/titles&gt;&lt;periodical&gt;&lt;full-title&gt;Neurology&lt;/full-title&gt;&lt;/periodical&gt;&lt;pages&gt;1772-9&lt;/pages&gt;&lt;volume&gt;86&lt;/volume&gt;&lt;number&gt;19&lt;/number&gt;&lt;keywords&gt;&lt;keyword&gt;Adult&lt;/keyword&gt;&lt;keyword&gt;Aquaporin 4/immunology&lt;/keyword&gt;&lt;keyword&gt;Diagnosis, Differential&lt;/keyword&gt;&lt;keyword&gt;Enzyme-Linked Immunosorbent Assay&lt;/keyword&gt;&lt;keyword&gt;Female&lt;/keyword&gt;&lt;keyword&gt;Follow-Up Studies&lt;/keyword&gt;&lt;keyword&gt;Humans&lt;/keyword&gt;&lt;keyword&gt;Immunoglobulin G/metabolism&lt;/keyword&gt;&lt;keyword&gt;Male&lt;/keyword&gt;&lt;keyword&gt;Neuromyelitis Optica/ diagnosis/physiopathology&lt;/keyword&gt;&lt;keyword&gt;Retrospective Studies&lt;/keyword&gt;&lt;/keywords&gt;&lt;dates&gt;&lt;year&gt;2016&lt;/year&gt;&lt;pub-dates&gt;&lt;date&gt;May 10&lt;/date&gt;&lt;/pub-dates&gt;&lt;/dates&gt;&lt;accession-num&gt;27164713&lt;/accession-num&gt;&lt;urls&gt;&lt;related-urls&gt;&lt;url&gt;https://n.neurology.org/content/86/19/1772.long&lt;/url&gt;&lt;/related-urls&gt;&lt;/urls&gt;&lt;remote-database-provider&gt;Nlm&lt;/remote-database-provider&gt;&lt;research-notes&gt;pop: adults, NMOSD&amp;#xD;inter: diagnosis by 2015 criteria,&amp;#xD;reported: AQP4 status, agreement between 2006 (with assumed unknown AQP4 status) and 2015 diagnoses&lt;/research-notes&gt;&lt;language&gt;eng&lt;/language&gt;&lt;/record&gt;&lt;/Cite&gt;&lt;/EndNote&gt;</w:instrText>
            </w:r>
            <w:r>
              <w:rPr>
                <w:rFonts w:ascii="Arial Narrow" w:hAnsi="Arial Narrow" w:cs="Times New Roman"/>
              </w:rPr>
              <w:fldChar w:fldCharType="separate"/>
            </w:r>
            <w:r>
              <w:rPr>
                <w:rFonts w:ascii="Arial Narrow" w:hAnsi="Arial Narrow" w:cs="Times New Roman"/>
                <w:noProof/>
              </w:rPr>
              <w:t>(Hyun et al. 2016)</w:t>
            </w:r>
            <w:r>
              <w:rPr>
                <w:rFonts w:ascii="Arial Narrow" w:hAnsi="Arial Narrow" w:cs="Times New Roman"/>
              </w:rPr>
              <w:fldChar w:fldCharType="end"/>
            </w:r>
          </w:p>
        </w:tc>
        <w:tc>
          <w:tcPr>
            <w:tcW w:w="1036" w:type="dxa"/>
            <w:tcBorders>
              <w:top w:val="single" w:sz="6" w:space="0" w:color="auto"/>
              <w:left w:val="single" w:sz="6" w:space="0" w:color="auto"/>
              <w:bottom w:val="single" w:sz="6" w:space="0" w:color="auto"/>
              <w:right w:val="single" w:sz="6" w:space="0" w:color="auto"/>
            </w:tcBorders>
          </w:tcPr>
          <w:p w14:paraId="5DB1256B" w14:textId="77777777" w:rsidR="006F6B7F" w:rsidRPr="009E090B" w:rsidRDefault="006F6B7F" w:rsidP="006F6B7F">
            <w:pPr>
              <w:ind w:left="60" w:right="60"/>
              <w:jc w:val="left"/>
              <w:rPr>
                <w:rFonts w:ascii="Arial Narrow" w:hAnsi="Arial Narrow" w:cs="Times New Roman"/>
              </w:rPr>
            </w:pPr>
            <w:r>
              <w:rPr>
                <w:rFonts w:ascii="Arial Narrow" w:hAnsi="Arial Narrow" w:cs="Times New Roman"/>
              </w:rPr>
              <w:t>4/7</w:t>
            </w:r>
          </w:p>
        </w:tc>
        <w:tc>
          <w:tcPr>
            <w:tcW w:w="1232" w:type="dxa"/>
            <w:tcBorders>
              <w:top w:val="single" w:sz="6" w:space="0" w:color="auto"/>
              <w:left w:val="single" w:sz="6" w:space="0" w:color="auto"/>
              <w:bottom w:val="single" w:sz="6" w:space="0" w:color="auto"/>
              <w:right w:val="single" w:sz="6" w:space="0" w:color="auto"/>
            </w:tcBorders>
          </w:tcPr>
          <w:p w14:paraId="6FF55A27" w14:textId="77777777" w:rsidR="006F6B7F" w:rsidRPr="009E090B" w:rsidRDefault="006F6B7F" w:rsidP="006F6B7F">
            <w:pPr>
              <w:ind w:left="60" w:right="60"/>
              <w:jc w:val="left"/>
              <w:rPr>
                <w:rFonts w:ascii="Arial Narrow" w:hAnsi="Arial Narrow" w:cs="Times New Roman"/>
              </w:rPr>
            </w:pPr>
            <w:r>
              <w:rPr>
                <w:rFonts w:ascii="Arial Narrow" w:hAnsi="Arial Narrow" w:cs="Times New Roman"/>
              </w:rPr>
              <w:t>4/5</w:t>
            </w:r>
          </w:p>
        </w:tc>
        <w:tc>
          <w:tcPr>
            <w:tcW w:w="1276" w:type="dxa"/>
            <w:tcBorders>
              <w:top w:val="single" w:sz="6" w:space="0" w:color="auto"/>
              <w:left w:val="single" w:sz="6" w:space="0" w:color="auto"/>
              <w:bottom w:val="single" w:sz="6" w:space="0" w:color="auto"/>
              <w:right w:val="single" w:sz="6" w:space="0" w:color="auto"/>
            </w:tcBorders>
          </w:tcPr>
          <w:p w14:paraId="329073AB" w14:textId="77777777" w:rsidR="006F6B7F" w:rsidRPr="009E090B" w:rsidRDefault="006F6B7F" w:rsidP="006F6B7F">
            <w:pPr>
              <w:ind w:left="60" w:right="60"/>
              <w:jc w:val="left"/>
              <w:rPr>
                <w:rFonts w:ascii="Arial Narrow" w:hAnsi="Arial Narrow" w:cs="Times New Roman"/>
              </w:rPr>
            </w:pPr>
            <w:r>
              <w:rPr>
                <w:rFonts w:ascii="Arial Narrow" w:hAnsi="Arial Narrow" w:cs="Times New Roman"/>
              </w:rPr>
              <w:t>1/1</w:t>
            </w:r>
          </w:p>
        </w:tc>
        <w:tc>
          <w:tcPr>
            <w:tcW w:w="1275" w:type="dxa"/>
            <w:tcBorders>
              <w:top w:val="single" w:sz="6" w:space="0" w:color="auto"/>
              <w:left w:val="single" w:sz="6" w:space="0" w:color="auto"/>
              <w:bottom w:val="single" w:sz="6" w:space="0" w:color="auto"/>
              <w:right w:val="single" w:sz="6" w:space="0" w:color="auto"/>
            </w:tcBorders>
          </w:tcPr>
          <w:p w14:paraId="6AB2375E" w14:textId="77777777" w:rsidR="006F6B7F" w:rsidRPr="009E090B" w:rsidRDefault="006F6B7F" w:rsidP="006F6B7F">
            <w:pPr>
              <w:ind w:left="60" w:right="60"/>
              <w:jc w:val="left"/>
              <w:rPr>
                <w:rFonts w:ascii="Arial Narrow" w:hAnsi="Arial Narrow" w:cs="Times New Roman"/>
              </w:rPr>
            </w:pPr>
            <w:r>
              <w:rPr>
                <w:rFonts w:ascii="Arial Narrow" w:hAnsi="Arial Narrow" w:cs="Times New Roman"/>
              </w:rPr>
              <w:t>1/1</w:t>
            </w:r>
          </w:p>
        </w:tc>
        <w:tc>
          <w:tcPr>
            <w:tcW w:w="1418" w:type="dxa"/>
            <w:tcBorders>
              <w:top w:val="single" w:sz="6" w:space="0" w:color="auto"/>
              <w:left w:val="single" w:sz="6" w:space="0" w:color="auto"/>
              <w:bottom w:val="single" w:sz="6" w:space="0" w:color="auto"/>
              <w:right w:val="single" w:sz="6" w:space="0" w:color="auto"/>
            </w:tcBorders>
          </w:tcPr>
          <w:p w14:paraId="5202FF98" w14:textId="77777777" w:rsidR="006F6B7F" w:rsidRDefault="002329DA" w:rsidP="006F6B7F">
            <w:pPr>
              <w:ind w:left="60" w:right="60"/>
              <w:jc w:val="left"/>
              <w:rPr>
                <w:rFonts w:ascii="Arial Narrow" w:hAnsi="Arial Narrow" w:cs="Times New Roman"/>
              </w:rPr>
            </w:pPr>
            <w:r>
              <w:rPr>
                <w:rFonts w:ascii="Arial Narrow" w:hAnsi="Arial Narrow" w:cs="Times New Roman"/>
              </w:rPr>
              <w:t>1/2</w:t>
            </w:r>
          </w:p>
        </w:tc>
        <w:tc>
          <w:tcPr>
            <w:tcW w:w="1953" w:type="dxa"/>
            <w:tcBorders>
              <w:top w:val="single" w:sz="6" w:space="0" w:color="auto"/>
              <w:left w:val="single" w:sz="6" w:space="0" w:color="auto"/>
              <w:bottom w:val="single" w:sz="6" w:space="0" w:color="auto"/>
              <w:right w:val="single" w:sz="6" w:space="0" w:color="auto"/>
            </w:tcBorders>
          </w:tcPr>
          <w:p w14:paraId="58143A04" w14:textId="77777777" w:rsidR="006F6B7F" w:rsidRDefault="002329DA" w:rsidP="006F6B7F">
            <w:pPr>
              <w:ind w:left="60" w:right="60"/>
              <w:jc w:val="left"/>
              <w:rPr>
                <w:rFonts w:ascii="Arial Narrow" w:hAnsi="Arial Narrow" w:cs="Times New Roman"/>
              </w:rPr>
            </w:pPr>
            <w:r>
              <w:rPr>
                <w:rFonts w:ascii="Arial Narrow" w:hAnsi="Arial Narrow" w:cs="Times New Roman"/>
              </w:rPr>
              <w:t>12</w:t>
            </w:r>
            <w:r w:rsidR="006F6B7F">
              <w:rPr>
                <w:rFonts w:ascii="Arial Narrow" w:hAnsi="Arial Narrow" w:cs="Times New Roman"/>
              </w:rPr>
              <w:t>/1</w:t>
            </w:r>
            <w:r>
              <w:rPr>
                <w:rFonts w:ascii="Arial Narrow" w:hAnsi="Arial Narrow" w:cs="Times New Roman"/>
              </w:rPr>
              <w:t>6</w:t>
            </w:r>
          </w:p>
          <w:p w14:paraId="1B029674" w14:textId="77777777" w:rsidR="006F6B7F" w:rsidRPr="009E090B" w:rsidRDefault="006F6B7F" w:rsidP="006F6B7F">
            <w:pPr>
              <w:ind w:left="60" w:right="60"/>
              <w:jc w:val="left"/>
              <w:rPr>
                <w:rFonts w:ascii="Arial Narrow" w:hAnsi="Arial Narrow" w:cs="Times New Roman"/>
              </w:rPr>
            </w:pPr>
            <w:r>
              <w:rPr>
                <w:rFonts w:ascii="Arial Narrow" w:hAnsi="Arial Narrow" w:cs="Times New Roman"/>
              </w:rPr>
              <w:t>Moderate risk of bias</w:t>
            </w:r>
          </w:p>
        </w:tc>
      </w:tr>
      <w:tr w:rsidR="006F6B7F" w:rsidRPr="009E090B" w14:paraId="22BD8629" w14:textId="77777777" w:rsidTr="002C4E7F">
        <w:trPr>
          <w:trHeight w:val="506"/>
        </w:trPr>
        <w:tc>
          <w:tcPr>
            <w:tcW w:w="843" w:type="dxa"/>
            <w:tcBorders>
              <w:top w:val="single" w:sz="6" w:space="0" w:color="auto"/>
              <w:left w:val="single" w:sz="6" w:space="0" w:color="auto"/>
              <w:bottom w:val="single" w:sz="6" w:space="0" w:color="auto"/>
              <w:right w:val="single" w:sz="6" w:space="0" w:color="auto"/>
            </w:tcBorders>
            <w:hideMark/>
          </w:tcPr>
          <w:p w14:paraId="76294CB8" w14:textId="462198AE" w:rsidR="006F6B7F" w:rsidRPr="009E090B" w:rsidRDefault="00156621" w:rsidP="00D96694">
            <w:pPr>
              <w:ind w:left="60" w:right="60"/>
              <w:jc w:val="left"/>
              <w:rPr>
                <w:rFonts w:ascii="Arial Narrow" w:hAnsi="Arial Narrow" w:cs="Times New Roman"/>
              </w:rPr>
            </w:pPr>
            <w:r>
              <w:rPr>
                <w:rFonts w:ascii="Arial Narrow" w:hAnsi="Arial Narrow" w:cs="Times New Roman"/>
              </w:rPr>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(Li et al. 2015)</w:t>
            </w:r>
            <w:r>
              <w:rPr>
                <w:rFonts w:ascii="Arial Narrow" w:hAnsi="Arial Narrow" w:cs="Times New Roman"/>
              </w:rPr>
              <w:fldChar w:fldCharType="end"/>
            </w:r>
          </w:p>
        </w:tc>
        <w:tc>
          <w:tcPr>
            <w:tcW w:w="1036" w:type="dxa"/>
            <w:tcBorders>
              <w:top w:val="single" w:sz="6" w:space="0" w:color="auto"/>
              <w:left w:val="single" w:sz="6" w:space="0" w:color="auto"/>
              <w:bottom w:val="single" w:sz="6" w:space="0" w:color="auto"/>
              <w:right w:val="single" w:sz="6" w:space="0" w:color="auto"/>
            </w:tcBorders>
          </w:tcPr>
          <w:p w14:paraId="29712C80" w14:textId="77777777" w:rsidR="006F6B7F" w:rsidRPr="009E090B" w:rsidRDefault="006F6B7F" w:rsidP="006F6B7F">
            <w:pPr>
              <w:ind w:left="60" w:right="60"/>
              <w:jc w:val="left"/>
              <w:rPr>
                <w:rFonts w:ascii="Arial Narrow" w:hAnsi="Arial Narrow" w:cs="Times New Roman"/>
              </w:rPr>
            </w:pPr>
            <w:r>
              <w:rPr>
                <w:rFonts w:ascii="Arial Narrow" w:hAnsi="Arial Narrow" w:cs="Times New Roman"/>
              </w:rPr>
              <w:t>3/4</w:t>
            </w:r>
          </w:p>
        </w:tc>
        <w:tc>
          <w:tcPr>
            <w:tcW w:w="1232" w:type="dxa"/>
            <w:tcBorders>
              <w:top w:val="single" w:sz="6" w:space="0" w:color="auto"/>
              <w:left w:val="single" w:sz="6" w:space="0" w:color="auto"/>
              <w:bottom w:val="single" w:sz="6" w:space="0" w:color="auto"/>
              <w:right w:val="single" w:sz="6" w:space="0" w:color="auto"/>
            </w:tcBorders>
          </w:tcPr>
          <w:p w14:paraId="75C4F580" w14:textId="77777777" w:rsidR="006F6B7F" w:rsidRPr="009E090B" w:rsidRDefault="006F6B7F" w:rsidP="006F6B7F">
            <w:pPr>
              <w:ind w:left="60" w:right="60"/>
              <w:jc w:val="left"/>
              <w:rPr>
                <w:rFonts w:ascii="Arial Narrow" w:hAnsi="Arial Narrow" w:cs="Times New Roman"/>
              </w:rPr>
            </w:pPr>
            <w:r>
              <w:rPr>
                <w:rFonts w:ascii="Arial Narrow" w:hAnsi="Arial Narrow" w:cs="Times New Roman"/>
              </w:rPr>
              <w:t>5/5</w:t>
            </w:r>
          </w:p>
        </w:tc>
        <w:tc>
          <w:tcPr>
            <w:tcW w:w="1276" w:type="dxa"/>
            <w:tcBorders>
              <w:top w:val="single" w:sz="6" w:space="0" w:color="auto"/>
              <w:left w:val="single" w:sz="6" w:space="0" w:color="auto"/>
              <w:bottom w:val="single" w:sz="6" w:space="0" w:color="auto"/>
              <w:right w:val="single" w:sz="6" w:space="0" w:color="auto"/>
            </w:tcBorders>
          </w:tcPr>
          <w:p w14:paraId="200B28E3" w14:textId="77777777" w:rsidR="006F6B7F" w:rsidRPr="009E090B" w:rsidRDefault="006F6B7F" w:rsidP="006F6B7F">
            <w:pPr>
              <w:ind w:left="60" w:right="60"/>
              <w:jc w:val="left"/>
              <w:rPr>
                <w:rFonts w:ascii="Arial Narrow" w:hAnsi="Arial Narrow" w:cs="Times New Roman"/>
              </w:rPr>
            </w:pPr>
            <w:r>
              <w:rPr>
                <w:rFonts w:ascii="Arial Narrow" w:hAnsi="Arial Narrow" w:cs="Times New Roman"/>
              </w:rPr>
              <w:t>1/1</w:t>
            </w:r>
          </w:p>
        </w:tc>
        <w:tc>
          <w:tcPr>
            <w:tcW w:w="1275" w:type="dxa"/>
            <w:tcBorders>
              <w:top w:val="single" w:sz="6" w:space="0" w:color="auto"/>
              <w:left w:val="single" w:sz="6" w:space="0" w:color="auto"/>
              <w:bottom w:val="single" w:sz="6" w:space="0" w:color="auto"/>
              <w:right w:val="single" w:sz="6" w:space="0" w:color="auto"/>
            </w:tcBorders>
          </w:tcPr>
          <w:p w14:paraId="672C49D4" w14:textId="77777777" w:rsidR="006F6B7F" w:rsidRPr="009E090B" w:rsidRDefault="006F6B7F" w:rsidP="006F6B7F">
            <w:pPr>
              <w:ind w:left="60" w:right="60"/>
              <w:jc w:val="left"/>
              <w:rPr>
                <w:rFonts w:ascii="Arial Narrow" w:hAnsi="Arial Narrow" w:cs="Times New Roman"/>
              </w:rPr>
            </w:pPr>
            <w:r>
              <w:rPr>
                <w:rFonts w:ascii="Arial Narrow" w:hAnsi="Arial Narrow" w:cs="Times New Roman"/>
              </w:rPr>
              <w:t>0/1</w:t>
            </w:r>
          </w:p>
        </w:tc>
        <w:tc>
          <w:tcPr>
            <w:tcW w:w="1418" w:type="dxa"/>
            <w:tcBorders>
              <w:top w:val="single" w:sz="6" w:space="0" w:color="auto"/>
              <w:left w:val="single" w:sz="6" w:space="0" w:color="auto"/>
              <w:bottom w:val="single" w:sz="6" w:space="0" w:color="auto"/>
              <w:right w:val="single" w:sz="6" w:space="0" w:color="auto"/>
            </w:tcBorders>
          </w:tcPr>
          <w:p w14:paraId="29194127" w14:textId="77777777" w:rsidR="006F6B7F" w:rsidRDefault="002329DA" w:rsidP="006F6B7F">
            <w:pPr>
              <w:ind w:left="60" w:right="60"/>
              <w:jc w:val="left"/>
              <w:rPr>
                <w:rFonts w:ascii="Arial Narrow" w:hAnsi="Arial Narrow" w:cs="Times New Roman"/>
              </w:rPr>
            </w:pPr>
            <w:r>
              <w:rPr>
                <w:rFonts w:ascii="Arial Narrow" w:hAnsi="Arial Narrow" w:cs="Times New Roman"/>
              </w:rPr>
              <w:t>1/2</w:t>
            </w:r>
          </w:p>
        </w:tc>
        <w:tc>
          <w:tcPr>
            <w:tcW w:w="1953" w:type="dxa"/>
            <w:tcBorders>
              <w:top w:val="single" w:sz="6" w:space="0" w:color="auto"/>
              <w:left w:val="single" w:sz="6" w:space="0" w:color="auto"/>
              <w:bottom w:val="single" w:sz="6" w:space="0" w:color="auto"/>
              <w:right w:val="single" w:sz="6" w:space="0" w:color="auto"/>
            </w:tcBorders>
          </w:tcPr>
          <w:p w14:paraId="48E547AA" w14:textId="77777777" w:rsidR="006F6B7F" w:rsidRDefault="002329DA" w:rsidP="006F6B7F">
            <w:pPr>
              <w:ind w:left="60" w:right="60"/>
              <w:jc w:val="left"/>
              <w:rPr>
                <w:rFonts w:ascii="Arial Narrow" w:hAnsi="Arial Narrow" w:cs="Times New Roman"/>
              </w:rPr>
            </w:pPr>
            <w:r>
              <w:rPr>
                <w:rFonts w:ascii="Arial Narrow" w:hAnsi="Arial Narrow" w:cs="Times New Roman"/>
              </w:rPr>
              <w:t>10/13</w:t>
            </w:r>
          </w:p>
          <w:p w14:paraId="1EFB1E13" w14:textId="77777777" w:rsidR="006F6B7F" w:rsidRPr="009E090B" w:rsidRDefault="006F6B7F" w:rsidP="006F6B7F">
            <w:pPr>
              <w:ind w:left="60" w:right="60"/>
              <w:jc w:val="left"/>
              <w:rPr>
                <w:rFonts w:ascii="Arial Narrow" w:hAnsi="Arial Narrow" w:cs="Times New Roman"/>
              </w:rPr>
            </w:pPr>
            <w:r>
              <w:rPr>
                <w:rFonts w:ascii="Arial Narrow" w:hAnsi="Arial Narrow" w:cs="Times New Roman"/>
              </w:rPr>
              <w:t>Moderate risk of bias</w:t>
            </w:r>
          </w:p>
        </w:tc>
      </w:tr>
    </w:tbl>
    <w:p w14:paraId="6E012B2B" w14:textId="77777777" w:rsidR="00CD1AB7" w:rsidRDefault="00CD1AB7" w:rsidP="00576185">
      <w:pPr>
        <w:pStyle w:val="Tablenotes0"/>
      </w:pPr>
    </w:p>
    <w:p w14:paraId="3DE1F507" w14:textId="77777777" w:rsidR="00ED65EE" w:rsidRPr="00183E4D" w:rsidRDefault="00ED65EE" w:rsidP="00576185">
      <w:pPr>
        <w:pStyle w:val="Heading2"/>
        <w:keepLines/>
        <w:numPr>
          <w:ilvl w:val="1"/>
          <w:numId w:val="11"/>
        </w:numPr>
      </w:pPr>
      <w:bookmarkStart w:id="278" w:name="_Toc39588324"/>
      <w:r w:rsidRPr="00183E4D">
        <w:lastRenderedPageBreak/>
        <w:t>Characteristics of the Evidence Base</w:t>
      </w:r>
      <w:bookmarkEnd w:id="278"/>
    </w:p>
    <w:p w14:paraId="2081D04E" w14:textId="109CB1E4" w:rsidR="00ED65EE" w:rsidRPr="00C85710" w:rsidRDefault="00ED65EE" w:rsidP="00576185">
      <w:pPr>
        <w:keepNext/>
        <w:keepLines/>
      </w:pPr>
      <w:r w:rsidRPr="00C85710">
        <w:t xml:space="preserve">See </w:t>
      </w:r>
      <w:r w:rsidR="00576185">
        <w:fldChar w:fldCharType="begin"/>
      </w:r>
      <w:r w:rsidR="00576185">
        <w:instrText xml:space="preserve"> REF _Ref190841600 \h </w:instrText>
      </w:r>
      <w:r w:rsidR="00576185">
        <w:fldChar w:fldCharType="separate"/>
      </w:r>
      <w:r w:rsidR="00576185" w:rsidRPr="00183E4D">
        <w:t xml:space="preserve">Appendix </w:t>
      </w:r>
      <w:r w:rsidR="00576185">
        <w:rPr>
          <w:noProof/>
        </w:rPr>
        <w:t>C</w:t>
      </w:r>
      <w:r w:rsidR="00576185">
        <w:fldChar w:fldCharType="end"/>
      </w:r>
      <w:r w:rsidRPr="00C85710">
        <w:t xml:space="preserve"> for details on the individual studies included in the evidence base. </w:t>
      </w:r>
    </w:p>
    <w:p w14:paraId="2F21141B" w14:textId="5724E618" w:rsidR="00ED65EE" w:rsidRDefault="00ED65EE" w:rsidP="00576185">
      <w:pPr>
        <w:keepNext/>
        <w:keepLines/>
      </w:pPr>
      <w:r w:rsidRPr="00C85710">
        <w:t xml:space="preserve">Studies </w:t>
      </w:r>
      <w:r w:rsidR="005C0A83">
        <w:t>that</w:t>
      </w:r>
      <w:r w:rsidR="005C0A83" w:rsidRPr="00C85710">
        <w:t xml:space="preserve"> </w:t>
      </w:r>
      <w:r w:rsidRPr="00C85710">
        <w:t>provided</w:t>
      </w:r>
      <w:r>
        <w:t xml:space="preserve"> evidence on the impact of the test on patient management are characterised in </w:t>
      </w:r>
      <w:r w:rsidR="00F77A79">
        <w:fldChar w:fldCharType="begin"/>
      </w:r>
      <w:r w:rsidR="00F77A79">
        <w:instrText xml:space="preserve"> REF _Ref31205142 \h </w:instrText>
      </w:r>
      <w:r w:rsidR="00F77A79">
        <w:fldChar w:fldCharType="separate"/>
      </w:r>
      <w:r w:rsidR="002C4E7F">
        <w:t xml:space="preserve">Table </w:t>
      </w:r>
      <w:r w:rsidR="002C4E7F">
        <w:rPr>
          <w:noProof/>
        </w:rPr>
        <w:t>40</w:t>
      </w:r>
      <w:r w:rsidR="00F77A79">
        <w:fldChar w:fldCharType="end"/>
      </w:r>
      <w:r w:rsidR="00F77A79">
        <w:t>.</w:t>
      </w:r>
      <w:r w:rsidR="001E4CB4">
        <w:t xml:space="preserve"> Seven studies in all were included, four of which prov</w:t>
      </w:r>
      <w:r w:rsidR="00DE1BAE">
        <w:t>i</w:t>
      </w:r>
      <w:r w:rsidR="001E4CB4">
        <w:t>ded level IV evidence and three level III-3 evidence.</w:t>
      </w:r>
      <w:r w:rsidR="00DE1BAE">
        <w:t xml:space="preserve"> </w:t>
      </w:r>
      <w:r w:rsidR="00CD1AB7">
        <w:t xml:space="preserve">All studies were conducted in different countries, across four continents. </w:t>
      </w:r>
      <w:r w:rsidR="00DE1BAE">
        <w:t xml:space="preserve">Five of the studies </w:t>
      </w:r>
      <w:r w:rsidR="00CD1AB7">
        <w:t>performed</w:t>
      </w:r>
      <w:r w:rsidR="00DE1BAE">
        <w:t xml:space="preserve"> retrospective analyses of clinical data. The remaining two studies were surveys, one by authors Beekman et al</w:t>
      </w:r>
      <w:r w:rsidR="00923846">
        <w:t xml:space="preserve"> </w:t>
      </w:r>
      <w:r w:rsidR="00156621">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 </w:instrText>
      </w:r>
      <w:r w:rsidR="00024910">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EN.CITE.DATA </w:instrText>
      </w:r>
      <w:r w:rsidR="00024910">
        <w:fldChar w:fldCharType="end"/>
      </w:r>
      <w:r w:rsidR="00156621">
        <w:fldChar w:fldCharType="separate"/>
      </w:r>
      <w:r w:rsidR="00024910">
        <w:rPr>
          <w:noProof/>
        </w:rPr>
        <w:t>(2019)</w:t>
      </w:r>
      <w:r w:rsidR="00156621">
        <w:fldChar w:fldCharType="end"/>
      </w:r>
      <w:r w:rsidR="00DE1BAE">
        <w:t xml:space="preserve">, who conducted an online survey of the </w:t>
      </w:r>
      <w:r w:rsidR="00A4482D">
        <w:t>quality of life (</w:t>
      </w:r>
      <w:r w:rsidR="00DE1BAE">
        <w:t>QoL</w:t>
      </w:r>
      <w:r w:rsidR="00A4482D">
        <w:t>)</w:t>
      </w:r>
      <w:r w:rsidR="00DE1BAE">
        <w:t xml:space="preserve"> and diagnostic and treatment experiences of NMOSD patients. A second survey was conducted by Jurynczyk et al</w:t>
      </w:r>
      <w:r w:rsidR="00923846">
        <w:t xml:space="preserve"> </w:t>
      </w:r>
      <w:r w:rsidR="00156621">
        <w:fldChar w:fldCharType="begin">
          <w:fldData xml:space="preserve">PEVuZE5vdGU+PENpdGU+PEF1dGhvcj5KdXJ5bmN6eWs8L0F1dGhvcj48WWVhcj4yMDE2PC9ZZWFy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</w:fldData>
        </w:fldChar>
      </w:r>
      <w:r w:rsidR="00AC01FD">
        <w:instrText xml:space="preserve"> ADDIN EN.CITE </w:instrText>
      </w:r>
      <w:r w:rsidR="00AC01FD">
        <w:fldChar w:fldCharType="begin">
          <w:fldData xml:space="preserve">PEVuZE5vdGU+PENpdGU+PEF1dGhvcj5KdXJ5bmN6eWs8L0F1dGhvcj48WWVhcj4yMDE2PC9ZZWFy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</w:fldData>
        </w:fldChar>
      </w:r>
      <w:r w:rsidR="00AC01FD">
        <w:instrText xml:space="preserve"> ADDIN EN.CITE.DATA </w:instrText>
      </w:r>
      <w:r w:rsidR="00AC01FD">
        <w:fldChar w:fldCharType="end"/>
      </w:r>
      <w:r w:rsidR="00156621">
        <w:fldChar w:fldCharType="separate"/>
      </w:r>
      <w:r w:rsidR="00156621">
        <w:rPr>
          <w:noProof/>
        </w:rPr>
        <w:t>(2016)</w:t>
      </w:r>
      <w:r w:rsidR="00156621">
        <w:fldChar w:fldCharType="end"/>
      </w:r>
      <w:r w:rsidR="00DE1BAE">
        <w:t xml:space="preserve">, in which </w:t>
      </w:r>
      <w:r w:rsidR="00E95642">
        <w:t xml:space="preserve">12 </w:t>
      </w:r>
      <w:r w:rsidR="002E24C3">
        <w:t>neurology consultants</w:t>
      </w:r>
      <w:r w:rsidR="00DE1BAE">
        <w:t xml:space="preserve"> were asked to diagnose a set of </w:t>
      </w:r>
      <w:r w:rsidR="00E95642">
        <w:t>MS and NMOSD cases based on information provided.</w:t>
      </w:r>
    </w:p>
    <w:p w14:paraId="230D2C7F" w14:textId="549B1C65" w:rsidR="00E95642" w:rsidRDefault="00DE1BAE" w:rsidP="00ED65EE">
      <w:r>
        <w:t xml:space="preserve">The retrospective cohort studies </w:t>
      </w:r>
      <w:r w:rsidR="00156621">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instrText xml:space="preserve"> ADDIN EN.CITE </w:instrText>
      </w:r>
      <w:r w:rsidR="00D96694">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instrText xml:space="preserve"> ADDIN EN.CITE.DATA </w:instrText>
      </w:r>
      <w:r w:rsidR="00D96694">
        <w:fldChar w:fldCharType="end"/>
      </w:r>
      <w:r w:rsidR="00156621">
        <w:fldChar w:fldCharType="separate"/>
      </w:r>
      <w:r w:rsidR="00156621">
        <w:rPr>
          <w:noProof/>
        </w:rPr>
        <w:t>(Akman-Demir et al. 2011)</w:t>
      </w:r>
      <w:r w:rsidR="00156621">
        <w:fldChar w:fldCharType="end"/>
      </w:r>
      <w:r w:rsidR="00732755">
        <w:t xml:space="preserve"> </w:t>
      </w:r>
      <w:r w:rsidR="00156621">
        <w:fldChar w:fldCharType="begin">
          <w:fldData xml:space="preserve">PEVuZE5vdGU+PENpdGU+PEF1dGhvcj5IeXVuPC9BdXRob3I+PFllYXI+MjAxNjwvWWVhcj48UmVj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</w:fldData>
        </w:fldChar>
      </w:r>
      <w:r w:rsidR="00D96694">
        <w:instrText xml:space="preserve"> ADDIN EN.CITE </w:instrText>
      </w:r>
      <w:r w:rsidR="00D96694">
        <w:fldChar w:fldCharType="begin">
          <w:fldData xml:space="preserve">PEVuZE5vdGU+PENpdGU+PEF1dGhvcj5IeXVuPC9BdXRob3I+PFllYXI+MjAxNjwvWWVhcj48UmVj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</w:fldData>
        </w:fldChar>
      </w:r>
      <w:r w:rsidR="00D96694">
        <w:instrText xml:space="preserve"> ADDIN EN.CITE.DATA </w:instrText>
      </w:r>
      <w:r w:rsidR="00D96694">
        <w:fldChar w:fldCharType="end"/>
      </w:r>
      <w:r w:rsidR="00156621">
        <w:fldChar w:fldCharType="separate"/>
      </w:r>
      <w:r w:rsidR="00156621">
        <w:rPr>
          <w:noProof/>
        </w:rPr>
        <w:t>(Hyun et al. 2016; Li et al. 2015)</w:t>
      </w:r>
      <w:r w:rsidR="00156621">
        <w:fldChar w:fldCharType="end"/>
      </w:r>
      <w:r w:rsidR="00923846">
        <w:t xml:space="preserve"> </w:t>
      </w:r>
      <w:r>
        <w:t>compared management between AQP4-Ab positive and negative patients</w:t>
      </w:r>
      <w:r w:rsidR="00E95642">
        <w:t xml:space="preserve"> in populations with neurological symptoms</w:t>
      </w:r>
      <w:r>
        <w:t xml:space="preserve">. </w:t>
      </w:r>
      <w:r w:rsidR="001E4CB4">
        <w:t>The multicentre Korean study by Hyun et al included the largest number of patients (n=594)</w:t>
      </w:r>
      <w:r>
        <w:t xml:space="preserve">, </w:t>
      </w:r>
      <w:r w:rsidR="002E24C3">
        <w:t xml:space="preserve">and </w:t>
      </w:r>
      <w:r w:rsidR="00E95642">
        <w:t>provided significant data on</w:t>
      </w:r>
      <w:r>
        <w:t xml:space="preserve"> the time to diagnosis </w:t>
      </w:r>
      <w:r w:rsidR="00E95642">
        <w:t xml:space="preserve">in those diagnosed either with AQP4-Ab testing or without. </w:t>
      </w:r>
    </w:p>
    <w:p w14:paraId="4B70D210" w14:textId="187D2FFA" w:rsidR="001E4CB4" w:rsidRDefault="00E95642" w:rsidP="00ED65EE">
      <w:r>
        <w:t xml:space="preserve">Two case series </w:t>
      </w:r>
      <w:r w:rsidR="00156621">
        <w:fldChar w:fldCharType="begin">
          <w:fldData xml:space="preserve">PEVuZE5vdGU+PENpdGU+PEF1dGhvcj5IZW5uZXM8L0F1dGhvcj48WWVhcj4yMDE3PC9ZZWFyPjxS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</w:fldData>
        </w:fldChar>
      </w:r>
      <w:r w:rsidR="00D96694">
        <w:instrText xml:space="preserve"> ADDIN EN.CITE </w:instrText>
      </w:r>
      <w:r w:rsidR="00D96694">
        <w:fldChar w:fldCharType="begin">
          <w:fldData xml:space="preserve">PEVuZE5vdGU+PENpdGU+PEF1dGhvcj5IZW5uZXM8L0F1dGhvcj48WWVhcj4yMDE3PC9ZZWFyPjxS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</w:fldData>
        </w:fldChar>
      </w:r>
      <w:r w:rsidR="00D96694">
        <w:instrText xml:space="preserve"> ADDIN EN.CITE.DATA </w:instrText>
      </w:r>
      <w:r w:rsidR="00D96694">
        <w:fldChar w:fldCharType="end"/>
      </w:r>
      <w:r w:rsidR="00156621">
        <w:fldChar w:fldCharType="separate"/>
      </w:r>
      <w:r w:rsidR="00156621">
        <w:rPr>
          <w:noProof/>
        </w:rPr>
        <w:t>(Hennes et al. 2017; Papais-Alvarenga et al. 2018)</w:t>
      </w:r>
      <w:r w:rsidR="00156621">
        <w:fldChar w:fldCharType="end"/>
      </w:r>
      <w:r w:rsidR="00923846">
        <w:t xml:space="preserve"> </w:t>
      </w:r>
      <w:r>
        <w:t xml:space="preserve">compared the number of cases diagnosed using two sets of criteria – 2015 IPND criteria and earlier criteria. They </w:t>
      </w:r>
      <w:r w:rsidR="009F1F68">
        <w:t xml:space="preserve">collectively included 410 patients (210 children with </w:t>
      </w:r>
      <w:r w:rsidR="004222DE">
        <w:t>acquired demyelination syndrome (</w:t>
      </w:r>
      <w:r w:rsidR="009F1F68">
        <w:t>ADS</w:t>
      </w:r>
      <w:r w:rsidR="004222DE">
        <w:t>)</w:t>
      </w:r>
      <w:r w:rsidR="009F1F68">
        <w:t xml:space="preserve"> and 200 adults with </w:t>
      </w:r>
      <w:r w:rsidR="004222DE">
        <w:t>idiopathic inflammatory demyelinating disease (</w:t>
      </w:r>
      <w:r w:rsidR="009F1F68">
        <w:t>IIDD)</w:t>
      </w:r>
      <w:r w:rsidR="004222DE">
        <w:t>)</w:t>
      </w:r>
      <w:r w:rsidR="009F1F68">
        <w:t>.</w:t>
      </w:r>
    </w:p>
    <w:p w14:paraId="4237860E" w14:textId="69BACB8D" w:rsidR="00AD322A" w:rsidRDefault="002C578E" w:rsidP="009E090B">
      <w:pPr>
        <w:pStyle w:val="Caption"/>
        <w:keepLines/>
        <w:rPr>
          <w:rStyle w:val="TablenotesChar0"/>
        </w:rPr>
      </w:pPr>
      <w:bookmarkStart w:id="279" w:name="_Ref31205142"/>
      <w:bookmarkStart w:id="280" w:name="_Toc39580821"/>
      <w:r>
        <w:t xml:space="preserve">Table </w:t>
      </w:r>
      <w:fldSimple w:instr=" SEQ Table \* ARABIC ">
        <w:r w:rsidR="00FA7BCD">
          <w:rPr>
            <w:noProof/>
          </w:rPr>
          <w:t>40</w:t>
        </w:r>
      </w:fldSimple>
      <w:bookmarkEnd w:id="279"/>
      <w:r>
        <w:tab/>
        <w:t>Key features of studies reporting on change in management</w:t>
      </w:r>
      <w:bookmarkEnd w:id="280"/>
    </w:p>
    <w:tbl>
      <w:tblPr>
        <w:tblStyle w:val="TableGrid1"/>
        <w:tblW w:w="9348"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CellMar>
          <w:top w:w="15" w:type="dxa"/>
          <w:left w:w="15" w:type="dxa"/>
          <w:bottom w:w="15" w:type="dxa"/>
          <w:right w:w="15" w:type="dxa"/>
        </w:tblCellMar>
        <w:tblLook w:val="04A0" w:firstRow="1" w:lastRow="0" w:firstColumn="1" w:lastColumn="0" w:noHBand="0" w:noVBand="1"/>
        <w:tblCaption w:val="Table 40 Key features of studies reporting on change in management"/>
        <w:tblDescription w:val="A summary of study details for artile included that reported on change in management following AQP4-Ab or MOG-Ab testing"/>
      </w:tblPr>
      <w:tblGrid>
        <w:gridCol w:w="985"/>
        <w:gridCol w:w="708"/>
        <w:gridCol w:w="851"/>
        <w:gridCol w:w="709"/>
        <w:gridCol w:w="2126"/>
        <w:gridCol w:w="1559"/>
        <w:gridCol w:w="1134"/>
        <w:gridCol w:w="1276"/>
      </w:tblGrid>
      <w:tr w:rsidR="009E090B" w:rsidRPr="009E090B" w14:paraId="0DC45DF7" w14:textId="77777777" w:rsidTr="002E2399">
        <w:trPr>
          <w:cnfStyle w:val="100000000000" w:firstRow="1" w:lastRow="0" w:firstColumn="0" w:lastColumn="0" w:oddVBand="0" w:evenVBand="0" w:oddHBand="0" w:evenHBand="0" w:firstRowFirstColumn="0" w:firstRowLastColumn="0" w:lastRowFirstColumn="0" w:lastRowLastColumn="0"/>
        </w:trPr>
        <w:tc>
          <w:tcPr>
            <w:tcW w:w="985" w:type="dxa"/>
            <w:tcBorders>
              <w:top w:val="single" w:sz="6" w:space="0" w:color="auto"/>
              <w:left w:val="single" w:sz="6" w:space="0" w:color="auto"/>
              <w:bottom w:val="single" w:sz="6" w:space="0" w:color="auto"/>
              <w:right w:val="single" w:sz="6" w:space="0" w:color="auto"/>
            </w:tcBorders>
            <w:hideMark/>
          </w:tcPr>
          <w:p w14:paraId="671EA38C" w14:textId="77777777" w:rsidR="009E090B" w:rsidRDefault="009E090B" w:rsidP="009E090B">
            <w:pPr>
              <w:keepNext/>
              <w:keepLines/>
              <w:ind w:left="60" w:right="60"/>
              <w:jc w:val="left"/>
              <w:rPr>
                <w:rFonts w:ascii="Arial Narrow" w:hAnsi="Arial Narrow" w:cs="Times New Roman"/>
                <w:b/>
              </w:rPr>
            </w:pPr>
            <w:r w:rsidRPr="009E090B">
              <w:rPr>
                <w:rFonts w:ascii="Arial Narrow" w:hAnsi="Arial Narrow" w:cs="Times New Roman"/>
                <w:b/>
              </w:rPr>
              <w:t>Study ID</w:t>
            </w:r>
          </w:p>
          <w:p w14:paraId="1D75113F" w14:textId="77777777" w:rsidR="007B347B" w:rsidRPr="009E090B" w:rsidRDefault="007B347B" w:rsidP="009E090B">
            <w:pPr>
              <w:keepNext/>
              <w:keepLines/>
              <w:ind w:left="60" w:right="60"/>
              <w:jc w:val="left"/>
              <w:rPr>
                <w:rFonts w:ascii="Arial Narrow" w:hAnsi="Arial Narrow" w:cs="Times New Roman"/>
                <w:b/>
              </w:rPr>
            </w:pPr>
            <w:r>
              <w:rPr>
                <w:rFonts w:ascii="Arial Narrow" w:hAnsi="Arial Narrow" w:cs="Times New Roman"/>
                <w:b/>
              </w:rPr>
              <w:t>Country</w:t>
            </w:r>
          </w:p>
        </w:tc>
        <w:tc>
          <w:tcPr>
            <w:tcW w:w="708" w:type="dxa"/>
            <w:tcBorders>
              <w:top w:val="single" w:sz="6" w:space="0" w:color="auto"/>
              <w:left w:val="single" w:sz="6" w:space="0" w:color="auto"/>
              <w:bottom w:val="single" w:sz="6" w:space="0" w:color="auto"/>
              <w:right w:val="single" w:sz="6" w:space="0" w:color="auto"/>
            </w:tcBorders>
            <w:hideMark/>
          </w:tcPr>
          <w:p w14:paraId="2F235A21" w14:textId="77777777" w:rsidR="009E090B" w:rsidRPr="009E090B" w:rsidRDefault="009E090B" w:rsidP="009E090B">
            <w:pPr>
              <w:keepNext/>
              <w:keepLines/>
              <w:ind w:left="60" w:right="60"/>
              <w:jc w:val="left"/>
              <w:rPr>
                <w:rFonts w:ascii="Arial Narrow" w:hAnsi="Arial Narrow" w:cs="Times New Roman"/>
                <w:b/>
              </w:rPr>
            </w:pPr>
            <w:r w:rsidRPr="009E090B">
              <w:rPr>
                <w:rFonts w:ascii="Arial Narrow" w:hAnsi="Arial Narrow" w:cs="Times New Roman"/>
                <w:b/>
              </w:rPr>
              <w:t>Study Design</w:t>
            </w:r>
          </w:p>
          <w:p w14:paraId="7A457F53" w14:textId="77777777" w:rsidR="009E090B" w:rsidRPr="009E090B" w:rsidRDefault="009E090B" w:rsidP="009E090B">
            <w:pPr>
              <w:keepNext/>
              <w:keepLines/>
              <w:ind w:left="60" w:right="60"/>
              <w:jc w:val="left"/>
              <w:rPr>
                <w:rFonts w:ascii="Arial Narrow" w:hAnsi="Arial Narrow" w:cs="Times New Roman"/>
                <w:b/>
              </w:rPr>
            </w:pPr>
            <w:r w:rsidRPr="009E090B">
              <w:rPr>
                <w:rFonts w:ascii="Arial Narrow" w:hAnsi="Arial Narrow" w:cs="Times New Roman"/>
                <w:b/>
              </w:rPr>
              <w:t>Level</w:t>
            </w:r>
          </w:p>
        </w:tc>
        <w:tc>
          <w:tcPr>
            <w:tcW w:w="851" w:type="dxa"/>
            <w:tcBorders>
              <w:top w:val="single" w:sz="6" w:space="0" w:color="auto"/>
              <w:left w:val="single" w:sz="6" w:space="0" w:color="auto"/>
              <w:bottom w:val="single" w:sz="6" w:space="0" w:color="auto"/>
              <w:right w:val="single" w:sz="6" w:space="0" w:color="auto"/>
            </w:tcBorders>
            <w:hideMark/>
          </w:tcPr>
          <w:p w14:paraId="57327D1A" w14:textId="77777777" w:rsidR="009E090B" w:rsidRPr="009E090B" w:rsidRDefault="009E090B" w:rsidP="009E090B">
            <w:pPr>
              <w:keepNext/>
              <w:keepLines/>
              <w:ind w:left="60" w:right="60"/>
              <w:jc w:val="left"/>
              <w:rPr>
                <w:rFonts w:ascii="Arial Narrow" w:hAnsi="Arial Narrow" w:cs="Times New Roman"/>
                <w:b/>
              </w:rPr>
            </w:pPr>
            <w:r w:rsidRPr="009E090B">
              <w:rPr>
                <w:rFonts w:ascii="Arial Narrow" w:hAnsi="Arial Narrow" w:cs="Times New Roman"/>
                <w:b/>
              </w:rPr>
              <w:t>Risk of bias</w:t>
            </w:r>
          </w:p>
        </w:tc>
        <w:tc>
          <w:tcPr>
            <w:tcW w:w="709" w:type="dxa"/>
            <w:tcBorders>
              <w:top w:val="single" w:sz="6" w:space="0" w:color="auto"/>
              <w:left w:val="single" w:sz="6" w:space="0" w:color="auto"/>
              <w:bottom w:val="single" w:sz="6" w:space="0" w:color="auto"/>
              <w:right w:val="single" w:sz="6" w:space="0" w:color="auto"/>
            </w:tcBorders>
            <w:hideMark/>
          </w:tcPr>
          <w:p w14:paraId="46F6224A" w14:textId="77777777" w:rsidR="009E090B" w:rsidRPr="009E090B" w:rsidRDefault="009E090B" w:rsidP="009E090B">
            <w:pPr>
              <w:keepNext/>
              <w:keepLines/>
              <w:ind w:left="60" w:right="60"/>
              <w:jc w:val="left"/>
              <w:rPr>
                <w:rFonts w:ascii="Arial Narrow" w:hAnsi="Arial Narrow" w:cs="Times New Roman"/>
                <w:b/>
              </w:rPr>
            </w:pPr>
            <w:r w:rsidRPr="009E090B">
              <w:rPr>
                <w:rFonts w:ascii="Arial Narrow" w:hAnsi="Arial Narrow" w:cs="Times New Roman"/>
                <w:b/>
              </w:rPr>
              <w:t>Sample Size</w:t>
            </w:r>
          </w:p>
        </w:tc>
        <w:tc>
          <w:tcPr>
            <w:tcW w:w="2126" w:type="dxa"/>
            <w:tcBorders>
              <w:top w:val="single" w:sz="6" w:space="0" w:color="auto"/>
              <w:left w:val="single" w:sz="6" w:space="0" w:color="auto"/>
              <w:bottom w:val="single" w:sz="6" w:space="0" w:color="auto"/>
              <w:right w:val="single" w:sz="6" w:space="0" w:color="auto"/>
            </w:tcBorders>
            <w:hideMark/>
          </w:tcPr>
          <w:p w14:paraId="6B8E5489" w14:textId="77777777" w:rsidR="009E090B" w:rsidRPr="009E090B" w:rsidRDefault="009E090B" w:rsidP="009E090B">
            <w:pPr>
              <w:keepNext/>
              <w:keepLines/>
              <w:ind w:left="60" w:right="60"/>
              <w:jc w:val="left"/>
              <w:rPr>
                <w:rFonts w:ascii="Arial Narrow" w:hAnsi="Arial Narrow" w:cs="Times New Roman"/>
                <w:b/>
              </w:rPr>
            </w:pPr>
            <w:r w:rsidRPr="009E090B">
              <w:rPr>
                <w:rFonts w:ascii="Arial Narrow" w:hAnsi="Arial Narrow" w:cs="Times New Roman"/>
                <w:b/>
              </w:rPr>
              <w:t>Patient population</w:t>
            </w:r>
          </w:p>
        </w:tc>
        <w:tc>
          <w:tcPr>
            <w:tcW w:w="1559" w:type="dxa"/>
            <w:tcBorders>
              <w:top w:val="single" w:sz="6" w:space="0" w:color="auto"/>
              <w:left w:val="single" w:sz="6" w:space="0" w:color="auto"/>
              <w:bottom w:val="single" w:sz="6" w:space="0" w:color="auto"/>
              <w:right w:val="single" w:sz="6" w:space="0" w:color="auto"/>
            </w:tcBorders>
            <w:hideMark/>
          </w:tcPr>
          <w:p w14:paraId="4E4DFBF0" w14:textId="77777777" w:rsidR="009E090B" w:rsidRPr="009E090B" w:rsidRDefault="009E090B" w:rsidP="009E090B">
            <w:pPr>
              <w:keepNext/>
              <w:keepLines/>
              <w:ind w:left="60" w:right="60"/>
              <w:jc w:val="left"/>
              <w:rPr>
                <w:rFonts w:ascii="Arial Narrow" w:hAnsi="Arial Narrow" w:cs="Times New Roman"/>
                <w:b/>
              </w:rPr>
            </w:pPr>
            <w:r w:rsidRPr="009E090B">
              <w:rPr>
                <w:rFonts w:ascii="Arial Narrow" w:hAnsi="Arial Narrow" w:cs="Times New Roman"/>
                <w:b/>
              </w:rPr>
              <w:t>Intervention</w:t>
            </w:r>
          </w:p>
        </w:tc>
        <w:tc>
          <w:tcPr>
            <w:tcW w:w="1134" w:type="dxa"/>
            <w:tcBorders>
              <w:top w:val="single" w:sz="6" w:space="0" w:color="auto"/>
              <w:left w:val="single" w:sz="6" w:space="0" w:color="auto"/>
              <w:bottom w:val="single" w:sz="6" w:space="0" w:color="auto"/>
              <w:right w:val="single" w:sz="6" w:space="0" w:color="auto"/>
            </w:tcBorders>
            <w:hideMark/>
          </w:tcPr>
          <w:p w14:paraId="20C6FCE2" w14:textId="77777777" w:rsidR="009E090B" w:rsidRPr="009E090B" w:rsidRDefault="009E090B" w:rsidP="009E090B">
            <w:pPr>
              <w:keepNext/>
              <w:keepLines/>
              <w:ind w:left="60" w:right="60"/>
              <w:jc w:val="left"/>
              <w:rPr>
                <w:rFonts w:ascii="Arial Narrow" w:hAnsi="Arial Narrow" w:cs="Times New Roman"/>
                <w:b/>
              </w:rPr>
            </w:pPr>
            <w:r w:rsidRPr="009E090B">
              <w:rPr>
                <w:rFonts w:ascii="Arial Narrow" w:hAnsi="Arial Narrow" w:cs="Times New Roman"/>
                <w:b/>
              </w:rPr>
              <w:t>Comparator</w:t>
            </w:r>
          </w:p>
        </w:tc>
        <w:tc>
          <w:tcPr>
            <w:tcW w:w="1276" w:type="dxa"/>
            <w:tcBorders>
              <w:top w:val="single" w:sz="6" w:space="0" w:color="auto"/>
              <w:left w:val="single" w:sz="6" w:space="0" w:color="auto"/>
              <w:bottom w:val="single" w:sz="6" w:space="0" w:color="auto"/>
              <w:right w:val="single" w:sz="6" w:space="0" w:color="auto"/>
            </w:tcBorders>
          </w:tcPr>
          <w:p w14:paraId="0CE023A6" w14:textId="77777777" w:rsidR="009E090B" w:rsidRPr="009E090B" w:rsidRDefault="009E090B" w:rsidP="009E090B">
            <w:pPr>
              <w:keepNext/>
              <w:keepLines/>
              <w:ind w:left="60" w:right="60"/>
              <w:jc w:val="left"/>
              <w:rPr>
                <w:rFonts w:ascii="Arial Narrow" w:hAnsi="Arial Narrow" w:cs="Times New Roman"/>
                <w:b/>
              </w:rPr>
            </w:pPr>
            <w:r w:rsidRPr="009E090B">
              <w:rPr>
                <w:rFonts w:ascii="Arial Narrow" w:hAnsi="Arial Narrow" w:cs="Times New Roman"/>
                <w:b/>
              </w:rPr>
              <w:t>Outcomes</w:t>
            </w:r>
          </w:p>
        </w:tc>
      </w:tr>
      <w:tr w:rsidR="009E090B" w:rsidRPr="009E090B" w14:paraId="6727D14A" w14:textId="77777777" w:rsidTr="002E2399">
        <w:tc>
          <w:tcPr>
            <w:tcW w:w="985" w:type="dxa"/>
            <w:tcBorders>
              <w:top w:val="single" w:sz="6" w:space="0" w:color="auto"/>
              <w:left w:val="single" w:sz="6" w:space="0" w:color="auto"/>
              <w:bottom w:val="single" w:sz="6" w:space="0" w:color="auto"/>
              <w:right w:val="single" w:sz="6" w:space="0" w:color="auto"/>
            </w:tcBorders>
            <w:hideMark/>
          </w:tcPr>
          <w:p w14:paraId="41558B39" w14:textId="24D77D9E" w:rsidR="009339A8" w:rsidRDefault="00156621" w:rsidP="009339A8">
            <w:pPr>
              <w:ind w:left="60" w:right="60"/>
              <w:jc w:val="left"/>
              <w:rPr>
                <w:rFonts w:ascii="Arial Narrow" w:hAnsi="Arial Narrow" w:cs="Times New Roman"/>
              </w:rPr>
            </w:pPr>
            <w:r>
              <w:rPr>
                <w:rFonts w:ascii="Arial Narrow" w:hAnsi="Arial Narrow" w:cs="Times New Roman"/>
              </w:rPr>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(Akman-Demir et al. 2011)</w:t>
            </w:r>
            <w:r>
              <w:rPr>
                <w:rFonts w:ascii="Arial Narrow" w:hAnsi="Arial Narrow" w:cs="Times New Roman"/>
              </w:rPr>
              <w:fldChar w:fldCharType="end"/>
            </w:r>
          </w:p>
          <w:p w14:paraId="09CACFEB" w14:textId="77777777" w:rsidR="007B347B" w:rsidRPr="009E090B" w:rsidRDefault="007B347B" w:rsidP="009339A8">
            <w:pPr>
              <w:ind w:left="60" w:right="60"/>
              <w:jc w:val="left"/>
              <w:rPr>
                <w:rFonts w:ascii="Arial Narrow" w:hAnsi="Arial Narrow" w:cs="Times New Roman"/>
              </w:rPr>
            </w:pPr>
            <w:r>
              <w:rPr>
                <w:rFonts w:ascii="Arial Narrow" w:hAnsi="Arial Narrow" w:cs="Times New Roman"/>
              </w:rPr>
              <w:t>Turkey</w:t>
            </w:r>
          </w:p>
        </w:tc>
        <w:tc>
          <w:tcPr>
            <w:tcW w:w="708" w:type="dxa"/>
            <w:tcBorders>
              <w:top w:val="single" w:sz="6" w:space="0" w:color="auto"/>
              <w:left w:val="single" w:sz="6" w:space="0" w:color="auto"/>
              <w:bottom w:val="single" w:sz="6" w:space="0" w:color="auto"/>
              <w:right w:val="single" w:sz="6" w:space="0" w:color="auto"/>
            </w:tcBorders>
            <w:hideMark/>
          </w:tcPr>
          <w:p w14:paraId="4497256A" w14:textId="77777777" w:rsidR="009E090B" w:rsidRPr="009E090B" w:rsidRDefault="008E52A3" w:rsidP="009E090B">
            <w:pPr>
              <w:keepNext/>
              <w:keepLines/>
              <w:ind w:left="60" w:right="60"/>
              <w:jc w:val="left"/>
              <w:rPr>
                <w:rFonts w:ascii="Arial Narrow" w:hAnsi="Arial Narrow" w:cs="Times New Roman"/>
              </w:rPr>
            </w:pPr>
            <w:r>
              <w:rPr>
                <w:rFonts w:ascii="Arial Narrow" w:hAnsi="Arial Narrow" w:cs="Times New Roman"/>
              </w:rPr>
              <w:t>Ret Coh</w:t>
            </w:r>
          </w:p>
          <w:p w14:paraId="75833270" w14:textId="77777777" w:rsidR="009E090B" w:rsidRPr="009E090B" w:rsidRDefault="008E52A3" w:rsidP="009E090B">
            <w:pPr>
              <w:keepNext/>
              <w:keepLines/>
              <w:ind w:left="60" w:right="60"/>
              <w:jc w:val="left"/>
              <w:rPr>
                <w:rFonts w:ascii="Arial Narrow" w:hAnsi="Arial Narrow" w:cs="Times New Roman"/>
              </w:rPr>
            </w:pPr>
            <w:r>
              <w:rPr>
                <w:rFonts w:ascii="Arial Narrow" w:hAnsi="Arial Narrow" w:cs="Times New Roman"/>
              </w:rPr>
              <w:t>III-3</w:t>
            </w:r>
          </w:p>
        </w:tc>
        <w:tc>
          <w:tcPr>
            <w:tcW w:w="851" w:type="dxa"/>
            <w:tcBorders>
              <w:top w:val="single" w:sz="6" w:space="0" w:color="auto"/>
              <w:left w:val="single" w:sz="6" w:space="0" w:color="auto"/>
              <w:bottom w:val="single" w:sz="6" w:space="0" w:color="auto"/>
              <w:right w:val="single" w:sz="6" w:space="0" w:color="auto"/>
            </w:tcBorders>
            <w:hideMark/>
          </w:tcPr>
          <w:p w14:paraId="4532F836" w14:textId="77777777" w:rsidR="009E090B" w:rsidRPr="009E090B" w:rsidRDefault="009E090B" w:rsidP="009E090B">
            <w:pPr>
              <w:keepNext/>
              <w:keepLines/>
              <w:ind w:left="60" w:right="60"/>
              <w:jc w:val="left"/>
              <w:rPr>
                <w:rFonts w:ascii="Arial Narrow" w:hAnsi="Arial Narrow" w:cs="Times New Roman"/>
              </w:rPr>
            </w:pPr>
            <w:r w:rsidRPr="009E090B">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4F68FD78" w14:textId="77777777" w:rsidR="009E090B" w:rsidRPr="009E090B" w:rsidRDefault="009E090B" w:rsidP="009E090B">
            <w:pPr>
              <w:keepNext/>
              <w:keepLines/>
              <w:ind w:left="60" w:right="60"/>
              <w:jc w:val="left"/>
              <w:rPr>
                <w:rFonts w:ascii="Arial Narrow" w:hAnsi="Arial Narrow" w:cs="Times New Roman"/>
              </w:rPr>
            </w:pPr>
            <w:r w:rsidRPr="009E090B">
              <w:rPr>
                <w:rFonts w:ascii="Arial Narrow" w:hAnsi="Arial Narrow" w:cs="Times New Roman"/>
              </w:rPr>
              <w:t>35</w:t>
            </w:r>
          </w:p>
        </w:tc>
        <w:tc>
          <w:tcPr>
            <w:tcW w:w="2126" w:type="dxa"/>
            <w:tcBorders>
              <w:top w:val="single" w:sz="6" w:space="0" w:color="auto"/>
              <w:left w:val="single" w:sz="6" w:space="0" w:color="auto"/>
              <w:bottom w:val="single" w:sz="6" w:space="0" w:color="auto"/>
              <w:right w:val="single" w:sz="6" w:space="0" w:color="auto"/>
            </w:tcBorders>
            <w:hideMark/>
          </w:tcPr>
          <w:p w14:paraId="09D0B3DF" w14:textId="77777777" w:rsidR="009E090B" w:rsidRPr="009E090B" w:rsidRDefault="009E090B" w:rsidP="009E090B">
            <w:pPr>
              <w:keepNext/>
              <w:keepLines/>
              <w:ind w:left="60" w:right="60"/>
              <w:jc w:val="left"/>
              <w:rPr>
                <w:rFonts w:ascii="Arial Narrow" w:hAnsi="Arial Narrow" w:cs="Times New Roman"/>
              </w:rPr>
            </w:pPr>
            <w:r w:rsidRPr="009E090B">
              <w:rPr>
                <w:rFonts w:ascii="Arial Narrow" w:hAnsi="Arial Narrow" w:cs="Times New Roman"/>
              </w:rPr>
              <w:t>Patients diagnosed with NMO</w:t>
            </w:r>
          </w:p>
        </w:tc>
        <w:tc>
          <w:tcPr>
            <w:tcW w:w="1559" w:type="dxa"/>
            <w:tcBorders>
              <w:top w:val="single" w:sz="6" w:space="0" w:color="auto"/>
              <w:left w:val="single" w:sz="6" w:space="0" w:color="auto"/>
              <w:bottom w:val="single" w:sz="6" w:space="0" w:color="auto"/>
              <w:right w:val="single" w:sz="6" w:space="0" w:color="auto"/>
            </w:tcBorders>
            <w:hideMark/>
          </w:tcPr>
          <w:p w14:paraId="26912C3C" w14:textId="77777777" w:rsidR="009E090B" w:rsidRPr="009E090B" w:rsidRDefault="009E090B" w:rsidP="009E090B">
            <w:pPr>
              <w:keepNext/>
              <w:keepLines/>
              <w:ind w:left="60" w:right="60"/>
              <w:jc w:val="left"/>
              <w:rPr>
                <w:rFonts w:ascii="Arial Narrow" w:hAnsi="Arial Narrow" w:cs="Times New Roman"/>
              </w:rPr>
            </w:pPr>
            <w:r w:rsidRPr="009E090B">
              <w:rPr>
                <w:rFonts w:ascii="Arial Narrow" w:hAnsi="Arial Narrow" w:cs="Times New Roman"/>
              </w:rPr>
              <w:t>Seropositive for AQP4-Ab</w:t>
            </w:r>
          </w:p>
        </w:tc>
        <w:tc>
          <w:tcPr>
            <w:tcW w:w="1134" w:type="dxa"/>
            <w:tcBorders>
              <w:top w:val="single" w:sz="6" w:space="0" w:color="auto"/>
              <w:left w:val="single" w:sz="6" w:space="0" w:color="auto"/>
              <w:bottom w:val="single" w:sz="6" w:space="0" w:color="auto"/>
              <w:right w:val="single" w:sz="6" w:space="0" w:color="auto"/>
            </w:tcBorders>
            <w:hideMark/>
          </w:tcPr>
          <w:p w14:paraId="2A5AB272" w14:textId="77777777" w:rsidR="009E090B" w:rsidRPr="009E090B" w:rsidRDefault="009E090B" w:rsidP="009E090B">
            <w:pPr>
              <w:keepNext/>
              <w:keepLines/>
              <w:ind w:left="60" w:right="60"/>
              <w:jc w:val="left"/>
              <w:rPr>
                <w:rFonts w:ascii="Arial Narrow" w:hAnsi="Arial Narrow" w:cs="Times New Roman"/>
              </w:rPr>
            </w:pPr>
            <w:r w:rsidRPr="009E090B">
              <w:rPr>
                <w:rFonts w:ascii="Arial Narrow" w:hAnsi="Arial Narrow" w:cs="Times New Roman"/>
              </w:rPr>
              <w:t>Seronegative for AQP4-Ab</w:t>
            </w:r>
          </w:p>
        </w:tc>
        <w:tc>
          <w:tcPr>
            <w:tcW w:w="1276" w:type="dxa"/>
            <w:tcBorders>
              <w:top w:val="single" w:sz="6" w:space="0" w:color="auto"/>
              <w:left w:val="single" w:sz="6" w:space="0" w:color="auto"/>
              <w:bottom w:val="single" w:sz="6" w:space="0" w:color="auto"/>
              <w:right w:val="single" w:sz="6" w:space="0" w:color="auto"/>
            </w:tcBorders>
          </w:tcPr>
          <w:p w14:paraId="747C7F2D" w14:textId="77777777" w:rsidR="009E090B" w:rsidRPr="009E090B" w:rsidRDefault="009E090B" w:rsidP="009E090B">
            <w:pPr>
              <w:keepNext/>
              <w:keepLines/>
              <w:ind w:left="60" w:right="60"/>
              <w:jc w:val="left"/>
              <w:rPr>
                <w:rFonts w:ascii="Arial Narrow" w:hAnsi="Arial Narrow" w:cs="Times New Roman"/>
              </w:rPr>
            </w:pPr>
            <w:r w:rsidRPr="009E090B">
              <w:rPr>
                <w:rFonts w:ascii="Arial Narrow" w:hAnsi="Arial Narrow" w:cs="Times New Roman"/>
              </w:rPr>
              <w:t>Time to diagnosis (2006 criteria)</w:t>
            </w:r>
          </w:p>
        </w:tc>
      </w:tr>
      <w:tr w:rsidR="007B347B" w:rsidRPr="009E090B" w14:paraId="71A3A665" w14:textId="77777777" w:rsidTr="002E2399">
        <w:trPr>
          <w:trHeight w:val="1433"/>
        </w:trPr>
        <w:tc>
          <w:tcPr>
            <w:tcW w:w="985" w:type="dxa"/>
            <w:tcBorders>
              <w:top w:val="single" w:sz="6" w:space="0" w:color="auto"/>
              <w:left w:val="single" w:sz="6" w:space="0" w:color="auto"/>
              <w:bottom w:val="single" w:sz="6" w:space="0" w:color="auto"/>
              <w:right w:val="single" w:sz="6" w:space="0" w:color="auto"/>
            </w:tcBorders>
            <w:hideMark/>
          </w:tcPr>
          <w:p w14:paraId="7D767114" w14:textId="7A9E8F70" w:rsidR="00AB2520" w:rsidRDefault="00AB2520" w:rsidP="006F6B7F">
            <w:pPr>
              <w:ind w:left="60" w:right="60"/>
              <w:jc w:val="left"/>
              <w:rPr>
                <w:rFonts w:ascii="Arial Narrow" w:hAnsi="Arial Narrow" w:cs="Times New Roman"/>
              </w:rPr>
            </w:pPr>
            <w:r>
              <w:rPr>
                <w:rFonts w:ascii="Arial Narrow" w:hAnsi="Arial Narrow" w:cs="Times New Roman"/>
              </w:rPr>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rPr>
                <w:rFonts w:ascii="Arial Narrow" w:hAnsi="Arial Narrow" w:cs="Times New Roman"/>
              </w:rPr>
              <w:instrText xml:space="preserve"> ADDIN EN.CITE </w:instrText>
            </w:r>
            <w:r w:rsidR="00024910">
              <w:rPr>
                <w:rFonts w:ascii="Arial Narrow" w:hAnsi="Arial Narrow" w:cs="Times New Roman"/>
              </w:rPr>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rPr>
                <w:rFonts w:ascii="Arial Narrow" w:hAnsi="Arial Narrow" w:cs="Times New Roman"/>
              </w:rPr>
              <w:instrText xml:space="preserve"> ADDIN EN.CITE.DATA </w:instrText>
            </w:r>
            <w:r w:rsidR="00024910">
              <w:rPr>
                <w:rFonts w:ascii="Arial Narrow" w:hAnsi="Arial Narrow" w:cs="Times New Roman"/>
              </w:rPr>
            </w:r>
            <w:r w:rsidR="00024910">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sidR="00024910">
              <w:rPr>
                <w:rFonts w:ascii="Arial Narrow" w:hAnsi="Arial Narrow" w:cs="Times New Roman"/>
                <w:noProof/>
              </w:rPr>
              <w:t>(Beekman et al. 2019)</w:t>
            </w:r>
            <w:r>
              <w:rPr>
                <w:rFonts w:ascii="Arial Narrow" w:hAnsi="Arial Narrow" w:cs="Times New Roman"/>
              </w:rPr>
              <w:fldChar w:fldCharType="end"/>
            </w:r>
          </w:p>
          <w:p w14:paraId="5532BB0C" w14:textId="162751B6" w:rsidR="007B347B" w:rsidRPr="009E090B" w:rsidRDefault="00AC41AB" w:rsidP="006F6B7F">
            <w:pPr>
              <w:ind w:left="60" w:right="60"/>
              <w:jc w:val="left"/>
              <w:rPr>
                <w:rFonts w:ascii="Arial Narrow" w:hAnsi="Arial Narrow" w:cs="Times New Roman"/>
              </w:rPr>
            </w:pPr>
            <w:r>
              <w:rPr>
                <w:rFonts w:ascii="Arial Narrow" w:hAnsi="Arial Narrow" w:cs="Times New Roman"/>
              </w:rPr>
              <w:t>USA</w:t>
            </w:r>
          </w:p>
        </w:tc>
        <w:tc>
          <w:tcPr>
            <w:tcW w:w="708" w:type="dxa"/>
            <w:tcBorders>
              <w:top w:val="single" w:sz="6" w:space="0" w:color="auto"/>
              <w:left w:val="single" w:sz="6" w:space="0" w:color="auto"/>
              <w:bottom w:val="single" w:sz="6" w:space="0" w:color="auto"/>
              <w:right w:val="single" w:sz="6" w:space="0" w:color="auto"/>
            </w:tcBorders>
            <w:hideMark/>
          </w:tcPr>
          <w:p w14:paraId="163EA34A" w14:textId="77777777" w:rsidR="007B347B" w:rsidRPr="009E090B" w:rsidRDefault="007B347B" w:rsidP="006F6B7F">
            <w:pPr>
              <w:ind w:left="60" w:right="60"/>
              <w:jc w:val="left"/>
              <w:rPr>
                <w:rFonts w:ascii="Arial Narrow" w:hAnsi="Arial Narrow" w:cs="Times New Roman"/>
              </w:rPr>
            </w:pPr>
            <w:r w:rsidRPr="009E090B">
              <w:rPr>
                <w:rFonts w:ascii="Arial Narrow" w:hAnsi="Arial Narrow" w:cs="Times New Roman"/>
              </w:rPr>
              <w:t>CS</w:t>
            </w:r>
          </w:p>
          <w:p w14:paraId="7C0AFEE2" w14:textId="77777777" w:rsidR="007B347B" w:rsidRPr="009E090B" w:rsidRDefault="007B347B" w:rsidP="006F6B7F">
            <w:pPr>
              <w:ind w:left="60" w:right="60"/>
              <w:jc w:val="left"/>
              <w:rPr>
                <w:rFonts w:ascii="Arial Narrow" w:hAnsi="Arial Narrow" w:cs="Times New Roman"/>
              </w:rPr>
            </w:pPr>
            <w:r w:rsidRPr="009E090B">
              <w:rPr>
                <w:rFonts w:ascii="Arial Narrow" w:hAnsi="Arial Narrow" w:cs="Times New Roman"/>
              </w:rPr>
              <w:t>IV</w:t>
            </w:r>
          </w:p>
        </w:tc>
        <w:tc>
          <w:tcPr>
            <w:tcW w:w="851" w:type="dxa"/>
            <w:tcBorders>
              <w:top w:val="single" w:sz="6" w:space="0" w:color="auto"/>
              <w:left w:val="single" w:sz="6" w:space="0" w:color="auto"/>
              <w:bottom w:val="single" w:sz="6" w:space="0" w:color="auto"/>
              <w:right w:val="single" w:sz="6" w:space="0" w:color="auto"/>
            </w:tcBorders>
            <w:hideMark/>
          </w:tcPr>
          <w:p w14:paraId="4CE11C5C" w14:textId="77777777" w:rsidR="007B347B" w:rsidRPr="009E090B" w:rsidRDefault="007B347B" w:rsidP="006F6B7F">
            <w:pPr>
              <w:ind w:left="60" w:right="60"/>
              <w:jc w:val="left"/>
              <w:rPr>
                <w:rFonts w:ascii="Arial Narrow" w:hAnsi="Arial Narrow" w:cs="Times New Roman"/>
              </w:rPr>
            </w:pPr>
            <w:r w:rsidRPr="009E090B">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7309E3CA" w14:textId="77777777" w:rsidR="007B347B" w:rsidRPr="009E090B" w:rsidRDefault="007B347B" w:rsidP="006F6B7F">
            <w:pPr>
              <w:ind w:left="60" w:right="60"/>
              <w:jc w:val="left"/>
              <w:rPr>
                <w:rFonts w:ascii="Arial Narrow" w:hAnsi="Arial Narrow" w:cs="Times New Roman"/>
              </w:rPr>
            </w:pPr>
            <w:r w:rsidRPr="009E090B">
              <w:rPr>
                <w:rFonts w:ascii="Arial Narrow" w:hAnsi="Arial Narrow" w:cs="Times New Roman"/>
              </w:rPr>
              <w:t>193</w:t>
            </w:r>
          </w:p>
        </w:tc>
        <w:tc>
          <w:tcPr>
            <w:tcW w:w="2126" w:type="dxa"/>
            <w:tcBorders>
              <w:top w:val="single" w:sz="6" w:space="0" w:color="auto"/>
              <w:left w:val="single" w:sz="6" w:space="0" w:color="auto"/>
              <w:bottom w:val="single" w:sz="6" w:space="0" w:color="auto"/>
              <w:right w:val="single" w:sz="6" w:space="0" w:color="auto"/>
            </w:tcBorders>
            <w:hideMark/>
          </w:tcPr>
          <w:p w14:paraId="5D74AB93" w14:textId="77777777" w:rsidR="007B347B" w:rsidRPr="009E090B" w:rsidRDefault="007B347B" w:rsidP="006F6B7F">
            <w:pPr>
              <w:ind w:left="60" w:right="60"/>
              <w:jc w:val="left"/>
              <w:rPr>
                <w:rFonts w:ascii="Arial Narrow" w:hAnsi="Arial Narrow" w:cs="Times New Roman"/>
              </w:rPr>
            </w:pPr>
            <w:r w:rsidRPr="009E090B">
              <w:rPr>
                <w:rFonts w:ascii="Arial Narrow" w:hAnsi="Arial Narrow" w:cs="Times New Roman"/>
              </w:rPr>
              <w:t>Self-reported, established diagnosis of NMO or NMOSD and ability to read textual content or hear questions audibly and respond to questions.</w:t>
            </w:r>
          </w:p>
        </w:tc>
        <w:tc>
          <w:tcPr>
            <w:tcW w:w="1559" w:type="dxa"/>
            <w:tcBorders>
              <w:top w:val="single" w:sz="6" w:space="0" w:color="auto"/>
              <w:left w:val="single" w:sz="6" w:space="0" w:color="auto"/>
              <w:bottom w:val="single" w:sz="6" w:space="0" w:color="auto"/>
              <w:right w:val="single" w:sz="6" w:space="0" w:color="auto"/>
            </w:tcBorders>
            <w:hideMark/>
          </w:tcPr>
          <w:p w14:paraId="5FE71585" w14:textId="77777777" w:rsidR="007B347B" w:rsidRPr="009E090B" w:rsidRDefault="007B347B" w:rsidP="006F6B7F">
            <w:pPr>
              <w:ind w:left="60" w:right="60"/>
              <w:jc w:val="left"/>
              <w:rPr>
                <w:rFonts w:ascii="Arial Narrow" w:hAnsi="Arial Narrow" w:cs="Times New Roman"/>
              </w:rPr>
            </w:pPr>
            <w:r w:rsidRPr="009E090B">
              <w:rPr>
                <w:rFonts w:ascii="Arial Narrow" w:hAnsi="Arial Narrow" w:cs="Times New Roman"/>
              </w:rPr>
              <w:t>Role-Physical and Role-Emotional subscales of the Short Form -36 (SF-36)</w:t>
            </w:r>
          </w:p>
        </w:tc>
        <w:tc>
          <w:tcPr>
            <w:tcW w:w="1134" w:type="dxa"/>
            <w:tcBorders>
              <w:top w:val="single" w:sz="6" w:space="0" w:color="auto"/>
              <w:left w:val="single" w:sz="6" w:space="0" w:color="auto"/>
              <w:bottom w:val="single" w:sz="6" w:space="0" w:color="auto"/>
              <w:right w:val="single" w:sz="6" w:space="0" w:color="auto"/>
            </w:tcBorders>
            <w:hideMark/>
          </w:tcPr>
          <w:p w14:paraId="3F317778" w14:textId="77777777" w:rsidR="007B347B" w:rsidRPr="009E090B" w:rsidRDefault="007B347B" w:rsidP="006F6B7F">
            <w:pPr>
              <w:ind w:left="60" w:right="60"/>
              <w:jc w:val="left"/>
              <w:rPr>
                <w:rFonts w:ascii="Arial Narrow" w:hAnsi="Arial Narrow" w:cs="Times New Roman"/>
              </w:rPr>
            </w:pPr>
            <w:r w:rsidRPr="009E090B">
              <w:rPr>
                <w:rFonts w:ascii="Arial Narrow" w:hAnsi="Arial Narrow" w:cs="Times New Roman"/>
              </w:rPr>
              <w:t>NA</w:t>
            </w:r>
          </w:p>
        </w:tc>
        <w:tc>
          <w:tcPr>
            <w:tcW w:w="1276" w:type="dxa"/>
            <w:tcBorders>
              <w:top w:val="single" w:sz="6" w:space="0" w:color="auto"/>
              <w:left w:val="single" w:sz="6" w:space="0" w:color="auto"/>
              <w:bottom w:val="single" w:sz="6" w:space="0" w:color="auto"/>
              <w:right w:val="single" w:sz="6" w:space="0" w:color="auto"/>
            </w:tcBorders>
          </w:tcPr>
          <w:p w14:paraId="67C0FC80" w14:textId="77777777" w:rsidR="007B347B" w:rsidRPr="009E090B" w:rsidRDefault="007B347B" w:rsidP="006F6B7F">
            <w:pPr>
              <w:ind w:left="60" w:right="60"/>
              <w:jc w:val="left"/>
              <w:rPr>
                <w:rFonts w:ascii="Arial Narrow" w:hAnsi="Arial Narrow" w:cs="Times New Roman"/>
              </w:rPr>
            </w:pPr>
            <w:r w:rsidRPr="009E090B">
              <w:rPr>
                <w:rFonts w:ascii="Arial Narrow" w:hAnsi="Arial Narrow" w:cs="Times New Roman"/>
              </w:rPr>
              <w:t>Change in diagnosis</w:t>
            </w:r>
          </w:p>
        </w:tc>
      </w:tr>
      <w:tr w:rsidR="009E090B" w:rsidRPr="009E090B" w14:paraId="3C6A4302" w14:textId="77777777" w:rsidTr="002E2399">
        <w:tc>
          <w:tcPr>
            <w:tcW w:w="985" w:type="dxa"/>
            <w:tcBorders>
              <w:top w:val="single" w:sz="6" w:space="0" w:color="auto"/>
              <w:left w:val="single" w:sz="6" w:space="0" w:color="auto"/>
              <w:bottom w:val="single" w:sz="6" w:space="0" w:color="auto"/>
              <w:right w:val="single" w:sz="6" w:space="0" w:color="auto"/>
            </w:tcBorders>
            <w:hideMark/>
          </w:tcPr>
          <w:p w14:paraId="2E33601C" w14:textId="20438CCC" w:rsidR="009E090B" w:rsidRDefault="00156621" w:rsidP="009E090B">
            <w:pPr>
              <w:ind w:left="60" w:right="60"/>
              <w:jc w:val="left"/>
              <w:rPr>
                <w:rFonts w:ascii="Arial Narrow" w:hAnsi="Arial Narrow" w:cs="Times New Roman"/>
              </w:rPr>
            </w:pPr>
            <w:r>
              <w:rPr>
                <w:rFonts w:ascii="Arial Narrow" w:hAnsi="Arial Narrow" w:cs="Times New Roman"/>
              </w:rPr>
              <w:fldChar w:fldCharType="begin">
                <w:fldData xml:space="preserve">PEVuZE5vdGU+PENpdGU+PEF1dGhvcj5IZW5uZXM8L0F1dGhvcj48WWVhcj4yMDE3PC9ZZWFyPjxS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PEVuZE5vdGU+PENpdGU+PEF1dGhvcj5IZW5uZXM8L0F1dGhvcj48WWVhcj4yMDE3PC9ZZWFyPjxS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(Hennes et al. 2017)</w:t>
            </w:r>
            <w:r>
              <w:rPr>
                <w:rFonts w:ascii="Arial Narrow" w:hAnsi="Arial Narrow" w:cs="Times New Roman"/>
              </w:rPr>
              <w:fldChar w:fldCharType="end"/>
            </w:r>
          </w:p>
          <w:p w14:paraId="03FAEFE9" w14:textId="77777777" w:rsidR="007B347B" w:rsidRPr="009E090B" w:rsidRDefault="007B347B" w:rsidP="009E090B">
            <w:pPr>
              <w:ind w:left="60" w:right="60"/>
              <w:jc w:val="left"/>
              <w:rPr>
                <w:rFonts w:ascii="Arial Narrow" w:hAnsi="Arial Narrow" w:cs="Times New Roman"/>
              </w:rPr>
            </w:pPr>
            <w:r>
              <w:rPr>
                <w:rFonts w:ascii="Arial Narrow" w:hAnsi="Arial Narrow" w:cs="Times New Roman"/>
              </w:rPr>
              <w:t>Europe &amp; Canada</w:t>
            </w:r>
          </w:p>
        </w:tc>
        <w:tc>
          <w:tcPr>
            <w:tcW w:w="708" w:type="dxa"/>
            <w:tcBorders>
              <w:top w:val="single" w:sz="6" w:space="0" w:color="auto"/>
              <w:left w:val="single" w:sz="6" w:space="0" w:color="auto"/>
              <w:bottom w:val="single" w:sz="6" w:space="0" w:color="auto"/>
              <w:right w:val="single" w:sz="6" w:space="0" w:color="auto"/>
            </w:tcBorders>
            <w:hideMark/>
          </w:tcPr>
          <w:p w14:paraId="4CD27A09"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CS</w:t>
            </w:r>
          </w:p>
          <w:p w14:paraId="41A0948B"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IV</w:t>
            </w:r>
          </w:p>
        </w:tc>
        <w:tc>
          <w:tcPr>
            <w:tcW w:w="851" w:type="dxa"/>
            <w:tcBorders>
              <w:top w:val="single" w:sz="6" w:space="0" w:color="auto"/>
              <w:left w:val="single" w:sz="6" w:space="0" w:color="auto"/>
              <w:bottom w:val="single" w:sz="6" w:space="0" w:color="auto"/>
              <w:right w:val="single" w:sz="6" w:space="0" w:color="auto"/>
            </w:tcBorders>
            <w:hideMark/>
          </w:tcPr>
          <w:p w14:paraId="486F7A34"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Low</w:t>
            </w:r>
          </w:p>
        </w:tc>
        <w:tc>
          <w:tcPr>
            <w:tcW w:w="709" w:type="dxa"/>
            <w:tcBorders>
              <w:top w:val="single" w:sz="6" w:space="0" w:color="auto"/>
              <w:left w:val="single" w:sz="6" w:space="0" w:color="auto"/>
              <w:bottom w:val="single" w:sz="6" w:space="0" w:color="auto"/>
              <w:right w:val="single" w:sz="6" w:space="0" w:color="auto"/>
            </w:tcBorders>
            <w:hideMark/>
          </w:tcPr>
          <w:p w14:paraId="77AFF155"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210</w:t>
            </w:r>
          </w:p>
        </w:tc>
        <w:tc>
          <w:tcPr>
            <w:tcW w:w="2126" w:type="dxa"/>
            <w:tcBorders>
              <w:top w:val="single" w:sz="6" w:space="0" w:color="auto"/>
              <w:left w:val="single" w:sz="6" w:space="0" w:color="auto"/>
              <w:bottom w:val="single" w:sz="6" w:space="0" w:color="auto"/>
              <w:right w:val="single" w:sz="6" w:space="0" w:color="auto"/>
            </w:tcBorders>
            <w:hideMark/>
          </w:tcPr>
          <w:p w14:paraId="33CA3EEB"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Children with ADS and a complete data set (including final diagnosis and EDSS after at least 12 months)</w:t>
            </w:r>
          </w:p>
        </w:tc>
        <w:tc>
          <w:tcPr>
            <w:tcW w:w="1559" w:type="dxa"/>
            <w:tcBorders>
              <w:top w:val="single" w:sz="6" w:space="0" w:color="auto"/>
              <w:left w:val="single" w:sz="6" w:space="0" w:color="auto"/>
              <w:bottom w:val="single" w:sz="6" w:space="0" w:color="auto"/>
              <w:right w:val="single" w:sz="6" w:space="0" w:color="auto"/>
            </w:tcBorders>
            <w:hideMark/>
          </w:tcPr>
          <w:p w14:paraId="70DC8CB8"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AQP4 and MOG-Ab testing; application of new diagnostic criteria</w:t>
            </w:r>
          </w:p>
        </w:tc>
        <w:tc>
          <w:tcPr>
            <w:tcW w:w="1134" w:type="dxa"/>
            <w:tcBorders>
              <w:top w:val="single" w:sz="6" w:space="0" w:color="auto"/>
              <w:left w:val="single" w:sz="6" w:space="0" w:color="auto"/>
              <w:bottom w:val="single" w:sz="6" w:space="0" w:color="auto"/>
              <w:right w:val="single" w:sz="6" w:space="0" w:color="auto"/>
            </w:tcBorders>
            <w:hideMark/>
          </w:tcPr>
          <w:p w14:paraId="580F5665"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Diagnosis by earlier criteria</w:t>
            </w:r>
          </w:p>
        </w:tc>
        <w:tc>
          <w:tcPr>
            <w:tcW w:w="1276" w:type="dxa"/>
            <w:tcBorders>
              <w:top w:val="single" w:sz="6" w:space="0" w:color="auto"/>
              <w:left w:val="single" w:sz="6" w:space="0" w:color="auto"/>
              <w:bottom w:val="single" w:sz="6" w:space="0" w:color="auto"/>
              <w:right w:val="single" w:sz="6" w:space="0" w:color="auto"/>
            </w:tcBorders>
          </w:tcPr>
          <w:p w14:paraId="5F723BBA"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Change in diagnosis</w:t>
            </w:r>
          </w:p>
        </w:tc>
      </w:tr>
      <w:tr w:rsidR="009E090B" w:rsidRPr="009E090B" w14:paraId="5D069606" w14:textId="77777777" w:rsidTr="002E2399">
        <w:tc>
          <w:tcPr>
            <w:tcW w:w="985" w:type="dxa"/>
            <w:tcBorders>
              <w:top w:val="single" w:sz="6" w:space="0" w:color="auto"/>
              <w:left w:val="single" w:sz="6" w:space="0" w:color="auto"/>
              <w:bottom w:val="single" w:sz="6" w:space="0" w:color="auto"/>
              <w:right w:val="single" w:sz="6" w:space="0" w:color="auto"/>
            </w:tcBorders>
            <w:hideMark/>
          </w:tcPr>
          <w:p w14:paraId="539987E8" w14:textId="7192461E" w:rsidR="009E090B" w:rsidRDefault="00156621" w:rsidP="009E090B">
            <w:pPr>
              <w:ind w:left="60" w:right="60"/>
              <w:jc w:val="left"/>
              <w:rPr>
                <w:rFonts w:ascii="Arial Narrow" w:hAnsi="Arial Narrow" w:cs="Times New Roman"/>
              </w:rPr>
            </w:pPr>
            <w:r>
              <w:rPr>
                <w:rFonts w:ascii="Arial Narrow" w:hAnsi="Arial Narrow" w:cs="Times New Roman"/>
              </w:rPr>
              <w:fldChar w:fldCharType="begin"/>
            </w:r>
            <w:r w:rsidR="00D96694">
              <w:rPr>
                <w:rFonts w:ascii="Arial Narrow" w:hAnsi="Arial Narrow" w:cs="Times New Roman"/>
              </w:rPr>
              <w:instrText xml:space="preserve"> ADDIN EN.CITE &lt;EndNote&gt;&lt;Cite&gt;&lt;Author&gt;Hyun&lt;/Author&gt;&lt;Year&gt;2016&lt;/Year&gt;&lt;RecNum&gt;90&lt;/RecNum&gt;&lt;DisplayText&gt;(Hyun et al. 2016)&lt;/DisplayText&gt;&lt;record&gt;&lt;rec-number&gt;90&lt;/rec-number&gt;&lt;foreign-keys&gt;&lt;key app="EN" db-id="r25zptaswpdzade29ws5pf9gx55ztppatt20" timestamp="1582849117"&gt;90&lt;/key&gt;&lt;/foreign-keys&gt;&lt;ref-type name="Journal Article"&gt;17&lt;/ref-type&gt;&lt;contributors&gt;&lt;authors&gt;&lt;author&gt;Hyun, J. W.&lt;/author&gt;&lt;author&gt;Jeong, I. H.&lt;/author&gt;&lt;author&gt;Joung, A.&lt;/author&gt;&lt;author&gt;Kim, S. H.&lt;/author&gt;&lt;author&gt;Kim, H. J.&lt;/author&gt;&lt;/authors&gt;&lt;/contributors&gt;&lt;auth-address&gt;From the Department of Neurology, Research Institute and Hospital of National Cancer Center, Goyang, Korea. From the Department of Neurology, Research Institute and Hospital of National Cancer Center, Goyang, Korea. hojinkim@ncc.re.kr.&lt;/auth-address&gt;&lt;titles&gt;&lt;title&gt;Evaluation of the 2015 diagnostic criteria for neuromyelitis optica spectrum disorder&lt;/title&gt;&lt;secondary-title&gt;Neurology&lt;/secondary-title&gt;&lt;/titles&gt;&lt;periodical&gt;&lt;full-title&gt;Neurology&lt;/full-title&gt;&lt;/periodical&gt;&lt;pages&gt;1772-9&lt;/pages&gt;&lt;volume&gt;86&lt;/volume&gt;&lt;number&gt;19&lt;/number&gt;&lt;keywords&gt;&lt;keyword&gt;Adult&lt;/keyword&gt;&lt;keyword&gt;Aquaporin 4/immunology&lt;/keyword&gt;&lt;keyword&gt;Diagnosis, Differential&lt;/keyword&gt;&lt;keyword&gt;Enzyme-Linked Immunosorbent Assay&lt;/keyword&gt;&lt;keyword&gt;Female&lt;/keyword&gt;&lt;keyword&gt;Follow-Up Studies&lt;/keyword&gt;&lt;keyword&gt;Humans&lt;/keyword&gt;&lt;keyword&gt;Immunoglobulin G/metabolism&lt;/keyword&gt;&lt;keyword&gt;Male&lt;/keyword&gt;&lt;keyword&gt;Neuromyelitis Optica/ diagnosis/physiopathology&lt;/keyword&gt;&lt;keyword&gt;Retrospective Studies&lt;/keyword&gt;&lt;/keywords&gt;&lt;dates&gt;&lt;year&gt;2016&lt;/year&gt;&lt;pub-dates&gt;&lt;date&gt;May 10&lt;/date&gt;&lt;/pub-dates&gt;&lt;/dates&gt;&lt;accession-num&gt;27164713&lt;/accession-num&gt;&lt;urls&gt;&lt;related-urls&gt;&lt;url&gt;https://n.neurology.org/content/86/19/1772.long&lt;/url&gt;&lt;/related-urls&gt;&lt;/urls&gt;&lt;remote-database-provider&gt;Nlm&lt;/remote-database-provider&gt;&lt;research-notes&gt;pop: adults, NMOSD&amp;#xD;inter: diagnosis by 2015 criteria,&amp;#xD;reported: AQP4 status, agreement between 2006 (with assumed unknown AQP4 status) and 2015 diagnoses&lt;/research-notes&gt;&lt;language&gt;eng&lt;/language&gt;&lt;/record&gt;&lt;/Cite&gt;&lt;/EndNote&gt;</w:instrText>
            </w:r>
            <w:r>
              <w:rPr>
                <w:rFonts w:ascii="Arial Narrow" w:hAnsi="Arial Narrow" w:cs="Times New Roman"/>
              </w:rPr>
              <w:fldChar w:fldCharType="separate"/>
            </w:r>
            <w:r>
              <w:rPr>
                <w:rFonts w:ascii="Arial Narrow" w:hAnsi="Arial Narrow" w:cs="Times New Roman"/>
                <w:noProof/>
              </w:rPr>
              <w:t>(Hyun et al. 2016)</w:t>
            </w:r>
            <w:r>
              <w:rPr>
                <w:rFonts w:ascii="Arial Narrow" w:hAnsi="Arial Narrow" w:cs="Times New Roman"/>
              </w:rPr>
              <w:fldChar w:fldCharType="end"/>
            </w:r>
          </w:p>
          <w:p w14:paraId="43FFA380" w14:textId="77777777" w:rsidR="007B347B" w:rsidRPr="009E090B" w:rsidRDefault="007B347B" w:rsidP="009E090B">
            <w:pPr>
              <w:ind w:left="60" w:right="60"/>
              <w:jc w:val="left"/>
              <w:rPr>
                <w:rFonts w:ascii="Arial Narrow" w:hAnsi="Arial Narrow" w:cs="Times New Roman"/>
              </w:rPr>
            </w:pPr>
            <w:r>
              <w:rPr>
                <w:rFonts w:ascii="Arial Narrow" w:hAnsi="Arial Narrow" w:cs="Times New Roman"/>
              </w:rPr>
              <w:t>Korea</w:t>
            </w:r>
          </w:p>
        </w:tc>
        <w:tc>
          <w:tcPr>
            <w:tcW w:w="708" w:type="dxa"/>
            <w:tcBorders>
              <w:top w:val="single" w:sz="6" w:space="0" w:color="auto"/>
              <w:left w:val="single" w:sz="6" w:space="0" w:color="auto"/>
              <w:bottom w:val="single" w:sz="6" w:space="0" w:color="auto"/>
              <w:right w:val="single" w:sz="6" w:space="0" w:color="auto"/>
            </w:tcBorders>
            <w:hideMark/>
          </w:tcPr>
          <w:p w14:paraId="413045A2"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Ret Coh</w:t>
            </w:r>
          </w:p>
          <w:p w14:paraId="73EC3369"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III-3</w:t>
            </w:r>
          </w:p>
        </w:tc>
        <w:tc>
          <w:tcPr>
            <w:tcW w:w="851" w:type="dxa"/>
            <w:tcBorders>
              <w:top w:val="single" w:sz="6" w:space="0" w:color="auto"/>
              <w:left w:val="single" w:sz="6" w:space="0" w:color="auto"/>
              <w:bottom w:val="single" w:sz="6" w:space="0" w:color="auto"/>
              <w:right w:val="single" w:sz="6" w:space="0" w:color="auto"/>
            </w:tcBorders>
            <w:hideMark/>
          </w:tcPr>
          <w:p w14:paraId="477D41FF"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2B59C169"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594</w:t>
            </w:r>
          </w:p>
        </w:tc>
        <w:tc>
          <w:tcPr>
            <w:tcW w:w="2126" w:type="dxa"/>
            <w:tcBorders>
              <w:top w:val="single" w:sz="6" w:space="0" w:color="auto"/>
              <w:left w:val="single" w:sz="6" w:space="0" w:color="auto"/>
              <w:bottom w:val="single" w:sz="6" w:space="0" w:color="auto"/>
              <w:right w:val="single" w:sz="6" w:space="0" w:color="auto"/>
            </w:tcBorders>
            <w:hideMark/>
          </w:tcPr>
          <w:p w14:paraId="2D5D9098"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Patients with possible CNS inflammatory diseases</w:t>
            </w:r>
          </w:p>
        </w:tc>
        <w:tc>
          <w:tcPr>
            <w:tcW w:w="1559" w:type="dxa"/>
            <w:tcBorders>
              <w:top w:val="single" w:sz="6" w:space="0" w:color="auto"/>
              <w:left w:val="single" w:sz="6" w:space="0" w:color="auto"/>
              <w:bottom w:val="single" w:sz="6" w:space="0" w:color="auto"/>
              <w:right w:val="single" w:sz="6" w:space="0" w:color="auto"/>
            </w:tcBorders>
            <w:hideMark/>
          </w:tcPr>
          <w:p w14:paraId="7980DA93"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AQP4-AB testing; Diagnosis by 2015 criteria</w:t>
            </w:r>
          </w:p>
        </w:tc>
        <w:tc>
          <w:tcPr>
            <w:tcW w:w="1134" w:type="dxa"/>
            <w:tcBorders>
              <w:top w:val="single" w:sz="6" w:space="0" w:color="auto"/>
              <w:left w:val="single" w:sz="6" w:space="0" w:color="auto"/>
              <w:bottom w:val="single" w:sz="6" w:space="0" w:color="auto"/>
              <w:right w:val="single" w:sz="6" w:space="0" w:color="auto"/>
            </w:tcBorders>
            <w:hideMark/>
          </w:tcPr>
          <w:p w14:paraId="5F4E44EB"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Diagnosis without AQP4-Ab testing</w:t>
            </w:r>
          </w:p>
        </w:tc>
        <w:tc>
          <w:tcPr>
            <w:tcW w:w="1276" w:type="dxa"/>
            <w:tcBorders>
              <w:top w:val="single" w:sz="6" w:space="0" w:color="auto"/>
              <w:left w:val="single" w:sz="6" w:space="0" w:color="auto"/>
              <w:bottom w:val="single" w:sz="6" w:space="0" w:color="auto"/>
              <w:right w:val="single" w:sz="6" w:space="0" w:color="auto"/>
            </w:tcBorders>
          </w:tcPr>
          <w:p w14:paraId="58B6CD9A"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Time to diagnosis</w:t>
            </w:r>
          </w:p>
          <w:p w14:paraId="77FA6BCD"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Change in diagnosis</w:t>
            </w:r>
          </w:p>
        </w:tc>
      </w:tr>
      <w:tr w:rsidR="009E090B" w:rsidRPr="009E090B" w14:paraId="18F4F296" w14:textId="77777777" w:rsidTr="002E2399">
        <w:tc>
          <w:tcPr>
            <w:tcW w:w="985" w:type="dxa"/>
            <w:tcBorders>
              <w:top w:val="single" w:sz="6" w:space="0" w:color="auto"/>
              <w:left w:val="single" w:sz="6" w:space="0" w:color="auto"/>
              <w:bottom w:val="single" w:sz="6" w:space="0" w:color="auto"/>
              <w:right w:val="single" w:sz="6" w:space="0" w:color="auto"/>
            </w:tcBorders>
            <w:hideMark/>
          </w:tcPr>
          <w:p w14:paraId="60B65C70" w14:textId="77777777" w:rsidR="009E090B" w:rsidRDefault="00156621" w:rsidP="009E090B">
            <w:pPr>
              <w:ind w:left="60" w:right="60"/>
              <w:jc w:val="left"/>
              <w:rPr>
                <w:rFonts w:ascii="Arial Narrow" w:hAnsi="Arial Narrow" w:cs="Times New Roman"/>
              </w:rPr>
            </w:pPr>
            <w:r>
              <w:rPr>
                <w:rFonts w:ascii="Arial Narrow" w:hAnsi="Arial Narrow" w:cs="Times New Roman"/>
              </w:rPr>
              <w:fldChar w:fldCharType="begin">
                <w:fldData xml:space="preserve">PEVuZE5vdGU+PENpdGU+PEF1dGhvcj5KdXJ5bmN6eWs8L0F1dGhvcj48WWVhcj4yMDE2PC9ZZWFy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</w:fldData>
              </w:fldChar>
            </w:r>
            <w:r w:rsidR="00AC01FD">
              <w:rPr>
                <w:rFonts w:ascii="Arial Narrow" w:hAnsi="Arial Narrow" w:cs="Times New Roman"/>
              </w:rPr>
              <w:instrText xml:space="preserve"> ADDIN EN.CITE </w:instrText>
            </w:r>
            <w:r w:rsidR="00AC01FD">
              <w:rPr>
                <w:rFonts w:ascii="Arial Narrow" w:hAnsi="Arial Narrow" w:cs="Times New Roman"/>
              </w:rPr>
              <w:fldChar w:fldCharType="begin">
                <w:fldData xml:space="preserve">PEVuZE5vdGU+PENpdGU+PEF1dGhvcj5KdXJ5bmN6eWs8L0F1dGhvcj48WWVhcj4yMDE2PC9ZZWFy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</w:fldData>
              </w:fldChar>
            </w:r>
            <w:r w:rsidR="00AC01FD">
              <w:rPr>
                <w:rFonts w:ascii="Arial Narrow" w:hAnsi="Arial Narrow" w:cs="Times New Roman"/>
              </w:rPr>
              <w:instrText xml:space="preserve"> ADDIN EN.CITE.DATA </w:instrText>
            </w:r>
            <w:r w:rsidR="00AC01FD">
              <w:rPr>
                <w:rFonts w:ascii="Arial Narrow" w:hAnsi="Arial Narrow" w:cs="Times New Roman"/>
              </w:rPr>
            </w:r>
            <w:r w:rsidR="00AC01FD">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(Jurynczyk et al. 2016)</w:t>
            </w:r>
            <w:r>
              <w:rPr>
                <w:rFonts w:ascii="Arial Narrow" w:hAnsi="Arial Narrow" w:cs="Times New Roman"/>
              </w:rPr>
              <w:fldChar w:fldCharType="end"/>
            </w:r>
          </w:p>
          <w:p w14:paraId="4F0522FB" w14:textId="77777777" w:rsidR="007B347B" w:rsidRPr="009E090B" w:rsidRDefault="007B347B" w:rsidP="009E090B">
            <w:pPr>
              <w:ind w:left="60" w:right="60"/>
              <w:jc w:val="left"/>
              <w:rPr>
                <w:rFonts w:ascii="Arial Narrow" w:hAnsi="Arial Narrow" w:cs="Times New Roman"/>
              </w:rPr>
            </w:pPr>
            <w:r>
              <w:rPr>
                <w:rFonts w:ascii="Arial Narrow" w:hAnsi="Arial Narrow" w:cs="Times New Roman"/>
              </w:rPr>
              <w:t>Europe</w:t>
            </w:r>
          </w:p>
        </w:tc>
        <w:tc>
          <w:tcPr>
            <w:tcW w:w="708" w:type="dxa"/>
            <w:tcBorders>
              <w:top w:val="single" w:sz="6" w:space="0" w:color="auto"/>
              <w:left w:val="single" w:sz="6" w:space="0" w:color="auto"/>
              <w:bottom w:val="single" w:sz="6" w:space="0" w:color="auto"/>
              <w:right w:val="single" w:sz="6" w:space="0" w:color="auto"/>
            </w:tcBorders>
            <w:hideMark/>
          </w:tcPr>
          <w:p w14:paraId="131BDF69"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CS</w:t>
            </w:r>
          </w:p>
          <w:p w14:paraId="2F568C06"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IV</w:t>
            </w:r>
          </w:p>
        </w:tc>
        <w:tc>
          <w:tcPr>
            <w:tcW w:w="851" w:type="dxa"/>
            <w:tcBorders>
              <w:top w:val="single" w:sz="6" w:space="0" w:color="auto"/>
              <w:left w:val="single" w:sz="6" w:space="0" w:color="auto"/>
              <w:bottom w:val="single" w:sz="6" w:space="0" w:color="auto"/>
              <w:right w:val="single" w:sz="6" w:space="0" w:color="auto"/>
            </w:tcBorders>
            <w:hideMark/>
          </w:tcPr>
          <w:p w14:paraId="26468398"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High</w:t>
            </w:r>
          </w:p>
        </w:tc>
        <w:tc>
          <w:tcPr>
            <w:tcW w:w="709" w:type="dxa"/>
            <w:tcBorders>
              <w:top w:val="single" w:sz="6" w:space="0" w:color="auto"/>
              <w:left w:val="single" w:sz="6" w:space="0" w:color="auto"/>
              <w:bottom w:val="single" w:sz="6" w:space="0" w:color="auto"/>
              <w:right w:val="single" w:sz="6" w:space="0" w:color="auto"/>
            </w:tcBorders>
            <w:hideMark/>
          </w:tcPr>
          <w:p w14:paraId="7A3327A5"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12</w:t>
            </w:r>
          </w:p>
        </w:tc>
        <w:tc>
          <w:tcPr>
            <w:tcW w:w="2126" w:type="dxa"/>
            <w:tcBorders>
              <w:top w:val="single" w:sz="6" w:space="0" w:color="auto"/>
              <w:left w:val="single" w:sz="6" w:space="0" w:color="auto"/>
              <w:bottom w:val="single" w:sz="6" w:space="0" w:color="auto"/>
              <w:right w:val="single" w:sz="6" w:space="0" w:color="auto"/>
            </w:tcBorders>
            <w:hideMark/>
          </w:tcPr>
          <w:p w14:paraId="1784E572"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 xml:space="preserve">Patients specifically selected who had clinical presentations with overlapping features of NMO and MS and to be </w:t>
            </w:r>
            <w:r w:rsidRPr="009E090B">
              <w:rPr>
                <w:rFonts w:ascii="Arial Narrow" w:hAnsi="Arial Narrow" w:cs="Times New Roman"/>
              </w:rPr>
              <w:lastRenderedPageBreak/>
              <w:t>representative of different clinical dilemmas.</w:t>
            </w:r>
          </w:p>
        </w:tc>
        <w:tc>
          <w:tcPr>
            <w:tcW w:w="1559" w:type="dxa"/>
            <w:tcBorders>
              <w:top w:val="single" w:sz="6" w:space="0" w:color="auto"/>
              <w:left w:val="single" w:sz="6" w:space="0" w:color="auto"/>
              <w:bottom w:val="single" w:sz="6" w:space="0" w:color="auto"/>
              <w:right w:val="single" w:sz="6" w:space="0" w:color="auto"/>
            </w:tcBorders>
            <w:hideMark/>
          </w:tcPr>
          <w:p w14:paraId="60630DAB"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lastRenderedPageBreak/>
              <w:t xml:space="preserve">Opinions of 27 clinical experts on diagnosis and treatment based </w:t>
            </w:r>
            <w:r w:rsidRPr="009E090B">
              <w:rPr>
                <w:rFonts w:ascii="Arial Narrow" w:hAnsi="Arial Narrow" w:cs="Times New Roman"/>
              </w:rPr>
              <w:lastRenderedPageBreak/>
              <w:t>on provided clinical information</w:t>
            </w:r>
          </w:p>
        </w:tc>
        <w:tc>
          <w:tcPr>
            <w:tcW w:w="1134" w:type="dxa"/>
            <w:tcBorders>
              <w:top w:val="single" w:sz="6" w:space="0" w:color="auto"/>
              <w:left w:val="single" w:sz="6" w:space="0" w:color="auto"/>
              <w:bottom w:val="single" w:sz="6" w:space="0" w:color="auto"/>
              <w:right w:val="single" w:sz="6" w:space="0" w:color="auto"/>
            </w:tcBorders>
            <w:hideMark/>
          </w:tcPr>
          <w:p w14:paraId="53104F5B" w14:textId="77777777" w:rsidR="009E090B" w:rsidRPr="009E090B" w:rsidRDefault="00E95642" w:rsidP="009E090B">
            <w:pPr>
              <w:ind w:left="60" w:right="60"/>
              <w:jc w:val="left"/>
              <w:rPr>
                <w:rFonts w:ascii="Arial Narrow" w:hAnsi="Arial Narrow" w:cs="Times New Roman"/>
              </w:rPr>
            </w:pPr>
            <w:r>
              <w:rPr>
                <w:rFonts w:ascii="Arial Narrow" w:hAnsi="Arial Narrow" w:cs="Times New Roman"/>
              </w:rPr>
              <w:lastRenderedPageBreak/>
              <w:t>NA</w:t>
            </w:r>
          </w:p>
        </w:tc>
        <w:tc>
          <w:tcPr>
            <w:tcW w:w="1276" w:type="dxa"/>
            <w:tcBorders>
              <w:top w:val="single" w:sz="6" w:space="0" w:color="auto"/>
              <w:left w:val="single" w:sz="6" w:space="0" w:color="auto"/>
              <w:bottom w:val="single" w:sz="6" w:space="0" w:color="auto"/>
              <w:right w:val="single" w:sz="6" w:space="0" w:color="auto"/>
            </w:tcBorders>
          </w:tcPr>
          <w:p w14:paraId="33C14807"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Clinician agreement in diagnosis</w:t>
            </w:r>
          </w:p>
        </w:tc>
      </w:tr>
      <w:tr w:rsidR="009E090B" w:rsidRPr="009E090B" w14:paraId="711E54AD" w14:textId="77777777" w:rsidTr="002E2399">
        <w:tc>
          <w:tcPr>
            <w:tcW w:w="985" w:type="dxa"/>
            <w:tcBorders>
              <w:top w:val="single" w:sz="6" w:space="0" w:color="auto"/>
              <w:left w:val="single" w:sz="6" w:space="0" w:color="auto"/>
              <w:bottom w:val="single" w:sz="6" w:space="0" w:color="auto"/>
              <w:right w:val="single" w:sz="6" w:space="0" w:color="auto"/>
            </w:tcBorders>
            <w:hideMark/>
          </w:tcPr>
          <w:p w14:paraId="080B2742" w14:textId="240888B9" w:rsidR="009E090B" w:rsidRDefault="00156621" w:rsidP="009E090B">
            <w:pPr>
              <w:ind w:left="60" w:right="60"/>
              <w:jc w:val="left"/>
              <w:rPr>
                <w:rFonts w:ascii="Arial Narrow" w:hAnsi="Arial Narrow" w:cs="Times New Roman"/>
              </w:rPr>
            </w:pPr>
            <w:r>
              <w:rPr>
                <w:rFonts w:ascii="Arial Narrow" w:hAnsi="Arial Narrow" w:cs="Times New Roman"/>
              </w:rPr>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(Li et al. 2015)</w:t>
            </w:r>
            <w:r>
              <w:rPr>
                <w:rFonts w:ascii="Arial Narrow" w:hAnsi="Arial Narrow" w:cs="Times New Roman"/>
              </w:rPr>
              <w:fldChar w:fldCharType="end"/>
            </w:r>
          </w:p>
          <w:p w14:paraId="2EEDBC62" w14:textId="77777777" w:rsidR="007B347B" w:rsidRPr="009E090B" w:rsidRDefault="007B347B" w:rsidP="009E090B">
            <w:pPr>
              <w:ind w:left="60" w:right="60"/>
              <w:jc w:val="left"/>
              <w:rPr>
                <w:rFonts w:ascii="Arial Narrow" w:hAnsi="Arial Narrow" w:cs="Times New Roman"/>
              </w:rPr>
            </w:pPr>
            <w:r>
              <w:rPr>
                <w:rFonts w:ascii="Arial Narrow" w:hAnsi="Arial Narrow" w:cs="Times New Roman"/>
              </w:rPr>
              <w:t>China</w:t>
            </w:r>
          </w:p>
        </w:tc>
        <w:tc>
          <w:tcPr>
            <w:tcW w:w="708" w:type="dxa"/>
            <w:tcBorders>
              <w:top w:val="single" w:sz="6" w:space="0" w:color="auto"/>
              <w:left w:val="single" w:sz="6" w:space="0" w:color="auto"/>
              <w:bottom w:val="single" w:sz="6" w:space="0" w:color="auto"/>
              <w:right w:val="single" w:sz="6" w:space="0" w:color="auto"/>
            </w:tcBorders>
            <w:hideMark/>
          </w:tcPr>
          <w:p w14:paraId="7160D849"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Ret Coh</w:t>
            </w:r>
          </w:p>
          <w:p w14:paraId="2B565CCF"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III-3</w:t>
            </w:r>
          </w:p>
        </w:tc>
        <w:tc>
          <w:tcPr>
            <w:tcW w:w="851" w:type="dxa"/>
            <w:tcBorders>
              <w:top w:val="single" w:sz="6" w:space="0" w:color="auto"/>
              <w:left w:val="single" w:sz="6" w:space="0" w:color="auto"/>
              <w:bottom w:val="single" w:sz="6" w:space="0" w:color="auto"/>
              <w:right w:val="single" w:sz="6" w:space="0" w:color="auto"/>
            </w:tcBorders>
            <w:hideMark/>
          </w:tcPr>
          <w:p w14:paraId="2B334771"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Low</w:t>
            </w:r>
          </w:p>
        </w:tc>
        <w:tc>
          <w:tcPr>
            <w:tcW w:w="709" w:type="dxa"/>
            <w:tcBorders>
              <w:top w:val="single" w:sz="6" w:space="0" w:color="auto"/>
              <w:left w:val="single" w:sz="6" w:space="0" w:color="auto"/>
              <w:bottom w:val="single" w:sz="6" w:space="0" w:color="auto"/>
              <w:right w:val="single" w:sz="6" w:space="0" w:color="auto"/>
            </w:tcBorders>
            <w:hideMark/>
          </w:tcPr>
          <w:p w14:paraId="69489683"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125 patients (220 eyes)</w:t>
            </w:r>
          </w:p>
        </w:tc>
        <w:tc>
          <w:tcPr>
            <w:tcW w:w="2126" w:type="dxa"/>
            <w:tcBorders>
              <w:top w:val="single" w:sz="6" w:space="0" w:color="auto"/>
              <w:left w:val="single" w:sz="6" w:space="0" w:color="auto"/>
              <w:bottom w:val="single" w:sz="6" w:space="0" w:color="auto"/>
              <w:right w:val="single" w:sz="6" w:space="0" w:color="auto"/>
            </w:tcBorders>
            <w:hideMark/>
          </w:tcPr>
          <w:p w14:paraId="20C2FEFA"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Patients with recurrent and bilateral optic neuritis with simultaneous attacks</w:t>
            </w:r>
          </w:p>
        </w:tc>
        <w:tc>
          <w:tcPr>
            <w:tcW w:w="1559" w:type="dxa"/>
            <w:tcBorders>
              <w:top w:val="single" w:sz="6" w:space="0" w:color="auto"/>
              <w:left w:val="single" w:sz="6" w:space="0" w:color="auto"/>
              <w:bottom w:val="single" w:sz="6" w:space="0" w:color="auto"/>
              <w:right w:val="single" w:sz="6" w:space="0" w:color="auto"/>
            </w:tcBorders>
            <w:hideMark/>
          </w:tcPr>
          <w:p w14:paraId="73BC790F"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 xml:space="preserve">Seropositive for AQP4-Ab </w:t>
            </w:r>
          </w:p>
        </w:tc>
        <w:tc>
          <w:tcPr>
            <w:tcW w:w="1134" w:type="dxa"/>
            <w:tcBorders>
              <w:top w:val="single" w:sz="6" w:space="0" w:color="auto"/>
              <w:left w:val="single" w:sz="6" w:space="0" w:color="auto"/>
              <w:bottom w:val="single" w:sz="6" w:space="0" w:color="auto"/>
              <w:right w:val="single" w:sz="6" w:space="0" w:color="auto"/>
            </w:tcBorders>
            <w:hideMark/>
          </w:tcPr>
          <w:p w14:paraId="207D3627"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Seronegative for AQP4-Ab</w:t>
            </w:r>
          </w:p>
        </w:tc>
        <w:tc>
          <w:tcPr>
            <w:tcW w:w="1276" w:type="dxa"/>
            <w:tcBorders>
              <w:top w:val="single" w:sz="6" w:space="0" w:color="auto"/>
              <w:left w:val="single" w:sz="6" w:space="0" w:color="auto"/>
              <w:bottom w:val="single" w:sz="6" w:space="0" w:color="auto"/>
              <w:right w:val="single" w:sz="6" w:space="0" w:color="auto"/>
            </w:tcBorders>
          </w:tcPr>
          <w:p w14:paraId="7E9339D3"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Time to diagnosis (2006 criteria)</w:t>
            </w:r>
          </w:p>
        </w:tc>
      </w:tr>
      <w:tr w:rsidR="009E090B" w:rsidRPr="009E090B" w14:paraId="222F89BF" w14:textId="77777777" w:rsidTr="002E2399">
        <w:tc>
          <w:tcPr>
            <w:tcW w:w="985" w:type="dxa"/>
            <w:tcBorders>
              <w:top w:val="single" w:sz="6" w:space="0" w:color="auto"/>
              <w:left w:val="single" w:sz="6" w:space="0" w:color="auto"/>
              <w:bottom w:val="single" w:sz="6" w:space="0" w:color="auto"/>
              <w:right w:val="single" w:sz="6" w:space="0" w:color="auto"/>
            </w:tcBorders>
            <w:hideMark/>
          </w:tcPr>
          <w:p w14:paraId="33A368F5" w14:textId="5B74AB7E" w:rsidR="009E090B" w:rsidRDefault="00156621" w:rsidP="009E090B">
            <w:pPr>
              <w:ind w:left="60" w:right="60"/>
              <w:jc w:val="left"/>
              <w:rPr>
                <w:rFonts w:ascii="Arial Narrow" w:hAnsi="Arial Narrow" w:cs="Times New Roman"/>
              </w:rPr>
            </w:pPr>
            <w:r>
              <w:rPr>
                <w:rFonts w:ascii="Arial Narrow" w:hAnsi="Arial Narrow" w:cs="Times New Roman"/>
              </w:rPr>
              <w:fldChar w:fldCharType="begin">
                <w:fldData xml:space="preserve">PEVuZE5vdGU+PENpdGU+PEF1dGhvcj5QYXBhaXMtQWx2YXJlbmdhPC9BdXRob3I+PFllYXI+MjAx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PEVuZE5vdGU+PENpdGU+PEF1dGhvcj5QYXBhaXMtQWx2YXJlbmdhPC9BdXRob3I+PFllYXI+MjAx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(Papais-Alvarenga et al. 2018)</w:t>
            </w:r>
            <w:r>
              <w:rPr>
                <w:rFonts w:ascii="Arial Narrow" w:hAnsi="Arial Narrow" w:cs="Times New Roman"/>
              </w:rPr>
              <w:fldChar w:fldCharType="end"/>
            </w:r>
          </w:p>
          <w:p w14:paraId="1EFE5F70" w14:textId="77777777" w:rsidR="007B347B" w:rsidRPr="009E090B" w:rsidRDefault="007B347B" w:rsidP="009E090B">
            <w:pPr>
              <w:ind w:left="60" w:right="60"/>
              <w:jc w:val="left"/>
              <w:rPr>
                <w:rFonts w:ascii="Arial Narrow" w:hAnsi="Arial Narrow" w:cs="Times New Roman"/>
              </w:rPr>
            </w:pPr>
            <w:r>
              <w:rPr>
                <w:rFonts w:ascii="Arial Narrow" w:hAnsi="Arial Narrow" w:cs="Times New Roman"/>
              </w:rPr>
              <w:t>Brazil</w:t>
            </w:r>
          </w:p>
        </w:tc>
        <w:tc>
          <w:tcPr>
            <w:tcW w:w="708" w:type="dxa"/>
            <w:tcBorders>
              <w:top w:val="single" w:sz="6" w:space="0" w:color="auto"/>
              <w:left w:val="single" w:sz="6" w:space="0" w:color="auto"/>
              <w:bottom w:val="single" w:sz="6" w:space="0" w:color="auto"/>
              <w:right w:val="single" w:sz="6" w:space="0" w:color="auto"/>
            </w:tcBorders>
            <w:hideMark/>
          </w:tcPr>
          <w:p w14:paraId="1FA01CC3"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CS</w:t>
            </w:r>
          </w:p>
          <w:p w14:paraId="5C7C2CD8"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IV</w:t>
            </w:r>
          </w:p>
        </w:tc>
        <w:tc>
          <w:tcPr>
            <w:tcW w:w="851" w:type="dxa"/>
            <w:tcBorders>
              <w:top w:val="single" w:sz="6" w:space="0" w:color="auto"/>
              <w:left w:val="single" w:sz="6" w:space="0" w:color="auto"/>
              <w:bottom w:val="single" w:sz="6" w:space="0" w:color="auto"/>
              <w:right w:val="single" w:sz="6" w:space="0" w:color="auto"/>
            </w:tcBorders>
            <w:hideMark/>
          </w:tcPr>
          <w:p w14:paraId="22D149AA"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5203C783"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200</w:t>
            </w:r>
          </w:p>
        </w:tc>
        <w:tc>
          <w:tcPr>
            <w:tcW w:w="2126" w:type="dxa"/>
            <w:tcBorders>
              <w:top w:val="single" w:sz="6" w:space="0" w:color="auto"/>
              <w:left w:val="single" w:sz="6" w:space="0" w:color="auto"/>
              <w:bottom w:val="single" w:sz="6" w:space="0" w:color="auto"/>
              <w:right w:val="single" w:sz="6" w:space="0" w:color="auto"/>
            </w:tcBorders>
            <w:hideMark/>
          </w:tcPr>
          <w:p w14:paraId="7609D4BD"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Adults patients (≥16 years), with IIDD</w:t>
            </w:r>
          </w:p>
        </w:tc>
        <w:tc>
          <w:tcPr>
            <w:tcW w:w="1559" w:type="dxa"/>
            <w:tcBorders>
              <w:top w:val="single" w:sz="6" w:space="0" w:color="auto"/>
              <w:left w:val="single" w:sz="6" w:space="0" w:color="auto"/>
              <w:bottom w:val="single" w:sz="6" w:space="0" w:color="auto"/>
              <w:right w:val="single" w:sz="6" w:space="0" w:color="auto"/>
            </w:tcBorders>
            <w:hideMark/>
          </w:tcPr>
          <w:p w14:paraId="723342EE"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AQP4-Ab and MOG-Ab testing; application of 2015 diagnostic criteria</w:t>
            </w:r>
          </w:p>
        </w:tc>
        <w:tc>
          <w:tcPr>
            <w:tcW w:w="1134" w:type="dxa"/>
            <w:tcBorders>
              <w:top w:val="single" w:sz="6" w:space="0" w:color="auto"/>
              <w:left w:val="single" w:sz="6" w:space="0" w:color="auto"/>
              <w:bottom w:val="single" w:sz="6" w:space="0" w:color="auto"/>
              <w:right w:val="single" w:sz="6" w:space="0" w:color="auto"/>
            </w:tcBorders>
            <w:hideMark/>
          </w:tcPr>
          <w:p w14:paraId="339B906F"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Diagnosis by 2006 criteria</w:t>
            </w:r>
          </w:p>
        </w:tc>
        <w:tc>
          <w:tcPr>
            <w:tcW w:w="1276" w:type="dxa"/>
            <w:tcBorders>
              <w:top w:val="single" w:sz="6" w:space="0" w:color="auto"/>
              <w:left w:val="single" w:sz="6" w:space="0" w:color="auto"/>
              <w:bottom w:val="single" w:sz="6" w:space="0" w:color="auto"/>
              <w:right w:val="single" w:sz="6" w:space="0" w:color="auto"/>
            </w:tcBorders>
          </w:tcPr>
          <w:p w14:paraId="7200C26B" w14:textId="77777777" w:rsidR="009E090B" w:rsidRPr="009E090B" w:rsidRDefault="009E090B" w:rsidP="009E090B">
            <w:pPr>
              <w:ind w:left="60" w:right="60"/>
              <w:jc w:val="left"/>
              <w:rPr>
                <w:rFonts w:ascii="Arial Narrow" w:hAnsi="Arial Narrow" w:cs="Times New Roman"/>
              </w:rPr>
            </w:pPr>
            <w:r w:rsidRPr="009E090B">
              <w:rPr>
                <w:rFonts w:ascii="Arial Narrow" w:hAnsi="Arial Narrow" w:cs="Times New Roman"/>
              </w:rPr>
              <w:t>Change in diagnosis</w:t>
            </w:r>
          </w:p>
        </w:tc>
      </w:tr>
    </w:tbl>
    <w:p w14:paraId="14C41611" w14:textId="77777777" w:rsidR="00AD322A" w:rsidRDefault="00EB1189" w:rsidP="00576185">
      <w:pPr>
        <w:spacing w:after="0"/>
        <w:rPr>
          <w:rStyle w:val="TablenotesChar0"/>
        </w:rPr>
      </w:pPr>
      <w:r>
        <w:rPr>
          <w:rStyle w:val="TablenotesChar0"/>
        </w:rPr>
        <w:t xml:space="preserve">ADS = acquired demyelination syndrome; </w:t>
      </w:r>
      <w:r w:rsidR="00015F9B">
        <w:rPr>
          <w:rStyle w:val="TablenotesChar0"/>
        </w:rPr>
        <w:t xml:space="preserve">AQP4- Ab = aquaporin 4 antibodies; </w:t>
      </w:r>
      <w:r w:rsidR="005B097D">
        <w:rPr>
          <w:rStyle w:val="TablenotesChar0"/>
        </w:rPr>
        <w:t xml:space="preserve">CNS = central nervous system; </w:t>
      </w:r>
      <w:r w:rsidR="009E090B" w:rsidRPr="00183E4D">
        <w:rPr>
          <w:rStyle w:val="TablenotesChar0"/>
        </w:rPr>
        <w:t>Coh=cohort; CS=case series;</w:t>
      </w:r>
      <w:r w:rsidR="009E090B">
        <w:rPr>
          <w:rStyle w:val="TablenotesChar0"/>
        </w:rPr>
        <w:t xml:space="preserve"> </w:t>
      </w:r>
      <w:r>
        <w:rPr>
          <w:rStyle w:val="TablenotesChar0"/>
        </w:rPr>
        <w:t>EDSS = ex</w:t>
      </w:r>
      <w:r w:rsidR="001964EF">
        <w:rPr>
          <w:rStyle w:val="TablenotesChar0"/>
        </w:rPr>
        <w:t>panded</w:t>
      </w:r>
      <w:r>
        <w:rPr>
          <w:rStyle w:val="TablenotesChar0"/>
        </w:rPr>
        <w:t xml:space="preserve"> disability status scale; </w:t>
      </w:r>
      <w:r w:rsidR="005B097D">
        <w:rPr>
          <w:rStyle w:val="TablenotesChar0"/>
        </w:rPr>
        <w:t xml:space="preserve">IIDD = idiopathic inflammatory demyelinating disease; MOG-Ab = myelin oligodendrocyte glycoprotein antibodies; MS = multiple sclerosis; </w:t>
      </w:r>
      <w:r w:rsidR="00015F9B">
        <w:rPr>
          <w:rStyle w:val="TablenotesChar0"/>
        </w:rPr>
        <w:t xml:space="preserve">NA = not available; NMO = neuromyelitis optica; NMOSD = neuromyelitis optica spectrum disorders; </w:t>
      </w:r>
      <w:r w:rsidR="009E090B">
        <w:rPr>
          <w:rStyle w:val="TablenotesChar0"/>
        </w:rPr>
        <w:t>Ret = retrospective</w:t>
      </w:r>
    </w:p>
    <w:p w14:paraId="418F4E10" w14:textId="77777777" w:rsidR="00AD322A" w:rsidRDefault="00AD322A" w:rsidP="00AD322A">
      <w:pPr>
        <w:rPr>
          <w:rStyle w:val="TablenotesChar0"/>
        </w:rPr>
      </w:pPr>
    </w:p>
    <w:p w14:paraId="31B28505" w14:textId="77777777" w:rsidR="00ED65EE" w:rsidRPr="00183E4D" w:rsidRDefault="00ED65EE" w:rsidP="003816F6">
      <w:pPr>
        <w:pStyle w:val="Heading2"/>
        <w:numPr>
          <w:ilvl w:val="1"/>
          <w:numId w:val="11"/>
        </w:numPr>
      </w:pPr>
      <w:bookmarkStart w:id="281" w:name="_Toc39588325"/>
      <w:r w:rsidRPr="00183E4D">
        <w:t>Outcome Measures and Analysis</w:t>
      </w:r>
      <w:bookmarkEnd w:id="281"/>
    </w:p>
    <w:p w14:paraId="28A5D60D" w14:textId="77777777" w:rsidR="00ED65EE" w:rsidRPr="00183E4D" w:rsidRDefault="00ED65EE" w:rsidP="00ED65EE">
      <w:r w:rsidRPr="00183E4D">
        <w:t xml:space="preserve">See </w:t>
      </w:r>
      <w:r w:rsidRPr="00BB1A94">
        <w:t>Appendix C</w:t>
      </w:r>
      <w:r w:rsidRPr="00183E4D">
        <w:t xml:space="preserve"> for details on the outcomes measured in the included studies, along with the statistical methods used to analyse the results.</w:t>
      </w:r>
    </w:p>
    <w:p w14:paraId="7D118444" w14:textId="77777777" w:rsidR="005F4AEF" w:rsidRDefault="005F4AEF" w:rsidP="00207480">
      <w:pPr>
        <w:spacing w:after="80"/>
      </w:pPr>
      <w:r>
        <w:t>The outcomes</w:t>
      </w:r>
      <w:r w:rsidR="004E7D77">
        <w:t xml:space="preserve"> </w:t>
      </w:r>
      <w:r>
        <w:t>of interest for assessing the im</w:t>
      </w:r>
      <w:r w:rsidR="004E7D77">
        <w:t>pact of diagnosis with testing on patient management</w:t>
      </w:r>
      <w:r>
        <w:t xml:space="preserve"> fell into two main categories</w:t>
      </w:r>
      <w:r w:rsidR="004E7D77">
        <w:t xml:space="preserve">. </w:t>
      </w:r>
      <w:r>
        <w:t>The categories were</w:t>
      </w:r>
    </w:p>
    <w:p w14:paraId="240C12DA" w14:textId="77777777" w:rsidR="005F4AEF" w:rsidRDefault="005F4AEF" w:rsidP="003816F6">
      <w:pPr>
        <w:pStyle w:val="ListParagraph"/>
        <w:numPr>
          <w:ilvl w:val="0"/>
          <w:numId w:val="44"/>
        </w:numPr>
        <w:spacing w:after="80"/>
      </w:pPr>
      <w:r>
        <w:t xml:space="preserve">outcomes </w:t>
      </w:r>
      <w:r w:rsidR="002E24C3">
        <w:t>related to</w:t>
      </w:r>
      <w:r>
        <w:t xml:space="preserve"> </w:t>
      </w:r>
      <w:r w:rsidR="009339A8">
        <w:t>the time taken to reach a diagnosis</w:t>
      </w:r>
      <w:r w:rsidR="00CF5DA9">
        <w:t>; and,</w:t>
      </w:r>
      <w:r w:rsidR="004E7D77">
        <w:t xml:space="preserve"> </w:t>
      </w:r>
    </w:p>
    <w:p w14:paraId="7E3BE944" w14:textId="77777777" w:rsidR="005F4AEF" w:rsidRDefault="005F4AEF" w:rsidP="003816F6">
      <w:pPr>
        <w:pStyle w:val="ListParagraph"/>
        <w:numPr>
          <w:ilvl w:val="0"/>
          <w:numId w:val="44"/>
        </w:numPr>
      </w:pPr>
      <w:r>
        <w:t>outcomes r</w:t>
      </w:r>
      <w:r w:rsidR="002E24C3">
        <w:t>elated to</w:t>
      </w:r>
      <w:r>
        <w:t xml:space="preserve"> change in diagnosis when comparing IPND criteria with earlier criteria.</w:t>
      </w:r>
    </w:p>
    <w:p w14:paraId="5B70DF1F" w14:textId="77777777" w:rsidR="009339A8" w:rsidRDefault="009339A8" w:rsidP="00CD1AB7">
      <w:r>
        <w:t>Evidence in the first category is important in showing the impact of early compared with late NMOSD diagnosis.</w:t>
      </w:r>
    </w:p>
    <w:p w14:paraId="0B4B6854" w14:textId="0A41597D" w:rsidR="00175F83" w:rsidRDefault="00207480" w:rsidP="003637B4">
      <w:r>
        <w:t>Included within the second category w</w:t>
      </w:r>
      <w:r w:rsidR="002C4E7F">
        <w:t>ere</w:t>
      </w:r>
      <w:r>
        <w:t xml:space="preserve"> data on the agreement between specialist diagnoses of a set of NMOSD and MS cases. T</w:t>
      </w:r>
      <w:r w:rsidR="002C4E7F">
        <w:t>he</w:t>
      </w:r>
      <w:r>
        <w:t xml:space="preserve"> data </w:t>
      </w:r>
      <w:r w:rsidR="002C4E7F">
        <w:t>were</w:t>
      </w:r>
      <w:r>
        <w:t xml:space="preserve"> identified in one small survey</w:t>
      </w:r>
      <w:r w:rsidR="008B6537">
        <w:t xml:space="preserve"> and used the proportion of observed agreement (p</w:t>
      </w:r>
      <w:r w:rsidR="008B6537">
        <w:rPr>
          <w:vertAlign w:val="subscript"/>
        </w:rPr>
        <w:t>0</w:t>
      </w:r>
      <w:r w:rsidR="008B6537">
        <w:t xml:space="preserve">) to determine the extent of agreement between </w:t>
      </w:r>
      <w:r w:rsidR="00923846">
        <w:t>participants</w:t>
      </w:r>
      <w:r w:rsidR="008B6537">
        <w:t>.</w:t>
      </w:r>
      <w:r w:rsidR="00175F83">
        <w:rPr>
          <w:b/>
          <w:smallCaps/>
        </w:rPr>
        <w:br w:type="page"/>
      </w:r>
    </w:p>
    <w:p w14:paraId="66EE05DA" w14:textId="77777777" w:rsidR="00ED65EE" w:rsidRPr="00183E4D" w:rsidRDefault="00ED65EE" w:rsidP="003816F6">
      <w:pPr>
        <w:pStyle w:val="Heading2"/>
        <w:numPr>
          <w:ilvl w:val="1"/>
          <w:numId w:val="11"/>
        </w:numPr>
      </w:pPr>
      <w:bookmarkStart w:id="282" w:name="_Toc39588326"/>
      <w:r w:rsidRPr="00183E4D">
        <w:lastRenderedPageBreak/>
        <w:t>Results of the Systematic Literature review</w:t>
      </w:r>
      <w:bookmarkEnd w:id="282"/>
    </w:p>
    <w:p w14:paraId="546363E5" w14:textId="681179E8" w:rsidR="00ED65EE" w:rsidRDefault="00ED65EE" w:rsidP="00ED65EE">
      <w:pPr>
        <w:pStyle w:val="Heading3"/>
      </w:pPr>
      <w:bookmarkStart w:id="283" w:name="_Toc39588327"/>
      <w:r>
        <w:t xml:space="preserve">Does </w:t>
      </w:r>
      <w:r w:rsidR="00CE7F93">
        <w:t>AQP4-Ab and/or MOG-Ab testing</w:t>
      </w:r>
      <w:r>
        <w:t xml:space="preserve"> impact on clinical management</w:t>
      </w:r>
      <w:r w:rsidRPr="004D0C0F">
        <w:t>?</w:t>
      </w:r>
      <w:bookmarkEnd w:id="283"/>
    </w:p>
    <w:p w14:paraId="03FC3105" w14:textId="50312E64" w:rsidR="00ED65EE" w:rsidRPr="004A52C5" w:rsidRDefault="00ED65EE" w:rsidP="00ED65EE">
      <w:pPr>
        <w:pStyle w:val="Summaryboxheading"/>
        <w:pBdr>
          <w:top w:val="single" w:sz="4" w:space="1" w:color="auto"/>
          <w:left w:val="single" w:sz="4" w:space="4" w:color="auto"/>
          <w:bottom w:val="single" w:sz="4" w:space="1" w:color="auto"/>
          <w:right w:val="single" w:sz="4" w:space="4" w:color="auto"/>
        </w:pBdr>
      </w:pPr>
      <w:r w:rsidRPr="00183E4D">
        <w:t xml:space="preserve">Summary – </w:t>
      </w:r>
      <w:r w:rsidR="00D51ACA" w:rsidRPr="00D51ACA">
        <w:t>Do</w:t>
      </w:r>
      <w:r w:rsidR="00CE7F93">
        <w:t>es</w:t>
      </w:r>
      <w:r w:rsidR="00D51ACA" w:rsidRPr="00D51ACA">
        <w:t xml:space="preserve"> AQP4-Ab with/without MOG-Ab testing in patients suspected of NMOSD</w:t>
      </w:r>
      <w:r w:rsidR="00576185">
        <w:t>,</w:t>
      </w:r>
      <w:r w:rsidR="00D51ACA" w:rsidRPr="00D51ACA">
        <w:t xml:space="preserve"> change management, compared to </w:t>
      </w:r>
      <w:r w:rsidR="002C4E7F">
        <w:t>diagnosis</w:t>
      </w:r>
      <w:r w:rsidR="00D51ACA" w:rsidRPr="00D51ACA">
        <w:t xml:space="preserve"> by clinical characteristics alone</w:t>
      </w:r>
      <w:r w:rsidR="00D51ACA">
        <w:t>?</w:t>
      </w:r>
    </w:p>
    <w:p w14:paraId="7CF144B6" w14:textId="77777777" w:rsidR="0033361E" w:rsidRDefault="006F54CC" w:rsidP="00ED65EE">
      <w:pPr>
        <w:pStyle w:val="Summaryboxheading"/>
        <w:pBdr>
          <w:top w:val="single" w:sz="4" w:space="1" w:color="auto"/>
          <w:left w:val="single" w:sz="4" w:space="4" w:color="auto"/>
          <w:bottom w:val="single" w:sz="4" w:space="1" w:color="auto"/>
          <w:right w:val="single" w:sz="4" w:space="4" w:color="auto"/>
        </w:pBdr>
        <w:rPr>
          <w:b w:val="0"/>
        </w:rPr>
      </w:pPr>
      <w:r w:rsidRPr="006F54CC">
        <w:rPr>
          <w:b w:val="0"/>
        </w:rPr>
        <w:t>There was evidence to show that patients are diagnosed earlier when the AQP4-Ab test is included in the diagnostic regimen, compared to when it is not included</w:t>
      </w:r>
      <w:r w:rsidR="00DE5976">
        <w:rPr>
          <w:b w:val="0"/>
        </w:rPr>
        <w:t xml:space="preserve"> (11 versus 53 months)</w:t>
      </w:r>
      <w:r w:rsidRPr="006F54CC">
        <w:rPr>
          <w:b w:val="0"/>
        </w:rPr>
        <w:t xml:space="preserve">. </w:t>
      </w:r>
      <w:r w:rsidR="0033361E">
        <w:rPr>
          <w:b w:val="0"/>
        </w:rPr>
        <w:t>The time to diagnosis was measured retrospectively in patients with central nervous system inflammatory disease which is broader than the pop</w:t>
      </w:r>
      <w:r w:rsidR="00DE5976">
        <w:rPr>
          <w:b w:val="0"/>
        </w:rPr>
        <w:t>ula</w:t>
      </w:r>
      <w:r w:rsidR="0033361E">
        <w:rPr>
          <w:b w:val="0"/>
        </w:rPr>
        <w:t>tion of interest (those suspected o</w:t>
      </w:r>
      <w:r w:rsidR="00BB1A94">
        <w:rPr>
          <w:b w:val="0"/>
        </w:rPr>
        <w:t>f</w:t>
      </w:r>
      <w:r w:rsidR="0033361E">
        <w:rPr>
          <w:b w:val="0"/>
        </w:rPr>
        <w:t xml:space="preserve"> NMOSD), </w:t>
      </w:r>
      <w:r w:rsidR="00073FF2">
        <w:rPr>
          <w:b w:val="0"/>
        </w:rPr>
        <w:t>but</w:t>
      </w:r>
      <w:r w:rsidR="0033361E">
        <w:rPr>
          <w:b w:val="0"/>
        </w:rPr>
        <w:t xml:space="preserve"> may more closely match the population</w:t>
      </w:r>
      <w:r w:rsidR="00BB1A94">
        <w:rPr>
          <w:b w:val="0"/>
        </w:rPr>
        <w:t xml:space="preserve"> prevalence</w:t>
      </w:r>
      <w:r w:rsidR="0033361E">
        <w:rPr>
          <w:b w:val="0"/>
        </w:rPr>
        <w:t xml:space="preserve"> that is </w:t>
      </w:r>
      <w:r w:rsidR="00BB1A94">
        <w:rPr>
          <w:b w:val="0"/>
        </w:rPr>
        <w:t>present</w:t>
      </w:r>
      <w:r w:rsidR="0033361E">
        <w:rPr>
          <w:b w:val="0"/>
        </w:rPr>
        <w:t xml:space="preserve"> in th</w:t>
      </w:r>
      <w:r w:rsidR="00BB1A94">
        <w:rPr>
          <w:b w:val="0"/>
        </w:rPr>
        <w:t>ose tested in the</w:t>
      </w:r>
      <w:r w:rsidR="0033361E">
        <w:rPr>
          <w:b w:val="0"/>
        </w:rPr>
        <w:t xml:space="preserve"> </w:t>
      </w:r>
      <w:r w:rsidR="00DE5976">
        <w:rPr>
          <w:b w:val="0"/>
        </w:rPr>
        <w:t>Aus</w:t>
      </w:r>
      <w:r w:rsidR="0033361E">
        <w:rPr>
          <w:b w:val="0"/>
        </w:rPr>
        <w:t>tr</w:t>
      </w:r>
      <w:r w:rsidR="00DE5976">
        <w:rPr>
          <w:b w:val="0"/>
        </w:rPr>
        <w:t>a</w:t>
      </w:r>
      <w:r w:rsidR="0033361E">
        <w:rPr>
          <w:b w:val="0"/>
        </w:rPr>
        <w:t>li</w:t>
      </w:r>
      <w:r w:rsidR="00DE5976">
        <w:rPr>
          <w:b w:val="0"/>
        </w:rPr>
        <w:t>a</w:t>
      </w:r>
      <w:r w:rsidR="0033361E">
        <w:rPr>
          <w:b w:val="0"/>
        </w:rPr>
        <w:t xml:space="preserve">n clinical setting. </w:t>
      </w:r>
    </w:p>
    <w:p w14:paraId="4EE5E74A" w14:textId="317A44EA" w:rsidR="00073FF2" w:rsidRDefault="006F54CC" w:rsidP="00926FF4">
      <w:pPr>
        <w:pStyle w:val="Summaryboxheading"/>
        <w:pBdr>
          <w:top w:val="single" w:sz="4" w:space="1" w:color="auto"/>
          <w:left w:val="single" w:sz="4" w:space="4" w:color="auto"/>
          <w:bottom w:val="single" w:sz="4" w:space="1" w:color="auto"/>
          <w:right w:val="single" w:sz="4" w:space="4" w:color="auto"/>
        </w:pBdr>
        <w:rPr>
          <w:b w:val="0"/>
        </w:rPr>
      </w:pPr>
      <w:r w:rsidRPr="006F54CC">
        <w:rPr>
          <w:b w:val="0"/>
        </w:rPr>
        <w:t>Th</w:t>
      </w:r>
      <w:r w:rsidR="00BB1A94">
        <w:rPr>
          <w:b w:val="0"/>
        </w:rPr>
        <w:t>e</w:t>
      </w:r>
      <w:r w:rsidRPr="006F54CC">
        <w:rPr>
          <w:b w:val="0"/>
        </w:rPr>
        <w:t xml:space="preserve"> </w:t>
      </w:r>
      <w:r w:rsidR="00BB1A94" w:rsidRPr="00854E32">
        <w:rPr>
          <w:b w:val="0"/>
          <w:i/>
        </w:rPr>
        <w:t>earlier</w:t>
      </w:r>
      <w:r w:rsidR="00BB1A94">
        <w:rPr>
          <w:b w:val="0"/>
        </w:rPr>
        <w:t xml:space="preserve"> time to diagnosis with testing </w:t>
      </w:r>
      <w:r w:rsidRPr="006F54CC">
        <w:rPr>
          <w:b w:val="0"/>
        </w:rPr>
        <w:t xml:space="preserve">was supported by evidence showing that </w:t>
      </w:r>
      <w:r w:rsidR="00DE5976" w:rsidRPr="00854E32">
        <w:rPr>
          <w:b w:val="0"/>
          <w:i/>
        </w:rPr>
        <w:t>more</w:t>
      </w:r>
      <w:r w:rsidR="00DE5976">
        <w:rPr>
          <w:b w:val="0"/>
        </w:rPr>
        <w:t xml:space="preserve"> </w:t>
      </w:r>
      <w:r w:rsidRPr="006F54CC">
        <w:rPr>
          <w:b w:val="0"/>
        </w:rPr>
        <w:t>patients</w:t>
      </w:r>
      <w:r w:rsidR="00926FF4">
        <w:rPr>
          <w:b w:val="0"/>
        </w:rPr>
        <w:t xml:space="preserve"> suspected of NMOSD</w:t>
      </w:r>
      <w:r w:rsidRPr="006F54CC">
        <w:rPr>
          <w:b w:val="0"/>
        </w:rPr>
        <w:t xml:space="preserve"> are diagnosed based on the 2015 IPND criteria than when diagnosis is based on the 2006 criteria. </w:t>
      </w:r>
      <w:r w:rsidR="00DE5976">
        <w:rPr>
          <w:b w:val="0"/>
        </w:rPr>
        <w:t xml:space="preserve">The </w:t>
      </w:r>
      <w:r w:rsidR="00926FF4">
        <w:rPr>
          <w:b w:val="0"/>
        </w:rPr>
        <w:t>higher proportion of patients</w:t>
      </w:r>
      <w:r w:rsidR="00DE5976">
        <w:rPr>
          <w:b w:val="0"/>
        </w:rPr>
        <w:t xml:space="preserve"> </w:t>
      </w:r>
      <w:r w:rsidR="00926FF4">
        <w:rPr>
          <w:b w:val="0"/>
        </w:rPr>
        <w:t>diagnosed by</w:t>
      </w:r>
      <w:r w:rsidR="00DE5976">
        <w:rPr>
          <w:b w:val="0"/>
        </w:rPr>
        <w:t xml:space="preserve"> the 2015 criteria </w:t>
      </w:r>
      <w:r w:rsidR="00926FF4">
        <w:rPr>
          <w:b w:val="0"/>
        </w:rPr>
        <w:t>is likely to be a result</w:t>
      </w:r>
      <w:r w:rsidR="00DE5976">
        <w:rPr>
          <w:b w:val="0"/>
        </w:rPr>
        <w:t xml:space="preserve"> of </w:t>
      </w:r>
      <w:r w:rsidR="00926FF4">
        <w:rPr>
          <w:b w:val="0"/>
        </w:rPr>
        <w:t xml:space="preserve">the </w:t>
      </w:r>
      <w:r w:rsidR="00BB1A94">
        <w:rPr>
          <w:b w:val="0"/>
        </w:rPr>
        <w:t>greate</w:t>
      </w:r>
      <w:r w:rsidR="00073FF2">
        <w:rPr>
          <w:b w:val="0"/>
        </w:rPr>
        <w:t>r</w:t>
      </w:r>
      <w:r w:rsidR="00BB1A94">
        <w:rPr>
          <w:b w:val="0"/>
        </w:rPr>
        <w:t xml:space="preserve"> inclusion of</w:t>
      </w:r>
      <w:r w:rsidR="00926FF4">
        <w:rPr>
          <w:b w:val="0"/>
        </w:rPr>
        <w:t xml:space="preserve"> </w:t>
      </w:r>
      <w:r w:rsidR="00DE5976">
        <w:rPr>
          <w:b w:val="0"/>
        </w:rPr>
        <w:t>AQP4-Ab tes</w:t>
      </w:r>
      <w:r w:rsidR="00926FF4">
        <w:rPr>
          <w:b w:val="0"/>
        </w:rPr>
        <w:t>t</w:t>
      </w:r>
      <w:r w:rsidR="00DE5976">
        <w:rPr>
          <w:b w:val="0"/>
        </w:rPr>
        <w:t xml:space="preserve">ing. Under the 2006 </w:t>
      </w:r>
      <w:r w:rsidR="002C4E7F">
        <w:rPr>
          <w:b w:val="0"/>
        </w:rPr>
        <w:t>criteria,</w:t>
      </w:r>
      <w:r w:rsidR="00DE5976">
        <w:rPr>
          <w:b w:val="0"/>
        </w:rPr>
        <w:t xml:space="preserve"> patients wait longer for a definitive </w:t>
      </w:r>
      <w:r w:rsidR="00926FF4">
        <w:rPr>
          <w:b w:val="0"/>
        </w:rPr>
        <w:t>NMOSD diagnosis</w:t>
      </w:r>
      <w:r w:rsidR="00CF5DA9">
        <w:rPr>
          <w:b w:val="0"/>
        </w:rPr>
        <w:t>,</w:t>
      </w:r>
      <w:r w:rsidR="00926FF4">
        <w:rPr>
          <w:b w:val="0"/>
        </w:rPr>
        <w:t xml:space="preserve"> </w:t>
      </w:r>
      <w:r w:rsidR="00CF5DA9">
        <w:rPr>
          <w:b w:val="0"/>
        </w:rPr>
        <w:t xml:space="preserve">as it </w:t>
      </w:r>
      <w:r w:rsidR="00926FF4">
        <w:rPr>
          <w:b w:val="0"/>
        </w:rPr>
        <w:t>i</w:t>
      </w:r>
      <w:r w:rsidR="00DE5976">
        <w:rPr>
          <w:b w:val="0"/>
        </w:rPr>
        <w:t>s likely to re</w:t>
      </w:r>
      <w:r w:rsidR="00926FF4">
        <w:rPr>
          <w:b w:val="0"/>
        </w:rPr>
        <w:t>q</w:t>
      </w:r>
      <w:r w:rsidR="00DE5976">
        <w:rPr>
          <w:b w:val="0"/>
        </w:rPr>
        <w:t xml:space="preserve">uire the occurrence of additional clinical features. </w:t>
      </w:r>
    </w:p>
    <w:p w14:paraId="64E6CE62" w14:textId="642BA58D" w:rsidR="00926FF4" w:rsidRPr="00183E4D" w:rsidRDefault="00926FF4" w:rsidP="00926FF4">
      <w:pPr>
        <w:pStyle w:val="Summaryboxheading"/>
        <w:pBdr>
          <w:top w:val="single" w:sz="4" w:space="1" w:color="auto"/>
          <w:left w:val="single" w:sz="4" w:space="4" w:color="auto"/>
          <w:bottom w:val="single" w:sz="4" w:space="1" w:color="auto"/>
          <w:right w:val="single" w:sz="4" w:space="4" w:color="auto"/>
        </w:pBdr>
      </w:pPr>
      <w:r w:rsidRPr="006F54CC">
        <w:rPr>
          <w:b w:val="0"/>
        </w:rPr>
        <w:t xml:space="preserve">The association between </w:t>
      </w:r>
      <w:r>
        <w:rPr>
          <w:b w:val="0"/>
        </w:rPr>
        <w:t xml:space="preserve">AQP4-Ab </w:t>
      </w:r>
      <w:r w:rsidRPr="006F54CC">
        <w:rPr>
          <w:b w:val="0"/>
        </w:rPr>
        <w:t xml:space="preserve">testing and earlier diagnosis was strong, but the confidence in the result was reduced by the risk of bias in the retrospective observational study designs. (GRADE: LOW </w:t>
      </w:r>
      <w:r w:rsidRPr="00AC706B">
        <w:rPr>
          <w:rFonts w:ascii="Cambria Math" w:hAnsi="Cambria Math" w:cs="Cambria Math"/>
          <w:b w:val="0"/>
          <w:color w:val="00B050"/>
        </w:rPr>
        <w:t>⨁⨁</w:t>
      </w:r>
      <w:r w:rsidRPr="00926FF4">
        <w:rPr>
          <w:rFonts w:ascii="Cambria Math" w:hAnsi="Cambria Math" w:cs="Cambria Math"/>
          <w:b w:val="0"/>
          <w:color w:val="FF0000"/>
        </w:rPr>
        <w:t>⨀⨀</w:t>
      </w:r>
      <w:r w:rsidRPr="006F54CC">
        <w:rPr>
          <w:b w:val="0"/>
        </w:rPr>
        <w:t xml:space="preserve"> to MODERATE </w:t>
      </w:r>
      <w:r w:rsidRPr="00926FF4">
        <w:rPr>
          <w:rFonts w:ascii="Cambria Math" w:hAnsi="Cambria Math" w:cs="Cambria Math"/>
          <w:b w:val="0"/>
          <w:color w:val="00B050"/>
        </w:rPr>
        <w:t>⨁⨁⨁</w:t>
      </w:r>
      <w:r w:rsidRPr="00926FF4">
        <w:rPr>
          <w:rFonts w:ascii="Cambria Math" w:hAnsi="Cambria Math" w:cs="Cambria Math"/>
          <w:b w:val="0"/>
          <w:color w:val="FF0000"/>
        </w:rPr>
        <w:t>⨀</w:t>
      </w:r>
      <w:r w:rsidRPr="006F54CC">
        <w:rPr>
          <w:b w:val="0"/>
        </w:rPr>
        <w:t>)</w:t>
      </w:r>
    </w:p>
    <w:p w14:paraId="058870E7" w14:textId="77777777" w:rsidR="00926FF4" w:rsidRDefault="00AC706B" w:rsidP="00ED65EE">
      <w:pPr>
        <w:pStyle w:val="Summaryboxheading"/>
        <w:pBdr>
          <w:top w:val="single" w:sz="4" w:space="1" w:color="auto"/>
          <w:left w:val="single" w:sz="4" w:space="4" w:color="auto"/>
          <w:bottom w:val="single" w:sz="4" w:space="1" w:color="auto"/>
          <w:right w:val="single" w:sz="4" w:space="4" w:color="auto"/>
        </w:pBdr>
        <w:rPr>
          <w:b w:val="0"/>
        </w:rPr>
      </w:pPr>
      <w:r>
        <w:rPr>
          <w:b w:val="0"/>
        </w:rPr>
        <w:t xml:space="preserve">There was </w:t>
      </w:r>
      <w:r w:rsidR="006959FD">
        <w:rPr>
          <w:b w:val="0"/>
        </w:rPr>
        <w:t>no</w:t>
      </w:r>
      <w:r>
        <w:rPr>
          <w:b w:val="0"/>
        </w:rPr>
        <w:t xml:space="preserve"> evidence to determine if MOG-Ab testing impacted on the time to diagnosis for patients suspected of NMOSD.</w:t>
      </w:r>
    </w:p>
    <w:p w14:paraId="5E600597" w14:textId="77777777" w:rsidR="00926FF4" w:rsidRDefault="003B6A50" w:rsidP="00ED65EE">
      <w:pPr>
        <w:pStyle w:val="Summaryboxheading"/>
        <w:pBdr>
          <w:top w:val="single" w:sz="4" w:space="1" w:color="auto"/>
          <w:left w:val="single" w:sz="4" w:space="4" w:color="auto"/>
          <w:bottom w:val="single" w:sz="4" w:space="1" w:color="auto"/>
          <w:right w:val="single" w:sz="4" w:space="4" w:color="auto"/>
        </w:pBdr>
        <w:rPr>
          <w:b w:val="0"/>
        </w:rPr>
      </w:pPr>
      <w:r>
        <w:rPr>
          <w:b w:val="0"/>
        </w:rPr>
        <w:t xml:space="preserve">In a </w:t>
      </w:r>
      <w:r w:rsidR="00F55F19">
        <w:rPr>
          <w:b w:val="0"/>
        </w:rPr>
        <w:t>QoL</w:t>
      </w:r>
      <w:r w:rsidR="00746291">
        <w:rPr>
          <w:b w:val="0"/>
        </w:rPr>
        <w:t xml:space="preserve"> questionnaire</w:t>
      </w:r>
      <w:r>
        <w:rPr>
          <w:b w:val="0"/>
        </w:rPr>
        <w:t xml:space="preserve">, NMOSD patients </w:t>
      </w:r>
      <w:r w:rsidR="00746291">
        <w:rPr>
          <w:b w:val="0"/>
        </w:rPr>
        <w:t xml:space="preserve">(over 65% of whom had been given a prior incorrect diagnosis) </w:t>
      </w:r>
      <w:r>
        <w:rPr>
          <w:b w:val="0"/>
        </w:rPr>
        <w:t xml:space="preserve">were concerned about the amount of time it took to get </w:t>
      </w:r>
      <w:r w:rsidR="00073FF2">
        <w:rPr>
          <w:b w:val="0"/>
        </w:rPr>
        <w:t xml:space="preserve">a </w:t>
      </w:r>
      <w:r>
        <w:rPr>
          <w:b w:val="0"/>
        </w:rPr>
        <w:t>correct diagnosis (0 to 40</w:t>
      </w:r>
      <w:r w:rsidR="00746291">
        <w:rPr>
          <w:b w:val="0"/>
        </w:rPr>
        <w:t xml:space="preserve"> years;</w:t>
      </w:r>
      <w:r w:rsidR="00746291" w:rsidRPr="00746291">
        <w:t xml:space="preserve"> </w:t>
      </w:r>
      <w:r w:rsidR="00746291" w:rsidRPr="00746291">
        <w:rPr>
          <w:b w:val="0"/>
        </w:rPr>
        <w:t xml:space="preserve">mean 3.3 </w:t>
      </w:r>
      <w:r w:rsidR="00746291" w:rsidRPr="00746291">
        <w:rPr>
          <w:rFonts w:cs="Calibri"/>
          <w:b w:val="0"/>
        </w:rPr>
        <w:t>±</w:t>
      </w:r>
      <w:r w:rsidR="00746291" w:rsidRPr="00746291">
        <w:rPr>
          <w:b w:val="0"/>
        </w:rPr>
        <w:t xml:space="preserve"> 6.3 years</w:t>
      </w:r>
      <w:r>
        <w:rPr>
          <w:b w:val="0"/>
        </w:rPr>
        <w:t xml:space="preserve">), and an effective treatment. </w:t>
      </w:r>
      <w:r w:rsidR="00746291">
        <w:rPr>
          <w:b w:val="0"/>
        </w:rPr>
        <w:t>Once a correct diagnosis had been given, t</w:t>
      </w:r>
      <w:r w:rsidR="00746291" w:rsidRPr="00746291">
        <w:rPr>
          <w:b w:val="0"/>
        </w:rPr>
        <w:t xml:space="preserve">he mean time it took to receive treatment </w:t>
      </w:r>
      <w:r w:rsidR="00746291">
        <w:rPr>
          <w:b w:val="0"/>
        </w:rPr>
        <w:t>was</w:t>
      </w:r>
      <w:r w:rsidR="00746291" w:rsidRPr="00746291">
        <w:rPr>
          <w:b w:val="0"/>
        </w:rPr>
        <w:t xml:space="preserve"> 6 months </w:t>
      </w:r>
      <w:r w:rsidR="00746291" w:rsidRPr="00746291">
        <w:rPr>
          <w:rFonts w:cs="Calibri"/>
          <w:b w:val="0"/>
        </w:rPr>
        <w:t>±</w:t>
      </w:r>
      <w:r w:rsidR="00746291" w:rsidRPr="00746291">
        <w:rPr>
          <w:b w:val="0"/>
        </w:rPr>
        <w:t xml:space="preserve"> 1.7 years (range 0 – 11 years).</w:t>
      </w:r>
      <w:r>
        <w:rPr>
          <w:b w:val="0"/>
        </w:rPr>
        <w:t xml:space="preserve"> </w:t>
      </w:r>
      <w:r w:rsidR="00926FF4">
        <w:rPr>
          <w:b w:val="0"/>
        </w:rPr>
        <w:t xml:space="preserve">A small cross-sectional study found that there was considerable disagreement between specialists when diagnosing patients with </w:t>
      </w:r>
      <w:r w:rsidR="00AC706B">
        <w:rPr>
          <w:b w:val="0"/>
        </w:rPr>
        <w:t>suspected NMOSD or MS</w:t>
      </w:r>
      <w:r w:rsidR="00926FF4">
        <w:rPr>
          <w:b w:val="0"/>
        </w:rPr>
        <w:t>, a</w:t>
      </w:r>
      <w:r w:rsidR="007A4AE5">
        <w:rPr>
          <w:b w:val="0"/>
        </w:rPr>
        <w:t>t</w:t>
      </w:r>
      <w:r w:rsidR="00926FF4">
        <w:rPr>
          <w:b w:val="0"/>
        </w:rPr>
        <w:t xml:space="preserve"> least partly due to the overlapping symptoms between the</w:t>
      </w:r>
      <w:r w:rsidR="00AC706B">
        <w:rPr>
          <w:b w:val="0"/>
        </w:rPr>
        <w:t xml:space="preserve"> conditions</w:t>
      </w:r>
      <w:r w:rsidR="00926FF4">
        <w:rPr>
          <w:b w:val="0"/>
        </w:rPr>
        <w:t>.</w:t>
      </w:r>
    </w:p>
    <w:p w14:paraId="24C34A1F" w14:textId="77777777" w:rsidR="00980D1E" w:rsidRDefault="009339A8" w:rsidP="0091323E">
      <w:pPr>
        <w:pStyle w:val="Heading4"/>
      </w:pPr>
      <w:r>
        <w:t xml:space="preserve">Time to NMOSD </w:t>
      </w:r>
      <w:r w:rsidR="0091323E">
        <w:t>diagnosis</w:t>
      </w:r>
      <w:r w:rsidR="00605C49">
        <w:t xml:space="preserve"> </w:t>
      </w:r>
    </w:p>
    <w:p w14:paraId="72FF600D" w14:textId="24AE4416" w:rsidR="002E24C3" w:rsidRDefault="00323E2C" w:rsidP="00055380">
      <w:r>
        <w:t xml:space="preserve">One of the largest studies included in this report (N=594) compared the time taken to </w:t>
      </w:r>
      <w:r w:rsidR="002E24C3">
        <w:t xml:space="preserve">NMOSD </w:t>
      </w:r>
      <w:r>
        <w:t xml:space="preserve">diagnosis </w:t>
      </w:r>
      <w:r w:rsidR="0073530E">
        <w:t xml:space="preserve">based on the IPND 2015 criteria </w:t>
      </w:r>
      <w:r>
        <w:t xml:space="preserve">to </w:t>
      </w:r>
      <w:r w:rsidR="002E24C3">
        <w:t xml:space="preserve">the </w:t>
      </w:r>
      <w:r>
        <w:t xml:space="preserve">time to diagnosis </w:t>
      </w:r>
      <w:r w:rsidR="0073530E">
        <w:t xml:space="preserve">based on the 2006 criteria </w:t>
      </w:r>
      <w:r w:rsidR="00156621">
        <w:fldChar w:fldCharType="begin"/>
      </w:r>
      <w:r w:rsidR="00D96694">
        <w:instrText xml:space="preserve"> ADDIN EN.CITE &lt;EndNote&gt;&lt;Cite&gt;&lt;Author&gt;Hyun&lt;/Author&gt;&lt;Year&gt;2016&lt;/Year&gt;&lt;RecNum&gt;90&lt;/RecNum&gt;&lt;DisplayText&gt;(Hyun et al. 2016)&lt;/DisplayText&gt;&lt;record&gt;&lt;rec-number&gt;90&lt;/rec-number&gt;&lt;foreign-keys&gt;&lt;key app="EN" db-id="r25zptaswpdzade29ws5pf9gx55ztppatt20" timestamp="1582849117"&gt;90&lt;/key&gt;&lt;/foreign-keys&gt;&lt;ref-type name="Journal Article"&gt;17&lt;/ref-type&gt;&lt;contributors&gt;&lt;authors&gt;&lt;author&gt;Hyun, J. W.&lt;/author&gt;&lt;author&gt;Jeong, I. H.&lt;/author&gt;&lt;author&gt;Joung, A.&lt;/author&gt;&lt;author&gt;Kim, S. H.&lt;/author&gt;&lt;author&gt;Kim, H. J.&lt;/author&gt;&lt;/authors&gt;&lt;/contributors&gt;&lt;auth-address&gt;From the Department of Neurology, Research Institute and Hospital of National Cancer Center, Goyang, Korea. From the Department of Neurology, Research Institute and Hospital of National Cancer Center, Goyang, Korea. hojinkim@ncc.re.kr.&lt;/auth-address&gt;&lt;titles&gt;&lt;title&gt;Evaluation of the 2015 diagnostic criteria for neuromyelitis optica spectrum disorder&lt;/title&gt;&lt;secondary-title&gt;Neurology&lt;/secondary-title&gt;&lt;/titles&gt;&lt;periodical&gt;&lt;full-title&gt;Neurology&lt;/full-title&gt;&lt;/periodical&gt;&lt;pages&gt;1772-9&lt;/pages&gt;&lt;volume&gt;86&lt;/volume&gt;&lt;number&gt;19&lt;/number&gt;&lt;keywords&gt;&lt;keyword&gt;Adult&lt;/keyword&gt;&lt;keyword&gt;Aquaporin 4/immunology&lt;/keyword&gt;&lt;keyword&gt;Diagnosis, Differential&lt;/keyword&gt;&lt;keyword&gt;Enzyme-Linked Immunosorbent Assay&lt;/keyword&gt;&lt;keyword&gt;Female&lt;/keyword&gt;&lt;keyword&gt;Follow-Up Studies&lt;/keyword&gt;&lt;keyword&gt;Humans&lt;/keyword&gt;&lt;keyword&gt;Immunoglobulin G/metabolism&lt;/keyword&gt;&lt;keyword&gt;Male&lt;/keyword&gt;&lt;keyword&gt;Neuromyelitis Optica/ diagnosis/physiopathology&lt;/keyword&gt;&lt;keyword&gt;Retrospective Studies&lt;/keyword&gt;&lt;/keywords&gt;&lt;dates&gt;&lt;year&gt;2016&lt;/year&gt;&lt;pub-dates&gt;&lt;date&gt;May 10&lt;/date&gt;&lt;/pub-dates&gt;&lt;/dates&gt;&lt;accession-num&gt;27164713&lt;/accession-num&gt;&lt;urls&gt;&lt;related-urls&gt;&lt;url&gt;https://n.neurology.org/content/86/19/1772.long&lt;/url&gt;&lt;/related-urls&gt;&lt;/urls&gt;&lt;remote-database-provider&gt;Nlm&lt;/remote-database-provider&gt;&lt;research-notes&gt;pop: adults, NMOSD&amp;#xD;inter: diagnosis by 2015 criteria,&amp;#xD;reported: AQP4 status, agreement between 2006 (with assumed unknown AQP4 status) and 2015 diagnoses&lt;/research-notes&gt;&lt;language&gt;eng&lt;/language&gt;&lt;/record&gt;&lt;/Cite&gt;&lt;/EndNote&gt;</w:instrText>
      </w:r>
      <w:r w:rsidR="00156621">
        <w:fldChar w:fldCharType="separate"/>
      </w:r>
      <w:r w:rsidR="00156621">
        <w:rPr>
          <w:noProof/>
        </w:rPr>
        <w:t>(Hyun et al. 2016)</w:t>
      </w:r>
      <w:r w:rsidR="00156621">
        <w:fldChar w:fldCharType="end"/>
      </w:r>
      <w:r>
        <w:t xml:space="preserve">. </w:t>
      </w:r>
      <w:r w:rsidR="00640B37">
        <w:t>The study was conducted in Korea and d</w:t>
      </w:r>
      <w:r w:rsidR="00574785">
        <w:t xml:space="preserve">iagnosis was based on the 2015 IPND criteria being met in a retrospective analysis of patient data. The </w:t>
      </w:r>
      <w:r w:rsidR="0073530E">
        <w:t xml:space="preserve">2015 </w:t>
      </w:r>
      <w:r w:rsidR="00574785">
        <w:t>diagnostic criteria were met by 252 o</w:t>
      </w:r>
      <w:r>
        <w:t xml:space="preserve">f the 594 patients </w:t>
      </w:r>
      <w:r w:rsidR="00574785">
        <w:t>with CNS inflammatory diseases (CNS ID) reviewed</w:t>
      </w:r>
      <w:r>
        <w:t xml:space="preserve">. </w:t>
      </w:r>
    </w:p>
    <w:p w14:paraId="4A14B5ED" w14:textId="6F173B32" w:rsidR="0091323E" w:rsidRDefault="00323E2C" w:rsidP="00055380">
      <w:r>
        <w:t xml:space="preserve">The time to diagnosis was almost five times longer in those </w:t>
      </w:r>
      <w:r w:rsidR="0073530E">
        <w:t>diagnosed by the 2006 criteria</w:t>
      </w:r>
      <w:r>
        <w:t xml:space="preserve"> compared to those </w:t>
      </w:r>
      <w:r w:rsidR="0073530E">
        <w:t>diagnosed by the 2015 criteria</w:t>
      </w:r>
      <w:r>
        <w:t xml:space="preserve"> (p&lt;0.001; log rank test). </w:t>
      </w:r>
      <w:r w:rsidR="00DA16DF">
        <w:t xml:space="preserve">This length of delay in diagnosis is likely to be clinically significant to patients, as it may delay appropriate treatment and allow disease progression that </w:t>
      </w:r>
      <w:r w:rsidR="006072CA">
        <w:t>prevents a return to baseline symptom status</w:t>
      </w:r>
      <w:r w:rsidR="00E503FF">
        <w:t xml:space="preserve">. </w:t>
      </w:r>
      <w:r w:rsidR="002C5B56">
        <w:t>This results should be considered with caution, however, as</w:t>
      </w:r>
      <w:r w:rsidR="00E503FF">
        <w:t xml:space="preserve"> the authors did not indicate the extent to which AQP4-Ab testing contributed to diagnosis for either the </w:t>
      </w:r>
      <w:r w:rsidR="002C5B56">
        <w:t xml:space="preserve">group diagnosed by the </w:t>
      </w:r>
      <w:r w:rsidR="00E503FF">
        <w:t>2006 or 2015</w:t>
      </w:r>
      <w:r w:rsidR="002C5B56">
        <w:t xml:space="preserve"> criteria</w:t>
      </w:r>
      <w:r w:rsidR="00D97DDA">
        <w:t xml:space="preserve"> (</w:t>
      </w:r>
      <w:r w:rsidR="00D97DDA">
        <w:fldChar w:fldCharType="begin"/>
      </w:r>
      <w:r w:rsidR="00D97DDA">
        <w:instrText xml:space="preserve"> REF _Ref30065725 \h </w:instrText>
      </w:r>
      <w:r w:rsidR="00D97DDA">
        <w:fldChar w:fldCharType="separate"/>
      </w:r>
      <w:r w:rsidR="002C4E7F">
        <w:t xml:space="preserve">Table </w:t>
      </w:r>
      <w:r w:rsidR="002C4E7F">
        <w:rPr>
          <w:noProof/>
        </w:rPr>
        <w:t>41</w:t>
      </w:r>
      <w:r w:rsidR="00D97DDA">
        <w:fldChar w:fldCharType="end"/>
      </w:r>
      <w:r w:rsidR="00D97DDA">
        <w:t>)</w:t>
      </w:r>
      <w:r w:rsidR="006072CA">
        <w:t>.</w:t>
      </w:r>
      <w:r w:rsidR="00DA16DF">
        <w:t xml:space="preserve"> </w:t>
      </w:r>
    </w:p>
    <w:p w14:paraId="179431D2" w14:textId="1640080E" w:rsidR="00980D1E" w:rsidRDefault="00980D1E" w:rsidP="00175F83">
      <w:pPr>
        <w:pStyle w:val="Caption"/>
        <w:keepLines/>
      </w:pPr>
      <w:bookmarkStart w:id="284" w:name="_Ref30065725"/>
      <w:bookmarkStart w:id="285" w:name="_Toc39580822"/>
      <w:r>
        <w:lastRenderedPageBreak/>
        <w:t xml:space="preserve">Table </w:t>
      </w:r>
      <w:fldSimple w:instr=" SEQ Table \* ARABIC ">
        <w:r w:rsidR="00FA7BCD">
          <w:rPr>
            <w:noProof/>
          </w:rPr>
          <w:t>41</w:t>
        </w:r>
      </w:fldSimple>
      <w:bookmarkEnd w:id="284"/>
      <w:r w:rsidR="00AB35B2">
        <w:tab/>
      </w:r>
      <w:r w:rsidR="00EC2492">
        <w:t xml:space="preserve">Time to </w:t>
      </w:r>
      <w:r w:rsidR="00043922">
        <w:t xml:space="preserve">NMOSD </w:t>
      </w:r>
      <w:r w:rsidR="00EC2492">
        <w:t>diagnosis with and without AQP4-Ab testing</w:t>
      </w:r>
      <w:r w:rsidR="00F352E3">
        <w:t xml:space="preserve"> </w:t>
      </w:r>
      <w:r w:rsidR="00156621">
        <w:fldChar w:fldCharType="begin"/>
      </w:r>
      <w:r w:rsidR="00D96694">
        <w:instrText xml:space="preserve"> ADDIN EN.CITE &lt;EndNote&gt;&lt;Cite&gt;&lt;Author&gt;Hyun&lt;/Author&gt;&lt;Year&gt;2016&lt;/Year&gt;&lt;RecNum&gt;90&lt;/RecNum&gt;&lt;DisplayText&gt;(Hyun et al. 2016)&lt;/DisplayText&gt;&lt;record&gt;&lt;rec-number&gt;90&lt;/rec-number&gt;&lt;foreign-keys&gt;&lt;key app="EN" db-id="r25zptaswpdzade29ws5pf9gx55ztppatt20" timestamp="1582849117"&gt;90&lt;/key&gt;&lt;/foreign-keys&gt;&lt;ref-type name="Journal Article"&gt;17&lt;/ref-type&gt;&lt;contributors&gt;&lt;authors&gt;&lt;author&gt;Hyun, J. W.&lt;/author&gt;&lt;author&gt;Jeong, I. H.&lt;/author&gt;&lt;author&gt;Joung, A.&lt;/author&gt;&lt;author&gt;Kim, S. H.&lt;/author&gt;&lt;author&gt;Kim, H. J.&lt;/author&gt;&lt;/authors&gt;&lt;/contributors&gt;&lt;auth-address&gt;From the Department of Neurology, Research Institute and Hospital of National Cancer Center, Goyang, Korea. From the Department of Neurology, Research Institute and Hospital of National Cancer Center, Goyang, Korea. hojinkim@ncc.re.kr.&lt;/auth-address&gt;&lt;titles&gt;&lt;title&gt;Evaluation of the 2015 diagnostic criteria for neuromyelitis optica spectrum disorder&lt;/title&gt;&lt;secondary-title&gt;Neurology&lt;/secondary-title&gt;&lt;/titles&gt;&lt;periodical&gt;&lt;full-title&gt;Neurology&lt;/full-title&gt;&lt;/periodical&gt;&lt;pages&gt;1772-9&lt;/pages&gt;&lt;volume&gt;86&lt;/volume&gt;&lt;number&gt;19&lt;/number&gt;&lt;keywords&gt;&lt;keyword&gt;Adult&lt;/keyword&gt;&lt;keyword&gt;Aquaporin 4/immunology&lt;/keyword&gt;&lt;keyword&gt;Diagnosis, Differential&lt;/keyword&gt;&lt;keyword&gt;Enzyme-Linked Immunosorbent Assay&lt;/keyword&gt;&lt;keyword&gt;Female&lt;/keyword&gt;&lt;keyword&gt;Follow-Up Studies&lt;/keyword&gt;&lt;keyword&gt;Humans&lt;/keyword&gt;&lt;keyword&gt;Immunoglobulin G/metabolism&lt;/keyword&gt;&lt;keyword&gt;Male&lt;/keyword&gt;&lt;keyword&gt;Neuromyelitis Optica/ diagnosis/physiopathology&lt;/keyword&gt;&lt;keyword&gt;Retrospective Studies&lt;/keyword&gt;&lt;/keywords&gt;&lt;dates&gt;&lt;year&gt;2016&lt;/year&gt;&lt;pub-dates&gt;&lt;date&gt;May 10&lt;/date&gt;&lt;/pub-dates&gt;&lt;/dates&gt;&lt;accession-num&gt;27164713&lt;/accession-num&gt;&lt;urls&gt;&lt;related-urls&gt;&lt;url&gt;https://n.neurology.org/content/86/19/1772.long&lt;/url&gt;&lt;/related-urls&gt;&lt;/urls&gt;&lt;remote-database-provider&gt;Nlm&lt;/remote-database-provider&gt;&lt;research-notes&gt;pop: adults, NMOSD&amp;#xD;inter: diagnosis by 2015 criteria,&amp;#xD;reported: AQP4 status, agreement between 2006 (with assumed unknown AQP4 status) and 2015 diagnoses&lt;/research-notes&gt;&lt;language&gt;eng&lt;/language&gt;&lt;/record&gt;&lt;/Cite&gt;&lt;/EndNote&gt;</w:instrText>
      </w:r>
      <w:r w:rsidR="00156621">
        <w:fldChar w:fldCharType="separate"/>
      </w:r>
      <w:r w:rsidR="00156621">
        <w:rPr>
          <w:noProof/>
        </w:rPr>
        <w:t>(Hyun et al. 2016)</w:t>
      </w:r>
      <w:bookmarkEnd w:id="285"/>
      <w:r w:rsidR="00156621">
        <w:fldChar w:fldCharType="end"/>
      </w:r>
    </w:p>
    <w:tbl>
      <w:tblPr>
        <w:tblStyle w:val="TableGrid1"/>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41 Time to NMOSD diagnosis with and without AQP4-Ab testing (Hyun et al. 2016)"/>
        <w:tblDescription w:val="A comparison of the time to diagnosis when using the 2015 dianostic criteria to when using the 2006 criteria"/>
      </w:tblPr>
      <w:tblGrid>
        <w:gridCol w:w="1228"/>
        <w:gridCol w:w="1559"/>
        <w:gridCol w:w="1788"/>
        <w:gridCol w:w="1831"/>
        <w:gridCol w:w="1524"/>
        <w:gridCol w:w="1080"/>
      </w:tblGrid>
      <w:tr w:rsidR="00C01F8A" w:rsidRPr="001C45F4" w14:paraId="4D837803" w14:textId="77777777" w:rsidTr="00F352E3">
        <w:trPr>
          <w:cnfStyle w:val="100000000000" w:firstRow="1" w:lastRow="0" w:firstColumn="0" w:lastColumn="0" w:oddVBand="0" w:evenVBand="0" w:oddHBand="0" w:evenHBand="0" w:firstRowFirstColumn="0" w:firstRowLastColumn="0" w:lastRowFirstColumn="0" w:lastRowLastColumn="0"/>
        </w:trPr>
        <w:tc>
          <w:tcPr>
            <w:tcW w:w="0" w:type="auto"/>
            <w:tcBorders>
              <w:top w:val="single" w:sz="6" w:space="0" w:color="auto"/>
              <w:left w:val="single" w:sz="6" w:space="0" w:color="auto"/>
              <w:bottom w:val="single" w:sz="6" w:space="0" w:color="auto"/>
              <w:right w:val="single" w:sz="6" w:space="0" w:color="auto"/>
            </w:tcBorders>
            <w:hideMark/>
          </w:tcPr>
          <w:p w14:paraId="2B480E45" w14:textId="77777777" w:rsidR="00F352E3" w:rsidRPr="001C45F4" w:rsidRDefault="00F352E3" w:rsidP="00175F83">
            <w:pPr>
              <w:keepNext/>
              <w:keepLines/>
              <w:jc w:val="left"/>
              <w:rPr>
                <w:rFonts w:ascii="Arial Narrow" w:hAnsi="Arial Narrow"/>
                <w:b/>
              </w:rPr>
            </w:pPr>
            <w:r w:rsidRPr="001C45F4">
              <w:rPr>
                <w:rFonts w:ascii="Arial Narrow" w:hAnsi="Arial Narrow"/>
                <w:b/>
              </w:rPr>
              <w:t>Outcome</w:t>
            </w:r>
          </w:p>
        </w:tc>
        <w:tc>
          <w:tcPr>
            <w:tcW w:w="0" w:type="auto"/>
            <w:tcBorders>
              <w:top w:val="single" w:sz="6" w:space="0" w:color="auto"/>
              <w:left w:val="single" w:sz="6" w:space="0" w:color="auto"/>
              <w:bottom w:val="single" w:sz="6" w:space="0" w:color="auto"/>
              <w:right w:val="single" w:sz="6" w:space="0" w:color="auto"/>
            </w:tcBorders>
            <w:hideMark/>
          </w:tcPr>
          <w:p w14:paraId="065843C3" w14:textId="77777777" w:rsidR="00F352E3" w:rsidRPr="001C45F4" w:rsidRDefault="00F352E3" w:rsidP="00175F83">
            <w:pPr>
              <w:keepNext/>
              <w:keepLines/>
              <w:jc w:val="left"/>
              <w:rPr>
                <w:rFonts w:ascii="Arial Narrow" w:hAnsi="Arial Narrow"/>
                <w:b/>
              </w:rPr>
            </w:pPr>
            <w:r w:rsidRPr="001C45F4">
              <w:rPr>
                <w:rFonts w:ascii="Arial Narrow" w:hAnsi="Arial Narrow"/>
                <w:b/>
              </w:rPr>
              <w:t>Population</w:t>
            </w:r>
          </w:p>
        </w:tc>
        <w:tc>
          <w:tcPr>
            <w:tcW w:w="0" w:type="auto"/>
            <w:tcBorders>
              <w:top w:val="single" w:sz="6" w:space="0" w:color="auto"/>
              <w:left w:val="single" w:sz="6" w:space="0" w:color="auto"/>
              <w:bottom w:val="single" w:sz="6" w:space="0" w:color="auto"/>
              <w:right w:val="single" w:sz="6" w:space="0" w:color="auto"/>
            </w:tcBorders>
            <w:hideMark/>
          </w:tcPr>
          <w:p w14:paraId="032C4964" w14:textId="77777777" w:rsidR="00F352E3" w:rsidRPr="001C45F4" w:rsidRDefault="00F352E3" w:rsidP="00175F83">
            <w:pPr>
              <w:keepNext/>
              <w:keepLines/>
              <w:jc w:val="left"/>
              <w:rPr>
                <w:rFonts w:ascii="Arial Narrow" w:hAnsi="Arial Narrow"/>
                <w:b/>
              </w:rPr>
            </w:pPr>
            <w:r w:rsidRPr="001C45F4">
              <w:rPr>
                <w:rFonts w:ascii="Arial Narrow" w:hAnsi="Arial Narrow"/>
                <w:b/>
              </w:rPr>
              <w:t>Follow-Up</w:t>
            </w:r>
          </w:p>
        </w:tc>
        <w:tc>
          <w:tcPr>
            <w:tcW w:w="0" w:type="auto"/>
            <w:tcBorders>
              <w:top w:val="single" w:sz="6" w:space="0" w:color="auto"/>
              <w:left w:val="single" w:sz="6" w:space="0" w:color="auto"/>
              <w:bottom w:val="single" w:sz="6" w:space="0" w:color="auto"/>
              <w:right w:val="single" w:sz="6" w:space="0" w:color="auto"/>
            </w:tcBorders>
            <w:hideMark/>
          </w:tcPr>
          <w:p w14:paraId="5508219F" w14:textId="77777777" w:rsidR="00F352E3" w:rsidRPr="001C45F4" w:rsidRDefault="00F352E3" w:rsidP="000D62E8">
            <w:pPr>
              <w:keepNext/>
              <w:keepLines/>
              <w:jc w:val="left"/>
              <w:rPr>
                <w:rFonts w:ascii="Arial Narrow" w:hAnsi="Arial Narrow"/>
                <w:b/>
              </w:rPr>
            </w:pPr>
            <w:r w:rsidRPr="001C45F4">
              <w:rPr>
                <w:rFonts w:ascii="Arial Narrow" w:hAnsi="Arial Narrow"/>
                <w:b/>
              </w:rPr>
              <w:t>Intervention</w:t>
            </w:r>
            <w:r>
              <w:rPr>
                <w:rFonts w:ascii="Arial Narrow" w:hAnsi="Arial Narrow"/>
                <w:b/>
              </w:rPr>
              <w:t xml:space="preserve">: </w:t>
            </w:r>
            <w:r>
              <w:rPr>
                <w:rFonts w:ascii="Arial Narrow" w:hAnsi="Arial Narrow"/>
                <w:b/>
              </w:rPr>
              <w:br/>
              <w:t xml:space="preserve">diagnosis </w:t>
            </w:r>
            <w:r w:rsidR="000D62E8">
              <w:rPr>
                <w:rFonts w:ascii="Arial Narrow" w:hAnsi="Arial Narrow"/>
                <w:b/>
              </w:rPr>
              <w:t>based on the 2015 criteria</w:t>
            </w:r>
          </w:p>
        </w:tc>
        <w:tc>
          <w:tcPr>
            <w:tcW w:w="1524" w:type="dxa"/>
            <w:tcBorders>
              <w:top w:val="single" w:sz="6" w:space="0" w:color="auto"/>
              <w:left w:val="single" w:sz="6" w:space="0" w:color="auto"/>
              <w:bottom w:val="single" w:sz="6" w:space="0" w:color="auto"/>
              <w:right w:val="single" w:sz="6" w:space="0" w:color="auto"/>
            </w:tcBorders>
            <w:hideMark/>
          </w:tcPr>
          <w:p w14:paraId="33FEB59E" w14:textId="77777777" w:rsidR="00F352E3" w:rsidRPr="001C45F4" w:rsidRDefault="00F352E3" w:rsidP="000D62E8">
            <w:pPr>
              <w:keepNext/>
              <w:keepLines/>
              <w:jc w:val="left"/>
              <w:rPr>
                <w:rFonts w:ascii="Arial Narrow" w:hAnsi="Arial Narrow"/>
                <w:b/>
              </w:rPr>
            </w:pPr>
            <w:r w:rsidRPr="001C45F4">
              <w:rPr>
                <w:rFonts w:ascii="Arial Narrow" w:hAnsi="Arial Narrow"/>
                <w:b/>
              </w:rPr>
              <w:t>Comparator</w:t>
            </w:r>
            <w:r>
              <w:rPr>
                <w:rFonts w:ascii="Arial Narrow" w:hAnsi="Arial Narrow"/>
                <w:b/>
              </w:rPr>
              <w:t>:</w:t>
            </w:r>
            <w:r>
              <w:rPr>
                <w:rFonts w:ascii="Arial Narrow" w:hAnsi="Arial Narrow"/>
                <w:b/>
              </w:rPr>
              <w:br/>
              <w:t xml:space="preserve">diagnosis </w:t>
            </w:r>
            <w:r w:rsidR="000D62E8">
              <w:rPr>
                <w:rFonts w:ascii="Arial Narrow" w:hAnsi="Arial Narrow"/>
                <w:b/>
              </w:rPr>
              <w:t>based on 2006 criteria</w:t>
            </w:r>
          </w:p>
        </w:tc>
        <w:tc>
          <w:tcPr>
            <w:tcW w:w="1080" w:type="dxa"/>
            <w:tcBorders>
              <w:top w:val="single" w:sz="6" w:space="0" w:color="auto"/>
              <w:left w:val="single" w:sz="6" w:space="0" w:color="auto"/>
              <w:bottom w:val="single" w:sz="6" w:space="0" w:color="auto"/>
              <w:right w:val="single" w:sz="6" w:space="0" w:color="auto"/>
            </w:tcBorders>
            <w:hideMark/>
          </w:tcPr>
          <w:p w14:paraId="4D8A4B9C" w14:textId="77777777" w:rsidR="00F352E3" w:rsidRPr="001C45F4" w:rsidRDefault="00F352E3" w:rsidP="00175F83">
            <w:pPr>
              <w:keepNext/>
              <w:keepLines/>
              <w:jc w:val="left"/>
              <w:rPr>
                <w:rFonts w:ascii="Arial Narrow" w:hAnsi="Arial Narrow"/>
                <w:b/>
              </w:rPr>
            </w:pPr>
            <w:r w:rsidRPr="001C45F4">
              <w:rPr>
                <w:rFonts w:ascii="Arial Narrow" w:hAnsi="Arial Narrow"/>
                <w:b/>
              </w:rPr>
              <w:t>Difference</w:t>
            </w:r>
          </w:p>
        </w:tc>
      </w:tr>
      <w:tr w:rsidR="00C01F8A" w:rsidRPr="004371CF" w14:paraId="277F0FB1" w14:textId="77777777" w:rsidTr="00F352E3">
        <w:tc>
          <w:tcPr>
            <w:tcW w:w="0" w:type="auto"/>
            <w:tcBorders>
              <w:top w:val="single" w:sz="6" w:space="0" w:color="auto"/>
              <w:left w:val="single" w:sz="6" w:space="0" w:color="auto"/>
              <w:bottom w:val="single" w:sz="6" w:space="0" w:color="auto"/>
              <w:right w:val="single" w:sz="6" w:space="0" w:color="auto"/>
            </w:tcBorders>
            <w:hideMark/>
          </w:tcPr>
          <w:p w14:paraId="479FEAD9" w14:textId="77777777" w:rsidR="00F352E3" w:rsidRPr="004371CF" w:rsidRDefault="00F352E3" w:rsidP="00175F83">
            <w:pPr>
              <w:keepNext/>
              <w:keepLines/>
              <w:jc w:val="left"/>
              <w:rPr>
                <w:rFonts w:ascii="Arial Narrow" w:hAnsi="Arial Narrow"/>
              </w:rPr>
            </w:pPr>
            <w:r w:rsidRPr="004371CF">
              <w:rPr>
                <w:rFonts w:ascii="Arial Narrow" w:hAnsi="Arial Narrow"/>
              </w:rPr>
              <w:t>Median time to diagnosis</w:t>
            </w:r>
          </w:p>
        </w:tc>
        <w:tc>
          <w:tcPr>
            <w:tcW w:w="0" w:type="auto"/>
            <w:tcBorders>
              <w:top w:val="single" w:sz="6" w:space="0" w:color="auto"/>
              <w:left w:val="single" w:sz="6" w:space="0" w:color="auto"/>
              <w:bottom w:val="single" w:sz="6" w:space="0" w:color="auto"/>
              <w:right w:val="single" w:sz="6" w:space="0" w:color="auto"/>
            </w:tcBorders>
            <w:hideMark/>
          </w:tcPr>
          <w:p w14:paraId="5D0165EA" w14:textId="77777777" w:rsidR="00F352E3" w:rsidRPr="004371CF" w:rsidRDefault="00F352E3" w:rsidP="00B75570">
            <w:pPr>
              <w:keepNext/>
              <w:keepLines/>
              <w:jc w:val="left"/>
              <w:rPr>
                <w:rFonts w:ascii="Arial Narrow" w:hAnsi="Arial Narrow"/>
              </w:rPr>
            </w:pPr>
            <w:r>
              <w:rPr>
                <w:rFonts w:ascii="Arial Narrow" w:hAnsi="Arial Narrow"/>
              </w:rPr>
              <w:t>n=</w:t>
            </w:r>
            <w:r w:rsidR="00B75570">
              <w:rPr>
                <w:rFonts w:ascii="Arial Narrow" w:hAnsi="Arial Narrow"/>
              </w:rPr>
              <w:t>252 diagnosed NMOSD cases</w:t>
            </w:r>
          </w:p>
        </w:tc>
        <w:tc>
          <w:tcPr>
            <w:tcW w:w="0" w:type="auto"/>
            <w:tcBorders>
              <w:top w:val="single" w:sz="6" w:space="0" w:color="auto"/>
              <w:left w:val="single" w:sz="6" w:space="0" w:color="auto"/>
              <w:bottom w:val="single" w:sz="6" w:space="0" w:color="auto"/>
              <w:right w:val="single" w:sz="6" w:space="0" w:color="auto"/>
            </w:tcBorders>
            <w:hideMark/>
          </w:tcPr>
          <w:p w14:paraId="19AFAF1B" w14:textId="77777777" w:rsidR="00F352E3" w:rsidRPr="004371CF" w:rsidRDefault="00F352E3" w:rsidP="00175F83">
            <w:pPr>
              <w:keepNext/>
              <w:keepLines/>
              <w:jc w:val="left"/>
              <w:rPr>
                <w:rFonts w:ascii="Arial Narrow" w:hAnsi="Arial Narrow"/>
              </w:rPr>
            </w:pPr>
            <w:r w:rsidRPr="004371CF">
              <w:rPr>
                <w:rFonts w:ascii="Arial Narrow" w:hAnsi="Arial Narrow"/>
              </w:rPr>
              <w:t>Mean (SD) disease duration 9.2 (12.3) years</w:t>
            </w:r>
          </w:p>
        </w:tc>
        <w:tc>
          <w:tcPr>
            <w:tcW w:w="0" w:type="auto"/>
            <w:tcBorders>
              <w:top w:val="single" w:sz="6" w:space="0" w:color="auto"/>
              <w:left w:val="single" w:sz="6" w:space="0" w:color="auto"/>
              <w:bottom w:val="single" w:sz="6" w:space="0" w:color="auto"/>
              <w:right w:val="single" w:sz="6" w:space="0" w:color="auto"/>
            </w:tcBorders>
            <w:hideMark/>
          </w:tcPr>
          <w:p w14:paraId="03DD6445" w14:textId="77777777" w:rsidR="00F352E3" w:rsidRPr="004371CF" w:rsidRDefault="00F352E3" w:rsidP="00175F83">
            <w:pPr>
              <w:keepNext/>
              <w:keepLines/>
              <w:jc w:val="left"/>
              <w:rPr>
                <w:rFonts w:ascii="Arial Narrow" w:hAnsi="Arial Narrow"/>
              </w:rPr>
            </w:pPr>
            <w:r w:rsidRPr="004371CF">
              <w:rPr>
                <w:rFonts w:ascii="Arial Narrow" w:hAnsi="Arial Narrow"/>
              </w:rPr>
              <w:t xml:space="preserve">11 months </w:t>
            </w:r>
            <w:r>
              <w:rPr>
                <w:rFonts w:ascii="Arial Narrow" w:hAnsi="Arial Narrow"/>
              </w:rPr>
              <w:br/>
            </w:r>
            <w:r w:rsidRPr="004371CF">
              <w:rPr>
                <w:rFonts w:ascii="Arial Narrow" w:hAnsi="Arial Narrow"/>
              </w:rPr>
              <w:t>(95% CI 7, 15)</w:t>
            </w:r>
          </w:p>
        </w:tc>
        <w:tc>
          <w:tcPr>
            <w:tcW w:w="1524" w:type="dxa"/>
            <w:tcBorders>
              <w:top w:val="single" w:sz="6" w:space="0" w:color="auto"/>
              <w:left w:val="single" w:sz="6" w:space="0" w:color="auto"/>
              <w:bottom w:val="single" w:sz="6" w:space="0" w:color="auto"/>
              <w:right w:val="single" w:sz="6" w:space="0" w:color="auto"/>
            </w:tcBorders>
            <w:hideMark/>
          </w:tcPr>
          <w:p w14:paraId="5F5C6D27" w14:textId="77777777" w:rsidR="00F352E3" w:rsidRPr="004371CF" w:rsidRDefault="00F352E3" w:rsidP="00175F83">
            <w:pPr>
              <w:keepNext/>
              <w:keepLines/>
              <w:jc w:val="left"/>
              <w:rPr>
                <w:rFonts w:ascii="Arial Narrow" w:hAnsi="Arial Narrow"/>
              </w:rPr>
            </w:pPr>
            <w:r w:rsidRPr="004371CF">
              <w:rPr>
                <w:rFonts w:ascii="Arial Narrow" w:hAnsi="Arial Narrow"/>
              </w:rPr>
              <w:t xml:space="preserve">53 months </w:t>
            </w:r>
            <w:r>
              <w:rPr>
                <w:rFonts w:ascii="Arial Narrow" w:hAnsi="Arial Narrow"/>
              </w:rPr>
              <w:br/>
            </w:r>
            <w:r w:rsidRPr="004371CF">
              <w:rPr>
                <w:rFonts w:ascii="Arial Narrow" w:hAnsi="Arial Narrow"/>
              </w:rPr>
              <w:t>(95%CI 28, 78)</w:t>
            </w:r>
          </w:p>
        </w:tc>
        <w:tc>
          <w:tcPr>
            <w:tcW w:w="1080" w:type="dxa"/>
            <w:tcBorders>
              <w:top w:val="single" w:sz="6" w:space="0" w:color="auto"/>
              <w:left w:val="single" w:sz="6" w:space="0" w:color="auto"/>
              <w:bottom w:val="single" w:sz="6" w:space="0" w:color="auto"/>
              <w:right w:val="single" w:sz="6" w:space="0" w:color="auto"/>
            </w:tcBorders>
            <w:hideMark/>
          </w:tcPr>
          <w:p w14:paraId="77D452F2" w14:textId="77777777" w:rsidR="00F352E3" w:rsidRPr="004371CF" w:rsidRDefault="00F352E3" w:rsidP="00175F83">
            <w:pPr>
              <w:keepNext/>
              <w:keepLines/>
              <w:jc w:val="left"/>
              <w:rPr>
                <w:rFonts w:ascii="Arial Narrow" w:hAnsi="Arial Narrow"/>
              </w:rPr>
            </w:pPr>
            <w:r w:rsidRPr="004371CF">
              <w:rPr>
                <w:rFonts w:ascii="Arial Narrow" w:hAnsi="Arial Narrow"/>
              </w:rPr>
              <w:t xml:space="preserve">p&lt;0.001 </w:t>
            </w:r>
            <w:r>
              <w:rPr>
                <w:rFonts w:ascii="Arial Narrow" w:hAnsi="Arial Narrow"/>
              </w:rPr>
              <w:br/>
            </w:r>
            <w:r w:rsidRPr="004371CF">
              <w:rPr>
                <w:rFonts w:ascii="Arial Narrow" w:hAnsi="Arial Narrow"/>
              </w:rPr>
              <w:t>(log rank test)</w:t>
            </w:r>
          </w:p>
        </w:tc>
      </w:tr>
    </w:tbl>
    <w:p w14:paraId="5089C3DB" w14:textId="6BDFC502" w:rsidR="00980D1E" w:rsidRDefault="00253FB0" w:rsidP="00043922">
      <w:pPr>
        <w:pStyle w:val="Tablenotes0"/>
      </w:pPr>
      <w:r w:rsidRPr="008E7FE0">
        <w:t xml:space="preserve">AQP4-Ab = aquaporin 4 antibodies; </w:t>
      </w:r>
      <w:r w:rsidR="00043922" w:rsidRPr="008E7FE0">
        <w:t>CNS ID = central nervous system inflammatory disease</w:t>
      </w:r>
      <w:r w:rsidRPr="008E7FE0">
        <w:t xml:space="preserve">; </w:t>
      </w:r>
      <w:r w:rsidR="00250DD3">
        <w:t xml:space="preserve">NMOSD = neuromyelitis optica spectrum disorders; </w:t>
      </w:r>
      <w:r w:rsidRPr="008E7FE0">
        <w:t>SD = standard deviation</w:t>
      </w:r>
    </w:p>
    <w:p w14:paraId="0295D6AA" w14:textId="77777777" w:rsidR="002C4E7F" w:rsidRDefault="002C4E7F" w:rsidP="00043922">
      <w:pPr>
        <w:pStyle w:val="Tablenotes0"/>
      </w:pPr>
    </w:p>
    <w:p w14:paraId="2EAC8672" w14:textId="6198BFE5" w:rsidR="00574785" w:rsidRDefault="00253FB0" w:rsidP="00055380">
      <w:r>
        <w:t xml:space="preserve">Two </w:t>
      </w:r>
      <w:r w:rsidR="00B35F2B">
        <w:t xml:space="preserve">retrospective </w:t>
      </w:r>
      <w:r>
        <w:t>studies compared the time it took to meet the 2006 diagnostic criteria between AQP4-Ab positive and negative NMO</w:t>
      </w:r>
      <w:r w:rsidR="009339A8">
        <w:t>SD</w:t>
      </w:r>
      <w:r>
        <w:t xml:space="preserve"> patients</w:t>
      </w:r>
      <w:r w:rsidR="00FD17E5">
        <w:t xml:space="preserve"> </w:t>
      </w:r>
      <w:r w:rsidR="00156621">
        <w:fldChar w:fldCharType="begin">
          <w:fldData xml:space="preserve">PEVuZE5vdGU+PENpdGU+PEF1dGhvcj5Ba21hbi1EZW1pcjwvQXV0aG9yPjxZZWFyPjIwMTE8L1ll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</w:fldData>
        </w:fldChar>
      </w:r>
      <w:r w:rsidR="00D96694">
        <w:instrText xml:space="preserve"> ADDIN EN.CITE </w:instrText>
      </w:r>
      <w:r w:rsidR="00D96694">
        <w:fldChar w:fldCharType="begin">
          <w:fldData xml:space="preserve">PEVuZE5vdGU+PENpdGU+PEF1dGhvcj5Ba21hbi1EZW1pcjwvQXV0aG9yPjxZZWFyPjIwMTE8L1ll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</w:fldData>
        </w:fldChar>
      </w:r>
      <w:r w:rsidR="00D96694">
        <w:instrText xml:space="preserve"> ADDIN EN.CITE.DATA </w:instrText>
      </w:r>
      <w:r w:rsidR="00D96694">
        <w:fldChar w:fldCharType="end"/>
      </w:r>
      <w:r w:rsidR="00156621">
        <w:fldChar w:fldCharType="separate"/>
      </w:r>
      <w:r w:rsidR="00156621">
        <w:rPr>
          <w:noProof/>
        </w:rPr>
        <w:t>(Akman-Demir et al. 2011; Li et al. 2015)</w:t>
      </w:r>
      <w:r w:rsidR="00156621">
        <w:fldChar w:fldCharType="end"/>
      </w:r>
      <w:r>
        <w:t xml:space="preserve">. </w:t>
      </w:r>
      <w:r w:rsidR="009339A8">
        <w:t xml:space="preserve">This comparison </w:t>
      </w:r>
      <w:r w:rsidR="00D97DDA">
        <w:t>has the potential to</w:t>
      </w:r>
      <w:r w:rsidR="009339A8">
        <w:t xml:space="preserve"> show a similar result to the comparison between diagnosis with testing and without testing</w:t>
      </w:r>
      <w:r w:rsidR="00D97DDA">
        <w:t xml:space="preserve"> (</w:t>
      </w:r>
      <w:r w:rsidR="00D97DDA">
        <w:fldChar w:fldCharType="begin"/>
      </w:r>
      <w:r w:rsidR="00D97DDA">
        <w:instrText xml:space="preserve"> REF _Ref30065725 \h </w:instrText>
      </w:r>
      <w:r w:rsidR="00D97DDA">
        <w:fldChar w:fldCharType="separate"/>
      </w:r>
      <w:r w:rsidR="009D7259">
        <w:t xml:space="preserve">Table </w:t>
      </w:r>
      <w:r w:rsidR="009D7259">
        <w:rPr>
          <w:noProof/>
        </w:rPr>
        <w:t>41</w:t>
      </w:r>
      <w:r w:rsidR="00D97DDA">
        <w:fldChar w:fldCharType="end"/>
      </w:r>
      <w:r w:rsidR="00D97DDA">
        <w:t>)</w:t>
      </w:r>
      <w:r w:rsidR="009339A8">
        <w:t xml:space="preserve">, as patients testing negative for AQP4-Ab are likely to wait longer for a diagnosis than those testing positive. </w:t>
      </w:r>
      <w:r>
        <w:t>One study review</w:t>
      </w:r>
      <w:r w:rsidR="00B35F2B">
        <w:t>ed</w:t>
      </w:r>
      <w:r>
        <w:t xml:space="preserve"> ON patients, approximately 25% of whom were diagnosed with NMO at the time of the study</w:t>
      </w:r>
      <w:r w:rsidR="00FD17E5">
        <w:t xml:space="preserve"> </w:t>
      </w:r>
      <w:r w:rsidR="00156621">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instrText xml:space="preserve"> ADDIN EN.CITE </w:instrText>
      </w:r>
      <w:r w:rsidR="00D96694">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instrText xml:space="preserve"> ADDIN EN.CITE.DATA </w:instrText>
      </w:r>
      <w:r w:rsidR="00D96694">
        <w:fldChar w:fldCharType="end"/>
      </w:r>
      <w:r w:rsidR="00156621">
        <w:fldChar w:fldCharType="separate"/>
      </w:r>
      <w:r w:rsidR="00156621">
        <w:rPr>
          <w:noProof/>
        </w:rPr>
        <w:t>(Li et al. 2015)</w:t>
      </w:r>
      <w:r w:rsidR="00156621">
        <w:fldChar w:fldCharType="end"/>
      </w:r>
      <w:r>
        <w:t>. The second study (identified through pearling) reviewed clinic data on 35 patients diagnosed with NMO</w:t>
      </w:r>
      <w:r w:rsidR="00FD17E5">
        <w:t xml:space="preserve"> </w:t>
      </w:r>
      <w:r w:rsidR="00156621">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instrText xml:space="preserve"> ADDIN EN.CITE </w:instrText>
      </w:r>
      <w:r w:rsidR="00D96694">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instrText xml:space="preserve"> ADDIN EN.CITE.DATA </w:instrText>
      </w:r>
      <w:r w:rsidR="00D96694">
        <w:fldChar w:fldCharType="end"/>
      </w:r>
      <w:r w:rsidR="00156621">
        <w:fldChar w:fldCharType="separate"/>
      </w:r>
      <w:r w:rsidR="00156621">
        <w:rPr>
          <w:noProof/>
        </w:rPr>
        <w:t>(Akman-Demir et al. 2011)</w:t>
      </w:r>
      <w:r w:rsidR="00156621">
        <w:fldChar w:fldCharType="end"/>
      </w:r>
      <w:r>
        <w:t xml:space="preserve">. The trend was for a longer time to diagnosis for AQP4-Ab </w:t>
      </w:r>
      <w:r w:rsidR="00A7086B">
        <w:t>negati</w:t>
      </w:r>
      <w:r>
        <w:t xml:space="preserve">ve than AQP4-Ab </w:t>
      </w:r>
      <w:r w:rsidR="00A7086B">
        <w:t>positi</w:t>
      </w:r>
      <w:r>
        <w:t xml:space="preserve">ve NMO </w:t>
      </w:r>
      <w:r w:rsidR="00CE7F93">
        <w:t>patients;</w:t>
      </w:r>
      <w:r>
        <w:t xml:space="preserve"> however the difference in both studies was not significant. </w:t>
      </w:r>
    </w:p>
    <w:p w14:paraId="2BAE91F1" w14:textId="74EB677B" w:rsidR="00253FB0" w:rsidRDefault="00253FB0" w:rsidP="00055380">
      <w:r>
        <w:t xml:space="preserve">The studies did not state whether AQP4-Ab </w:t>
      </w:r>
      <w:r w:rsidR="00FD17E5">
        <w:t>status</w:t>
      </w:r>
      <w:r>
        <w:t xml:space="preserve"> </w:t>
      </w:r>
      <w:r w:rsidR="00FD17E5">
        <w:t xml:space="preserve">contributed to the diagnosis, but </w:t>
      </w:r>
      <w:r w:rsidR="00827EB4">
        <w:t xml:space="preserve">regardless, </w:t>
      </w:r>
      <w:r w:rsidR="00FD17E5">
        <w:t xml:space="preserve">testing was performed as part of the study analysis. </w:t>
      </w:r>
      <w:r w:rsidR="00574785">
        <w:t xml:space="preserve">When considered alongside the results in </w:t>
      </w:r>
      <w:r w:rsidR="00217564">
        <w:fldChar w:fldCharType="begin"/>
      </w:r>
      <w:r w:rsidR="00217564">
        <w:instrText xml:space="preserve"> REF _Ref30065725 \h </w:instrText>
      </w:r>
      <w:r w:rsidR="00217564">
        <w:fldChar w:fldCharType="separate"/>
      </w:r>
      <w:r w:rsidR="009D7259">
        <w:t xml:space="preserve">Table </w:t>
      </w:r>
      <w:r w:rsidR="009D7259">
        <w:rPr>
          <w:noProof/>
        </w:rPr>
        <w:t>41</w:t>
      </w:r>
      <w:r w:rsidR="00217564">
        <w:fldChar w:fldCharType="end"/>
      </w:r>
      <w:r w:rsidR="00574785">
        <w:t xml:space="preserve"> and </w:t>
      </w:r>
      <w:r w:rsidR="00217564">
        <w:fldChar w:fldCharType="begin"/>
      </w:r>
      <w:r w:rsidR="00217564">
        <w:instrText xml:space="preserve"> REF _Ref30062889 \h </w:instrText>
      </w:r>
      <w:r w:rsidR="00217564">
        <w:fldChar w:fldCharType="separate"/>
      </w:r>
      <w:r w:rsidR="009D7259">
        <w:t xml:space="preserve">Table </w:t>
      </w:r>
      <w:r w:rsidR="009D7259">
        <w:rPr>
          <w:noProof/>
        </w:rPr>
        <w:t>43</w:t>
      </w:r>
      <w:r w:rsidR="00217564">
        <w:fldChar w:fldCharType="end"/>
      </w:r>
      <w:r w:rsidR="00574785">
        <w:t xml:space="preserve">, the results from </w:t>
      </w:r>
      <w:r w:rsidR="00217564">
        <w:fldChar w:fldCharType="begin"/>
      </w:r>
      <w:r w:rsidR="00217564">
        <w:instrText xml:space="preserve"> REF _Ref30065884 \h </w:instrText>
      </w:r>
      <w:r w:rsidR="00217564">
        <w:fldChar w:fldCharType="separate"/>
      </w:r>
      <w:r w:rsidR="009D7259">
        <w:t xml:space="preserve">Table </w:t>
      </w:r>
      <w:r w:rsidR="009D7259">
        <w:rPr>
          <w:noProof/>
        </w:rPr>
        <w:t>42</w:t>
      </w:r>
      <w:r w:rsidR="00217564">
        <w:fldChar w:fldCharType="end"/>
      </w:r>
      <w:r w:rsidR="00217564">
        <w:t xml:space="preserve"> </w:t>
      </w:r>
      <w:r w:rsidR="006072CA">
        <w:t xml:space="preserve">(where differences between groups were statistically significant) </w:t>
      </w:r>
      <w:r w:rsidR="00574785">
        <w:t>likely reflect the poorer performance of the 2006 diagnostic criteria when compared to the 2015 IPND criteria, and the heightened awareness of the implication of AQP4-Ab status in the more recent criteria.</w:t>
      </w:r>
    </w:p>
    <w:p w14:paraId="63218BD0" w14:textId="7E0526DF" w:rsidR="00AA4027" w:rsidRDefault="00AA4027" w:rsidP="00AA4027">
      <w:pPr>
        <w:pStyle w:val="Caption"/>
      </w:pPr>
      <w:bookmarkStart w:id="286" w:name="_Ref30065884"/>
      <w:bookmarkStart w:id="287" w:name="_Toc39580823"/>
      <w:r>
        <w:t xml:space="preserve">Table </w:t>
      </w:r>
      <w:fldSimple w:instr=" SEQ Table \* ARABIC ">
        <w:r w:rsidR="00FA7BCD">
          <w:rPr>
            <w:noProof/>
          </w:rPr>
          <w:t>42</w:t>
        </w:r>
      </w:fldSimple>
      <w:bookmarkEnd w:id="286"/>
      <w:r>
        <w:tab/>
      </w:r>
      <w:r w:rsidR="00296076">
        <w:t>Mean t</w:t>
      </w:r>
      <w:r>
        <w:t>ime to diagnosis</w:t>
      </w:r>
      <w:r w:rsidR="00D02176">
        <w:t xml:space="preserve"> (2006 criteria)</w:t>
      </w:r>
      <w:r>
        <w:t xml:space="preserve"> in AQP4-Ab positive compared AQP4-Ab negative patients</w:t>
      </w:r>
      <w:bookmarkEnd w:id="287"/>
    </w:p>
    <w:tbl>
      <w:tblPr>
        <w:tblStyle w:val="TableGrid1"/>
        <w:tblW w:w="892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
      <w:tblGrid>
        <w:gridCol w:w="843"/>
        <w:gridCol w:w="1417"/>
        <w:gridCol w:w="1701"/>
        <w:gridCol w:w="1560"/>
        <w:gridCol w:w="1701"/>
        <w:gridCol w:w="1701"/>
      </w:tblGrid>
      <w:tr w:rsidR="00D02176" w:rsidRPr="001C45F4" w14:paraId="111C81AC" w14:textId="77777777" w:rsidTr="000C755B">
        <w:trPr>
          <w:cnfStyle w:val="100000000000" w:firstRow="1" w:lastRow="0" w:firstColumn="0" w:lastColumn="0" w:oddVBand="0" w:evenVBand="0" w:oddHBand="0" w:evenHBand="0" w:firstRowFirstColumn="0" w:firstRowLastColumn="0" w:lastRowFirstColumn="0" w:lastRowLastColumn="0"/>
        </w:trPr>
        <w:tc>
          <w:tcPr>
            <w:tcW w:w="843" w:type="dxa"/>
            <w:tcBorders>
              <w:top w:val="single" w:sz="6" w:space="0" w:color="auto"/>
              <w:left w:val="single" w:sz="6" w:space="0" w:color="auto"/>
              <w:bottom w:val="single" w:sz="6" w:space="0" w:color="auto"/>
              <w:right w:val="single" w:sz="6" w:space="0" w:color="auto"/>
            </w:tcBorders>
            <w:hideMark/>
          </w:tcPr>
          <w:p w14:paraId="18FD8C6C" w14:textId="77777777" w:rsidR="00D02176" w:rsidRPr="001C45F4" w:rsidRDefault="00D02176" w:rsidP="0009153A">
            <w:pPr>
              <w:jc w:val="left"/>
              <w:rPr>
                <w:rFonts w:ascii="Arial Narrow" w:hAnsi="Arial Narrow"/>
                <w:b/>
              </w:rPr>
            </w:pPr>
            <w:r w:rsidRPr="001C45F4">
              <w:rPr>
                <w:rFonts w:ascii="Arial Narrow" w:hAnsi="Arial Narrow"/>
                <w:b/>
              </w:rPr>
              <w:t>Study</w:t>
            </w:r>
          </w:p>
        </w:tc>
        <w:tc>
          <w:tcPr>
            <w:tcW w:w="1417" w:type="dxa"/>
            <w:tcBorders>
              <w:top w:val="single" w:sz="6" w:space="0" w:color="auto"/>
              <w:left w:val="single" w:sz="6" w:space="0" w:color="auto"/>
              <w:bottom w:val="single" w:sz="6" w:space="0" w:color="auto"/>
              <w:right w:val="single" w:sz="6" w:space="0" w:color="auto"/>
            </w:tcBorders>
            <w:hideMark/>
          </w:tcPr>
          <w:p w14:paraId="5200C740" w14:textId="77777777" w:rsidR="00D02176" w:rsidRPr="001C45F4" w:rsidRDefault="00D02176" w:rsidP="0009153A">
            <w:pPr>
              <w:jc w:val="left"/>
              <w:rPr>
                <w:rFonts w:ascii="Arial Narrow" w:hAnsi="Arial Narrow"/>
                <w:b/>
              </w:rPr>
            </w:pPr>
            <w:r w:rsidRPr="001C45F4">
              <w:rPr>
                <w:rFonts w:ascii="Arial Narrow" w:hAnsi="Arial Narrow"/>
                <w:b/>
              </w:rPr>
              <w:t>Population</w:t>
            </w:r>
          </w:p>
        </w:tc>
        <w:tc>
          <w:tcPr>
            <w:tcW w:w="1701" w:type="dxa"/>
            <w:tcBorders>
              <w:top w:val="single" w:sz="6" w:space="0" w:color="auto"/>
              <w:left w:val="single" w:sz="6" w:space="0" w:color="auto"/>
              <w:bottom w:val="single" w:sz="6" w:space="0" w:color="auto"/>
              <w:right w:val="single" w:sz="6" w:space="0" w:color="auto"/>
            </w:tcBorders>
            <w:hideMark/>
          </w:tcPr>
          <w:p w14:paraId="02E8CF0D" w14:textId="77777777" w:rsidR="00D02176" w:rsidRDefault="00EF6754" w:rsidP="0009153A">
            <w:pPr>
              <w:jc w:val="left"/>
              <w:rPr>
                <w:rFonts w:ascii="Arial Narrow" w:hAnsi="Arial Narrow"/>
                <w:b/>
              </w:rPr>
            </w:pPr>
            <w:r>
              <w:rPr>
                <w:rFonts w:ascii="Arial Narrow" w:hAnsi="Arial Narrow"/>
                <w:b/>
              </w:rPr>
              <w:t>F</w:t>
            </w:r>
            <w:r w:rsidR="00D02176" w:rsidRPr="001C45F4">
              <w:rPr>
                <w:rFonts w:ascii="Arial Narrow" w:hAnsi="Arial Narrow"/>
                <w:b/>
              </w:rPr>
              <w:t>ollow-Up</w:t>
            </w:r>
            <w:r>
              <w:rPr>
                <w:rFonts w:ascii="Arial Narrow" w:hAnsi="Arial Narrow"/>
                <w:b/>
              </w:rPr>
              <w:t xml:space="preserve"> (disease duration)</w:t>
            </w:r>
          </w:p>
          <w:p w14:paraId="385BCF4F" w14:textId="77777777" w:rsidR="00D02176" w:rsidRPr="001C45F4" w:rsidRDefault="00D02176" w:rsidP="0009153A">
            <w:pPr>
              <w:jc w:val="left"/>
              <w:rPr>
                <w:rFonts w:ascii="Arial Narrow" w:hAnsi="Arial Narrow"/>
                <w:b/>
              </w:rPr>
            </w:pPr>
            <w:r>
              <w:rPr>
                <w:rFonts w:ascii="Arial Narrow" w:hAnsi="Arial Narrow"/>
                <w:b/>
              </w:rPr>
              <w:t>Mean ± SD (mo)</w:t>
            </w:r>
          </w:p>
        </w:tc>
        <w:tc>
          <w:tcPr>
            <w:tcW w:w="1560" w:type="dxa"/>
            <w:tcBorders>
              <w:top w:val="single" w:sz="6" w:space="0" w:color="auto"/>
              <w:left w:val="single" w:sz="6" w:space="0" w:color="auto"/>
              <w:bottom w:val="single" w:sz="6" w:space="0" w:color="auto"/>
              <w:right w:val="single" w:sz="6" w:space="0" w:color="auto"/>
            </w:tcBorders>
            <w:hideMark/>
          </w:tcPr>
          <w:p w14:paraId="352CDC46" w14:textId="77777777" w:rsidR="00D02176" w:rsidRDefault="00D02176" w:rsidP="00AA4027">
            <w:pPr>
              <w:jc w:val="left"/>
              <w:rPr>
                <w:rFonts w:ascii="Arial Narrow" w:hAnsi="Arial Narrow"/>
                <w:b/>
              </w:rPr>
            </w:pPr>
            <w:r w:rsidRPr="001C45F4">
              <w:rPr>
                <w:rFonts w:ascii="Arial Narrow" w:hAnsi="Arial Narrow"/>
                <w:b/>
              </w:rPr>
              <w:t>Intervention</w:t>
            </w:r>
            <w:r>
              <w:rPr>
                <w:rFonts w:ascii="Arial Narrow" w:hAnsi="Arial Narrow"/>
                <w:b/>
              </w:rPr>
              <w:t xml:space="preserve">: </w:t>
            </w:r>
            <w:r>
              <w:rPr>
                <w:rFonts w:ascii="Arial Narrow" w:hAnsi="Arial Narrow"/>
                <w:b/>
              </w:rPr>
              <w:br/>
              <w:t>AQP4-Ab positive</w:t>
            </w:r>
          </w:p>
          <w:p w14:paraId="150B3A5B" w14:textId="77777777" w:rsidR="00D02176" w:rsidRPr="001C45F4" w:rsidRDefault="00D02176" w:rsidP="00AA4027">
            <w:pPr>
              <w:jc w:val="left"/>
              <w:rPr>
                <w:rFonts w:ascii="Arial Narrow" w:hAnsi="Arial Narrow"/>
                <w:b/>
              </w:rPr>
            </w:pPr>
            <w:r>
              <w:rPr>
                <w:rFonts w:ascii="Arial Narrow" w:hAnsi="Arial Narrow"/>
                <w:b/>
              </w:rPr>
              <w:t>Mean ± SD (mo)</w:t>
            </w:r>
          </w:p>
        </w:tc>
        <w:tc>
          <w:tcPr>
            <w:tcW w:w="1701" w:type="dxa"/>
            <w:tcBorders>
              <w:top w:val="single" w:sz="6" w:space="0" w:color="auto"/>
              <w:left w:val="single" w:sz="6" w:space="0" w:color="auto"/>
              <w:bottom w:val="single" w:sz="6" w:space="0" w:color="auto"/>
              <w:right w:val="single" w:sz="6" w:space="0" w:color="auto"/>
            </w:tcBorders>
            <w:hideMark/>
          </w:tcPr>
          <w:p w14:paraId="6ACA6F20" w14:textId="77777777" w:rsidR="00D02176" w:rsidRDefault="00D02176" w:rsidP="00AA4027">
            <w:pPr>
              <w:jc w:val="left"/>
              <w:rPr>
                <w:rFonts w:ascii="Arial Narrow" w:hAnsi="Arial Narrow"/>
                <w:b/>
              </w:rPr>
            </w:pPr>
            <w:r w:rsidRPr="001C45F4">
              <w:rPr>
                <w:rFonts w:ascii="Arial Narrow" w:hAnsi="Arial Narrow"/>
                <w:b/>
              </w:rPr>
              <w:t>Comparator</w:t>
            </w:r>
            <w:r>
              <w:rPr>
                <w:rFonts w:ascii="Arial Narrow" w:hAnsi="Arial Narrow"/>
                <w:b/>
              </w:rPr>
              <w:t>:</w:t>
            </w:r>
            <w:r>
              <w:rPr>
                <w:rFonts w:ascii="Arial Narrow" w:hAnsi="Arial Narrow"/>
                <w:b/>
              </w:rPr>
              <w:br/>
              <w:t>AQP4-Ab negative</w:t>
            </w:r>
          </w:p>
          <w:p w14:paraId="7316160F" w14:textId="77777777" w:rsidR="00D02176" w:rsidRPr="001C45F4" w:rsidRDefault="00D02176" w:rsidP="00AA4027">
            <w:pPr>
              <w:jc w:val="left"/>
              <w:rPr>
                <w:rFonts w:ascii="Arial Narrow" w:hAnsi="Arial Narrow"/>
                <w:b/>
              </w:rPr>
            </w:pPr>
            <w:r>
              <w:rPr>
                <w:rFonts w:ascii="Arial Narrow" w:hAnsi="Arial Narrow"/>
                <w:b/>
              </w:rPr>
              <w:t>Mean ± SD (mo)</w:t>
            </w:r>
          </w:p>
        </w:tc>
        <w:tc>
          <w:tcPr>
            <w:tcW w:w="1701" w:type="dxa"/>
            <w:tcBorders>
              <w:top w:val="single" w:sz="6" w:space="0" w:color="auto"/>
              <w:left w:val="single" w:sz="6" w:space="0" w:color="auto"/>
              <w:bottom w:val="single" w:sz="6" w:space="0" w:color="auto"/>
              <w:right w:val="single" w:sz="6" w:space="0" w:color="auto"/>
            </w:tcBorders>
            <w:hideMark/>
          </w:tcPr>
          <w:p w14:paraId="31592BF8" w14:textId="77777777" w:rsidR="00D02176" w:rsidRDefault="00D02176" w:rsidP="0009153A">
            <w:pPr>
              <w:jc w:val="left"/>
              <w:rPr>
                <w:rFonts w:ascii="Arial Narrow" w:hAnsi="Arial Narrow"/>
                <w:b/>
              </w:rPr>
            </w:pPr>
            <w:r w:rsidRPr="001C45F4">
              <w:rPr>
                <w:rFonts w:ascii="Arial Narrow" w:hAnsi="Arial Narrow"/>
                <w:b/>
              </w:rPr>
              <w:t>Difference</w:t>
            </w:r>
          </w:p>
          <w:p w14:paraId="44F89FF0" w14:textId="77777777" w:rsidR="00D02176" w:rsidRPr="001C45F4" w:rsidRDefault="00D02176" w:rsidP="0009153A">
            <w:pPr>
              <w:jc w:val="left"/>
              <w:rPr>
                <w:rFonts w:ascii="Arial Narrow" w:hAnsi="Arial Narrow"/>
                <w:b/>
              </w:rPr>
            </w:pPr>
            <w:r>
              <w:rPr>
                <w:rFonts w:ascii="Arial Narrow" w:hAnsi="Arial Narrow"/>
                <w:b/>
              </w:rPr>
              <w:t>P value</w:t>
            </w:r>
          </w:p>
        </w:tc>
      </w:tr>
      <w:tr w:rsidR="00D02176" w:rsidRPr="004371CF" w14:paraId="3AB74240" w14:textId="77777777" w:rsidTr="000C755B">
        <w:tc>
          <w:tcPr>
            <w:tcW w:w="843" w:type="dxa"/>
            <w:tcBorders>
              <w:top w:val="single" w:sz="6" w:space="0" w:color="auto"/>
              <w:left w:val="single" w:sz="6" w:space="0" w:color="auto"/>
              <w:bottom w:val="single" w:sz="6" w:space="0" w:color="auto"/>
              <w:right w:val="single" w:sz="6" w:space="0" w:color="auto"/>
            </w:tcBorders>
          </w:tcPr>
          <w:p w14:paraId="0DA761E7" w14:textId="405DED88" w:rsidR="00D02176" w:rsidRPr="004371CF" w:rsidRDefault="00156621" w:rsidP="00D96694">
            <w:pPr>
              <w:jc w:val="left"/>
              <w:rPr>
                <w:rFonts w:ascii="Arial Narrow" w:hAnsi="Arial Narrow"/>
              </w:rPr>
            </w:pPr>
            <w:r>
              <w:rPr>
                <w:rFonts w:ascii="Arial Narrow" w:hAnsi="Arial Narrow"/>
              </w:rPr>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rPr>
                <w:rFonts w:ascii="Arial Narrow" w:hAnsi="Arial Narrow"/>
              </w:rPr>
              <w:instrText xml:space="preserve"> ADDIN EN.CITE </w:instrText>
            </w:r>
            <w:r w:rsidR="00D96694">
              <w:rPr>
                <w:rFonts w:ascii="Arial Narrow" w:hAnsi="Arial Narrow"/>
              </w:rPr>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rPr>
                <w:rFonts w:ascii="Arial Narrow" w:hAnsi="Arial Narrow"/>
              </w:rPr>
              <w:instrText xml:space="preserve"> ADDIN EN.CITE.DATA </w:instrText>
            </w:r>
            <w:r w:rsidR="00D96694">
              <w:rPr>
                <w:rFonts w:ascii="Arial Narrow" w:hAnsi="Arial Narrow"/>
              </w:rPr>
            </w:r>
            <w:r w:rsidR="00D96694">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(Li et al. 2015)</w:t>
            </w:r>
            <w:r>
              <w:rPr>
                <w:rFonts w:ascii="Arial Narrow" w:hAnsi="Arial Narrow"/>
              </w:rPr>
              <w:fldChar w:fldCharType="end"/>
            </w:r>
          </w:p>
        </w:tc>
        <w:tc>
          <w:tcPr>
            <w:tcW w:w="1417" w:type="dxa"/>
            <w:tcBorders>
              <w:top w:val="single" w:sz="6" w:space="0" w:color="auto"/>
              <w:left w:val="single" w:sz="6" w:space="0" w:color="auto"/>
              <w:bottom w:val="single" w:sz="6" w:space="0" w:color="auto"/>
              <w:right w:val="single" w:sz="6" w:space="0" w:color="auto"/>
            </w:tcBorders>
          </w:tcPr>
          <w:p w14:paraId="69639A28" w14:textId="77777777" w:rsidR="00D02176" w:rsidRDefault="00D02176" w:rsidP="0009153A">
            <w:pPr>
              <w:jc w:val="left"/>
              <w:rPr>
                <w:rFonts w:ascii="Arial Narrow" w:hAnsi="Arial Narrow"/>
              </w:rPr>
            </w:pPr>
            <w:r>
              <w:rPr>
                <w:rFonts w:ascii="Arial Narrow" w:hAnsi="Arial Narrow"/>
              </w:rPr>
              <w:t>Recurrent or bilateral ON</w:t>
            </w:r>
          </w:p>
          <w:p w14:paraId="2D1DD610" w14:textId="77777777" w:rsidR="00D02176" w:rsidRPr="00296076" w:rsidRDefault="00D02176" w:rsidP="0009153A">
            <w:pPr>
              <w:jc w:val="left"/>
              <w:rPr>
                <w:rFonts w:ascii="Arial Narrow" w:hAnsi="Arial Narrow"/>
              </w:rPr>
            </w:pPr>
            <w:r>
              <w:rPr>
                <w:rFonts w:ascii="Arial Narrow" w:hAnsi="Arial Narrow"/>
              </w:rPr>
              <w:t>N=125</w:t>
            </w:r>
            <w:r>
              <w:rPr>
                <w:rFonts w:ascii="Arial Narrow" w:hAnsi="Arial Narrow"/>
                <w:vertAlign w:val="superscript"/>
              </w:rPr>
              <w:t>a</w:t>
            </w:r>
          </w:p>
        </w:tc>
        <w:tc>
          <w:tcPr>
            <w:tcW w:w="1701" w:type="dxa"/>
            <w:tcBorders>
              <w:top w:val="single" w:sz="6" w:space="0" w:color="auto"/>
              <w:left w:val="single" w:sz="6" w:space="0" w:color="auto"/>
              <w:bottom w:val="single" w:sz="6" w:space="0" w:color="auto"/>
              <w:right w:val="single" w:sz="6" w:space="0" w:color="auto"/>
            </w:tcBorders>
          </w:tcPr>
          <w:p w14:paraId="6CA9DC02" w14:textId="77777777" w:rsidR="00D02176" w:rsidRPr="004371CF" w:rsidRDefault="00D02176" w:rsidP="0009153A">
            <w:pPr>
              <w:jc w:val="left"/>
              <w:rPr>
                <w:rFonts w:ascii="Arial Narrow" w:hAnsi="Arial Narrow"/>
              </w:rPr>
            </w:pPr>
            <w:r>
              <w:rPr>
                <w:rFonts w:ascii="Arial Narrow" w:hAnsi="Arial Narrow"/>
              </w:rPr>
              <w:t>41.07±47.06</w:t>
            </w:r>
            <w:r w:rsidR="00EF6754">
              <w:rPr>
                <w:rFonts w:ascii="Arial Narrow" w:hAnsi="Arial Narrow"/>
              </w:rPr>
              <w:t xml:space="preserve"> mo</w:t>
            </w:r>
          </w:p>
        </w:tc>
        <w:tc>
          <w:tcPr>
            <w:tcW w:w="1560" w:type="dxa"/>
            <w:tcBorders>
              <w:top w:val="single" w:sz="6" w:space="0" w:color="auto"/>
              <w:left w:val="single" w:sz="6" w:space="0" w:color="auto"/>
              <w:bottom w:val="single" w:sz="6" w:space="0" w:color="auto"/>
              <w:right w:val="single" w:sz="6" w:space="0" w:color="auto"/>
            </w:tcBorders>
          </w:tcPr>
          <w:p w14:paraId="4B6A1B68" w14:textId="77777777" w:rsidR="00D02176" w:rsidRPr="004371CF" w:rsidRDefault="00D02176" w:rsidP="0009153A">
            <w:pPr>
              <w:jc w:val="left"/>
              <w:rPr>
                <w:rFonts w:ascii="Arial Narrow" w:hAnsi="Arial Narrow"/>
              </w:rPr>
            </w:pPr>
            <w:r>
              <w:rPr>
                <w:rFonts w:ascii="Arial Narrow" w:hAnsi="Arial Narrow"/>
              </w:rPr>
              <w:t>19.5±20.51</w:t>
            </w:r>
            <w:r w:rsidR="00EF6754">
              <w:rPr>
                <w:rFonts w:ascii="Arial Narrow" w:hAnsi="Arial Narrow"/>
              </w:rPr>
              <w:t xml:space="preserve"> mo</w:t>
            </w:r>
          </w:p>
        </w:tc>
        <w:tc>
          <w:tcPr>
            <w:tcW w:w="1701" w:type="dxa"/>
            <w:tcBorders>
              <w:top w:val="single" w:sz="6" w:space="0" w:color="auto"/>
              <w:left w:val="single" w:sz="6" w:space="0" w:color="auto"/>
              <w:bottom w:val="single" w:sz="6" w:space="0" w:color="auto"/>
              <w:right w:val="single" w:sz="6" w:space="0" w:color="auto"/>
            </w:tcBorders>
          </w:tcPr>
          <w:p w14:paraId="40AA472A" w14:textId="77777777" w:rsidR="00D02176" w:rsidRPr="004371CF" w:rsidRDefault="00D02176" w:rsidP="0009153A">
            <w:pPr>
              <w:jc w:val="left"/>
              <w:rPr>
                <w:rFonts w:ascii="Arial Narrow" w:hAnsi="Arial Narrow"/>
              </w:rPr>
            </w:pPr>
            <w:r>
              <w:rPr>
                <w:rFonts w:ascii="Arial Narrow" w:hAnsi="Arial Narrow"/>
              </w:rPr>
              <w:t>27.75±24.27</w:t>
            </w:r>
            <w:r w:rsidR="00EF6754">
              <w:rPr>
                <w:rFonts w:ascii="Arial Narrow" w:hAnsi="Arial Narrow"/>
              </w:rPr>
              <w:t xml:space="preserve"> mo</w:t>
            </w:r>
          </w:p>
        </w:tc>
        <w:tc>
          <w:tcPr>
            <w:tcW w:w="1701" w:type="dxa"/>
            <w:tcBorders>
              <w:top w:val="single" w:sz="6" w:space="0" w:color="auto"/>
              <w:left w:val="single" w:sz="6" w:space="0" w:color="auto"/>
              <w:bottom w:val="single" w:sz="6" w:space="0" w:color="auto"/>
              <w:right w:val="single" w:sz="6" w:space="0" w:color="auto"/>
            </w:tcBorders>
          </w:tcPr>
          <w:p w14:paraId="5F78DCB0" w14:textId="77777777" w:rsidR="00D02176" w:rsidRPr="004371CF" w:rsidRDefault="00D02176" w:rsidP="0009153A">
            <w:pPr>
              <w:jc w:val="left"/>
              <w:rPr>
                <w:rFonts w:ascii="Arial Narrow" w:hAnsi="Arial Narrow"/>
              </w:rPr>
            </w:pPr>
            <w:r>
              <w:rPr>
                <w:rFonts w:ascii="Arial Narrow" w:hAnsi="Arial Narrow"/>
              </w:rPr>
              <w:t>0.535</w:t>
            </w:r>
          </w:p>
        </w:tc>
      </w:tr>
      <w:tr w:rsidR="00D02176" w:rsidRPr="004371CF" w14:paraId="1CAB4ADF" w14:textId="77777777" w:rsidTr="000C755B">
        <w:tc>
          <w:tcPr>
            <w:tcW w:w="843" w:type="dxa"/>
            <w:tcBorders>
              <w:top w:val="single" w:sz="6" w:space="0" w:color="auto"/>
              <w:left w:val="single" w:sz="6" w:space="0" w:color="auto"/>
              <w:bottom w:val="single" w:sz="6" w:space="0" w:color="auto"/>
              <w:right w:val="single" w:sz="6" w:space="0" w:color="auto"/>
            </w:tcBorders>
          </w:tcPr>
          <w:p w14:paraId="237563D3" w14:textId="76971325" w:rsidR="00D02176" w:rsidRDefault="00156621" w:rsidP="00D96694">
            <w:pPr>
              <w:jc w:val="left"/>
              <w:rPr>
                <w:rFonts w:ascii="Arial Narrow" w:hAnsi="Arial Narrow"/>
              </w:rPr>
            </w:pPr>
            <w:r>
              <w:rPr>
                <w:rFonts w:ascii="Arial Narrow" w:hAnsi="Arial Narrow"/>
              </w:rPr>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rPr>
                <w:rFonts w:ascii="Arial Narrow" w:hAnsi="Arial Narrow"/>
              </w:rPr>
              <w:instrText xml:space="preserve"> ADDIN EN.CITE </w:instrText>
            </w:r>
            <w:r w:rsidR="00D96694">
              <w:rPr>
                <w:rFonts w:ascii="Arial Narrow" w:hAnsi="Arial Narrow"/>
              </w:rPr>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rPr>
                <w:rFonts w:ascii="Arial Narrow" w:hAnsi="Arial Narrow"/>
              </w:rPr>
              <w:instrText xml:space="preserve"> ADDIN EN.CITE.DATA </w:instrText>
            </w:r>
            <w:r w:rsidR="00D96694">
              <w:rPr>
                <w:rFonts w:ascii="Arial Narrow" w:hAnsi="Arial Narrow"/>
              </w:rPr>
            </w:r>
            <w:r w:rsidR="00D96694">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(Akman-Demir et al. 2011)</w:t>
            </w:r>
            <w:r>
              <w:rPr>
                <w:rFonts w:ascii="Arial Narrow" w:hAnsi="Arial Narrow"/>
              </w:rPr>
              <w:fldChar w:fldCharType="end"/>
            </w:r>
          </w:p>
        </w:tc>
        <w:tc>
          <w:tcPr>
            <w:tcW w:w="1417" w:type="dxa"/>
            <w:tcBorders>
              <w:top w:val="single" w:sz="6" w:space="0" w:color="auto"/>
              <w:left w:val="single" w:sz="6" w:space="0" w:color="auto"/>
              <w:bottom w:val="single" w:sz="6" w:space="0" w:color="auto"/>
              <w:right w:val="single" w:sz="6" w:space="0" w:color="auto"/>
            </w:tcBorders>
          </w:tcPr>
          <w:p w14:paraId="69834F92" w14:textId="77777777" w:rsidR="00D02176" w:rsidRDefault="00EF6754" w:rsidP="0009153A">
            <w:pPr>
              <w:jc w:val="left"/>
              <w:rPr>
                <w:rFonts w:ascii="Arial Narrow" w:hAnsi="Arial Narrow"/>
              </w:rPr>
            </w:pPr>
            <w:r>
              <w:rPr>
                <w:rFonts w:ascii="Arial Narrow" w:hAnsi="Arial Narrow"/>
              </w:rPr>
              <w:t>NMO patients</w:t>
            </w:r>
          </w:p>
          <w:p w14:paraId="6D907D89" w14:textId="77777777" w:rsidR="00EF6754" w:rsidRPr="00240EC8" w:rsidRDefault="00EF6754" w:rsidP="0009153A">
            <w:pPr>
              <w:jc w:val="left"/>
              <w:rPr>
                <w:rFonts w:ascii="Arial Narrow" w:hAnsi="Arial Narrow"/>
                <w:vertAlign w:val="superscript"/>
              </w:rPr>
            </w:pPr>
            <w:r>
              <w:rPr>
                <w:rFonts w:ascii="Arial Narrow" w:hAnsi="Arial Narrow"/>
              </w:rPr>
              <w:t>N=35</w:t>
            </w:r>
            <w:r w:rsidR="00240EC8">
              <w:rPr>
                <w:rFonts w:ascii="Arial Narrow" w:hAnsi="Arial Narrow"/>
                <w:vertAlign w:val="superscript"/>
              </w:rPr>
              <w:t>b</w:t>
            </w:r>
          </w:p>
        </w:tc>
        <w:tc>
          <w:tcPr>
            <w:tcW w:w="1701" w:type="dxa"/>
            <w:tcBorders>
              <w:top w:val="single" w:sz="6" w:space="0" w:color="auto"/>
              <w:left w:val="single" w:sz="6" w:space="0" w:color="auto"/>
              <w:bottom w:val="single" w:sz="6" w:space="0" w:color="auto"/>
              <w:right w:val="single" w:sz="6" w:space="0" w:color="auto"/>
            </w:tcBorders>
          </w:tcPr>
          <w:p w14:paraId="5B2CE761" w14:textId="77777777" w:rsidR="00D02176" w:rsidRDefault="00EF6754" w:rsidP="0009153A">
            <w:pPr>
              <w:jc w:val="left"/>
              <w:rPr>
                <w:rFonts w:ascii="Arial Narrow" w:hAnsi="Arial Narrow"/>
              </w:rPr>
            </w:pPr>
            <w:r>
              <w:rPr>
                <w:rFonts w:ascii="Arial Narrow" w:hAnsi="Arial Narrow"/>
              </w:rPr>
              <w:t>8.2±6.6 y</w:t>
            </w:r>
          </w:p>
        </w:tc>
        <w:tc>
          <w:tcPr>
            <w:tcW w:w="1560" w:type="dxa"/>
            <w:tcBorders>
              <w:top w:val="single" w:sz="6" w:space="0" w:color="auto"/>
              <w:left w:val="single" w:sz="6" w:space="0" w:color="auto"/>
              <w:bottom w:val="single" w:sz="6" w:space="0" w:color="auto"/>
              <w:right w:val="single" w:sz="6" w:space="0" w:color="auto"/>
            </w:tcBorders>
          </w:tcPr>
          <w:p w14:paraId="64B562C1" w14:textId="77777777" w:rsidR="00D02176" w:rsidRDefault="00EF6754" w:rsidP="00EF6754">
            <w:pPr>
              <w:jc w:val="left"/>
              <w:rPr>
                <w:rFonts w:ascii="Arial Narrow" w:hAnsi="Arial Narrow"/>
              </w:rPr>
            </w:pPr>
            <w:r>
              <w:rPr>
                <w:rFonts w:ascii="Arial Narrow" w:hAnsi="Arial Narrow"/>
              </w:rPr>
              <w:t>3.8±4.8 y</w:t>
            </w:r>
          </w:p>
        </w:tc>
        <w:tc>
          <w:tcPr>
            <w:tcW w:w="1701" w:type="dxa"/>
            <w:tcBorders>
              <w:top w:val="single" w:sz="6" w:space="0" w:color="auto"/>
              <w:left w:val="single" w:sz="6" w:space="0" w:color="auto"/>
              <w:bottom w:val="single" w:sz="6" w:space="0" w:color="auto"/>
              <w:right w:val="single" w:sz="6" w:space="0" w:color="auto"/>
            </w:tcBorders>
          </w:tcPr>
          <w:p w14:paraId="1D9A833F" w14:textId="77777777" w:rsidR="00D02176" w:rsidRDefault="00240EC8" w:rsidP="00240EC8">
            <w:pPr>
              <w:jc w:val="left"/>
              <w:rPr>
                <w:rFonts w:ascii="Arial Narrow" w:hAnsi="Arial Narrow"/>
              </w:rPr>
            </w:pPr>
            <w:r>
              <w:rPr>
                <w:rFonts w:ascii="Arial Narrow" w:hAnsi="Arial Narrow"/>
              </w:rPr>
              <w:t>4.5</w:t>
            </w:r>
            <w:r w:rsidR="00EF6754">
              <w:rPr>
                <w:rFonts w:ascii="Arial Narrow" w:hAnsi="Arial Narrow"/>
              </w:rPr>
              <w:t>±</w:t>
            </w:r>
            <w:r>
              <w:rPr>
                <w:rFonts w:ascii="Arial Narrow" w:hAnsi="Arial Narrow"/>
              </w:rPr>
              <w:t>6.7</w:t>
            </w:r>
            <w:r w:rsidR="00EF6754">
              <w:rPr>
                <w:rFonts w:ascii="Arial Narrow" w:hAnsi="Arial Narrow"/>
              </w:rPr>
              <w:t xml:space="preserve"> y</w:t>
            </w:r>
          </w:p>
        </w:tc>
        <w:tc>
          <w:tcPr>
            <w:tcW w:w="1701" w:type="dxa"/>
            <w:tcBorders>
              <w:top w:val="single" w:sz="6" w:space="0" w:color="auto"/>
              <w:left w:val="single" w:sz="6" w:space="0" w:color="auto"/>
              <w:bottom w:val="single" w:sz="6" w:space="0" w:color="auto"/>
              <w:right w:val="single" w:sz="6" w:space="0" w:color="auto"/>
            </w:tcBorders>
          </w:tcPr>
          <w:p w14:paraId="4BA9C866" w14:textId="77777777" w:rsidR="00D02176" w:rsidRDefault="00240EC8" w:rsidP="0009153A">
            <w:pPr>
              <w:jc w:val="left"/>
              <w:rPr>
                <w:rFonts w:ascii="Arial Narrow" w:hAnsi="Arial Narrow"/>
              </w:rPr>
            </w:pPr>
            <w:r>
              <w:rPr>
                <w:rFonts w:ascii="Arial Narrow" w:hAnsi="Arial Narrow"/>
              </w:rPr>
              <w:t>Not significant</w:t>
            </w:r>
          </w:p>
          <w:p w14:paraId="4B79D9F4" w14:textId="77777777" w:rsidR="00240EC8" w:rsidRDefault="00240EC8" w:rsidP="0009153A">
            <w:pPr>
              <w:jc w:val="left"/>
              <w:rPr>
                <w:rFonts w:ascii="Arial Narrow" w:hAnsi="Arial Narrow"/>
              </w:rPr>
            </w:pPr>
            <w:r>
              <w:rPr>
                <w:rFonts w:ascii="Arial Narrow" w:hAnsi="Arial Narrow"/>
              </w:rPr>
              <w:t>(MedCalc: 0.72)</w:t>
            </w:r>
          </w:p>
        </w:tc>
      </w:tr>
    </w:tbl>
    <w:p w14:paraId="72640FB2" w14:textId="77777777" w:rsidR="00907E7E" w:rsidRDefault="00253FB0" w:rsidP="00D02176">
      <w:pPr>
        <w:pStyle w:val="Tablenotes0"/>
      </w:pPr>
      <w:r>
        <w:t xml:space="preserve">AQP4-Ab = aquaporin 4 antibodies; </w:t>
      </w:r>
      <w:r w:rsidR="001B6ECC">
        <w:t xml:space="preserve">mo = months; </w:t>
      </w:r>
      <w:r>
        <w:t>NMO = neuromyelitis optica; ON = optic neuritis; SD = standard deviation</w:t>
      </w:r>
    </w:p>
    <w:p w14:paraId="03BB12D5" w14:textId="77777777" w:rsidR="00AA4027" w:rsidRDefault="00296076" w:rsidP="00D02176">
      <w:pPr>
        <w:pStyle w:val="Tablenotes0"/>
      </w:pPr>
      <w:r>
        <w:rPr>
          <w:vertAlign w:val="superscript"/>
        </w:rPr>
        <w:t>a</w:t>
      </w:r>
      <w:r>
        <w:t xml:space="preserve"> </w:t>
      </w:r>
      <w:r w:rsidR="00D02176">
        <w:t xml:space="preserve">note that 24 </w:t>
      </w:r>
      <w:r w:rsidR="00EF6754">
        <w:t>(</w:t>
      </w:r>
      <w:r w:rsidR="00D02176">
        <w:t>49%) AQP4-Ab +ve and 8 (10.5%) AQP4-Ab –ve patients me</w:t>
      </w:r>
      <w:r w:rsidR="00EF6754">
        <w:t>t</w:t>
      </w:r>
      <w:r w:rsidR="00D02176">
        <w:t xml:space="preserve"> the 2006 diagnostic criteria</w:t>
      </w:r>
    </w:p>
    <w:p w14:paraId="3ACE2FE6" w14:textId="71C863D5" w:rsidR="00EF6754" w:rsidRDefault="00EF6754" w:rsidP="00EF6754">
      <w:pPr>
        <w:pStyle w:val="Tablenotes0"/>
      </w:pPr>
      <w:r>
        <w:rPr>
          <w:vertAlign w:val="superscript"/>
        </w:rPr>
        <w:t>b</w:t>
      </w:r>
      <w:r>
        <w:t xml:space="preserve"> note that 2</w:t>
      </w:r>
      <w:r w:rsidR="00240EC8">
        <w:t>1</w:t>
      </w:r>
      <w:r>
        <w:t xml:space="preserve"> (6</w:t>
      </w:r>
      <w:r w:rsidR="00240EC8">
        <w:t>0</w:t>
      </w:r>
      <w:r>
        <w:t>%) AQP4-Ab +ve and 1</w:t>
      </w:r>
      <w:r w:rsidR="00240EC8">
        <w:t>4</w:t>
      </w:r>
      <w:r>
        <w:t xml:space="preserve"> (</w:t>
      </w:r>
      <w:r w:rsidR="00240EC8">
        <w:t>40</w:t>
      </w:r>
      <w:r>
        <w:t>%) AQP4-Ab –ve patients met the 2006 diagnostic criteria</w:t>
      </w:r>
    </w:p>
    <w:p w14:paraId="2FAADDA3" w14:textId="77777777" w:rsidR="009D7259" w:rsidRDefault="009D7259" w:rsidP="00EF6754">
      <w:pPr>
        <w:pStyle w:val="Tablenotes0"/>
      </w:pPr>
    </w:p>
    <w:p w14:paraId="761C318B" w14:textId="77777777" w:rsidR="00907E7E" w:rsidRDefault="00907E7E" w:rsidP="00907E7E">
      <w:pPr>
        <w:pStyle w:val="Heading4"/>
      </w:pPr>
      <w:r>
        <w:t>Change in diagnosis</w:t>
      </w:r>
    </w:p>
    <w:p w14:paraId="32A592F0" w14:textId="6A8A4011" w:rsidR="00714736" w:rsidRDefault="00B35F2B" w:rsidP="00714736">
      <w:r>
        <w:t>A</w:t>
      </w:r>
      <w:r w:rsidR="00714736">
        <w:t xml:space="preserve"> </w:t>
      </w:r>
      <w:r w:rsidR="00844EB4">
        <w:t xml:space="preserve">QoL </w:t>
      </w:r>
      <w:r w:rsidR="00714736">
        <w:t xml:space="preserve">survey conducted by Beekman et al </w:t>
      </w:r>
      <w:r w:rsidR="00AB2520">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 </w:instrText>
      </w:r>
      <w:r w:rsidR="00024910">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EN.CITE.DATA </w:instrText>
      </w:r>
      <w:r w:rsidR="00024910">
        <w:fldChar w:fldCharType="end"/>
      </w:r>
      <w:r w:rsidR="00AB2520">
        <w:fldChar w:fldCharType="separate"/>
      </w:r>
      <w:r w:rsidR="006965F4">
        <w:rPr>
          <w:noProof/>
        </w:rPr>
        <w:t>(</w:t>
      </w:r>
      <w:r w:rsidR="00024910">
        <w:rPr>
          <w:noProof/>
        </w:rPr>
        <w:t>2019)</w:t>
      </w:r>
      <w:r w:rsidR="00AB2520">
        <w:fldChar w:fldCharType="end"/>
      </w:r>
      <w:r w:rsidR="00714736">
        <w:t xml:space="preserve"> reported on </w:t>
      </w:r>
      <w:r w:rsidR="00BE0748">
        <w:t xml:space="preserve">a </w:t>
      </w:r>
      <w:r w:rsidR="00714736">
        <w:t xml:space="preserve">number of issues impacting on NMO and NMOSD patients. In the cross-section of 193 patients, 158 had been </w:t>
      </w:r>
      <w:r>
        <w:t xml:space="preserve">given a final </w:t>
      </w:r>
      <w:r w:rsidR="00714736">
        <w:t>diagnos</w:t>
      </w:r>
      <w:r>
        <w:t>is</w:t>
      </w:r>
      <w:r w:rsidR="00714736">
        <w:t xml:space="preserve"> </w:t>
      </w:r>
      <w:r>
        <w:t>of</w:t>
      </w:r>
      <w:r w:rsidR="00714736">
        <w:t xml:space="preserve"> NMO and 35 </w:t>
      </w:r>
      <w:r>
        <w:t>of</w:t>
      </w:r>
      <w:r w:rsidR="00714736">
        <w:t xml:space="preserve"> NMOSD. The majority of </w:t>
      </w:r>
      <w:r w:rsidR="00760EED">
        <w:t xml:space="preserve">these </w:t>
      </w:r>
      <w:r w:rsidR="00714736">
        <w:t>patients (65.8%) had received an alternate initial diagnosis</w:t>
      </w:r>
      <w:r w:rsidR="00760EED">
        <w:t>, the most common being MS (41.4%)</w:t>
      </w:r>
      <w:r w:rsidR="00714736">
        <w:t xml:space="preserve"> (</w:t>
      </w:r>
      <w:r w:rsidR="00714736">
        <w:fldChar w:fldCharType="begin"/>
      </w:r>
      <w:r w:rsidR="00714736">
        <w:instrText xml:space="preserve"> REF _Ref29386272 \h </w:instrText>
      </w:r>
      <w:r w:rsidR="00714736">
        <w:fldChar w:fldCharType="separate"/>
      </w:r>
      <w:r w:rsidR="009D7259">
        <w:t xml:space="preserve">Table </w:t>
      </w:r>
      <w:r w:rsidR="009D7259">
        <w:rPr>
          <w:noProof/>
        </w:rPr>
        <w:t>43</w:t>
      </w:r>
      <w:r w:rsidR="00714736">
        <w:fldChar w:fldCharType="end"/>
      </w:r>
      <w:r w:rsidR="00714736">
        <w:t xml:space="preserve">). The survey also found that the time to correct diagnosis from initial </w:t>
      </w:r>
      <w:r w:rsidR="00BE0748">
        <w:t>symptoms</w:t>
      </w:r>
      <w:r w:rsidR="00714736">
        <w:t xml:space="preserve"> ranged from 0 to 40 years (mean 3.3 </w:t>
      </w:r>
      <w:r w:rsidR="00714736">
        <w:rPr>
          <w:rFonts w:cs="Calibri"/>
        </w:rPr>
        <w:t>±</w:t>
      </w:r>
      <w:r w:rsidR="00714736">
        <w:t xml:space="preserve"> 6.3 years).</w:t>
      </w:r>
      <w:r w:rsidR="00844EB4">
        <w:t xml:space="preserve"> The mean time it took to receive treatment after a correct diagnosis was reported to be 6 months </w:t>
      </w:r>
      <w:r w:rsidR="00844EB4">
        <w:rPr>
          <w:rFonts w:cs="Calibri"/>
        </w:rPr>
        <w:t>±</w:t>
      </w:r>
      <w:r w:rsidR="00844EB4">
        <w:t xml:space="preserve"> 1.7 years (range 0 – 11 years). One of the concerns for patients was treatments and th</w:t>
      </w:r>
      <w:r w:rsidR="00D97DDA">
        <w:t>eir</w:t>
      </w:r>
      <w:r w:rsidR="00844EB4">
        <w:t xml:space="preserve"> future effectiveness</w:t>
      </w:r>
      <w:r w:rsidR="00121196">
        <w:t>,</w:t>
      </w:r>
      <w:r w:rsidR="00844EB4">
        <w:t xml:space="preserve"> as many </w:t>
      </w:r>
      <w:r w:rsidR="00844EB4">
        <w:lastRenderedPageBreak/>
        <w:t>had experienced treatments with poor efficacy (n = 48 of 88 respondents; 54.5%) and intolerable side effects (n = 32 of 88 respondents; 36.4%).</w:t>
      </w:r>
    </w:p>
    <w:p w14:paraId="1502DB54" w14:textId="308453F9" w:rsidR="00361EF8" w:rsidRDefault="00361EF8" w:rsidP="00361EF8">
      <w:pPr>
        <w:pStyle w:val="Caption"/>
      </w:pPr>
      <w:bookmarkStart w:id="288" w:name="_Ref29386272"/>
      <w:bookmarkStart w:id="289" w:name="_Toc39580824"/>
      <w:r>
        <w:t xml:space="preserve">Table </w:t>
      </w:r>
      <w:fldSimple w:instr=" SEQ Table \* ARABIC ">
        <w:r w:rsidR="00FA7BCD">
          <w:rPr>
            <w:noProof/>
          </w:rPr>
          <w:t>43</w:t>
        </w:r>
      </w:fldSimple>
      <w:bookmarkEnd w:id="288"/>
      <w:r>
        <w:tab/>
        <w:t>Proportion of initial diagnoses other than NMOSD</w:t>
      </w:r>
      <w:bookmarkEnd w:id="289"/>
      <w:r>
        <w:t xml:space="preserve"> </w:t>
      </w:r>
    </w:p>
    <w:tbl>
      <w:tblPr>
        <w:tblStyle w:val="TableGrid1"/>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43 Proportion of initial diagnoses other than NMOSD "/>
        <w:tblDescription w:val="Data from a quality of life survery amongst NMOSD patients on the proportion who initially recieved an alternative diagnosis (inlcuding multiple scelrosis)"/>
      </w:tblPr>
      <w:tblGrid>
        <w:gridCol w:w="1644"/>
        <w:gridCol w:w="2262"/>
        <w:gridCol w:w="2410"/>
        <w:gridCol w:w="2552"/>
      </w:tblGrid>
      <w:tr w:rsidR="00361EF8" w:rsidRPr="001C45F4" w14:paraId="438201AC" w14:textId="77777777" w:rsidTr="00714736">
        <w:trPr>
          <w:cnfStyle w:val="100000000000" w:firstRow="1" w:lastRow="0" w:firstColumn="0" w:lastColumn="0" w:oddVBand="0" w:evenVBand="0" w:oddHBand="0" w:evenHBand="0" w:firstRowFirstColumn="0" w:firstRowLastColumn="0" w:lastRowFirstColumn="0" w:lastRowLastColumn="0"/>
        </w:trPr>
        <w:tc>
          <w:tcPr>
            <w:tcW w:w="0" w:type="auto"/>
            <w:tcBorders>
              <w:top w:val="single" w:sz="6" w:space="0" w:color="auto"/>
              <w:left w:val="single" w:sz="6" w:space="0" w:color="auto"/>
              <w:bottom w:val="single" w:sz="6" w:space="0" w:color="auto"/>
              <w:right w:val="single" w:sz="6" w:space="0" w:color="auto"/>
            </w:tcBorders>
            <w:hideMark/>
          </w:tcPr>
          <w:p w14:paraId="29A4ECB3" w14:textId="77777777" w:rsidR="00361EF8" w:rsidRPr="001C45F4" w:rsidRDefault="00361EF8" w:rsidP="00361EF8">
            <w:pPr>
              <w:jc w:val="left"/>
              <w:rPr>
                <w:rFonts w:ascii="Arial Narrow" w:hAnsi="Arial Narrow"/>
                <w:b/>
              </w:rPr>
            </w:pPr>
            <w:r w:rsidRPr="001C45F4">
              <w:rPr>
                <w:rFonts w:ascii="Arial Narrow" w:hAnsi="Arial Narrow"/>
                <w:b/>
              </w:rPr>
              <w:t>Study</w:t>
            </w:r>
          </w:p>
        </w:tc>
        <w:tc>
          <w:tcPr>
            <w:tcW w:w="2262" w:type="dxa"/>
            <w:tcBorders>
              <w:top w:val="single" w:sz="6" w:space="0" w:color="auto"/>
              <w:left w:val="single" w:sz="6" w:space="0" w:color="auto"/>
              <w:bottom w:val="single" w:sz="6" w:space="0" w:color="auto"/>
              <w:right w:val="single" w:sz="6" w:space="0" w:color="auto"/>
            </w:tcBorders>
            <w:hideMark/>
          </w:tcPr>
          <w:p w14:paraId="371957EF" w14:textId="77777777" w:rsidR="00361EF8" w:rsidRDefault="00361EF8" w:rsidP="00361EF8">
            <w:pPr>
              <w:jc w:val="left"/>
              <w:rPr>
                <w:rFonts w:ascii="Arial Narrow" w:hAnsi="Arial Narrow"/>
                <w:b/>
              </w:rPr>
            </w:pPr>
            <w:r>
              <w:rPr>
                <w:rFonts w:ascii="Arial Narrow" w:hAnsi="Arial Narrow"/>
                <w:b/>
              </w:rPr>
              <w:t>All other initial diagnosis</w:t>
            </w:r>
            <w:r w:rsidR="007A4AE5">
              <w:rPr>
                <w:rFonts w:ascii="Arial Narrow" w:hAnsi="Arial Narrow"/>
                <w:b/>
              </w:rPr>
              <w:t xml:space="preserve"> (including MS and non-specific ON)</w:t>
            </w:r>
          </w:p>
          <w:p w14:paraId="624F3B8C" w14:textId="77777777" w:rsidR="00361EF8" w:rsidRPr="001C45F4" w:rsidRDefault="00361EF8" w:rsidP="00361EF8">
            <w:pPr>
              <w:jc w:val="left"/>
              <w:rPr>
                <w:rFonts w:ascii="Arial Narrow" w:hAnsi="Arial Narrow"/>
                <w:b/>
              </w:rPr>
            </w:pPr>
            <w:r>
              <w:rPr>
                <w:rFonts w:ascii="Arial Narrow" w:hAnsi="Arial Narrow"/>
                <w:b/>
              </w:rPr>
              <w:t>N (%)</w:t>
            </w:r>
          </w:p>
        </w:tc>
        <w:tc>
          <w:tcPr>
            <w:tcW w:w="2410" w:type="dxa"/>
            <w:tcBorders>
              <w:top w:val="single" w:sz="6" w:space="0" w:color="auto"/>
              <w:left w:val="single" w:sz="6" w:space="0" w:color="auto"/>
              <w:bottom w:val="single" w:sz="6" w:space="0" w:color="auto"/>
              <w:right w:val="single" w:sz="6" w:space="0" w:color="auto"/>
            </w:tcBorders>
            <w:hideMark/>
          </w:tcPr>
          <w:p w14:paraId="14AC4DE4" w14:textId="77777777" w:rsidR="00361EF8" w:rsidRDefault="00361EF8" w:rsidP="00361EF8">
            <w:pPr>
              <w:jc w:val="left"/>
              <w:rPr>
                <w:rFonts w:ascii="Arial Narrow" w:hAnsi="Arial Narrow"/>
                <w:b/>
              </w:rPr>
            </w:pPr>
            <w:r>
              <w:rPr>
                <w:rFonts w:ascii="Arial Narrow" w:hAnsi="Arial Narrow"/>
                <w:b/>
              </w:rPr>
              <w:t>MS initial diagnosis</w:t>
            </w:r>
          </w:p>
          <w:p w14:paraId="3134EA1D" w14:textId="77777777" w:rsidR="00714736" w:rsidRPr="001C45F4" w:rsidRDefault="00714736" w:rsidP="00361EF8">
            <w:pPr>
              <w:jc w:val="left"/>
              <w:rPr>
                <w:rFonts w:ascii="Arial Narrow" w:hAnsi="Arial Narrow"/>
                <w:b/>
              </w:rPr>
            </w:pPr>
            <w:r>
              <w:rPr>
                <w:rFonts w:ascii="Arial Narrow" w:hAnsi="Arial Narrow"/>
                <w:b/>
              </w:rPr>
              <w:t>N (%)</w:t>
            </w:r>
          </w:p>
        </w:tc>
        <w:tc>
          <w:tcPr>
            <w:tcW w:w="2552" w:type="dxa"/>
            <w:tcBorders>
              <w:top w:val="single" w:sz="6" w:space="0" w:color="auto"/>
              <w:left w:val="single" w:sz="6" w:space="0" w:color="auto"/>
              <w:bottom w:val="single" w:sz="6" w:space="0" w:color="auto"/>
              <w:right w:val="single" w:sz="6" w:space="0" w:color="auto"/>
            </w:tcBorders>
            <w:hideMark/>
          </w:tcPr>
          <w:p w14:paraId="56061C8C" w14:textId="77777777" w:rsidR="00361EF8" w:rsidRPr="001C45F4" w:rsidRDefault="00361EF8" w:rsidP="00361EF8">
            <w:pPr>
              <w:jc w:val="left"/>
              <w:rPr>
                <w:rFonts w:ascii="Arial Narrow" w:hAnsi="Arial Narrow"/>
                <w:b/>
              </w:rPr>
            </w:pPr>
            <w:r>
              <w:rPr>
                <w:rFonts w:ascii="Arial Narrow" w:hAnsi="Arial Narrow"/>
                <w:b/>
              </w:rPr>
              <w:t>Non-specific ON initial diagnosis</w:t>
            </w:r>
            <w:r w:rsidR="00714736">
              <w:rPr>
                <w:rFonts w:ascii="Arial Narrow" w:hAnsi="Arial Narrow"/>
                <w:b/>
              </w:rPr>
              <w:t xml:space="preserve"> N (%)</w:t>
            </w:r>
          </w:p>
        </w:tc>
      </w:tr>
      <w:tr w:rsidR="00361EF8" w:rsidRPr="004371CF" w14:paraId="1A025608" w14:textId="77777777" w:rsidTr="00714736">
        <w:tc>
          <w:tcPr>
            <w:tcW w:w="0" w:type="auto"/>
            <w:tcBorders>
              <w:top w:val="single" w:sz="6" w:space="0" w:color="auto"/>
              <w:left w:val="single" w:sz="6" w:space="0" w:color="auto"/>
              <w:bottom w:val="single" w:sz="6" w:space="0" w:color="auto"/>
              <w:right w:val="single" w:sz="6" w:space="0" w:color="auto"/>
            </w:tcBorders>
            <w:hideMark/>
          </w:tcPr>
          <w:p w14:paraId="6DBF0C47" w14:textId="620A9579" w:rsidR="00997D11" w:rsidRDefault="00024910" w:rsidP="00361EF8">
            <w:pPr>
              <w:jc w:val="left"/>
              <w:rPr>
                <w:rFonts w:ascii="Arial Narrow" w:hAnsi="Arial Narrow"/>
              </w:rPr>
            </w:pPr>
            <w:r>
              <w:rPr>
                <w:rFonts w:ascii="Arial Narrow" w:hAnsi="Arial Narrow"/>
              </w:rPr>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Pr>
                <w:rFonts w:ascii="Arial Narrow" w:hAnsi="Arial Narrow"/>
              </w:rPr>
              <w:instrText xml:space="preserve"> ADDIN EN.CITE </w:instrText>
            </w:r>
            <w:r>
              <w:rPr>
                <w:rFonts w:ascii="Arial Narrow" w:hAnsi="Arial Narrow"/>
              </w:rPr>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Pr>
                <w:rFonts w:ascii="Arial Narrow" w:hAnsi="Arial Narrow"/>
              </w:rPr>
              <w:instrText xml:space="preserve"> ADDIN EN.CITE.DATA </w:instrText>
            </w:r>
            <w:r>
              <w:rPr>
                <w:rFonts w:ascii="Arial Narrow" w:hAnsi="Arial Narrow"/>
              </w:rPr>
            </w:r>
            <w:r>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(Beekman et al. 2019)</w:t>
            </w:r>
            <w:r>
              <w:rPr>
                <w:rFonts w:ascii="Arial Narrow" w:hAnsi="Arial Narrow"/>
              </w:rPr>
              <w:fldChar w:fldCharType="end"/>
            </w:r>
          </w:p>
          <w:p w14:paraId="6F8BA0FE" w14:textId="1FB13EB3" w:rsidR="00361EF8" w:rsidRPr="00361EF8" w:rsidRDefault="00361EF8" w:rsidP="00361EF8">
            <w:pPr>
              <w:jc w:val="left"/>
              <w:rPr>
                <w:rFonts w:ascii="Arial Narrow" w:hAnsi="Arial Narrow"/>
                <w:vertAlign w:val="superscript"/>
              </w:rPr>
            </w:pPr>
            <w:r>
              <w:rPr>
                <w:rFonts w:ascii="Arial Narrow" w:hAnsi="Arial Narrow"/>
              </w:rPr>
              <w:t>N=193</w:t>
            </w:r>
            <w:r>
              <w:rPr>
                <w:rFonts w:ascii="Arial Narrow" w:hAnsi="Arial Narrow"/>
                <w:vertAlign w:val="superscript"/>
              </w:rPr>
              <w:t>a</w:t>
            </w:r>
          </w:p>
        </w:tc>
        <w:tc>
          <w:tcPr>
            <w:tcW w:w="2262" w:type="dxa"/>
            <w:tcBorders>
              <w:top w:val="single" w:sz="6" w:space="0" w:color="auto"/>
              <w:left w:val="single" w:sz="6" w:space="0" w:color="auto"/>
              <w:bottom w:val="single" w:sz="6" w:space="0" w:color="auto"/>
              <w:right w:val="single" w:sz="6" w:space="0" w:color="auto"/>
            </w:tcBorders>
            <w:hideMark/>
          </w:tcPr>
          <w:p w14:paraId="5AAC29E1" w14:textId="77777777" w:rsidR="00361EF8" w:rsidRPr="004371CF" w:rsidRDefault="00361EF8" w:rsidP="00361EF8">
            <w:pPr>
              <w:jc w:val="left"/>
              <w:rPr>
                <w:rFonts w:ascii="Arial Narrow" w:hAnsi="Arial Narrow"/>
              </w:rPr>
            </w:pPr>
            <w:r>
              <w:rPr>
                <w:rFonts w:ascii="Arial Narrow" w:hAnsi="Arial Narrow"/>
              </w:rPr>
              <w:t>125 (65.8)</w:t>
            </w:r>
          </w:p>
        </w:tc>
        <w:tc>
          <w:tcPr>
            <w:tcW w:w="2410" w:type="dxa"/>
            <w:tcBorders>
              <w:top w:val="single" w:sz="6" w:space="0" w:color="auto"/>
              <w:left w:val="single" w:sz="6" w:space="0" w:color="auto"/>
              <w:bottom w:val="single" w:sz="6" w:space="0" w:color="auto"/>
              <w:right w:val="single" w:sz="6" w:space="0" w:color="auto"/>
            </w:tcBorders>
            <w:hideMark/>
          </w:tcPr>
          <w:p w14:paraId="19CF9573" w14:textId="77777777" w:rsidR="00361EF8" w:rsidRPr="004371CF" w:rsidRDefault="00361EF8" w:rsidP="00361EF8">
            <w:pPr>
              <w:jc w:val="left"/>
              <w:rPr>
                <w:rFonts w:ascii="Arial Narrow" w:hAnsi="Arial Narrow"/>
              </w:rPr>
            </w:pPr>
            <w:r>
              <w:rPr>
                <w:rFonts w:ascii="Arial Narrow" w:hAnsi="Arial Narrow"/>
              </w:rPr>
              <w:t>80 (41.4)</w:t>
            </w:r>
          </w:p>
        </w:tc>
        <w:tc>
          <w:tcPr>
            <w:tcW w:w="2552" w:type="dxa"/>
            <w:tcBorders>
              <w:top w:val="single" w:sz="6" w:space="0" w:color="auto"/>
              <w:left w:val="single" w:sz="6" w:space="0" w:color="auto"/>
              <w:bottom w:val="single" w:sz="6" w:space="0" w:color="auto"/>
              <w:right w:val="single" w:sz="6" w:space="0" w:color="auto"/>
            </w:tcBorders>
            <w:hideMark/>
          </w:tcPr>
          <w:p w14:paraId="4BA52828" w14:textId="77777777" w:rsidR="00361EF8" w:rsidRPr="004371CF" w:rsidRDefault="00361EF8" w:rsidP="00361EF8">
            <w:pPr>
              <w:jc w:val="left"/>
              <w:rPr>
                <w:rFonts w:ascii="Arial Narrow" w:hAnsi="Arial Narrow"/>
              </w:rPr>
            </w:pPr>
            <w:r>
              <w:rPr>
                <w:rFonts w:ascii="Arial Narrow" w:hAnsi="Arial Narrow"/>
              </w:rPr>
              <w:t>44 (22.7)</w:t>
            </w:r>
          </w:p>
        </w:tc>
      </w:tr>
    </w:tbl>
    <w:p w14:paraId="66AB4007" w14:textId="77777777" w:rsidR="00AC62C1" w:rsidRPr="00AC62C1" w:rsidRDefault="00AC62C1" w:rsidP="00361EF8">
      <w:pPr>
        <w:pStyle w:val="Tablenotes0"/>
      </w:pPr>
      <w:r>
        <w:t xml:space="preserve">MS = multiple sclerosis; </w:t>
      </w:r>
      <w:r w:rsidRPr="00AC62C1">
        <w:t xml:space="preserve">NMOSD = neuromyelitis optica spectrum disorders; </w:t>
      </w:r>
      <w:r>
        <w:t>ON = optic neuritis</w:t>
      </w:r>
    </w:p>
    <w:p w14:paraId="52C4458D" w14:textId="67502299" w:rsidR="00980D1E" w:rsidRDefault="00361EF8" w:rsidP="00361EF8">
      <w:pPr>
        <w:pStyle w:val="Tablenotes0"/>
      </w:pPr>
      <w:r>
        <w:rPr>
          <w:vertAlign w:val="superscript"/>
        </w:rPr>
        <w:t>a</w:t>
      </w:r>
      <w:r>
        <w:t xml:space="preserve"> In the total cohort 158 patients (82%) were </w:t>
      </w:r>
      <w:r w:rsidR="00907E7E">
        <w:t xml:space="preserve">finally </w:t>
      </w:r>
      <w:r>
        <w:t>diagnosed with NMO and 35 (18.1) with NMOSD</w:t>
      </w:r>
      <w:r w:rsidR="00714736">
        <w:t xml:space="preserve">. </w:t>
      </w:r>
    </w:p>
    <w:p w14:paraId="084C483D" w14:textId="77777777" w:rsidR="009D7259" w:rsidRDefault="009D7259" w:rsidP="00361EF8">
      <w:pPr>
        <w:pStyle w:val="Tablenotes0"/>
      </w:pPr>
    </w:p>
    <w:p w14:paraId="61B71C55" w14:textId="4AC8481B" w:rsidR="00206EA5" w:rsidRPr="00953B6A" w:rsidRDefault="002F00DF" w:rsidP="00055380">
      <w:r w:rsidRPr="00953B6A">
        <w:t>Three</w:t>
      </w:r>
      <w:r w:rsidR="008E7FE0" w:rsidRPr="00953B6A">
        <w:t xml:space="preserve"> studies compared the number of patients that met the NMOSD 2015 IPND diagnostic criteria with the number </w:t>
      </w:r>
      <w:r w:rsidR="006C2FF7" w:rsidRPr="00953B6A">
        <w:t xml:space="preserve">of diagnoses by </w:t>
      </w:r>
      <w:r w:rsidRPr="00953B6A">
        <w:t>earlier</w:t>
      </w:r>
      <w:r w:rsidR="008E7FE0" w:rsidRPr="00953B6A">
        <w:t xml:space="preserve"> criteria, by retrospective analysis of patient data</w:t>
      </w:r>
      <w:r w:rsidRPr="00953B6A">
        <w:t xml:space="preserve"> </w:t>
      </w:r>
      <w:r w:rsidR="00156621">
        <w:fldChar w:fldCharType="begin">
          <w:fldData xml:space="preserve">PEVuZE5vdGU+PENpdGU+PEF1dGhvcj5IZW5uZXM8L0F1dGhvcj48WWVhcj4yMDE3PC9ZZWFyPjxS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=
</w:fldData>
        </w:fldChar>
      </w:r>
      <w:r w:rsidR="00D96694">
        <w:instrText xml:space="preserve"> ADDIN EN.CITE </w:instrText>
      </w:r>
      <w:r w:rsidR="00D96694">
        <w:fldChar w:fldCharType="begin">
          <w:fldData xml:space="preserve">PEVuZE5vdGU+PENpdGU+PEF1dGhvcj5IZW5uZXM8L0F1dGhvcj48WWVhcj4yMDE3PC9ZZWFyPjxS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=
</w:fldData>
        </w:fldChar>
      </w:r>
      <w:r w:rsidR="00D96694">
        <w:instrText xml:space="preserve"> ADDIN EN.CITE.DATA </w:instrText>
      </w:r>
      <w:r w:rsidR="00D96694">
        <w:fldChar w:fldCharType="end"/>
      </w:r>
      <w:r w:rsidR="00156621">
        <w:fldChar w:fldCharType="separate"/>
      </w:r>
      <w:r w:rsidR="00156621">
        <w:rPr>
          <w:noProof/>
        </w:rPr>
        <w:t>(Hennes et al. 2017; Hyun et al. 2016; Papais-Alvarenga et al. 2018)</w:t>
      </w:r>
      <w:r w:rsidR="00156621">
        <w:fldChar w:fldCharType="end"/>
      </w:r>
      <w:r w:rsidR="008E7FE0" w:rsidRPr="00953B6A">
        <w:t xml:space="preserve">. </w:t>
      </w:r>
      <w:r w:rsidR="00206EA5" w:rsidRPr="00953B6A">
        <w:t xml:space="preserve">One population was of children with ADS, </w:t>
      </w:r>
      <w:r w:rsidR="00121196">
        <w:t xml:space="preserve">and </w:t>
      </w:r>
      <w:r w:rsidR="00206EA5" w:rsidRPr="00953B6A">
        <w:t xml:space="preserve">there were </w:t>
      </w:r>
      <w:r w:rsidR="008E7FE0" w:rsidRPr="00953B6A">
        <w:t xml:space="preserve">two </w:t>
      </w:r>
      <w:r w:rsidR="00206EA5" w:rsidRPr="00953B6A">
        <w:t xml:space="preserve">populations of patients with </w:t>
      </w:r>
      <w:r w:rsidR="00703C71">
        <w:t>CNS i</w:t>
      </w:r>
      <w:r w:rsidR="00217564" w:rsidRPr="00953B6A">
        <w:t>nflammatory</w:t>
      </w:r>
      <w:r w:rsidR="00206EA5" w:rsidRPr="00953B6A">
        <w:t xml:space="preserve"> disease (CNS ID or IIDD) </w:t>
      </w:r>
      <w:r w:rsidRPr="00953B6A">
        <w:t>One study performed a sub-analysis</w:t>
      </w:r>
      <w:r w:rsidR="00206EA5" w:rsidRPr="00953B6A">
        <w:t xml:space="preserve"> of AQP4-Ab positive NMOSD </w:t>
      </w:r>
      <w:r w:rsidR="006C2FF7" w:rsidRPr="00953B6A">
        <w:t xml:space="preserve">patients </w:t>
      </w:r>
      <w:r w:rsidRPr="00953B6A">
        <w:t>who met</w:t>
      </w:r>
      <w:r w:rsidR="00206EA5" w:rsidRPr="00953B6A">
        <w:t xml:space="preserve"> the 2015 criteria</w:t>
      </w:r>
      <w:r w:rsidRPr="00953B6A">
        <w:t xml:space="preserve"> </w:t>
      </w:r>
      <w:r w:rsidR="00156621">
        <w:fldChar w:fldCharType="begin"/>
      </w:r>
      <w:r w:rsidR="00D96694">
        <w:instrText xml:space="preserve"> ADDIN EN.CITE &lt;EndNote&gt;&lt;Cite&gt;&lt;Author&gt;Hyun&lt;/Author&gt;&lt;Year&gt;2016&lt;/Year&gt;&lt;RecNum&gt;90&lt;/RecNum&gt;&lt;DisplayText&gt;(Hyun et al. 2016)&lt;/DisplayText&gt;&lt;record&gt;&lt;rec-number&gt;90&lt;/rec-number&gt;&lt;foreign-keys&gt;&lt;key app="EN" db-id="r25zptaswpdzade29ws5pf9gx55ztppatt20" timestamp="1582849117"&gt;90&lt;/key&gt;&lt;/foreign-keys&gt;&lt;ref-type name="Journal Article"&gt;17&lt;/ref-type&gt;&lt;contributors&gt;&lt;authors&gt;&lt;author&gt;Hyun, J. W.&lt;/author&gt;&lt;author&gt;Jeong, I. H.&lt;/author&gt;&lt;author&gt;Joung, A.&lt;/author&gt;&lt;author&gt;Kim, S. H.&lt;/author&gt;&lt;author&gt;Kim, H. J.&lt;/author&gt;&lt;/authors&gt;&lt;/contributors&gt;&lt;auth-address&gt;From the Department of Neurology, Research Institute and Hospital of National Cancer Center, Goyang, Korea. From the Department of Neurology, Research Institute and Hospital of National Cancer Center, Goyang, Korea. hojinkim@ncc.re.kr.&lt;/auth-address&gt;&lt;titles&gt;&lt;title&gt;Evaluation of the 2015 diagnostic criteria for neuromyelitis optica spectrum disorder&lt;/title&gt;&lt;secondary-title&gt;Neurology&lt;/secondary-title&gt;&lt;/titles&gt;&lt;periodical&gt;&lt;full-title&gt;Neurology&lt;/full-title&gt;&lt;/periodical&gt;&lt;pages&gt;1772-9&lt;/pages&gt;&lt;volume&gt;86&lt;/volume&gt;&lt;number&gt;19&lt;/number&gt;&lt;keywords&gt;&lt;keyword&gt;Adult&lt;/keyword&gt;&lt;keyword&gt;Aquaporin 4/immunology&lt;/keyword&gt;&lt;keyword&gt;Diagnosis, Differential&lt;/keyword&gt;&lt;keyword&gt;Enzyme-Linked Immunosorbent Assay&lt;/keyword&gt;&lt;keyword&gt;Female&lt;/keyword&gt;&lt;keyword&gt;Follow-Up Studies&lt;/keyword&gt;&lt;keyword&gt;Humans&lt;/keyword&gt;&lt;keyword&gt;Immunoglobulin G/metabolism&lt;/keyword&gt;&lt;keyword&gt;Male&lt;/keyword&gt;&lt;keyword&gt;Neuromyelitis Optica/ diagnosis/physiopathology&lt;/keyword&gt;&lt;keyword&gt;Retrospective Studies&lt;/keyword&gt;&lt;/keywords&gt;&lt;dates&gt;&lt;year&gt;2016&lt;/year&gt;&lt;pub-dates&gt;&lt;date&gt;May 10&lt;/date&gt;&lt;/pub-dates&gt;&lt;/dates&gt;&lt;accession-num&gt;27164713&lt;/accession-num&gt;&lt;urls&gt;&lt;related-urls&gt;&lt;url&gt;https://n.neurology.org/content/86/19/1772.long&lt;/url&gt;&lt;/related-urls&gt;&lt;/urls&gt;&lt;remote-database-provider&gt;Nlm&lt;/remote-database-provider&gt;&lt;research-notes&gt;pop: adults, NMOSD&amp;#xD;inter: diagnosis by 2015 criteria,&amp;#xD;reported: AQP4 status, agreement between 2006 (with assumed unknown AQP4 status) and 2015 diagnoses&lt;/research-notes&gt;&lt;language&gt;eng&lt;/language&gt;&lt;/record&gt;&lt;/Cite&gt;&lt;/EndNote&gt;</w:instrText>
      </w:r>
      <w:r w:rsidR="00156621">
        <w:fldChar w:fldCharType="separate"/>
      </w:r>
      <w:r w:rsidR="00156621">
        <w:rPr>
          <w:noProof/>
        </w:rPr>
        <w:t>(Hyun et al. 2016)</w:t>
      </w:r>
      <w:r w:rsidR="00156621">
        <w:fldChar w:fldCharType="end"/>
      </w:r>
      <w:r w:rsidR="00206EA5" w:rsidRPr="00953B6A">
        <w:t>.</w:t>
      </w:r>
      <w:r w:rsidR="00B154BF" w:rsidRPr="00953B6A">
        <w:t xml:space="preserve"> The </w:t>
      </w:r>
      <w:r w:rsidR="00DF59C4">
        <w:t>odds ratio (</w:t>
      </w:r>
      <w:r w:rsidR="00B154BF" w:rsidRPr="00953B6A">
        <w:t>OR</w:t>
      </w:r>
      <w:r w:rsidR="00DF59C4">
        <w:t>)</w:t>
      </w:r>
      <w:r w:rsidR="00B154BF" w:rsidRPr="00953B6A">
        <w:t xml:space="preserve"> for likelihood of a NMOSD diagnosis was calculated for each study</w:t>
      </w:r>
      <w:r w:rsidR="00121196">
        <w:t>,</w:t>
      </w:r>
      <w:r w:rsidR="00B154BF" w:rsidRPr="00953B6A">
        <w:t xml:space="preserve"> and reported with results published in the articles in </w:t>
      </w:r>
      <w:r w:rsidR="00B154BF" w:rsidRPr="00953B6A">
        <w:fldChar w:fldCharType="begin"/>
      </w:r>
      <w:r w:rsidR="00B154BF" w:rsidRPr="00953B6A">
        <w:instrText xml:space="preserve"> REF _Ref30062889 \h </w:instrText>
      </w:r>
      <w:r w:rsidR="00BF444E" w:rsidRPr="00953B6A">
        <w:instrText xml:space="preserve"> \* MERGEFORMAT </w:instrText>
      </w:r>
      <w:r w:rsidR="00B154BF" w:rsidRPr="00953B6A">
        <w:fldChar w:fldCharType="separate"/>
      </w:r>
      <w:r w:rsidR="009D7259">
        <w:t xml:space="preserve">Table </w:t>
      </w:r>
      <w:r w:rsidR="009D7259">
        <w:rPr>
          <w:noProof/>
        </w:rPr>
        <w:t>44</w:t>
      </w:r>
      <w:r w:rsidR="00B154BF" w:rsidRPr="00953B6A">
        <w:fldChar w:fldCharType="end"/>
      </w:r>
      <w:r w:rsidR="00B154BF" w:rsidRPr="00953B6A">
        <w:t>.</w:t>
      </w:r>
    </w:p>
    <w:p w14:paraId="48C6DFDD" w14:textId="77777777" w:rsidR="006C2FF7" w:rsidRPr="00953B6A" w:rsidRDefault="00206EA5" w:rsidP="00055380">
      <w:r w:rsidRPr="00953B6A">
        <w:t>T</w:t>
      </w:r>
      <w:r w:rsidR="006C2FF7" w:rsidRPr="00953B6A">
        <w:t>wo</w:t>
      </w:r>
      <w:r w:rsidRPr="00953B6A">
        <w:t xml:space="preserve"> of the studies found that a statistically significant higher number of patients </w:t>
      </w:r>
      <w:r w:rsidR="00121196">
        <w:t>were</w:t>
      </w:r>
      <w:r w:rsidR="00121196" w:rsidRPr="00953B6A">
        <w:t xml:space="preserve"> </w:t>
      </w:r>
      <w:r w:rsidRPr="00953B6A">
        <w:t xml:space="preserve">diagnosed with NMOSD by the 2015 IPND criteria than the 2006 criteria, </w:t>
      </w:r>
      <w:r w:rsidR="00121196">
        <w:t>with</w:t>
      </w:r>
      <w:r w:rsidRPr="00953B6A">
        <w:t xml:space="preserve"> a further 19.5% to 2</w:t>
      </w:r>
      <w:r w:rsidR="006C2FF7" w:rsidRPr="00953B6A">
        <w:t>1.9</w:t>
      </w:r>
      <w:r w:rsidRPr="00953B6A">
        <w:t>% of patients receiv</w:t>
      </w:r>
      <w:r w:rsidR="00121196">
        <w:t>ing</w:t>
      </w:r>
      <w:r w:rsidRPr="00953B6A">
        <w:t xml:space="preserve"> a diagnosis with the 2015 criteria. </w:t>
      </w:r>
      <w:r w:rsidR="00B154BF" w:rsidRPr="00953B6A">
        <w:t xml:space="preserve">For these two results the OR was statistically significant, indicating </w:t>
      </w:r>
      <w:r w:rsidR="00121196" w:rsidRPr="00953B6A">
        <w:t xml:space="preserve">an NMOSD </w:t>
      </w:r>
      <w:r w:rsidR="00121196">
        <w:t>diagnosis was</w:t>
      </w:r>
      <w:r w:rsidR="00121196" w:rsidRPr="00953B6A">
        <w:t xml:space="preserve"> </w:t>
      </w:r>
      <w:r w:rsidR="00B154BF" w:rsidRPr="00953B6A">
        <w:t xml:space="preserve">1.76 or 2.48 times </w:t>
      </w:r>
      <w:r w:rsidR="00121196">
        <w:t>more likely</w:t>
      </w:r>
      <w:r w:rsidR="00B154BF" w:rsidRPr="00953B6A">
        <w:t xml:space="preserve"> using the 2015 criteria compared with the 2006 criteria (which is less likely to include AQP4-Ab testing). </w:t>
      </w:r>
      <w:r w:rsidR="00BF444E" w:rsidRPr="00953B6A">
        <w:t>Following the same trend, a</w:t>
      </w:r>
      <w:r w:rsidR="006C2FF7" w:rsidRPr="00953B6A">
        <w:t>n additional 28% of patients were diagnosed by the 2015 criteria when AQP4-Ab testing was performed compared to when the 2015 criteria were used without testing</w:t>
      </w:r>
      <w:r w:rsidR="00B154BF" w:rsidRPr="00953B6A">
        <w:t xml:space="preserve"> in a </w:t>
      </w:r>
      <w:r w:rsidR="00BF444E" w:rsidRPr="00953B6A">
        <w:t>sub-</w:t>
      </w:r>
      <w:r w:rsidR="00B154BF" w:rsidRPr="00953B6A">
        <w:t>group that had been given a definitive diagnosis of AQP4-Ab positive NMSOD</w:t>
      </w:r>
      <w:r w:rsidR="006C2FF7" w:rsidRPr="00953B6A">
        <w:t xml:space="preserve">. </w:t>
      </w:r>
    </w:p>
    <w:p w14:paraId="10870C36" w14:textId="77777777" w:rsidR="0091323E" w:rsidRDefault="00206EA5" w:rsidP="00055380">
      <w:r w:rsidRPr="00953B6A">
        <w:t xml:space="preserve">The </w:t>
      </w:r>
      <w:r w:rsidR="00D97DDA" w:rsidRPr="00953B6A">
        <w:t>third</w:t>
      </w:r>
      <w:r w:rsidRPr="00953B6A">
        <w:t xml:space="preserve"> study, performed in children with ADS</w:t>
      </w:r>
      <w:r w:rsidR="001C2FE2">
        <w:t>,</w:t>
      </w:r>
      <w:r w:rsidRPr="00953B6A">
        <w:t xml:space="preserve"> found that the</w:t>
      </w:r>
      <w:r w:rsidR="006C2FF7" w:rsidRPr="00953B6A">
        <w:t xml:space="preserve">re was a </w:t>
      </w:r>
      <w:r w:rsidR="001C2FE2" w:rsidRPr="00953B6A">
        <w:t xml:space="preserve">21.9% </w:t>
      </w:r>
      <w:r w:rsidRPr="00953B6A">
        <w:t xml:space="preserve">increase in </w:t>
      </w:r>
      <w:r w:rsidR="006C2FF7" w:rsidRPr="00953B6A">
        <w:t xml:space="preserve">NMOSD </w:t>
      </w:r>
      <w:r w:rsidRPr="00953B6A">
        <w:t xml:space="preserve">diagnoses </w:t>
      </w:r>
      <w:r w:rsidR="006C2FF7" w:rsidRPr="00953B6A">
        <w:t>24 months after initial diagnosis</w:t>
      </w:r>
      <w:r w:rsidRPr="00953B6A">
        <w:t xml:space="preserve">, </w:t>
      </w:r>
      <w:r w:rsidR="00D97DDA" w:rsidRPr="00953B6A">
        <w:t>although</w:t>
      </w:r>
      <w:r w:rsidRPr="00953B6A">
        <w:t xml:space="preserve"> the </w:t>
      </w:r>
      <w:r w:rsidR="00BF444E" w:rsidRPr="00953B6A">
        <w:t xml:space="preserve">OR for this </w:t>
      </w:r>
      <w:r w:rsidRPr="00953B6A">
        <w:t xml:space="preserve">result was not statistically significant. This study was different from the </w:t>
      </w:r>
      <w:r w:rsidR="00442E7C" w:rsidRPr="00953B6A">
        <w:t>other</w:t>
      </w:r>
      <w:r w:rsidR="00D97DDA" w:rsidRPr="00953B6A">
        <w:t xml:space="preserve"> two</w:t>
      </w:r>
      <w:r w:rsidRPr="00953B6A">
        <w:t xml:space="preserve"> in that diagnosis was </w:t>
      </w:r>
      <w:r w:rsidR="00217564" w:rsidRPr="00953B6A">
        <w:t>made</w:t>
      </w:r>
      <w:r w:rsidRPr="00953B6A">
        <w:t xml:space="preserve"> within a limited time period (24 months)</w:t>
      </w:r>
      <w:r w:rsidR="00A1269D">
        <w:t>,</w:t>
      </w:r>
      <w:r w:rsidRPr="00953B6A">
        <w:t xml:space="preserve"> which may </w:t>
      </w:r>
      <w:r w:rsidR="006C2FF7" w:rsidRPr="00953B6A">
        <w:t>be an indicator of the time taken for symptom development which would lead to a definitive diagnosis in this population.</w:t>
      </w:r>
      <w:r w:rsidR="006C2FF7">
        <w:t xml:space="preserve"> </w:t>
      </w:r>
    </w:p>
    <w:p w14:paraId="27EC2ED0" w14:textId="31F7E1E2" w:rsidR="004371CF" w:rsidRDefault="00211976" w:rsidP="006C2FF7">
      <w:pPr>
        <w:pStyle w:val="Caption"/>
        <w:keepLines/>
      </w:pPr>
      <w:bookmarkStart w:id="290" w:name="_Ref30062889"/>
      <w:bookmarkStart w:id="291" w:name="_Toc39580825"/>
      <w:r>
        <w:t xml:space="preserve">Table </w:t>
      </w:r>
      <w:fldSimple w:instr=" SEQ Table \* ARABIC ">
        <w:r w:rsidR="00FA7BCD">
          <w:rPr>
            <w:noProof/>
          </w:rPr>
          <w:t>44</w:t>
        </w:r>
      </w:fldSimple>
      <w:bookmarkEnd w:id="290"/>
      <w:r w:rsidR="00EC2492">
        <w:rPr>
          <w:noProof/>
        </w:rPr>
        <w:tab/>
        <w:t>Change in the number of NMOSD diagnoses</w:t>
      </w:r>
      <w:bookmarkEnd w:id="291"/>
      <w:r w:rsidR="00907E7E">
        <w:rPr>
          <w:noProof/>
        </w:rPr>
        <w:t xml:space="preserve"> </w:t>
      </w:r>
    </w:p>
    <w:tbl>
      <w:tblPr>
        <w:tblStyle w:val="TableGrid1"/>
        <w:tblW w:w="9064"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44 Change in the number of NMOSD diagnoses "/>
        <w:tblDescription w:val="A comparison of the number of patients not initially diagnosed with NMOSD, who were given a final NMOSD diagnosed based on the 2015 criteria compared with the 2006 criteria"/>
      </w:tblPr>
      <w:tblGrid>
        <w:gridCol w:w="823"/>
        <w:gridCol w:w="1721"/>
        <w:gridCol w:w="1984"/>
        <w:gridCol w:w="1701"/>
        <w:gridCol w:w="1418"/>
        <w:gridCol w:w="1417"/>
      </w:tblGrid>
      <w:tr w:rsidR="007F6B5E" w:rsidRPr="001C45F4" w14:paraId="24E73980" w14:textId="77777777" w:rsidTr="007F6B5E">
        <w:trPr>
          <w:cnfStyle w:val="100000000000" w:firstRow="1" w:lastRow="0" w:firstColumn="0" w:lastColumn="0" w:oddVBand="0" w:evenVBand="0" w:oddHBand="0" w:evenHBand="0" w:firstRowFirstColumn="0" w:firstRowLastColumn="0" w:lastRowFirstColumn="0" w:lastRowLastColumn="0"/>
        </w:trPr>
        <w:tc>
          <w:tcPr>
            <w:tcW w:w="823" w:type="dxa"/>
            <w:tcBorders>
              <w:top w:val="single" w:sz="6" w:space="0" w:color="auto"/>
              <w:left w:val="single" w:sz="6" w:space="0" w:color="auto"/>
              <w:bottom w:val="single" w:sz="6" w:space="0" w:color="auto"/>
              <w:right w:val="single" w:sz="6" w:space="0" w:color="auto"/>
            </w:tcBorders>
            <w:hideMark/>
          </w:tcPr>
          <w:p w14:paraId="2ACCA812" w14:textId="77777777" w:rsidR="007F6B5E" w:rsidRPr="001C45F4" w:rsidRDefault="007F6B5E" w:rsidP="006C2FF7">
            <w:pPr>
              <w:keepNext/>
              <w:keepLines/>
              <w:jc w:val="left"/>
              <w:rPr>
                <w:rFonts w:ascii="Arial Narrow" w:hAnsi="Arial Narrow"/>
                <w:b/>
              </w:rPr>
            </w:pPr>
            <w:r w:rsidRPr="001C45F4">
              <w:rPr>
                <w:rFonts w:ascii="Arial Narrow" w:hAnsi="Arial Narrow"/>
                <w:b/>
              </w:rPr>
              <w:t>Study</w:t>
            </w:r>
          </w:p>
        </w:tc>
        <w:tc>
          <w:tcPr>
            <w:tcW w:w="1721" w:type="dxa"/>
            <w:tcBorders>
              <w:top w:val="single" w:sz="6" w:space="0" w:color="auto"/>
              <w:left w:val="single" w:sz="6" w:space="0" w:color="auto"/>
              <w:bottom w:val="single" w:sz="6" w:space="0" w:color="auto"/>
              <w:right w:val="single" w:sz="6" w:space="0" w:color="auto"/>
            </w:tcBorders>
            <w:hideMark/>
          </w:tcPr>
          <w:p w14:paraId="08589176" w14:textId="77777777" w:rsidR="007F6B5E" w:rsidRPr="001C45F4" w:rsidRDefault="007F6B5E" w:rsidP="006C2FF7">
            <w:pPr>
              <w:keepNext/>
              <w:keepLines/>
              <w:jc w:val="left"/>
              <w:rPr>
                <w:rFonts w:ascii="Arial Narrow" w:hAnsi="Arial Narrow"/>
                <w:b/>
              </w:rPr>
            </w:pPr>
            <w:r w:rsidRPr="001C45F4">
              <w:rPr>
                <w:rFonts w:ascii="Arial Narrow" w:hAnsi="Arial Narrow"/>
                <w:b/>
              </w:rPr>
              <w:t>Population</w:t>
            </w:r>
          </w:p>
        </w:tc>
        <w:tc>
          <w:tcPr>
            <w:tcW w:w="1984" w:type="dxa"/>
            <w:tcBorders>
              <w:top w:val="single" w:sz="6" w:space="0" w:color="auto"/>
              <w:left w:val="single" w:sz="6" w:space="0" w:color="auto"/>
              <w:bottom w:val="single" w:sz="6" w:space="0" w:color="auto"/>
              <w:right w:val="single" w:sz="6" w:space="0" w:color="auto"/>
            </w:tcBorders>
            <w:hideMark/>
          </w:tcPr>
          <w:p w14:paraId="48D103F4" w14:textId="77777777" w:rsidR="007F6B5E" w:rsidRDefault="007F6B5E" w:rsidP="006C2FF7">
            <w:pPr>
              <w:keepNext/>
              <w:keepLines/>
              <w:jc w:val="left"/>
              <w:rPr>
                <w:rFonts w:ascii="Arial Narrow" w:hAnsi="Arial Narrow"/>
                <w:b/>
              </w:rPr>
            </w:pPr>
            <w:r w:rsidRPr="001C45F4">
              <w:rPr>
                <w:rFonts w:ascii="Arial Narrow" w:hAnsi="Arial Narrow"/>
                <w:b/>
              </w:rPr>
              <w:t>Intervention</w:t>
            </w:r>
          </w:p>
          <w:p w14:paraId="1591884D" w14:textId="77777777" w:rsidR="007F6B5E" w:rsidRPr="001C45F4" w:rsidRDefault="007F6B5E" w:rsidP="006C2FF7">
            <w:pPr>
              <w:keepNext/>
              <w:keepLines/>
              <w:jc w:val="left"/>
              <w:rPr>
                <w:rFonts w:ascii="Arial Narrow" w:hAnsi="Arial Narrow"/>
                <w:b/>
              </w:rPr>
            </w:pPr>
            <w:r>
              <w:rPr>
                <w:rFonts w:ascii="Arial Narrow" w:hAnsi="Arial Narrow"/>
                <w:b/>
              </w:rPr>
              <w:t>n/N (%)</w:t>
            </w:r>
          </w:p>
        </w:tc>
        <w:tc>
          <w:tcPr>
            <w:tcW w:w="1701" w:type="dxa"/>
            <w:tcBorders>
              <w:top w:val="single" w:sz="6" w:space="0" w:color="auto"/>
              <w:left w:val="single" w:sz="6" w:space="0" w:color="auto"/>
              <w:bottom w:val="single" w:sz="6" w:space="0" w:color="auto"/>
              <w:right w:val="single" w:sz="6" w:space="0" w:color="auto"/>
            </w:tcBorders>
            <w:hideMark/>
          </w:tcPr>
          <w:p w14:paraId="0B26B197" w14:textId="77777777" w:rsidR="007F6B5E" w:rsidRDefault="007F6B5E" w:rsidP="006C2FF7">
            <w:pPr>
              <w:keepNext/>
              <w:keepLines/>
              <w:jc w:val="left"/>
              <w:rPr>
                <w:rFonts w:ascii="Arial Narrow" w:hAnsi="Arial Narrow"/>
                <w:b/>
              </w:rPr>
            </w:pPr>
            <w:r w:rsidRPr="001C45F4">
              <w:rPr>
                <w:rFonts w:ascii="Arial Narrow" w:hAnsi="Arial Narrow"/>
                <w:b/>
              </w:rPr>
              <w:t>Comparator</w:t>
            </w:r>
          </w:p>
          <w:p w14:paraId="6677A97F" w14:textId="77777777" w:rsidR="007F6B5E" w:rsidRPr="001C45F4" w:rsidRDefault="007F6B5E" w:rsidP="006C2FF7">
            <w:pPr>
              <w:keepNext/>
              <w:keepLines/>
              <w:jc w:val="left"/>
              <w:rPr>
                <w:rFonts w:ascii="Arial Narrow" w:hAnsi="Arial Narrow"/>
                <w:b/>
              </w:rPr>
            </w:pPr>
            <w:r>
              <w:rPr>
                <w:rFonts w:ascii="Arial Narrow" w:hAnsi="Arial Narrow"/>
                <w:b/>
              </w:rPr>
              <w:t>n/N (%)</w:t>
            </w:r>
          </w:p>
        </w:tc>
        <w:tc>
          <w:tcPr>
            <w:tcW w:w="1418" w:type="dxa"/>
            <w:tcBorders>
              <w:top w:val="single" w:sz="6" w:space="0" w:color="auto"/>
              <w:left w:val="single" w:sz="6" w:space="0" w:color="auto"/>
              <w:bottom w:val="single" w:sz="6" w:space="0" w:color="auto"/>
              <w:right w:val="single" w:sz="6" w:space="0" w:color="auto"/>
            </w:tcBorders>
          </w:tcPr>
          <w:p w14:paraId="17AE5D75" w14:textId="77777777" w:rsidR="007F6B5E" w:rsidRPr="00953B6A" w:rsidRDefault="007F6B5E" w:rsidP="006C2FF7">
            <w:pPr>
              <w:keepNext/>
              <w:keepLines/>
              <w:jc w:val="left"/>
              <w:rPr>
                <w:rFonts w:ascii="Arial Narrow" w:hAnsi="Arial Narrow"/>
                <w:b/>
                <w:vertAlign w:val="superscript"/>
              </w:rPr>
            </w:pPr>
            <w:r w:rsidRPr="00953B6A">
              <w:rPr>
                <w:rFonts w:ascii="Arial Narrow" w:hAnsi="Arial Narrow"/>
                <w:b/>
              </w:rPr>
              <w:t>OR</w:t>
            </w:r>
            <w:r w:rsidRPr="00953B6A">
              <w:rPr>
                <w:rFonts w:ascii="Arial Narrow" w:hAnsi="Arial Narrow"/>
                <w:b/>
                <w:vertAlign w:val="superscript"/>
              </w:rPr>
              <w:t>b</w:t>
            </w:r>
          </w:p>
          <w:p w14:paraId="17440FB2" w14:textId="77777777" w:rsidR="007F6B5E" w:rsidRPr="00953B6A" w:rsidRDefault="007F6B5E" w:rsidP="006C2FF7">
            <w:pPr>
              <w:keepNext/>
              <w:keepLines/>
              <w:jc w:val="left"/>
              <w:rPr>
                <w:rFonts w:ascii="Arial Narrow" w:hAnsi="Arial Narrow"/>
                <w:b/>
              </w:rPr>
            </w:pPr>
            <w:r w:rsidRPr="00953B6A">
              <w:rPr>
                <w:rFonts w:ascii="Arial Narrow" w:hAnsi="Arial Narrow"/>
                <w:b/>
              </w:rPr>
              <w:t>(95%CI)</w:t>
            </w:r>
          </w:p>
        </w:tc>
        <w:tc>
          <w:tcPr>
            <w:tcW w:w="1417" w:type="dxa"/>
            <w:tcBorders>
              <w:top w:val="single" w:sz="6" w:space="0" w:color="auto"/>
              <w:left w:val="single" w:sz="6" w:space="0" w:color="auto"/>
              <w:bottom w:val="single" w:sz="6" w:space="0" w:color="auto"/>
              <w:right w:val="single" w:sz="6" w:space="0" w:color="auto"/>
            </w:tcBorders>
            <w:hideMark/>
          </w:tcPr>
          <w:p w14:paraId="291AF05D" w14:textId="77777777" w:rsidR="007F6B5E" w:rsidRPr="00953B6A" w:rsidRDefault="007F6B5E" w:rsidP="006C2FF7">
            <w:pPr>
              <w:keepNext/>
              <w:keepLines/>
              <w:jc w:val="left"/>
              <w:rPr>
                <w:rFonts w:ascii="Arial Narrow" w:hAnsi="Arial Narrow"/>
                <w:b/>
                <w:vertAlign w:val="superscript"/>
              </w:rPr>
            </w:pPr>
            <w:r w:rsidRPr="00953B6A">
              <w:rPr>
                <w:rFonts w:ascii="Arial Narrow" w:hAnsi="Arial Narrow"/>
                <w:b/>
              </w:rPr>
              <w:t>Difference</w:t>
            </w:r>
            <w:r w:rsidRPr="00953B6A">
              <w:rPr>
                <w:rFonts w:ascii="Arial Narrow" w:hAnsi="Arial Narrow"/>
                <w:b/>
                <w:vertAlign w:val="superscript"/>
              </w:rPr>
              <w:t>c</w:t>
            </w:r>
          </w:p>
          <w:p w14:paraId="0983EB51" w14:textId="77777777" w:rsidR="007F6B5E" w:rsidRPr="00953B6A" w:rsidRDefault="007F6B5E" w:rsidP="006C2FF7">
            <w:pPr>
              <w:keepNext/>
              <w:keepLines/>
              <w:jc w:val="left"/>
              <w:rPr>
                <w:rFonts w:ascii="Arial Narrow" w:hAnsi="Arial Narrow"/>
                <w:b/>
              </w:rPr>
            </w:pPr>
            <w:r w:rsidRPr="00953B6A">
              <w:rPr>
                <w:rFonts w:ascii="Arial Narrow" w:hAnsi="Arial Narrow"/>
                <w:b/>
              </w:rPr>
              <w:t>P value</w:t>
            </w:r>
          </w:p>
        </w:tc>
      </w:tr>
      <w:tr w:rsidR="007F6B5E" w:rsidRPr="004371CF" w14:paraId="736B5BE0" w14:textId="77777777" w:rsidTr="007F6B5E">
        <w:tc>
          <w:tcPr>
            <w:tcW w:w="823" w:type="dxa"/>
            <w:vMerge w:val="restart"/>
            <w:tcBorders>
              <w:top w:val="single" w:sz="6" w:space="0" w:color="auto"/>
              <w:left w:val="single" w:sz="6" w:space="0" w:color="auto"/>
              <w:right w:val="single" w:sz="6" w:space="0" w:color="auto"/>
            </w:tcBorders>
            <w:hideMark/>
          </w:tcPr>
          <w:p w14:paraId="5595AA62" w14:textId="38A60344" w:rsidR="007F6B5E" w:rsidRPr="004371CF" w:rsidRDefault="00156621" w:rsidP="00D96694">
            <w:pPr>
              <w:keepNext/>
              <w:keepLines/>
              <w:jc w:val="left"/>
              <w:rPr>
                <w:rFonts w:ascii="Arial Narrow" w:hAnsi="Arial Narrow"/>
              </w:rPr>
            </w:pPr>
            <w:r>
              <w:rPr>
                <w:rFonts w:ascii="Arial Narrow" w:hAnsi="Arial Narrow"/>
              </w:rPr>
              <w:fldChar w:fldCharType="begin"/>
            </w:r>
            <w:r w:rsidR="00D96694">
              <w:rPr>
                <w:rFonts w:ascii="Arial Narrow" w:hAnsi="Arial Narrow"/>
              </w:rPr>
              <w:instrText xml:space="preserve"> ADDIN EN.CITE &lt;EndNote&gt;&lt;Cite&gt;&lt;Author&gt;Hyun&lt;/Author&gt;&lt;Year&gt;2016&lt;/Year&gt;&lt;RecNum&gt;90&lt;/RecNum&gt;&lt;DisplayText&gt;(Hyun et al. 2016)&lt;/DisplayText&gt;&lt;record&gt;&lt;rec-number&gt;90&lt;/rec-number&gt;&lt;foreign-keys&gt;&lt;key app="EN" db-id="r25zptaswpdzade29ws5pf9gx55ztppatt20" timestamp="1582849117"&gt;90&lt;/key&gt;&lt;/foreign-keys&gt;&lt;ref-type name="Journal Article"&gt;17&lt;/ref-type&gt;&lt;contributors&gt;&lt;authors&gt;&lt;author&gt;Hyun, J. W.&lt;/author&gt;&lt;author&gt;Jeong, I. H.&lt;/author&gt;&lt;author&gt;Joung, A.&lt;/author&gt;&lt;author&gt;Kim, S. H.&lt;/author&gt;&lt;author&gt;Kim, H. J.&lt;/author&gt;&lt;/authors&gt;&lt;/contributors&gt;&lt;auth-address&gt;From the Department of Neurology, Research Institute and Hospital of National Cancer Center, Goyang, Korea. From the Department of Neurology, Research Institute and Hospital of National Cancer Center, Goyang, Korea. hojinkim@ncc.re.kr.&lt;/auth-address&gt;&lt;titles&gt;&lt;title&gt;Evaluation of the 2015 diagnostic criteria for neuromyelitis optica spectrum disorder&lt;/title&gt;&lt;secondary-title&gt;Neurology&lt;/secondary-title&gt;&lt;/titles&gt;&lt;periodical&gt;&lt;full-title&gt;Neurology&lt;/full-title&gt;&lt;/periodical&gt;&lt;pages&gt;1772-9&lt;/pages&gt;&lt;volume&gt;86&lt;/volume&gt;&lt;number&gt;19&lt;/number&gt;&lt;keywords&gt;&lt;keyword&gt;Adult&lt;/keyword&gt;&lt;keyword&gt;Aquaporin 4/immunology&lt;/keyword&gt;&lt;keyword&gt;Diagnosis, Differential&lt;/keyword&gt;&lt;keyword&gt;Enzyme-Linked Immunosorbent Assay&lt;/keyword&gt;&lt;keyword&gt;Female&lt;/keyword&gt;&lt;keyword&gt;Follow-Up Studies&lt;/keyword&gt;&lt;keyword&gt;Humans&lt;/keyword&gt;&lt;keyword&gt;Immunoglobulin G/metabolism&lt;/keyword&gt;&lt;keyword&gt;Male&lt;/keyword&gt;&lt;keyword&gt;Neuromyelitis Optica/ diagnosis/physiopathology&lt;/keyword&gt;&lt;keyword&gt;Retrospective Studies&lt;/keyword&gt;&lt;/keywords&gt;&lt;dates&gt;&lt;year&gt;2016&lt;/year&gt;&lt;pub-dates&gt;&lt;date&gt;May 10&lt;/date&gt;&lt;/pub-dates&gt;&lt;/dates&gt;&lt;accession-num&gt;27164713&lt;/accession-num&gt;&lt;urls&gt;&lt;related-urls&gt;&lt;url&gt;https://n.neurology.org/content/86/19/1772.long&lt;/url&gt;&lt;/related-urls&gt;&lt;/urls&gt;&lt;remote-database-provider&gt;Nlm&lt;/remote-database-provider&gt;&lt;research-notes&gt;pop: adults, NMOSD&amp;#xD;inter: diagnosis by 2015 criteria,&amp;#xD;reported: AQP4 status, agreement between 2006 (with assumed unknown AQP4 status) and 2015 diagnoses&lt;/research-notes&gt;&lt;language&gt;eng&lt;/language&gt;&lt;/record&gt;&lt;/Cite&gt;&lt;/EndNote&gt;</w:instrText>
            </w:r>
            <w:r>
              <w:rPr>
                <w:rFonts w:ascii="Arial Narrow" w:hAnsi="Arial Narrow"/>
              </w:rPr>
              <w:fldChar w:fldCharType="separate"/>
            </w:r>
            <w:r>
              <w:rPr>
                <w:rFonts w:ascii="Arial Narrow" w:hAnsi="Arial Narrow"/>
                <w:noProof/>
              </w:rPr>
              <w:t>(Hyun et al. 2016)</w:t>
            </w:r>
            <w:r>
              <w:rPr>
                <w:rFonts w:ascii="Arial Narrow" w:hAnsi="Arial Narrow"/>
              </w:rPr>
              <w:fldChar w:fldCharType="end"/>
            </w:r>
          </w:p>
        </w:tc>
        <w:tc>
          <w:tcPr>
            <w:tcW w:w="1721" w:type="dxa"/>
            <w:tcBorders>
              <w:top w:val="single" w:sz="6" w:space="0" w:color="auto"/>
              <w:left w:val="single" w:sz="6" w:space="0" w:color="auto"/>
              <w:bottom w:val="single" w:sz="6" w:space="0" w:color="auto"/>
              <w:right w:val="single" w:sz="6" w:space="0" w:color="auto"/>
            </w:tcBorders>
            <w:hideMark/>
          </w:tcPr>
          <w:p w14:paraId="69B644FF" w14:textId="77777777" w:rsidR="007F6B5E" w:rsidRDefault="007F6B5E" w:rsidP="00581BE7">
            <w:pPr>
              <w:keepNext/>
              <w:keepLines/>
              <w:jc w:val="left"/>
              <w:rPr>
                <w:rFonts w:ascii="Arial Narrow" w:hAnsi="Arial Narrow"/>
              </w:rPr>
            </w:pPr>
            <w:r>
              <w:rPr>
                <w:rFonts w:ascii="Arial Narrow" w:hAnsi="Arial Narrow"/>
              </w:rPr>
              <w:t>CNS ID</w:t>
            </w:r>
          </w:p>
          <w:p w14:paraId="1081CAD9" w14:textId="77777777" w:rsidR="007F6B5E" w:rsidRPr="004371CF" w:rsidRDefault="007F6B5E" w:rsidP="00581BE7">
            <w:pPr>
              <w:keepNext/>
              <w:keepLines/>
              <w:jc w:val="left"/>
              <w:rPr>
                <w:rFonts w:ascii="Arial Narrow" w:hAnsi="Arial Narrow"/>
              </w:rPr>
            </w:pPr>
            <w:r>
              <w:rPr>
                <w:rFonts w:ascii="Arial Narrow" w:hAnsi="Arial Narrow"/>
              </w:rPr>
              <w:t>N</w:t>
            </w:r>
            <w:r w:rsidRPr="004371CF">
              <w:rPr>
                <w:rFonts w:ascii="Arial Narrow" w:hAnsi="Arial Narrow"/>
              </w:rPr>
              <w:t>=</w:t>
            </w:r>
            <w:r>
              <w:rPr>
                <w:rFonts w:ascii="Arial Narrow" w:hAnsi="Arial Narrow"/>
              </w:rPr>
              <w:t>594</w:t>
            </w:r>
          </w:p>
        </w:tc>
        <w:tc>
          <w:tcPr>
            <w:tcW w:w="1984" w:type="dxa"/>
            <w:tcBorders>
              <w:top w:val="single" w:sz="6" w:space="0" w:color="auto"/>
              <w:left w:val="single" w:sz="6" w:space="0" w:color="auto"/>
              <w:bottom w:val="single" w:sz="6" w:space="0" w:color="auto"/>
              <w:right w:val="single" w:sz="6" w:space="0" w:color="auto"/>
            </w:tcBorders>
            <w:hideMark/>
          </w:tcPr>
          <w:p w14:paraId="5E4FA2FF" w14:textId="77777777" w:rsidR="007F6B5E" w:rsidRPr="004371CF" w:rsidRDefault="007F6B5E" w:rsidP="006C2FF7">
            <w:pPr>
              <w:keepNext/>
              <w:keepLines/>
              <w:jc w:val="left"/>
              <w:rPr>
                <w:rFonts w:ascii="Arial Narrow" w:hAnsi="Arial Narrow"/>
              </w:rPr>
            </w:pPr>
            <w:r w:rsidRPr="00211976">
              <w:rPr>
                <w:rFonts w:ascii="Arial Narrow" w:hAnsi="Arial Narrow"/>
                <w:b/>
              </w:rPr>
              <w:t>2015 criteria:</w:t>
            </w:r>
            <w:r w:rsidRPr="004371CF">
              <w:rPr>
                <w:rFonts w:ascii="Arial Narrow" w:hAnsi="Arial Narrow"/>
              </w:rPr>
              <w:t xml:space="preserve"> </w:t>
            </w:r>
            <w:r>
              <w:rPr>
                <w:rFonts w:ascii="Arial Narrow" w:hAnsi="Arial Narrow"/>
              </w:rPr>
              <w:br/>
              <w:t>252/594</w:t>
            </w:r>
            <w:r w:rsidRPr="004371CF">
              <w:rPr>
                <w:rFonts w:ascii="Arial Narrow" w:hAnsi="Arial Narrow"/>
              </w:rPr>
              <w:t xml:space="preserve"> (</w:t>
            </w:r>
            <w:r>
              <w:rPr>
                <w:rFonts w:ascii="Arial Narrow" w:hAnsi="Arial Narrow"/>
              </w:rPr>
              <w:t>42.4</w:t>
            </w:r>
            <w:r w:rsidRPr="004371CF">
              <w:rPr>
                <w:rFonts w:ascii="Arial Narrow" w:hAnsi="Arial Narrow"/>
              </w:rPr>
              <w:t>)</w:t>
            </w:r>
          </w:p>
        </w:tc>
        <w:tc>
          <w:tcPr>
            <w:tcW w:w="1701" w:type="dxa"/>
            <w:tcBorders>
              <w:top w:val="single" w:sz="6" w:space="0" w:color="auto"/>
              <w:left w:val="single" w:sz="6" w:space="0" w:color="auto"/>
              <w:bottom w:val="single" w:sz="6" w:space="0" w:color="auto"/>
              <w:right w:val="single" w:sz="6" w:space="0" w:color="auto"/>
            </w:tcBorders>
            <w:hideMark/>
          </w:tcPr>
          <w:p w14:paraId="302D0B5F" w14:textId="77777777" w:rsidR="007F6B5E" w:rsidRPr="00043922" w:rsidRDefault="007F6B5E" w:rsidP="006C2FF7">
            <w:pPr>
              <w:keepNext/>
              <w:keepLines/>
              <w:jc w:val="left"/>
              <w:rPr>
                <w:rFonts w:ascii="Arial Narrow" w:hAnsi="Arial Narrow"/>
                <w:vertAlign w:val="superscript"/>
              </w:rPr>
            </w:pPr>
            <w:r w:rsidRPr="00211976">
              <w:rPr>
                <w:rFonts w:ascii="Arial Narrow" w:hAnsi="Arial Narrow"/>
                <w:b/>
              </w:rPr>
              <w:t>2006 criteria:</w:t>
            </w:r>
            <w:r>
              <w:rPr>
                <w:rFonts w:ascii="Arial Narrow" w:hAnsi="Arial Narrow"/>
              </w:rPr>
              <w:br/>
              <w:t>136/594</w:t>
            </w:r>
            <w:r w:rsidRPr="004371CF">
              <w:rPr>
                <w:rFonts w:ascii="Arial Narrow" w:hAnsi="Arial Narrow"/>
              </w:rPr>
              <w:t xml:space="preserve"> (</w:t>
            </w:r>
            <w:r>
              <w:rPr>
                <w:rFonts w:ascii="Arial Narrow" w:hAnsi="Arial Narrow"/>
              </w:rPr>
              <w:t>22.9</w:t>
            </w:r>
            <w:r w:rsidRPr="004371CF">
              <w:rPr>
                <w:rFonts w:ascii="Arial Narrow" w:hAnsi="Arial Narrow"/>
              </w:rPr>
              <w:t>)</w:t>
            </w:r>
            <w:r>
              <w:rPr>
                <w:rFonts w:ascii="Arial Narrow" w:hAnsi="Arial Narrow"/>
                <w:vertAlign w:val="superscript"/>
              </w:rPr>
              <w:t>a</w:t>
            </w:r>
          </w:p>
        </w:tc>
        <w:tc>
          <w:tcPr>
            <w:tcW w:w="1418" w:type="dxa"/>
            <w:tcBorders>
              <w:top w:val="single" w:sz="6" w:space="0" w:color="auto"/>
              <w:left w:val="single" w:sz="6" w:space="0" w:color="auto"/>
              <w:bottom w:val="single" w:sz="6" w:space="0" w:color="auto"/>
              <w:right w:val="single" w:sz="6" w:space="0" w:color="auto"/>
            </w:tcBorders>
          </w:tcPr>
          <w:p w14:paraId="4B1A0338" w14:textId="77777777" w:rsidR="007F6B5E" w:rsidRPr="00953B6A" w:rsidRDefault="007F6B5E" w:rsidP="006C2FF7">
            <w:pPr>
              <w:keepNext/>
              <w:keepLines/>
              <w:jc w:val="left"/>
              <w:rPr>
                <w:rFonts w:ascii="Arial Narrow" w:hAnsi="Arial Narrow"/>
              </w:rPr>
            </w:pPr>
            <w:r w:rsidRPr="00953B6A">
              <w:rPr>
                <w:rFonts w:ascii="Arial Narrow" w:hAnsi="Arial Narrow"/>
              </w:rPr>
              <w:t>2.48</w:t>
            </w:r>
          </w:p>
          <w:p w14:paraId="3FFA4EAA" w14:textId="77777777" w:rsidR="007F6B5E" w:rsidRPr="00953B6A" w:rsidRDefault="007F6B5E" w:rsidP="006C2FF7">
            <w:pPr>
              <w:keepNext/>
              <w:keepLines/>
              <w:jc w:val="left"/>
              <w:rPr>
                <w:rFonts w:ascii="Arial Narrow" w:hAnsi="Arial Narrow"/>
              </w:rPr>
            </w:pPr>
            <w:r w:rsidRPr="00953B6A">
              <w:rPr>
                <w:rFonts w:ascii="Arial Narrow" w:hAnsi="Arial Narrow"/>
              </w:rPr>
              <w:t>(1.93, 3.19)</w:t>
            </w:r>
          </w:p>
          <w:p w14:paraId="00A8A900" w14:textId="77777777" w:rsidR="007F6B5E" w:rsidRPr="00953B6A" w:rsidRDefault="007F6B5E" w:rsidP="006C2FF7">
            <w:pPr>
              <w:keepNext/>
              <w:keepLines/>
              <w:jc w:val="left"/>
              <w:rPr>
                <w:rFonts w:ascii="Arial Narrow" w:hAnsi="Arial Narrow"/>
              </w:rPr>
            </w:pPr>
            <w:r w:rsidRPr="00953B6A">
              <w:rPr>
                <w:rFonts w:ascii="Arial Narrow" w:hAnsi="Arial Narrow"/>
              </w:rPr>
              <w:t>P&lt;0.0001</w:t>
            </w:r>
          </w:p>
        </w:tc>
        <w:tc>
          <w:tcPr>
            <w:tcW w:w="1417" w:type="dxa"/>
            <w:tcBorders>
              <w:top w:val="single" w:sz="6" w:space="0" w:color="auto"/>
              <w:left w:val="single" w:sz="6" w:space="0" w:color="auto"/>
              <w:bottom w:val="single" w:sz="6" w:space="0" w:color="auto"/>
              <w:right w:val="single" w:sz="6" w:space="0" w:color="auto"/>
            </w:tcBorders>
            <w:hideMark/>
          </w:tcPr>
          <w:p w14:paraId="61682549" w14:textId="77777777" w:rsidR="007F6B5E" w:rsidRPr="00953B6A" w:rsidRDefault="007F6B5E" w:rsidP="007F6B5E">
            <w:pPr>
              <w:keepNext/>
              <w:keepLines/>
              <w:jc w:val="left"/>
              <w:rPr>
                <w:rFonts w:ascii="Arial Narrow" w:hAnsi="Arial Narrow"/>
              </w:rPr>
            </w:pPr>
            <w:r w:rsidRPr="00953B6A">
              <w:rPr>
                <w:rFonts w:ascii="Arial Narrow" w:hAnsi="Arial Narrow"/>
              </w:rPr>
              <w:t>116 (19.5%)</w:t>
            </w:r>
          </w:p>
        </w:tc>
      </w:tr>
      <w:tr w:rsidR="007F6B5E" w:rsidRPr="004371CF" w14:paraId="466DA3B2" w14:textId="77777777" w:rsidTr="007F6B5E">
        <w:tc>
          <w:tcPr>
            <w:tcW w:w="823" w:type="dxa"/>
            <w:vMerge/>
            <w:tcBorders>
              <w:left w:val="single" w:sz="6" w:space="0" w:color="auto"/>
              <w:bottom w:val="single" w:sz="6" w:space="0" w:color="auto"/>
              <w:right w:val="single" w:sz="6" w:space="0" w:color="auto"/>
            </w:tcBorders>
            <w:hideMark/>
          </w:tcPr>
          <w:p w14:paraId="78B09D6D" w14:textId="77777777" w:rsidR="007F6B5E" w:rsidRPr="004371CF" w:rsidRDefault="007F6B5E" w:rsidP="00A21BDF">
            <w:pPr>
              <w:jc w:val="left"/>
              <w:rPr>
                <w:rFonts w:ascii="Arial Narrow" w:hAnsi="Arial Narrow"/>
              </w:rPr>
            </w:pPr>
          </w:p>
        </w:tc>
        <w:tc>
          <w:tcPr>
            <w:tcW w:w="1721" w:type="dxa"/>
            <w:tcBorders>
              <w:top w:val="single" w:sz="6" w:space="0" w:color="auto"/>
              <w:left w:val="single" w:sz="6" w:space="0" w:color="auto"/>
              <w:bottom w:val="single" w:sz="6" w:space="0" w:color="auto"/>
              <w:right w:val="single" w:sz="6" w:space="0" w:color="auto"/>
            </w:tcBorders>
            <w:hideMark/>
          </w:tcPr>
          <w:p w14:paraId="2A9464F2" w14:textId="77777777" w:rsidR="007F6B5E" w:rsidRDefault="007F6B5E" w:rsidP="00211976">
            <w:pPr>
              <w:jc w:val="left"/>
              <w:rPr>
                <w:rFonts w:ascii="Arial Narrow" w:hAnsi="Arial Narrow"/>
              </w:rPr>
            </w:pPr>
            <w:r>
              <w:rPr>
                <w:rFonts w:ascii="Arial Narrow" w:hAnsi="Arial Narrow"/>
              </w:rPr>
              <w:t>D</w:t>
            </w:r>
            <w:r w:rsidRPr="004371CF">
              <w:rPr>
                <w:rFonts w:ascii="Arial Narrow" w:hAnsi="Arial Narrow"/>
              </w:rPr>
              <w:t xml:space="preserve">efinitive NMOSD diagnosis </w:t>
            </w:r>
            <w:r>
              <w:rPr>
                <w:rFonts w:ascii="Arial Narrow" w:hAnsi="Arial Narrow"/>
              </w:rPr>
              <w:t xml:space="preserve">and positive AQP4-Ab status </w:t>
            </w:r>
          </w:p>
          <w:p w14:paraId="19F1659E" w14:textId="77777777" w:rsidR="007F6B5E" w:rsidRPr="004371CF" w:rsidRDefault="007F6B5E" w:rsidP="00211976">
            <w:pPr>
              <w:jc w:val="left"/>
              <w:rPr>
                <w:rFonts w:ascii="Arial Narrow" w:hAnsi="Arial Narrow"/>
              </w:rPr>
            </w:pPr>
            <w:r>
              <w:rPr>
                <w:rFonts w:ascii="Arial Narrow" w:hAnsi="Arial Narrow"/>
              </w:rPr>
              <w:t>N</w:t>
            </w:r>
            <w:r w:rsidRPr="004371CF">
              <w:rPr>
                <w:rFonts w:ascii="Arial Narrow" w:hAnsi="Arial Narrow"/>
              </w:rPr>
              <w:t>=2</w:t>
            </w:r>
            <w:r>
              <w:rPr>
                <w:rFonts w:ascii="Arial Narrow" w:hAnsi="Arial Narrow"/>
              </w:rPr>
              <w:t>26</w:t>
            </w:r>
          </w:p>
        </w:tc>
        <w:tc>
          <w:tcPr>
            <w:tcW w:w="1984" w:type="dxa"/>
            <w:tcBorders>
              <w:top w:val="single" w:sz="6" w:space="0" w:color="auto"/>
              <w:left w:val="single" w:sz="6" w:space="0" w:color="auto"/>
              <w:bottom w:val="single" w:sz="6" w:space="0" w:color="auto"/>
              <w:right w:val="single" w:sz="6" w:space="0" w:color="auto"/>
            </w:tcBorders>
            <w:hideMark/>
          </w:tcPr>
          <w:p w14:paraId="5CD41FBC" w14:textId="77777777" w:rsidR="007F6B5E" w:rsidRPr="004371CF" w:rsidRDefault="007F6B5E" w:rsidP="000A5ADF">
            <w:pPr>
              <w:jc w:val="left"/>
              <w:rPr>
                <w:rFonts w:ascii="Arial Narrow" w:hAnsi="Arial Narrow"/>
              </w:rPr>
            </w:pPr>
            <w:r w:rsidRPr="00211976">
              <w:rPr>
                <w:rFonts w:ascii="Arial Narrow" w:hAnsi="Arial Narrow"/>
                <w:b/>
              </w:rPr>
              <w:t>2015 criteria with testing:</w:t>
            </w:r>
            <w:r w:rsidRPr="004371CF">
              <w:rPr>
                <w:rFonts w:ascii="Arial Narrow" w:hAnsi="Arial Narrow"/>
              </w:rPr>
              <w:t xml:space="preserve"> </w:t>
            </w:r>
            <w:r>
              <w:rPr>
                <w:rFonts w:ascii="Arial Narrow" w:hAnsi="Arial Narrow"/>
              </w:rPr>
              <w:br/>
              <w:t>226/226</w:t>
            </w:r>
            <w:r w:rsidRPr="004371CF">
              <w:rPr>
                <w:rFonts w:ascii="Arial Narrow" w:hAnsi="Arial Narrow"/>
              </w:rPr>
              <w:t xml:space="preserve"> (</w:t>
            </w:r>
            <w:r>
              <w:rPr>
                <w:rFonts w:ascii="Arial Narrow" w:hAnsi="Arial Narrow"/>
              </w:rPr>
              <w:t>100</w:t>
            </w:r>
            <w:r w:rsidRPr="004371CF">
              <w:rPr>
                <w:rFonts w:ascii="Arial Narrow" w:hAnsi="Arial Narrow"/>
              </w:rPr>
              <w:t>)</w:t>
            </w:r>
          </w:p>
        </w:tc>
        <w:tc>
          <w:tcPr>
            <w:tcW w:w="1701" w:type="dxa"/>
            <w:tcBorders>
              <w:top w:val="single" w:sz="6" w:space="0" w:color="auto"/>
              <w:left w:val="single" w:sz="6" w:space="0" w:color="auto"/>
              <w:bottom w:val="single" w:sz="6" w:space="0" w:color="auto"/>
              <w:right w:val="single" w:sz="6" w:space="0" w:color="auto"/>
            </w:tcBorders>
            <w:hideMark/>
          </w:tcPr>
          <w:p w14:paraId="50D2581F" w14:textId="77777777" w:rsidR="007F6B5E" w:rsidRPr="004371CF" w:rsidRDefault="007F6B5E" w:rsidP="000A5ADF">
            <w:pPr>
              <w:jc w:val="left"/>
              <w:rPr>
                <w:rFonts w:ascii="Arial Narrow" w:hAnsi="Arial Narrow"/>
              </w:rPr>
            </w:pPr>
            <w:r w:rsidRPr="00211976">
              <w:rPr>
                <w:rFonts w:ascii="Arial Narrow" w:hAnsi="Arial Narrow"/>
                <w:b/>
              </w:rPr>
              <w:t>2015 criteria without testing:</w:t>
            </w:r>
            <w:r>
              <w:rPr>
                <w:rFonts w:ascii="Arial Narrow" w:hAnsi="Arial Narrow"/>
              </w:rPr>
              <w:br/>
              <w:t>162/226</w:t>
            </w:r>
            <w:r w:rsidRPr="004371CF">
              <w:rPr>
                <w:rFonts w:ascii="Arial Narrow" w:hAnsi="Arial Narrow"/>
              </w:rPr>
              <w:t xml:space="preserve"> (</w:t>
            </w:r>
            <w:r>
              <w:rPr>
                <w:rFonts w:ascii="Arial Narrow" w:hAnsi="Arial Narrow"/>
              </w:rPr>
              <w:t>72</w:t>
            </w:r>
            <w:r w:rsidRPr="004371CF">
              <w:rPr>
                <w:rFonts w:ascii="Arial Narrow" w:hAnsi="Arial Narrow"/>
              </w:rPr>
              <w:t>)</w:t>
            </w:r>
          </w:p>
        </w:tc>
        <w:tc>
          <w:tcPr>
            <w:tcW w:w="1418" w:type="dxa"/>
            <w:tcBorders>
              <w:top w:val="single" w:sz="6" w:space="0" w:color="auto"/>
              <w:left w:val="single" w:sz="6" w:space="0" w:color="auto"/>
              <w:bottom w:val="single" w:sz="6" w:space="0" w:color="auto"/>
              <w:right w:val="single" w:sz="6" w:space="0" w:color="auto"/>
            </w:tcBorders>
          </w:tcPr>
          <w:p w14:paraId="308B7B86" w14:textId="77777777" w:rsidR="007F6B5E" w:rsidRPr="00953B6A" w:rsidRDefault="007F6B5E" w:rsidP="00211976">
            <w:pPr>
              <w:jc w:val="left"/>
              <w:rPr>
                <w:rFonts w:ascii="Arial Narrow" w:hAnsi="Arial Narrow"/>
              </w:rPr>
            </w:pPr>
            <w:r w:rsidRPr="00953B6A">
              <w:rPr>
                <w:rFonts w:ascii="Arial Narrow" w:hAnsi="Arial Narrow"/>
              </w:rPr>
              <w:t>180</w:t>
            </w:r>
          </w:p>
          <w:p w14:paraId="720E8A7C" w14:textId="77777777" w:rsidR="007F6B5E" w:rsidRPr="00953B6A" w:rsidRDefault="007F6B5E" w:rsidP="00211976">
            <w:pPr>
              <w:jc w:val="left"/>
              <w:rPr>
                <w:rFonts w:ascii="Arial Narrow" w:hAnsi="Arial Narrow"/>
              </w:rPr>
            </w:pPr>
            <w:r w:rsidRPr="00953B6A">
              <w:rPr>
                <w:rFonts w:ascii="Arial Narrow" w:hAnsi="Arial Narrow"/>
              </w:rPr>
              <w:t>(11.0, 2927)</w:t>
            </w:r>
          </w:p>
          <w:p w14:paraId="32E3A9D7" w14:textId="77777777" w:rsidR="007F6B5E" w:rsidRPr="00953B6A" w:rsidRDefault="007F6B5E" w:rsidP="00211976">
            <w:pPr>
              <w:jc w:val="left"/>
              <w:rPr>
                <w:rFonts w:ascii="Arial Narrow" w:hAnsi="Arial Narrow"/>
              </w:rPr>
            </w:pPr>
            <w:r w:rsidRPr="00953B6A">
              <w:rPr>
                <w:rFonts w:ascii="Arial Narrow" w:hAnsi="Arial Narrow"/>
              </w:rPr>
              <w:t>P=0.0003</w:t>
            </w:r>
          </w:p>
        </w:tc>
        <w:tc>
          <w:tcPr>
            <w:tcW w:w="1417" w:type="dxa"/>
            <w:tcBorders>
              <w:top w:val="single" w:sz="6" w:space="0" w:color="auto"/>
              <w:left w:val="single" w:sz="6" w:space="0" w:color="auto"/>
              <w:bottom w:val="single" w:sz="6" w:space="0" w:color="auto"/>
              <w:right w:val="single" w:sz="6" w:space="0" w:color="auto"/>
            </w:tcBorders>
            <w:hideMark/>
          </w:tcPr>
          <w:p w14:paraId="62F75B12" w14:textId="77777777" w:rsidR="007F6B5E" w:rsidRPr="00953B6A" w:rsidRDefault="007F6B5E" w:rsidP="007F6B5E">
            <w:pPr>
              <w:jc w:val="left"/>
              <w:rPr>
                <w:rFonts w:ascii="Arial Narrow" w:hAnsi="Arial Narrow"/>
              </w:rPr>
            </w:pPr>
            <w:r w:rsidRPr="00953B6A">
              <w:rPr>
                <w:rFonts w:ascii="Arial Narrow" w:hAnsi="Arial Narrow"/>
              </w:rPr>
              <w:t>64 (28%)</w:t>
            </w:r>
          </w:p>
        </w:tc>
      </w:tr>
      <w:tr w:rsidR="007F6B5E" w:rsidRPr="004371CF" w14:paraId="50371A32" w14:textId="77777777" w:rsidTr="007F6B5E">
        <w:tc>
          <w:tcPr>
            <w:tcW w:w="823" w:type="dxa"/>
            <w:tcBorders>
              <w:top w:val="single" w:sz="6" w:space="0" w:color="auto"/>
              <w:left w:val="single" w:sz="6" w:space="0" w:color="auto"/>
              <w:bottom w:val="single" w:sz="6" w:space="0" w:color="auto"/>
              <w:right w:val="single" w:sz="6" w:space="0" w:color="auto"/>
            </w:tcBorders>
          </w:tcPr>
          <w:p w14:paraId="772DBB8D" w14:textId="001C8FB9" w:rsidR="007F6B5E" w:rsidRPr="004371CF" w:rsidRDefault="00156621" w:rsidP="00D96694">
            <w:pPr>
              <w:jc w:val="left"/>
              <w:rPr>
                <w:rFonts w:ascii="Arial Narrow" w:hAnsi="Arial Narrow"/>
              </w:rPr>
            </w:pPr>
            <w:r>
              <w:rPr>
                <w:rFonts w:ascii="Arial Narrow" w:hAnsi="Arial Narrow"/>
              </w:rPr>
              <w:fldChar w:fldCharType="begin">
                <w:fldData xml:space="preserve">PEVuZE5vdGU+PENpdGU+PEF1dGhvcj5QYXBhaXMtQWx2YXJlbmdhPC9BdXRob3I+PFllYXI+MjAx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</w:fldData>
              </w:fldChar>
            </w:r>
            <w:r w:rsidR="00D96694">
              <w:rPr>
                <w:rFonts w:ascii="Arial Narrow" w:hAnsi="Arial Narrow"/>
              </w:rPr>
              <w:instrText xml:space="preserve"> ADDIN EN.CITE </w:instrText>
            </w:r>
            <w:r w:rsidR="00D96694">
              <w:rPr>
                <w:rFonts w:ascii="Arial Narrow" w:hAnsi="Arial Narrow"/>
              </w:rPr>
              <w:fldChar w:fldCharType="begin">
                <w:fldData xml:space="preserve">PEVuZE5vdGU+PENpdGU+PEF1dGhvcj5QYXBhaXMtQWx2YXJlbmdhPC9BdXRob3I+PFllYXI+MjAx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</w:fldData>
              </w:fldChar>
            </w:r>
            <w:r w:rsidR="00D96694">
              <w:rPr>
                <w:rFonts w:ascii="Arial Narrow" w:hAnsi="Arial Narrow"/>
              </w:rPr>
              <w:instrText xml:space="preserve"> ADDIN EN.CITE.DATA </w:instrText>
            </w:r>
            <w:r w:rsidR="00D96694">
              <w:rPr>
                <w:rFonts w:ascii="Arial Narrow" w:hAnsi="Arial Narrow"/>
              </w:rPr>
            </w:r>
            <w:r w:rsidR="00D96694">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(Papais-Alvarenga et al. 2018)</w:t>
            </w:r>
            <w:r>
              <w:rPr>
                <w:rFonts w:ascii="Arial Narrow" w:hAnsi="Arial Narrow"/>
              </w:rPr>
              <w:fldChar w:fldCharType="end"/>
            </w:r>
          </w:p>
        </w:tc>
        <w:tc>
          <w:tcPr>
            <w:tcW w:w="1721" w:type="dxa"/>
            <w:tcBorders>
              <w:top w:val="single" w:sz="6" w:space="0" w:color="auto"/>
              <w:left w:val="single" w:sz="6" w:space="0" w:color="auto"/>
              <w:bottom w:val="single" w:sz="6" w:space="0" w:color="auto"/>
              <w:right w:val="single" w:sz="6" w:space="0" w:color="auto"/>
            </w:tcBorders>
          </w:tcPr>
          <w:p w14:paraId="308112E6" w14:textId="77777777" w:rsidR="007F6B5E" w:rsidRDefault="007F6B5E" w:rsidP="006F6B7F">
            <w:pPr>
              <w:jc w:val="left"/>
              <w:rPr>
                <w:rFonts w:ascii="Arial Narrow" w:hAnsi="Arial Narrow"/>
              </w:rPr>
            </w:pPr>
            <w:r>
              <w:rPr>
                <w:rFonts w:ascii="Arial Narrow" w:hAnsi="Arial Narrow"/>
              </w:rPr>
              <w:t>IIDD</w:t>
            </w:r>
          </w:p>
          <w:p w14:paraId="62BED300" w14:textId="77777777" w:rsidR="007F6B5E" w:rsidRPr="004371CF" w:rsidRDefault="007F6B5E" w:rsidP="006F6B7F">
            <w:pPr>
              <w:jc w:val="left"/>
              <w:rPr>
                <w:rFonts w:ascii="Arial Narrow" w:hAnsi="Arial Narrow"/>
              </w:rPr>
            </w:pPr>
            <w:r>
              <w:rPr>
                <w:rFonts w:ascii="Arial Narrow" w:hAnsi="Arial Narrow"/>
              </w:rPr>
              <w:t>N=115</w:t>
            </w:r>
          </w:p>
        </w:tc>
        <w:tc>
          <w:tcPr>
            <w:tcW w:w="1984" w:type="dxa"/>
            <w:tcBorders>
              <w:top w:val="single" w:sz="6" w:space="0" w:color="auto"/>
              <w:left w:val="single" w:sz="6" w:space="0" w:color="auto"/>
              <w:bottom w:val="single" w:sz="6" w:space="0" w:color="auto"/>
              <w:right w:val="single" w:sz="6" w:space="0" w:color="auto"/>
            </w:tcBorders>
          </w:tcPr>
          <w:p w14:paraId="4DB191D9" w14:textId="77777777" w:rsidR="007F6B5E" w:rsidRPr="004371CF" w:rsidRDefault="007F6B5E" w:rsidP="006F6B7F">
            <w:pPr>
              <w:jc w:val="left"/>
              <w:rPr>
                <w:rFonts w:ascii="Arial Narrow" w:hAnsi="Arial Narrow"/>
              </w:rPr>
            </w:pPr>
            <w:r w:rsidRPr="00453020">
              <w:rPr>
                <w:rFonts w:ascii="Arial Narrow" w:hAnsi="Arial Narrow"/>
                <w:b/>
              </w:rPr>
              <w:t>2015 criteria:</w:t>
            </w:r>
            <w:r>
              <w:rPr>
                <w:rFonts w:ascii="Arial Narrow" w:hAnsi="Arial Narrow"/>
              </w:rPr>
              <w:br/>
              <w:t>70/115 (60.1)</w:t>
            </w:r>
          </w:p>
        </w:tc>
        <w:tc>
          <w:tcPr>
            <w:tcW w:w="1701" w:type="dxa"/>
            <w:tcBorders>
              <w:top w:val="single" w:sz="6" w:space="0" w:color="auto"/>
              <w:left w:val="single" w:sz="6" w:space="0" w:color="auto"/>
              <w:bottom w:val="single" w:sz="6" w:space="0" w:color="auto"/>
              <w:right w:val="single" w:sz="6" w:space="0" w:color="auto"/>
            </w:tcBorders>
          </w:tcPr>
          <w:p w14:paraId="30350C6C" w14:textId="77777777" w:rsidR="007F6B5E" w:rsidRPr="004371CF" w:rsidRDefault="007F6B5E" w:rsidP="006F6B7F">
            <w:pPr>
              <w:jc w:val="left"/>
              <w:rPr>
                <w:rFonts w:ascii="Arial Narrow" w:hAnsi="Arial Narrow"/>
              </w:rPr>
            </w:pPr>
            <w:r w:rsidRPr="00453020">
              <w:rPr>
                <w:rFonts w:ascii="Arial Narrow" w:hAnsi="Arial Narrow"/>
                <w:b/>
              </w:rPr>
              <w:t>2006 criteria:</w:t>
            </w:r>
            <w:r>
              <w:rPr>
                <w:rFonts w:ascii="Arial Narrow" w:hAnsi="Arial Narrow"/>
              </w:rPr>
              <w:br/>
              <w:t>54/115 (47.0)</w:t>
            </w:r>
          </w:p>
        </w:tc>
        <w:tc>
          <w:tcPr>
            <w:tcW w:w="1418" w:type="dxa"/>
            <w:tcBorders>
              <w:top w:val="single" w:sz="6" w:space="0" w:color="auto"/>
              <w:left w:val="single" w:sz="6" w:space="0" w:color="auto"/>
              <w:bottom w:val="single" w:sz="6" w:space="0" w:color="auto"/>
              <w:right w:val="single" w:sz="6" w:space="0" w:color="auto"/>
            </w:tcBorders>
          </w:tcPr>
          <w:p w14:paraId="7E2A55DC" w14:textId="77777777" w:rsidR="007F6B5E" w:rsidRPr="00953B6A" w:rsidRDefault="007F6B5E" w:rsidP="006F6B7F">
            <w:pPr>
              <w:jc w:val="left"/>
              <w:rPr>
                <w:rFonts w:ascii="Arial Narrow" w:hAnsi="Arial Narrow"/>
              </w:rPr>
            </w:pPr>
            <w:r w:rsidRPr="00953B6A">
              <w:rPr>
                <w:rFonts w:ascii="Arial Narrow" w:hAnsi="Arial Narrow"/>
              </w:rPr>
              <w:t>1.76</w:t>
            </w:r>
          </w:p>
          <w:p w14:paraId="392CD5D4" w14:textId="77777777" w:rsidR="007F6B5E" w:rsidRPr="00953B6A" w:rsidRDefault="007F6B5E" w:rsidP="006F6B7F">
            <w:pPr>
              <w:jc w:val="left"/>
              <w:rPr>
                <w:rFonts w:ascii="Arial Narrow" w:hAnsi="Arial Narrow"/>
              </w:rPr>
            </w:pPr>
            <w:r w:rsidRPr="00953B6A">
              <w:rPr>
                <w:rFonts w:ascii="Arial Narrow" w:hAnsi="Arial Narrow"/>
              </w:rPr>
              <w:t>(1.04, 2.97)</w:t>
            </w:r>
          </w:p>
          <w:p w14:paraId="0813F811" w14:textId="77777777" w:rsidR="007F6B5E" w:rsidRPr="00953B6A" w:rsidRDefault="007F6B5E" w:rsidP="006F6B7F">
            <w:pPr>
              <w:jc w:val="left"/>
              <w:rPr>
                <w:rFonts w:ascii="Arial Narrow" w:hAnsi="Arial Narrow"/>
              </w:rPr>
            </w:pPr>
            <w:r w:rsidRPr="00953B6A">
              <w:rPr>
                <w:rFonts w:ascii="Arial Narrow" w:hAnsi="Arial Narrow"/>
              </w:rPr>
              <w:t>P=0.035</w:t>
            </w:r>
          </w:p>
        </w:tc>
        <w:tc>
          <w:tcPr>
            <w:tcW w:w="1417" w:type="dxa"/>
            <w:tcBorders>
              <w:top w:val="single" w:sz="6" w:space="0" w:color="auto"/>
              <w:left w:val="single" w:sz="6" w:space="0" w:color="auto"/>
              <w:bottom w:val="single" w:sz="6" w:space="0" w:color="auto"/>
              <w:right w:val="single" w:sz="6" w:space="0" w:color="auto"/>
            </w:tcBorders>
          </w:tcPr>
          <w:p w14:paraId="012053AF" w14:textId="77777777" w:rsidR="007F6B5E" w:rsidRPr="00953B6A" w:rsidRDefault="007F6B5E" w:rsidP="007F6B5E">
            <w:pPr>
              <w:jc w:val="left"/>
              <w:rPr>
                <w:rFonts w:ascii="Arial Narrow" w:hAnsi="Arial Narrow"/>
              </w:rPr>
            </w:pPr>
            <w:r w:rsidRPr="00953B6A">
              <w:rPr>
                <w:rFonts w:ascii="Arial Narrow" w:hAnsi="Arial Narrow"/>
              </w:rPr>
              <w:t>24 (21.9%)</w:t>
            </w:r>
          </w:p>
        </w:tc>
      </w:tr>
      <w:tr w:rsidR="007F6B5E" w:rsidRPr="004371CF" w14:paraId="4B298B17" w14:textId="77777777" w:rsidTr="007F6B5E">
        <w:tc>
          <w:tcPr>
            <w:tcW w:w="823" w:type="dxa"/>
            <w:tcBorders>
              <w:top w:val="single" w:sz="6" w:space="0" w:color="auto"/>
              <w:left w:val="single" w:sz="6" w:space="0" w:color="auto"/>
              <w:bottom w:val="single" w:sz="6" w:space="0" w:color="auto"/>
              <w:right w:val="single" w:sz="6" w:space="0" w:color="auto"/>
            </w:tcBorders>
          </w:tcPr>
          <w:p w14:paraId="6CF4BDCA" w14:textId="2158FF0E" w:rsidR="007F6B5E" w:rsidRPr="004371CF" w:rsidRDefault="00156621" w:rsidP="00D96694">
            <w:pPr>
              <w:jc w:val="left"/>
              <w:rPr>
                <w:rFonts w:ascii="Arial Narrow" w:hAnsi="Arial Narrow"/>
              </w:rPr>
            </w:pPr>
            <w:r>
              <w:rPr>
                <w:rFonts w:ascii="Arial Narrow" w:hAnsi="Arial Narrow"/>
              </w:rPr>
              <w:lastRenderedPageBreak/>
              <w:fldChar w:fldCharType="begin">
                <w:fldData xml:space="preserve">PEVuZE5vdGU+PENpdGU+PEF1dGhvcj5IZW5uZXM8L0F1dGhvcj48WWVhcj4yMDE3PC9ZZWFyPjxS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</w:fldData>
              </w:fldChar>
            </w:r>
            <w:r w:rsidR="00D96694">
              <w:rPr>
                <w:rFonts w:ascii="Arial Narrow" w:hAnsi="Arial Narrow"/>
              </w:rPr>
              <w:instrText xml:space="preserve"> ADDIN EN.CITE </w:instrText>
            </w:r>
            <w:r w:rsidR="00D96694">
              <w:rPr>
                <w:rFonts w:ascii="Arial Narrow" w:hAnsi="Arial Narrow"/>
              </w:rPr>
              <w:fldChar w:fldCharType="begin">
                <w:fldData xml:space="preserve">PEVuZE5vdGU+PENpdGU+PEF1dGhvcj5IZW5uZXM8L0F1dGhvcj48WWVhcj4yMDE3PC9ZZWFyPjxS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</w:fldData>
              </w:fldChar>
            </w:r>
            <w:r w:rsidR="00D96694">
              <w:rPr>
                <w:rFonts w:ascii="Arial Narrow" w:hAnsi="Arial Narrow"/>
              </w:rPr>
              <w:instrText xml:space="preserve"> ADDIN EN.CITE.DATA </w:instrText>
            </w:r>
            <w:r w:rsidR="00D96694">
              <w:rPr>
                <w:rFonts w:ascii="Arial Narrow" w:hAnsi="Arial Narrow"/>
              </w:rPr>
            </w:r>
            <w:r w:rsidR="00D96694">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(Hennes et al. 2017)</w:t>
            </w:r>
            <w:r>
              <w:rPr>
                <w:rFonts w:ascii="Arial Narrow" w:hAnsi="Arial Narrow"/>
              </w:rPr>
              <w:fldChar w:fldCharType="end"/>
            </w:r>
          </w:p>
        </w:tc>
        <w:tc>
          <w:tcPr>
            <w:tcW w:w="1721" w:type="dxa"/>
            <w:tcBorders>
              <w:top w:val="single" w:sz="6" w:space="0" w:color="auto"/>
              <w:left w:val="single" w:sz="6" w:space="0" w:color="auto"/>
              <w:bottom w:val="single" w:sz="6" w:space="0" w:color="auto"/>
              <w:right w:val="single" w:sz="6" w:space="0" w:color="auto"/>
            </w:tcBorders>
          </w:tcPr>
          <w:p w14:paraId="0421DA95" w14:textId="77777777" w:rsidR="007F6B5E" w:rsidRDefault="007F6B5E" w:rsidP="00081E37">
            <w:pPr>
              <w:jc w:val="left"/>
              <w:rPr>
                <w:rFonts w:ascii="Arial Narrow" w:hAnsi="Arial Narrow"/>
              </w:rPr>
            </w:pPr>
            <w:r>
              <w:rPr>
                <w:rFonts w:ascii="Arial Narrow" w:hAnsi="Arial Narrow"/>
              </w:rPr>
              <w:t>Children with ADS</w:t>
            </w:r>
          </w:p>
          <w:p w14:paraId="21CB44B2" w14:textId="77777777" w:rsidR="007F6B5E" w:rsidRPr="004371CF" w:rsidRDefault="007F6B5E" w:rsidP="00081E37">
            <w:pPr>
              <w:jc w:val="left"/>
              <w:rPr>
                <w:rFonts w:ascii="Arial Narrow" w:hAnsi="Arial Narrow"/>
              </w:rPr>
            </w:pPr>
            <w:r>
              <w:rPr>
                <w:rFonts w:ascii="Arial Narrow" w:hAnsi="Arial Narrow"/>
              </w:rPr>
              <w:t>N=120</w:t>
            </w:r>
          </w:p>
        </w:tc>
        <w:tc>
          <w:tcPr>
            <w:tcW w:w="1984" w:type="dxa"/>
            <w:tcBorders>
              <w:top w:val="single" w:sz="6" w:space="0" w:color="auto"/>
              <w:left w:val="single" w:sz="6" w:space="0" w:color="auto"/>
              <w:bottom w:val="single" w:sz="6" w:space="0" w:color="auto"/>
              <w:right w:val="single" w:sz="6" w:space="0" w:color="auto"/>
            </w:tcBorders>
          </w:tcPr>
          <w:p w14:paraId="0E172DD8" w14:textId="77777777" w:rsidR="007F6B5E" w:rsidRPr="00211976" w:rsidRDefault="007F6B5E" w:rsidP="00081E37">
            <w:pPr>
              <w:jc w:val="left"/>
              <w:rPr>
                <w:rFonts w:ascii="Arial Narrow" w:hAnsi="Arial Narrow"/>
                <w:b/>
              </w:rPr>
            </w:pPr>
            <w:r w:rsidRPr="00211976">
              <w:rPr>
                <w:rFonts w:ascii="Arial Narrow" w:hAnsi="Arial Narrow"/>
                <w:b/>
              </w:rPr>
              <w:t>Diagnosis of NMOSD after 24 months:</w:t>
            </w:r>
          </w:p>
          <w:p w14:paraId="2A466E65" w14:textId="77777777" w:rsidR="007F6B5E" w:rsidRPr="004371CF" w:rsidRDefault="007F6B5E" w:rsidP="000A5ADF">
            <w:pPr>
              <w:jc w:val="left"/>
              <w:rPr>
                <w:rFonts w:ascii="Arial Narrow" w:hAnsi="Arial Narrow"/>
              </w:rPr>
            </w:pPr>
            <w:r>
              <w:rPr>
                <w:rFonts w:ascii="Arial Narrow" w:hAnsi="Arial Narrow"/>
              </w:rPr>
              <w:t>16/210 (7.6)</w:t>
            </w:r>
          </w:p>
        </w:tc>
        <w:tc>
          <w:tcPr>
            <w:tcW w:w="1701" w:type="dxa"/>
            <w:tcBorders>
              <w:top w:val="single" w:sz="6" w:space="0" w:color="auto"/>
              <w:left w:val="single" w:sz="6" w:space="0" w:color="auto"/>
              <w:bottom w:val="single" w:sz="6" w:space="0" w:color="auto"/>
              <w:right w:val="single" w:sz="6" w:space="0" w:color="auto"/>
            </w:tcBorders>
          </w:tcPr>
          <w:p w14:paraId="6B05D1A2" w14:textId="77777777" w:rsidR="007F6B5E" w:rsidRPr="00211976" w:rsidRDefault="007F6B5E" w:rsidP="00081E37">
            <w:pPr>
              <w:jc w:val="left"/>
              <w:rPr>
                <w:rFonts w:ascii="Arial Narrow" w:hAnsi="Arial Narrow"/>
                <w:b/>
              </w:rPr>
            </w:pPr>
            <w:r w:rsidRPr="00211976">
              <w:rPr>
                <w:rFonts w:ascii="Arial Narrow" w:hAnsi="Arial Narrow"/>
                <w:b/>
              </w:rPr>
              <w:t>Diagnosed with NMOSD initially:</w:t>
            </w:r>
          </w:p>
          <w:p w14:paraId="594835DA" w14:textId="77777777" w:rsidR="007F6B5E" w:rsidRPr="004371CF" w:rsidRDefault="007F6B5E" w:rsidP="000A5ADF">
            <w:pPr>
              <w:jc w:val="left"/>
              <w:rPr>
                <w:rFonts w:ascii="Arial Narrow" w:hAnsi="Arial Narrow"/>
              </w:rPr>
            </w:pPr>
            <w:r>
              <w:rPr>
                <w:rFonts w:ascii="Arial Narrow" w:hAnsi="Arial Narrow"/>
              </w:rPr>
              <w:t>12/210 (5.7)</w:t>
            </w:r>
          </w:p>
        </w:tc>
        <w:tc>
          <w:tcPr>
            <w:tcW w:w="1418" w:type="dxa"/>
            <w:tcBorders>
              <w:top w:val="single" w:sz="6" w:space="0" w:color="auto"/>
              <w:left w:val="single" w:sz="6" w:space="0" w:color="auto"/>
              <w:bottom w:val="single" w:sz="6" w:space="0" w:color="auto"/>
              <w:right w:val="single" w:sz="6" w:space="0" w:color="auto"/>
            </w:tcBorders>
          </w:tcPr>
          <w:p w14:paraId="4246CBBB" w14:textId="77777777" w:rsidR="007F6B5E" w:rsidRPr="00953B6A" w:rsidRDefault="007F6B5E" w:rsidP="00081E37">
            <w:pPr>
              <w:jc w:val="left"/>
              <w:rPr>
                <w:rFonts w:ascii="Arial Narrow" w:hAnsi="Arial Narrow"/>
              </w:rPr>
            </w:pPr>
            <w:r w:rsidRPr="00953B6A">
              <w:rPr>
                <w:rFonts w:ascii="Arial Narrow" w:hAnsi="Arial Narrow"/>
              </w:rPr>
              <w:t>1.36</w:t>
            </w:r>
          </w:p>
          <w:p w14:paraId="31028F1D" w14:textId="77777777" w:rsidR="007F6B5E" w:rsidRPr="00953B6A" w:rsidRDefault="007F6B5E" w:rsidP="00081E37">
            <w:pPr>
              <w:jc w:val="left"/>
              <w:rPr>
                <w:rFonts w:ascii="Arial Narrow" w:hAnsi="Arial Narrow"/>
              </w:rPr>
            </w:pPr>
            <w:r w:rsidRPr="00953B6A">
              <w:rPr>
                <w:rFonts w:ascii="Arial Narrow" w:hAnsi="Arial Narrow"/>
              </w:rPr>
              <w:t>(0.63, 2.95)</w:t>
            </w:r>
          </w:p>
          <w:p w14:paraId="4A391EA1" w14:textId="77777777" w:rsidR="007F6B5E" w:rsidRPr="00953B6A" w:rsidRDefault="007F6B5E" w:rsidP="00081E37">
            <w:pPr>
              <w:jc w:val="left"/>
              <w:rPr>
                <w:rFonts w:ascii="Arial Narrow" w:hAnsi="Arial Narrow"/>
              </w:rPr>
            </w:pPr>
            <w:r w:rsidRPr="00953B6A">
              <w:rPr>
                <w:rFonts w:ascii="Arial Narrow" w:hAnsi="Arial Narrow"/>
              </w:rPr>
              <w:t>P=0.435</w:t>
            </w:r>
          </w:p>
        </w:tc>
        <w:tc>
          <w:tcPr>
            <w:tcW w:w="1417" w:type="dxa"/>
            <w:tcBorders>
              <w:top w:val="single" w:sz="6" w:space="0" w:color="auto"/>
              <w:left w:val="single" w:sz="6" w:space="0" w:color="auto"/>
              <w:bottom w:val="single" w:sz="6" w:space="0" w:color="auto"/>
              <w:right w:val="single" w:sz="6" w:space="0" w:color="auto"/>
            </w:tcBorders>
          </w:tcPr>
          <w:p w14:paraId="0C58F131" w14:textId="77777777" w:rsidR="007F6B5E" w:rsidRPr="00953B6A" w:rsidRDefault="007F6B5E" w:rsidP="007F6B5E">
            <w:pPr>
              <w:jc w:val="left"/>
              <w:rPr>
                <w:rFonts w:ascii="Arial Narrow" w:hAnsi="Arial Narrow"/>
              </w:rPr>
            </w:pPr>
            <w:r w:rsidRPr="00953B6A">
              <w:rPr>
                <w:rFonts w:ascii="Arial Narrow" w:hAnsi="Arial Narrow"/>
              </w:rPr>
              <w:t>4 (1.9%)</w:t>
            </w:r>
          </w:p>
        </w:tc>
      </w:tr>
    </w:tbl>
    <w:p w14:paraId="13C9C43B" w14:textId="77777777" w:rsidR="00FB36BF" w:rsidRDefault="00080A0A" w:rsidP="00453020">
      <w:pPr>
        <w:pStyle w:val="Tablenotes0"/>
      </w:pPr>
      <w:r>
        <w:t xml:space="preserve">ADS = </w:t>
      </w:r>
      <w:r w:rsidR="00677130">
        <w:t xml:space="preserve">acquired demyelination syndrome; AQP4- Ab = aquaporin 4 antibody; </w:t>
      </w:r>
      <w:r w:rsidR="00043922">
        <w:t xml:space="preserve">CNS ID = central nervous system inflammatory disease; </w:t>
      </w:r>
      <w:r w:rsidR="00453020">
        <w:t>IIDD = idiopathic inflammatory demyelinated disease</w:t>
      </w:r>
      <w:r w:rsidR="00677130">
        <w:t>; NMOSD = neuromyelitis optica spectrum disorders; OR = odds ratio</w:t>
      </w:r>
    </w:p>
    <w:p w14:paraId="3E79BADD" w14:textId="77777777" w:rsidR="00453020" w:rsidRDefault="00043922" w:rsidP="00043922">
      <w:pPr>
        <w:pStyle w:val="Tablenotes0"/>
      </w:pPr>
      <w:r>
        <w:rPr>
          <w:vertAlign w:val="superscript"/>
        </w:rPr>
        <w:t>a</w:t>
      </w:r>
      <w:r>
        <w:t xml:space="preserve"> Diagnosis by 2006 criteria was only performed on the 252 patients diagnosed with NMOSD by the 2015 criteria</w:t>
      </w:r>
    </w:p>
    <w:p w14:paraId="5F02894C" w14:textId="77777777" w:rsidR="007F6B5E" w:rsidRDefault="007F6B5E" w:rsidP="00043922">
      <w:pPr>
        <w:pStyle w:val="Tablenotes0"/>
      </w:pPr>
      <w:r>
        <w:rPr>
          <w:vertAlign w:val="superscript"/>
        </w:rPr>
        <w:t>b</w:t>
      </w:r>
      <w:r>
        <w:t xml:space="preserve"> OR calculated using MedCalc software </w:t>
      </w:r>
    </w:p>
    <w:p w14:paraId="7F5A20B7" w14:textId="43948546" w:rsidR="007F6B5E" w:rsidRDefault="007F6B5E" w:rsidP="00043922">
      <w:pPr>
        <w:pStyle w:val="Tablenotes0"/>
      </w:pPr>
      <w:r>
        <w:rPr>
          <w:vertAlign w:val="superscript"/>
        </w:rPr>
        <w:t>c</w:t>
      </w:r>
      <w:r>
        <w:t xml:space="preserve"> Result published by study authors</w:t>
      </w:r>
    </w:p>
    <w:p w14:paraId="33C995C3" w14:textId="77777777" w:rsidR="009D7259" w:rsidRPr="007F6B5E" w:rsidRDefault="009D7259" w:rsidP="00043922">
      <w:pPr>
        <w:pStyle w:val="Tablenotes0"/>
      </w:pPr>
    </w:p>
    <w:p w14:paraId="613B7C25" w14:textId="77777777" w:rsidR="0091323E" w:rsidRDefault="0091323E" w:rsidP="0091323E">
      <w:pPr>
        <w:pStyle w:val="Heading4"/>
      </w:pPr>
      <w:r>
        <w:t>Clinician agreement in diagnosis</w:t>
      </w:r>
    </w:p>
    <w:p w14:paraId="42167181" w14:textId="3DAEAD06" w:rsidR="00527384" w:rsidRDefault="00217564" w:rsidP="00831FD8">
      <w:r>
        <w:t xml:space="preserve">Jurynczyk et al </w:t>
      </w:r>
      <w:r w:rsidR="00156621">
        <w:fldChar w:fldCharType="begin">
          <w:fldData xml:space="preserve">PEVuZE5vdGU+PENpdGU+PEF1dGhvcj5KdXJ5bmN6eWs8L0F1dGhvcj48WWVhcj4yMDE2PC9ZZWFy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</w:fldData>
        </w:fldChar>
      </w:r>
      <w:r w:rsidR="00AC01FD">
        <w:instrText xml:space="preserve"> ADDIN EN.CITE </w:instrText>
      </w:r>
      <w:r w:rsidR="00AC01FD">
        <w:fldChar w:fldCharType="begin">
          <w:fldData xml:space="preserve">PEVuZE5vdGU+PENpdGU+PEF1dGhvcj5KdXJ5bmN6eWs8L0F1dGhvcj48WWVhcj4yMDE2PC9ZZWFy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</w:fldData>
        </w:fldChar>
      </w:r>
      <w:r w:rsidR="00AC01FD">
        <w:instrText xml:space="preserve"> ADDIN EN.CITE.DATA </w:instrText>
      </w:r>
      <w:r w:rsidR="00AC01FD">
        <w:fldChar w:fldCharType="end"/>
      </w:r>
      <w:r w:rsidR="00156621">
        <w:fldChar w:fldCharType="separate"/>
      </w:r>
      <w:r w:rsidR="006965F4">
        <w:rPr>
          <w:noProof/>
        </w:rPr>
        <w:t>(</w:t>
      </w:r>
      <w:r w:rsidR="00156621">
        <w:rPr>
          <w:noProof/>
        </w:rPr>
        <w:t>2016)</w:t>
      </w:r>
      <w:r w:rsidR="00156621">
        <w:fldChar w:fldCharType="end"/>
      </w:r>
      <w:r w:rsidR="000C755B">
        <w:t xml:space="preserve"> </w:t>
      </w:r>
      <w:r>
        <w:t xml:space="preserve">conducted a survey </w:t>
      </w:r>
      <w:r w:rsidR="00D97DDA">
        <w:t>of</w:t>
      </w:r>
      <w:r w:rsidR="005E1B6E">
        <w:t xml:space="preserve"> </w:t>
      </w:r>
      <w:r w:rsidR="00527384">
        <w:t xml:space="preserve">27 </w:t>
      </w:r>
      <w:r w:rsidR="005E1B6E">
        <w:t xml:space="preserve">neurology </w:t>
      </w:r>
      <w:r w:rsidR="00527384">
        <w:t xml:space="preserve">consultants who had expertise </w:t>
      </w:r>
      <w:r>
        <w:t xml:space="preserve">in </w:t>
      </w:r>
      <w:r w:rsidR="00527384">
        <w:t xml:space="preserve">the </w:t>
      </w:r>
      <w:r>
        <w:t xml:space="preserve">diagnosis </w:t>
      </w:r>
      <w:r w:rsidR="00527384">
        <w:t>o</w:t>
      </w:r>
      <w:r>
        <w:t xml:space="preserve">f </w:t>
      </w:r>
      <w:r w:rsidR="00527384">
        <w:t>inflammatory demyelinating diseases</w:t>
      </w:r>
      <w:r>
        <w:t xml:space="preserve">. </w:t>
      </w:r>
      <w:r w:rsidR="00826AA5">
        <w:t xml:space="preserve">The study was designed to examine the challenges presented in diagnosis and management of NMOSD cases in everyday practice. </w:t>
      </w:r>
      <w:r w:rsidR="00360EDA">
        <w:t>Twelve</w:t>
      </w:r>
      <w:r>
        <w:t xml:space="preserve"> </w:t>
      </w:r>
      <w:r w:rsidR="00826AA5">
        <w:t xml:space="preserve">predetermined </w:t>
      </w:r>
      <w:r w:rsidR="00527384">
        <w:t xml:space="preserve">anonymous </w:t>
      </w:r>
      <w:r>
        <w:t>cases wer</w:t>
      </w:r>
      <w:r w:rsidR="00360EDA">
        <w:t>e</w:t>
      </w:r>
      <w:r>
        <w:t xml:space="preserve"> </w:t>
      </w:r>
      <w:r w:rsidR="00527384">
        <w:t xml:space="preserve">chosen because of their overlapping presentation, and </w:t>
      </w:r>
      <w:r w:rsidR="00A1269D">
        <w:t xml:space="preserve">provided </w:t>
      </w:r>
      <w:r w:rsidR="00360EDA">
        <w:t xml:space="preserve">to each </w:t>
      </w:r>
      <w:r w:rsidR="00527384">
        <w:t xml:space="preserve">consultant </w:t>
      </w:r>
      <w:r w:rsidR="00826AA5">
        <w:t xml:space="preserve">with </w:t>
      </w:r>
      <w:r w:rsidR="00527384">
        <w:t>clinical details. Clinical opinions on case diagnos</w:t>
      </w:r>
      <w:r w:rsidR="00831FD8">
        <w:t>e</w:t>
      </w:r>
      <w:r w:rsidR="00527384">
        <w:t>s were categorised as MS, NMOSD, indeterminate or other. Observed agreement (p</w:t>
      </w:r>
      <w:r w:rsidR="00527384">
        <w:rPr>
          <w:vertAlign w:val="subscript"/>
        </w:rPr>
        <w:t>0</w:t>
      </w:r>
      <w:r w:rsidR="00527384">
        <w:t xml:space="preserve">) was measured between diagnoses. </w:t>
      </w:r>
    </w:p>
    <w:p w14:paraId="720D4870" w14:textId="5C385CB4" w:rsidR="00527384" w:rsidRDefault="00527384" w:rsidP="00527384">
      <w:pPr>
        <w:spacing w:before="240"/>
      </w:pPr>
      <w:r>
        <w:t>The authors reported high disagreement among the consultants</w:t>
      </w:r>
      <w:r w:rsidR="00994F12">
        <w:t xml:space="preserve"> for diagnosis</w:t>
      </w:r>
      <w:r>
        <w:t xml:space="preserve"> (</w:t>
      </w:r>
      <w:r w:rsidR="008F1BD8">
        <w:t>p</w:t>
      </w:r>
      <w:r w:rsidR="008F1BD8">
        <w:rPr>
          <w:vertAlign w:val="subscript"/>
        </w:rPr>
        <w:t>0</w:t>
      </w:r>
      <w:r w:rsidR="008F1BD8">
        <w:t xml:space="preserve"> = 0.51; </w:t>
      </w:r>
      <w:r w:rsidR="008F1BD8">
        <w:fldChar w:fldCharType="begin"/>
      </w:r>
      <w:r w:rsidR="008F1BD8">
        <w:instrText xml:space="preserve"> REF _Ref31639897 \h </w:instrText>
      </w:r>
      <w:r w:rsidR="008F1BD8">
        <w:fldChar w:fldCharType="separate"/>
      </w:r>
      <w:r w:rsidR="009D7259">
        <w:t xml:space="preserve">Table </w:t>
      </w:r>
      <w:r w:rsidR="009D7259">
        <w:rPr>
          <w:noProof/>
        </w:rPr>
        <w:t>45</w:t>
      </w:r>
      <w:r w:rsidR="008F1BD8">
        <w:fldChar w:fldCharType="end"/>
      </w:r>
      <w:r w:rsidR="008F1BD8">
        <w:t>)</w:t>
      </w:r>
      <w:r>
        <w:t xml:space="preserve">. </w:t>
      </w:r>
      <w:r w:rsidR="008F1BD8">
        <w:t xml:space="preserve">One </w:t>
      </w:r>
      <w:r w:rsidR="00831FD8">
        <w:t xml:space="preserve">of the </w:t>
      </w:r>
      <w:r w:rsidR="008F1BD8">
        <w:t>more consistent outcome</w:t>
      </w:r>
      <w:r w:rsidR="00831FD8">
        <w:t>s</w:t>
      </w:r>
      <w:r w:rsidR="008F1BD8">
        <w:t xml:space="preserve"> was diagnosis of </w:t>
      </w:r>
      <w:r w:rsidR="00994F12">
        <w:t xml:space="preserve">five </w:t>
      </w:r>
      <w:r w:rsidR="00CE7F93">
        <w:t>cases, which</w:t>
      </w:r>
      <w:r w:rsidR="008F1BD8">
        <w:t xml:space="preserve"> had features of both MS and NMOSD. These were diagnosed more often with MS than NMOSD</w:t>
      </w:r>
      <w:r w:rsidR="00994F12">
        <w:t xml:space="preserve"> (61.5% versus 22.9% of consultants)</w:t>
      </w:r>
      <w:r w:rsidR="008F1BD8">
        <w:t>, the authors claiming this indicated that MS characteristics overrode NMOSD characteristics in clinical assessment.</w:t>
      </w:r>
    </w:p>
    <w:p w14:paraId="02A0E415" w14:textId="77777777" w:rsidR="008F1BD8" w:rsidRPr="00527384" w:rsidRDefault="008F1BD8" w:rsidP="00527384">
      <w:pPr>
        <w:spacing w:before="240"/>
      </w:pPr>
      <w:r>
        <w:t>Interestingly there was also disagreement between diagnoses of cases wh</w:t>
      </w:r>
      <w:r w:rsidR="00994F12">
        <w:t>ich</w:t>
      </w:r>
      <w:r>
        <w:t xml:space="preserve"> met the 2006 and 2015 diagnostic criteria. Only three of 27 (11%) consultants made their diagnosis exactly according to diagnostic criteria, with 11 (41%) experts making at least one diagnosis other than NMOSD in cases fulf</w:t>
      </w:r>
      <w:r w:rsidR="00831FD8">
        <w:t xml:space="preserve">illing the diagnostic criteria. </w:t>
      </w:r>
    </w:p>
    <w:p w14:paraId="715AA29D" w14:textId="1B4B9FB8" w:rsidR="00FB36BF" w:rsidRDefault="00211976" w:rsidP="00211976">
      <w:pPr>
        <w:pStyle w:val="Caption"/>
      </w:pPr>
      <w:bookmarkStart w:id="292" w:name="_Ref31639897"/>
      <w:bookmarkStart w:id="293" w:name="_Toc39580826"/>
      <w:r>
        <w:t xml:space="preserve">Table </w:t>
      </w:r>
      <w:fldSimple w:instr=" SEQ Table \* ARABIC ">
        <w:r w:rsidR="00FA7BCD">
          <w:rPr>
            <w:noProof/>
          </w:rPr>
          <w:t>45</w:t>
        </w:r>
      </w:fldSimple>
      <w:bookmarkEnd w:id="292"/>
      <w:r w:rsidR="00185A05">
        <w:rPr>
          <w:noProof/>
        </w:rPr>
        <w:tab/>
        <w:t>Clinican diagnostic agreement between cases of NMOSD and MS</w:t>
      </w:r>
      <w:bookmarkEnd w:id="293"/>
    </w:p>
    <w:tbl>
      <w:tblPr>
        <w:tblStyle w:val="TableGrid1"/>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45 Clinican diagnostic agreement between cases of NMOSD and MS"/>
        <w:tblDescription w:val="The reported agreement between clinicans diagnosing 12 specified cases of NMOSD or MS"/>
      </w:tblPr>
      <w:tblGrid>
        <w:gridCol w:w="1681"/>
        <w:gridCol w:w="2105"/>
        <w:gridCol w:w="1986"/>
        <w:gridCol w:w="3119"/>
      </w:tblGrid>
      <w:tr w:rsidR="00826AA5" w:rsidRPr="001C45F4" w14:paraId="48ABF28D" w14:textId="77777777" w:rsidTr="0030147A">
        <w:trPr>
          <w:cnfStyle w:val="100000000000" w:firstRow="1" w:lastRow="0" w:firstColumn="0" w:lastColumn="0" w:oddVBand="0" w:evenVBand="0" w:oddHBand="0" w:evenHBand="0" w:firstRowFirstColumn="0" w:firstRowLastColumn="0" w:lastRowFirstColumn="0" w:lastRowLastColumn="0"/>
        </w:trPr>
        <w:tc>
          <w:tcPr>
            <w:tcW w:w="0" w:type="auto"/>
            <w:tcBorders>
              <w:top w:val="single" w:sz="6" w:space="0" w:color="auto"/>
              <w:left w:val="single" w:sz="6" w:space="0" w:color="auto"/>
              <w:bottom w:val="single" w:sz="6" w:space="0" w:color="auto"/>
              <w:right w:val="single" w:sz="6" w:space="0" w:color="auto"/>
            </w:tcBorders>
            <w:hideMark/>
          </w:tcPr>
          <w:p w14:paraId="3D1D4897" w14:textId="77777777" w:rsidR="00826AA5" w:rsidRPr="001C45F4" w:rsidRDefault="00826AA5" w:rsidP="00081E37">
            <w:pPr>
              <w:jc w:val="left"/>
              <w:rPr>
                <w:rFonts w:ascii="Arial Narrow" w:hAnsi="Arial Narrow"/>
                <w:b/>
              </w:rPr>
            </w:pPr>
            <w:r w:rsidRPr="001C45F4">
              <w:rPr>
                <w:rFonts w:ascii="Arial Narrow" w:hAnsi="Arial Narrow"/>
                <w:b/>
              </w:rPr>
              <w:t>Study</w:t>
            </w:r>
          </w:p>
        </w:tc>
        <w:tc>
          <w:tcPr>
            <w:tcW w:w="2105" w:type="dxa"/>
            <w:tcBorders>
              <w:top w:val="single" w:sz="6" w:space="0" w:color="auto"/>
              <w:left w:val="single" w:sz="6" w:space="0" w:color="auto"/>
              <w:bottom w:val="single" w:sz="6" w:space="0" w:color="auto"/>
              <w:right w:val="single" w:sz="6" w:space="0" w:color="auto"/>
            </w:tcBorders>
            <w:hideMark/>
          </w:tcPr>
          <w:p w14:paraId="27769476" w14:textId="77777777" w:rsidR="00826AA5" w:rsidRPr="001C45F4" w:rsidRDefault="00826AA5" w:rsidP="00081E37">
            <w:pPr>
              <w:jc w:val="left"/>
              <w:rPr>
                <w:rFonts w:ascii="Arial Narrow" w:hAnsi="Arial Narrow"/>
                <w:b/>
              </w:rPr>
            </w:pPr>
            <w:r w:rsidRPr="001C45F4">
              <w:rPr>
                <w:rFonts w:ascii="Arial Narrow" w:hAnsi="Arial Narrow"/>
                <w:b/>
              </w:rPr>
              <w:t>Outcome</w:t>
            </w:r>
          </w:p>
        </w:tc>
        <w:tc>
          <w:tcPr>
            <w:tcW w:w="1986" w:type="dxa"/>
            <w:tcBorders>
              <w:top w:val="single" w:sz="6" w:space="0" w:color="auto"/>
              <w:left w:val="single" w:sz="6" w:space="0" w:color="auto"/>
              <w:bottom w:val="single" w:sz="6" w:space="0" w:color="auto"/>
              <w:right w:val="single" w:sz="6" w:space="0" w:color="auto"/>
            </w:tcBorders>
            <w:hideMark/>
          </w:tcPr>
          <w:p w14:paraId="0B2A30E9" w14:textId="77777777" w:rsidR="00826AA5" w:rsidRPr="001C45F4" w:rsidRDefault="00826AA5" w:rsidP="00081E37">
            <w:pPr>
              <w:jc w:val="left"/>
              <w:rPr>
                <w:rFonts w:ascii="Arial Narrow" w:hAnsi="Arial Narrow"/>
                <w:b/>
              </w:rPr>
            </w:pPr>
            <w:r w:rsidRPr="001C45F4">
              <w:rPr>
                <w:rFonts w:ascii="Arial Narrow" w:hAnsi="Arial Narrow"/>
                <w:b/>
              </w:rPr>
              <w:t>Population</w:t>
            </w:r>
          </w:p>
        </w:tc>
        <w:tc>
          <w:tcPr>
            <w:tcW w:w="3119" w:type="dxa"/>
            <w:tcBorders>
              <w:top w:val="single" w:sz="6" w:space="0" w:color="auto"/>
              <w:left w:val="single" w:sz="6" w:space="0" w:color="auto"/>
              <w:bottom w:val="single" w:sz="6" w:space="0" w:color="auto"/>
              <w:right w:val="single" w:sz="6" w:space="0" w:color="auto"/>
            </w:tcBorders>
            <w:hideMark/>
          </w:tcPr>
          <w:p w14:paraId="6CA31D67" w14:textId="77777777" w:rsidR="00826AA5" w:rsidRPr="00360EDA" w:rsidRDefault="00826AA5" w:rsidP="00081E37">
            <w:pPr>
              <w:jc w:val="left"/>
              <w:rPr>
                <w:rFonts w:ascii="Arial Narrow" w:hAnsi="Arial Narrow"/>
                <w:b/>
                <w:vertAlign w:val="superscript"/>
              </w:rPr>
            </w:pPr>
            <w:r w:rsidRPr="001C45F4">
              <w:rPr>
                <w:rFonts w:ascii="Arial Narrow" w:hAnsi="Arial Narrow"/>
                <w:b/>
              </w:rPr>
              <w:t>Intervention</w:t>
            </w:r>
            <w:r>
              <w:rPr>
                <w:rFonts w:ascii="Arial Narrow" w:hAnsi="Arial Narrow"/>
                <w:b/>
                <w:vertAlign w:val="superscript"/>
              </w:rPr>
              <w:t>a</w:t>
            </w:r>
          </w:p>
        </w:tc>
      </w:tr>
      <w:tr w:rsidR="00826AA5" w:rsidRPr="004371CF" w14:paraId="5E786D22" w14:textId="77777777" w:rsidTr="0030147A">
        <w:tc>
          <w:tcPr>
            <w:tcW w:w="0" w:type="auto"/>
            <w:tcBorders>
              <w:top w:val="single" w:sz="6" w:space="0" w:color="auto"/>
              <w:left w:val="single" w:sz="6" w:space="0" w:color="auto"/>
              <w:bottom w:val="single" w:sz="6" w:space="0" w:color="auto"/>
              <w:right w:val="single" w:sz="6" w:space="0" w:color="auto"/>
            </w:tcBorders>
            <w:hideMark/>
          </w:tcPr>
          <w:p w14:paraId="0784E810" w14:textId="77777777" w:rsidR="00826AA5" w:rsidRPr="004371CF" w:rsidRDefault="00156621" w:rsidP="00AC01FD">
            <w:pPr>
              <w:jc w:val="left"/>
              <w:rPr>
                <w:rFonts w:ascii="Arial Narrow" w:hAnsi="Arial Narrow"/>
              </w:rPr>
            </w:pPr>
            <w:r>
              <w:rPr>
                <w:rFonts w:ascii="Arial Narrow" w:hAnsi="Arial Narrow"/>
              </w:rPr>
              <w:fldChar w:fldCharType="begin">
                <w:fldData xml:space="preserve">PEVuZE5vdGU+PENpdGU+PEF1dGhvcj5KdXJ5bmN6eWs8L0F1dGhvcj48WWVhcj4yMDE2PC9ZZWFy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</w:fldData>
              </w:fldChar>
            </w:r>
            <w:r w:rsidR="00AC01FD">
              <w:rPr>
                <w:rFonts w:ascii="Arial Narrow" w:hAnsi="Arial Narrow"/>
              </w:rPr>
              <w:instrText xml:space="preserve"> ADDIN EN.CITE </w:instrText>
            </w:r>
            <w:r w:rsidR="00AC01FD">
              <w:rPr>
                <w:rFonts w:ascii="Arial Narrow" w:hAnsi="Arial Narrow"/>
              </w:rPr>
              <w:fldChar w:fldCharType="begin">
                <w:fldData xml:space="preserve">PEVuZE5vdGU+PENpdGU+PEF1dGhvcj5KdXJ5bmN6eWs8L0F1dGhvcj48WWVhcj4yMDE2PC9ZZWFy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</w:fldData>
              </w:fldChar>
            </w:r>
            <w:r w:rsidR="00AC01FD">
              <w:rPr>
                <w:rFonts w:ascii="Arial Narrow" w:hAnsi="Arial Narrow"/>
              </w:rPr>
              <w:instrText xml:space="preserve"> ADDIN EN.CITE.DATA </w:instrText>
            </w:r>
            <w:r w:rsidR="00AC01FD">
              <w:rPr>
                <w:rFonts w:ascii="Arial Narrow" w:hAnsi="Arial Narrow"/>
              </w:rPr>
            </w:r>
            <w:r w:rsidR="00AC01FD">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(Jurynczyk et al. 2016)</w:t>
            </w:r>
            <w:r>
              <w:rPr>
                <w:rFonts w:ascii="Arial Narrow" w:hAnsi="Arial Narrow"/>
              </w:rPr>
              <w:fldChar w:fldCharType="end"/>
            </w:r>
          </w:p>
        </w:tc>
        <w:tc>
          <w:tcPr>
            <w:tcW w:w="2105" w:type="dxa"/>
            <w:tcBorders>
              <w:top w:val="single" w:sz="6" w:space="0" w:color="auto"/>
              <w:left w:val="single" w:sz="6" w:space="0" w:color="auto"/>
              <w:bottom w:val="single" w:sz="6" w:space="0" w:color="auto"/>
              <w:right w:val="single" w:sz="6" w:space="0" w:color="auto"/>
            </w:tcBorders>
            <w:hideMark/>
          </w:tcPr>
          <w:p w14:paraId="10C76351" w14:textId="77777777" w:rsidR="00826AA5" w:rsidRPr="004371CF" w:rsidRDefault="00826AA5" w:rsidP="00081E37">
            <w:pPr>
              <w:jc w:val="left"/>
              <w:rPr>
                <w:rFonts w:ascii="Arial Narrow" w:hAnsi="Arial Narrow"/>
              </w:rPr>
            </w:pPr>
            <w:r w:rsidRPr="004371CF">
              <w:rPr>
                <w:rFonts w:ascii="Arial Narrow" w:hAnsi="Arial Narrow"/>
              </w:rPr>
              <w:t xml:space="preserve">Mean agreement between </w:t>
            </w:r>
            <w:r w:rsidR="008F1BD8">
              <w:rPr>
                <w:rFonts w:ascii="Arial Narrow" w:hAnsi="Arial Narrow"/>
              </w:rPr>
              <w:t xml:space="preserve">27 </w:t>
            </w:r>
            <w:r w:rsidRPr="004371CF">
              <w:rPr>
                <w:rFonts w:ascii="Arial Narrow" w:hAnsi="Arial Narrow"/>
              </w:rPr>
              <w:t>clinician diagnoses</w:t>
            </w:r>
          </w:p>
        </w:tc>
        <w:tc>
          <w:tcPr>
            <w:tcW w:w="1986" w:type="dxa"/>
            <w:tcBorders>
              <w:top w:val="single" w:sz="6" w:space="0" w:color="auto"/>
              <w:left w:val="single" w:sz="6" w:space="0" w:color="auto"/>
              <w:bottom w:val="single" w:sz="6" w:space="0" w:color="auto"/>
              <w:right w:val="single" w:sz="6" w:space="0" w:color="auto"/>
            </w:tcBorders>
            <w:hideMark/>
          </w:tcPr>
          <w:p w14:paraId="4C39C210" w14:textId="77777777" w:rsidR="00826AA5" w:rsidRPr="004371CF" w:rsidRDefault="00826AA5" w:rsidP="00081E37">
            <w:pPr>
              <w:jc w:val="left"/>
              <w:rPr>
                <w:rFonts w:ascii="Arial Narrow" w:hAnsi="Arial Narrow"/>
              </w:rPr>
            </w:pPr>
            <w:r w:rsidRPr="004371CF">
              <w:rPr>
                <w:rFonts w:ascii="Arial Narrow" w:hAnsi="Arial Narrow"/>
              </w:rPr>
              <w:t>12 cases of MS or NMOSD</w:t>
            </w:r>
          </w:p>
        </w:tc>
        <w:tc>
          <w:tcPr>
            <w:tcW w:w="3119" w:type="dxa"/>
            <w:tcBorders>
              <w:top w:val="single" w:sz="6" w:space="0" w:color="auto"/>
              <w:left w:val="single" w:sz="6" w:space="0" w:color="auto"/>
              <w:bottom w:val="single" w:sz="6" w:space="0" w:color="auto"/>
              <w:right w:val="single" w:sz="6" w:space="0" w:color="auto"/>
            </w:tcBorders>
            <w:hideMark/>
          </w:tcPr>
          <w:p w14:paraId="5ED6BD06" w14:textId="77777777" w:rsidR="0030147A" w:rsidRDefault="00826AA5" w:rsidP="00360EDA">
            <w:pPr>
              <w:jc w:val="left"/>
              <w:rPr>
                <w:rFonts w:ascii="Arial Narrow" w:hAnsi="Arial Narrow"/>
              </w:rPr>
            </w:pPr>
            <w:r w:rsidRPr="004371CF">
              <w:rPr>
                <w:rFonts w:ascii="Arial Narrow" w:hAnsi="Arial Narrow"/>
              </w:rPr>
              <w:t xml:space="preserve">Mean </w:t>
            </w:r>
            <w:r>
              <w:rPr>
                <w:rFonts w:ascii="Arial Narrow" w:hAnsi="Arial Narrow"/>
              </w:rPr>
              <w:t>P</w:t>
            </w:r>
            <w:r w:rsidRPr="004371CF">
              <w:rPr>
                <w:rFonts w:ascii="Arial Narrow" w:hAnsi="Arial Narrow"/>
              </w:rPr>
              <w:t xml:space="preserve">o = 0.51 </w:t>
            </w:r>
          </w:p>
          <w:p w14:paraId="6F1E6785" w14:textId="77777777" w:rsidR="00826AA5" w:rsidRDefault="00826AA5" w:rsidP="00360EDA">
            <w:pPr>
              <w:jc w:val="left"/>
              <w:rPr>
                <w:rFonts w:ascii="Arial Narrow" w:hAnsi="Arial Narrow"/>
              </w:rPr>
            </w:pPr>
            <w:r w:rsidRPr="004371CF">
              <w:rPr>
                <w:rFonts w:ascii="Arial Narrow" w:hAnsi="Arial Narrow"/>
              </w:rPr>
              <w:t>(range between cases = 0.25 - 0.73)</w:t>
            </w:r>
          </w:p>
          <w:p w14:paraId="7C763912" w14:textId="77777777" w:rsidR="00826AA5" w:rsidRPr="004371CF" w:rsidRDefault="00826AA5" w:rsidP="00360EDA">
            <w:pPr>
              <w:jc w:val="left"/>
              <w:rPr>
                <w:rFonts w:ascii="Arial Narrow" w:hAnsi="Arial Narrow"/>
              </w:rPr>
            </w:pPr>
            <w:r w:rsidRPr="004371CF">
              <w:rPr>
                <w:rFonts w:ascii="Arial Narrow" w:hAnsi="Arial Narrow"/>
              </w:rPr>
              <w:t>kappa = 0.27</w:t>
            </w:r>
          </w:p>
        </w:tc>
      </w:tr>
    </w:tbl>
    <w:p w14:paraId="4CFFAC75" w14:textId="77777777" w:rsidR="00D6375B" w:rsidRPr="00D6375B" w:rsidRDefault="00D6375B" w:rsidP="00360EDA">
      <w:pPr>
        <w:pStyle w:val="Tablenotes0"/>
      </w:pPr>
      <w:r>
        <w:t xml:space="preserve">MS = multiple sclerosis; </w:t>
      </w:r>
      <w:r w:rsidRPr="00D6375B">
        <w:t xml:space="preserve">NMOSD = neuromyelitis optica spectrum disorders; </w:t>
      </w:r>
    </w:p>
    <w:p w14:paraId="0787EF0E" w14:textId="77777777" w:rsidR="00FB36BF" w:rsidRPr="004371CF" w:rsidRDefault="00527384" w:rsidP="00360EDA">
      <w:pPr>
        <w:pStyle w:val="Tablenotes0"/>
      </w:pPr>
      <w:r>
        <w:rPr>
          <w:vertAlign w:val="superscript"/>
        </w:rPr>
        <w:t>a</w:t>
      </w:r>
      <w:r w:rsidR="00360EDA">
        <w:t xml:space="preserve"> </w:t>
      </w:r>
      <w:r w:rsidR="00360EDA" w:rsidRPr="00360EDA">
        <w:t>Po</w:t>
      </w:r>
      <w:r w:rsidR="00360EDA">
        <w:t xml:space="preserve"> = observed agreement; kappa = </w:t>
      </w:r>
      <w:r w:rsidR="00360EDA" w:rsidRPr="00360EDA">
        <w:t>(observed agreement [Po] – expected agreement [Pe])/(1-expected agreement [Pe])</w:t>
      </w:r>
    </w:p>
    <w:p w14:paraId="04EAAACE" w14:textId="77777777" w:rsidR="00826AA5" w:rsidRDefault="00826AA5" w:rsidP="00055380"/>
    <w:p w14:paraId="39A75596" w14:textId="52EF76FF" w:rsidR="00ED65EE" w:rsidRPr="002D5FF0" w:rsidRDefault="00ED65EE" w:rsidP="00ED65EE">
      <w:pPr>
        <w:pStyle w:val="Heading2"/>
      </w:pPr>
      <w:bookmarkStart w:id="294" w:name="_Toc39588328"/>
      <w:r w:rsidRPr="002D5FF0">
        <w:t>B5.2</w:t>
      </w:r>
      <w:r w:rsidRPr="002D5FF0">
        <w:tab/>
        <w:t>Therapeutic effectiveness</w:t>
      </w:r>
      <w:bookmarkEnd w:id="294"/>
      <w:r w:rsidRPr="002D5FF0">
        <w:t xml:space="preserve"> </w:t>
      </w:r>
    </w:p>
    <w:p w14:paraId="638B3089" w14:textId="7F27BD7B" w:rsidR="00050AB6" w:rsidRDefault="00050AB6" w:rsidP="00A57111">
      <w:pPr>
        <w:spacing w:after="80"/>
      </w:pPr>
      <w:r>
        <w:t xml:space="preserve">Evidence has been included to show how effective the </w:t>
      </w:r>
      <w:r w:rsidR="00CE7F93">
        <w:t>changes that result from AQP4-Ab and MOG-Ab testing</w:t>
      </w:r>
      <w:r>
        <w:t xml:space="preserve"> are</w:t>
      </w:r>
      <w:r w:rsidR="00A1269D">
        <w:t>,</w:t>
      </w:r>
      <w:r>
        <w:t xml:space="preserve"> compared to diagnosis based on clinical characteristics alone. </w:t>
      </w:r>
      <w:r w:rsidR="0019687F">
        <w:t xml:space="preserve">The evidence falls into </w:t>
      </w:r>
      <w:r w:rsidR="00A57111">
        <w:t>four</w:t>
      </w:r>
      <w:r w:rsidR="0019687F">
        <w:t xml:space="preserve"> categories:</w:t>
      </w:r>
    </w:p>
    <w:p w14:paraId="6DD1D7D3" w14:textId="77777777" w:rsidR="0019687F" w:rsidRDefault="0019687F" w:rsidP="003816F6">
      <w:pPr>
        <w:pStyle w:val="ListParagraph"/>
        <w:numPr>
          <w:ilvl w:val="0"/>
          <w:numId w:val="45"/>
        </w:numPr>
        <w:spacing w:after="80"/>
      </w:pPr>
      <w:r>
        <w:t>Early compared with late treatment for NMSOD</w:t>
      </w:r>
    </w:p>
    <w:p w14:paraId="2651B49D" w14:textId="77777777" w:rsidR="0019687F" w:rsidRDefault="0019687F" w:rsidP="003816F6">
      <w:pPr>
        <w:pStyle w:val="ListParagraph"/>
        <w:numPr>
          <w:ilvl w:val="0"/>
          <w:numId w:val="45"/>
        </w:numPr>
        <w:spacing w:after="80"/>
      </w:pPr>
      <w:r>
        <w:t>Effectiveness of treatment in NMOSD patients compared with MS patients</w:t>
      </w:r>
    </w:p>
    <w:p w14:paraId="278AA15C" w14:textId="77777777" w:rsidR="0019687F" w:rsidRDefault="0019687F" w:rsidP="003816F6">
      <w:pPr>
        <w:pStyle w:val="ListParagraph"/>
        <w:numPr>
          <w:ilvl w:val="0"/>
          <w:numId w:val="45"/>
        </w:numPr>
        <w:spacing w:after="80"/>
        <w:ind w:left="714" w:hanging="357"/>
      </w:pPr>
      <w:r>
        <w:t xml:space="preserve">Disease status </w:t>
      </w:r>
      <w:r w:rsidR="00A1269D">
        <w:t xml:space="preserve">before and </w:t>
      </w:r>
      <w:r>
        <w:t>after treatment for NMOSD patients</w:t>
      </w:r>
    </w:p>
    <w:p w14:paraId="0C5D145A" w14:textId="77777777" w:rsidR="00A57111" w:rsidRDefault="00A57111" w:rsidP="003816F6">
      <w:pPr>
        <w:pStyle w:val="ListParagraph"/>
        <w:numPr>
          <w:ilvl w:val="0"/>
          <w:numId w:val="45"/>
        </w:numPr>
      </w:pPr>
      <w:r>
        <w:t>Safety (adverse events) associated with NMOSD treatments relevant in the Australian setting</w:t>
      </w:r>
    </w:p>
    <w:p w14:paraId="69E27092" w14:textId="77777777" w:rsidR="0019687F" w:rsidRDefault="00A57111" w:rsidP="00050AB6">
      <w:r>
        <w:lastRenderedPageBreak/>
        <w:t xml:space="preserve">Because of the volume of evidence identified in the literature search for effectiveness of treatments in NMOSD patients, only the </w:t>
      </w:r>
      <w:r w:rsidR="00EC702B">
        <w:t xml:space="preserve">highest level of evidence and </w:t>
      </w:r>
      <w:r>
        <w:t>most relevant articles have been selected for inclusion.</w:t>
      </w:r>
    </w:p>
    <w:p w14:paraId="2F0593DD" w14:textId="77777777" w:rsidR="00ED65EE" w:rsidRPr="00183E4D" w:rsidRDefault="00ED65EE" w:rsidP="003816F6">
      <w:pPr>
        <w:pStyle w:val="Heading2"/>
        <w:numPr>
          <w:ilvl w:val="1"/>
          <w:numId w:val="16"/>
        </w:numPr>
      </w:pPr>
      <w:bookmarkStart w:id="295" w:name="_Toc39588329"/>
      <w:r w:rsidRPr="00183E4D">
        <w:t>Risk of Bias Assessment</w:t>
      </w:r>
      <w:bookmarkEnd w:id="295"/>
    </w:p>
    <w:p w14:paraId="040664AC" w14:textId="77777777" w:rsidR="00C37011" w:rsidRPr="002324B4" w:rsidRDefault="00D071B5" w:rsidP="002324B4">
      <w:r w:rsidRPr="002324B4">
        <w:t>Evaluation of s</w:t>
      </w:r>
      <w:r w:rsidR="00C37011" w:rsidRPr="002324B4">
        <w:t xml:space="preserve">tudies assessing the health impact </w:t>
      </w:r>
      <w:r w:rsidR="000356AA" w:rsidRPr="002324B4">
        <w:t xml:space="preserve">due to </w:t>
      </w:r>
      <w:r w:rsidR="00DA313D" w:rsidRPr="002324B4">
        <w:t xml:space="preserve">change in management of NMOSD, </w:t>
      </w:r>
      <w:r w:rsidR="004E1A2B" w:rsidRPr="002324B4">
        <w:t>involving</w:t>
      </w:r>
      <w:r w:rsidR="003A2004" w:rsidRPr="002324B4">
        <w:t xml:space="preserve"> the therapeutic effectiveness of </w:t>
      </w:r>
      <w:r w:rsidR="00DA313D" w:rsidRPr="002324B4">
        <w:t xml:space="preserve">medication, </w:t>
      </w:r>
      <w:r w:rsidRPr="002324B4">
        <w:t xml:space="preserve">was performed </w:t>
      </w:r>
      <w:r w:rsidR="000356AA" w:rsidRPr="002324B4">
        <w:t xml:space="preserve">according to their study design. </w:t>
      </w:r>
    </w:p>
    <w:p w14:paraId="0450D6BB" w14:textId="20530747" w:rsidR="000356AA" w:rsidRDefault="00A1269D" w:rsidP="002324B4">
      <w:r w:rsidRPr="002324B4">
        <w:t xml:space="preserve">One </w:t>
      </w:r>
      <w:r>
        <w:t>SR</w:t>
      </w:r>
      <w:r w:rsidRPr="002324B4">
        <w:t xml:space="preserve"> and one RCT which also investigated changes in disability, relapse rates and adverse events were assessed with the AMSTAR 2 checklist and SIGN checklist for RCTs, respectively. The SR was considered to be of poor quality evidence with a high risk of bias (</w:t>
      </w:r>
      <w:r>
        <w:fldChar w:fldCharType="begin"/>
      </w:r>
      <w:r>
        <w:instrText xml:space="preserve"> REF _Ref32317361 \h </w:instrText>
      </w:r>
      <w:r>
        <w:fldChar w:fldCharType="separate"/>
      </w:r>
      <w:r w:rsidR="009D7259">
        <w:t xml:space="preserve">Table </w:t>
      </w:r>
      <w:r w:rsidR="009D7259">
        <w:rPr>
          <w:noProof/>
        </w:rPr>
        <w:t>47</w:t>
      </w:r>
      <w:r>
        <w:fldChar w:fldCharType="end"/>
      </w:r>
      <w:r w:rsidRPr="002324B4">
        <w:t>)</w:t>
      </w:r>
      <w:r>
        <w:t xml:space="preserve"> </w:t>
      </w:r>
      <w:r w:rsidRPr="002324B4">
        <w:t xml:space="preserve">and the RCT was assessed as being of good quality evidence with a low risk of bias. </w:t>
      </w:r>
      <w:r w:rsidR="00DA313D" w:rsidRPr="002324B4">
        <w:t xml:space="preserve">The cohort studies </w:t>
      </w:r>
      <w:r w:rsidR="00987B6D" w:rsidRPr="002324B4">
        <w:t xml:space="preserve">(including one retrospective) which investigated change in disability, relapse rates and adverse events </w:t>
      </w:r>
      <w:r w:rsidR="00DA313D" w:rsidRPr="002324B4">
        <w:t>were assessed using a SIGN checklist for cohort studies</w:t>
      </w:r>
      <w:r w:rsidR="00A73BBB" w:rsidRPr="002324B4">
        <w:t xml:space="preserve">, </w:t>
      </w:r>
      <w:r w:rsidR="002F0195" w:rsidRPr="002324B4">
        <w:t>and all were</w:t>
      </w:r>
      <w:r w:rsidR="00A73BBB" w:rsidRPr="002324B4">
        <w:t xml:space="preserve"> considered to have moderate risk of bias</w:t>
      </w:r>
      <w:r w:rsidR="00987B6D" w:rsidRPr="002324B4">
        <w:t xml:space="preserve">. </w:t>
      </w:r>
      <w:r w:rsidR="00A73BBB" w:rsidRPr="002324B4">
        <w:t xml:space="preserve">Domain scores for the cohort studies are shown in </w:t>
      </w:r>
      <w:r w:rsidR="0079250F" w:rsidRPr="002324B4">
        <w:fldChar w:fldCharType="begin"/>
      </w:r>
      <w:r w:rsidR="0079250F" w:rsidRPr="002324B4">
        <w:instrText xml:space="preserve"> REF _Ref32389124 \h </w:instrText>
      </w:r>
      <w:r w:rsidR="002324B4">
        <w:instrText xml:space="preserve"> \* MERGEFORMAT </w:instrText>
      </w:r>
      <w:r w:rsidR="0079250F" w:rsidRPr="002324B4">
        <w:fldChar w:fldCharType="separate"/>
      </w:r>
      <w:r w:rsidR="009D7259">
        <w:t xml:space="preserve">Table </w:t>
      </w:r>
      <w:r w:rsidR="009D7259">
        <w:rPr>
          <w:noProof/>
        </w:rPr>
        <w:t>46</w:t>
      </w:r>
      <w:r w:rsidR="0079250F" w:rsidRPr="002324B4">
        <w:fldChar w:fldCharType="end"/>
      </w:r>
      <w:r w:rsidR="00A73BBB" w:rsidRPr="002324B4">
        <w:t xml:space="preserve">. </w:t>
      </w:r>
      <w:r w:rsidRPr="002324B4">
        <w:t>Case series that investigated such outcomes as changes in disability based on early or late treatment, and adverse events</w:t>
      </w:r>
      <w:r>
        <w:t>,</w:t>
      </w:r>
      <w:r w:rsidRPr="002324B4">
        <w:t xml:space="preserve"> were assessed with the IHE checklist, with the majority considered to have moderate risk of bias. </w:t>
      </w:r>
      <w:r w:rsidR="000445CD" w:rsidRPr="002324B4">
        <w:fldChar w:fldCharType="begin"/>
      </w:r>
      <w:r w:rsidR="000445CD" w:rsidRPr="002324B4">
        <w:instrText xml:space="preserve"> REF _Ref32317448 \h </w:instrText>
      </w:r>
      <w:r w:rsidR="002324B4">
        <w:instrText xml:space="preserve"> \* MERGEFORMAT </w:instrText>
      </w:r>
      <w:r w:rsidR="000445CD" w:rsidRPr="002324B4">
        <w:fldChar w:fldCharType="separate"/>
      </w:r>
      <w:r w:rsidR="0014371E" w:rsidRPr="00241E97">
        <w:t xml:space="preserve">Table </w:t>
      </w:r>
      <w:r w:rsidR="0014371E">
        <w:rPr>
          <w:noProof/>
        </w:rPr>
        <w:t>45</w:t>
      </w:r>
      <w:r w:rsidR="000445CD" w:rsidRPr="002324B4">
        <w:fldChar w:fldCharType="end"/>
      </w:r>
      <w:r w:rsidR="006073A9" w:rsidRPr="002324B4">
        <w:t xml:space="preserve"> provides a summary of </w:t>
      </w:r>
      <w:r w:rsidR="0079250F" w:rsidRPr="002324B4">
        <w:t>all</w:t>
      </w:r>
      <w:r w:rsidR="006073A9" w:rsidRPr="002324B4">
        <w:t xml:space="preserve"> included </w:t>
      </w:r>
      <w:r w:rsidR="002324B4">
        <w:t xml:space="preserve">primary </w:t>
      </w:r>
      <w:r w:rsidR="006073A9" w:rsidRPr="002324B4">
        <w:t>studies</w:t>
      </w:r>
      <w:r w:rsidR="0095665C" w:rsidRPr="002324B4">
        <w:t>.</w:t>
      </w:r>
      <w:r w:rsidR="0095665C">
        <w:t xml:space="preserve">  </w:t>
      </w:r>
    </w:p>
    <w:p w14:paraId="2C4A78E9" w14:textId="086F3639" w:rsidR="00A73BBB" w:rsidRDefault="006073A9" w:rsidP="00A87AE2">
      <w:pPr>
        <w:pStyle w:val="TableHeading"/>
      </w:pPr>
      <w:bookmarkStart w:id="296" w:name="_Ref32389124"/>
      <w:bookmarkStart w:id="297" w:name="_Toc39580827"/>
      <w:r>
        <w:t xml:space="preserve">Table </w:t>
      </w:r>
      <w:r w:rsidR="00E404C8">
        <w:fldChar w:fldCharType="begin"/>
      </w:r>
      <w:r w:rsidR="00E404C8">
        <w:instrText xml:space="preserve"> SEQ Table \* ARABIC </w:instrText>
      </w:r>
      <w:r w:rsidR="00E404C8">
        <w:fldChar w:fldCharType="separate"/>
      </w:r>
      <w:r w:rsidR="00FA7BCD">
        <w:rPr>
          <w:noProof/>
        </w:rPr>
        <w:t>46</w:t>
      </w:r>
      <w:r w:rsidR="00E404C8">
        <w:rPr>
          <w:noProof/>
        </w:rPr>
        <w:fldChar w:fldCharType="end"/>
      </w:r>
      <w:bookmarkEnd w:id="296"/>
      <w:r>
        <w:tab/>
      </w:r>
      <w:r w:rsidR="00A73BBB">
        <w:t>Domain scores for the quality appraisal of cohort studies using the SIGN Checklist 3</w:t>
      </w:r>
      <w:bookmarkEnd w:id="297"/>
    </w:p>
    <w:tbl>
      <w:tblPr>
        <w:tblStyle w:val="TableGrid1"/>
        <w:tblW w:w="903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CellMar>
          <w:top w:w="15" w:type="dxa"/>
          <w:left w:w="15" w:type="dxa"/>
          <w:bottom w:w="15" w:type="dxa"/>
          <w:right w:w="15" w:type="dxa"/>
        </w:tblCellMar>
        <w:tblLook w:val="04A0" w:firstRow="1" w:lastRow="0" w:firstColumn="1" w:lastColumn="0" w:noHBand="0" w:noVBand="1"/>
        <w:tblCaption w:val="Table 46 Domain scores for the quality appraisal of cohort studies using the SIGN Checklist 3"/>
        <w:tblDescription w:val="Summary of the appraisal domains for cohort studies included for evidence on therapeutic effectiveness"/>
      </w:tblPr>
      <w:tblGrid>
        <w:gridCol w:w="1126"/>
        <w:gridCol w:w="1134"/>
        <w:gridCol w:w="1276"/>
        <w:gridCol w:w="1134"/>
        <w:gridCol w:w="1276"/>
        <w:gridCol w:w="1417"/>
        <w:gridCol w:w="1670"/>
      </w:tblGrid>
      <w:tr w:rsidR="006073A9" w:rsidRPr="009E090B" w14:paraId="3D5BDDCD" w14:textId="77777777" w:rsidTr="00752FD0">
        <w:trPr>
          <w:cnfStyle w:val="100000000000" w:firstRow="1" w:lastRow="0" w:firstColumn="0" w:lastColumn="0" w:oddVBand="0" w:evenVBand="0" w:oddHBand="0" w:evenHBand="0" w:firstRowFirstColumn="0" w:firstRowLastColumn="0" w:lastRowFirstColumn="0" w:lastRowLastColumn="0"/>
          <w:trHeight w:val="396"/>
        </w:trPr>
        <w:tc>
          <w:tcPr>
            <w:tcW w:w="1126" w:type="dxa"/>
            <w:vMerge w:val="restart"/>
            <w:tcBorders>
              <w:top w:val="single" w:sz="6" w:space="0" w:color="auto"/>
              <w:left w:val="single" w:sz="6" w:space="0" w:color="auto"/>
              <w:bottom w:val="nil"/>
              <w:right w:val="single" w:sz="6" w:space="0" w:color="auto"/>
            </w:tcBorders>
            <w:hideMark/>
          </w:tcPr>
          <w:p w14:paraId="400D463B" w14:textId="77777777" w:rsidR="006073A9" w:rsidRPr="009E090B" w:rsidRDefault="006073A9" w:rsidP="00A87AE2">
            <w:pPr>
              <w:pStyle w:val="TableHeading"/>
            </w:pPr>
            <w:r w:rsidRPr="009E090B">
              <w:t>Study ID</w:t>
            </w:r>
          </w:p>
        </w:tc>
        <w:tc>
          <w:tcPr>
            <w:tcW w:w="4820" w:type="dxa"/>
            <w:gridSpan w:val="4"/>
            <w:tcBorders>
              <w:top w:val="single" w:sz="6" w:space="0" w:color="auto"/>
              <w:left w:val="single" w:sz="6" w:space="0" w:color="auto"/>
              <w:bottom w:val="single" w:sz="6" w:space="0" w:color="auto"/>
              <w:right w:val="single" w:sz="6" w:space="0" w:color="auto"/>
            </w:tcBorders>
            <w:hideMark/>
          </w:tcPr>
          <w:p w14:paraId="584C1921" w14:textId="77777777" w:rsidR="006073A9" w:rsidRPr="009E090B" w:rsidRDefault="006073A9" w:rsidP="00A87AE2">
            <w:pPr>
              <w:pStyle w:val="TableHeading"/>
            </w:pPr>
            <w:r>
              <w:t>Internal validity</w:t>
            </w:r>
          </w:p>
        </w:tc>
        <w:tc>
          <w:tcPr>
            <w:tcW w:w="3087" w:type="dxa"/>
            <w:gridSpan w:val="2"/>
            <w:tcBorders>
              <w:top w:val="single" w:sz="6" w:space="0" w:color="auto"/>
              <w:left w:val="single" w:sz="6" w:space="0" w:color="auto"/>
              <w:bottom w:val="single" w:sz="4" w:space="0" w:color="auto"/>
            </w:tcBorders>
          </w:tcPr>
          <w:p w14:paraId="7A6CDCB4" w14:textId="77777777" w:rsidR="006073A9" w:rsidRPr="009E090B" w:rsidRDefault="006073A9" w:rsidP="00A87AE2">
            <w:pPr>
              <w:pStyle w:val="TableHeading"/>
            </w:pPr>
            <w:r>
              <w:t>Overall Assessment</w:t>
            </w:r>
          </w:p>
        </w:tc>
      </w:tr>
      <w:tr w:rsidR="006073A9" w:rsidRPr="009E090B" w14:paraId="2DB8BAF8" w14:textId="77777777" w:rsidTr="00752FD0">
        <w:trPr>
          <w:trHeight w:val="58"/>
        </w:trPr>
        <w:tc>
          <w:tcPr>
            <w:tcW w:w="1126" w:type="dxa"/>
            <w:vMerge/>
            <w:tcBorders>
              <w:left w:val="single" w:sz="6" w:space="0" w:color="auto"/>
              <w:bottom w:val="single" w:sz="6" w:space="0" w:color="auto"/>
              <w:right w:val="single" w:sz="6" w:space="0" w:color="auto"/>
            </w:tcBorders>
          </w:tcPr>
          <w:p w14:paraId="0858D76B" w14:textId="77777777" w:rsidR="006073A9" w:rsidRPr="009E090B" w:rsidRDefault="006073A9" w:rsidP="00A87AE2">
            <w:pPr>
              <w:pStyle w:val="TableHeading"/>
            </w:pPr>
          </w:p>
        </w:tc>
        <w:tc>
          <w:tcPr>
            <w:tcW w:w="1134" w:type="dxa"/>
            <w:tcBorders>
              <w:top w:val="single" w:sz="6" w:space="0" w:color="auto"/>
              <w:left w:val="single" w:sz="6" w:space="0" w:color="auto"/>
              <w:bottom w:val="single" w:sz="6" w:space="0" w:color="auto"/>
              <w:right w:val="single" w:sz="6" w:space="0" w:color="auto"/>
            </w:tcBorders>
          </w:tcPr>
          <w:p w14:paraId="534CE475" w14:textId="77777777" w:rsidR="006073A9" w:rsidRDefault="006073A9" w:rsidP="00A87AE2">
            <w:pPr>
              <w:pStyle w:val="TableHeading"/>
            </w:pPr>
            <w:r>
              <w:t>Selection of subjects</w:t>
            </w:r>
          </w:p>
        </w:tc>
        <w:tc>
          <w:tcPr>
            <w:tcW w:w="1276" w:type="dxa"/>
            <w:tcBorders>
              <w:top w:val="single" w:sz="6" w:space="0" w:color="auto"/>
              <w:left w:val="single" w:sz="6" w:space="0" w:color="auto"/>
              <w:bottom w:val="single" w:sz="6" w:space="0" w:color="auto"/>
              <w:right w:val="single" w:sz="6" w:space="0" w:color="auto"/>
            </w:tcBorders>
          </w:tcPr>
          <w:p w14:paraId="47E54C5F" w14:textId="77777777" w:rsidR="006073A9" w:rsidRPr="009E090B" w:rsidRDefault="006073A9" w:rsidP="00A87AE2">
            <w:pPr>
              <w:pStyle w:val="TableHeading"/>
            </w:pPr>
            <w:r>
              <w:t>Assessment</w:t>
            </w:r>
          </w:p>
        </w:tc>
        <w:tc>
          <w:tcPr>
            <w:tcW w:w="1134" w:type="dxa"/>
            <w:tcBorders>
              <w:top w:val="single" w:sz="6" w:space="0" w:color="auto"/>
              <w:left w:val="single" w:sz="6" w:space="0" w:color="auto"/>
              <w:bottom w:val="single" w:sz="6" w:space="0" w:color="auto"/>
              <w:right w:val="single" w:sz="6" w:space="0" w:color="auto"/>
            </w:tcBorders>
          </w:tcPr>
          <w:p w14:paraId="42AFB99E" w14:textId="77777777" w:rsidR="006073A9" w:rsidRPr="009E090B" w:rsidRDefault="006073A9" w:rsidP="00A87AE2">
            <w:pPr>
              <w:pStyle w:val="TableHeading"/>
            </w:pPr>
            <w:r>
              <w:t>Confounding</w:t>
            </w:r>
          </w:p>
        </w:tc>
        <w:tc>
          <w:tcPr>
            <w:tcW w:w="1276" w:type="dxa"/>
            <w:tcBorders>
              <w:top w:val="single" w:sz="6" w:space="0" w:color="auto"/>
              <w:left w:val="single" w:sz="6" w:space="0" w:color="auto"/>
              <w:bottom w:val="single" w:sz="6" w:space="0" w:color="auto"/>
              <w:right w:val="single" w:sz="6" w:space="0" w:color="auto"/>
            </w:tcBorders>
          </w:tcPr>
          <w:p w14:paraId="6A70CBD2" w14:textId="77777777" w:rsidR="006073A9" w:rsidRPr="009E090B" w:rsidRDefault="006073A9" w:rsidP="00A87AE2">
            <w:pPr>
              <w:pStyle w:val="TableHeading"/>
            </w:pPr>
            <w:r>
              <w:t>Statistical Analysis</w:t>
            </w:r>
          </w:p>
        </w:tc>
        <w:tc>
          <w:tcPr>
            <w:tcW w:w="1417" w:type="dxa"/>
            <w:tcBorders>
              <w:top w:val="single" w:sz="4" w:space="0" w:color="auto"/>
              <w:left w:val="single" w:sz="6" w:space="0" w:color="auto"/>
              <w:bottom w:val="single" w:sz="6" w:space="0" w:color="auto"/>
            </w:tcBorders>
          </w:tcPr>
          <w:p w14:paraId="044826F0" w14:textId="77777777" w:rsidR="006073A9" w:rsidRPr="009E090B" w:rsidRDefault="006073A9" w:rsidP="00A87AE2">
            <w:pPr>
              <w:pStyle w:val="TableHeading"/>
            </w:pPr>
            <w:r>
              <w:t>Applicability</w:t>
            </w:r>
          </w:p>
        </w:tc>
        <w:tc>
          <w:tcPr>
            <w:tcW w:w="1670" w:type="dxa"/>
            <w:tcBorders>
              <w:top w:val="single" w:sz="4" w:space="0" w:color="auto"/>
              <w:left w:val="single" w:sz="6" w:space="0" w:color="auto"/>
              <w:bottom w:val="single" w:sz="6" w:space="0" w:color="auto"/>
            </w:tcBorders>
          </w:tcPr>
          <w:p w14:paraId="5F0A6B06" w14:textId="77777777" w:rsidR="006073A9" w:rsidRPr="009E090B" w:rsidRDefault="006073A9" w:rsidP="00A87AE2">
            <w:pPr>
              <w:pStyle w:val="TableHeading"/>
            </w:pPr>
            <w:r>
              <w:t>Risk of bias</w:t>
            </w:r>
          </w:p>
        </w:tc>
      </w:tr>
      <w:tr w:rsidR="006073A9" w:rsidRPr="009E090B" w14:paraId="5D4D2DD0" w14:textId="77777777" w:rsidTr="00752FD0">
        <w:trPr>
          <w:trHeight w:val="661"/>
        </w:trPr>
        <w:tc>
          <w:tcPr>
            <w:tcW w:w="1126" w:type="dxa"/>
            <w:tcBorders>
              <w:top w:val="single" w:sz="6" w:space="0" w:color="auto"/>
              <w:left w:val="single" w:sz="6" w:space="0" w:color="auto"/>
              <w:bottom w:val="single" w:sz="6" w:space="0" w:color="auto"/>
              <w:right w:val="single" w:sz="6" w:space="0" w:color="auto"/>
            </w:tcBorders>
          </w:tcPr>
          <w:p w14:paraId="22E98440" w14:textId="3C0F0334" w:rsidR="006073A9" w:rsidRPr="009E090B" w:rsidRDefault="00156621" w:rsidP="004E5C57">
            <w:pPr>
              <w:pStyle w:val="TableText0"/>
            </w:pPr>
            <w:r>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instrText xml:space="preserve"> ADDIN EN.CITE </w:instrText>
            </w:r>
            <w:r w:rsidR="00D96694">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instrText xml:space="preserve"> ADDIN EN.CITE.DATA </w:instrText>
            </w:r>
            <w:r w:rsidR="00D96694">
              <w:fldChar w:fldCharType="end"/>
            </w:r>
            <w:r>
              <w:fldChar w:fldCharType="separate"/>
            </w:r>
            <w:r>
              <w:rPr>
                <w:noProof/>
              </w:rPr>
              <w:t>(Ashtari et al. 2019)</w:t>
            </w:r>
            <w:r>
              <w:fldChar w:fldCharType="end"/>
            </w:r>
          </w:p>
        </w:tc>
        <w:tc>
          <w:tcPr>
            <w:tcW w:w="1134" w:type="dxa"/>
            <w:tcBorders>
              <w:top w:val="single" w:sz="6" w:space="0" w:color="auto"/>
              <w:left w:val="single" w:sz="6" w:space="0" w:color="auto"/>
              <w:bottom w:val="single" w:sz="6" w:space="0" w:color="auto"/>
              <w:right w:val="single" w:sz="6" w:space="0" w:color="auto"/>
            </w:tcBorders>
          </w:tcPr>
          <w:p w14:paraId="73836204" w14:textId="77777777" w:rsidR="006073A9" w:rsidRPr="009E090B" w:rsidRDefault="002432A1" w:rsidP="004E5C57">
            <w:pPr>
              <w:pStyle w:val="TableText0"/>
            </w:pPr>
            <w:r>
              <w:t>1/5</w:t>
            </w:r>
          </w:p>
        </w:tc>
        <w:tc>
          <w:tcPr>
            <w:tcW w:w="1276" w:type="dxa"/>
            <w:tcBorders>
              <w:top w:val="single" w:sz="6" w:space="0" w:color="auto"/>
              <w:left w:val="single" w:sz="6" w:space="0" w:color="auto"/>
              <w:bottom w:val="single" w:sz="6" w:space="0" w:color="auto"/>
              <w:right w:val="single" w:sz="6" w:space="0" w:color="auto"/>
            </w:tcBorders>
          </w:tcPr>
          <w:p w14:paraId="12541A55" w14:textId="77777777" w:rsidR="006073A9" w:rsidRPr="009E090B" w:rsidRDefault="002432A1" w:rsidP="004E5C57">
            <w:pPr>
              <w:pStyle w:val="TableText0"/>
            </w:pPr>
            <w:r>
              <w:t>4/5</w:t>
            </w:r>
          </w:p>
        </w:tc>
        <w:tc>
          <w:tcPr>
            <w:tcW w:w="1134" w:type="dxa"/>
            <w:tcBorders>
              <w:top w:val="single" w:sz="6" w:space="0" w:color="auto"/>
              <w:left w:val="single" w:sz="6" w:space="0" w:color="auto"/>
              <w:bottom w:val="single" w:sz="6" w:space="0" w:color="auto"/>
              <w:right w:val="single" w:sz="6" w:space="0" w:color="auto"/>
            </w:tcBorders>
          </w:tcPr>
          <w:p w14:paraId="3F82F17E" w14:textId="77777777" w:rsidR="006073A9" w:rsidRPr="009E090B" w:rsidRDefault="002432A1" w:rsidP="004E5C57">
            <w:pPr>
              <w:pStyle w:val="TableText0"/>
            </w:pPr>
            <w:r>
              <w:t>1/1</w:t>
            </w:r>
          </w:p>
        </w:tc>
        <w:tc>
          <w:tcPr>
            <w:tcW w:w="1276" w:type="dxa"/>
            <w:tcBorders>
              <w:top w:val="single" w:sz="6" w:space="0" w:color="auto"/>
              <w:left w:val="single" w:sz="6" w:space="0" w:color="auto"/>
              <w:bottom w:val="single" w:sz="6" w:space="0" w:color="auto"/>
              <w:right w:val="single" w:sz="6" w:space="0" w:color="auto"/>
            </w:tcBorders>
          </w:tcPr>
          <w:p w14:paraId="1D77349C" w14:textId="77777777" w:rsidR="006073A9" w:rsidRPr="009E090B" w:rsidRDefault="002432A1" w:rsidP="004E5C57">
            <w:pPr>
              <w:pStyle w:val="TableText0"/>
            </w:pPr>
            <w:r>
              <w:t>1/1</w:t>
            </w:r>
          </w:p>
        </w:tc>
        <w:tc>
          <w:tcPr>
            <w:tcW w:w="1417" w:type="dxa"/>
            <w:tcBorders>
              <w:top w:val="single" w:sz="6" w:space="0" w:color="auto"/>
              <w:left w:val="single" w:sz="6" w:space="0" w:color="auto"/>
              <w:bottom w:val="single" w:sz="6" w:space="0" w:color="auto"/>
              <w:right w:val="single" w:sz="6" w:space="0" w:color="auto"/>
            </w:tcBorders>
          </w:tcPr>
          <w:p w14:paraId="012A033E" w14:textId="77777777" w:rsidR="006073A9" w:rsidRPr="009E090B" w:rsidRDefault="002432A1" w:rsidP="004E5C57">
            <w:pPr>
              <w:pStyle w:val="TableText0"/>
            </w:pPr>
            <w:r>
              <w:t>2/2</w:t>
            </w:r>
          </w:p>
        </w:tc>
        <w:tc>
          <w:tcPr>
            <w:tcW w:w="1670" w:type="dxa"/>
            <w:tcBorders>
              <w:top w:val="single" w:sz="6" w:space="0" w:color="auto"/>
              <w:left w:val="single" w:sz="6" w:space="0" w:color="auto"/>
              <w:bottom w:val="single" w:sz="6" w:space="0" w:color="auto"/>
              <w:right w:val="single" w:sz="6" w:space="0" w:color="auto"/>
            </w:tcBorders>
          </w:tcPr>
          <w:p w14:paraId="43CB0856" w14:textId="77777777" w:rsidR="006073A9" w:rsidRDefault="002432A1" w:rsidP="004E5C57">
            <w:pPr>
              <w:pStyle w:val="TableText0"/>
            </w:pPr>
            <w:r>
              <w:t>9/14</w:t>
            </w:r>
          </w:p>
          <w:p w14:paraId="5F0BA887" w14:textId="77777777" w:rsidR="002432A1" w:rsidRPr="009E090B" w:rsidRDefault="002432A1" w:rsidP="004E5C57">
            <w:pPr>
              <w:pStyle w:val="TableText0"/>
            </w:pPr>
            <w:r>
              <w:t>Moderate risk of bias</w:t>
            </w:r>
          </w:p>
        </w:tc>
      </w:tr>
      <w:tr w:rsidR="006073A9" w:rsidRPr="009E090B" w14:paraId="6240E29F" w14:textId="77777777" w:rsidTr="00752FD0">
        <w:trPr>
          <w:trHeight w:val="493"/>
        </w:trPr>
        <w:tc>
          <w:tcPr>
            <w:tcW w:w="1126" w:type="dxa"/>
            <w:tcBorders>
              <w:top w:val="single" w:sz="6" w:space="0" w:color="auto"/>
              <w:left w:val="single" w:sz="6" w:space="0" w:color="auto"/>
              <w:bottom w:val="single" w:sz="6" w:space="0" w:color="auto"/>
              <w:right w:val="single" w:sz="6" w:space="0" w:color="auto"/>
            </w:tcBorders>
          </w:tcPr>
          <w:p w14:paraId="74E37E8B" w14:textId="1992A1D9" w:rsidR="006073A9" w:rsidRPr="009E090B" w:rsidRDefault="00A400A2" w:rsidP="00A400A2">
            <w:pPr>
              <w:pStyle w:val="TableText0"/>
            </w:pPr>
            <w:r>
              <w:fldChar w:fldCharType="begin">
                <w:fldData xml:space="preserve">PEVuZE5vdGU+PENpdGU+PEF1dGhvcj5IdWFuZzwvQXV0aG9yPjxZZWFyPjIwMTg8L1llYXI+PFJl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</w:fldData>
              </w:fldChar>
            </w:r>
            <w:r>
              <w:instrText xml:space="preserve"> ADDIN EN.CITE </w:instrText>
            </w:r>
            <w:r>
              <w:fldChar w:fldCharType="begin">
                <w:fldData xml:space="preserve">PEVuZE5vdGU+PENpdGU+PEF1dGhvcj5IdWFuZzwvQXV0aG9yPjxZZWFyPjIwMTg8L1llYXI+PFJl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</w:fldData>
              </w:fldChar>
            </w:r>
            <w:r>
              <w:instrText xml:space="preserve"> ADDIN EN.CITE.DATA </w:instrText>
            </w:r>
            <w:r>
              <w:fldChar w:fldCharType="end"/>
            </w:r>
            <w:r>
              <w:fldChar w:fldCharType="separate"/>
            </w:r>
            <w:r>
              <w:rPr>
                <w:noProof/>
              </w:rPr>
              <w:t>(Huang et al. 2018)</w:t>
            </w:r>
            <w:r>
              <w:fldChar w:fldCharType="end"/>
            </w:r>
          </w:p>
        </w:tc>
        <w:tc>
          <w:tcPr>
            <w:tcW w:w="1134" w:type="dxa"/>
            <w:tcBorders>
              <w:top w:val="single" w:sz="6" w:space="0" w:color="auto"/>
              <w:left w:val="single" w:sz="6" w:space="0" w:color="auto"/>
              <w:bottom w:val="single" w:sz="6" w:space="0" w:color="auto"/>
              <w:right w:val="single" w:sz="6" w:space="0" w:color="auto"/>
            </w:tcBorders>
          </w:tcPr>
          <w:p w14:paraId="567A8F9C" w14:textId="77777777" w:rsidR="006073A9" w:rsidRPr="009E090B" w:rsidRDefault="002F0195" w:rsidP="004E5C57">
            <w:pPr>
              <w:pStyle w:val="TableText0"/>
            </w:pPr>
            <w:r>
              <w:t>3/</w:t>
            </w:r>
            <w:r w:rsidR="00001B10">
              <w:t>6</w:t>
            </w:r>
          </w:p>
        </w:tc>
        <w:tc>
          <w:tcPr>
            <w:tcW w:w="1276" w:type="dxa"/>
            <w:tcBorders>
              <w:top w:val="single" w:sz="6" w:space="0" w:color="auto"/>
              <w:left w:val="single" w:sz="6" w:space="0" w:color="auto"/>
              <w:bottom w:val="single" w:sz="6" w:space="0" w:color="auto"/>
              <w:right w:val="single" w:sz="6" w:space="0" w:color="auto"/>
            </w:tcBorders>
          </w:tcPr>
          <w:p w14:paraId="36E429EA" w14:textId="77777777" w:rsidR="006073A9" w:rsidRPr="009E090B" w:rsidRDefault="00001B10" w:rsidP="004E5C57">
            <w:pPr>
              <w:pStyle w:val="TableText0"/>
            </w:pPr>
            <w:r>
              <w:t>2/6</w:t>
            </w:r>
          </w:p>
        </w:tc>
        <w:tc>
          <w:tcPr>
            <w:tcW w:w="1134" w:type="dxa"/>
            <w:tcBorders>
              <w:top w:val="single" w:sz="6" w:space="0" w:color="auto"/>
              <w:left w:val="single" w:sz="6" w:space="0" w:color="auto"/>
              <w:bottom w:val="single" w:sz="6" w:space="0" w:color="auto"/>
              <w:right w:val="single" w:sz="6" w:space="0" w:color="auto"/>
            </w:tcBorders>
          </w:tcPr>
          <w:p w14:paraId="6A28D278" w14:textId="77777777" w:rsidR="006073A9" w:rsidRPr="009E090B" w:rsidRDefault="00001B10" w:rsidP="004E5C57">
            <w:pPr>
              <w:pStyle w:val="TableText0"/>
            </w:pPr>
            <w:r>
              <w:t>0/1</w:t>
            </w:r>
          </w:p>
        </w:tc>
        <w:tc>
          <w:tcPr>
            <w:tcW w:w="1276" w:type="dxa"/>
            <w:tcBorders>
              <w:top w:val="single" w:sz="6" w:space="0" w:color="auto"/>
              <w:left w:val="single" w:sz="6" w:space="0" w:color="auto"/>
              <w:bottom w:val="single" w:sz="6" w:space="0" w:color="auto"/>
              <w:right w:val="single" w:sz="6" w:space="0" w:color="auto"/>
            </w:tcBorders>
          </w:tcPr>
          <w:p w14:paraId="3B1F24FA" w14:textId="77777777" w:rsidR="006073A9" w:rsidRPr="009E090B" w:rsidRDefault="00001B10" w:rsidP="004E5C57">
            <w:pPr>
              <w:pStyle w:val="TableText0"/>
            </w:pPr>
            <w:r>
              <w:t>1/1</w:t>
            </w:r>
          </w:p>
        </w:tc>
        <w:tc>
          <w:tcPr>
            <w:tcW w:w="1417" w:type="dxa"/>
            <w:tcBorders>
              <w:top w:val="single" w:sz="6" w:space="0" w:color="auto"/>
              <w:left w:val="single" w:sz="6" w:space="0" w:color="auto"/>
              <w:bottom w:val="single" w:sz="6" w:space="0" w:color="auto"/>
              <w:right w:val="single" w:sz="6" w:space="0" w:color="auto"/>
            </w:tcBorders>
          </w:tcPr>
          <w:p w14:paraId="34DA6D6D" w14:textId="77777777" w:rsidR="006073A9" w:rsidRDefault="00001B10" w:rsidP="004E5C57">
            <w:pPr>
              <w:pStyle w:val="TableText0"/>
            </w:pPr>
            <w:r>
              <w:t>1/2</w:t>
            </w:r>
          </w:p>
        </w:tc>
        <w:tc>
          <w:tcPr>
            <w:tcW w:w="1670" w:type="dxa"/>
            <w:tcBorders>
              <w:top w:val="single" w:sz="6" w:space="0" w:color="auto"/>
              <w:left w:val="single" w:sz="6" w:space="0" w:color="auto"/>
              <w:bottom w:val="single" w:sz="6" w:space="0" w:color="auto"/>
              <w:right w:val="single" w:sz="6" w:space="0" w:color="auto"/>
            </w:tcBorders>
          </w:tcPr>
          <w:p w14:paraId="3AA4C9F0" w14:textId="77777777" w:rsidR="006073A9" w:rsidRDefault="002F0195" w:rsidP="004E5C57">
            <w:pPr>
              <w:pStyle w:val="TableText0"/>
            </w:pPr>
            <w:r>
              <w:t>7</w:t>
            </w:r>
            <w:r w:rsidR="00001B10">
              <w:t>/16</w:t>
            </w:r>
          </w:p>
          <w:p w14:paraId="5EE3BFC5" w14:textId="77777777" w:rsidR="00001B10" w:rsidRPr="009E090B" w:rsidRDefault="002F0195" w:rsidP="004E5C57">
            <w:pPr>
              <w:pStyle w:val="TableText0"/>
            </w:pPr>
            <w:r>
              <w:t>Moderate risk of bias</w:t>
            </w:r>
          </w:p>
        </w:tc>
      </w:tr>
      <w:tr w:rsidR="006073A9" w:rsidRPr="009E090B" w14:paraId="0BB7CF90" w14:textId="77777777" w:rsidTr="00752FD0">
        <w:trPr>
          <w:trHeight w:val="506"/>
        </w:trPr>
        <w:tc>
          <w:tcPr>
            <w:tcW w:w="1126" w:type="dxa"/>
            <w:tcBorders>
              <w:top w:val="single" w:sz="6" w:space="0" w:color="auto"/>
              <w:left w:val="single" w:sz="6" w:space="0" w:color="auto"/>
              <w:bottom w:val="single" w:sz="6" w:space="0" w:color="auto"/>
              <w:right w:val="single" w:sz="6" w:space="0" w:color="auto"/>
            </w:tcBorders>
          </w:tcPr>
          <w:p w14:paraId="6E42E9D7" w14:textId="4B33764F" w:rsidR="006073A9" w:rsidRPr="009E090B" w:rsidRDefault="00156621" w:rsidP="004E5C57">
            <w:pPr>
              <w:pStyle w:val="TableText0"/>
            </w:pPr>
            <w:r>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instrText xml:space="preserve"> ADDIN EN.CITE </w:instrText>
            </w:r>
            <w:r w:rsidR="00D96694">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instrText xml:space="preserve"> ADDIN EN.CITE.DATA </w:instrText>
            </w:r>
            <w:r w:rsidR="00D96694">
              <w:fldChar w:fldCharType="end"/>
            </w:r>
            <w:r>
              <w:fldChar w:fldCharType="separate"/>
            </w:r>
            <w:r>
              <w:rPr>
                <w:noProof/>
              </w:rPr>
              <w:t>(Shaygannejad et al. 2019)</w:t>
            </w:r>
            <w:r>
              <w:fldChar w:fldCharType="end"/>
            </w:r>
          </w:p>
        </w:tc>
        <w:tc>
          <w:tcPr>
            <w:tcW w:w="1134" w:type="dxa"/>
            <w:tcBorders>
              <w:top w:val="single" w:sz="6" w:space="0" w:color="auto"/>
              <w:left w:val="single" w:sz="6" w:space="0" w:color="auto"/>
              <w:bottom w:val="single" w:sz="6" w:space="0" w:color="auto"/>
              <w:right w:val="single" w:sz="6" w:space="0" w:color="auto"/>
            </w:tcBorders>
          </w:tcPr>
          <w:p w14:paraId="1811D585" w14:textId="77777777" w:rsidR="006073A9" w:rsidRPr="009E090B" w:rsidRDefault="002F0195" w:rsidP="004E5C57">
            <w:pPr>
              <w:pStyle w:val="TableText0"/>
            </w:pPr>
            <w:r>
              <w:t>3/5</w:t>
            </w:r>
          </w:p>
        </w:tc>
        <w:tc>
          <w:tcPr>
            <w:tcW w:w="1276" w:type="dxa"/>
            <w:tcBorders>
              <w:top w:val="single" w:sz="6" w:space="0" w:color="auto"/>
              <w:left w:val="single" w:sz="6" w:space="0" w:color="auto"/>
              <w:bottom w:val="single" w:sz="6" w:space="0" w:color="auto"/>
              <w:right w:val="single" w:sz="6" w:space="0" w:color="auto"/>
            </w:tcBorders>
          </w:tcPr>
          <w:p w14:paraId="7F38FEE4" w14:textId="77777777" w:rsidR="006073A9" w:rsidRPr="009E090B" w:rsidRDefault="002F0195" w:rsidP="004E5C57">
            <w:pPr>
              <w:pStyle w:val="TableText0"/>
            </w:pPr>
            <w:r>
              <w:t>4/6</w:t>
            </w:r>
          </w:p>
        </w:tc>
        <w:tc>
          <w:tcPr>
            <w:tcW w:w="1134" w:type="dxa"/>
            <w:tcBorders>
              <w:top w:val="single" w:sz="6" w:space="0" w:color="auto"/>
              <w:left w:val="single" w:sz="6" w:space="0" w:color="auto"/>
              <w:bottom w:val="single" w:sz="6" w:space="0" w:color="auto"/>
              <w:right w:val="single" w:sz="6" w:space="0" w:color="auto"/>
            </w:tcBorders>
          </w:tcPr>
          <w:p w14:paraId="48977E25" w14:textId="77777777" w:rsidR="006073A9" w:rsidRPr="009E090B" w:rsidRDefault="002F0195" w:rsidP="004E5C57">
            <w:pPr>
              <w:pStyle w:val="TableText0"/>
            </w:pPr>
            <w:r>
              <w:t>0/1</w:t>
            </w:r>
          </w:p>
        </w:tc>
        <w:tc>
          <w:tcPr>
            <w:tcW w:w="1276" w:type="dxa"/>
            <w:tcBorders>
              <w:top w:val="single" w:sz="6" w:space="0" w:color="auto"/>
              <w:left w:val="single" w:sz="6" w:space="0" w:color="auto"/>
              <w:bottom w:val="single" w:sz="6" w:space="0" w:color="auto"/>
              <w:right w:val="single" w:sz="6" w:space="0" w:color="auto"/>
            </w:tcBorders>
          </w:tcPr>
          <w:p w14:paraId="76CF1B18" w14:textId="77777777" w:rsidR="006073A9" w:rsidRPr="009E090B" w:rsidRDefault="002F0195" w:rsidP="004E5C57">
            <w:pPr>
              <w:pStyle w:val="TableText0"/>
            </w:pPr>
            <w:r>
              <w:t>0/1</w:t>
            </w:r>
          </w:p>
        </w:tc>
        <w:tc>
          <w:tcPr>
            <w:tcW w:w="1417" w:type="dxa"/>
            <w:tcBorders>
              <w:top w:val="single" w:sz="6" w:space="0" w:color="auto"/>
              <w:left w:val="single" w:sz="6" w:space="0" w:color="auto"/>
              <w:bottom w:val="single" w:sz="6" w:space="0" w:color="auto"/>
              <w:right w:val="single" w:sz="6" w:space="0" w:color="auto"/>
            </w:tcBorders>
          </w:tcPr>
          <w:p w14:paraId="024F56C4" w14:textId="77777777" w:rsidR="006073A9" w:rsidRDefault="002F0195" w:rsidP="004E5C57">
            <w:pPr>
              <w:pStyle w:val="TableText0"/>
            </w:pPr>
            <w:r>
              <w:t>1/2</w:t>
            </w:r>
          </w:p>
        </w:tc>
        <w:tc>
          <w:tcPr>
            <w:tcW w:w="1670" w:type="dxa"/>
            <w:tcBorders>
              <w:top w:val="single" w:sz="6" w:space="0" w:color="auto"/>
              <w:left w:val="single" w:sz="6" w:space="0" w:color="auto"/>
              <w:bottom w:val="single" w:sz="6" w:space="0" w:color="auto"/>
              <w:right w:val="single" w:sz="6" w:space="0" w:color="auto"/>
            </w:tcBorders>
          </w:tcPr>
          <w:p w14:paraId="38C0582C" w14:textId="77777777" w:rsidR="006073A9" w:rsidRDefault="002F0195" w:rsidP="004E5C57">
            <w:pPr>
              <w:pStyle w:val="TableText0"/>
            </w:pPr>
            <w:r>
              <w:t>8/15</w:t>
            </w:r>
          </w:p>
          <w:p w14:paraId="460367F4" w14:textId="77777777" w:rsidR="002F0195" w:rsidRPr="009E090B" w:rsidRDefault="002F0195" w:rsidP="004E5C57">
            <w:pPr>
              <w:pStyle w:val="TableText0"/>
            </w:pPr>
            <w:r>
              <w:t>Moderate risk of bias</w:t>
            </w:r>
          </w:p>
        </w:tc>
      </w:tr>
      <w:tr w:rsidR="007048BF" w:rsidRPr="009E090B" w14:paraId="2857802E" w14:textId="77777777" w:rsidTr="00752FD0">
        <w:trPr>
          <w:trHeight w:val="506"/>
        </w:trPr>
        <w:tc>
          <w:tcPr>
            <w:tcW w:w="1126" w:type="dxa"/>
            <w:tcBorders>
              <w:top w:val="single" w:sz="6" w:space="0" w:color="auto"/>
              <w:left w:val="single" w:sz="6" w:space="0" w:color="auto"/>
              <w:bottom w:val="single" w:sz="6" w:space="0" w:color="auto"/>
              <w:right w:val="single" w:sz="6" w:space="0" w:color="auto"/>
            </w:tcBorders>
          </w:tcPr>
          <w:p w14:paraId="25A28B93" w14:textId="4A11A119" w:rsidR="007048BF" w:rsidRDefault="00156621" w:rsidP="004E5C57">
            <w:pPr>
              <w:pStyle w:val="TableText0"/>
            </w:pPr>
            <w:r>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instrText xml:space="preserve"> ADDIN EN.CITE </w:instrText>
            </w:r>
            <w:r w:rsidR="00D96694">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instrText xml:space="preserve"> ADDIN EN.CITE.DATA </w:instrText>
            </w:r>
            <w:r w:rsidR="00D96694">
              <w:fldChar w:fldCharType="end"/>
            </w:r>
            <w:r>
              <w:fldChar w:fldCharType="separate"/>
            </w:r>
            <w:r>
              <w:rPr>
                <w:noProof/>
              </w:rPr>
              <w:t>(Stellmann et al. 2017)</w:t>
            </w:r>
            <w:r>
              <w:fldChar w:fldCharType="end"/>
            </w:r>
          </w:p>
        </w:tc>
        <w:tc>
          <w:tcPr>
            <w:tcW w:w="1134" w:type="dxa"/>
            <w:tcBorders>
              <w:top w:val="single" w:sz="6" w:space="0" w:color="auto"/>
              <w:left w:val="single" w:sz="6" w:space="0" w:color="auto"/>
              <w:bottom w:val="single" w:sz="6" w:space="0" w:color="auto"/>
              <w:right w:val="single" w:sz="6" w:space="0" w:color="auto"/>
            </w:tcBorders>
          </w:tcPr>
          <w:p w14:paraId="67D14C15" w14:textId="77777777" w:rsidR="007048BF" w:rsidRDefault="003D1A41" w:rsidP="004E5C57">
            <w:pPr>
              <w:pStyle w:val="TableText0"/>
            </w:pPr>
            <w:r>
              <w:t>2/5</w:t>
            </w:r>
          </w:p>
        </w:tc>
        <w:tc>
          <w:tcPr>
            <w:tcW w:w="1276" w:type="dxa"/>
            <w:tcBorders>
              <w:top w:val="single" w:sz="6" w:space="0" w:color="auto"/>
              <w:left w:val="single" w:sz="6" w:space="0" w:color="auto"/>
              <w:bottom w:val="single" w:sz="6" w:space="0" w:color="auto"/>
              <w:right w:val="single" w:sz="6" w:space="0" w:color="auto"/>
            </w:tcBorders>
          </w:tcPr>
          <w:p w14:paraId="6360BEFB" w14:textId="77777777" w:rsidR="007048BF" w:rsidRDefault="003D1A41" w:rsidP="004E5C57">
            <w:pPr>
              <w:pStyle w:val="TableText0"/>
            </w:pPr>
            <w:r>
              <w:t>3/5</w:t>
            </w:r>
          </w:p>
        </w:tc>
        <w:tc>
          <w:tcPr>
            <w:tcW w:w="1134" w:type="dxa"/>
            <w:tcBorders>
              <w:top w:val="single" w:sz="6" w:space="0" w:color="auto"/>
              <w:left w:val="single" w:sz="6" w:space="0" w:color="auto"/>
              <w:bottom w:val="single" w:sz="6" w:space="0" w:color="auto"/>
              <w:right w:val="single" w:sz="6" w:space="0" w:color="auto"/>
            </w:tcBorders>
          </w:tcPr>
          <w:p w14:paraId="118B9EF8" w14:textId="77777777" w:rsidR="007048BF" w:rsidRDefault="003D1A41" w:rsidP="004E5C57">
            <w:pPr>
              <w:pStyle w:val="TableText0"/>
            </w:pPr>
            <w:r>
              <w:t>0/1</w:t>
            </w:r>
          </w:p>
        </w:tc>
        <w:tc>
          <w:tcPr>
            <w:tcW w:w="1276" w:type="dxa"/>
            <w:tcBorders>
              <w:top w:val="single" w:sz="6" w:space="0" w:color="auto"/>
              <w:left w:val="single" w:sz="6" w:space="0" w:color="auto"/>
              <w:bottom w:val="single" w:sz="6" w:space="0" w:color="auto"/>
              <w:right w:val="single" w:sz="6" w:space="0" w:color="auto"/>
            </w:tcBorders>
          </w:tcPr>
          <w:p w14:paraId="345E4645" w14:textId="77777777" w:rsidR="007048BF" w:rsidRDefault="003D1A41" w:rsidP="004E5C57">
            <w:pPr>
              <w:pStyle w:val="TableText0"/>
            </w:pPr>
            <w:r>
              <w:t>1/1</w:t>
            </w:r>
          </w:p>
        </w:tc>
        <w:tc>
          <w:tcPr>
            <w:tcW w:w="1417" w:type="dxa"/>
            <w:tcBorders>
              <w:top w:val="single" w:sz="6" w:space="0" w:color="auto"/>
              <w:left w:val="single" w:sz="6" w:space="0" w:color="auto"/>
              <w:bottom w:val="single" w:sz="6" w:space="0" w:color="auto"/>
              <w:right w:val="single" w:sz="6" w:space="0" w:color="auto"/>
            </w:tcBorders>
          </w:tcPr>
          <w:p w14:paraId="1FBA850F" w14:textId="77777777" w:rsidR="007048BF" w:rsidRDefault="003D1A41" w:rsidP="004E5C57">
            <w:pPr>
              <w:pStyle w:val="TableText0"/>
            </w:pPr>
            <w:r>
              <w:t>2/2</w:t>
            </w:r>
          </w:p>
        </w:tc>
        <w:tc>
          <w:tcPr>
            <w:tcW w:w="1670" w:type="dxa"/>
            <w:tcBorders>
              <w:top w:val="single" w:sz="6" w:space="0" w:color="auto"/>
              <w:left w:val="single" w:sz="6" w:space="0" w:color="auto"/>
              <w:bottom w:val="single" w:sz="6" w:space="0" w:color="auto"/>
              <w:right w:val="single" w:sz="6" w:space="0" w:color="auto"/>
            </w:tcBorders>
          </w:tcPr>
          <w:p w14:paraId="518F4892" w14:textId="77777777" w:rsidR="007048BF" w:rsidRDefault="003D1A41" w:rsidP="004E5C57">
            <w:pPr>
              <w:pStyle w:val="TableText0"/>
            </w:pPr>
            <w:r>
              <w:t>8/14</w:t>
            </w:r>
          </w:p>
          <w:p w14:paraId="00DFE4C1" w14:textId="77777777" w:rsidR="003D1A41" w:rsidRDefault="003D1A41" w:rsidP="004E5C57">
            <w:pPr>
              <w:pStyle w:val="TableText0"/>
            </w:pPr>
            <w:r>
              <w:t>Moderate risk of bias</w:t>
            </w:r>
          </w:p>
        </w:tc>
      </w:tr>
    </w:tbl>
    <w:p w14:paraId="3FDD23CD" w14:textId="77777777" w:rsidR="00A73BBB" w:rsidRDefault="00A73BBB" w:rsidP="002324B4"/>
    <w:p w14:paraId="21B35291" w14:textId="77777777" w:rsidR="00ED65EE" w:rsidRPr="00183E4D" w:rsidRDefault="00ED65EE" w:rsidP="003816F6">
      <w:pPr>
        <w:pStyle w:val="Heading2"/>
        <w:numPr>
          <w:ilvl w:val="1"/>
          <w:numId w:val="16"/>
        </w:numPr>
      </w:pPr>
      <w:bookmarkStart w:id="298" w:name="_Toc39588330"/>
      <w:r w:rsidRPr="00183E4D">
        <w:t>Characteristics of the Evidence Base</w:t>
      </w:r>
      <w:bookmarkEnd w:id="298"/>
    </w:p>
    <w:p w14:paraId="777353CC" w14:textId="1DA4AF0B" w:rsidR="00D071B5" w:rsidRPr="007C0A8A" w:rsidRDefault="001D1454" w:rsidP="001D1454">
      <w:r w:rsidRPr="007C0A8A">
        <w:t xml:space="preserve">One SR </w:t>
      </w:r>
      <w:r w:rsidR="00D5494D">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 </w:instrText>
      </w:r>
      <w:r w:rsidR="00511EDB">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EN.CITE.DATA </w:instrText>
      </w:r>
      <w:r w:rsidR="00511EDB">
        <w:fldChar w:fldCharType="end"/>
      </w:r>
      <w:r w:rsidR="00D5494D">
        <w:fldChar w:fldCharType="separate"/>
      </w:r>
      <w:r w:rsidR="00511EDB">
        <w:rPr>
          <w:noProof/>
        </w:rPr>
        <w:t>(Gao et al. 2019)</w:t>
      </w:r>
      <w:r w:rsidR="00D5494D">
        <w:fldChar w:fldCharType="end"/>
      </w:r>
      <w:r w:rsidR="00CF6511" w:rsidRPr="007C0A8A">
        <w:t xml:space="preserve"> </w:t>
      </w:r>
      <w:r w:rsidRPr="007C0A8A">
        <w:t xml:space="preserve">was identified that evaluated the efficacy of </w:t>
      </w:r>
      <w:r w:rsidR="003815E5">
        <w:t>RTX (</w:t>
      </w:r>
      <w:r w:rsidRPr="007C0A8A">
        <w:t>rituximab</w:t>
      </w:r>
      <w:r w:rsidR="003815E5">
        <w:t>)</w:t>
      </w:r>
      <w:r w:rsidRPr="007C0A8A">
        <w:t xml:space="preserve"> in terms of safety and tolerance</w:t>
      </w:r>
      <w:r w:rsidR="00503EA7" w:rsidRPr="007C0A8A">
        <w:t>,</w:t>
      </w:r>
      <w:r w:rsidRPr="007C0A8A">
        <w:t xml:space="preserve"> </w:t>
      </w:r>
      <w:r w:rsidR="00C37011" w:rsidRPr="007C0A8A">
        <w:t>and assessed the treatment eff</w:t>
      </w:r>
      <w:r w:rsidR="000356AA" w:rsidRPr="007C0A8A">
        <w:t>icacies</w:t>
      </w:r>
      <w:r w:rsidR="00C37011" w:rsidRPr="007C0A8A">
        <w:t xml:space="preserve"> based on relapse rates and disability.</w:t>
      </w:r>
      <w:r w:rsidR="00503EA7" w:rsidRPr="007C0A8A">
        <w:t xml:space="preserve"> The review was assessed as high risk of bias (IV level of evidence)</w:t>
      </w:r>
      <w:r w:rsidR="0087556D" w:rsidRPr="007C0A8A">
        <w:t>. A total of 26 studies were included</w:t>
      </w:r>
      <w:r w:rsidR="005E6E11">
        <w:t xml:space="preserve"> in </w:t>
      </w:r>
      <w:r w:rsidR="00CE7F93">
        <w:t>the</w:t>
      </w:r>
      <w:r w:rsidR="005E6E11">
        <w:t xml:space="preserve"> SR</w:t>
      </w:r>
      <w:r w:rsidR="0087556D" w:rsidRPr="007C0A8A">
        <w:t xml:space="preserve">; </w:t>
      </w:r>
      <w:r w:rsidR="00503EA7" w:rsidRPr="007C0A8A">
        <w:t xml:space="preserve">19 retrospective studies, four prospective studies, and one each of RCT, observational and case-control studies. To meet the inclusion criteria patients had to have NMO, but details of the diagnostic criteria was not provided. The review authors did not </w:t>
      </w:r>
      <w:r w:rsidR="0087556D" w:rsidRPr="007C0A8A">
        <w:t xml:space="preserve">provide information on critical appraisal of the included studies or the quality of the evidence. </w:t>
      </w:r>
    </w:p>
    <w:p w14:paraId="1E62B21F" w14:textId="1411BC4C" w:rsidR="001456DD" w:rsidRPr="007C0A8A" w:rsidRDefault="00D071B5" w:rsidP="001D1454">
      <w:r w:rsidRPr="007C0A8A">
        <w:t xml:space="preserve">A further </w:t>
      </w:r>
      <w:r w:rsidR="00767A3B">
        <w:t>14</w:t>
      </w:r>
      <w:r w:rsidR="00767A3B" w:rsidRPr="007C0A8A">
        <w:t xml:space="preserve"> </w:t>
      </w:r>
      <w:r w:rsidRPr="007C0A8A">
        <w:t xml:space="preserve">studies </w:t>
      </w:r>
      <w:r w:rsidR="00C8012D" w:rsidRPr="007C0A8A">
        <w:t>(one RCT, four cohort</w:t>
      </w:r>
      <w:r w:rsidR="00A1269D">
        <w:t>s</w:t>
      </w:r>
      <w:r w:rsidR="00C8012D" w:rsidRPr="007C0A8A">
        <w:t xml:space="preserve"> and </w:t>
      </w:r>
      <w:r w:rsidR="005E6E11">
        <w:t>nine</w:t>
      </w:r>
      <w:r w:rsidR="005E6E11" w:rsidRPr="007C0A8A">
        <w:t xml:space="preserve"> </w:t>
      </w:r>
      <w:r w:rsidR="00C8012D" w:rsidRPr="007C0A8A">
        <w:t xml:space="preserve">case-series), </w:t>
      </w:r>
      <w:r w:rsidRPr="007C0A8A">
        <w:t xml:space="preserve">provided outcomes related to </w:t>
      </w:r>
      <w:r w:rsidR="007C0A8A" w:rsidRPr="007C0A8A">
        <w:t xml:space="preserve">the impact of </w:t>
      </w:r>
      <w:r w:rsidR="006F57D7" w:rsidRPr="007C0A8A">
        <w:t xml:space="preserve">patient management </w:t>
      </w:r>
      <w:r w:rsidR="007C0A8A" w:rsidRPr="007C0A8A">
        <w:t xml:space="preserve">changes or the </w:t>
      </w:r>
      <w:r w:rsidRPr="007C0A8A">
        <w:t xml:space="preserve">therapeutic effectiveness </w:t>
      </w:r>
      <w:r w:rsidR="006F57D7" w:rsidRPr="007C0A8A">
        <w:t>of medication.</w:t>
      </w:r>
      <w:r w:rsidRPr="007C0A8A">
        <w:t xml:space="preserve"> </w:t>
      </w:r>
      <w:r w:rsidR="00C8012D" w:rsidRPr="007C0A8A">
        <w:t xml:space="preserve">The RCT </w:t>
      </w:r>
      <w:r w:rsidR="00156621">
        <w:fldChar w:fldCharType="begin"/>
      </w:r>
      <w:r w:rsidR="001E4BD1">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sidR="00156621">
        <w:fldChar w:fldCharType="separate"/>
      </w:r>
      <w:r w:rsidR="001E4BD1">
        <w:rPr>
          <w:noProof/>
        </w:rPr>
        <w:t>(Pittock et al. 2019)</w:t>
      </w:r>
      <w:r w:rsidR="00156621">
        <w:fldChar w:fldCharType="end"/>
      </w:r>
      <w:r w:rsidR="00435285" w:rsidRPr="007C0A8A">
        <w:t xml:space="preserve"> evaluated the efficacy and safety of </w:t>
      </w:r>
      <w:r w:rsidR="00B53092" w:rsidRPr="007C0A8A">
        <w:t xml:space="preserve">intravenous </w:t>
      </w:r>
      <w:r w:rsidR="00435285" w:rsidRPr="007C0A8A">
        <w:t xml:space="preserve">eculizumab </w:t>
      </w:r>
      <w:r w:rsidR="00BB4EA3">
        <w:t xml:space="preserve">(ECZ) </w:t>
      </w:r>
      <w:r w:rsidR="00435285" w:rsidRPr="007C0A8A">
        <w:t>in patients w</w:t>
      </w:r>
      <w:r w:rsidR="00B53092" w:rsidRPr="007C0A8A">
        <w:t>ith AQP4-Ab positive NMOSD, with outcome</w:t>
      </w:r>
      <w:r w:rsidR="00633570" w:rsidRPr="007C0A8A">
        <w:t xml:space="preserve"> measures of </w:t>
      </w:r>
      <w:r w:rsidR="00B53092" w:rsidRPr="007C0A8A">
        <w:t xml:space="preserve">changes in disability, relapse rate and adverse events. </w:t>
      </w:r>
      <w:r w:rsidR="00633570" w:rsidRPr="007C0A8A">
        <w:t xml:space="preserve">Of the cohort studies, two </w:t>
      </w:r>
      <w:r w:rsidR="00156621">
        <w:fldChar w:fldCharType="begin">
          <w:fldData xml:space="preserve">PEVuZE5vdGU+PENpdGU+PEF1dGhvcj5Bc2h0YXJpPC9BdXRob3I+PFllYXI+MjAxOTwvWWVhcj48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==
</w:fldData>
        </w:fldChar>
      </w:r>
      <w:r w:rsidR="00D96694">
        <w:instrText xml:space="preserve"> ADDIN EN.CITE </w:instrText>
      </w:r>
      <w:r w:rsidR="00D96694">
        <w:fldChar w:fldCharType="begin">
          <w:fldData xml:space="preserve">PEVuZE5vdGU+PENpdGU+PEF1dGhvcj5Bc2h0YXJpPC9BdXRob3I+PFllYXI+MjAxOTwvWWVhcj48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==
</w:fldData>
        </w:fldChar>
      </w:r>
      <w:r w:rsidR="00D96694">
        <w:instrText xml:space="preserve"> ADDIN EN.CITE.DATA </w:instrText>
      </w:r>
      <w:r w:rsidR="00D96694">
        <w:fldChar w:fldCharType="end"/>
      </w:r>
      <w:r w:rsidR="00156621">
        <w:fldChar w:fldCharType="separate"/>
      </w:r>
      <w:r w:rsidR="00156621">
        <w:rPr>
          <w:noProof/>
        </w:rPr>
        <w:t>(Ashtari et al. 2019; Shaygannejad et al. 2019)</w:t>
      </w:r>
      <w:r w:rsidR="00156621">
        <w:fldChar w:fldCharType="end"/>
      </w:r>
      <w:r w:rsidR="00633570" w:rsidRPr="007C0A8A">
        <w:t xml:space="preserve"> reported changes in </w:t>
      </w:r>
      <w:r w:rsidR="00633570" w:rsidRPr="007C0A8A">
        <w:lastRenderedPageBreak/>
        <w:t xml:space="preserve">disability and relapse rate with the administration of </w:t>
      </w:r>
      <w:r w:rsidR="00BB4EA3">
        <w:t>RTX</w:t>
      </w:r>
      <w:r w:rsidR="00633570" w:rsidRPr="007C0A8A">
        <w:t xml:space="preserve">, one compared the effectiveness of therapy </w:t>
      </w:r>
      <w:r w:rsidR="001456DD" w:rsidRPr="007C0A8A">
        <w:t>used for</w:t>
      </w:r>
      <w:r w:rsidR="00633570" w:rsidRPr="007C0A8A">
        <w:t xml:space="preserve"> NMOSD versus MS</w:t>
      </w:r>
      <w:r w:rsidR="007C0A8A" w:rsidRPr="007C0A8A">
        <w:t xml:space="preserve"> </w:t>
      </w:r>
      <w:r w:rsidR="00156621">
        <w:fldChar w:fldCharType="begin">
          <w:fldData xml:space="preserve">PEVuZE5vdGU+PENpdGU+PEF1dGhvcj5TdGVsbG1hbm48L0F1dGhvcj48WWVhcj4yMDE3PC9ZZWFy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</w:fldData>
        </w:fldChar>
      </w:r>
      <w:r w:rsidR="00156621">
        <w:instrText xml:space="preserve"> ADDIN EN.CITE </w:instrText>
      </w:r>
      <w:r w:rsidR="00156621">
        <w:fldChar w:fldCharType="begin">
          <w:fldData xml:space="preserve">PEVuZE5vdGU+PENpdGU+PEF1dGhvcj5TdGVsbG1hbm48L0F1dGhvcj48WWVhcj4yMDE3PC9ZZWFy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</w:fldData>
        </w:fldChar>
      </w:r>
      <w:r w:rsidR="00156621">
        <w:instrText xml:space="preserve"> ADDIN EN.CITE.DATA </w:instrText>
      </w:r>
      <w:r w:rsidR="00156621">
        <w:fldChar w:fldCharType="end"/>
      </w:r>
      <w:r w:rsidR="00156621">
        <w:fldChar w:fldCharType="separate"/>
      </w:r>
      <w:r w:rsidR="00156621">
        <w:rPr>
          <w:noProof/>
        </w:rPr>
        <w:t>(Stellmann et al. 2017)</w:t>
      </w:r>
      <w:r w:rsidR="00156621">
        <w:fldChar w:fldCharType="end"/>
      </w:r>
      <w:r w:rsidR="00633570" w:rsidRPr="007C0A8A">
        <w:t xml:space="preserve"> </w:t>
      </w:r>
      <w:r w:rsidR="001456DD" w:rsidRPr="007C0A8A">
        <w:t>while the other investigated the adverse events associated with intravenous mycophenolate mofetil</w:t>
      </w:r>
      <w:r w:rsidR="00BB4EA3">
        <w:t xml:space="preserve"> (MMF)</w:t>
      </w:r>
      <w:r w:rsidR="001456DD" w:rsidRPr="007C0A8A">
        <w:t xml:space="preserve">. </w:t>
      </w:r>
    </w:p>
    <w:p w14:paraId="4B581039" w14:textId="511C3B45" w:rsidR="00767A3B" w:rsidRDefault="00FF6AB2" w:rsidP="001D1454">
      <w:r>
        <w:t>Three</w:t>
      </w:r>
      <w:r w:rsidRPr="007C0A8A">
        <w:t xml:space="preserve"> </w:t>
      </w:r>
      <w:r w:rsidR="00B53092" w:rsidRPr="007C0A8A">
        <w:t>of the included case series investigated plasma exchange (PLEX)</w:t>
      </w:r>
      <w:r w:rsidR="00CA7C36" w:rsidRPr="007C0A8A">
        <w:t>, with one reporting changes in disability around early versus late PLEX treatment</w:t>
      </w:r>
      <w:r w:rsidR="00EF18A2" w:rsidRPr="007C0A8A">
        <w:t xml:space="preserve"> </w:t>
      </w:r>
      <w:r w:rsidR="00156621">
        <w:fldChar w:fldCharType="begin">
          <w:fldData xml:space="preserve">PEVuZE5vdGU+PENpdGU+PEF1dGhvcj5Cb25uYW48L0F1dGhvcj48WWVhcj4yMDE4PC9ZZWFyPjxS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</w:fldData>
        </w:fldChar>
      </w:r>
      <w:r w:rsidR="00591217">
        <w:instrText xml:space="preserve"> ADDIN EN.CITE </w:instrText>
      </w:r>
      <w:r w:rsidR="00591217">
        <w:fldChar w:fldCharType="begin">
          <w:fldData xml:space="preserve">PEVuZE5vdGU+PENpdGU+PEF1dGhvcj5Cb25uYW48L0F1dGhvcj48WWVhcj4yMDE4PC9ZZWFyPjxS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</w:fldData>
        </w:fldChar>
      </w:r>
      <w:r w:rsidR="00591217">
        <w:instrText xml:space="preserve"> ADDIN EN.CITE.DATA </w:instrText>
      </w:r>
      <w:r w:rsidR="00591217">
        <w:fldChar w:fldCharType="end"/>
      </w:r>
      <w:r w:rsidR="00156621">
        <w:fldChar w:fldCharType="separate"/>
      </w:r>
      <w:r w:rsidR="00591217">
        <w:rPr>
          <w:noProof/>
        </w:rPr>
        <w:t>(Bonnan et al. 2018)</w:t>
      </w:r>
      <w:r w:rsidR="00156621">
        <w:fldChar w:fldCharType="end"/>
      </w:r>
      <w:r w:rsidR="00CA7C36" w:rsidRPr="007C0A8A">
        <w:t xml:space="preserve">, and the other </w:t>
      </w:r>
      <w:r>
        <w:t xml:space="preserve">two </w:t>
      </w:r>
      <w:r w:rsidR="00CA7C36" w:rsidRPr="007C0A8A">
        <w:t>reporting the incidence of PLEX-related adverse events</w:t>
      </w:r>
      <w:r w:rsidR="00B76BB1">
        <w:t xml:space="preserve"> </w:t>
      </w:r>
      <w:r w:rsidR="00B76BB1">
        <w:fldChar w:fldCharType="begin">
          <w:fldData xml:space="preserve">PEVuZE5vdGU+PENpdGU+PEF1dGhvcj5Cb25uYW48L0F1dGhvcj48WWVhcj4yMDA5PC9ZZWFyPjxS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</w:fldData>
        </w:fldChar>
      </w:r>
      <w:r w:rsidR="00557788">
        <w:instrText xml:space="preserve"> ADDIN EN.CITE </w:instrText>
      </w:r>
      <w:r w:rsidR="00557788">
        <w:fldChar w:fldCharType="begin">
          <w:fldData xml:space="preserve">PEVuZE5vdGU+PENpdGU+PEF1dGhvcj5Cb25uYW48L0F1dGhvcj48WWVhcj4yMDA5PC9ZZWFyPjxS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</w:fldData>
        </w:fldChar>
      </w:r>
      <w:r w:rsidR="00557788">
        <w:instrText xml:space="preserve"> ADDIN EN.CITE.DATA </w:instrText>
      </w:r>
      <w:r w:rsidR="00557788">
        <w:fldChar w:fldCharType="end"/>
      </w:r>
      <w:r w:rsidR="00B76BB1">
        <w:fldChar w:fldCharType="separate"/>
      </w:r>
      <w:r w:rsidR="000E3254">
        <w:rPr>
          <w:noProof/>
        </w:rPr>
        <w:t xml:space="preserve">(Bonnan </w:t>
      </w:r>
      <w:r w:rsidR="00557788">
        <w:rPr>
          <w:noProof/>
        </w:rPr>
        <w:t>e</w:t>
      </w:r>
      <w:r w:rsidR="000E3254">
        <w:rPr>
          <w:noProof/>
        </w:rPr>
        <w:t xml:space="preserve">t al. 2009; Jiao </w:t>
      </w:r>
      <w:r w:rsidR="00557788">
        <w:rPr>
          <w:noProof/>
        </w:rPr>
        <w:t>et al. 2018</w:t>
      </w:r>
      <w:r w:rsidR="000E3254">
        <w:rPr>
          <w:noProof/>
        </w:rPr>
        <w:t>b</w:t>
      </w:r>
      <w:r w:rsidR="00557788">
        <w:rPr>
          <w:noProof/>
        </w:rPr>
        <w:t>)</w:t>
      </w:r>
      <w:r w:rsidR="00B76BB1">
        <w:fldChar w:fldCharType="end"/>
      </w:r>
      <w:r w:rsidR="00CA7C36" w:rsidRPr="007C0A8A">
        <w:t xml:space="preserve">. </w:t>
      </w:r>
      <w:r w:rsidR="00106BDD" w:rsidRPr="007C0A8A">
        <w:t xml:space="preserve">Two case series assessed the effect of early versus late intravenous methyl-prednisolone (IVMP) </w:t>
      </w:r>
      <w:r w:rsidR="00EA69B1" w:rsidRPr="007C0A8A">
        <w:t>at prolonging the duration of remission</w:t>
      </w:r>
      <w:r w:rsidR="00732755">
        <w:t xml:space="preserve"> </w:t>
      </w:r>
      <w:r w:rsidR="00156621">
        <w:fldChar w:fldCharType="begin">
          <w:fldData xml:space="preserve">PEVuZE5vdGU+PENpdGU+PEF1dGhvcj5MaW48L0F1dGhvcj48WWVhcj4yMDE3PC9ZZWFyPjxSZWNO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</w:fldData>
        </w:fldChar>
      </w:r>
      <w:r w:rsidR="00D96694">
        <w:instrText xml:space="preserve"> ADDIN EN.CITE </w:instrText>
      </w:r>
      <w:r w:rsidR="00D96694">
        <w:fldChar w:fldCharType="begin">
          <w:fldData xml:space="preserve">PEVuZE5vdGU+PENpdGU+PEF1dGhvcj5MaW48L0F1dGhvcj48WWVhcj4yMDE3PC9ZZWFyPjxSZWNO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</w:fldData>
        </w:fldChar>
      </w:r>
      <w:r w:rsidR="00D96694">
        <w:instrText xml:space="preserve"> ADDIN EN.CITE.DATA </w:instrText>
      </w:r>
      <w:r w:rsidR="00D96694">
        <w:fldChar w:fldCharType="end"/>
      </w:r>
      <w:r w:rsidR="00156621">
        <w:fldChar w:fldCharType="separate"/>
      </w:r>
      <w:r w:rsidR="00156621">
        <w:rPr>
          <w:noProof/>
        </w:rPr>
        <w:t>(Lin et al. 2017)</w:t>
      </w:r>
      <w:r w:rsidR="00156621">
        <w:fldChar w:fldCharType="end"/>
      </w:r>
      <w:r w:rsidR="00EA69B1" w:rsidRPr="007C0A8A">
        <w:t xml:space="preserve"> and impact on visual recovery associated with ON</w:t>
      </w:r>
      <w:r w:rsidR="00732755">
        <w:t xml:space="preserve"> </w:t>
      </w:r>
      <w:r w:rsidR="00156621">
        <w:fldChar w:fldCharType="begin">
          <w:fldData xml:space="preserve">PEVuZE5vdGU+PENpdGU+PEF1dGhvcj5TdGllYmVsLUthbGlzaDwvQXV0aG9yPjxZZWFyPjIwMTk8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</w:fldData>
        </w:fldChar>
      </w:r>
      <w:r w:rsidR="00AB2520">
        <w:instrText xml:space="preserve"> ADDIN EN.CITE </w:instrText>
      </w:r>
      <w:r w:rsidR="00AB2520">
        <w:fldChar w:fldCharType="begin">
          <w:fldData xml:space="preserve">PEVuZE5vdGU+PENpdGU+PEF1dGhvcj5TdGllYmVsLUthbGlzaDwvQXV0aG9yPjxZZWFyPjIwMTk8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</w:fldData>
        </w:fldChar>
      </w:r>
      <w:r w:rsidR="00AB2520">
        <w:instrText xml:space="preserve"> ADDIN EN.CITE.DATA </w:instrText>
      </w:r>
      <w:r w:rsidR="00AB2520">
        <w:fldChar w:fldCharType="end"/>
      </w:r>
      <w:r w:rsidR="00156621">
        <w:fldChar w:fldCharType="separate"/>
      </w:r>
      <w:r w:rsidR="00AB2520">
        <w:rPr>
          <w:noProof/>
        </w:rPr>
        <w:t>(Stiebel-Kalish et al. 2019)</w:t>
      </w:r>
      <w:r w:rsidR="00156621">
        <w:fldChar w:fldCharType="end"/>
      </w:r>
      <w:r w:rsidR="00EA69B1" w:rsidRPr="007C0A8A">
        <w:t xml:space="preserve">. </w:t>
      </w:r>
      <w:r w:rsidR="00767A3B">
        <w:t xml:space="preserve">One case series assessed the impact of AZA treatment on disability and relapse rate </w:t>
      </w:r>
      <w:r w:rsidR="00156621">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 </w:instrText>
      </w:r>
      <w:r w:rsidR="00D96694">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EN.CITE.DATA </w:instrText>
      </w:r>
      <w:r w:rsidR="00D96694">
        <w:fldChar w:fldCharType="end"/>
      </w:r>
      <w:r w:rsidR="00156621">
        <w:fldChar w:fldCharType="separate"/>
      </w:r>
      <w:r w:rsidR="00156621">
        <w:rPr>
          <w:noProof/>
        </w:rPr>
        <w:t>(Elsone et al. 2014)</w:t>
      </w:r>
      <w:r w:rsidR="00156621">
        <w:fldChar w:fldCharType="end"/>
      </w:r>
      <w:r w:rsidR="00767A3B">
        <w:t xml:space="preserve">. </w:t>
      </w:r>
    </w:p>
    <w:p w14:paraId="0C73470F" w14:textId="633EC338" w:rsidR="001D1454" w:rsidRPr="007C0A8A" w:rsidRDefault="00CA7C36" w:rsidP="001D1454">
      <w:r w:rsidRPr="007C0A8A">
        <w:t xml:space="preserve">Two other case series investigated adverse events; one associated with </w:t>
      </w:r>
      <w:r w:rsidR="00B9700B">
        <w:t xml:space="preserve">MMF </w:t>
      </w:r>
      <w:r w:rsidR="00156621">
        <w:fldChar w:fldCharType="begin">
          <w:fldData xml:space="preserve">PEVuZE5vdGU+PENpdGU+PEF1dGhvcj5KaWFvPC9BdXRob3I+PFllYXI+MjAxODwvWWVhcj48UmVj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</w:fldData>
        </w:fldChar>
      </w:r>
      <w:r w:rsidR="00557788">
        <w:instrText xml:space="preserve"> ADDIN EN.CITE </w:instrText>
      </w:r>
      <w:r w:rsidR="00557788">
        <w:fldChar w:fldCharType="begin">
          <w:fldData xml:space="preserve">PEVuZE5vdGU+PENpdGU+PEF1dGhvcj5KaWFvPC9BdXRob3I+PFllYXI+MjAxODwvWWVhcj48UmVj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</w:fldData>
        </w:fldChar>
      </w:r>
      <w:r w:rsidR="00557788">
        <w:instrText xml:space="preserve"> ADDIN EN.CITE.DATA </w:instrText>
      </w:r>
      <w:r w:rsidR="00557788">
        <w:fldChar w:fldCharType="end"/>
      </w:r>
      <w:r w:rsidR="00156621">
        <w:fldChar w:fldCharType="separate"/>
      </w:r>
      <w:r w:rsidR="000E3254">
        <w:rPr>
          <w:noProof/>
        </w:rPr>
        <w:t>(Jiao et a</w:t>
      </w:r>
      <w:r w:rsidR="00557788">
        <w:rPr>
          <w:noProof/>
        </w:rPr>
        <w:t>l. 2018</w:t>
      </w:r>
      <w:r w:rsidR="000E3254">
        <w:rPr>
          <w:noProof/>
        </w:rPr>
        <w:t>a</w:t>
      </w:r>
      <w:r w:rsidR="00557788">
        <w:rPr>
          <w:noProof/>
        </w:rPr>
        <w:t>)</w:t>
      </w:r>
      <w:r w:rsidR="00156621">
        <w:fldChar w:fldCharType="end"/>
      </w:r>
      <w:r w:rsidRPr="007C0A8A">
        <w:t xml:space="preserve">, and the other with azathioprine </w:t>
      </w:r>
      <w:r w:rsidR="00B9700B">
        <w:t xml:space="preserve">(AZA) </w:t>
      </w:r>
      <w:r w:rsidR="00AB689B" w:rsidRPr="007C0A8A">
        <w:t>combined</w:t>
      </w:r>
      <w:r w:rsidRPr="007C0A8A">
        <w:t xml:space="preserve"> with prednisone</w:t>
      </w:r>
      <w:r w:rsidR="00732755">
        <w:t xml:space="preserve"> </w:t>
      </w:r>
      <w:r w:rsidR="00156621">
        <w:fldChar w:fldCharType="begin">
          <w:fldData xml:space="preserve">PEVuZE5vdGU+PENpdGU+PEF1dGhvcj5CaWNodWV0dGk8L0F1dGhvcj48WWVhcj4yMDE5PC9ZZWFy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</w:fldData>
        </w:fldChar>
      </w:r>
      <w:r w:rsidR="00D96694">
        <w:instrText xml:space="preserve"> ADDIN EN.CITE </w:instrText>
      </w:r>
      <w:r w:rsidR="00D96694">
        <w:fldChar w:fldCharType="begin">
          <w:fldData xml:space="preserve">PEVuZE5vdGU+PENpdGU+PEF1dGhvcj5CaWNodWV0dGk8L0F1dGhvcj48WWVhcj4yMDE5PC9ZZWFy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</w:fldData>
        </w:fldChar>
      </w:r>
      <w:r w:rsidR="00D96694">
        <w:instrText xml:space="preserve"> ADDIN EN.CITE.DATA </w:instrText>
      </w:r>
      <w:r w:rsidR="00D96694">
        <w:fldChar w:fldCharType="end"/>
      </w:r>
      <w:r w:rsidR="00156621">
        <w:fldChar w:fldCharType="separate"/>
      </w:r>
      <w:r w:rsidR="00156621">
        <w:rPr>
          <w:noProof/>
        </w:rPr>
        <w:t>(Bichuetti et al. 2019)</w:t>
      </w:r>
      <w:r w:rsidR="00156621">
        <w:fldChar w:fldCharType="end"/>
      </w:r>
      <w:r w:rsidRPr="007C0A8A">
        <w:t xml:space="preserve">, while another case series </w:t>
      </w:r>
      <w:r w:rsidR="00156621">
        <w:fldChar w:fldCharType="begin">
          <w:fldData xml:space="preserve">PEVuZE5vdGU+PENpdGU+PEF1dGhvcj5NZWFseTwvQXV0aG9yPjxZZWFyPjIwMTk8L1llYXI+PFJl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==
</w:fldData>
        </w:fldChar>
      </w:r>
      <w:r w:rsidR="000967CF">
        <w:instrText xml:space="preserve"> ADDIN EN.CITE </w:instrText>
      </w:r>
      <w:r w:rsidR="000967CF">
        <w:fldChar w:fldCharType="begin">
          <w:fldData xml:space="preserve">PEVuZE5vdGU+PENpdGU+PEF1dGhvcj5NZWFseTwvQXV0aG9yPjxZZWFyPjIwMTk8L1llYXI+PFJl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==
</w:fldData>
        </w:fldChar>
      </w:r>
      <w:r w:rsidR="000967CF">
        <w:instrText xml:space="preserve"> ADDIN EN.CITE.DATA </w:instrText>
      </w:r>
      <w:r w:rsidR="000967CF">
        <w:fldChar w:fldCharType="end"/>
      </w:r>
      <w:r w:rsidR="00156621">
        <w:fldChar w:fldCharType="separate"/>
      </w:r>
      <w:r w:rsidR="000E3254">
        <w:rPr>
          <w:noProof/>
        </w:rPr>
        <w:t>(Mealy</w:t>
      </w:r>
      <w:r w:rsidR="000967CF">
        <w:rPr>
          <w:noProof/>
        </w:rPr>
        <w:t xml:space="preserve"> et al. 2019)</w:t>
      </w:r>
      <w:r w:rsidR="00156621">
        <w:fldChar w:fldCharType="end"/>
      </w:r>
      <w:r w:rsidR="00EF18A2" w:rsidRPr="007C0A8A">
        <w:t xml:space="preserve"> studied the changes in disability in those </w:t>
      </w:r>
      <w:r w:rsidR="006D6AE9" w:rsidRPr="007C0A8A">
        <w:t>taking NMOSD-specific immunotherapy.</w:t>
      </w:r>
    </w:p>
    <w:p w14:paraId="3D79B097" w14:textId="712A181D" w:rsidR="00ED65EE" w:rsidRPr="007C0A8A" w:rsidRDefault="00ED65EE" w:rsidP="00ED65EE">
      <w:r w:rsidRPr="007C0A8A">
        <w:t xml:space="preserve">See </w:t>
      </w:r>
      <w:r w:rsidR="000E3254">
        <w:fldChar w:fldCharType="begin"/>
      </w:r>
      <w:r w:rsidR="000E3254">
        <w:instrText xml:space="preserve"> REF _Ref190841600 \h </w:instrText>
      </w:r>
      <w:r w:rsidR="000E3254">
        <w:fldChar w:fldCharType="separate"/>
      </w:r>
      <w:r w:rsidR="000E3254" w:rsidRPr="00183E4D">
        <w:t xml:space="preserve">Appendix </w:t>
      </w:r>
      <w:r w:rsidR="000E3254">
        <w:rPr>
          <w:noProof/>
        </w:rPr>
        <w:t>C</w:t>
      </w:r>
      <w:r w:rsidR="000E3254">
        <w:fldChar w:fldCharType="end"/>
      </w:r>
      <w:r w:rsidRPr="007C0A8A">
        <w:t xml:space="preserve"> for details on the individual studies included in the evidence base. </w:t>
      </w:r>
    </w:p>
    <w:p w14:paraId="007855CB" w14:textId="1075B706" w:rsidR="007C0A8A" w:rsidRDefault="00ED65EE" w:rsidP="007C0A8A">
      <w:r w:rsidRPr="007C0A8A">
        <w:t>A summary of the trial characteristics of studies providing evidence relating to the health impact from the change in management is provided in</w:t>
      </w:r>
      <w:r w:rsidR="002324B4">
        <w:t xml:space="preserve"> </w:t>
      </w:r>
      <w:r w:rsidR="002324B4">
        <w:fldChar w:fldCharType="begin"/>
      </w:r>
      <w:r w:rsidR="002324B4">
        <w:instrText xml:space="preserve"> REF _Ref32317361 \h </w:instrText>
      </w:r>
      <w:r w:rsidR="002324B4">
        <w:fldChar w:fldCharType="separate"/>
      </w:r>
      <w:r w:rsidR="00752FD0">
        <w:t xml:space="preserve">Table </w:t>
      </w:r>
      <w:r w:rsidR="00752FD0">
        <w:rPr>
          <w:noProof/>
        </w:rPr>
        <w:t>47</w:t>
      </w:r>
      <w:r w:rsidR="002324B4">
        <w:fldChar w:fldCharType="end"/>
      </w:r>
      <w:r w:rsidR="002324B4">
        <w:t xml:space="preserve"> and </w:t>
      </w:r>
      <w:r w:rsidR="002324B4">
        <w:fldChar w:fldCharType="begin"/>
      </w:r>
      <w:r w:rsidR="002324B4">
        <w:instrText xml:space="preserve"> REF _Ref32317448 \h </w:instrText>
      </w:r>
      <w:r w:rsidR="002324B4">
        <w:fldChar w:fldCharType="separate"/>
      </w:r>
      <w:r w:rsidR="00752FD0" w:rsidRPr="00241E97">
        <w:t xml:space="preserve">Table </w:t>
      </w:r>
      <w:r w:rsidR="00752FD0">
        <w:rPr>
          <w:noProof/>
        </w:rPr>
        <w:t>48</w:t>
      </w:r>
      <w:r w:rsidR="002324B4">
        <w:fldChar w:fldCharType="end"/>
      </w:r>
      <w:r w:rsidR="00801C85" w:rsidRPr="007C0A8A">
        <w:t>.</w:t>
      </w:r>
    </w:p>
    <w:p w14:paraId="2380046B" w14:textId="56C8305F" w:rsidR="00000AA2" w:rsidRPr="00183E4D" w:rsidRDefault="00000AA2" w:rsidP="00A87AE2">
      <w:pPr>
        <w:pStyle w:val="TableHeading"/>
      </w:pPr>
      <w:bookmarkStart w:id="299" w:name="_Ref32317361"/>
      <w:bookmarkStart w:id="300" w:name="_Toc39580828"/>
      <w:r>
        <w:t xml:space="preserve">Table </w:t>
      </w:r>
      <w:r w:rsidR="00E404C8">
        <w:fldChar w:fldCharType="begin"/>
      </w:r>
      <w:r w:rsidR="00E404C8">
        <w:instrText xml:space="preserve"> SEQ Table \* ARABIC </w:instrText>
      </w:r>
      <w:r w:rsidR="00E404C8">
        <w:fldChar w:fldCharType="separate"/>
      </w:r>
      <w:r w:rsidR="00FA7BCD">
        <w:rPr>
          <w:noProof/>
        </w:rPr>
        <w:t>47</w:t>
      </w:r>
      <w:r w:rsidR="00E404C8">
        <w:rPr>
          <w:noProof/>
        </w:rPr>
        <w:fldChar w:fldCharType="end"/>
      </w:r>
      <w:bookmarkEnd w:id="299"/>
      <w:r>
        <w:tab/>
        <w:t>Systematic review evidence included for</w:t>
      </w:r>
      <w:r w:rsidR="007C0A8A">
        <w:t xml:space="preserve"> clinical utility (</w:t>
      </w:r>
      <w:r>
        <w:t>therapeutic effectiveness</w:t>
      </w:r>
      <w:r w:rsidR="007C0A8A">
        <w:t>)</w:t>
      </w:r>
      <w:bookmarkEnd w:id="300"/>
    </w:p>
    <w:tbl>
      <w:tblPr>
        <w:tblStyle w:val="TableGrid"/>
        <w:tblW w:w="9493" w:type="dxa"/>
        <w:tblLook w:val="04A0" w:firstRow="1" w:lastRow="0" w:firstColumn="1" w:lastColumn="0" w:noHBand="0" w:noVBand="1"/>
        <w:tblCaption w:val="Table 47 Systematic review evidence included for clinical utility (therapeutic effectiveness)"/>
        <w:tblDescription w:val="A summary of study details for one systematic review included for therapeutic effectiveness evidence"/>
      </w:tblPr>
      <w:tblGrid>
        <w:gridCol w:w="948"/>
        <w:gridCol w:w="1015"/>
        <w:gridCol w:w="856"/>
        <w:gridCol w:w="2739"/>
        <w:gridCol w:w="1155"/>
        <w:gridCol w:w="1146"/>
        <w:gridCol w:w="1634"/>
      </w:tblGrid>
      <w:tr w:rsidR="007C0A8A" w:rsidRPr="00607461" w14:paraId="51469B07" w14:textId="77777777" w:rsidTr="007C0A8A">
        <w:trPr>
          <w:trHeight w:val="519"/>
        </w:trPr>
        <w:tc>
          <w:tcPr>
            <w:tcW w:w="953" w:type="dxa"/>
            <w:tcBorders>
              <w:bottom w:val="single" w:sz="4" w:space="0" w:color="auto"/>
            </w:tcBorders>
          </w:tcPr>
          <w:p w14:paraId="01365524" w14:textId="77777777" w:rsidR="00655884" w:rsidRPr="007D24FA" w:rsidRDefault="00655884" w:rsidP="00447C83">
            <w:pPr>
              <w:pStyle w:val="TableHeading"/>
              <w:ind w:left="0"/>
            </w:pPr>
            <w:bookmarkStart w:id="301" w:name="_Ref31803837"/>
            <w:r w:rsidRPr="007D24FA">
              <w:t>Study ID</w:t>
            </w:r>
          </w:p>
          <w:p w14:paraId="1C6D0402" w14:textId="77777777" w:rsidR="00655884" w:rsidRPr="007D24FA" w:rsidRDefault="00655884" w:rsidP="00447C83">
            <w:pPr>
              <w:pStyle w:val="TableHeading"/>
              <w:ind w:left="0"/>
            </w:pPr>
            <w:r w:rsidRPr="007D24FA">
              <w:t>Country</w:t>
            </w:r>
          </w:p>
        </w:tc>
        <w:tc>
          <w:tcPr>
            <w:tcW w:w="1025" w:type="dxa"/>
            <w:tcBorders>
              <w:bottom w:val="single" w:sz="4" w:space="0" w:color="auto"/>
            </w:tcBorders>
          </w:tcPr>
          <w:p w14:paraId="1D3F8C38" w14:textId="77777777" w:rsidR="00655884" w:rsidRDefault="00655884" w:rsidP="00447C83">
            <w:pPr>
              <w:pStyle w:val="TableHeading"/>
              <w:ind w:left="0"/>
            </w:pPr>
            <w:r>
              <w:t>K studies</w:t>
            </w:r>
          </w:p>
          <w:p w14:paraId="29F3129E" w14:textId="77777777" w:rsidR="00655884" w:rsidRPr="007D24FA" w:rsidRDefault="00655884" w:rsidP="00447C83">
            <w:pPr>
              <w:pStyle w:val="TableHeading"/>
              <w:ind w:left="0"/>
            </w:pPr>
            <w:r>
              <w:t>N cases</w:t>
            </w:r>
          </w:p>
        </w:tc>
        <w:tc>
          <w:tcPr>
            <w:tcW w:w="870" w:type="dxa"/>
            <w:tcBorders>
              <w:bottom w:val="single" w:sz="4" w:space="0" w:color="auto"/>
            </w:tcBorders>
          </w:tcPr>
          <w:p w14:paraId="6D1DFBCE" w14:textId="77777777" w:rsidR="00655884" w:rsidRPr="007D24FA" w:rsidRDefault="00655884" w:rsidP="00447C83">
            <w:pPr>
              <w:pStyle w:val="TableHeading"/>
              <w:ind w:left="0"/>
            </w:pPr>
            <w:r>
              <w:t>Risk of bias</w:t>
            </w:r>
          </w:p>
        </w:tc>
        <w:tc>
          <w:tcPr>
            <w:tcW w:w="2817" w:type="dxa"/>
            <w:tcBorders>
              <w:bottom w:val="single" w:sz="4" w:space="0" w:color="auto"/>
            </w:tcBorders>
          </w:tcPr>
          <w:p w14:paraId="325207D2" w14:textId="77777777" w:rsidR="00655884" w:rsidRDefault="00655884" w:rsidP="00447C83">
            <w:pPr>
              <w:pStyle w:val="TableHeading"/>
              <w:ind w:left="0"/>
            </w:pPr>
            <w:r>
              <w:t>Inclusion criteria</w:t>
            </w:r>
          </w:p>
          <w:p w14:paraId="1002D20B" w14:textId="77777777" w:rsidR="00655884" w:rsidRPr="007D24FA" w:rsidRDefault="00655884" w:rsidP="00447C83">
            <w:pPr>
              <w:pStyle w:val="TableHeading"/>
              <w:ind w:left="0"/>
            </w:pPr>
            <w:r>
              <w:t>Follow-up</w:t>
            </w:r>
          </w:p>
        </w:tc>
        <w:tc>
          <w:tcPr>
            <w:tcW w:w="1019" w:type="dxa"/>
            <w:tcBorders>
              <w:bottom w:val="single" w:sz="4" w:space="0" w:color="auto"/>
            </w:tcBorders>
          </w:tcPr>
          <w:p w14:paraId="57409FCD" w14:textId="77777777" w:rsidR="00655884" w:rsidRPr="007D24FA" w:rsidRDefault="00655884" w:rsidP="00447C83">
            <w:pPr>
              <w:pStyle w:val="TableHeading"/>
              <w:ind w:left="0"/>
            </w:pPr>
            <w:r>
              <w:t>Intervention</w:t>
            </w:r>
          </w:p>
        </w:tc>
        <w:tc>
          <w:tcPr>
            <w:tcW w:w="1146" w:type="dxa"/>
            <w:tcBorders>
              <w:bottom w:val="single" w:sz="4" w:space="0" w:color="auto"/>
            </w:tcBorders>
          </w:tcPr>
          <w:p w14:paraId="653F50F7" w14:textId="77777777" w:rsidR="00655884" w:rsidRPr="007D24FA" w:rsidRDefault="00655884" w:rsidP="00447C83">
            <w:pPr>
              <w:pStyle w:val="TableHeading"/>
              <w:ind w:left="0"/>
            </w:pPr>
            <w:r>
              <w:t>Comparator</w:t>
            </w:r>
          </w:p>
        </w:tc>
        <w:tc>
          <w:tcPr>
            <w:tcW w:w="1663" w:type="dxa"/>
            <w:tcBorders>
              <w:bottom w:val="single" w:sz="4" w:space="0" w:color="auto"/>
            </w:tcBorders>
          </w:tcPr>
          <w:p w14:paraId="4911F73C" w14:textId="77777777" w:rsidR="00655884" w:rsidRPr="007D24FA" w:rsidRDefault="00655884" w:rsidP="00447C83">
            <w:pPr>
              <w:pStyle w:val="TableHeading"/>
              <w:ind w:left="0"/>
            </w:pPr>
            <w:r>
              <w:t>Outcomes</w:t>
            </w:r>
          </w:p>
        </w:tc>
      </w:tr>
      <w:tr w:rsidR="007C0A8A" w:rsidRPr="003C720E" w14:paraId="4F1D5B27" w14:textId="77777777" w:rsidTr="007C0A8A">
        <w:trPr>
          <w:trHeight w:val="1151"/>
        </w:trPr>
        <w:tc>
          <w:tcPr>
            <w:tcW w:w="953" w:type="dxa"/>
            <w:tcBorders>
              <w:bottom w:val="single" w:sz="4" w:space="0" w:color="auto"/>
            </w:tcBorders>
          </w:tcPr>
          <w:p w14:paraId="1CB63A68" w14:textId="047ADFFD" w:rsidR="00655884" w:rsidRDefault="00156621" w:rsidP="000E3254">
            <w:pPr>
              <w:spacing w:after="160" w:line="259" w:lineRule="auto"/>
              <w:ind w:left="0"/>
              <w:jc w:val="left"/>
              <w:rPr>
                <w:rFonts w:ascii="Arial Narrow" w:hAnsi="Arial Narrow" w:cs="Times New Roman"/>
              </w:rPr>
            </w:pPr>
            <w:r>
              <w:rPr>
                <w:rFonts w:ascii="Arial Narrow" w:hAnsi="Arial Narrow" w:cs="Times New Roman"/>
              </w:rPr>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rPr>
                <w:rFonts w:ascii="Arial Narrow" w:hAnsi="Arial Narrow" w:cs="Times New Roman"/>
              </w:rPr>
              <w:instrText xml:space="preserve"> ADDIN EN.CITE </w:instrText>
            </w:r>
            <w:r w:rsidR="00511EDB">
              <w:rPr>
                <w:rFonts w:ascii="Arial Narrow" w:hAnsi="Arial Narrow" w:cs="Times New Roman"/>
              </w:rPr>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rPr>
                <w:rFonts w:ascii="Arial Narrow" w:hAnsi="Arial Narrow" w:cs="Times New Roman"/>
              </w:rPr>
              <w:instrText xml:space="preserve"> ADDIN EN.CITE.DATA </w:instrText>
            </w:r>
            <w:r w:rsidR="00511EDB">
              <w:rPr>
                <w:rFonts w:ascii="Arial Narrow" w:hAnsi="Arial Narrow" w:cs="Times New Roman"/>
              </w:rPr>
            </w:r>
            <w:r w:rsidR="00511EDB">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sidR="00511EDB">
              <w:rPr>
                <w:rFonts w:ascii="Arial Narrow" w:hAnsi="Arial Narrow" w:cs="Times New Roman"/>
                <w:noProof/>
              </w:rPr>
              <w:t>(Gao et al. 2019)</w:t>
            </w:r>
            <w:r>
              <w:rPr>
                <w:rFonts w:ascii="Arial Narrow" w:hAnsi="Arial Narrow" w:cs="Times New Roman"/>
              </w:rPr>
              <w:fldChar w:fldCharType="end"/>
            </w:r>
          </w:p>
          <w:p w14:paraId="15EB599D" w14:textId="77777777" w:rsidR="00655884" w:rsidRPr="003C720E" w:rsidRDefault="00655884" w:rsidP="00447C83">
            <w:pPr>
              <w:pStyle w:val="TableText0"/>
              <w:ind w:left="0"/>
            </w:pPr>
            <w:r>
              <w:t xml:space="preserve">Multiple </w:t>
            </w:r>
          </w:p>
        </w:tc>
        <w:tc>
          <w:tcPr>
            <w:tcW w:w="1025" w:type="dxa"/>
            <w:tcBorders>
              <w:bottom w:val="single" w:sz="4" w:space="0" w:color="auto"/>
            </w:tcBorders>
          </w:tcPr>
          <w:p w14:paraId="00D9877F" w14:textId="77777777" w:rsidR="00655884" w:rsidRDefault="00655884" w:rsidP="00447C83">
            <w:pPr>
              <w:pStyle w:val="TableText0"/>
              <w:ind w:left="0"/>
            </w:pPr>
            <w:r>
              <w:t>K=</w:t>
            </w:r>
            <w:r w:rsidR="00AE073A">
              <w:t>26</w:t>
            </w:r>
          </w:p>
          <w:p w14:paraId="342FD41A" w14:textId="77777777" w:rsidR="00655884" w:rsidRDefault="00655884" w:rsidP="00447C83">
            <w:pPr>
              <w:pStyle w:val="TableText0"/>
              <w:ind w:left="0"/>
            </w:pPr>
            <w:r>
              <w:t>N=</w:t>
            </w:r>
            <w:r w:rsidR="00AE073A">
              <w:t>577</w:t>
            </w:r>
          </w:p>
        </w:tc>
        <w:tc>
          <w:tcPr>
            <w:tcW w:w="870" w:type="dxa"/>
            <w:tcBorders>
              <w:bottom w:val="single" w:sz="4" w:space="0" w:color="auto"/>
            </w:tcBorders>
          </w:tcPr>
          <w:p w14:paraId="29E8AF6E" w14:textId="77777777" w:rsidR="00655884" w:rsidRDefault="00AE073A" w:rsidP="00447C83">
            <w:pPr>
              <w:pStyle w:val="TableText0"/>
              <w:ind w:left="0"/>
            </w:pPr>
            <w:r>
              <w:t>High</w:t>
            </w:r>
          </w:p>
        </w:tc>
        <w:tc>
          <w:tcPr>
            <w:tcW w:w="2817" w:type="dxa"/>
            <w:tcBorders>
              <w:bottom w:val="single" w:sz="4" w:space="0" w:color="auto"/>
            </w:tcBorders>
          </w:tcPr>
          <w:p w14:paraId="5E9EE6F6" w14:textId="77777777" w:rsidR="00655884" w:rsidRDefault="00C85044" w:rsidP="00447C83">
            <w:pPr>
              <w:pStyle w:val="TableText0"/>
              <w:ind w:left="0"/>
            </w:pPr>
            <w:r>
              <w:t xml:space="preserve">Patients with NMO irrespective of age, gender, ethnicity and </w:t>
            </w:r>
            <w:r w:rsidR="007C0A8A">
              <w:t>previous</w:t>
            </w:r>
            <w:r>
              <w:t xml:space="preserve"> treatment </w:t>
            </w:r>
          </w:p>
          <w:p w14:paraId="110F6551" w14:textId="77777777" w:rsidR="00C85044" w:rsidRPr="003C720E" w:rsidRDefault="00C85044" w:rsidP="00447C83">
            <w:pPr>
              <w:pStyle w:val="TableText0"/>
              <w:ind w:left="0"/>
            </w:pPr>
            <w:r>
              <w:t>Follow</w:t>
            </w:r>
            <w:r w:rsidR="007C0A8A">
              <w:t>-</w:t>
            </w:r>
            <w:r>
              <w:t>up range</w:t>
            </w:r>
            <w:r w:rsidR="007C0A8A">
              <w:t>:</w:t>
            </w:r>
            <w:r>
              <w:t>12 mo to 6.6 y</w:t>
            </w:r>
            <w:r w:rsidR="007C0A8A">
              <w:t>r</w:t>
            </w:r>
          </w:p>
        </w:tc>
        <w:tc>
          <w:tcPr>
            <w:tcW w:w="1019" w:type="dxa"/>
            <w:tcBorders>
              <w:bottom w:val="single" w:sz="4" w:space="0" w:color="auto"/>
            </w:tcBorders>
          </w:tcPr>
          <w:p w14:paraId="16AE8C7A" w14:textId="77777777" w:rsidR="00655884" w:rsidRPr="003C720E" w:rsidRDefault="00421D76" w:rsidP="00447C83">
            <w:pPr>
              <w:pStyle w:val="TableText0"/>
              <w:ind w:left="0"/>
            </w:pPr>
            <w:r>
              <w:t>Rituximab</w:t>
            </w:r>
          </w:p>
        </w:tc>
        <w:tc>
          <w:tcPr>
            <w:tcW w:w="1146" w:type="dxa"/>
            <w:tcBorders>
              <w:bottom w:val="single" w:sz="4" w:space="0" w:color="auto"/>
            </w:tcBorders>
          </w:tcPr>
          <w:p w14:paraId="414FD2B4" w14:textId="77777777" w:rsidR="00655884" w:rsidRPr="003C720E" w:rsidRDefault="00421D76" w:rsidP="00447C83">
            <w:pPr>
              <w:pStyle w:val="TableText0"/>
              <w:ind w:left="0"/>
            </w:pPr>
            <w:r>
              <w:t>Not reported</w:t>
            </w:r>
          </w:p>
        </w:tc>
        <w:tc>
          <w:tcPr>
            <w:tcW w:w="1663" w:type="dxa"/>
            <w:tcBorders>
              <w:bottom w:val="single" w:sz="4" w:space="0" w:color="auto"/>
            </w:tcBorders>
          </w:tcPr>
          <w:p w14:paraId="2E530794" w14:textId="77777777" w:rsidR="00655884" w:rsidRDefault="00421D76" w:rsidP="00447C83">
            <w:pPr>
              <w:pStyle w:val="TableText0"/>
              <w:ind w:left="0"/>
            </w:pPr>
            <w:r>
              <w:t xml:space="preserve">Changes in EDSS </w:t>
            </w:r>
          </w:p>
          <w:p w14:paraId="4256777B" w14:textId="77777777" w:rsidR="00421D76" w:rsidRDefault="00421D76" w:rsidP="00447C83">
            <w:pPr>
              <w:pStyle w:val="TableText0"/>
              <w:ind w:left="0"/>
            </w:pPr>
            <w:r>
              <w:t>Change in ARR</w:t>
            </w:r>
          </w:p>
          <w:p w14:paraId="0A3284CD" w14:textId="77777777" w:rsidR="00421D76" w:rsidRPr="003C720E" w:rsidRDefault="00421D76" w:rsidP="00447C83">
            <w:pPr>
              <w:pStyle w:val="TableText0"/>
              <w:ind w:left="0"/>
            </w:pPr>
            <w:r>
              <w:t>Adverse events</w:t>
            </w:r>
          </w:p>
        </w:tc>
      </w:tr>
    </w:tbl>
    <w:p w14:paraId="1A4F80E9" w14:textId="0812C696" w:rsidR="00752FD0" w:rsidRDefault="00421D76" w:rsidP="00421D76">
      <w:pPr>
        <w:pStyle w:val="Tablenotes0"/>
      </w:pPr>
      <w:r>
        <w:t xml:space="preserve">ARR = annualised relapse rate; </w:t>
      </w:r>
      <w:r w:rsidR="00C85044">
        <w:t xml:space="preserve">AQP4-Ab = aquaporin 4 antibody; </w:t>
      </w:r>
      <w:r>
        <w:t xml:space="preserve">EDSS = Expanded Disability Status Scale; </w:t>
      </w:r>
      <w:r w:rsidR="00B9700B">
        <w:t xml:space="preserve">mo = month; </w:t>
      </w:r>
      <w:r w:rsidR="00C85044">
        <w:t>NMO = neuromyelitis optica</w:t>
      </w:r>
      <w:r w:rsidR="00B9700B">
        <w:t>; yr = year</w:t>
      </w:r>
    </w:p>
    <w:p w14:paraId="7AEAE65E" w14:textId="5B53281D" w:rsidR="00ED65EE" w:rsidRDefault="00ED65EE" w:rsidP="00A87AE2">
      <w:pPr>
        <w:pStyle w:val="TableHeading"/>
        <w:rPr>
          <w:snapToGrid w:val="0"/>
        </w:rPr>
      </w:pPr>
      <w:bookmarkStart w:id="302" w:name="_Ref32317448"/>
      <w:bookmarkStart w:id="303" w:name="_Toc39580829"/>
      <w:r w:rsidRPr="00241E97">
        <w:t xml:space="preserve">Table </w:t>
      </w:r>
      <w:r w:rsidR="00E404C8">
        <w:fldChar w:fldCharType="begin"/>
      </w:r>
      <w:r w:rsidR="00E404C8">
        <w:instrText xml:space="preserve"> SEQ Table \* ARABIC </w:instrText>
      </w:r>
      <w:r w:rsidR="00E404C8">
        <w:fldChar w:fldCharType="separate"/>
      </w:r>
      <w:r w:rsidR="00FA7BCD">
        <w:rPr>
          <w:noProof/>
        </w:rPr>
        <w:t>48</w:t>
      </w:r>
      <w:r w:rsidR="00E404C8">
        <w:rPr>
          <w:noProof/>
        </w:rPr>
        <w:fldChar w:fldCharType="end"/>
      </w:r>
      <w:bookmarkEnd w:id="301"/>
      <w:bookmarkEnd w:id="302"/>
      <w:r w:rsidRPr="00241E97">
        <w:tab/>
      </w:r>
      <w:r w:rsidRPr="00241E97">
        <w:rPr>
          <w:snapToGrid w:val="0"/>
        </w:rPr>
        <w:t xml:space="preserve">Key features of the included evidence assessing </w:t>
      </w:r>
      <w:r w:rsidR="007C0A8A">
        <w:rPr>
          <w:snapToGrid w:val="0"/>
        </w:rPr>
        <w:t>clinical utility</w:t>
      </w:r>
      <w:r w:rsidR="006B2F5E">
        <w:rPr>
          <w:snapToGrid w:val="0"/>
        </w:rPr>
        <w:t xml:space="preserve"> </w:t>
      </w:r>
      <w:r w:rsidR="007757E0">
        <w:rPr>
          <w:snapToGrid w:val="0"/>
        </w:rPr>
        <w:t>(therapeutic effectiveness)</w:t>
      </w:r>
      <w:bookmarkEnd w:id="303"/>
    </w:p>
    <w:tbl>
      <w:tblPr>
        <w:tblStyle w:val="TableGrid1"/>
        <w:tblW w:w="949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CellMar>
          <w:top w:w="15" w:type="dxa"/>
          <w:left w:w="15" w:type="dxa"/>
          <w:bottom w:w="15" w:type="dxa"/>
          <w:right w:w="15" w:type="dxa"/>
        </w:tblCellMar>
        <w:tblLook w:val="04A0" w:firstRow="1" w:lastRow="0" w:firstColumn="1" w:lastColumn="0" w:noHBand="0" w:noVBand="1"/>
        <w:tblCaption w:val="Table 48 Key features of the included evidence assessing clinical utility (therapeutic effectiveness)"/>
        <w:tblDescription w:val="A summary of study details for primary articles included for therapeutiv effectiveness evidence"/>
      </w:tblPr>
      <w:tblGrid>
        <w:gridCol w:w="843"/>
        <w:gridCol w:w="709"/>
        <w:gridCol w:w="850"/>
        <w:gridCol w:w="709"/>
        <w:gridCol w:w="2551"/>
        <w:gridCol w:w="1560"/>
        <w:gridCol w:w="1134"/>
        <w:gridCol w:w="1134"/>
      </w:tblGrid>
      <w:tr w:rsidR="00AE5C89" w:rsidRPr="00AE5C89" w14:paraId="23F6AD96" w14:textId="77777777" w:rsidTr="006A2BEA">
        <w:trPr>
          <w:cnfStyle w:val="100000000000" w:firstRow="1" w:lastRow="0" w:firstColumn="0" w:lastColumn="0" w:oddVBand="0" w:evenVBand="0" w:oddHBand="0" w:evenHBand="0" w:firstRowFirstColumn="0" w:firstRowLastColumn="0" w:lastRowFirstColumn="0" w:lastRowLastColumn="0"/>
        </w:trPr>
        <w:tc>
          <w:tcPr>
            <w:tcW w:w="843" w:type="dxa"/>
            <w:tcBorders>
              <w:top w:val="single" w:sz="6" w:space="0" w:color="auto"/>
              <w:left w:val="single" w:sz="6" w:space="0" w:color="auto"/>
              <w:bottom w:val="single" w:sz="6" w:space="0" w:color="auto"/>
              <w:right w:val="single" w:sz="6" w:space="0" w:color="auto"/>
            </w:tcBorders>
            <w:hideMark/>
          </w:tcPr>
          <w:p w14:paraId="20949179" w14:textId="77777777" w:rsidR="00AE5C89" w:rsidRDefault="00AE5C89" w:rsidP="00AE5C89">
            <w:pPr>
              <w:spacing w:before="30" w:after="30"/>
              <w:ind w:left="60" w:right="60"/>
              <w:jc w:val="left"/>
              <w:rPr>
                <w:rFonts w:ascii="Arial Narrow" w:hAnsi="Arial Narrow" w:cs="Times New Roman"/>
                <w:b/>
              </w:rPr>
            </w:pPr>
            <w:r w:rsidRPr="00AE5C89">
              <w:rPr>
                <w:rFonts w:ascii="Arial Narrow" w:hAnsi="Arial Narrow" w:cs="Times New Roman"/>
                <w:b/>
              </w:rPr>
              <w:t>Author</w:t>
            </w:r>
          </w:p>
          <w:p w14:paraId="7E9D8307" w14:textId="77777777" w:rsidR="003E5A32" w:rsidRPr="00AE5C89" w:rsidRDefault="003E5A32" w:rsidP="00AE5C89">
            <w:pPr>
              <w:spacing w:before="30" w:after="30"/>
              <w:ind w:left="60" w:right="60"/>
              <w:jc w:val="left"/>
              <w:rPr>
                <w:rFonts w:ascii="Arial Narrow" w:hAnsi="Arial Narrow" w:cs="Times New Roman"/>
                <w:b/>
              </w:rPr>
            </w:pPr>
            <w:r>
              <w:rPr>
                <w:rFonts w:ascii="Arial Narrow" w:hAnsi="Arial Narrow" w:cs="Times New Roman"/>
                <w:b/>
              </w:rPr>
              <w:t>Country</w:t>
            </w:r>
          </w:p>
        </w:tc>
        <w:tc>
          <w:tcPr>
            <w:tcW w:w="709" w:type="dxa"/>
            <w:tcBorders>
              <w:top w:val="single" w:sz="6" w:space="0" w:color="auto"/>
              <w:left w:val="single" w:sz="6" w:space="0" w:color="auto"/>
              <w:bottom w:val="single" w:sz="6" w:space="0" w:color="auto"/>
              <w:right w:val="single" w:sz="6" w:space="0" w:color="auto"/>
            </w:tcBorders>
            <w:hideMark/>
          </w:tcPr>
          <w:p w14:paraId="7BB8ACF5" w14:textId="77777777" w:rsidR="00AE5C89" w:rsidRPr="00AE5C89" w:rsidRDefault="00AE5C89" w:rsidP="00AE5C89">
            <w:pPr>
              <w:spacing w:before="30" w:after="30"/>
              <w:ind w:left="60" w:right="60"/>
              <w:jc w:val="left"/>
              <w:rPr>
                <w:rFonts w:ascii="Arial Narrow" w:hAnsi="Arial Narrow" w:cs="Times New Roman"/>
                <w:b/>
              </w:rPr>
            </w:pPr>
            <w:r w:rsidRPr="00AE5C89">
              <w:rPr>
                <w:rFonts w:ascii="Arial Narrow" w:hAnsi="Arial Narrow" w:cs="Times New Roman"/>
                <w:b/>
              </w:rPr>
              <w:t>Study Design</w:t>
            </w:r>
          </w:p>
          <w:p w14:paraId="76D0384C" w14:textId="77777777" w:rsidR="00AE5C89" w:rsidRPr="00AE5C89" w:rsidRDefault="00AE5C89" w:rsidP="00AE5C89">
            <w:pPr>
              <w:spacing w:before="30" w:after="30"/>
              <w:ind w:left="60" w:right="60"/>
              <w:jc w:val="left"/>
              <w:rPr>
                <w:rFonts w:ascii="Arial Narrow" w:hAnsi="Arial Narrow" w:cs="Times New Roman"/>
                <w:b/>
              </w:rPr>
            </w:pPr>
            <w:r w:rsidRPr="00AE5C89">
              <w:rPr>
                <w:rFonts w:ascii="Arial Narrow" w:hAnsi="Arial Narrow" w:cs="Times New Roman"/>
                <w:b/>
              </w:rPr>
              <w:t>Level</w:t>
            </w:r>
          </w:p>
        </w:tc>
        <w:tc>
          <w:tcPr>
            <w:tcW w:w="850" w:type="dxa"/>
            <w:tcBorders>
              <w:top w:val="single" w:sz="6" w:space="0" w:color="auto"/>
              <w:left w:val="single" w:sz="6" w:space="0" w:color="auto"/>
              <w:bottom w:val="single" w:sz="6" w:space="0" w:color="auto"/>
              <w:right w:val="single" w:sz="6" w:space="0" w:color="auto"/>
            </w:tcBorders>
            <w:hideMark/>
          </w:tcPr>
          <w:p w14:paraId="2D0CC135" w14:textId="77777777" w:rsidR="00AE5C89" w:rsidRPr="00AE5C89" w:rsidRDefault="00AE5C89" w:rsidP="00AE5C89">
            <w:pPr>
              <w:spacing w:before="30" w:after="30"/>
              <w:ind w:left="60" w:right="60"/>
              <w:jc w:val="left"/>
              <w:rPr>
                <w:rFonts w:ascii="Arial Narrow" w:hAnsi="Arial Narrow" w:cs="Times New Roman"/>
                <w:b/>
              </w:rPr>
            </w:pPr>
            <w:r w:rsidRPr="00AE5C89">
              <w:rPr>
                <w:rFonts w:ascii="Arial Narrow" w:hAnsi="Arial Narrow" w:cs="Times New Roman"/>
                <w:b/>
              </w:rPr>
              <w:t>Risk of bias</w:t>
            </w:r>
          </w:p>
        </w:tc>
        <w:tc>
          <w:tcPr>
            <w:tcW w:w="709" w:type="dxa"/>
            <w:tcBorders>
              <w:top w:val="single" w:sz="6" w:space="0" w:color="auto"/>
              <w:left w:val="single" w:sz="6" w:space="0" w:color="auto"/>
              <w:bottom w:val="single" w:sz="6" w:space="0" w:color="auto"/>
              <w:right w:val="single" w:sz="6" w:space="0" w:color="auto"/>
            </w:tcBorders>
            <w:hideMark/>
          </w:tcPr>
          <w:p w14:paraId="5D5CE2FF" w14:textId="77777777" w:rsidR="00AE5C89" w:rsidRPr="00AE5C89" w:rsidRDefault="00AE5C89" w:rsidP="00AE5C89">
            <w:pPr>
              <w:spacing w:before="30" w:after="30"/>
              <w:ind w:left="60" w:right="60"/>
              <w:jc w:val="left"/>
              <w:rPr>
                <w:rFonts w:ascii="Arial Narrow" w:hAnsi="Arial Narrow" w:cs="Times New Roman"/>
                <w:b/>
              </w:rPr>
            </w:pPr>
            <w:r w:rsidRPr="00AE5C89">
              <w:rPr>
                <w:rFonts w:ascii="Arial Narrow" w:hAnsi="Arial Narrow" w:cs="Times New Roman"/>
                <w:b/>
              </w:rPr>
              <w:t>Sample Size</w:t>
            </w:r>
          </w:p>
        </w:tc>
        <w:tc>
          <w:tcPr>
            <w:tcW w:w="2551" w:type="dxa"/>
            <w:tcBorders>
              <w:top w:val="single" w:sz="6" w:space="0" w:color="auto"/>
              <w:left w:val="single" w:sz="6" w:space="0" w:color="auto"/>
              <w:bottom w:val="single" w:sz="6" w:space="0" w:color="auto"/>
              <w:right w:val="single" w:sz="6" w:space="0" w:color="auto"/>
            </w:tcBorders>
            <w:hideMark/>
          </w:tcPr>
          <w:p w14:paraId="4F7D3B2F" w14:textId="77777777" w:rsidR="00AE5C89" w:rsidRPr="00AE5C89" w:rsidRDefault="00AE5C89" w:rsidP="00AE5C89">
            <w:pPr>
              <w:spacing w:before="30" w:after="30"/>
              <w:ind w:left="60" w:right="60"/>
              <w:jc w:val="left"/>
              <w:rPr>
                <w:rFonts w:ascii="Arial Narrow" w:hAnsi="Arial Narrow" w:cs="Times New Roman"/>
                <w:b/>
              </w:rPr>
            </w:pPr>
            <w:r w:rsidRPr="00AE5C89">
              <w:rPr>
                <w:rFonts w:ascii="Arial Narrow" w:hAnsi="Arial Narrow" w:cs="Times New Roman"/>
                <w:b/>
              </w:rPr>
              <w:t>Study population</w:t>
            </w:r>
          </w:p>
        </w:tc>
        <w:tc>
          <w:tcPr>
            <w:tcW w:w="1560" w:type="dxa"/>
            <w:tcBorders>
              <w:top w:val="single" w:sz="6" w:space="0" w:color="auto"/>
              <w:left w:val="single" w:sz="6" w:space="0" w:color="auto"/>
              <w:bottom w:val="single" w:sz="6" w:space="0" w:color="auto"/>
              <w:right w:val="single" w:sz="6" w:space="0" w:color="auto"/>
            </w:tcBorders>
            <w:hideMark/>
          </w:tcPr>
          <w:p w14:paraId="12545F28" w14:textId="77777777" w:rsidR="00AE5C89" w:rsidRPr="00AE5C89" w:rsidRDefault="00AE5C89" w:rsidP="00AE5C89">
            <w:pPr>
              <w:spacing w:before="30" w:after="30"/>
              <w:ind w:left="60" w:right="60"/>
              <w:jc w:val="left"/>
              <w:rPr>
                <w:rFonts w:ascii="Arial Narrow" w:hAnsi="Arial Narrow" w:cs="Times New Roman"/>
                <w:b/>
              </w:rPr>
            </w:pPr>
            <w:r w:rsidRPr="00AE5C89">
              <w:rPr>
                <w:rFonts w:ascii="Arial Narrow" w:hAnsi="Arial Narrow" w:cs="Times New Roman"/>
                <w:b/>
              </w:rPr>
              <w:t>Intervention</w:t>
            </w:r>
          </w:p>
        </w:tc>
        <w:tc>
          <w:tcPr>
            <w:tcW w:w="1134" w:type="dxa"/>
            <w:tcBorders>
              <w:top w:val="single" w:sz="6" w:space="0" w:color="auto"/>
              <w:left w:val="single" w:sz="6" w:space="0" w:color="auto"/>
              <w:bottom w:val="single" w:sz="6" w:space="0" w:color="auto"/>
              <w:right w:val="single" w:sz="6" w:space="0" w:color="auto"/>
            </w:tcBorders>
            <w:hideMark/>
          </w:tcPr>
          <w:p w14:paraId="49D33648" w14:textId="77777777" w:rsidR="00AE5C89" w:rsidRPr="00AE5C89" w:rsidRDefault="00AE5C89" w:rsidP="00AE5C89">
            <w:pPr>
              <w:spacing w:before="30" w:after="30"/>
              <w:ind w:left="60" w:right="60"/>
              <w:jc w:val="left"/>
              <w:rPr>
                <w:rFonts w:ascii="Arial Narrow" w:hAnsi="Arial Narrow" w:cs="Times New Roman"/>
                <w:b/>
              </w:rPr>
            </w:pPr>
            <w:r w:rsidRPr="00AE5C89">
              <w:rPr>
                <w:rFonts w:ascii="Arial Narrow" w:hAnsi="Arial Narrow" w:cs="Times New Roman"/>
                <w:b/>
              </w:rPr>
              <w:t>Comparator</w:t>
            </w:r>
          </w:p>
        </w:tc>
        <w:tc>
          <w:tcPr>
            <w:tcW w:w="1134" w:type="dxa"/>
            <w:tcBorders>
              <w:top w:val="single" w:sz="6" w:space="0" w:color="auto"/>
              <w:left w:val="single" w:sz="6" w:space="0" w:color="auto"/>
              <w:bottom w:val="single" w:sz="6" w:space="0" w:color="auto"/>
              <w:right w:val="single" w:sz="6" w:space="0" w:color="auto"/>
            </w:tcBorders>
            <w:hideMark/>
          </w:tcPr>
          <w:p w14:paraId="46D63D33" w14:textId="77777777" w:rsidR="00AE5C89" w:rsidRPr="00AE5C89" w:rsidRDefault="00AE5C89" w:rsidP="00AE5C89">
            <w:pPr>
              <w:spacing w:before="30" w:after="30"/>
              <w:ind w:left="60" w:right="60"/>
              <w:jc w:val="left"/>
              <w:rPr>
                <w:rFonts w:ascii="Arial Narrow" w:hAnsi="Arial Narrow" w:cs="Times New Roman"/>
                <w:b/>
              </w:rPr>
            </w:pPr>
            <w:r w:rsidRPr="00AE5C89">
              <w:rPr>
                <w:rFonts w:ascii="Arial Narrow" w:hAnsi="Arial Narrow" w:cs="Times New Roman"/>
                <w:b/>
              </w:rPr>
              <w:t>Outcome</w:t>
            </w:r>
          </w:p>
        </w:tc>
      </w:tr>
      <w:tr w:rsidR="00AE5C89" w:rsidRPr="00AE5C89" w14:paraId="0715F930" w14:textId="77777777" w:rsidTr="006A2BEA">
        <w:tc>
          <w:tcPr>
            <w:tcW w:w="843" w:type="dxa"/>
            <w:tcBorders>
              <w:top w:val="single" w:sz="6" w:space="0" w:color="auto"/>
              <w:left w:val="single" w:sz="6" w:space="0" w:color="auto"/>
              <w:bottom w:val="single" w:sz="6" w:space="0" w:color="auto"/>
              <w:right w:val="single" w:sz="6" w:space="0" w:color="auto"/>
            </w:tcBorders>
            <w:hideMark/>
          </w:tcPr>
          <w:p w14:paraId="496E2816" w14:textId="72F74440" w:rsidR="00AE5C89" w:rsidRDefault="00156621" w:rsidP="00AE5C89">
            <w:pPr>
              <w:spacing w:before="30" w:after="30"/>
              <w:ind w:left="60" w:right="60"/>
              <w:jc w:val="left"/>
              <w:rPr>
                <w:rFonts w:ascii="Arial Narrow" w:hAnsi="Arial Narrow" w:cs="Times New Roman"/>
              </w:rPr>
            </w:pPr>
            <w:r>
              <w:rPr>
                <w:rFonts w:ascii="Arial Narrow" w:hAnsi="Arial Narrow" w:cs="Times New Roman"/>
              </w:rPr>
              <w:fldChar w:fldCharType="begin"/>
            </w:r>
            <w:r w:rsidR="001E4BD1">
              <w:rPr>
                <w:rFonts w:ascii="Arial Narrow" w:hAnsi="Arial Narrow" w:cs="Times New Roman"/>
              </w:rPr>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Pr>
                <w:rFonts w:ascii="Arial Narrow" w:hAnsi="Arial Narrow" w:cs="Times New Roman"/>
              </w:rPr>
              <w:fldChar w:fldCharType="separate"/>
            </w:r>
            <w:r w:rsidR="001E4BD1">
              <w:rPr>
                <w:rFonts w:ascii="Arial Narrow" w:hAnsi="Arial Narrow" w:cs="Times New Roman"/>
                <w:noProof/>
              </w:rPr>
              <w:t>(Pittock et al. 2019)</w:t>
            </w:r>
            <w:r>
              <w:rPr>
                <w:rFonts w:ascii="Arial Narrow" w:hAnsi="Arial Narrow" w:cs="Times New Roman"/>
              </w:rPr>
              <w:fldChar w:fldCharType="end"/>
            </w:r>
          </w:p>
          <w:p w14:paraId="2204B09B" w14:textId="77777777" w:rsidR="003E5A32" w:rsidRPr="00AE5C89" w:rsidRDefault="003E5A32" w:rsidP="00AE5C89">
            <w:pPr>
              <w:spacing w:before="30" w:after="30"/>
              <w:ind w:left="60" w:right="60"/>
              <w:jc w:val="left"/>
              <w:rPr>
                <w:rFonts w:ascii="Arial Narrow" w:hAnsi="Arial Narrow" w:cs="Times New Roman"/>
              </w:rPr>
            </w:pPr>
            <w:r>
              <w:rPr>
                <w:rFonts w:ascii="Arial Narrow" w:hAnsi="Arial Narrow" w:cs="Times New Roman"/>
              </w:rPr>
              <w:t>Multiple</w:t>
            </w:r>
          </w:p>
        </w:tc>
        <w:tc>
          <w:tcPr>
            <w:tcW w:w="709" w:type="dxa"/>
            <w:tcBorders>
              <w:top w:val="single" w:sz="6" w:space="0" w:color="auto"/>
              <w:left w:val="single" w:sz="6" w:space="0" w:color="auto"/>
              <w:bottom w:val="single" w:sz="6" w:space="0" w:color="auto"/>
              <w:right w:val="single" w:sz="6" w:space="0" w:color="auto"/>
            </w:tcBorders>
            <w:hideMark/>
          </w:tcPr>
          <w:p w14:paraId="28F7F144"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RCT</w:t>
            </w:r>
          </w:p>
          <w:p w14:paraId="4AEF9811"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II</w:t>
            </w:r>
          </w:p>
        </w:tc>
        <w:tc>
          <w:tcPr>
            <w:tcW w:w="850" w:type="dxa"/>
            <w:tcBorders>
              <w:top w:val="single" w:sz="6" w:space="0" w:color="auto"/>
              <w:left w:val="single" w:sz="6" w:space="0" w:color="auto"/>
              <w:bottom w:val="single" w:sz="6" w:space="0" w:color="auto"/>
              <w:right w:val="single" w:sz="6" w:space="0" w:color="auto"/>
            </w:tcBorders>
            <w:hideMark/>
          </w:tcPr>
          <w:p w14:paraId="64A9A043"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Low</w:t>
            </w:r>
          </w:p>
        </w:tc>
        <w:tc>
          <w:tcPr>
            <w:tcW w:w="709" w:type="dxa"/>
            <w:tcBorders>
              <w:top w:val="single" w:sz="6" w:space="0" w:color="auto"/>
              <w:left w:val="single" w:sz="6" w:space="0" w:color="auto"/>
              <w:bottom w:val="single" w:sz="6" w:space="0" w:color="auto"/>
              <w:right w:val="single" w:sz="6" w:space="0" w:color="auto"/>
            </w:tcBorders>
            <w:hideMark/>
          </w:tcPr>
          <w:p w14:paraId="5A760D3E"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143</w:t>
            </w:r>
          </w:p>
        </w:tc>
        <w:tc>
          <w:tcPr>
            <w:tcW w:w="2551" w:type="dxa"/>
            <w:tcBorders>
              <w:top w:val="single" w:sz="6" w:space="0" w:color="auto"/>
              <w:left w:val="single" w:sz="6" w:space="0" w:color="auto"/>
              <w:bottom w:val="single" w:sz="6" w:space="0" w:color="auto"/>
              <w:right w:val="single" w:sz="6" w:space="0" w:color="auto"/>
            </w:tcBorders>
            <w:hideMark/>
          </w:tcPr>
          <w:p w14:paraId="7DE6FABB" w14:textId="77777777" w:rsidR="00AE5C89" w:rsidRPr="00AE5C89" w:rsidRDefault="00AA1A72" w:rsidP="00AA1A72">
            <w:pPr>
              <w:spacing w:before="30" w:after="30"/>
              <w:ind w:left="60" w:right="60"/>
              <w:jc w:val="left"/>
              <w:rPr>
                <w:rFonts w:ascii="Arial Narrow" w:hAnsi="Arial Narrow" w:cs="Times New Roman"/>
              </w:rPr>
            </w:pPr>
            <w:r>
              <w:rPr>
                <w:rFonts w:ascii="Arial Narrow" w:hAnsi="Arial Narrow" w:cs="Times New Roman"/>
              </w:rPr>
              <w:t xml:space="preserve">NMOSD aged </w:t>
            </w:r>
            <w:r w:rsidR="00AE5C89" w:rsidRPr="00AE5C89">
              <w:rPr>
                <w:rFonts w:ascii="Arial Narrow" w:hAnsi="Arial Narrow" w:cs="Times New Roman"/>
              </w:rPr>
              <w:t xml:space="preserve"> ≥18 years with </w:t>
            </w:r>
            <w:r>
              <w:rPr>
                <w:rFonts w:ascii="Arial Narrow" w:hAnsi="Arial Narrow" w:cs="Times New Roman"/>
              </w:rPr>
              <w:t>(</w:t>
            </w:r>
            <w:r w:rsidR="00AE5C89" w:rsidRPr="00AE5C89">
              <w:rPr>
                <w:rFonts w:ascii="Arial Narrow" w:hAnsi="Arial Narrow" w:cs="Times New Roman"/>
              </w:rPr>
              <w:t xml:space="preserve"> 2006 or 2007 criteria</w:t>
            </w:r>
            <w:r>
              <w:rPr>
                <w:rFonts w:ascii="Arial Narrow" w:hAnsi="Arial Narrow" w:cs="Times New Roman"/>
              </w:rPr>
              <w:t>)</w:t>
            </w:r>
            <w:r w:rsidR="00AE5C89" w:rsidRPr="00AE5C89">
              <w:rPr>
                <w:rFonts w:ascii="Arial Narrow" w:hAnsi="Arial Narrow" w:cs="Times New Roman"/>
              </w:rPr>
              <w:t xml:space="preserve">, AQP4 IgG </w:t>
            </w:r>
            <w:r>
              <w:rPr>
                <w:rFonts w:ascii="Arial Narrow" w:hAnsi="Arial Narrow" w:cs="Times New Roman"/>
              </w:rPr>
              <w:t>+ve</w:t>
            </w:r>
            <w:r w:rsidR="00AE5C89" w:rsidRPr="00AE5C89">
              <w:rPr>
                <w:rFonts w:ascii="Arial Narrow" w:hAnsi="Arial Narrow" w:cs="Times New Roman"/>
              </w:rPr>
              <w:t xml:space="preserve">, history of 2 or more relapses during the previous 24 months, </w:t>
            </w:r>
          </w:p>
        </w:tc>
        <w:tc>
          <w:tcPr>
            <w:tcW w:w="1560" w:type="dxa"/>
            <w:tcBorders>
              <w:top w:val="single" w:sz="6" w:space="0" w:color="auto"/>
              <w:left w:val="single" w:sz="6" w:space="0" w:color="auto"/>
              <w:bottom w:val="single" w:sz="6" w:space="0" w:color="auto"/>
              <w:right w:val="single" w:sz="6" w:space="0" w:color="auto"/>
            </w:tcBorders>
            <w:hideMark/>
          </w:tcPr>
          <w:p w14:paraId="212DD7C3" w14:textId="77777777" w:rsidR="00AA1A72"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 xml:space="preserve">IV eculizumab </w:t>
            </w:r>
          </w:p>
          <w:p w14:paraId="76BB292E" w14:textId="77777777" w:rsidR="00AE5C89" w:rsidRPr="00AE5C89" w:rsidRDefault="00AA1A72" w:rsidP="00213B25">
            <w:pPr>
              <w:spacing w:before="30" w:after="30"/>
              <w:ind w:left="60" w:right="60"/>
              <w:jc w:val="left"/>
              <w:rPr>
                <w:rFonts w:ascii="Arial Narrow" w:hAnsi="Arial Narrow" w:cs="Times New Roman"/>
              </w:rPr>
            </w:pPr>
            <w:r>
              <w:rPr>
                <w:rFonts w:ascii="Arial Narrow" w:hAnsi="Arial Narrow" w:cs="Times New Roman"/>
              </w:rPr>
              <w:t>900 mg/</w:t>
            </w:r>
            <w:r w:rsidR="00AE5C89" w:rsidRPr="00AE5C89">
              <w:rPr>
                <w:rFonts w:ascii="Arial Narrow" w:hAnsi="Arial Narrow" w:cs="Times New Roman"/>
              </w:rPr>
              <w:t>week</w:t>
            </w:r>
            <w:r>
              <w:rPr>
                <w:rFonts w:ascii="Arial Narrow" w:hAnsi="Arial Narrow" w:cs="Times New Roman"/>
              </w:rPr>
              <w:t xml:space="preserve"> x 4</w:t>
            </w:r>
            <w:r w:rsidR="00AE5C89" w:rsidRPr="00AE5C89">
              <w:rPr>
                <w:rFonts w:ascii="Arial Narrow" w:hAnsi="Arial Narrow" w:cs="Times New Roman"/>
              </w:rPr>
              <w:t>; maintenance 1200 mg</w:t>
            </w:r>
            <w:r w:rsidR="00213B25">
              <w:rPr>
                <w:rFonts w:ascii="Arial Narrow" w:hAnsi="Arial Narrow" w:cs="Times New Roman"/>
              </w:rPr>
              <w:t>/</w:t>
            </w:r>
            <w:r w:rsidR="00AE5C89" w:rsidRPr="00AE5C89">
              <w:rPr>
                <w:rFonts w:ascii="Arial Narrow" w:hAnsi="Arial Narrow" w:cs="Times New Roman"/>
              </w:rPr>
              <w:t xml:space="preserve">2 weeks </w:t>
            </w:r>
          </w:p>
        </w:tc>
        <w:tc>
          <w:tcPr>
            <w:tcW w:w="1134" w:type="dxa"/>
            <w:tcBorders>
              <w:top w:val="single" w:sz="6" w:space="0" w:color="auto"/>
              <w:left w:val="single" w:sz="6" w:space="0" w:color="auto"/>
              <w:bottom w:val="single" w:sz="6" w:space="0" w:color="auto"/>
              <w:right w:val="single" w:sz="6" w:space="0" w:color="auto"/>
            </w:tcBorders>
            <w:hideMark/>
          </w:tcPr>
          <w:p w14:paraId="0527C5A5"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Matched Placebo</w:t>
            </w:r>
          </w:p>
        </w:tc>
        <w:tc>
          <w:tcPr>
            <w:tcW w:w="1134" w:type="dxa"/>
            <w:tcBorders>
              <w:top w:val="single" w:sz="6" w:space="0" w:color="auto"/>
              <w:left w:val="single" w:sz="6" w:space="0" w:color="auto"/>
              <w:bottom w:val="single" w:sz="6" w:space="0" w:color="auto"/>
              <w:right w:val="single" w:sz="6" w:space="0" w:color="auto"/>
            </w:tcBorders>
            <w:hideMark/>
          </w:tcPr>
          <w:p w14:paraId="61D60F33" w14:textId="77777777" w:rsidR="00FB2C22" w:rsidRDefault="00FB2C22" w:rsidP="00FB2C22">
            <w:pPr>
              <w:spacing w:before="30" w:after="30"/>
              <w:ind w:left="60" w:right="60"/>
              <w:jc w:val="left"/>
              <w:rPr>
                <w:rFonts w:ascii="Arial Narrow" w:hAnsi="Arial Narrow" w:cs="Times New Roman"/>
              </w:rPr>
            </w:pPr>
            <w:r>
              <w:rPr>
                <w:rFonts w:ascii="Arial Narrow" w:hAnsi="Arial Narrow" w:cs="Times New Roman"/>
              </w:rPr>
              <w:t>Change in EDSS</w:t>
            </w:r>
          </w:p>
          <w:p w14:paraId="6C120392" w14:textId="77777777" w:rsidR="00FB2C22" w:rsidRDefault="00FB2C22" w:rsidP="00FB2C22">
            <w:pPr>
              <w:spacing w:before="30" w:after="30"/>
              <w:ind w:left="60" w:right="60"/>
              <w:jc w:val="left"/>
              <w:rPr>
                <w:rFonts w:ascii="Arial Narrow" w:hAnsi="Arial Narrow" w:cs="Times New Roman"/>
              </w:rPr>
            </w:pPr>
            <w:r>
              <w:rPr>
                <w:rFonts w:ascii="Arial Narrow" w:hAnsi="Arial Narrow" w:cs="Times New Roman"/>
              </w:rPr>
              <w:t>Change in ARR</w:t>
            </w:r>
          </w:p>
          <w:p w14:paraId="0A1FF566" w14:textId="77777777" w:rsidR="00AE5C89" w:rsidRPr="00AE5C89" w:rsidRDefault="00FB2C22" w:rsidP="00FB2C22">
            <w:pPr>
              <w:spacing w:before="30" w:after="30"/>
              <w:ind w:left="60" w:right="60"/>
              <w:jc w:val="left"/>
              <w:rPr>
                <w:rFonts w:ascii="Arial Narrow" w:hAnsi="Arial Narrow" w:cs="Times New Roman"/>
              </w:rPr>
            </w:pPr>
            <w:r>
              <w:rPr>
                <w:rFonts w:ascii="Arial Narrow" w:hAnsi="Arial Narrow" w:cs="Times New Roman"/>
              </w:rPr>
              <w:t>Adverse events</w:t>
            </w:r>
          </w:p>
        </w:tc>
      </w:tr>
      <w:tr w:rsidR="00AE5C89" w:rsidRPr="00AE5C89" w14:paraId="6C713F96" w14:textId="77777777" w:rsidTr="006A2BEA">
        <w:tc>
          <w:tcPr>
            <w:tcW w:w="843" w:type="dxa"/>
            <w:tcBorders>
              <w:top w:val="single" w:sz="6" w:space="0" w:color="auto"/>
              <w:left w:val="single" w:sz="6" w:space="0" w:color="auto"/>
              <w:bottom w:val="single" w:sz="6" w:space="0" w:color="auto"/>
              <w:right w:val="single" w:sz="6" w:space="0" w:color="auto"/>
            </w:tcBorders>
            <w:hideMark/>
          </w:tcPr>
          <w:p w14:paraId="71056394" w14:textId="65FF20AC" w:rsidR="00AE5C89" w:rsidRDefault="00156621" w:rsidP="00AE5C89">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PEVuZE5vdGU+PENpdGU+PEF1dGhvcj5Cb25uYW48L0F1dGhvcj48WWVhcj4yMDE4PC9ZZWFyPjxS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</w:fldData>
              </w:fldChar>
            </w:r>
            <w:r w:rsidR="00591217">
              <w:rPr>
                <w:rFonts w:ascii="Arial Narrow" w:hAnsi="Arial Narrow" w:cs="Times New Roman"/>
              </w:rPr>
              <w:instrText xml:space="preserve"> ADDIN EN.CITE </w:instrText>
            </w:r>
            <w:r w:rsidR="00591217">
              <w:rPr>
                <w:rFonts w:ascii="Arial Narrow" w:hAnsi="Arial Narrow" w:cs="Times New Roman"/>
              </w:rPr>
              <w:fldChar w:fldCharType="begin">
                <w:fldData xml:space="preserve">PEVuZE5vdGU+PENpdGU+PEF1dGhvcj5Cb25uYW48L0F1dGhvcj48WWVhcj4yMDE4PC9ZZWFyPjxS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</w:fldData>
              </w:fldChar>
            </w:r>
            <w:r w:rsidR="00591217">
              <w:rPr>
                <w:rFonts w:ascii="Arial Narrow" w:hAnsi="Arial Narrow" w:cs="Times New Roman"/>
              </w:rPr>
              <w:instrText xml:space="preserve"> ADDIN EN.CITE.DATA </w:instrText>
            </w:r>
            <w:r w:rsidR="00591217">
              <w:rPr>
                <w:rFonts w:ascii="Arial Narrow" w:hAnsi="Arial Narrow" w:cs="Times New Roman"/>
              </w:rPr>
            </w:r>
            <w:r w:rsidR="00591217">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sidR="000E3254">
              <w:rPr>
                <w:rFonts w:ascii="Arial Narrow" w:hAnsi="Arial Narrow" w:cs="Times New Roman"/>
                <w:noProof/>
              </w:rPr>
              <w:t>(Bonnan</w:t>
            </w:r>
            <w:r w:rsidR="00591217">
              <w:rPr>
                <w:rFonts w:ascii="Arial Narrow" w:hAnsi="Arial Narrow" w:cs="Times New Roman"/>
                <w:noProof/>
              </w:rPr>
              <w:t xml:space="preserve"> et al. 2018)</w:t>
            </w:r>
            <w:r>
              <w:rPr>
                <w:rFonts w:ascii="Arial Narrow" w:hAnsi="Arial Narrow" w:cs="Times New Roman"/>
              </w:rPr>
              <w:fldChar w:fldCharType="end"/>
            </w:r>
          </w:p>
          <w:p w14:paraId="76CA06FE" w14:textId="77777777" w:rsidR="003E5A32" w:rsidRPr="00AE5C89" w:rsidRDefault="003E5A32" w:rsidP="00AE5C89">
            <w:pPr>
              <w:spacing w:before="30" w:after="30"/>
              <w:ind w:left="60" w:right="60"/>
              <w:jc w:val="left"/>
              <w:rPr>
                <w:rFonts w:ascii="Arial Narrow" w:hAnsi="Arial Narrow" w:cs="Times New Roman"/>
              </w:rPr>
            </w:pPr>
            <w:r>
              <w:rPr>
                <w:rFonts w:ascii="Arial Narrow" w:hAnsi="Arial Narrow" w:cs="Times New Roman"/>
              </w:rPr>
              <w:t>France</w:t>
            </w:r>
          </w:p>
        </w:tc>
        <w:tc>
          <w:tcPr>
            <w:tcW w:w="709" w:type="dxa"/>
            <w:tcBorders>
              <w:top w:val="single" w:sz="6" w:space="0" w:color="auto"/>
              <w:left w:val="single" w:sz="6" w:space="0" w:color="auto"/>
              <w:bottom w:val="single" w:sz="6" w:space="0" w:color="auto"/>
              <w:right w:val="single" w:sz="6" w:space="0" w:color="auto"/>
            </w:tcBorders>
            <w:hideMark/>
          </w:tcPr>
          <w:p w14:paraId="3F7B4392"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CS</w:t>
            </w:r>
          </w:p>
          <w:p w14:paraId="76DC1745"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IV</w:t>
            </w:r>
          </w:p>
        </w:tc>
        <w:tc>
          <w:tcPr>
            <w:tcW w:w="850" w:type="dxa"/>
            <w:tcBorders>
              <w:top w:val="single" w:sz="6" w:space="0" w:color="auto"/>
              <w:left w:val="single" w:sz="6" w:space="0" w:color="auto"/>
              <w:bottom w:val="single" w:sz="6" w:space="0" w:color="auto"/>
              <w:right w:val="single" w:sz="6" w:space="0" w:color="auto"/>
            </w:tcBorders>
            <w:hideMark/>
          </w:tcPr>
          <w:p w14:paraId="7475AD19"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617E7BCF"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60</w:t>
            </w:r>
          </w:p>
        </w:tc>
        <w:tc>
          <w:tcPr>
            <w:tcW w:w="2551" w:type="dxa"/>
            <w:tcBorders>
              <w:top w:val="single" w:sz="6" w:space="0" w:color="auto"/>
              <w:left w:val="single" w:sz="6" w:space="0" w:color="auto"/>
              <w:bottom w:val="single" w:sz="6" w:space="0" w:color="auto"/>
              <w:right w:val="single" w:sz="6" w:space="0" w:color="auto"/>
            </w:tcBorders>
            <w:hideMark/>
          </w:tcPr>
          <w:p w14:paraId="4C60AB69"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 xml:space="preserve">Monophasic or relapsing NMOSD, extensive transverse myelitis or severe ON highly suggestive of NMOSD. </w:t>
            </w:r>
          </w:p>
        </w:tc>
        <w:tc>
          <w:tcPr>
            <w:tcW w:w="1560" w:type="dxa"/>
            <w:tcBorders>
              <w:top w:val="single" w:sz="6" w:space="0" w:color="auto"/>
              <w:left w:val="single" w:sz="6" w:space="0" w:color="auto"/>
              <w:bottom w:val="single" w:sz="6" w:space="0" w:color="auto"/>
              <w:right w:val="single" w:sz="6" w:space="0" w:color="auto"/>
            </w:tcBorders>
            <w:hideMark/>
          </w:tcPr>
          <w:p w14:paraId="339CB49C" w14:textId="77777777" w:rsidR="00AE5C89" w:rsidRPr="00AE5C89" w:rsidRDefault="00213B25" w:rsidP="00AE5C89">
            <w:pPr>
              <w:spacing w:before="30" w:after="30"/>
              <w:ind w:left="60" w:right="60"/>
              <w:jc w:val="left"/>
              <w:rPr>
                <w:rFonts w:ascii="Arial Narrow" w:hAnsi="Arial Narrow" w:cs="Times New Roman"/>
              </w:rPr>
            </w:pPr>
            <w:r>
              <w:rPr>
                <w:rFonts w:ascii="Arial Narrow" w:hAnsi="Arial Narrow" w:cs="Times New Roman"/>
              </w:rPr>
              <w:t>PLEX</w:t>
            </w:r>
            <w:r w:rsidR="0054626A">
              <w:rPr>
                <w:rFonts w:ascii="Arial Narrow" w:hAnsi="Arial Narrow" w:cs="Times New Roman"/>
              </w:rPr>
              <w:t xml:space="preserve"> &lt;20day after attack</w:t>
            </w:r>
          </w:p>
        </w:tc>
        <w:tc>
          <w:tcPr>
            <w:tcW w:w="1134" w:type="dxa"/>
            <w:tcBorders>
              <w:top w:val="single" w:sz="6" w:space="0" w:color="auto"/>
              <w:left w:val="single" w:sz="6" w:space="0" w:color="auto"/>
              <w:bottom w:val="single" w:sz="6" w:space="0" w:color="auto"/>
              <w:right w:val="single" w:sz="6" w:space="0" w:color="auto"/>
            </w:tcBorders>
            <w:hideMark/>
          </w:tcPr>
          <w:p w14:paraId="1DC999DE" w14:textId="77777777" w:rsidR="00AE5C89" w:rsidRPr="00AE5C89" w:rsidRDefault="0054626A" w:rsidP="00AE5C89">
            <w:pPr>
              <w:spacing w:before="30" w:after="30"/>
              <w:ind w:left="60" w:right="60"/>
              <w:jc w:val="left"/>
              <w:rPr>
                <w:rFonts w:ascii="Arial Narrow" w:hAnsi="Arial Narrow" w:cs="Times New Roman"/>
              </w:rPr>
            </w:pPr>
            <w:r>
              <w:rPr>
                <w:rFonts w:ascii="Arial Narrow" w:hAnsi="Arial Narrow" w:cs="Times New Roman"/>
              </w:rPr>
              <w:t>PLEX &gt;20 days after attack</w:t>
            </w:r>
          </w:p>
        </w:tc>
        <w:tc>
          <w:tcPr>
            <w:tcW w:w="1134" w:type="dxa"/>
            <w:tcBorders>
              <w:top w:val="single" w:sz="6" w:space="0" w:color="auto"/>
              <w:left w:val="single" w:sz="6" w:space="0" w:color="auto"/>
              <w:bottom w:val="single" w:sz="6" w:space="0" w:color="auto"/>
              <w:right w:val="single" w:sz="6" w:space="0" w:color="auto"/>
            </w:tcBorders>
            <w:hideMark/>
          </w:tcPr>
          <w:p w14:paraId="5A20A147" w14:textId="77777777" w:rsidR="00AE5C89" w:rsidRDefault="00FB2C22" w:rsidP="00AE5C89">
            <w:pPr>
              <w:spacing w:before="30" w:after="30"/>
              <w:ind w:left="60" w:right="60"/>
              <w:jc w:val="left"/>
              <w:rPr>
                <w:rFonts w:ascii="Arial Narrow" w:hAnsi="Arial Narrow" w:cs="Times New Roman"/>
              </w:rPr>
            </w:pPr>
            <w:r>
              <w:rPr>
                <w:rFonts w:ascii="Arial Narrow" w:hAnsi="Arial Narrow" w:cs="Times New Roman"/>
              </w:rPr>
              <w:t>Early vs late treatment</w:t>
            </w:r>
          </w:p>
          <w:p w14:paraId="30D81382" w14:textId="77777777" w:rsidR="00FB2C22" w:rsidRPr="00AE5C89" w:rsidRDefault="00FB2C22" w:rsidP="00AE5C89">
            <w:pPr>
              <w:spacing w:before="30" w:after="30"/>
              <w:ind w:left="60" w:right="60"/>
              <w:jc w:val="left"/>
              <w:rPr>
                <w:rFonts w:ascii="Arial Narrow" w:hAnsi="Arial Narrow" w:cs="Times New Roman"/>
              </w:rPr>
            </w:pPr>
            <w:r>
              <w:rPr>
                <w:rFonts w:ascii="Arial Narrow" w:hAnsi="Arial Narrow" w:cs="Times New Roman"/>
              </w:rPr>
              <w:t>Change in EDSS</w:t>
            </w:r>
          </w:p>
        </w:tc>
      </w:tr>
      <w:tr w:rsidR="008D2AA3" w:rsidRPr="00AE5C89" w14:paraId="1082D57D" w14:textId="77777777" w:rsidTr="006A2BEA">
        <w:tc>
          <w:tcPr>
            <w:tcW w:w="843" w:type="dxa"/>
            <w:tcBorders>
              <w:top w:val="single" w:sz="6" w:space="0" w:color="auto"/>
              <w:left w:val="single" w:sz="6" w:space="0" w:color="auto"/>
              <w:bottom w:val="single" w:sz="6" w:space="0" w:color="auto"/>
              <w:right w:val="single" w:sz="6" w:space="0" w:color="auto"/>
            </w:tcBorders>
          </w:tcPr>
          <w:p w14:paraId="4FA143C5" w14:textId="11431BE3" w:rsidR="008D2AA3" w:rsidRDefault="00156621" w:rsidP="00AE5C89">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PEVuZE5vdGU+PENpdGU+PEF1dGhvcj5MaW48L0F1dGhvcj48WWVhcj4yMDE3PC9ZZWFyPjxSZWNO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PEVuZE5vdGU+PENpdGU+PEF1dGhvcj5MaW48L0F1dGhvcj48WWVhcj4yMDE3PC9ZZWFyPjxSZWNO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sidR="000E3254">
              <w:rPr>
                <w:rFonts w:ascii="Arial Narrow" w:hAnsi="Arial Narrow" w:cs="Times New Roman"/>
                <w:noProof/>
              </w:rPr>
              <w:t>(Lin</w:t>
            </w:r>
            <w:r>
              <w:rPr>
                <w:rFonts w:ascii="Arial Narrow" w:hAnsi="Arial Narrow" w:cs="Times New Roman"/>
                <w:noProof/>
              </w:rPr>
              <w:t xml:space="preserve"> et al. 2017)</w:t>
            </w:r>
            <w:r>
              <w:rPr>
                <w:rFonts w:ascii="Arial Narrow" w:hAnsi="Arial Narrow" w:cs="Times New Roman"/>
              </w:rPr>
              <w:fldChar w:fldCharType="end"/>
            </w:r>
          </w:p>
          <w:p w14:paraId="78B1B428" w14:textId="77777777" w:rsidR="00401E3C" w:rsidRDefault="00401E3C" w:rsidP="00AE5C89">
            <w:pPr>
              <w:spacing w:before="30" w:after="30"/>
              <w:ind w:left="60" w:right="60"/>
              <w:jc w:val="left"/>
              <w:rPr>
                <w:rFonts w:ascii="Arial Narrow" w:hAnsi="Arial Narrow" w:cs="Times New Roman"/>
              </w:rPr>
            </w:pPr>
            <w:r>
              <w:rPr>
                <w:rFonts w:ascii="Arial Narrow" w:hAnsi="Arial Narrow" w:cs="Times New Roman"/>
              </w:rPr>
              <w:t>China</w:t>
            </w:r>
          </w:p>
        </w:tc>
        <w:tc>
          <w:tcPr>
            <w:tcW w:w="709" w:type="dxa"/>
            <w:tcBorders>
              <w:top w:val="single" w:sz="6" w:space="0" w:color="auto"/>
              <w:left w:val="single" w:sz="6" w:space="0" w:color="auto"/>
              <w:bottom w:val="single" w:sz="6" w:space="0" w:color="auto"/>
              <w:right w:val="single" w:sz="6" w:space="0" w:color="auto"/>
            </w:tcBorders>
          </w:tcPr>
          <w:p w14:paraId="54594955" w14:textId="77777777" w:rsidR="008D2AA3" w:rsidRDefault="008D2AA3" w:rsidP="00AE5C89">
            <w:pPr>
              <w:spacing w:before="30" w:after="30"/>
              <w:ind w:left="60" w:right="60"/>
              <w:jc w:val="left"/>
              <w:rPr>
                <w:rFonts w:ascii="Arial Narrow" w:hAnsi="Arial Narrow" w:cs="Times New Roman"/>
              </w:rPr>
            </w:pPr>
            <w:r>
              <w:rPr>
                <w:rFonts w:ascii="Arial Narrow" w:hAnsi="Arial Narrow" w:cs="Times New Roman"/>
              </w:rPr>
              <w:t>CS</w:t>
            </w:r>
          </w:p>
          <w:p w14:paraId="005F23D0" w14:textId="77777777" w:rsidR="008D2AA3" w:rsidRPr="00AE5C89" w:rsidRDefault="008D2AA3" w:rsidP="00AE5C89">
            <w:pPr>
              <w:spacing w:before="30" w:after="30"/>
              <w:ind w:left="60" w:right="60"/>
              <w:jc w:val="left"/>
              <w:rPr>
                <w:rFonts w:ascii="Arial Narrow" w:hAnsi="Arial Narrow" w:cs="Times New Roman"/>
              </w:rPr>
            </w:pPr>
            <w:r>
              <w:rPr>
                <w:rFonts w:ascii="Arial Narrow" w:hAnsi="Arial Narrow" w:cs="Times New Roman"/>
              </w:rPr>
              <w:t>IV</w:t>
            </w:r>
          </w:p>
        </w:tc>
        <w:tc>
          <w:tcPr>
            <w:tcW w:w="850" w:type="dxa"/>
            <w:tcBorders>
              <w:top w:val="single" w:sz="6" w:space="0" w:color="auto"/>
              <w:left w:val="single" w:sz="6" w:space="0" w:color="auto"/>
              <w:bottom w:val="single" w:sz="6" w:space="0" w:color="auto"/>
              <w:right w:val="single" w:sz="6" w:space="0" w:color="auto"/>
            </w:tcBorders>
          </w:tcPr>
          <w:p w14:paraId="5CEDA58C" w14:textId="77777777" w:rsidR="008D2AA3" w:rsidRPr="00AE5C89" w:rsidRDefault="008D2AA3" w:rsidP="008D2AA3">
            <w:pPr>
              <w:spacing w:before="30" w:after="30"/>
              <w:ind w:left="60" w:right="60"/>
              <w:jc w:val="left"/>
              <w:rPr>
                <w:rFonts w:ascii="Arial Narrow" w:hAnsi="Arial Narrow" w:cs="Times New Roman"/>
              </w:rPr>
            </w:pPr>
            <w:r>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tcPr>
          <w:p w14:paraId="23F4D48A" w14:textId="77777777" w:rsidR="008D2AA3" w:rsidRPr="00AE5C89" w:rsidRDefault="008D2AA3" w:rsidP="00147845">
            <w:pPr>
              <w:spacing w:before="30" w:after="30"/>
              <w:ind w:left="60" w:right="60"/>
              <w:jc w:val="left"/>
              <w:rPr>
                <w:rFonts w:ascii="Arial Narrow" w:hAnsi="Arial Narrow" w:cs="Times New Roman"/>
              </w:rPr>
            </w:pPr>
            <w:r>
              <w:rPr>
                <w:rFonts w:ascii="Arial Narrow" w:hAnsi="Arial Narrow" w:cs="Times New Roman"/>
              </w:rPr>
              <w:t>3</w:t>
            </w:r>
            <w:r w:rsidR="00147845">
              <w:rPr>
                <w:rFonts w:ascii="Arial Narrow" w:hAnsi="Arial Narrow" w:cs="Times New Roman"/>
              </w:rPr>
              <w:t>2</w:t>
            </w:r>
          </w:p>
        </w:tc>
        <w:tc>
          <w:tcPr>
            <w:tcW w:w="2551" w:type="dxa"/>
            <w:tcBorders>
              <w:top w:val="single" w:sz="6" w:space="0" w:color="auto"/>
              <w:left w:val="single" w:sz="6" w:space="0" w:color="auto"/>
              <w:bottom w:val="single" w:sz="6" w:space="0" w:color="auto"/>
              <w:right w:val="single" w:sz="6" w:space="0" w:color="auto"/>
            </w:tcBorders>
          </w:tcPr>
          <w:p w14:paraId="028A6A7C" w14:textId="77777777" w:rsidR="008D2AA3" w:rsidRPr="00AE5C89" w:rsidRDefault="008D2AA3" w:rsidP="00AE5C89">
            <w:pPr>
              <w:spacing w:before="30" w:after="30"/>
              <w:ind w:left="60" w:right="60"/>
              <w:jc w:val="left"/>
              <w:rPr>
                <w:rFonts w:ascii="Arial Narrow" w:hAnsi="Arial Narrow" w:cs="Times New Roman"/>
              </w:rPr>
            </w:pPr>
            <w:r>
              <w:rPr>
                <w:rFonts w:ascii="Arial Narrow" w:hAnsi="Arial Narrow" w:cs="Times New Roman"/>
              </w:rPr>
              <w:t xml:space="preserve">Patients with NMOSD who had relapsed with LETM, ON and </w:t>
            </w:r>
            <w:r w:rsidR="008A1746">
              <w:rPr>
                <w:rFonts w:ascii="Arial Narrow" w:hAnsi="Arial Narrow" w:cs="Times New Roman"/>
              </w:rPr>
              <w:t>postrema</w:t>
            </w:r>
            <w:r>
              <w:rPr>
                <w:rFonts w:ascii="Arial Narrow" w:hAnsi="Arial Narrow" w:cs="Times New Roman"/>
              </w:rPr>
              <w:t xml:space="preserve"> syndrome</w:t>
            </w:r>
          </w:p>
        </w:tc>
        <w:tc>
          <w:tcPr>
            <w:tcW w:w="1560" w:type="dxa"/>
            <w:tcBorders>
              <w:top w:val="single" w:sz="6" w:space="0" w:color="auto"/>
              <w:left w:val="single" w:sz="6" w:space="0" w:color="auto"/>
              <w:bottom w:val="single" w:sz="6" w:space="0" w:color="auto"/>
              <w:right w:val="single" w:sz="6" w:space="0" w:color="auto"/>
            </w:tcBorders>
          </w:tcPr>
          <w:p w14:paraId="1323BAF1" w14:textId="77777777" w:rsidR="008D2AA3" w:rsidRDefault="00147845" w:rsidP="00D425E8">
            <w:pPr>
              <w:spacing w:before="30" w:after="30"/>
              <w:ind w:left="60" w:right="60"/>
              <w:jc w:val="left"/>
              <w:rPr>
                <w:rFonts w:ascii="Arial Narrow" w:hAnsi="Arial Narrow" w:cs="Times New Roman"/>
              </w:rPr>
            </w:pPr>
            <w:r>
              <w:rPr>
                <w:rFonts w:ascii="Arial Narrow" w:hAnsi="Arial Narrow" w:cs="Times New Roman"/>
              </w:rPr>
              <w:t>IV</w:t>
            </w:r>
            <w:r w:rsidR="00A20382">
              <w:rPr>
                <w:rFonts w:ascii="Arial Narrow" w:hAnsi="Arial Narrow" w:cs="Times New Roman"/>
              </w:rPr>
              <w:t>M</w:t>
            </w:r>
            <w:r w:rsidR="00D425E8">
              <w:rPr>
                <w:rFonts w:ascii="Arial Narrow" w:hAnsi="Arial Narrow" w:cs="Times New Roman"/>
              </w:rPr>
              <w:t>P</w:t>
            </w:r>
            <w:r>
              <w:rPr>
                <w:rFonts w:ascii="Arial Narrow" w:hAnsi="Arial Narrow" w:cs="Times New Roman"/>
              </w:rPr>
              <w:t xml:space="preserve"> + early use of Azathioprine (concurrently or within 2 weeks of </w:t>
            </w:r>
            <w:r w:rsidR="00A20382">
              <w:rPr>
                <w:rFonts w:ascii="Arial Narrow" w:hAnsi="Arial Narrow" w:cs="Times New Roman"/>
              </w:rPr>
              <w:t>IVM</w:t>
            </w:r>
            <w:r w:rsidR="00D425E8">
              <w:rPr>
                <w:rFonts w:ascii="Arial Narrow" w:hAnsi="Arial Narrow" w:cs="Times New Roman"/>
              </w:rPr>
              <w:t>P</w:t>
            </w:r>
            <w:r w:rsidR="00A20382">
              <w:rPr>
                <w:rFonts w:ascii="Arial Narrow" w:hAnsi="Arial Narrow" w:cs="Times New Roman"/>
              </w:rPr>
              <w:t>)</w:t>
            </w:r>
          </w:p>
        </w:tc>
        <w:tc>
          <w:tcPr>
            <w:tcW w:w="1134" w:type="dxa"/>
            <w:tcBorders>
              <w:top w:val="single" w:sz="6" w:space="0" w:color="auto"/>
              <w:left w:val="single" w:sz="6" w:space="0" w:color="auto"/>
              <w:bottom w:val="single" w:sz="6" w:space="0" w:color="auto"/>
              <w:right w:val="single" w:sz="6" w:space="0" w:color="auto"/>
            </w:tcBorders>
          </w:tcPr>
          <w:p w14:paraId="5CC76341" w14:textId="77777777" w:rsidR="00A20382" w:rsidRDefault="0062159F" w:rsidP="00A20382">
            <w:pPr>
              <w:spacing w:before="30" w:after="30"/>
              <w:ind w:left="60" w:right="60"/>
              <w:jc w:val="left"/>
              <w:rPr>
                <w:rFonts w:ascii="Arial Narrow" w:hAnsi="Arial Narrow" w:cs="Times New Roman"/>
              </w:rPr>
            </w:pPr>
            <w:r>
              <w:rPr>
                <w:rFonts w:ascii="Arial Narrow" w:hAnsi="Arial Narrow" w:cs="Times New Roman"/>
              </w:rPr>
              <w:t>Azathioprine after IV</w:t>
            </w:r>
            <w:r w:rsidR="00A20382">
              <w:rPr>
                <w:rFonts w:ascii="Arial Narrow" w:hAnsi="Arial Narrow" w:cs="Times New Roman"/>
              </w:rPr>
              <w:t>M</w:t>
            </w:r>
            <w:r w:rsidR="00D425E8">
              <w:rPr>
                <w:rFonts w:ascii="Arial Narrow" w:hAnsi="Arial Narrow" w:cs="Times New Roman"/>
              </w:rPr>
              <w:t>P</w:t>
            </w:r>
          </w:p>
          <w:p w14:paraId="68378BD4" w14:textId="77777777" w:rsidR="00A20382" w:rsidRDefault="00A20382" w:rsidP="00A20382">
            <w:pPr>
              <w:spacing w:before="30" w:after="30"/>
              <w:ind w:left="60" w:right="60"/>
              <w:jc w:val="left"/>
              <w:rPr>
                <w:rFonts w:ascii="Arial Narrow" w:hAnsi="Arial Narrow" w:cs="Times New Roman"/>
              </w:rPr>
            </w:pPr>
          </w:p>
          <w:p w14:paraId="35FC2E57" w14:textId="77777777" w:rsidR="008D2AA3" w:rsidRPr="00AE5C89" w:rsidRDefault="00207876" w:rsidP="00A20382">
            <w:pPr>
              <w:spacing w:before="30" w:after="30"/>
              <w:ind w:left="60" w:right="60"/>
              <w:jc w:val="left"/>
              <w:rPr>
                <w:rFonts w:ascii="Arial Narrow" w:hAnsi="Arial Narrow" w:cs="Times New Roman"/>
              </w:rPr>
            </w:pPr>
            <w:r>
              <w:rPr>
                <w:rFonts w:ascii="Arial Narrow" w:hAnsi="Arial Narrow" w:cs="Times New Roman"/>
              </w:rPr>
              <w:t>IVMP</w:t>
            </w:r>
            <w:r w:rsidR="00A20382">
              <w:rPr>
                <w:rFonts w:ascii="Arial Narrow" w:hAnsi="Arial Narrow" w:cs="Times New Roman"/>
              </w:rPr>
              <w:t xml:space="preserve"> alone</w:t>
            </w:r>
            <w:r w:rsidR="0062159F">
              <w:rPr>
                <w:rFonts w:ascii="Arial Narrow" w:hAnsi="Arial Narrow" w:cs="Times New Roman"/>
              </w:rPr>
              <w:t xml:space="preserve"> </w:t>
            </w:r>
          </w:p>
        </w:tc>
        <w:tc>
          <w:tcPr>
            <w:tcW w:w="1134" w:type="dxa"/>
            <w:tcBorders>
              <w:top w:val="single" w:sz="6" w:space="0" w:color="auto"/>
              <w:left w:val="single" w:sz="6" w:space="0" w:color="auto"/>
              <w:bottom w:val="single" w:sz="6" w:space="0" w:color="auto"/>
              <w:right w:val="single" w:sz="6" w:space="0" w:color="auto"/>
            </w:tcBorders>
          </w:tcPr>
          <w:p w14:paraId="268A8FC8" w14:textId="77777777" w:rsidR="00194BD1" w:rsidRDefault="00194BD1" w:rsidP="00AE5C89">
            <w:pPr>
              <w:spacing w:before="30" w:after="30"/>
              <w:ind w:left="60" w:right="60"/>
              <w:jc w:val="left"/>
              <w:rPr>
                <w:rFonts w:ascii="Arial Narrow" w:hAnsi="Arial Narrow" w:cs="Times New Roman"/>
              </w:rPr>
            </w:pPr>
            <w:r>
              <w:rPr>
                <w:rFonts w:ascii="Arial Narrow" w:hAnsi="Arial Narrow" w:cs="Times New Roman"/>
              </w:rPr>
              <w:t>Early vs late treatment</w:t>
            </w:r>
          </w:p>
          <w:p w14:paraId="2CBAACC5" w14:textId="77777777" w:rsidR="008D2AA3" w:rsidRDefault="00401E3C" w:rsidP="00106BDD">
            <w:pPr>
              <w:spacing w:before="30" w:after="30"/>
              <w:ind w:left="60" w:right="60"/>
              <w:jc w:val="left"/>
              <w:rPr>
                <w:rFonts w:ascii="Arial Narrow" w:hAnsi="Arial Narrow" w:cs="Times New Roman"/>
              </w:rPr>
            </w:pPr>
            <w:r>
              <w:rPr>
                <w:rFonts w:ascii="Arial Narrow" w:hAnsi="Arial Narrow" w:cs="Times New Roman"/>
              </w:rPr>
              <w:t>Time to next relapse</w:t>
            </w:r>
            <w:r w:rsidR="00106BDD">
              <w:rPr>
                <w:rFonts w:ascii="Arial Narrow" w:hAnsi="Arial Narrow" w:cs="Times New Roman"/>
              </w:rPr>
              <w:t xml:space="preserve"> </w:t>
            </w:r>
          </w:p>
        </w:tc>
      </w:tr>
      <w:tr w:rsidR="00767A3B" w:rsidRPr="00AE5C89" w14:paraId="5259934E" w14:textId="77777777" w:rsidTr="006A2BEA">
        <w:tc>
          <w:tcPr>
            <w:tcW w:w="843" w:type="dxa"/>
            <w:tcBorders>
              <w:top w:val="single" w:sz="6" w:space="0" w:color="auto"/>
              <w:left w:val="single" w:sz="6" w:space="0" w:color="auto"/>
              <w:bottom w:val="single" w:sz="6" w:space="0" w:color="auto"/>
              <w:right w:val="single" w:sz="6" w:space="0" w:color="auto"/>
            </w:tcBorders>
          </w:tcPr>
          <w:p w14:paraId="0644E0AC" w14:textId="00FF03D5" w:rsidR="00767A3B" w:rsidRDefault="00156621" w:rsidP="00D96694">
            <w:pPr>
              <w:spacing w:before="30" w:after="30"/>
              <w:ind w:left="60" w:right="60"/>
              <w:jc w:val="left"/>
              <w:rPr>
                <w:rFonts w:ascii="Arial Narrow" w:hAnsi="Arial Narrow" w:cs="Times New Roman"/>
              </w:rPr>
            </w:pPr>
            <w:r>
              <w:rPr>
                <w:rFonts w:ascii="Arial Narrow" w:hAnsi="Arial Narrow" w:cs="Times New Roman"/>
              </w:rPr>
              <w:lastRenderedPageBreak/>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(Elsone et al. 2014)</w:t>
            </w:r>
            <w:r>
              <w:rPr>
                <w:rFonts w:ascii="Arial Narrow" w:hAnsi="Arial Narrow" w:cs="Times New Roman"/>
              </w:rPr>
              <w:fldChar w:fldCharType="end"/>
            </w:r>
          </w:p>
        </w:tc>
        <w:tc>
          <w:tcPr>
            <w:tcW w:w="709" w:type="dxa"/>
            <w:tcBorders>
              <w:top w:val="single" w:sz="6" w:space="0" w:color="auto"/>
              <w:left w:val="single" w:sz="6" w:space="0" w:color="auto"/>
              <w:bottom w:val="single" w:sz="6" w:space="0" w:color="auto"/>
              <w:right w:val="single" w:sz="6" w:space="0" w:color="auto"/>
            </w:tcBorders>
          </w:tcPr>
          <w:p w14:paraId="1B6BEC2C" w14:textId="77777777" w:rsidR="00767A3B" w:rsidRDefault="00767A3B" w:rsidP="00AE5C89">
            <w:pPr>
              <w:spacing w:before="30" w:after="30"/>
              <w:ind w:left="60" w:right="60"/>
              <w:jc w:val="left"/>
              <w:rPr>
                <w:rFonts w:ascii="Arial Narrow" w:hAnsi="Arial Narrow" w:cs="Times New Roman"/>
              </w:rPr>
            </w:pPr>
            <w:r>
              <w:rPr>
                <w:rFonts w:ascii="Arial Narrow" w:hAnsi="Arial Narrow" w:cs="Times New Roman"/>
              </w:rPr>
              <w:t>CS</w:t>
            </w:r>
          </w:p>
          <w:p w14:paraId="1650049E" w14:textId="77777777" w:rsidR="00767A3B" w:rsidRDefault="00767A3B" w:rsidP="00AE5C89">
            <w:pPr>
              <w:spacing w:before="30" w:after="30"/>
              <w:ind w:left="60" w:right="60"/>
              <w:jc w:val="left"/>
              <w:rPr>
                <w:rFonts w:ascii="Arial Narrow" w:hAnsi="Arial Narrow" w:cs="Times New Roman"/>
              </w:rPr>
            </w:pPr>
            <w:r>
              <w:rPr>
                <w:rFonts w:ascii="Arial Narrow" w:hAnsi="Arial Narrow" w:cs="Times New Roman"/>
              </w:rPr>
              <w:t>IV</w:t>
            </w:r>
          </w:p>
        </w:tc>
        <w:tc>
          <w:tcPr>
            <w:tcW w:w="850" w:type="dxa"/>
            <w:tcBorders>
              <w:top w:val="single" w:sz="6" w:space="0" w:color="auto"/>
              <w:left w:val="single" w:sz="6" w:space="0" w:color="auto"/>
              <w:bottom w:val="single" w:sz="6" w:space="0" w:color="auto"/>
              <w:right w:val="single" w:sz="6" w:space="0" w:color="auto"/>
            </w:tcBorders>
          </w:tcPr>
          <w:p w14:paraId="16CDD075" w14:textId="77777777" w:rsidR="00767A3B" w:rsidRDefault="00C01F8A" w:rsidP="008D2AA3">
            <w:pPr>
              <w:spacing w:before="30" w:after="30"/>
              <w:ind w:left="60" w:right="60"/>
              <w:jc w:val="left"/>
              <w:rPr>
                <w:rFonts w:ascii="Arial Narrow" w:hAnsi="Arial Narrow" w:cs="Times New Roman"/>
              </w:rPr>
            </w:pPr>
            <w:r>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tcPr>
          <w:p w14:paraId="70C2CEAD" w14:textId="77777777" w:rsidR="00767A3B" w:rsidRDefault="00767A3B" w:rsidP="00147845">
            <w:pPr>
              <w:spacing w:before="30" w:after="30"/>
              <w:ind w:left="60" w:right="60"/>
              <w:jc w:val="left"/>
              <w:rPr>
                <w:rFonts w:ascii="Arial Narrow" w:hAnsi="Arial Narrow" w:cs="Times New Roman"/>
              </w:rPr>
            </w:pPr>
            <w:r>
              <w:rPr>
                <w:rFonts w:ascii="Arial Narrow" w:hAnsi="Arial Narrow" w:cs="Times New Roman"/>
              </w:rPr>
              <w:t>103</w:t>
            </w:r>
          </w:p>
        </w:tc>
        <w:tc>
          <w:tcPr>
            <w:tcW w:w="2551" w:type="dxa"/>
            <w:tcBorders>
              <w:top w:val="single" w:sz="6" w:space="0" w:color="auto"/>
              <w:left w:val="single" w:sz="6" w:space="0" w:color="auto"/>
              <w:bottom w:val="single" w:sz="6" w:space="0" w:color="auto"/>
              <w:right w:val="single" w:sz="6" w:space="0" w:color="auto"/>
            </w:tcBorders>
          </w:tcPr>
          <w:p w14:paraId="7C7FA932" w14:textId="77777777" w:rsidR="00767A3B" w:rsidRDefault="00767A3B" w:rsidP="00AE5C89">
            <w:pPr>
              <w:spacing w:before="30" w:after="30"/>
              <w:ind w:left="60" w:right="60"/>
              <w:jc w:val="left"/>
              <w:rPr>
                <w:rFonts w:ascii="Arial Narrow" w:hAnsi="Arial Narrow" w:cs="Times New Roman"/>
              </w:rPr>
            </w:pPr>
            <w:r>
              <w:rPr>
                <w:rFonts w:ascii="Arial Narrow" w:hAnsi="Arial Narrow" w:cs="Times New Roman"/>
              </w:rPr>
              <w:t>Patients with AQP4-Ab positive with NMOSD</w:t>
            </w:r>
          </w:p>
        </w:tc>
        <w:tc>
          <w:tcPr>
            <w:tcW w:w="1560" w:type="dxa"/>
            <w:tcBorders>
              <w:top w:val="single" w:sz="6" w:space="0" w:color="auto"/>
              <w:left w:val="single" w:sz="6" w:space="0" w:color="auto"/>
              <w:bottom w:val="single" w:sz="6" w:space="0" w:color="auto"/>
              <w:right w:val="single" w:sz="6" w:space="0" w:color="auto"/>
            </w:tcBorders>
          </w:tcPr>
          <w:p w14:paraId="488AE829" w14:textId="77777777" w:rsidR="00767A3B" w:rsidRDefault="00767A3B" w:rsidP="00D425E8">
            <w:pPr>
              <w:spacing w:before="30" w:after="30"/>
              <w:ind w:left="60" w:right="60"/>
              <w:jc w:val="left"/>
              <w:rPr>
                <w:rFonts w:ascii="Arial Narrow" w:hAnsi="Arial Narrow" w:cs="Times New Roman"/>
              </w:rPr>
            </w:pPr>
            <w:r>
              <w:rPr>
                <w:rFonts w:ascii="Arial Narrow" w:hAnsi="Arial Narrow" w:cs="Times New Roman"/>
              </w:rPr>
              <w:t>AZA</w:t>
            </w:r>
          </w:p>
        </w:tc>
        <w:tc>
          <w:tcPr>
            <w:tcW w:w="1134" w:type="dxa"/>
            <w:tcBorders>
              <w:top w:val="single" w:sz="6" w:space="0" w:color="auto"/>
              <w:left w:val="single" w:sz="6" w:space="0" w:color="auto"/>
              <w:bottom w:val="single" w:sz="6" w:space="0" w:color="auto"/>
              <w:right w:val="single" w:sz="6" w:space="0" w:color="auto"/>
            </w:tcBorders>
          </w:tcPr>
          <w:p w14:paraId="13F9569F" w14:textId="77777777" w:rsidR="00767A3B" w:rsidRDefault="00767A3B" w:rsidP="00A20382">
            <w:pPr>
              <w:spacing w:before="30" w:after="30"/>
              <w:ind w:left="60" w:right="60"/>
              <w:jc w:val="left"/>
              <w:rPr>
                <w:rFonts w:ascii="Arial Narrow" w:hAnsi="Arial Narrow" w:cs="Times New Roman"/>
              </w:rPr>
            </w:pPr>
            <w:r>
              <w:rPr>
                <w:rFonts w:ascii="Arial Narrow" w:hAnsi="Arial Narrow" w:cs="Times New Roman"/>
              </w:rPr>
              <w:t>None</w:t>
            </w:r>
          </w:p>
        </w:tc>
        <w:tc>
          <w:tcPr>
            <w:tcW w:w="1134" w:type="dxa"/>
            <w:tcBorders>
              <w:top w:val="single" w:sz="6" w:space="0" w:color="auto"/>
              <w:left w:val="single" w:sz="6" w:space="0" w:color="auto"/>
              <w:bottom w:val="single" w:sz="6" w:space="0" w:color="auto"/>
              <w:right w:val="single" w:sz="6" w:space="0" w:color="auto"/>
            </w:tcBorders>
          </w:tcPr>
          <w:p w14:paraId="5F7CD08D" w14:textId="77777777" w:rsidR="00767A3B" w:rsidRDefault="00767A3B" w:rsidP="00AE5C89">
            <w:pPr>
              <w:spacing w:before="30" w:after="30"/>
              <w:ind w:left="60" w:right="60"/>
              <w:jc w:val="left"/>
              <w:rPr>
                <w:rFonts w:ascii="Arial Narrow" w:hAnsi="Arial Narrow" w:cs="Times New Roman"/>
              </w:rPr>
            </w:pPr>
            <w:r>
              <w:rPr>
                <w:rFonts w:ascii="Arial Narrow" w:hAnsi="Arial Narrow" w:cs="Times New Roman"/>
              </w:rPr>
              <w:t>Change in ARR and EDSS</w:t>
            </w:r>
          </w:p>
        </w:tc>
      </w:tr>
      <w:tr w:rsidR="008D2AA3" w:rsidRPr="00AE5C89" w14:paraId="1AE9D14C" w14:textId="77777777" w:rsidTr="006A2BEA">
        <w:tc>
          <w:tcPr>
            <w:tcW w:w="843" w:type="dxa"/>
            <w:tcBorders>
              <w:top w:val="single" w:sz="6" w:space="0" w:color="auto"/>
              <w:left w:val="single" w:sz="6" w:space="0" w:color="auto"/>
              <w:bottom w:val="single" w:sz="6" w:space="0" w:color="auto"/>
              <w:right w:val="single" w:sz="6" w:space="0" w:color="auto"/>
            </w:tcBorders>
          </w:tcPr>
          <w:p w14:paraId="5174E842" w14:textId="2E5D4861" w:rsidR="008D2AA3" w:rsidRDefault="00156621" w:rsidP="00AE5C89">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PEVuZE5vdGU+PENpdGU+PEF1dGhvcj5TdGllYmVsLUthbGlzaDwvQXV0aG9yPjxZZWFyPjIwMTk8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</w:fldData>
              </w:fldChar>
            </w:r>
            <w:r w:rsidR="00AB2520">
              <w:rPr>
                <w:rFonts w:ascii="Arial Narrow" w:hAnsi="Arial Narrow" w:cs="Times New Roman"/>
              </w:rPr>
              <w:instrText xml:space="preserve"> ADDIN EN.CITE </w:instrText>
            </w:r>
            <w:r w:rsidR="00AB2520">
              <w:rPr>
                <w:rFonts w:ascii="Arial Narrow" w:hAnsi="Arial Narrow" w:cs="Times New Roman"/>
              </w:rPr>
              <w:fldChar w:fldCharType="begin">
                <w:fldData xml:space="preserve">PEVuZE5vdGU+PENpdGU+PEF1dGhvcj5TdGllYmVsLUthbGlzaDwvQXV0aG9yPjxZZWFyPjIwMTk8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</w:fldData>
              </w:fldChar>
            </w:r>
            <w:r w:rsidR="00AB2520">
              <w:rPr>
                <w:rFonts w:ascii="Arial Narrow" w:hAnsi="Arial Narrow" w:cs="Times New Roman"/>
              </w:rPr>
              <w:instrText xml:space="preserve"> ADDIN EN.CITE.DATA </w:instrText>
            </w:r>
            <w:r w:rsidR="00AB2520">
              <w:rPr>
                <w:rFonts w:ascii="Arial Narrow" w:hAnsi="Arial Narrow" w:cs="Times New Roman"/>
              </w:rPr>
            </w:r>
            <w:r w:rsidR="00AB2520">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sidR="00AB2520">
              <w:rPr>
                <w:rFonts w:ascii="Arial Narrow" w:hAnsi="Arial Narrow" w:cs="Times New Roman"/>
                <w:noProof/>
              </w:rPr>
              <w:t>(Stiebel-Kalish et al. 2019)</w:t>
            </w:r>
            <w:r>
              <w:rPr>
                <w:rFonts w:ascii="Arial Narrow" w:hAnsi="Arial Narrow" w:cs="Times New Roman"/>
              </w:rPr>
              <w:fldChar w:fldCharType="end"/>
            </w:r>
          </w:p>
          <w:p w14:paraId="0CFF0C6A" w14:textId="77777777" w:rsidR="00873647" w:rsidRDefault="00873647" w:rsidP="00AE5C89">
            <w:pPr>
              <w:spacing w:before="30" w:after="30"/>
              <w:ind w:left="60" w:right="60"/>
              <w:jc w:val="left"/>
              <w:rPr>
                <w:rFonts w:ascii="Arial Narrow" w:hAnsi="Arial Narrow" w:cs="Times New Roman"/>
              </w:rPr>
            </w:pPr>
            <w:r>
              <w:rPr>
                <w:rFonts w:ascii="Arial Narrow" w:hAnsi="Arial Narrow" w:cs="Times New Roman"/>
              </w:rPr>
              <w:t>Israel</w:t>
            </w:r>
          </w:p>
        </w:tc>
        <w:tc>
          <w:tcPr>
            <w:tcW w:w="709" w:type="dxa"/>
            <w:tcBorders>
              <w:top w:val="single" w:sz="6" w:space="0" w:color="auto"/>
              <w:left w:val="single" w:sz="6" w:space="0" w:color="auto"/>
              <w:bottom w:val="single" w:sz="6" w:space="0" w:color="auto"/>
              <w:right w:val="single" w:sz="6" w:space="0" w:color="auto"/>
            </w:tcBorders>
          </w:tcPr>
          <w:p w14:paraId="2F8BE938" w14:textId="77777777" w:rsidR="008D2AA3" w:rsidRDefault="008D2AA3" w:rsidP="00AE5C89">
            <w:pPr>
              <w:spacing w:before="30" w:after="30"/>
              <w:ind w:left="60" w:right="60"/>
              <w:jc w:val="left"/>
              <w:rPr>
                <w:rFonts w:ascii="Arial Narrow" w:hAnsi="Arial Narrow" w:cs="Times New Roman"/>
              </w:rPr>
            </w:pPr>
            <w:r>
              <w:rPr>
                <w:rFonts w:ascii="Arial Narrow" w:hAnsi="Arial Narrow" w:cs="Times New Roman"/>
              </w:rPr>
              <w:t>CS</w:t>
            </w:r>
          </w:p>
          <w:p w14:paraId="257ED15A" w14:textId="77777777" w:rsidR="008D2AA3" w:rsidRPr="00AE5C89" w:rsidRDefault="008D2AA3" w:rsidP="00AE5C89">
            <w:pPr>
              <w:spacing w:before="30" w:after="30"/>
              <w:ind w:left="60" w:right="60"/>
              <w:jc w:val="left"/>
              <w:rPr>
                <w:rFonts w:ascii="Arial Narrow" w:hAnsi="Arial Narrow" w:cs="Times New Roman"/>
              </w:rPr>
            </w:pPr>
            <w:r>
              <w:rPr>
                <w:rFonts w:ascii="Arial Narrow" w:hAnsi="Arial Narrow" w:cs="Times New Roman"/>
              </w:rPr>
              <w:t>IV</w:t>
            </w:r>
          </w:p>
        </w:tc>
        <w:tc>
          <w:tcPr>
            <w:tcW w:w="850" w:type="dxa"/>
            <w:tcBorders>
              <w:top w:val="single" w:sz="6" w:space="0" w:color="auto"/>
              <w:left w:val="single" w:sz="6" w:space="0" w:color="auto"/>
              <w:bottom w:val="single" w:sz="6" w:space="0" w:color="auto"/>
              <w:right w:val="single" w:sz="6" w:space="0" w:color="auto"/>
            </w:tcBorders>
          </w:tcPr>
          <w:p w14:paraId="0D323287" w14:textId="77777777" w:rsidR="008D2AA3" w:rsidRPr="00AE5C89" w:rsidRDefault="008D2AA3" w:rsidP="00AE5C89">
            <w:pPr>
              <w:spacing w:before="30" w:after="30"/>
              <w:ind w:left="60" w:right="60"/>
              <w:jc w:val="left"/>
              <w:rPr>
                <w:rFonts w:ascii="Arial Narrow" w:hAnsi="Arial Narrow" w:cs="Times New Roman"/>
              </w:rPr>
            </w:pPr>
            <w:r>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tcPr>
          <w:p w14:paraId="59C92DCC" w14:textId="77777777" w:rsidR="008D2AA3" w:rsidRPr="00AE5C89" w:rsidRDefault="00847808" w:rsidP="00847808">
            <w:pPr>
              <w:spacing w:before="30" w:after="30"/>
              <w:ind w:left="60" w:right="60"/>
              <w:jc w:val="left"/>
              <w:rPr>
                <w:rFonts w:ascii="Arial Narrow" w:hAnsi="Arial Narrow" w:cs="Times New Roman"/>
              </w:rPr>
            </w:pPr>
            <w:r>
              <w:rPr>
                <w:rFonts w:ascii="Arial Narrow" w:hAnsi="Arial Narrow" w:cs="Times New Roman"/>
              </w:rPr>
              <w:t>27</w:t>
            </w:r>
          </w:p>
        </w:tc>
        <w:tc>
          <w:tcPr>
            <w:tcW w:w="2551" w:type="dxa"/>
            <w:tcBorders>
              <w:top w:val="single" w:sz="6" w:space="0" w:color="auto"/>
              <w:left w:val="single" w:sz="6" w:space="0" w:color="auto"/>
              <w:bottom w:val="single" w:sz="6" w:space="0" w:color="auto"/>
              <w:right w:val="single" w:sz="6" w:space="0" w:color="auto"/>
            </w:tcBorders>
          </w:tcPr>
          <w:p w14:paraId="15EED343" w14:textId="77777777" w:rsidR="008D2AA3" w:rsidRPr="00AE5C89" w:rsidRDefault="005E49B0" w:rsidP="002A78A7">
            <w:pPr>
              <w:spacing w:before="30" w:after="30"/>
              <w:ind w:left="60" w:right="60"/>
              <w:jc w:val="left"/>
              <w:rPr>
                <w:rFonts w:ascii="Arial Narrow" w:hAnsi="Arial Narrow" w:cs="Times New Roman"/>
              </w:rPr>
            </w:pPr>
            <w:r>
              <w:rPr>
                <w:rFonts w:ascii="Arial Narrow" w:hAnsi="Arial Narrow" w:cs="Times New Roman"/>
              </w:rPr>
              <w:t xml:space="preserve">AQP4-Ab or MOG-Ab </w:t>
            </w:r>
            <w:r w:rsidR="002A78A7">
              <w:rPr>
                <w:rFonts w:ascii="Arial Narrow" w:hAnsi="Arial Narrow" w:cs="Times New Roman"/>
              </w:rPr>
              <w:t>positive</w:t>
            </w:r>
            <w:r>
              <w:rPr>
                <w:rFonts w:ascii="Arial Narrow" w:hAnsi="Arial Narrow" w:cs="Times New Roman"/>
              </w:rPr>
              <w:t xml:space="preserve"> patients with first event of ON</w:t>
            </w:r>
          </w:p>
        </w:tc>
        <w:tc>
          <w:tcPr>
            <w:tcW w:w="1560" w:type="dxa"/>
            <w:tcBorders>
              <w:top w:val="single" w:sz="6" w:space="0" w:color="auto"/>
              <w:left w:val="single" w:sz="6" w:space="0" w:color="auto"/>
              <w:bottom w:val="single" w:sz="6" w:space="0" w:color="auto"/>
              <w:right w:val="single" w:sz="6" w:space="0" w:color="auto"/>
            </w:tcBorders>
          </w:tcPr>
          <w:p w14:paraId="062B7740" w14:textId="77777777" w:rsidR="008D2AA3" w:rsidRDefault="00D425E8" w:rsidP="00AE5C89">
            <w:pPr>
              <w:spacing w:before="30" w:after="30"/>
              <w:ind w:left="60" w:right="60"/>
              <w:jc w:val="left"/>
              <w:rPr>
                <w:rFonts w:ascii="Arial Narrow" w:hAnsi="Arial Narrow" w:cs="Times New Roman"/>
              </w:rPr>
            </w:pPr>
            <w:r>
              <w:rPr>
                <w:rFonts w:ascii="Arial Narrow" w:hAnsi="Arial Narrow" w:cs="Times New Roman"/>
              </w:rPr>
              <w:t>IVMP for 3-5 days followed by oral prednisone</w:t>
            </w:r>
          </w:p>
        </w:tc>
        <w:tc>
          <w:tcPr>
            <w:tcW w:w="1134" w:type="dxa"/>
            <w:tcBorders>
              <w:top w:val="single" w:sz="6" w:space="0" w:color="auto"/>
              <w:left w:val="single" w:sz="6" w:space="0" w:color="auto"/>
              <w:bottom w:val="single" w:sz="6" w:space="0" w:color="auto"/>
              <w:right w:val="single" w:sz="6" w:space="0" w:color="auto"/>
            </w:tcBorders>
          </w:tcPr>
          <w:p w14:paraId="4C8A97C8" w14:textId="77777777" w:rsidR="008D2AA3" w:rsidRDefault="0054626A" w:rsidP="00AE5C89">
            <w:pPr>
              <w:spacing w:before="30" w:after="30"/>
              <w:ind w:left="60" w:right="60"/>
              <w:jc w:val="left"/>
              <w:rPr>
                <w:rFonts w:ascii="Arial Narrow" w:hAnsi="Arial Narrow" w:cs="Times New Roman"/>
              </w:rPr>
            </w:pPr>
            <w:r>
              <w:rPr>
                <w:rFonts w:ascii="Arial Narrow" w:hAnsi="Arial Narrow" w:cs="Times New Roman"/>
              </w:rPr>
              <w:t>IVMP after 4 days</w:t>
            </w:r>
          </w:p>
          <w:p w14:paraId="7BEDC312" w14:textId="77777777" w:rsidR="0054626A" w:rsidRPr="00AE5C89" w:rsidRDefault="0054626A" w:rsidP="00AE5C89">
            <w:pPr>
              <w:spacing w:before="30" w:after="30"/>
              <w:ind w:left="60" w:right="60"/>
              <w:jc w:val="left"/>
              <w:rPr>
                <w:rFonts w:ascii="Arial Narrow" w:hAnsi="Arial Narrow" w:cs="Times New Roman"/>
              </w:rPr>
            </w:pPr>
            <w:r>
              <w:rPr>
                <w:rFonts w:ascii="Arial Narrow" w:hAnsi="Arial Narrow" w:cs="Times New Roman"/>
              </w:rPr>
              <w:t>IVMP after 7 days</w:t>
            </w:r>
          </w:p>
        </w:tc>
        <w:tc>
          <w:tcPr>
            <w:tcW w:w="1134" w:type="dxa"/>
            <w:tcBorders>
              <w:top w:val="single" w:sz="6" w:space="0" w:color="auto"/>
              <w:left w:val="single" w:sz="6" w:space="0" w:color="auto"/>
              <w:bottom w:val="single" w:sz="6" w:space="0" w:color="auto"/>
              <w:right w:val="single" w:sz="6" w:space="0" w:color="auto"/>
            </w:tcBorders>
          </w:tcPr>
          <w:p w14:paraId="6B618D8F" w14:textId="77777777" w:rsidR="00871DC4" w:rsidRDefault="00871DC4" w:rsidP="00AE5C89">
            <w:pPr>
              <w:spacing w:before="30" w:after="30"/>
              <w:ind w:left="60" w:right="60"/>
              <w:jc w:val="left"/>
              <w:rPr>
                <w:rFonts w:ascii="Arial Narrow" w:hAnsi="Arial Narrow" w:cs="Times New Roman"/>
              </w:rPr>
            </w:pPr>
            <w:r>
              <w:rPr>
                <w:rFonts w:ascii="Arial Narrow" w:hAnsi="Arial Narrow" w:cs="Times New Roman"/>
              </w:rPr>
              <w:t>Early vs late treatment</w:t>
            </w:r>
          </w:p>
          <w:p w14:paraId="1880A941" w14:textId="77777777" w:rsidR="008D2AA3" w:rsidRDefault="00871DC4" w:rsidP="00AE5C89">
            <w:pPr>
              <w:spacing w:before="30" w:after="30"/>
              <w:ind w:left="60" w:right="60"/>
              <w:jc w:val="left"/>
              <w:rPr>
                <w:rFonts w:ascii="Arial Narrow" w:hAnsi="Arial Narrow" w:cs="Times New Roman"/>
              </w:rPr>
            </w:pPr>
            <w:r>
              <w:rPr>
                <w:rFonts w:ascii="Arial Narrow" w:hAnsi="Arial Narrow" w:cs="Times New Roman"/>
              </w:rPr>
              <w:t>(</w:t>
            </w:r>
            <w:r w:rsidR="003A3FE8">
              <w:rPr>
                <w:rFonts w:ascii="Arial Narrow" w:hAnsi="Arial Narrow" w:cs="Times New Roman"/>
              </w:rPr>
              <w:t xml:space="preserve">&lt; or &gt; </w:t>
            </w:r>
            <w:r w:rsidR="0054626A">
              <w:rPr>
                <w:rFonts w:ascii="Arial Narrow" w:hAnsi="Arial Narrow" w:cs="Times New Roman"/>
              </w:rPr>
              <w:t xml:space="preserve">4 or </w:t>
            </w:r>
            <w:r w:rsidR="003A3FE8">
              <w:rPr>
                <w:rFonts w:ascii="Arial Narrow" w:hAnsi="Arial Narrow" w:cs="Times New Roman"/>
              </w:rPr>
              <w:t xml:space="preserve">7 </w:t>
            </w:r>
            <w:r>
              <w:rPr>
                <w:rFonts w:ascii="Arial Narrow" w:hAnsi="Arial Narrow" w:cs="Times New Roman"/>
              </w:rPr>
              <w:t>days)</w:t>
            </w:r>
          </w:p>
        </w:tc>
      </w:tr>
      <w:tr w:rsidR="00AE5C89" w:rsidRPr="00AE5C89" w14:paraId="002F3B30" w14:textId="77777777" w:rsidTr="006A2BEA">
        <w:tc>
          <w:tcPr>
            <w:tcW w:w="843" w:type="dxa"/>
            <w:tcBorders>
              <w:top w:val="single" w:sz="6" w:space="0" w:color="auto"/>
              <w:left w:val="single" w:sz="6" w:space="0" w:color="auto"/>
              <w:bottom w:val="single" w:sz="6" w:space="0" w:color="auto"/>
              <w:right w:val="single" w:sz="6" w:space="0" w:color="auto"/>
            </w:tcBorders>
            <w:hideMark/>
          </w:tcPr>
          <w:p w14:paraId="170F0A4F" w14:textId="36C4EE4F" w:rsidR="00AE5C89" w:rsidRDefault="000967CF" w:rsidP="00AE5C89">
            <w:pPr>
              <w:spacing w:before="30" w:after="30"/>
              <w:ind w:left="60" w:right="60"/>
              <w:jc w:val="left"/>
              <w:rPr>
                <w:rFonts w:ascii="Arial Narrow" w:hAnsi="Arial Narrow" w:cs="Times New Roman"/>
              </w:rPr>
            </w:pPr>
            <w:r>
              <w:rPr>
                <w:rFonts w:ascii="Arial Narrow" w:hAnsi="Arial Narrow" w:cs="Times New Roman"/>
              </w:rPr>
              <w:fldChar w:fldCharType="begin"/>
            </w:r>
            <w:r w:rsidR="004E3B71">
              <w:rPr>
                <w:rFonts w:ascii="Arial Narrow" w:hAnsi="Arial Narrow" w:cs="Times New Roman"/>
              </w:rPr>
              <w:instrText xml:space="preserve"> ADDIN EN.CITE &lt;EndNote&gt;&lt;Cite&gt;&lt;Author&gt;Bonnan&lt;/Author&gt;&lt;Year&gt;2009&lt;/Year&gt;&lt;RecNum&gt;104&lt;/RecNum&gt;&lt;DisplayText&gt;(Bonnan, M et al. 2009)&lt;/DisplayText&gt;&lt;record&gt;&lt;rec-number&gt;104&lt;/rec-number&gt;&lt;foreign-keys&gt;&lt;key app="EN" db-id="r25zptaswpdzade29ws5pf9gx55ztppatt20" timestamp="1588575151"&gt;104&lt;/key&gt;&lt;/foreign-keys&gt;&lt;ref-type name="Journal Article"&gt;17&lt;/ref-type&gt;&lt;contributors&gt;&lt;authors&gt;&lt;author&gt;Bonnan, M&lt;/author&gt;&lt;author&gt;Valentino, R.&lt;/author&gt;&lt;author&gt;Olindo, S.&lt;/author&gt;&lt;author&gt;Mehdaoui, H.&lt;/author&gt;&lt;author&gt;Smadja, D.&lt;/author&gt;&lt;author&gt;Cabre, P.&lt;/author&gt;&lt;/authors&gt;&lt;/contributors&gt;&lt;auth-address&gt;Service de neurologie, Hopital Zobda Quitman, 97261 Fort-de-France, Martinique, French West Indies. mickael_bonnan@yahoo.fr&lt;/auth-address&gt;&lt;titles&gt;&lt;title&gt;Plasma exchange in severe spinal attacks associated with neuromyelitis optica spectrum disorder&lt;/title&gt;&lt;secondary-title&gt;Mult Scler&lt;/secondary-title&gt;&lt;/titles&gt;&lt;periodical&gt;&lt;full-title&gt;Mult Scler&lt;/full-title&gt;&lt;/periodical&gt;&lt;pages&gt;487-92&lt;/pages&gt;&lt;volume&gt;15&lt;/volume&gt;&lt;number&gt;4&lt;/number&gt;&lt;edition&gt;2009/03/28&lt;/edition&gt;&lt;keywords&gt;&lt;keyword&gt;Adolescent&lt;/keyword&gt;&lt;keyword&gt;Adult&lt;/keyword&gt;&lt;keyword&gt;Aged&lt;/keyword&gt;&lt;keyword&gt;Aged, 80 and over&lt;/keyword&gt;&lt;keyword&gt;Combined Modality Therapy&lt;/keyword&gt;&lt;keyword&gt;Female&lt;/keyword&gt;&lt;keyword&gt;Humans&lt;/keyword&gt;&lt;keyword&gt;Male&lt;/keyword&gt;&lt;keyword&gt;Middle Aged&lt;/keyword&gt;&lt;keyword&gt;Myelitis, Transverse/ drug therapy&lt;/keyword&gt;&lt;keyword&gt;Neuromyelitis Optica/ drug therapy&lt;/keyword&gt;&lt;keyword&gt;Plasma Exchange/adverse effects&lt;/keyword&gt;&lt;keyword&gt;Recurrence&lt;/keyword&gt;&lt;keyword&gt;Retrospective Studies&lt;/keyword&gt;&lt;keyword&gt;Severity of Illness Index&lt;/keyword&gt;&lt;keyword&gt;Steroids/ therapeutic use&lt;/keyword&gt;&lt;keyword&gt;Young Adult&lt;/keyword&gt;&lt;/keywords&gt;&lt;dates&gt;&lt;year&gt;2009&lt;/year&gt;&lt;pub-dates&gt;&lt;date&gt;Apr&lt;/date&gt;&lt;/pub-dates&gt;&lt;/dates&gt;&lt;isbn&gt;1352-4585 (Print)&amp;#xD;1352-4585 (Linking)&lt;/isbn&gt;&lt;accession-num&gt;19324982&lt;/accession-num&gt;&lt;urls&gt;&lt;/urls&gt;&lt;electronic-resource-num&gt;10.1177/1352458508100837&lt;/electronic-resource-num&gt;&lt;remote-database-provider&gt;NLM&lt;/remote-database-provider&gt;&lt;language&gt;eng&lt;/language&gt;&lt;/record&gt;&lt;/Cite&gt;&lt;/EndNote&gt;</w:instrText>
            </w:r>
            <w:r>
              <w:rPr>
                <w:rFonts w:ascii="Arial Narrow" w:hAnsi="Arial Narrow" w:cs="Times New Roman"/>
              </w:rPr>
              <w:fldChar w:fldCharType="separate"/>
            </w:r>
            <w:r w:rsidR="000E3254">
              <w:rPr>
                <w:rFonts w:ascii="Arial Narrow" w:hAnsi="Arial Narrow" w:cs="Times New Roman"/>
                <w:noProof/>
              </w:rPr>
              <w:t>(Bonnan</w:t>
            </w:r>
            <w:r w:rsidR="004E3B71">
              <w:rPr>
                <w:rFonts w:ascii="Arial Narrow" w:hAnsi="Arial Narrow" w:cs="Times New Roman"/>
                <w:noProof/>
              </w:rPr>
              <w:t xml:space="preserve"> et al. 2009)</w:t>
            </w:r>
            <w:r>
              <w:rPr>
                <w:rFonts w:ascii="Arial Narrow" w:hAnsi="Arial Narrow" w:cs="Times New Roman"/>
              </w:rPr>
              <w:fldChar w:fldCharType="end"/>
            </w:r>
          </w:p>
          <w:p w14:paraId="370B26EE" w14:textId="77777777" w:rsidR="003E5A32" w:rsidRPr="00AE5C89" w:rsidRDefault="003E5A32" w:rsidP="00AE5C89">
            <w:pPr>
              <w:spacing w:before="30" w:after="30"/>
              <w:ind w:left="60" w:right="60"/>
              <w:jc w:val="left"/>
              <w:rPr>
                <w:rFonts w:ascii="Arial Narrow" w:hAnsi="Arial Narrow" w:cs="Times New Roman"/>
              </w:rPr>
            </w:pPr>
            <w:r>
              <w:rPr>
                <w:rFonts w:ascii="Arial Narrow" w:hAnsi="Arial Narrow" w:cs="Times New Roman"/>
              </w:rPr>
              <w:t>France</w:t>
            </w:r>
          </w:p>
        </w:tc>
        <w:tc>
          <w:tcPr>
            <w:tcW w:w="709" w:type="dxa"/>
            <w:tcBorders>
              <w:top w:val="single" w:sz="6" w:space="0" w:color="auto"/>
              <w:left w:val="single" w:sz="6" w:space="0" w:color="auto"/>
              <w:bottom w:val="single" w:sz="6" w:space="0" w:color="auto"/>
              <w:right w:val="single" w:sz="6" w:space="0" w:color="auto"/>
            </w:tcBorders>
            <w:hideMark/>
          </w:tcPr>
          <w:p w14:paraId="41E15513"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CS</w:t>
            </w:r>
          </w:p>
          <w:p w14:paraId="7C8980DB"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IV</w:t>
            </w:r>
          </w:p>
        </w:tc>
        <w:tc>
          <w:tcPr>
            <w:tcW w:w="850" w:type="dxa"/>
            <w:tcBorders>
              <w:top w:val="single" w:sz="6" w:space="0" w:color="auto"/>
              <w:left w:val="single" w:sz="6" w:space="0" w:color="auto"/>
              <w:bottom w:val="single" w:sz="6" w:space="0" w:color="auto"/>
              <w:right w:val="single" w:sz="6" w:space="0" w:color="auto"/>
            </w:tcBorders>
            <w:hideMark/>
          </w:tcPr>
          <w:p w14:paraId="42215249"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135E96C2"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43</w:t>
            </w:r>
          </w:p>
        </w:tc>
        <w:tc>
          <w:tcPr>
            <w:tcW w:w="2551" w:type="dxa"/>
            <w:tcBorders>
              <w:top w:val="single" w:sz="6" w:space="0" w:color="auto"/>
              <w:left w:val="single" w:sz="6" w:space="0" w:color="auto"/>
              <w:bottom w:val="single" w:sz="6" w:space="0" w:color="auto"/>
              <w:right w:val="single" w:sz="6" w:space="0" w:color="auto"/>
            </w:tcBorders>
            <w:hideMark/>
          </w:tcPr>
          <w:p w14:paraId="2ECA5AF5"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Patients with relapsing NMO or extensive transverse myelitis</w:t>
            </w:r>
          </w:p>
        </w:tc>
        <w:tc>
          <w:tcPr>
            <w:tcW w:w="1560" w:type="dxa"/>
            <w:tcBorders>
              <w:top w:val="single" w:sz="6" w:space="0" w:color="auto"/>
              <w:left w:val="single" w:sz="6" w:space="0" w:color="auto"/>
              <w:bottom w:val="single" w:sz="6" w:space="0" w:color="auto"/>
              <w:right w:val="single" w:sz="6" w:space="0" w:color="auto"/>
            </w:tcBorders>
            <w:hideMark/>
          </w:tcPr>
          <w:p w14:paraId="2410319D" w14:textId="77777777" w:rsidR="00AE5C89" w:rsidRPr="00AE5C89" w:rsidRDefault="00213B25" w:rsidP="00AE5C89">
            <w:pPr>
              <w:spacing w:before="30" w:after="30"/>
              <w:ind w:left="60" w:right="60"/>
              <w:jc w:val="left"/>
              <w:rPr>
                <w:rFonts w:ascii="Arial Narrow" w:hAnsi="Arial Narrow" w:cs="Times New Roman"/>
              </w:rPr>
            </w:pPr>
            <w:r>
              <w:rPr>
                <w:rFonts w:ascii="Arial Narrow" w:hAnsi="Arial Narrow" w:cs="Times New Roman"/>
              </w:rPr>
              <w:t>PLEX</w:t>
            </w:r>
            <w:r w:rsidR="00AE5C89" w:rsidRPr="00AE5C89">
              <w:rPr>
                <w:rFonts w:ascii="Arial Narrow" w:hAnsi="Arial Narrow" w:cs="Times New Roman"/>
              </w:rPr>
              <w:t xml:space="preserve"> plus steroid treatment</w:t>
            </w:r>
          </w:p>
        </w:tc>
        <w:tc>
          <w:tcPr>
            <w:tcW w:w="1134" w:type="dxa"/>
            <w:tcBorders>
              <w:top w:val="single" w:sz="6" w:space="0" w:color="auto"/>
              <w:left w:val="single" w:sz="6" w:space="0" w:color="auto"/>
              <w:bottom w:val="single" w:sz="6" w:space="0" w:color="auto"/>
              <w:right w:val="single" w:sz="6" w:space="0" w:color="auto"/>
            </w:tcBorders>
            <w:hideMark/>
          </w:tcPr>
          <w:p w14:paraId="1C4C07E3"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Steroid treatment only</w:t>
            </w:r>
          </w:p>
        </w:tc>
        <w:tc>
          <w:tcPr>
            <w:tcW w:w="1134" w:type="dxa"/>
            <w:tcBorders>
              <w:top w:val="single" w:sz="6" w:space="0" w:color="auto"/>
              <w:left w:val="single" w:sz="6" w:space="0" w:color="auto"/>
              <w:bottom w:val="single" w:sz="6" w:space="0" w:color="auto"/>
              <w:right w:val="single" w:sz="6" w:space="0" w:color="auto"/>
            </w:tcBorders>
            <w:hideMark/>
          </w:tcPr>
          <w:p w14:paraId="2BD75D9E" w14:textId="77777777" w:rsidR="00AE5C89" w:rsidRPr="00AE5C89" w:rsidRDefault="00FB2C22" w:rsidP="00AE5C89">
            <w:pPr>
              <w:spacing w:before="30" w:after="30"/>
              <w:ind w:left="60" w:right="60"/>
              <w:jc w:val="left"/>
              <w:rPr>
                <w:rFonts w:ascii="Arial Narrow" w:hAnsi="Arial Narrow" w:cs="Times New Roman"/>
              </w:rPr>
            </w:pPr>
            <w:r>
              <w:rPr>
                <w:rFonts w:ascii="Arial Narrow" w:hAnsi="Arial Narrow" w:cs="Times New Roman"/>
              </w:rPr>
              <w:t>Adverse events</w:t>
            </w:r>
          </w:p>
        </w:tc>
      </w:tr>
      <w:tr w:rsidR="00AE5C89" w:rsidRPr="00AE5C89" w14:paraId="3C7A1103" w14:textId="77777777" w:rsidTr="006A2BEA">
        <w:tc>
          <w:tcPr>
            <w:tcW w:w="843" w:type="dxa"/>
            <w:tcBorders>
              <w:top w:val="single" w:sz="6" w:space="0" w:color="auto"/>
              <w:left w:val="single" w:sz="6" w:space="0" w:color="auto"/>
              <w:bottom w:val="single" w:sz="6" w:space="0" w:color="auto"/>
              <w:right w:val="single" w:sz="6" w:space="0" w:color="auto"/>
            </w:tcBorders>
            <w:hideMark/>
          </w:tcPr>
          <w:p w14:paraId="6C705A7E" w14:textId="17164E93" w:rsidR="003E5A32" w:rsidRPr="00AE5C89" w:rsidRDefault="000967CF" w:rsidP="000E3254">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rPr>
                <w:rFonts w:ascii="Arial Narrow" w:hAnsi="Arial Narrow" w:cs="Times New Roman"/>
              </w:rPr>
              <w:instrText xml:space="preserve"> ADDIN EN.CITE </w:instrText>
            </w:r>
            <w:r w:rsidR="00557788">
              <w:rPr>
                <w:rFonts w:ascii="Arial Narrow" w:hAnsi="Arial Narrow" w:cs="Times New Roman"/>
              </w:rPr>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rPr>
                <w:rFonts w:ascii="Arial Narrow" w:hAnsi="Arial Narrow" w:cs="Times New Roman"/>
              </w:rPr>
              <w:instrText xml:space="preserve"> ADDIN EN.CITE.DATA </w:instrText>
            </w:r>
            <w:r w:rsidR="00557788">
              <w:rPr>
                <w:rFonts w:ascii="Arial Narrow" w:hAnsi="Arial Narrow" w:cs="Times New Roman"/>
              </w:rPr>
            </w:r>
            <w:r w:rsidR="00557788">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sidR="000E3254">
              <w:rPr>
                <w:rFonts w:ascii="Arial Narrow" w:hAnsi="Arial Narrow" w:cs="Times New Roman"/>
                <w:noProof/>
              </w:rPr>
              <w:t>(Jiao et al.</w:t>
            </w:r>
            <w:r w:rsidR="00557788">
              <w:rPr>
                <w:rFonts w:ascii="Arial Narrow" w:hAnsi="Arial Narrow" w:cs="Times New Roman"/>
                <w:noProof/>
              </w:rPr>
              <w:t xml:space="preserve"> 2018</w:t>
            </w:r>
            <w:r w:rsidR="000E3254">
              <w:rPr>
                <w:rFonts w:ascii="Arial Narrow" w:hAnsi="Arial Narrow" w:cs="Times New Roman"/>
                <w:noProof/>
              </w:rPr>
              <w:t>a</w:t>
            </w:r>
            <w:r w:rsidR="00557788">
              <w:rPr>
                <w:rFonts w:ascii="Arial Narrow" w:hAnsi="Arial Narrow" w:cs="Times New Roman"/>
                <w:noProof/>
              </w:rPr>
              <w:t>)</w:t>
            </w:r>
            <w:r>
              <w:rPr>
                <w:rFonts w:ascii="Arial Narrow" w:hAnsi="Arial Narrow" w:cs="Times New Roman"/>
              </w:rPr>
              <w:fldChar w:fldCharType="end"/>
            </w:r>
            <w:r w:rsidR="00E33BFB">
              <w:rPr>
                <w:rFonts w:ascii="Arial Narrow" w:hAnsi="Arial Narrow" w:cs="Times New Roman"/>
              </w:rPr>
              <w:t xml:space="preserve"> </w:t>
            </w:r>
            <w:r w:rsidR="003E5A32">
              <w:rPr>
                <w:rFonts w:ascii="Arial Narrow" w:hAnsi="Arial Narrow" w:cs="Times New Roman"/>
              </w:rPr>
              <w:t>China</w:t>
            </w:r>
          </w:p>
        </w:tc>
        <w:tc>
          <w:tcPr>
            <w:tcW w:w="709" w:type="dxa"/>
            <w:tcBorders>
              <w:top w:val="single" w:sz="6" w:space="0" w:color="auto"/>
              <w:left w:val="single" w:sz="6" w:space="0" w:color="auto"/>
              <w:bottom w:val="single" w:sz="6" w:space="0" w:color="auto"/>
              <w:right w:val="single" w:sz="6" w:space="0" w:color="auto"/>
            </w:tcBorders>
            <w:hideMark/>
          </w:tcPr>
          <w:p w14:paraId="2D4C7A34"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CS</w:t>
            </w:r>
          </w:p>
          <w:p w14:paraId="69F8DC0E"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IV</w:t>
            </w:r>
          </w:p>
        </w:tc>
        <w:tc>
          <w:tcPr>
            <w:tcW w:w="850" w:type="dxa"/>
            <w:tcBorders>
              <w:top w:val="single" w:sz="6" w:space="0" w:color="auto"/>
              <w:left w:val="single" w:sz="6" w:space="0" w:color="auto"/>
              <w:bottom w:val="single" w:sz="6" w:space="0" w:color="auto"/>
              <w:right w:val="single" w:sz="6" w:space="0" w:color="auto"/>
            </w:tcBorders>
            <w:hideMark/>
          </w:tcPr>
          <w:p w14:paraId="0B1EE3A6"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High</w:t>
            </w:r>
          </w:p>
        </w:tc>
        <w:tc>
          <w:tcPr>
            <w:tcW w:w="709" w:type="dxa"/>
            <w:tcBorders>
              <w:top w:val="single" w:sz="6" w:space="0" w:color="auto"/>
              <w:left w:val="single" w:sz="6" w:space="0" w:color="auto"/>
              <w:bottom w:val="single" w:sz="6" w:space="0" w:color="auto"/>
              <w:right w:val="single" w:sz="6" w:space="0" w:color="auto"/>
            </w:tcBorders>
            <w:hideMark/>
          </w:tcPr>
          <w:p w14:paraId="3B10139F"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109</w:t>
            </w:r>
          </w:p>
        </w:tc>
        <w:tc>
          <w:tcPr>
            <w:tcW w:w="2551" w:type="dxa"/>
            <w:tcBorders>
              <w:top w:val="single" w:sz="6" w:space="0" w:color="auto"/>
              <w:left w:val="single" w:sz="6" w:space="0" w:color="auto"/>
              <w:bottom w:val="single" w:sz="6" w:space="0" w:color="auto"/>
              <w:right w:val="single" w:sz="6" w:space="0" w:color="auto"/>
            </w:tcBorders>
            <w:hideMark/>
          </w:tcPr>
          <w:p w14:paraId="72CD9D11"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NMO or NMOSD with seropositive AQP4-Abs who had received mycophenolate mofetil for six months or longer</w:t>
            </w:r>
          </w:p>
        </w:tc>
        <w:tc>
          <w:tcPr>
            <w:tcW w:w="1560" w:type="dxa"/>
            <w:tcBorders>
              <w:top w:val="single" w:sz="6" w:space="0" w:color="auto"/>
              <w:left w:val="single" w:sz="6" w:space="0" w:color="auto"/>
              <w:bottom w:val="single" w:sz="6" w:space="0" w:color="auto"/>
              <w:right w:val="single" w:sz="6" w:space="0" w:color="auto"/>
            </w:tcBorders>
            <w:hideMark/>
          </w:tcPr>
          <w:p w14:paraId="550F7B01" w14:textId="77777777" w:rsidR="00AE5C89" w:rsidRPr="00AE5C89" w:rsidRDefault="002E3E7F" w:rsidP="00213B25">
            <w:pPr>
              <w:spacing w:before="30" w:after="30"/>
              <w:ind w:left="60" w:right="60"/>
              <w:jc w:val="left"/>
              <w:rPr>
                <w:rFonts w:ascii="Arial Narrow" w:hAnsi="Arial Narrow" w:cs="Times New Roman"/>
              </w:rPr>
            </w:pPr>
            <w:r>
              <w:rPr>
                <w:rFonts w:ascii="Arial Narrow" w:hAnsi="Arial Narrow" w:cs="Times New Roman"/>
              </w:rPr>
              <w:t>MM</w:t>
            </w:r>
            <w:r w:rsidR="00BF1449">
              <w:rPr>
                <w:rFonts w:ascii="Arial Narrow" w:hAnsi="Arial Narrow" w:cs="Times New Roman"/>
              </w:rPr>
              <w:t>F</w:t>
            </w:r>
            <w:r w:rsidR="00AE5C89" w:rsidRPr="00AE5C89">
              <w:rPr>
                <w:rFonts w:ascii="Arial Narrow" w:hAnsi="Arial Narrow" w:cs="Times New Roman"/>
              </w:rPr>
              <w:t xml:space="preserve">: low ≤1000mg/day </w:t>
            </w:r>
            <w:r w:rsidR="00213B25">
              <w:rPr>
                <w:rFonts w:ascii="Arial Narrow" w:hAnsi="Arial Narrow" w:cs="Times New Roman"/>
              </w:rPr>
              <w:t>,</w:t>
            </w:r>
            <w:r w:rsidR="00AE5C89" w:rsidRPr="00AE5C89">
              <w:rPr>
                <w:rFonts w:ascii="Arial Narrow" w:hAnsi="Arial Narrow" w:cs="Times New Roman"/>
              </w:rPr>
              <w:t xml:space="preserve"> moderate 1250mg</w:t>
            </w:r>
            <w:r w:rsidR="00213B25">
              <w:rPr>
                <w:rFonts w:ascii="Arial Narrow" w:hAnsi="Arial Narrow" w:cs="Times New Roman"/>
              </w:rPr>
              <w:t xml:space="preserve"> and 1500mg/day, or</w:t>
            </w:r>
            <w:r w:rsidR="00AE5C89" w:rsidRPr="00AE5C89">
              <w:rPr>
                <w:rFonts w:ascii="Arial Narrow" w:hAnsi="Arial Narrow" w:cs="Times New Roman"/>
              </w:rPr>
              <w:t xml:space="preserve"> </w:t>
            </w:r>
            <w:r w:rsidR="00AD0F86">
              <w:rPr>
                <w:rFonts w:ascii="Arial Narrow" w:hAnsi="Arial Narrow" w:cs="Times New Roman"/>
              </w:rPr>
              <w:t>high</w:t>
            </w:r>
            <w:r w:rsidR="00AE5C89" w:rsidRPr="00AE5C89">
              <w:rPr>
                <w:rFonts w:ascii="Arial Narrow" w:hAnsi="Arial Narrow" w:cs="Times New Roman"/>
              </w:rPr>
              <w:t xml:space="preserve"> dose 1750mg and 2000mg/day</w:t>
            </w:r>
          </w:p>
        </w:tc>
        <w:tc>
          <w:tcPr>
            <w:tcW w:w="1134" w:type="dxa"/>
            <w:tcBorders>
              <w:top w:val="single" w:sz="6" w:space="0" w:color="auto"/>
              <w:left w:val="single" w:sz="6" w:space="0" w:color="auto"/>
              <w:bottom w:val="single" w:sz="6" w:space="0" w:color="auto"/>
              <w:right w:val="single" w:sz="6" w:space="0" w:color="auto"/>
            </w:tcBorders>
            <w:hideMark/>
          </w:tcPr>
          <w:p w14:paraId="4DEEA982"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None</w:t>
            </w:r>
          </w:p>
        </w:tc>
        <w:tc>
          <w:tcPr>
            <w:tcW w:w="1134" w:type="dxa"/>
            <w:tcBorders>
              <w:top w:val="single" w:sz="6" w:space="0" w:color="auto"/>
              <w:left w:val="single" w:sz="6" w:space="0" w:color="auto"/>
              <w:bottom w:val="single" w:sz="6" w:space="0" w:color="auto"/>
              <w:right w:val="single" w:sz="6" w:space="0" w:color="auto"/>
            </w:tcBorders>
            <w:hideMark/>
          </w:tcPr>
          <w:p w14:paraId="57E9B964" w14:textId="77777777" w:rsidR="00AE5C89" w:rsidRPr="00AE5C89" w:rsidRDefault="00FB2C22" w:rsidP="00AE5C89">
            <w:pPr>
              <w:spacing w:before="30" w:after="30"/>
              <w:ind w:left="60" w:right="60"/>
              <w:jc w:val="left"/>
              <w:rPr>
                <w:rFonts w:ascii="Arial Narrow" w:hAnsi="Arial Narrow" w:cs="Times New Roman"/>
              </w:rPr>
            </w:pPr>
            <w:r>
              <w:rPr>
                <w:rFonts w:ascii="Arial Narrow" w:hAnsi="Arial Narrow" w:cs="Times New Roman"/>
              </w:rPr>
              <w:t>Adverse events</w:t>
            </w:r>
          </w:p>
        </w:tc>
      </w:tr>
      <w:tr w:rsidR="002E3E7F" w:rsidRPr="00AE5C89" w14:paraId="5CA83850" w14:textId="77777777" w:rsidTr="006A2BEA">
        <w:tc>
          <w:tcPr>
            <w:tcW w:w="843" w:type="dxa"/>
            <w:tcBorders>
              <w:top w:val="single" w:sz="6" w:space="0" w:color="auto"/>
              <w:left w:val="single" w:sz="6" w:space="0" w:color="auto"/>
              <w:bottom w:val="single" w:sz="6" w:space="0" w:color="auto"/>
              <w:right w:val="single" w:sz="6" w:space="0" w:color="auto"/>
            </w:tcBorders>
          </w:tcPr>
          <w:p w14:paraId="5B269574" w14:textId="7506A555" w:rsidR="00BD138A" w:rsidRDefault="00BD138A" w:rsidP="00AE5C89">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PEVuZE5vdGU+PENpdGU+PEF1dGhvcj5KaWFvPC9BdXRob3I+PFllYXI+MjAxODwvWWVhcj48UmVj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=
</w:fldData>
              </w:fldChar>
            </w:r>
            <w:r w:rsidR="00557788">
              <w:rPr>
                <w:rFonts w:ascii="Arial Narrow" w:hAnsi="Arial Narrow" w:cs="Times New Roman"/>
              </w:rPr>
              <w:instrText xml:space="preserve"> ADDIN EN.CITE </w:instrText>
            </w:r>
            <w:r w:rsidR="00557788">
              <w:rPr>
                <w:rFonts w:ascii="Arial Narrow" w:hAnsi="Arial Narrow" w:cs="Times New Roman"/>
              </w:rPr>
              <w:fldChar w:fldCharType="begin">
                <w:fldData xml:space="preserve">PEVuZE5vdGU+PENpdGU+PEF1dGhvcj5KaWFvPC9BdXRob3I+PFllYXI+MjAxODwvWWVhcj48UmVj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=
</w:fldData>
              </w:fldChar>
            </w:r>
            <w:r w:rsidR="00557788">
              <w:rPr>
                <w:rFonts w:ascii="Arial Narrow" w:hAnsi="Arial Narrow" w:cs="Times New Roman"/>
              </w:rPr>
              <w:instrText xml:space="preserve"> ADDIN EN.CITE.DATA </w:instrText>
            </w:r>
            <w:r w:rsidR="00557788">
              <w:rPr>
                <w:rFonts w:ascii="Arial Narrow" w:hAnsi="Arial Narrow" w:cs="Times New Roman"/>
              </w:rPr>
            </w:r>
            <w:r w:rsidR="00557788">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sidR="000E3254">
              <w:rPr>
                <w:rFonts w:ascii="Arial Narrow" w:hAnsi="Arial Narrow" w:cs="Times New Roman"/>
                <w:noProof/>
              </w:rPr>
              <w:t>(Jiao</w:t>
            </w:r>
            <w:r w:rsidR="00557788">
              <w:rPr>
                <w:rFonts w:ascii="Arial Narrow" w:hAnsi="Arial Narrow" w:cs="Times New Roman"/>
                <w:noProof/>
              </w:rPr>
              <w:t xml:space="preserve"> et al. 2018</w:t>
            </w:r>
            <w:r w:rsidR="000E3254">
              <w:rPr>
                <w:rFonts w:ascii="Arial Narrow" w:hAnsi="Arial Narrow" w:cs="Times New Roman"/>
                <w:noProof/>
              </w:rPr>
              <w:t>b</w:t>
            </w:r>
            <w:r w:rsidR="00557788">
              <w:rPr>
                <w:rFonts w:ascii="Arial Narrow" w:hAnsi="Arial Narrow" w:cs="Times New Roman"/>
                <w:noProof/>
              </w:rPr>
              <w:t>)</w:t>
            </w:r>
            <w:r>
              <w:rPr>
                <w:rFonts w:ascii="Arial Narrow" w:hAnsi="Arial Narrow" w:cs="Times New Roman"/>
              </w:rPr>
              <w:fldChar w:fldCharType="end"/>
            </w:r>
          </w:p>
          <w:p w14:paraId="316F541C" w14:textId="5CA904B6" w:rsidR="002E3E7F" w:rsidRDefault="002E3E7F" w:rsidP="00AE5C89">
            <w:pPr>
              <w:spacing w:before="30" w:after="30"/>
              <w:ind w:left="60" w:right="60"/>
              <w:jc w:val="left"/>
              <w:rPr>
                <w:rFonts w:ascii="Arial Narrow" w:hAnsi="Arial Narrow" w:cs="Times New Roman"/>
              </w:rPr>
            </w:pPr>
            <w:r>
              <w:rPr>
                <w:rFonts w:ascii="Arial Narrow" w:hAnsi="Arial Narrow" w:cs="Times New Roman"/>
              </w:rPr>
              <w:t>China</w:t>
            </w:r>
          </w:p>
        </w:tc>
        <w:tc>
          <w:tcPr>
            <w:tcW w:w="709" w:type="dxa"/>
            <w:tcBorders>
              <w:top w:val="single" w:sz="6" w:space="0" w:color="auto"/>
              <w:left w:val="single" w:sz="6" w:space="0" w:color="auto"/>
              <w:bottom w:val="single" w:sz="6" w:space="0" w:color="auto"/>
              <w:right w:val="single" w:sz="6" w:space="0" w:color="auto"/>
            </w:tcBorders>
          </w:tcPr>
          <w:p w14:paraId="16FA7B42" w14:textId="77777777" w:rsidR="002E3E7F" w:rsidRDefault="002E3E7F" w:rsidP="00AE5C89">
            <w:pPr>
              <w:spacing w:before="30" w:after="30"/>
              <w:ind w:left="60" w:right="60"/>
              <w:jc w:val="left"/>
              <w:rPr>
                <w:rFonts w:ascii="Arial Narrow" w:hAnsi="Arial Narrow" w:cs="Times New Roman"/>
              </w:rPr>
            </w:pPr>
            <w:r>
              <w:rPr>
                <w:rFonts w:ascii="Arial Narrow" w:hAnsi="Arial Narrow" w:cs="Times New Roman"/>
              </w:rPr>
              <w:t>CS</w:t>
            </w:r>
          </w:p>
          <w:p w14:paraId="22575896" w14:textId="77777777" w:rsidR="002E3E7F" w:rsidRPr="00AE5C89" w:rsidRDefault="002E3E7F" w:rsidP="00AE5C89">
            <w:pPr>
              <w:spacing w:before="30" w:after="30"/>
              <w:ind w:left="60" w:right="60"/>
              <w:jc w:val="left"/>
              <w:rPr>
                <w:rFonts w:ascii="Arial Narrow" w:hAnsi="Arial Narrow" w:cs="Times New Roman"/>
              </w:rPr>
            </w:pPr>
            <w:r>
              <w:rPr>
                <w:rFonts w:ascii="Arial Narrow" w:hAnsi="Arial Narrow" w:cs="Times New Roman"/>
              </w:rPr>
              <w:t>IV</w:t>
            </w:r>
          </w:p>
        </w:tc>
        <w:tc>
          <w:tcPr>
            <w:tcW w:w="850" w:type="dxa"/>
            <w:tcBorders>
              <w:top w:val="single" w:sz="6" w:space="0" w:color="auto"/>
              <w:left w:val="single" w:sz="6" w:space="0" w:color="auto"/>
              <w:bottom w:val="single" w:sz="6" w:space="0" w:color="auto"/>
              <w:right w:val="single" w:sz="6" w:space="0" w:color="auto"/>
            </w:tcBorders>
          </w:tcPr>
          <w:p w14:paraId="0BEE4285" w14:textId="77777777" w:rsidR="002E3E7F" w:rsidRPr="00AE5C89" w:rsidRDefault="002E3E7F" w:rsidP="00AE5C89">
            <w:pPr>
              <w:spacing w:before="30" w:after="30"/>
              <w:ind w:left="60" w:right="60"/>
              <w:jc w:val="left"/>
              <w:rPr>
                <w:rFonts w:ascii="Arial Narrow" w:hAnsi="Arial Narrow" w:cs="Times New Roman"/>
              </w:rPr>
            </w:pPr>
            <w:r>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tcPr>
          <w:p w14:paraId="4E7A9B7E" w14:textId="77777777" w:rsidR="002E3E7F" w:rsidRPr="00AE5C89" w:rsidRDefault="002E3E7F" w:rsidP="00AE5C89">
            <w:pPr>
              <w:spacing w:before="30" w:after="30"/>
              <w:ind w:left="60" w:right="60"/>
              <w:jc w:val="left"/>
              <w:rPr>
                <w:rFonts w:ascii="Arial Narrow" w:hAnsi="Arial Narrow" w:cs="Times New Roman"/>
              </w:rPr>
            </w:pPr>
            <w:r>
              <w:rPr>
                <w:rFonts w:ascii="Arial Narrow" w:hAnsi="Arial Narrow" w:cs="Times New Roman"/>
              </w:rPr>
              <w:t>29</w:t>
            </w:r>
          </w:p>
        </w:tc>
        <w:tc>
          <w:tcPr>
            <w:tcW w:w="2551" w:type="dxa"/>
            <w:tcBorders>
              <w:top w:val="single" w:sz="6" w:space="0" w:color="auto"/>
              <w:left w:val="single" w:sz="6" w:space="0" w:color="auto"/>
              <w:bottom w:val="single" w:sz="6" w:space="0" w:color="auto"/>
              <w:right w:val="single" w:sz="6" w:space="0" w:color="auto"/>
            </w:tcBorders>
          </w:tcPr>
          <w:p w14:paraId="50AC0CEF" w14:textId="77777777" w:rsidR="002E3E7F" w:rsidRPr="00AE5C89" w:rsidRDefault="002E3E7F" w:rsidP="002E3E7F">
            <w:pPr>
              <w:spacing w:before="30" w:after="30"/>
              <w:ind w:left="60" w:right="60"/>
              <w:jc w:val="left"/>
              <w:rPr>
                <w:rFonts w:ascii="Arial Narrow" w:hAnsi="Arial Narrow" w:cs="Times New Roman"/>
              </w:rPr>
            </w:pPr>
            <w:r w:rsidRPr="002E3E7F">
              <w:rPr>
                <w:rFonts w:ascii="Arial Narrow" w:hAnsi="Arial Narrow" w:cs="Times New Roman"/>
              </w:rPr>
              <w:t xml:space="preserve">Patients with </w:t>
            </w:r>
            <w:r>
              <w:rPr>
                <w:rFonts w:ascii="Arial Narrow" w:hAnsi="Arial Narrow" w:cs="Times New Roman"/>
              </w:rPr>
              <w:t xml:space="preserve">confirmed </w:t>
            </w:r>
            <w:r w:rsidRPr="002E3E7F">
              <w:rPr>
                <w:rFonts w:ascii="Arial Narrow" w:hAnsi="Arial Narrow" w:cs="Times New Roman"/>
              </w:rPr>
              <w:t xml:space="preserve">NMOSD </w:t>
            </w:r>
            <w:r>
              <w:rPr>
                <w:rFonts w:ascii="Arial Narrow" w:hAnsi="Arial Narrow" w:cs="Times New Roman"/>
              </w:rPr>
              <w:t>diagnosed by the 2006 or 2015 IPND criteria</w:t>
            </w:r>
          </w:p>
        </w:tc>
        <w:tc>
          <w:tcPr>
            <w:tcW w:w="1560" w:type="dxa"/>
            <w:tcBorders>
              <w:top w:val="single" w:sz="6" w:space="0" w:color="auto"/>
              <w:left w:val="single" w:sz="6" w:space="0" w:color="auto"/>
              <w:bottom w:val="single" w:sz="6" w:space="0" w:color="auto"/>
              <w:right w:val="single" w:sz="6" w:space="0" w:color="auto"/>
            </w:tcBorders>
          </w:tcPr>
          <w:p w14:paraId="737916B2" w14:textId="77777777" w:rsidR="002E3E7F" w:rsidRPr="00AE5C89" w:rsidRDefault="002E3E7F" w:rsidP="00213B25">
            <w:pPr>
              <w:spacing w:before="30" w:after="30"/>
              <w:ind w:left="60" w:right="60"/>
              <w:jc w:val="left"/>
              <w:rPr>
                <w:rFonts w:ascii="Arial Narrow" w:hAnsi="Arial Narrow" w:cs="Times New Roman"/>
              </w:rPr>
            </w:pPr>
            <w:r>
              <w:rPr>
                <w:rFonts w:ascii="Arial Narrow" w:hAnsi="Arial Narrow" w:cs="Times New Roman"/>
              </w:rPr>
              <w:t>PLEX</w:t>
            </w:r>
          </w:p>
        </w:tc>
        <w:tc>
          <w:tcPr>
            <w:tcW w:w="1134" w:type="dxa"/>
            <w:tcBorders>
              <w:top w:val="single" w:sz="6" w:space="0" w:color="auto"/>
              <w:left w:val="single" w:sz="6" w:space="0" w:color="auto"/>
              <w:bottom w:val="single" w:sz="6" w:space="0" w:color="auto"/>
              <w:right w:val="single" w:sz="6" w:space="0" w:color="auto"/>
            </w:tcBorders>
          </w:tcPr>
          <w:p w14:paraId="07689DC2" w14:textId="77777777" w:rsidR="002E3E7F" w:rsidRPr="00AE5C89" w:rsidRDefault="002E3E7F" w:rsidP="002E3E7F">
            <w:pPr>
              <w:spacing w:before="30" w:after="30"/>
              <w:ind w:left="60" w:right="60"/>
              <w:jc w:val="left"/>
              <w:rPr>
                <w:rFonts w:ascii="Arial Narrow" w:hAnsi="Arial Narrow" w:cs="Times New Roman"/>
              </w:rPr>
            </w:pPr>
            <w:r>
              <w:rPr>
                <w:rFonts w:ascii="Arial Narrow" w:hAnsi="Arial Narrow" w:cs="Times New Roman"/>
              </w:rPr>
              <w:t>None</w:t>
            </w:r>
          </w:p>
        </w:tc>
        <w:tc>
          <w:tcPr>
            <w:tcW w:w="1134" w:type="dxa"/>
            <w:tcBorders>
              <w:top w:val="single" w:sz="6" w:space="0" w:color="auto"/>
              <w:left w:val="single" w:sz="6" w:space="0" w:color="auto"/>
              <w:bottom w:val="single" w:sz="6" w:space="0" w:color="auto"/>
              <w:right w:val="single" w:sz="6" w:space="0" w:color="auto"/>
            </w:tcBorders>
          </w:tcPr>
          <w:p w14:paraId="5378CEF4" w14:textId="77777777" w:rsidR="002E3E7F" w:rsidRDefault="002E3E7F" w:rsidP="00AE5C89">
            <w:pPr>
              <w:spacing w:before="30" w:after="30"/>
              <w:ind w:left="60" w:right="60"/>
              <w:jc w:val="left"/>
              <w:rPr>
                <w:rFonts w:ascii="Arial Narrow" w:hAnsi="Arial Narrow" w:cs="Times New Roman"/>
              </w:rPr>
            </w:pPr>
            <w:r>
              <w:rPr>
                <w:rFonts w:ascii="Arial Narrow" w:hAnsi="Arial Narrow" w:cs="Times New Roman"/>
              </w:rPr>
              <w:t>Adverse events</w:t>
            </w:r>
          </w:p>
        </w:tc>
      </w:tr>
      <w:tr w:rsidR="00AE5C89" w:rsidRPr="00AE5C89" w14:paraId="78C3D0D1" w14:textId="77777777" w:rsidTr="006A2BEA">
        <w:tc>
          <w:tcPr>
            <w:tcW w:w="843" w:type="dxa"/>
            <w:tcBorders>
              <w:top w:val="single" w:sz="6" w:space="0" w:color="auto"/>
              <w:left w:val="single" w:sz="6" w:space="0" w:color="auto"/>
              <w:bottom w:val="single" w:sz="6" w:space="0" w:color="auto"/>
              <w:right w:val="single" w:sz="6" w:space="0" w:color="auto"/>
            </w:tcBorders>
            <w:hideMark/>
          </w:tcPr>
          <w:p w14:paraId="3C852E74" w14:textId="0681A911" w:rsidR="00AE5C89" w:rsidRDefault="00156621" w:rsidP="00AE5C89">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PEVuZE5vdGU+PENpdGU+PEF1dGhvcj5NZWFseTwvQXV0aG9yPjxZZWFyPjIwMTk8L1llYXI+PFJl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</w:fldData>
              </w:fldChar>
            </w:r>
            <w:r w:rsidR="000967CF">
              <w:rPr>
                <w:rFonts w:ascii="Arial Narrow" w:hAnsi="Arial Narrow" w:cs="Times New Roman"/>
              </w:rPr>
              <w:instrText xml:space="preserve"> ADDIN EN.CITE </w:instrText>
            </w:r>
            <w:r w:rsidR="000967CF">
              <w:rPr>
                <w:rFonts w:ascii="Arial Narrow" w:hAnsi="Arial Narrow" w:cs="Times New Roman"/>
              </w:rPr>
              <w:fldChar w:fldCharType="begin">
                <w:fldData xml:space="preserve">PEVuZE5vdGU+PENpdGU+PEF1dGhvcj5NZWFseTwvQXV0aG9yPjxZZWFyPjIwMTk8L1llYXI+PFJl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</w:fldData>
              </w:fldChar>
            </w:r>
            <w:r w:rsidR="000967CF">
              <w:rPr>
                <w:rFonts w:ascii="Arial Narrow" w:hAnsi="Arial Narrow" w:cs="Times New Roman"/>
              </w:rPr>
              <w:instrText xml:space="preserve"> ADDIN EN.CITE.DATA </w:instrText>
            </w:r>
            <w:r w:rsidR="000967CF">
              <w:rPr>
                <w:rFonts w:ascii="Arial Narrow" w:hAnsi="Arial Narrow" w:cs="Times New Roman"/>
              </w:rPr>
            </w:r>
            <w:r w:rsidR="000967CF">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sidR="000E3254">
              <w:rPr>
                <w:rFonts w:ascii="Arial Narrow" w:hAnsi="Arial Narrow" w:cs="Times New Roman"/>
                <w:noProof/>
              </w:rPr>
              <w:t>(Mealy</w:t>
            </w:r>
            <w:r w:rsidR="000967CF">
              <w:rPr>
                <w:rFonts w:ascii="Arial Narrow" w:hAnsi="Arial Narrow" w:cs="Times New Roman"/>
                <w:noProof/>
              </w:rPr>
              <w:t xml:space="preserve"> et al. 2019)</w:t>
            </w:r>
            <w:r>
              <w:rPr>
                <w:rFonts w:ascii="Arial Narrow" w:hAnsi="Arial Narrow" w:cs="Times New Roman"/>
              </w:rPr>
              <w:fldChar w:fldCharType="end"/>
            </w:r>
          </w:p>
          <w:p w14:paraId="5C53E65D" w14:textId="77777777" w:rsidR="003E5A32" w:rsidRPr="00AE5C89" w:rsidRDefault="003E5A32" w:rsidP="00AE5C89">
            <w:pPr>
              <w:spacing w:before="30" w:after="30"/>
              <w:ind w:left="60" w:right="60"/>
              <w:jc w:val="left"/>
              <w:rPr>
                <w:rFonts w:ascii="Arial Narrow" w:hAnsi="Arial Narrow" w:cs="Times New Roman"/>
              </w:rPr>
            </w:pPr>
            <w:r>
              <w:rPr>
                <w:rFonts w:ascii="Arial Narrow" w:hAnsi="Arial Narrow" w:cs="Times New Roman"/>
              </w:rPr>
              <w:t>Multiple</w:t>
            </w:r>
          </w:p>
        </w:tc>
        <w:tc>
          <w:tcPr>
            <w:tcW w:w="709" w:type="dxa"/>
            <w:tcBorders>
              <w:top w:val="single" w:sz="6" w:space="0" w:color="auto"/>
              <w:left w:val="single" w:sz="6" w:space="0" w:color="auto"/>
              <w:bottom w:val="single" w:sz="6" w:space="0" w:color="auto"/>
              <w:right w:val="single" w:sz="6" w:space="0" w:color="auto"/>
            </w:tcBorders>
            <w:hideMark/>
          </w:tcPr>
          <w:p w14:paraId="19B96FE7"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CS</w:t>
            </w:r>
          </w:p>
          <w:p w14:paraId="7A06BCE4"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IV</w:t>
            </w:r>
          </w:p>
        </w:tc>
        <w:tc>
          <w:tcPr>
            <w:tcW w:w="850" w:type="dxa"/>
            <w:tcBorders>
              <w:top w:val="single" w:sz="6" w:space="0" w:color="auto"/>
              <w:left w:val="single" w:sz="6" w:space="0" w:color="auto"/>
              <w:bottom w:val="single" w:sz="6" w:space="0" w:color="auto"/>
              <w:right w:val="single" w:sz="6" w:space="0" w:color="auto"/>
            </w:tcBorders>
            <w:hideMark/>
          </w:tcPr>
          <w:p w14:paraId="6F897E12"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08B67380"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182</w:t>
            </w:r>
          </w:p>
        </w:tc>
        <w:tc>
          <w:tcPr>
            <w:tcW w:w="2551" w:type="dxa"/>
            <w:tcBorders>
              <w:top w:val="single" w:sz="6" w:space="0" w:color="auto"/>
              <w:left w:val="single" w:sz="6" w:space="0" w:color="auto"/>
              <w:bottom w:val="single" w:sz="6" w:space="0" w:color="auto"/>
              <w:right w:val="single" w:sz="6" w:space="0" w:color="auto"/>
            </w:tcBorders>
            <w:hideMark/>
          </w:tcPr>
          <w:p w14:paraId="5A79ABD2"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 xml:space="preserve">Patients who met 2015 diagnostic criteria for NMOSD and who were AQP4-Ab seropositive and followed for at least one year </w:t>
            </w:r>
          </w:p>
        </w:tc>
        <w:tc>
          <w:tcPr>
            <w:tcW w:w="1560" w:type="dxa"/>
            <w:tcBorders>
              <w:top w:val="single" w:sz="6" w:space="0" w:color="auto"/>
              <w:left w:val="single" w:sz="6" w:space="0" w:color="auto"/>
              <w:bottom w:val="single" w:sz="6" w:space="0" w:color="auto"/>
              <w:right w:val="single" w:sz="6" w:space="0" w:color="auto"/>
            </w:tcBorders>
            <w:hideMark/>
          </w:tcPr>
          <w:p w14:paraId="08C18B95"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NMOSD-specific immunotherapy</w:t>
            </w:r>
            <w:r w:rsidR="0054626A">
              <w:rPr>
                <w:rFonts w:ascii="Arial Narrow" w:hAnsi="Arial Narrow" w:cs="Times New Roman"/>
              </w:rPr>
              <w:t xml:space="preserve"> after early diagnosis</w:t>
            </w:r>
          </w:p>
        </w:tc>
        <w:tc>
          <w:tcPr>
            <w:tcW w:w="1134" w:type="dxa"/>
            <w:tcBorders>
              <w:top w:val="single" w:sz="6" w:space="0" w:color="auto"/>
              <w:left w:val="single" w:sz="6" w:space="0" w:color="auto"/>
              <w:bottom w:val="single" w:sz="6" w:space="0" w:color="auto"/>
              <w:right w:val="single" w:sz="6" w:space="0" w:color="auto"/>
            </w:tcBorders>
            <w:hideMark/>
          </w:tcPr>
          <w:p w14:paraId="04148303" w14:textId="77777777" w:rsidR="00AE5C89" w:rsidRPr="00AE5C89" w:rsidRDefault="0054626A" w:rsidP="00AE5C89">
            <w:pPr>
              <w:spacing w:before="30" w:after="30"/>
              <w:ind w:left="60" w:right="60"/>
              <w:jc w:val="left"/>
              <w:rPr>
                <w:rFonts w:ascii="Arial Narrow" w:hAnsi="Arial Narrow" w:cs="Times New Roman"/>
              </w:rPr>
            </w:pPr>
            <w:r>
              <w:rPr>
                <w:rFonts w:ascii="Arial Narrow" w:hAnsi="Arial Narrow" w:cs="Times New Roman"/>
              </w:rPr>
              <w:t>Therapy after late diagnosis</w:t>
            </w:r>
          </w:p>
        </w:tc>
        <w:tc>
          <w:tcPr>
            <w:tcW w:w="1134" w:type="dxa"/>
            <w:tcBorders>
              <w:top w:val="single" w:sz="6" w:space="0" w:color="auto"/>
              <w:left w:val="single" w:sz="6" w:space="0" w:color="auto"/>
              <w:bottom w:val="single" w:sz="6" w:space="0" w:color="auto"/>
              <w:right w:val="single" w:sz="6" w:space="0" w:color="auto"/>
            </w:tcBorders>
            <w:hideMark/>
          </w:tcPr>
          <w:p w14:paraId="21F2C031" w14:textId="77777777" w:rsidR="00AE5C89" w:rsidRPr="00AE5C89" w:rsidRDefault="0054626A" w:rsidP="00AE5C89">
            <w:pPr>
              <w:spacing w:before="30" w:after="30"/>
              <w:ind w:left="60" w:right="60"/>
              <w:jc w:val="left"/>
              <w:rPr>
                <w:rFonts w:ascii="Arial Narrow" w:hAnsi="Arial Narrow" w:cs="Times New Roman"/>
              </w:rPr>
            </w:pPr>
            <w:r>
              <w:rPr>
                <w:rFonts w:ascii="Arial Narrow" w:hAnsi="Arial Narrow" w:cs="Times New Roman"/>
              </w:rPr>
              <w:t>EDSS</w:t>
            </w:r>
          </w:p>
        </w:tc>
      </w:tr>
      <w:tr w:rsidR="00AE5C89" w:rsidRPr="00AE5C89" w14:paraId="472CFC2A" w14:textId="77777777" w:rsidTr="006A2BEA">
        <w:tc>
          <w:tcPr>
            <w:tcW w:w="843" w:type="dxa"/>
            <w:tcBorders>
              <w:top w:val="single" w:sz="6" w:space="0" w:color="auto"/>
              <w:left w:val="single" w:sz="6" w:space="0" w:color="auto"/>
              <w:bottom w:val="single" w:sz="6" w:space="0" w:color="auto"/>
              <w:right w:val="single" w:sz="6" w:space="0" w:color="auto"/>
            </w:tcBorders>
            <w:hideMark/>
          </w:tcPr>
          <w:p w14:paraId="0B2EEAE6" w14:textId="71F1C8A8" w:rsidR="00AE5C89" w:rsidRDefault="00156621" w:rsidP="00AE5C89">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(Shaygannejad et al. 2019)</w:t>
            </w:r>
            <w:r>
              <w:rPr>
                <w:rFonts w:ascii="Arial Narrow" w:hAnsi="Arial Narrow" w:cs="Times New Roman"/>
              </w:rPr>
              <w:fldChar w:fldCharType="end"/>
            </w:r>
          </w:p>
          <w:p w14:paraId="21F62E88" w14:textId="77777777" w:rsidR="003E5A32" w:rsidRPr="00AE5C89" w:rsidRDefault="003E5A32" w:rsidP="00AE5C89">
            <w:pPr>
              <w:spacing w:before="30" w:after="30"/>
              <w:ind w:left="60" w:right="60"/>
              <w:jc w:val="left"/>
              <w:rPr>
                <w:rFonts w:ascii="Arial Narrow" w:hAnsi="Arial Narrow" w:cs="Times New Roman"/>
              </w:rPr>
            </w:pPr>
            <w:r>
              <w:rPr>
                <w:rFonts w:ascii="Arial Narrow" w:hAnsi="Arial Narrow" w:cs="Times New Roman"/>
              </w:rPr>
              <w:t>Iran</w:t>
            </w:r>
          </w:p>
        </w:tc>
        <w:tc>
          <w:tcPr>
            <w:tcW w:w="709" w:type="dxa"/>
            <w:tcBorders>
              <w:top w:val="single" w:sz="6" w:space="0" w:color="auto"/>
              <w:left w:val="single" w:sz="6" w:space="0" w:color="auto"/>
              <w:bottom w:val="single" w:sz="6" w:space="0" w:color="auto"/>
              <w:right w:val="single" w:sz="6" w:space="0" w:color="auto"/>
            </w:tcBorders>
            <w:hideMark/>
          </w:tcPr>
          <w:p w14:paraId="7C63DAFD"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Coh</w:t>
            </w:r>
          </w:p>
          <w:p w14:paraId="1DD515F9"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III-2</w:t>
            </w:r>
          </w:p>
        </w:tc>
        <w:tc>
          <w:tcPr>
            <w:tcW w:w="850" w:type="dxa"/>
            <w:tcBorders>
              <w:top w:val="single" w:sz="6" w:space="0" w:color="auto"/>
              <w:left w:val="single" w:sz="6" w:space="0" w:color="auto"/>
              <w:bottom w:val="single" w:sz="6" w:space="0" w:color="auto"/>
              <w:right w:val="single" w:sz="6" w:space="0" w:color="auto"/>
            </w:tcBorders>
            <w:hideMark/>
          </w:tcPr>
          <w:p w14:paraId="12B8A0E4"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5000FD7B"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44</w:t>
            </w:r>
          </w:p>
        </w:tc>
        <w:tc>
          <w:tcPr>
            <w:tcW w:w="2551" w:type="dxa"/>
            <w:tcBorders>
              <w:top w:val="single" w:sz="6" w:space="0" w:color="auto"/>
              <w:left w:val="single" w:sz="6" w:space="0" w:color="auto"/>
              <w:bottom w:val="single" w:sz="6" w:space="0" w:color="auto"/>
              <w:right w:val="single" w:sz="6" w:space="0" w:color="auto"/>
            </w:tcBorders>
            <w:hideMark/>
          </w:tcPr>
          <w:p w14:paraId="5109296E"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Consecutive NMOSD patients based on 2015 diagnostic criteria</w:t>
            </w:r>
          </w:p>
        </w:tc>
        <w:tc>
          <w:tcPr>
            <w:tcW w:w="1560" w:type="dxa"/>
            <w:tcBorders>
              <w:top w:val="single" w:sz="6" w:space="0" w:color="auto"/>
              <w:left w:val="single" w:sz="6" w:space="0" w:color="auto"/>
              <w:bottom w:val="single" w:sz="6" w:space="0" w:color="auto"/>
              <w:right w:val="single" w:sz="6" w:space="0" w:color="auto"/>
            </w:tcBorders>
            <w:hideMark/>
          </w:tcPr>
          <w:p w14:paraId="67874151" w14:textId="77777777" w:rsidR="00AE5C89" w:rsidRPr="00AE5C89" w:rsidRDefault="00AE5C89" w:rsidP="00AD0F86">
            <w:pPr>
              <w:spacing w:before="30" w:after="30"/>
              <w:ind w:left="60" w:right="60"/>
              <w:jc w:val="left"/>
              <w:rPr>
                <w:rFonts w:ascii="Arial Narrow" w:hAnsi="Arial Narrow" w:cs="Times New Roman"/>
              </w:rPr>
            </w:pPr>
            <w:r w:rsidRPr="00AE5C89">
              <w:rPr>
                <w:rFonts w:ascii="Arial Narrow" w:hAnsi="Arial Narrow" w:cs="Times New Roman"/>
              </w:rPr>
              <w:t xml:space="preserve">500 mg rituximab </w:t>
            </w:r>
            <w:r w:rsidR="00AD0F86">
              <w:rPr>
                <w:rFonts w:ascii="Arial Narrow" w:hAnsi="Arial Narrow" w:cs="Times New Roman"/>
              </w:rPr>
              <w:t>500mg/</w:t>
            </w:r>
            <w:r w:rsidRPr="00AE5C89">
              <w:rPr>
                <w:rFonts w:ascii="Arial Narrow" w:hAnsi="Arial Narrow" w:cs="Times New Roman"/>
              </w:rPr>
              <w:t xml:space="preserve"> week for 4 weeks (2g in total), followed by (500mg/week every six months</w:t>
            </w:r>
          </w:p>
        </w:tc>
        <w:tc>
          <w:tcPr>
            <w:tcW w:w="1134" w:type="dxa"/>
            <w:tcBorders>
              <w:top w:val="single" w:sz="6" w:space="0" w:color="auto"/>
              <w:left w:val="single" w:sz="6" w:space="0" w:color="auto"/>
              <w:bottom w:val="single" w:sz="6" w:space="0" w:color="auto"/>
              <w:right w:val="single" w:sz="6" w:space="0" w:color="auto"/>
            </w:tcBorders>
            <w:hideMark/>
          </w:tcPr>
          <w:p w14:paraId="4AE1B0E5" w14:textId="77777777" w:rsidR="00AE5C89" w:rsidRPr="00AE5C89" w:rsidRDefault="00AD0F86" w:rsidP="00AE5C89">
            <w:pPr>
              <w:spacing w:before="30" w:after="30"/>
              <w:ind w:left="60" w:right="60"/>
              <w:jc w:val="left"/>
              <w:rPr>
                <w:rFonts w:ascii="Arial Narrow" w:hAnsi="Arial Narrow" w:cs="Times New Roman"/>
              </w:rPr>
            </w:pPr>
            <w:r>
              <w:rPr>
                <w:rFonts w:ascii="Arial Narrow" w:hAnsi="Arial Narrow" w:cs="Times New Roman"/>
              </w:rPr>
              <w:t>None</w:t>
            </w:r>
          </w:p>
        </w:tc>
        <w:tc>
          <w:tcPr>
            <w:tcW w:w="1134" w:type="dxa"/>
            <w:tcBorders>
              <w:top w:val="single" w:sz="6" w:space="0" w:color="auto"/>
              <w:left w:val="single" w:sz="6" w:space="0" w:color="auto"/>
              <w:bottom w:val="single" w:sz="6" w:space="0" w:color="auto"/>
              <w:right w:val="single" w:sz="6" w:space="0" w:color="auto"/>
            </w:tcBorders>
            <w:hideMark/>
          </w:tcPr>
          <w:p w14:paraId="4F4C0D51" w14:textId="77777777" w:rsidR="00FB2C22" w:rsidRDefault="00FB2C22" w:rsidP="00FB2C22">
            <w:pPr>
              <w:spacing w:before="30" w:after="30"/>
              <w:ind w:left="60" w:right="60"/>
              <w:jc w:val="left"/>
              <w:rPr>
                <w:rFonts w:ascii="Arial Narrow" w:hAnsi="Arial Narrow" w:cs="Times New Roman"/>
              </w:rPr>
            </w:pPr>
            <w:r>
              <w:rPr>
                <w:rFonts w:ascii="Arial Narrow" w:hAnsi="Arial Narrow" w:cs="Times New Roman"/>
              </w:rPr>
              <w:t>Change in EDSS</w:t>
            </w:r>
          </w:p>
          <w:p w14:paraId="33A7CB3F" w14:textId="77777777" w:rsidR="00AE5C89" w:rsidRPr="00AE5C89" w:rsidRDefault="00FB2C22" w:rsidP="00FB2C22">
            <w:pPr>
              <w:spacing w:before="30" w:after="30"/>
              <w:ind w:left="60" w:right="60"/>
              <w:jc w:val="left"/>
              <w:rPr>
                <w:rFonts w:ascii="Arial Narrow" w:hAnsi="Arial Narrow" w:cs="Times New Roman"/>
              </w:rPr>
            </w:pPr>
            <w:r>
              <w:rPr>
                <w:rFonts w:ascii="Arial Narrow" w:hAnsi="Arial Narrow" w:cs="Times New Roman"/>
              </w:rPr>
              <w:t>Change in ARR</w:t>
            </w:r>
          </w:p>
        </w:tc>
      </w:tr>
      <w:tr w:rsidR="00AE5C89" w:rsidRPr="00AE5C89" w14:paraId="0A12FB17" w14:textId="77777777" w:rsidTr="006A2BEA">
        <w:tc>
          <w:tcPr>
            <w:tcW w:w="843" w:type="dxa"/>
            <w:tcBorders>
              <w:top w:val="single" w:sz="6" w:space="0" w:color="auto"/>
              <w:left w:val="single" w:sz="6" w:space="0" w:color="auto"/>
              <w:bottom w:val="single" w:sz="6" w:space="0" w:color="auto"/>
              <w:right w:val="single" w:sz="6" w:space="0" w:color="auto"/>
            </w:tcBorders>
            <w:hideMark/>
          </w:tcPr>
          <w:p w14:paraId="23D2ADA7" w14:textId="01B5AD5A" w:rsidR="00AE5C89" w:rsidRDefault="00156621" w:rsidP="00AE5C89">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(Stellmann et al. 2017)</w:t>
            </w:r>
            <w:r>
              <w:rPr>
                <w:rFonts w:ascii="Arial Narrow" w:hAnsi="Arial Narrow" w:cs="Times New Roman"/>
              </w:rPr>
              <w:fldChar w:fldCharType="end"/>
            </w:r>
          </w:p>
          <w:p w14:paraId="645CA3B3" w14:textId="77777777" w:rsidR="003E5A32" w:rsidRPr="00AE5C89" w:rsidRDefault="003E5A32" w:rsidP="00AE5C89">
            <w:pPr>
              <w:spacing w:before="30" w:after="30"/>
              <w:ind w:left="60" w:right="60"/>
              <w:jc w:val="left"/>
              <w:rPr>
                <w:rFonts w:ascii="Arial Narrow" w:hAnsi="Arial Narrow" w:cs="Times New Roman"/>
              </w:rPr>
            </w:pPr>
            <w:r>
              <w:rPr>
                <w:rFonts w:ascii="Arial Narrow" w:hAnsi="Arial Narrow" w:cs="Times New Roman"/>
              </w:rPr>
              <w:t>Germany</w:t>
            </w:r>
          </w:p>
        </w:tc>
        <w:tc>
          <w:tcPr>
            <w:tcW w:w="709" w:type="dxa"/>
            <w:tcBorders>
              <w:top w:val="single" w:sz="6" w:space="0" w:color="auto"/>
              <w:left w:val="single" w:sz="6" w:space="0" w:color="auto"/>
              <w:bottom w:val="single" w:sz="6" w:space="0" w:color="auto"/>
              <w:right w:val="single" w:sz="6" w:space="0" w:color="auto"/>
            </w:tcBorders>
            <w:hideMark/>
          </w:tcPr>
          <w:p w14:paraId="51010788"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Ret Coh</w:t>
            </w:r>
          </w:p>
          <w:p w14:paraId="2F8ACFC3"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III-2</w:t>
            </w:r>
          </w:p>
        </w:tc>
        <w:tc>
          <w:tcPr>
            <w:tcW w:w="850" w:type="dxa"/>
            <w:tcBorders>
              <w:top w:val="single" w:sz="6" w:space="0" w:color="auto"/>
              <w:left w:val="single" w:sz="6" w:space="0" w:color="auto"/>
              <w:bottom w:val="single" w:sz="6" w:space="0" w:color="auto"/>
              <w:right w:val="single" w:sz="6" w:space="0" w:color="auto"/>
            </w:tcBorders>
            <w:hideMark/>
          </w:tcPr>
          <w:p w14:paraId="7B514022"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77163F73" w14:textId="77777777" w:rsidR="00AE5C89" w:rsidRPr="00AE5C89" w:rsidRDefault="00AE5C89" w:rsidP="006A2BEA">
            <w:pPr>
              <w:spacing w:before="30" w:after="30"/>
              <w:ind w:left="60" w:right="60"/>
              <w:jc w:val="left"/>
              <w:rPr>
                <w:rFonts w:ascii="Arial Narrow" w:hAnsi="Arial Narrow" w:cs="Times New Roman"/>
              </w:rPr>
            </w:pPr>
            <w:r w:rsidRPr="00AE5C89">
              <w:rPr>
                <w:rFonts w:ascii="Arial Narrow" w:hAnsi="Arial Narrow" w:cs="Times New Roman"/>
              </w:rPr>
              <w:t>144 patients</w:t>
            </w:r>
            <w:r w:rsidR="006A2BEA">
              <w:rPr>
                <w:rFonts w:ascii="Arial Narrow" w:hAnsi="Arial Narrow" w:cs="Times New Roman"/>
              </w:rPr>
              <w:t>,</w:t>
            </w:r>
            <w:r w:rsidRPr="00AE5C89">
              <w:rPr>
                <w:rFonts w:ascii="Arial Narrow" w:hAnsi="Arial Narrow" w:cs="Times New Roman"/>
              </w:rPr>
              <w:t xml:space="preserve"> 265 treatments</w:t>
            </w:r>
          </w:p>
        </w:tc>
        <w:tc>
          <w:tcPr>
            <w:tcW w:w="2551" w:type="dxa"/>
            <w:tcBorders>
              <w:top w:val="single" w:sz="6" w:space="0" w:color="auto"/>
              <w:left w:val="single" w:sz="6" w:space="0" w:color="auto"/>
              <w:bottom w:val="single" w:sz="6" w:space="0" w:color="auto"/>
              <w:right w:val="single" w:sz="6" w:space="0" w:color="auto"/>
            </w:tcBorders>
            <w:hideMark/>
          </w:tcPr>
          <w:p w14:paraId="2B8D1C95"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Patients with NMO diagnosed according to 2006 criteria or with AQP4-Ab positive NMOSD</w:t>
            </w:r>
          </w:p>
        </w:tc>
        <w:tc>
          <w:tcPr>
            <w:tcW w:w="1560" w:type="dxa"/>
            <w:tcBorders>
              <w:top w:val="single" w:sz="6" w:space="0" w:color="auto"/>
              <w:left w:val="single" w:sz="6" w:space="0" w:color="auto"/>
              <w:bottom w:val="single" w:sz="6" w:space="0" w:color="auto"/>
              <w:right w:val="single" w:sz="6" w:space="0" w:color="auto"/>
            </w:tcBorders>
            <w:hideMark/>
          </w:tcPr>
          <w:p w14:paraId="5F8E5911" w14:textId="77777777" w:rsidR="00AE5C89" w:rsidRPr="00AE5C89" w:rsidRDefault="00FB2C22" w:rsidP="00AE5C89">
            <w:pPr>
              <w:spacing w:before="30" w:after="30"/>
              <w:ind w:left="60" w:right="60"/>
              <w:jc w:val="left"/>
              <w:rPr>
                <w:rFonts w:ascii="Arial Narrow" w:hAnsi="Arial Narrow" w:cs="Times New Roman"/>
              </w:rPr>
            </w:pPr>
            <w:r>
              <w:rPr>
                <w:rFonts w:ascii="Arial Narrow" w:hAnsi="Arial Narrow" w:cs="Times New Roman"/>
              </w:rPr>
              <w:t>Therapy in NMOSD patients</w:t>
            </w:r>
          </w:p>
        </w:tc>
        <w:tc>
          <w:tcPr>
            <w:tcW w:w="1134" w:type="dxa"/>
            <w:tcBorders>
              <w:top w:val="single" w:sz="6" w:space="0" w:color="auto"/>
              <w:left w:val="single" w:sz="6" w:space="0" w:color="auto"/>
              <w:bottom w:val="single" w:sz="6" w:space="0" w:color="auto"/>
              <w:right w:val="single" w:sz="6" w:space="0" w:color="auto"/>
            </w:tcBorders>
            <w:hideMark/>
          </w:tcPr>
          <w:p w14:paraId="72FBD251" w14:textId="77777777" w:rsidR="00AE5C89" w:rsidRPr="00AE5C89" w:rsidRDefault="00FB2C22" w:rsidP="00CA7C36">
            <w:pPr>
              <w:spacing w:before="30" w:after="30"/>
              <w:ind w:left="60" w:right="60"/>
              <w:jc w:val="left"/>
              <w:rPr>
                <w:rFonts w:ascii="Arial Narrow" w:hAnsi="Arial Narrow" w:cs="Times New Roman"/>
              </w:rPr>
            </w:pPr>
            <w:r>
              <w:rPr>
                <w:rFonts w:ascii="Arial Narrow" w:hAnsi="Arial Narrow" w:cs="Times New Roman"/>
              </w:rPr>
              <w:t xml:space="preserve">Therapy in MS </w:t>
            </w:r>
            <w:r w:rsidR="00CA7C36">
              <w:rPr>
                <w:rFonts w:ascii="Arial Narrow" w:hAnsi="Arial Narrow" w:cs="Times New Roman"/>
              </w:rPr>
              <w:t>patients</w:t>
            </w:r>
            <w:r>
              <w:rPr>
                <w:rFonts w:ascii="Arial Narrow" w:hAnsi="Arial Narrow" w:cs="Times New Roman"/>
              </w:rPr>
              <w:t xml:space="preserve"> </w:t>
            </w:r>
          </w:p>
        </w:tc>
        <w:tc>
          <w:tcPr>
            <w:tcW w:w="1134" w:type="dxa"/>
            <w:tcBorders>
              <w:top w:val="single" w:sz="6" w:space="0" w:color="auto"/>
              <w:left w:val="single" w:sz="6" w:space="0" w:color="auto"/>
              <w:bottom w:val="single" w:sz="6" w:space="0" w:color="auto"/>
              <w:right w:val="single" w:sz="6" w:space="0" w:color="auto"/>
            </w:tcBorders>
            <w:hideMark/>
          </w:tcPr>
          <w:p w14:paraId="41C051E8" w14:textId="77777777" w:rsidR="00AE5C89" w:rsidRPr="00AE5C89" w:rsidRDefault="00FB2C22" w:rsidP="00FB2C22">
            <w:pPr>
              <w:spacing w:before="30" w:after="30"/>
              <w:ind w:left="60" w:right="60"/>
              <w:jc w:val="left"/>
              <w:rPr>
                <w:rFonts w:ascii="Arial Narrow" w:hAnsi="Arial Narrow" w:cs="Times New Roman"/>
              </w:rPr>
            </w:pPr>
            <w:r>
              <w:rPr>
                <w:rFonts w:ascii="Arial Narrow" w:hAnsi="Arial Narrow" w:cs="Times New Roman"/>
              </w:rPr>
              <w:t>Effectiveness in NMOSD vs MS</w:t>
            </w:r>
          </w:p>
        </w:tc>
      </w:tr>
      <w:tr w:rsidR="00AE5C89" w:rsidRPr="00AE5C89" w14:paraId="775B2C7E" w14:textId="77777777" w:rsidTr="006A2BEA">
        <w:tc>
          <w:tcPr>
            <w:tcW w:w="843" w:type="dxa"/>
            <w:tcBorders>
              <w:top w:val="single" w:sz="6" w:space="0" w:color="auto"/>
              <w:left w:val="single" w:sz="6" w:space="0" w:color="auto"/>
              <w:bottom w:val="single" w:sz="6" w:space="0" w:color="auto"/>
              <w:right w:val="single" w:sz="6" w:space="0" w:color="auto"/>
            </w:tcBorders>
            <w:hideMark/>
          </w:tcPr>
          <w:p w14:paraId="1537519D" w14:textId="3EF61451" w:rsidR="00AE5C89" w:rsidRDefault="00156621" w:rsidP="00AE5C89">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(Ashtari et al. 2019)</w:t>
            </w:r>
            <w:r>
              <w:rPr>
                <w:rFonts w:ascii="Arial Narrow" w:hAnsi="Arial Narrow" w:cs="Times New Roman"/>
              </w:rPr>
              <w:fldChar w:fldCharType="end"/>
            </w:r>
          </w:p>
          <w:p w14:paraId="0642A69E" w14:textId="77777777" w:rsidR="00213B25" w:rsidRPr="00AE5C89" w:rsidRDefault="003E5A32" w:rsidP="00AE5C89">
            <w:pPr>
              <w:spacing w:before="30" w:after="30"/>
              <w:ind w:left="60" w:right="60"/>
              <w:jc w:val="left"/>
              <w:rPr>
                <w:rFonts w:ascii="Arial Narrow" w:hAnsi="Arial Narrow" w:cs="Times New Roman"/>
              </w:rPr>
            </w:pPr>
            <w:r>
              <w:rPr>
                <w:rFonts w:ascii="Arial Narrow" w:hAnsi="Arial Narrow" w:cs="Times New Roman"/>
              </w:rPr>
              <w:t>Iran</w:t>
            </w:r>
          </w:p>
        </w:tc>
        <w:tc>
          <w:tcPr>
            <w:tcW w:w="709" w:type="dxa"/>
            <w:tcBorders>
              <w:top w:val="single" w:sz="6" w:space="0" w:color="auto"/>
              <w:left w:val="single" w:sz="6" w:space="0" w:color="auto"/>
              <w:bottom w:val="single" w:sz="6" w:space="0" w:color="auto"/>
              <w:right w:val="single" w:sz="6" w:space="0" w:color="auto"/>
            </w:tcBorders>
            <w:hideMark/>
          </w:tcPr>
          <w:p w14:paraId="45FE9FD0"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Coh</w:t>
            </w:r>
          </w:p>
          <w:p w14:paraId="5445D30A"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III-2</w:t>
            </w:r>
          </w:p>
        </w:tc>
        <w:tc>
          <w:tcPr>
            <w:tcW w:w="850" w:type="dxa"/>
            <w:tcBorders>
              <w:top w:val="single" w:sz="6" w:space="0" w:color="auto"/>
              <w:left w:val="single" w:sz="6" w:space="0" w:color="auto"/>
              <w:bottom w:val="single" w:sz="6" w:space="0" w:color="auto"/>
              <w:right w:val="single" w:sz="6" w:space="0" w:color="auto"/>
            </w:tcBorders>
            <w:hideMark/>
          </w:tcPr>
          <w:p w14:paraId="15BE16BA"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387AAD38"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56</w:t>
            </w:r>
          </w:p>
        </w:tc>
        <w:tc>
          <w:tcPr>
            <w:tcW w:w="2551" w:type="dxa"/>
            <w:tcBorders>
              <w:top w:val="single" w:sz="6" w:space="0" w:color="auto"/>
              <w:left w:val="single" w:sz="6" w:space="0" w:color="auto"/>
              <w:bottom w:val="single" w:sz="6" w:space="0" w:color="auto"/>
              <w:right w:val="single" w:sz="6" w:space="0" w:color="auto"/>
            </w:tcBorders>
            <w:hideMark/>
          </w:tcPr>
          <w:p w14:paraId="55541A67"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Patients with NMOSD based on 2015 criteria, aged above 18 years of age, who received the first dose of rituximab in clinic for six months or less before starting the study</w:t>
            </w:r>
          </w:p>
        </w:tc>
        <w:tc>
          <w:tcPr>
            <w:tcW w:w="1560" w:type="dxa"/>
            <w:tcBorders>
              <w:top w:val="single" w:sz="6" w:space="0" w:color="auto"/>
              <w:left w:val="single" w:sz="6" w:space="0" w:color="auto"/>
              <w:bottom w:val="single" w:sz="6" w:space="0" w:color="auto"/>
              <w:right w:val="single" w:sz="6" w:space="0" w:color="auto"/>
            </w:tcBorders>
            <w:hideMark/>
          </w:tcPr>
          <w:p w14:paraId="1685D230" w14:textId="77777777" w:rsidR="00AE5C89" w:rsidRPr="00AE5C89" w:rsidRDefault="00AE5C89" w:rsidP="00AD0F86">
            <w:pPr>
              <w:spacing w:before="30" w:after="30"/>
              <w:ind w:left="60" w:right="60"/>
              <w:jc w:val="left"/>
              <w:rPr>
                <w:rFonts w:ascii="Arial Narrow" w:hAnsi="Arial Narrow" w:cs="Times New Roman"/>
              </w:rPr>
            </w:pPr>
            <w:r w:rsidRPr="00AE5C89">
              <w:rPr>
                <w:rFonts w:ascii="Arial Narrow" w:hAnsi="Arial Narrow" w:cs="Times New Roman"/>
              </w:rPr>
              <w:t>Rituximab 4x weekly repeating after 6 and 12 months (500 mg/ dose, 2 gm total in 4 weeks)</w:t>
            </w:r>
          </w:p>
        </w:tc>
        <w:tc>
          <w:tcPr>
            <w:tcW w:w="1134" w:type="dxa"/>
            <w:tcBorders>
              <w:top w:val="single" w:sz="6" w:space="0" w:color="auto"/>
              <w:left w:val="single" w:sz="6" w:space="0" w:color="auto"/>
              <w:bottom w:val="single" w:sz="6" w:space="0" w:color="auto"/>
              <w:right w:val="single" w:sz="6" w:space="0" w:color="auto"/>
            </w:tcBorders>
            <w:hideMark/>
          </w:tcPr>
          <w:p w14:paraId="26DD3D14" w14:textId="77777777" w:rsidR="00AE5C89" w:rsidRPr="00AE5C89" w:rsidRDefault="00AD0F86" w:rsidP="00AE5C89">
            <w:pPr>
              <w:spacing w:before="30" w:after="30"/>
              <w:ind w:left="60" w:right="60"/>
              <w:jc w:val="left"/>
              <w:rPr>
                <w:rFonts w:ascii="Arial Narrow" w:hAnsi="Arial Narrow" w:cs="Times New Roman"/>
              </w:rPr>
            </w:pPr>
            <w:r>
              <w:rPr>
                <w:rFonts w:ascii="Arial Narrow" w:hAnsi="Arial Narrow" w:cs="Times New Roman"/>
              </w:rPr>
              <w:t>None</w:t>
            </w:r>
          </w:p>
        </w:tc>
        <w:tc>
          <w:tcPr>
            <w:tcW w:w="1134" w:type="dxa"/>
            <w:tcBorders>
              <w:top w:val="single" w:sz="6" w:space="0" w:color="auto"/>
              <w:left w:val="single" w:sz="6" w:space="0" w:color="auto"/>
              <w:bottom w:val="single" w:sz="6" w:space="0" w:color="auto"/>
              <w:right w:val="single" w:sz="6" w:space="0" w:color="auto"/>
            </w:tcBorders>
            <w:hideMark/>
          </w:tcPr>
          <w:p w14:paraId="107CE03E" w14:textId="77777777" w:rsidR="00AE5C89" w:rsidRDefault="00FB2C22" w:rsidP="00AE5C89">
            <w:pPr>
              <w:spacing w:before="30" w:after="30"/>
              <w:ind w:left="60" w:right="60"/>
              <w:jc w:val="left"/>
              <w:rPr>
                <w:rFonts w:ascii="Arial Narrow" w:hAnsi="Arial Narrow" w:cs="Times New Roman"/>
              </w:rPr>
            </w:pPr>
            <w:r>
              <w:rPr>
                <w:rFonts w:ascii="Arial Narrow" w:hAnsi="Arial Narrow" w:cs="Times New Roman"/>
              </w:rPr>
              <w:t>Change in EDSS</w:t>
            </w:r>
          </w:p>
          <w:p w14:paraId="21B351F0" w14:textId="77777777" w:rsidR="00FB2C22" w:rsidRPr="00AE5C89" w:rsidRDefault="00FB2C22" w:rsidP="00FB2C22">
            <w:pPr>
              <w:spacing w:before="30" w:after="30"/>
              <w:ind w:left="60" w:right="60"/>
              <w:jc w:val="left"/>
              <w:rPr>
                <w:rFonts w:ascii="Arial Narrow" w:hAnsi="Arial Narrow" w:cs="Times New Roman"/>
              </w:rPr>
            </w:pPr>
            <w:r>
              <w:rPr>
                <w:rFonts w:ascii="Arial Narrow" w:hAnsi="Arial Narrow" w:cs="Times New Roman"/>
              </w:rPr>
              <w:t>Change in ARR</w:t>
            </w:r>
          </w:p>
        </w:tc>
      </w:tr>
      <w:tr w:rsidR="00AE5C89" w:rsidRPr="00AE5C89" w14:paraId="41DF4F86" w14:textId="77777777" w:rsidTr="006A2BEA">
        <w:tc>
          <w:tcPr>
            <w:tcW w:w="843" w:type="dxa"/>
            <w:tcBorders>
              <w:top w:val="single" w:sz="6" w:space="0" w:color="auto"/>
              <w:left w:val="single" w:sz="6" w:space="0" w:color="auto"/>
              <w:bottom w:val="single" w:sz="6" w:space="0" w:color="auto"/>
              <w:right w:val="single" w:sz="6" w:space="0" w:color="auto"/>
            </w:tcBorders>
            <w:hideMark/>
          </w:tcPr>
          <w:p w14:paraId="7FC6C279" w14:textId="1AC79B9E" w:rsidR="00AE5C89" w:rsidRDefault="00156621" w:rsidP="00AE5C89">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PEVuZE5vdGU+PENpdGU+PEF1dGhvcj5CaWNodWV0dGk8L0F1dGhvcj48WWVhcj4yMDE5PC9ZZWFy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==
</w:fldData>
              </w:fldChar>
            </w:r>
            <w:r w:rsidR="00D96694">
              <w:rPr>
                <w:rFonts w:ascii="Arial Narrow" w:hAnsi="Arial Narrow" w:cs="Times New Roman"/>
              </w:rPr>
              <w:instrText xml:space="preserve"> ADDIN EN.CITE </w:instrText>
            </w:r>
            <w:r w:rsidR="00D96694">
              <w:rPr>
                <w:rFonts w:ascii="Arial Narrow" w:hAnsi="Arial Narrow" w:cs="Times New Roman"/>
              </w:rPr>
              <w:fldChar w:fldCharType="begin">
                <w:fldData xml:space="preserve">PEVuZE5vdGU+PENpdGU+PEF1dGhvcj5CaWNodWV0dGk8L0F1dGhvcj48WWVhcj4yMDE5PC9ZZWFy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==
</w:fldData>
              </w:fldChar>
            </w:r>
            <w:r w:rsidR="00D96694">
              <w:rPr>
                <w:rFonts w:ascii="Arial Narrow" w:hAnsi="Arial Narrow" w:cs="Times New Roman"/>
              </w:rPr>
              <w:instrText xml:space="preserve"> ADDIN EN.CITE.DATA </w:instrText>
            </w:r>
            <w:r w:rsidR="00D96694">
              <w:rPr>
                <w:rFonts w:ascii="Arial Narrow" w:hAnsi="Arial Narrow" w:cs="Times New Roman"/>
              </w:rPr>
            </w:r>
            <w:r w:rsidR="00D96694">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(Bichuetti et al. 2019)</w:t>
            </w:r>
            <w:r>
              <w:rPr>
                <w:rFonts w:ascii="Arial Narrow" w:hAnsi="Arial Narrow" w:cs="Times New Roman"/>
              </w:rPr>
              <w:fldChar w:fldCharType="end"/>
            </w:r>
          </w:p>
          <w:p w14:paraId="071FA0F5" w14:textId="77777777" w:rsidR="003E5A32" w:rsidRPr="00AE5C89" w:rsidRDefault="003E5A32" w:rsidP="00AE5C89">
            <w:pPr>
              <w:spacing w:before="30" w:after="30"/>
              <w:ind w:left="60" w:right="60"/>
              <w:jc w:val="left"/>
              <w:rPr>
                <w:rFonts w:ascii="Arial Narrow" w:hAnsi="Arial Narrow" w:cs="Times New Roman"/>
              </w:rPr>
            </w:pPr>
            <w:r>
              <w:rPr>
                <w:rFonts w:ascii="Arial Narrow" w:hAnsi="Arial Narrow" w:cs="Times New Roman"/>
              </w:rPr>
              <w:t>Brazil</w:t>
            </w:r>
          </w:p>
        </w:tc>
        <w:tc>
          <w:tcPr>
            <w:tcW w:w="709" w:type="dxa"/>
            <w:tcBorders>
              <w:top w:val="single" w:sz="6" w:space="0" w:color="auto"/>
              <w:left w:val="single" w:sz="6" w:space="0" w:color="auto"/>
              <w:bottom w:val="single" w:sz="6" w:space="0" w:color="auto"/>
              <w:right w:val="single" w:sz="6" w:space="0" w:color="auto"/>
            </w:tcBorders>
            <w:hideMark/>
          </w:tcPr>
          <w:p w14:paraId="636E9A5D"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CS</w:t>
            </w:r>
          </w:p>
          <w:p w14:paraId="2524C6F1" w14:textId="77777777" w:rsid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IV</w:t>
            </w:r>
          </w:p>
          <w:p w14:paraId="0EF0C746" w14:textId="77777777" w:rsidR="003E5A32" w:rsidRPr="00AE5C89" w:rsidRDefault="003E5A32" w:rsidP="00AE5C89">
            <w:pPr>
              <w:spacing w:before="30" w:after="30"/>
              <w:ind w:left="60" w:right="60"/>
              <w:jc w:val="left"/>
              <w:rPr>
                <w:rFonts w:ascii="Arial Narrow" w:hAnsi="Arial Narrow" w:cs="Times New Roman"/>
              </w:rPr>
            </w:pPr>
          </w:p>
        </w:tc>
        <w:tc>
          <w:tcPr>
            <w:tcW w:w="850" w:type="dxa"/>
            <w:tcBorders>
              <w:top w:val="single" w:sz="6" w:space="0" w:color="auto"/>
              <w:left w:val="single" w:sz="6" w:space="0" w:color="auto"/>
              <w:bottom w:val="single" w:sz="6" w:space="0" w:color="auto"/>
              <w:right w:val="single" w:sz="6" w:space="0" w:color="auto"/>
            </w:tcBorders>
            <w:hideMark/>
          </w:tcPr>
          <w:p w14:paraId="461972FD"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Moderate</w:t>
            </w:r>
          </w:p>
        </w:tc>
        <w:tc>
          <w:tcPr>
            <w:tcW w:w="709" w:type="dxa"/>
            <w:tcBorders>
              <w:top w:val="single" w:sz="6" w:space="0" w:color="auto"/>
              <w:left w:val="single" w:sz="6" w:space="0" w:color="auto"/>
              <w:bottom w:val="single" w:sz="6" w:space="0" w:color="auto"/>
              <w:right w:val="single" w:sz="6" w:space="0" w:color="auto"/>
            </w:tcBorders>
            <w:hideMark/>
          </w:tcPr>
          <w:p w14:paraId="595D3457"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158</w:t>
            </w:r>
          </w:p>
        </w:tc>
        <w:tc>
          <w:tcPr>
            <w:tcW w:w="2551" w:type="dxa"/>
            <w:tcBorders>
              <w:top w:val="single" w:sz="6" w:space="0" w:color="auto"/>
              <w:left w:val="single" w:sz="6" w:space="0" w:color="auto"/>
              <w:bottom w:val="single" w:sz="6" w:space="0" w:color="auto"/>
              <w:right w:val="single" w:sz="6" w:space="0" w:color="auto"/>
            </w:tcBorders>
            <w:hideMark/>
          </w:tcPr>
          <w:p w14:paraId="67ADE50A"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Patients with clinical presentation compatible with NMOSD per the IPND criteria (2015) and follow-up &gt; 6 months</w:t>
            </w:r>
          </w:p>
        </w:tc>
        <w:tc>
          <w:tcPr>
            <w:tcW w:w="1560" w:type="dxa"/>
            <w:tcBorders>
              <w:top w:val="single" w:sz="6" w:space="0" w:color="auto"/>
              <w:left w:val="single" w:sz="6" w:space="0" w:color="auto"/>
              <w:bottom w:val="single" w:sz="6" w:space="0" w:color="auto"/>
              <w:right w:val="single" w:sz="6" w:space="0" w:color="auto"/>
            </w:tcBorders>
            <w:hideMark/>
          </w:tcPr>
          <w:p w14:paraId="15389F01"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Azathioprine + prednisone</w:t>
            </w:r>
          </w:p>
        </w:tc>
        <w:tc>
          <w:tcPr>
            <w:tcW w:w="1134" w:type="dxa"/>
            <w:tcBorders>
              <w:top w:val="single" w:sz="6" w:space="0" w:color="auto"/>
              <w:left w:val="single" w:sz="6" w:space="0" w:color="auto"/>
              <w:bottom w:val="single" w:sz="6" w:space="0" w:color="auto"/>
              <w:right w:val="single" w:sz="6" w:space="0" w:color="auto"/>
            </w:tcBorders>
            <w:hideMark/>
          </w:tcPr>
          <w:p w14:paraId="3838B232"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None</w:t>
            </w:r>
          </w:p>
        </w:tc>
        <w:tc>
          <w:tcPr>
            <w:tcW w:w="1134" w:type="dxa"/>
            <w:tcBorders>
              <w:top w:val="single" w:sz="6" w:space="0" w:color="auto"/>
              <w:left w:val="single" w:sz="6" w:space="0" w:color="auto"/>
              <w:bottom w:val="single" w:sz="6" w:space="0" w:color="auto"/>
              <w:right w:val="single" w:sz="6" w:space="0" w:color="auto"/>
            </w:tcBorders>
            <w:hideMark/>
          </w:tcPr>
          <w:p w14:paraId="7218F0EB" w14:textId="77777777" w:rsidR="00AE5C89" w:rsidRPr="00AE5C89" w:rsidRDefault="00FB2C22" w:rsidP="00AE5C89">
            <w:pPr>
              <w:spacing w:before="30" w:after="30"/>
              <w:ind w:left="60" w:right="60"/>
              <w:jc w:val="left"/>
              <w:rPr>
                <w:rFonts w:ascii="Arial Narrow" w:hAnsi="Arial Narrow" w:cs="Times New Roman"/>
              </w:rPr>
            </w:pPr>
            <w:r>
              <w:rPr>
                <w:rFonts w:ascii="Arial Narrow" w:hAnsi="Arial Narrow" w:cs="Times New Roman"/>
              </w:rPr>
              <w:t>Adverse events</w:t>
            </w:r>
          </w:p>
        </w:tc>
      </w:tr>
      <w:tr w:rsidR="00AE5C89" w:rsidRPr="00AE5C89" w14:paraId="15C4FFC5" w14:textId="77777777" w:rsidTr="006A2BEA">
        <w:tc>
          <w:tcPr>
            <w:tcW w:w="843" w:type="dxa"/>
            <w:tcBorders>
              <w:top w:val="single" w:sz="6" w:space="0" w:color="auto"/>
              <w:left w:val="single" w:sz="6" w:space="0" w:color="auto"/>
              <w:bottom w:val="single" w:sz="6" w:space="0" w:color="auto"/>
              <w:right w:val="single" w:sz="6" w:space="0" w:color="auto"/>
            </w:tcBorders>
          </w:tcPr>
          <w:p w14:paraId="6BB2C2AD" w14:textId="6654A578" w:rsidR="00A400A2" w:rsidRDefault="00A400A2" w:rsidP="00AE5C89">
            <w:pPr>
              <w:spacing w:before="30" w:after="30"/>
              <w:ind w:left="60" w:right="60"/>
              <w:jc w:val="left"/>
              <w:rPr>
                <w:rFonts w:ascii="Arial Narrow" w:hAnsi="Arial Narrow" w:cs="Times New Roman"/>
              </w:rPr>
            </w:pPr>
            <w:r>
              <w:rPr>
                <w:rFonts w:ascii="Arial Narrow" w:hAnsi="Arial Narrow" w:cs="Times New Roman"/>
              </w:rPr>
              <w:fldChar w:fldCharType="begin">
                <w:fldData xml:space="preserve">PEVuZE5vdGU+PENpdGU+PEF1dGhvcj5IdWFuZzwvQXV0aG9yPjxZZWFyPjIwMTg8L1llYXI+PFJl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</w:fldData>
              </w:fldChar>
            </w:r>
            <w:r>
              <w:rPr>
                <w:rFonts w:ascii="Arial Narrow" w:hAnsi="Arial Narrow" w:cs="Times New Roman"/>
              </w:rPr>
              <w:instrText xml:space="preserve"> ADDIN EN.CITE </w:instrText>
            </w:r>
            <w:r>
              <w:rPr>
                <w:rFonts w:ascii="Arial Narrow" w:hAnsi="Arial Narrow" w:cs="Times New Roman"/>
              </w:rPr>
              <w:fldChar w:fldCharType="begin">
                <w:fldData xml:space="preserve">PEVuZE5vdGU+PENpdGU+PEF1dGhvcj5IdWFuZzwvQXV0aG9yPjxZZWFyPjIwMTg8L1llYXI+PFJl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</w:fldData>
              </w:fldChar>
            </w:r>
            <w:r>
              <w:rPr>
                <w:rFonts w:ascii="Arial Narrow" w:hAnsi="Arial Narrow" w:cs="Times New Roman"/>
              </w:rPr>
              <w:instrText xml:space="preserve"> ADDIN EN.CITE.DATA </w:instrText>
            </w:r>
            <w:r>
              <w:rPr>
                <w:rFonts w:ascii="Arial Narrow" w:hAnsi="Arial Narrow" w:cs="Times New Roman"/>
              </w:rPr>
            </w:r>
            <w:r>
              <w:rPr>
                <w:rFonts w:ascii="Arial Narrow" w:hAnsi="Arial Narrow" w:cs="Times New Roman"/>
              </w:rPr>
              <w:fldChar w:fldCharType="end"/>
            </w:r>
            <w:r>
              <w:rPr>
                <w:rFonts w:ascii="Arial Narrow" w:hAnsi="Arial Narrow" w:cs="Times New Roman"/>
              </w:rPr>
            </w:r>
            <w:r>
              <w:rPr>
                <w:rFonts w:ascii="Arial Narrow" w:hAnsi="Arial Narrow" w:cs="Times New Roman"/>
              </w:rPr>
              <w:fldChar w:fldCharType="separate"/>
            </w:r>
            <w:r>
              <w:rPr>
                <w:rFonts w:ascii="Arial Narrow" w:hAnsi="Arial Narrow" w:cs="Times New Roman"/>
                <w:noProof/>
              </w:rPr>
              <w:t>(Huang et al. 2018)</w:t>
            </w:r>
            <w:r>
              <w:rPr>
                <w:rFonts w:ascii="Arial Narrow" w:hAnsi="Arial Narrow" w:cs="Times New Roman"/>
              </w:rPr>
              <w:fldChar w:fldCharType="end"/>
            </w:r>
          </w:p>
          <w:p w14:paraId="5D1C5F21" w14:textId="146116C2" w:rsidR="00213B25" w:rsidRPr="00AE5C89" w:rsidRDefault="00213B25" w:rsidP="00AE5C89">
            <w:pPr>
              <w:spacing w:before="30" w:after="30"/>
              <w:ind w:left="60" w:right="60"/>
              <w:jc w:val="left"/>
              <w:rPr>
                <w:rFonts w:ascii="Arial Narrow" w:hAnsi="Arial Narrow" w:cs="Times New Roman"/>
              </w:rPr>
            </w:pPr>
            <w:r>
              <w:rPr>
                <w:rFonts w:ascii="Arial Narrow" w:hAnsi="Arial Narrow" w:cs="Times New Roman"/>
              </w:rPr>
              <w:t>China</w:t>
            </w:r>
          </w:p>
        </w:tc>
        <w:tc>
          <w:tcPr>
            <w:tcW w:w="709" w:type="dxa"/>
            <w:tcBorders>
              <w:top w:val="single" w:sz="6" w:space="0" w:color="auto"/>
              <w:left w:val="single" w:sz="6" w:space="0" w:color="auto"/>
              <w:bottom w:val="single" w:sz="6" w:space="0" w:color="auto"/>
              <w:right w:val="single" w:sz="6" w:space="0" w:color="auto"/>
            </w:tcBorders>
          </w:tcPr>
          <w:p w14:paraId="247A5C2B"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Coh</w:t>
            </w:r>
          </w:p>
          <w:p w14:paraId="052E95AC"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III-2</w:t>
            </w:r>
          </w:p>
        </w:tc>
        <w:tc>
          <w:tcPr>
            <w:tcW w:w="850" w:type="dxa"/>
            <w:tcBorders>
              <w:top w:val="single" w:sz="6" w:space="0" w:color="auto"/>
              <w:left w:val="single" w:sz="6" w:space="0" w:color="auto"/>
              <w:bottom w:val="single" w:sz="6" w:space="0" w:color="auto"/>
              <w:right w:val="single" w:sz="6" w:space="0" w:color="auto"/>
            </w:tcBorders>
          </w:tcPr>
          <w:p w14:paraId="673095DD" w14:textId="77777777" w:rsidR="00AE5C89" w:rsidRPr="00AE5C89" w:rsidRDefault="00001B10" w:rsidP="00001B10">
            <w:pPr>
              <w:spacing w:before="30" w:after="30"/>
              <w:ind w:left="60" w:right="60"/>
              <w:jc w:val="left"/>
              <w:rPr>
                <w:rFonts w:ascii="Arial Narrow" w:hAnsi="Arial Narrow" w:cs="Times New Roman"/>
              </w:rPr>
            </w:pPr>
            <w:r>
              <w:rPr>
                <w:rFonts w:ascii="Arial Narrow" w:hAnsi="Arial Narrow" w:cs="Times New Roman"/>
              </w:rPr>
              <w:t>High</w:t>
            </w:r>
          </w:p>
        </w:tc>
        <w:tc>
          <w:tcPr>
            <w:tcW w:w="709" w:type="dxa"/>
            <w:tcBorders>
              <w:top w:val="single" w:sz="6" w:space="0" w:color="auto"/>
              <w:left w:val="single" w:sz="6" w:space="0" w:color="auto"/>
              <w:bottom w:val="single" w:sz="6" w:space="0" w:color="auto"/>
              <w:right w:val="single" w:sz="6" w:space="0" w:color="auto"/>
            </w:tcBorders>
          </w:tcPr>
          <w:p w14:paraId="4DF229D5"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90</w:t>
            </w:r>
          </w:p>
        </w:tc>
        <w:tc>
          <w:tcPr>
            <w:tcW w:w="2551" w:type="dxa"/>
            <w:tcBorders>
              <w:top w:val="single" w:sz="6" w:space="0" w:color="auto"/>
              <w:left w:val="single" w:sz="6" w:space="0" w:color="auto"/>
              <w:bottom w:val="single" w:sz="6" w:space="0" w:color="auto"/>
              <w:right w:val="single" w:sz="6" w:space="0" w:color="auto"/>
            </w:tcBorders>
          </w:tcPr>
          <w:p w14:paraId="5E3BB575"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Diagnosis by 2006 NMO or 2015 NMOSD criteria, seropositive for AQP4-Abs, ≥ 18 years, more than 2 relapses within 2 years prior to therapy</w:t>
            </w:r>
          </w:p>
        </w:tc>
        <w:tc>
          <w:tcPr>
            <w:tcW w:w="1560" w:type="dxa"/>
            <w:tcBorders>
              <w:top w:val="single" w:sz="6" w:space="0" w:color="auto"/>
              <w:left w:val="single" w:sz="6" w:space="0" w:color="auto"/>
              <w:bottom w:val="single" w:sz="6" w:space="0" w:color="auto"/>
              <w:right w:val="single" w:sz="6" w:space="0" w:color="auto"/>
            </w:tcBorders>
          </w:tcPr>
          <w:p w14:paraId="33AD249E" w14:textId="77777777" w:rsidR="00AE5C89" w:rsidRPr="00AE5C89" w:rsidRDefault="00AE5C89" w:rsidP="00BF1449">
            <w:pPr>
              <w:spacing w:before="30" w:after="30"/>
              <w:ind w:left="60" w:right="60"/>
              <w:jc w:val="left"/>
              <w:rPr>
                <w:rFonts w:ascii="Arial Narrow" w:hAnsi="Arial Narrow" w:cs="Times New Roman"/>
              </w:rPr>
            </w:pPr>
            <w:r w:rsidRPr="00AE5C89">
              <w:rPr>
                <w:rFonts w:ascii="Arial Narrow" w:hAnsi="Arial Narrow" w:cs="Times New Roman"/>
              </w:rPr>
              <w:t xml:space="preserve">IV </w:t>
            </w:r>
            <w:r w:rsidR="00BF1449">
              <w:rPr>
                <w:rFonts w:ascii="Arial Narrow" w:hAnsi="Arial Narrow" w:cs="Times New Roman"/>
              </w:rPr>
              <w:t>MMF</w:t>
            </w:r>
            <w:r w:rsidRPr="00AE5C89">
              <w:rPr>
                <w:rFonts w:ascii="Arial Narrow" w:hAnsi="Arial Narrow" w:cs="Times New Roman"/>
              </w:rPr>
              <w:t xml:space="preserve">; dose 500mg/day for the first 2 weeks and then 1,000mg/day </w:t>
            </w:r>
          </w:p>
        </w:tc>
        <w:tc>
          <w:tcPr>
            <w:tcW w:w="1134" w:type="dxa"/>
            <w:tcBorders>
              <w:top w:val="single" w:sz="6" w:space="0" w:color="auto"/>
              <w:left w:val="single" w:sz="6" w:space="0" w:color="auto"/>
              <w:bottom w:val="single" w:sz="6" w:space="0" w:color="auto"/>
              <w:right w:val="single" w:sz="6" w:space="0" w:color="auto"/>
            </w:tcBorders>
          </w:tcPr>
          <w:p w14:paraId="14629672" w14:textId="77777777" w:rsidR="00AE5C89" w:rsidRPr="00AE5C89" w:rsidRDefault="00AE5C89" w:rsidP="00AE5C89">
            <w:pPr>
              <w:spacing w:before="30" w:after="30"/>
              <w:ind w:left="60" w:right="60"/>
              <w:jc w:val="left"/>
              <w:rPr>
                <w:rFonts w:ascii="Arial Narrow" w:hAnsi="Arial Narrow" w:cs="Times New Roman"/>
              </w:rPr>
            </w:pPr>
            <w:r w:rsidRPr="00AE5C89">
              <w:rPr>
                <w:rFonts w:ascii="Arial Narrow" w:hAnsi="Arial Narrow" w:cs="Times New Roman"/>
              </w:rPr>
              <w:t>None</w:t>
            </w:r>
          </w:p>
        </w:tc>
        <w:tc>
          <w:tcPr>
            <w:tcW w:w="1134" w:type="dxa"/>
            <w:tcBorders>
              <w:top w:val="single" w:sz="6" w:space="0" w:color="auto"/>
              <w:left w:val="single" w:sz="6" w:space="0" w:color="auto"/>
              <w:bottom w:val="single" w:sz="6" w:space="0" w:color="auto"/>
              <w:right w:val="single" w:sz="6" w:space="0" w:color="auto"/>
            </w:tcBorders>
          </w:tcPr>
          <w:p w14:paraId="25324D1C" w14:textId="77777777" w:rsidR="00AE5C89" w:rsidRPr="00AE5C89" w:rsidRDefault="00FB2C22" w:rsidP="00AE5C89">
            <w:pPr>
              <w:spacing w:before="30" w:after="30"/>
              <w:ind w:left="60" w:right="60"/>
              <w:jc w:val="left"/>
              <w:rPr>
                <w:rFonts w:ascii="Arial Narrow" w:hAnsi="Arial Narrow" w:cs="Times New Roman"/>
              </w:rPr>
            </w:pPr>
            <w:r>
              <w:rPr>
                <w:rFonts w:ascii="Arial Narrow" w:hAnsi="Arial Narrow" w:cs="Times New Roman"/>
              </w:rPr>
              <w:t>Adverse events</w:t>
            </w:r>
          </w:p>
        </w:tc>
      </w:tr>
    </w:tbl>
    <w:p w14:paraId="4194DED1" w14:textId="77777777" w:rsidR="00ED65EE" w:rsidRPr="00183E4D" w:rsidRDefault="002C3E0A" w:rsidP="00ED65EE">
      <w:pPr>
        <w:widowControl w:val="0"/>
        <w:spacing w:after="120" w:line="240" w:lineRule="auto"/>
        <w:rPr>
          <w:rStyle w:val="TablenotesChar0"/>
        </w:rPr>
      </w:pPr>
      <w:r>
        <w:rPr>
          <w:rStyle w:val="TablenotesChar0"/>
        </w:rPr>
        <w:t xml:space="preserve">ARR = annualised relapse rate; AQP4-Abs = aquaporin 4 antibodies; </w:t>
      </w:r>
      <w:r w:rsidR="00147B14">
        <w:rPr>
          <w:rStyle w:val="TablenotesChar0"/>
        </w:rPr>
        <w:t xml:space="preserve">BCVA = best corrected visual acuity; </w:t>
      </w:r>
      <w:r w:rsidR="00ED65EE" w:rsidRPr="00183E4D">
        <w:rPr>
          <w:rStyle w:val="TablenotesChar0"/>
        </w:rPr>
        <w:t xml:space="preserve">Coh=cohort; CS=case series; </w:t>
      </w:r>
      <w:r>
        <w:rPr>
          <w:rStyle w:val="TablenotesChar0"/>
        </w:rPr>
        <w:t xml:space="preserve">EDSS = Expanded Disability Status Scale; IPND = International Panel for NMO Diagnosis; IV = intravenous; </w:t>
      </w:r>
      <w:r w:rsidR="00A20382">
        <w:rPr>
          <w:rStyle w:val="TablenotesChar0"/>
        </w:rPr>
        <w:t>IVM</w:t>
      </w:r>
      <w:r w:rsidR="00D425E8">
        <w:rPr>
          <w:rStyle w:val="TablenotesChar0"/>
        </w:rPr>
        <w:t>P</w:t>
      </w:r>
      <w:r w:rsidR="00A20382">
        <w:rPr>
          <w:rStyle w:val="TablenotesChar0"/>
        </w:rPr>
        <w:t xml:space="preserve"> = intravenous methyl-</w:t>
      </w:r>
      <w:r w:rsidR="00A20382">
        <w:rPr>
          <w:rStyle w:val="TablenotesChar0"/>
        </w:rPr>
        <w:lastRenderedPageBreak/>
        <w:t xml:space="preserve">prednisolone; </w:t>
      </w:r>
      <w:r w:rsidR="00AC1893">
        <w:rPr>
          <w:rStyle w:val="TablenotesChar0"/>
        </w:rPr>
        <w:t>LETM = longitudinally extensive transverse myelitis</w:t>
      </w:r>
      <w:r w:rsidR="00AC1893" w:rsidRPr="00BF1449">
        <w:rPr>
          <w:rStyle w:val="TablenotesChar0"/>
        </w:rPr>
        <w:t xml:space="preserve">; </w:t>
      </w:r>
      <w:r w:rsidR="002E3E7F" w:rsidRPr="00BF1449">
        <w:rPr>
          <w:rStyle w:val="TablenotesChar0"/>
        </w:rPr>
        <w:t>MM</w:t>
      </w:r>
      <w:r w:rsidR="00BF1449" w:rsidRPr="00BF1449">
        <w:rPr>
          <w:rStyle w:val="TablenotesChar0"/>
        </w:rPr>
        <w:t>F</w:t>
      </w:r>
      <w:r w:rsidR="002E3E7F" w:rsidRPr="00BF1449">
        <w:rPr>
          <w:rStyle w:val="TablenotesChar0"/>
        </w:rPr>
        <w:t xml:space="preserve"> = Mycophenolate mofetil; </w:t>
      </w:r>
      <w:r w:rsidR="005E49B0" w:rsidRPr="00BF1449">
        <w:rPr>
          <w:rStyle w:val="TablenotesChar0"/>
        </w:rPr>
        <w:t>MOG</w:t>
      </w:r>
      <w:r w:rsidR="005E49B0">
        <w:rPr>
          <w:rStyle w:val="TablenotesChar0"/>
        </w:rPr>
        <w:t xml:space="preserve">-Ab = myelin oligodendrocyte glycoprotein antibody; </w:t>
      </w:r>
      <w:r w:rsidR="00DA5DF9">
        <w:rPr>
          <w:rStyle w:val="TablenotesChar0"/>
        </w:rPr>
        <w:t xml:space="preserve">MS = multiple sclerosis; </w:t>
      </w:r>
      <w:r>
        <w:rPr>
          <w:rStyle w:val="TablenotesChar0"/>
        </w:rPr>
        <w:t xml:space="preserve">NMO = neuromyelitis optica; NMOSD = neuromyelitis optica spectrum disorders; </w:t>
      </w:r>
      <w:r w:rsidR="00AC1893">
        <w:rPr>
          <w:rStyle w:val="TablenotesChar0"/>
        </w:rPr>
        <w:t xml:space="preserve">ON = optic neuritis; </w:t>
      </w:r>
      <w:r w:rsidR="00DA5DF9">
        <w:rPr>
          <w:rStyle w:val="TablenotesChar0"/>
        </w:rPr>
        <w:t xml:space="preserve">PLEX = plasma exchange; </w:t>
      </w:r>
      <w:r w:rsidR="005838B8">
        <w:rPr>
          <w:rStyle w:val="TablenotesChar0"/>
        </w:rPr>
        <w:t xml:space="preserve">Ret = retrospective; </w:t>
      </w:r>
      <w:r w:rsidR="00ED65EE" w:rsidRPr="00183E4D">
        <w:rPr>
          <w:rStyle w:val="TablenotesChar0"/>
        </w:rPr>
        <w:t>R</w:t>
      </w:r>
      <w:r w:rsidR="005838B8">
        <w:rPr>
          <w:rStyle w:val="TablenotesChar0"/>
        </w:rPr>
        <w:t>CT</w:t>
      </w:r>
      <w:r w:rsidR="00ED65EE" w:rsidRPr="00183E4D">
        <w:rPr>
          <w:rStyle w:val="TablenotesChar0"/>
        </w:rPr>
        <w:t>=randomised</w:t>
      </w:r>
      <w:r w:rsidR="005838B8">
        <w:rPr>
          <w:rStyle w:val="TablenotesChar0"/>
        </w:rPr>
        <w:t xml:space="preserve"> controlled trial</w:t>
      </w:r>
    </w:p>
    <w:p w14:paraId="0734BEE3" w14:textId="77777777" w:rsidR="00ED65EE" w:rsidRPr="00183E4D" w:rsidRDefault="00ED65EE" w:rsidP="00ED65EE"/>
    <w:p w14:paraId="0D8BBE78" w14:textId="77777777" w:rsidR="00ED65EE" w:rsidRPr="00183E4D" w:rsidRDefault="0044547B" w:rsidP="003816F6">
      <w:pPr>
        <w:pStyle w:val="Heading2"/>
        <w:numPr>
          <w:ilvl w:val="1"/>
          <w:numId w:val="16"/>
        </w:numPr>
      </w:pPr>
      <w:r>
        <w:t xml:space="preserve"> </w:t>
      </w:r>
      <w:bookmarkStart w:id="304" w:name="_Toc39588331"/>
      <w:r w:rsidR="00ED65EE" w:rsidRPr="00183E4D">
        <w:t>Outcome Measures and Analysis</w:t>
      </w:r>
      <w:bookmarkEnd w:id="304"/>
    </w:p>
    <w:p w14:paraId="4516B751" w14:textId="51550CB4" w:rsidR="00ED65EE" w:rsidRPr="00183E4D" w:rsidRDefault="00ED65EE" w:rsidP="00BF61CA">
      <w:r w:rsidRPr="00183E4D">
        <w:t xml:space="preserve">See </w:t>
      </w:r>
      <w:r w:rsidR="000E3254">
        <w:fldChar w:fldCharType="begin"/>
      </w:r>
      <w:r w:rsidR="000E3254">
        <w:instrText xml:space="preserve"> REF _Ref190841600 \h </w:instrText>
      </w:r>
      <w:r w:rsidR="000E3254">
        <w:fldChar w:fldCharType="separate"/>
      </w:r>
      <w:r w:rsidR="000E3254" w:rsidRPr="00183E4D">
        <w:t xml:space="preserve">Appendix </w:t>
      </w:r>
      <w:r w:rsidR="000E3254">
        <w:rPr>
          <w:noProof/>
        </w:rPr>
        <w:t>C</w:t>
      </w:r>
      <w:r w:rsidR="000E3254">
        <w:fldChar w:fldCharType="end"/>
      </w:r>
      <w:r w:rsidRPr="00183E4D">
        <w:t xml:space="preserve"> for details on the outcomes measured in the included studies, along with the statistical methods used to analyse the results.</w:t>
      </w:r>
    </w:p>
    <w:p w14:paraId="13838156" w14:textId="77777777" w:rsidR="003B1E0F" w:rsidRDefault="003B1E0F" w:rsidP="00BF61CA">
      <w:r>
        <w:t>Outcome measures for therapeutic effectiveness varied according to the category of evidence included</w:t>
      </w:r>
      <w:r w:rsidR="00D4493D">
        <w:t xml:space="preserve"> (see Section 5.2)</w:t>
      </w:r>
      <w:r>
        <w:t>.</w:t>
      </w:r>
    </w:p>
    <w:p w14:paraId="37056ABA" w14:textId="11BB5FBF" w:rsidR="003B1E0F" w:rsidRDefault="004D0ACA" w:rsidP="00BF61CA">
      <w:r>
        <w:t>Comparisons of</w:t>
      </w:r>
      <w:r w:rsidR="003B1E0F">
        <w:t xml:space="preserve"> early </w:t>
      </w:r>
      <w:r>
        <w:t>versus</w:t>
      </w:r>
      <w:r w:rsidR="003B1E0F">
        <w:t xml:space="preserve"> late treatment in NMOSD patients </w:t>
      </w:r>
      <w:r>
        <w:t>w</w:t>
      </w:r>
      <w:r w:rsidR="00CE7F93">
        <w:t>ere</w:t>
      </w:r>
      <w:r>
        <w:t xml:space="preserve"> measured by the impact of treatment on symptoms such as visual impairment or relapse rate.</w:t>
      </w:r>
      <w:r w:rsidR="003B1E0F">
        <w:t xml:space="preserve"> </w:t>
      </w:r>
    </w:p>
    <w:p w14:paraId="65DC3B08" w14:textId="77777777" w:rsidR="004D0ACA" w:rsidRDefault="004D0ACA" w:rsidP="00BF61CA">
      <w:r>
        <w:t>Change in disease status following treatment was measured using the change in EDSS or change in ARR. These measures of disability and relapse rate have been discussed elsewhere in this report</w:t>
      </w:r>
      <w:r w:rsidR="00D4493D">
        <w:t xml:space="preserve"> (Section B4.2.2)</w:t>
      </w:r>
      <w:r>
        <w:t>.</w:t>
      </w:r>
    </w:p>
    <w:p w14:paraId="4CD19D76" w14:textId="77777777" w:rsidR="004D0ACA" w:rsidRDefault="004D0ACA" w:rsidP="00BF61CA">
      <w:pPr>
        <w:rPr>
          <w:rFonts w:cs="Calibri"/>
        </w:rPr>
      </w:pPr>
      <w:r>
        <w:t>The effectiveness of specific treatments for NMOSD compared to MS treatments in NMOSD was reported by way of hazard ratios</w:t>
      </w:r>
      <w:r w:rsidR="00D4493D">
        <w:t xml:space="preserve"> for attack risk</w:t>
      </w:r>
      <w:r>
        <w:t>, with effectiveness of interferon-</w:t>
      </w:r>
      <w:r>
        <w:rPr>
          <w:rFonts w:cs="Calibri"/>
        </w:rPr>
        <w:t>β</w:t>
      </w:r>
      <w:r>
        <w:t xml:space="preserve"> being the </w:t>
      </w:r>
      <w:r w:rsidR="00D4493D">
        <w:t>reference</w:t>
      </w:r>
      <w:r>
        <w:t xml:space="preserve"> point. </w:t>
      </w:r>
      <w:r w:rsidR="00D4493D">
        <w:t>Interferon-</w:t>
      </w:r>
      <w:r w:rsidR="00D4493D">
        <w:rPr>
          <w:rFonts w:cs="Calibri"/>
        </w:rPr>
        <w:t>β has been shown previously to be ineffective in the treatment of NMOSD, but is used regularly and with success in MS patients.</w:t>
      </w:r>
    </w:p>
    <w:p w14:paraId="2092A5DD" w14:textId="34249300" w:rsidR="00F73B52" w:rsidRDefault="00D4493D" w:rsidP="00D4493D">
      <w:pPr>
        <w:spacing w:after="80"/>
        <w:rPr>
          <w:rFonts w:cs="Calibri"/>
        </w:rPr>
      </w:pPr>
      <w:r>
        <w:rPr>
          <w:rFonts w:cs="Calibri"/>
        </w:rPr>
        <w:t>Finally, safety of NMOSD treatments was measured in terms of adverse events or serious adverse events.</w:t>
      </w:r>
      <w:r w:rsidR="00F73B52">
        <w:rPr>
          <w:rFonts w:cs="Calibri"/>
        </w:rPr>
        <w:br w:type="page"/>
      </w:r>
    </w:p>
    <w:p w14:paraId="3D83D993" w14:textId="77777777" w:rsidR="00ED65EE" w:rsidRPr="00183E4D" w:rsidRDefault="00ED65EE" w:rsidP="003816F6">
      <w:pPr>
        <w:pStyle w:val="Heading2"/>
        <w:numPr>
          <w:ilvl w:val="1"/>
          <w:numId w:val="16"/>
        </w:numPr>
      </w:pPr>
      <w:bookmarkStart w:id="305" w:name="_Toc39588332"/>
      <w:r w:rsidRPr="00183E4D">
        <w:lastRenderedPageBreak/>
        <w:t>Results of the Systematic Literature review</w:t>
      </w:r>
      <w:bookmarkEnd w:id="305"/>
    </w:p>
    <w:p w14:paraId="30BF64BA" w14:textId="77777777" w:rsidR="00ED65EE" w:rsidRDefault="00ED65EE" w:rsidP="00ED65EE">
      <w:pPr>
        <w:pStyle w:val="Heading3"/>
      </w:pPr>
      <w:bookmarkStart w:id="306" w:name="_Toc39588333"/>
      <w:r w:rsidRPr="004D0C0F">
        <w:t xml:space="preserve">Does the change in management </w:t>
      </w:r>
      <w:r>
        <w:t>improve</w:t>
      </w:r>
      <w:r w:rsidRPr="004D0C0F">
        <w:t xml:space="preserve"> health outcomes?</w:t>
      </w:r>
      <w:bookmarkEnd w:id="306"/>
    </w:p>
    <w:p w14:paraId="39881368" w14:textId="5A8577D9" w:rsidR="00ED65EE" w:rsidRPr="00183E4D" w:rsidRDefault="00ED65EE" w:rsidP="00ED65EE">
      <w:pPr>
        <w:pStyle w:val="Summaryboxheading"/>
        <w:pBdr>
          <w:top w:val="single" w:sz="4" w:space="1" w:color="auto"/>
          <w:left w:val="single" w:sz="4" w:space="4" w:color="auto"/>
          <w:bottom w:val="single" w:sz="4" w:space="1" w:color="auto"/>
          <w:right w:val="single" w:sz="4" w:space="4" w:color="auto"/>
        </w:pBdr>
      </w:pPr>
      <w:r w:rsidRPr="00183E4D">
        <w:t xml:space="preserve">Summary </w:t>
      </w:r>
      <w:r w:rsidRPr="008A60C7">
        <w:t xml:space="preserve">– </w:t>
      </w:r>
      <w:r w:rsidR="008A60C7" w:rsidRPr="008A60C7">
        <w:t>How effective are the changes which result from AQP4-Ab with/without MOG-Ab testing compared to diagnosis based on clinical characteristics alone (e.g. how effective is early v</w:t>
      </w:r>
      <w:r w:rsidR="00127A9A">
        <w:t>ersu</w:t>
      </w:r>
      <w:r w:rsidR="008A60C7" w:rsidRPr="008A60C7">
        <w:t>s late treatment, or treatment for NMOSD rather than MS for someone with NMOSD)?</w:t>
      </w:r>
    </w:p>
    <w:p w14:paraId="345D3C79" w14:textId="77C9FB47" w:rsidR="003430DA" w:rsidRDefault="006F54CC" w:rsidP="006F54CC">
      <w:pPr>
        <w:pStyle w:val="Summaryboxheading"/>
        <w:pBdr>
          <w:top w:val="single" w:sz="4" w:space="1" w:color="auto"/>
          <w:left w:val="single" w:sz="4" w:space="4" w:color="auto"/>
          <w:bottom w:val="single" w:sz="4" w:space="1" w:color="auto"/>
          <w:right w:val="single" w:sz="4" w:space="4" w:color="auto"/>
        </w:pBdr>
        <w:rPr>
          <w:b w:val="0"/>
        </w:rPr>
      </w:pPr>
      <w:r w:rsidRPr="006F54CC">
        <w:rPr>
          <w:b w:val="0"/>
        </w:rPr>
        <w:t xml:space="preserve">There was a strong to very strong association between early treatment (PLEX, AZA or IVMP) for NMOSD patients and better treatment effectiveness when compared to late treatment. Delay of treatment in three studies led to </w:t>
      </w:r>
      <w:r w:rsidR="001E084C">
        <w:rPr>
          <w:b w:val="0"/>
        </w:rPr>
        <w:t>statistically significantly</w:t>
      </w:r>
      <w:r w:rsidR="001E084C" w:rsidRPr="006F54CC">
        <w:rPr>
          <w:b w:val="0"/>
        </w:rPr>
        <w:t xml:space="preserve"> </w:t>
      </w:r>
      <w:r w:rsidRPr="006F54CC">
        <w:rPr>
          <w:b w:val="0"/>
        </w:rPr>
        <w:t xml:space="preserve">worse outcomes. </w:t>
      </w:r>
      <w:r w:rsidR="003430DA">
        <w:rPr>
          <w:b w:val="0"/>
        </w:rPr>
        <w:t xml:space="preserve">Of particular </w:t>
      </w:r>
      <w:r w:rsidR="001E084C">
        <w:rPr>
          <w:b w:val="0"/>
        </w:rPr>
        <w:t xml:space="preserve">importance </w:t>
      </w:r>
      <w:r w:rsidR="003430DA">
        <w:rPr>
          <w:b w:val="0"/>
        </w:rPr>
        <w:t>for visual outcome</w:t>
      </w:r>
      <w:r w:rsidR="001E084C">
        <w:rPr>
          <w:b w:val="0"/>
        </w:rPr>
        <w:t>s</w:t>
      </w:r>
      <w:r w:rsidR="003430DA">
        <w:rPr>
          <w:b w:val="0"/>
        </w:rPr>
        <w:t>,</w:t>
      </w:r>
      <w:r w:rsidRPr="006F54CC">
        <w:rPr>
          <w:b w:val="0"/>
        </w:rPr>
        <w:t xml:space="preserve"> </w:t>
      </w:r>
      <w:r w:rsidR="003430DA">
        <w:rPr>
          <w:b w:val="0"/>
        </w:rPr>
        <w:t>a</w:t>
      </w:r>
      <w:r w:rsidRPr="006F54CC">
        <w:rPr>
          <w:b w:val="0"/>
        </w:rPr>
        <w:t xml:space="preserve"> </w:t>
      </w:r>
      <w:r w:rsidR="003430DA">
        <w:rPr>
          <w:b w:val="0"/>
        </w:rPr>
        <w:t>study of NMOSD patients with ON found that</w:t>
      </w:r>
      <w:r w:rsidRPr="006F54CC">
        <w:rPr>
          <w:b w:val="0"/>
        </w:rPr>
        <w:t xml:space="preserve"> delay of IVMP treatment</w:t>
      </w:r>
      <w:r w:rsidR="001E084C">
        <w:rPr>
          <w:b w:val="0"/>
        </w:rPr>
        <w:t>,</w:t>
      </w:r>
      <w:r w:rsidRPr="006F54CC">
        <w:rPr>
          <w:b w:val="0"/>
        </w:rPr>
        <w:t xml:space="preserve"> beyond as little as 4 days after an ON attack</w:t>
      </w:r>
      <w:r w:rsidR="003430DA">
        <w:rPr>
          <w:b w:val="0"/>
        </w:rPr>
        <w:t>,</w:t>
      </w:r>
      <w:r w:rsidRPr="006F54CC">
        <w:rPr>
          <w:b w:val="0"/>
        </w:rPr>
        <w:t xml:space="preserve"> led to </w:t>
      </w:r>
      <w:r w:rsidR="003430DA">
        <w:rPr>
          <w:b w:val="0"/>
        </w:rPr>
        <w:t>worse visual deterioration</w:t>
      </w:r>
      <w:r w:rsidRPr="006F54CC">
        <w:rPr>
          <w:b w:val="0"/>
        </w:rPr>
        <w:t xml:space="preserve">. </w:t>
      </w:r>
      <w:r w:rsidR="003430DA">
        <w:rPr>
          <w:b w:val="0"/>
        </w:rPr>
        <w:t xml:space="preserve">In other </w:t>
      </w:r>
      <w:r w:rsidR="007848A9">
        <w:rPr>
          <w:b w:val="0"/>
        </w:rPr>
        <w:t>statistically significant results</w:t>
      </w:r>
      <w:r w:rsidR="003430DA">
        <w:rPr>
          <w:b w:val="0"/>
        </w:rPr>
        <w:t xml:space="preserve">, delay in AZA led to </w:t>
      </w:r>
      <w:r w:rsidR="00065D65">
        <w:rPr>
          <w:b w:val="0"/>
        </w:rPr>
        <w:t>short</w:t>
      </w:r>
      <w:r w:rsidR="007848A9">
        <w:rPr>
          <w:b w:val="0"/>
        </w:rPr>
        <w:t>er</w:t>
      </w:r>
      <w:r w:rsidR="003430DA">
        <w:rPr>
          <w:b w:val="0"/>
        </w:rPr>
        <w:t xml:space="preserve"> time to relapse</w:t>
      </w:r>
      <w:r w:rsidR="00127A9A">
        <w:rPr>
          <w:b w:val="0"/>
        </w:rPr>
        <w:t>,</w:t>
      </w:r>
      <w:r w:rsidR="003430DA">
        <w:rPr>
          <w:b w:val="0"/>
        </w:rPr>
        <w:t xml:space="preserve"> </w:t>
      </w:r>
      <w:r w:rsidR="007848A9">
        <w:rPr>
          <w:b w:val="0"/>
        </w:rPr>
        <w:t>and delay in</w:t>
      </w:r>
      <w:r w:rsidR="003430DA">
        <w:rPr>
          <w:b w:val="0"/>
        </w:rPr>
        <w:t xml:space="preserve"> PLEX led to lower likelihood of complete improvement (measured by EDSS and VA)</w:t>
      </w:r>
      <w:r w:rsidR="007848A9">
        <w:rPr>
          <w:b w:val="0"/>
        </w:rPr>
        <w:t>.</w:t>
      </w:r>
    </w:p>
    <w:p w14:paraId="77E5B091" w14:textId="77777777" w:rsidR="006F54CC" w:rsidRPr="006F54CC" w:rsidRDefault="007848A9" w:rsidP="006F54CC">
      <w:pPr>
        <w:pStyle w:val="Summaryboxheading"/>
        <w:pBdr>
          <w:top w:val="single" w:sz="4" w:space="1" w:color="auto"/>
          <w:left w:val="single" w:sz="4" w:space="4" w:color="auto"/>
          <w:bottom w:val="single" w:sz="4" w:space="1" w:color="auto"/>
          <w:right w:val="single" w:sz="4" w:space="4" w:color="auto"/>
        </w:pBdr>
        <w:rPr>
          <w:b w:val="0"/>
        </w:rPr>
      </w:pPr>
      <w:r>
        <w:rPr>
          <w:b w:val="0"/>
        </w:rPr>
        <w:t>C</w:t>
      </w:r>
      <w:r w:rsidR="006F54CC" w:rsidRPr="006F54CC">
        <w:rPr>
          <w:b w:val="0"/>
        </w:rPr>
        <w:t xml:space="preserve">onfidence in the association </w:t>
      </w:r>
      <w:r>
        <w:rPr>
          <w:b w:val="0"/>
        </w:rPr>
        <w:t xml:space="preserve">between treatment timing and outcome </w:t>
      </w:r>
      <w:r w:rsidR="006F54CC" w:rsidRPr="006F54CC">
        <w:rPr>
          <w:b w:val="0"/>
        </w:rPr>
        <w:t xml:space="preserve">was moderate </w:t>
      </w:r>
      <w:r>
        <w:rPr>
          <w:b w:val="0"/>
        </w:rPr>
        <w:t xml:space="preserve">to high </w:t>
      </w:r>
      <w:r w:rsidR="006F54CC" w:rsidRPr="006F54CC">
        <w:rPr>
          <w:b w:val="0"/>
        </w:rPr>
        <w:t xml:space="preserve">when assessed by GRADE, </w:t>
      </w:r>
      <w:r>
        <w:rPr>
          <w:b w:val="0"/>
        </w:rPr>
        <w:t>but was</w:t>
      </w:r>
      <w:r w:rsidR="006F54CC" w:rsidRPr="006F54CC">
        <w:rPr>
          <w:b w:val="0"/>
        </w:rPr>
        <w:t xml:space="preserve"> reduced by the risk of bias in the retrospective observational study designs. (GRADE: LOW </w:t>
      </w:r>
      <w:r w:rsidR="006F54CC" w:rsidRPr="00065D65">
        <w:rPr>
          <w:rFonts w:ascii="Cambria Math" w:hAnsi="Cambria Math" w:cs="Cambria Math"/>
          <w:b w:val="0"/>
          <w:color w:val="00B050"/>
        </w:rPr>
        <w:t>⨁⨁</w:t>
      </w:r>
      <w:r w:rsidR="006F54CC" w:rsidRPr="00065D65">
        <w:rPr>
          <w:rFonts w:ascii="Cambria Math" w:hAnsi="Cambria Math" w:cs="Cambria Math"/>
          <w:b w:val="0"/>
          <w:color w:val="FF0000"/>
        </w:rPr>
        <w:t>⨀⨀</w:t>
      </w:r>
      <w:r w:rsidR="006F54CC" w:rsidRPr="006F54CC">
        <w:rPr>
          <w:b w:val="0"/>
        </w:rPr>
        <w:t xml:space="preserve"> to MODERATE </w:t>
      </w:r>
      <w:r w:rsidR="006F54CC" w:rsidRPr="00065D65">
        <w:rPr>
          <w:rFonts w:ascii="Cambria Math" w:hAnsi="Cambria Math" w:cs="Cambria Math"/>
          <w:b w:val="0"/>
          <w:color w:val="00B050"/>
        </w:rPr>
        <w:t>⨁⨁⨁</w:t>
      </w:r>
      <w:r w:rsidR="006F54CC" w:rsidRPr="00065D65">
        <w:rPr>
          <w:rFonts w:ascii="Cambria Math" w:hAnsi="Cambria Math" w:cs="Cambria Math"/>
          <w:b w:val="0"/>
          <w:color w:val="FF0000"/>
        </w:rPr>
        <w:t>⨀</w:t>
      </w:r>
      <w:r w:rsidR="006F54CC" w:rsidRPr="006F54CC">
        <w:rPr>
          <w:b w:val="0"/>
        </w:rPr>
        <w:t>)</w:t>
      </w:r>
    </w:p>
    <w:p w14:paraId="41B396DF" w14:textId="77777777" w:rsidR="006F54CC" w:rsidRPr="006F54CC" w:rsidRDefault="005B0E41" w:rsidP="006F54CC">
      <w:pPr>
        <w:pStyle w:val="Summaryboxheading"/>
        <w:pBdr>
          <w:top w:val="single" w:sz="4" w:space="1" w:color="auto"/>
          <w:left w:val="single" w:sz="4" w:space="4" w:color="auto"/>
          <w:bottom w:val="single" w:sz="4" w:space="1" w:color="auto"/>
          <w:right w:val="single" w:sz="4" w:space="4" w:color="auto"/>
        </w:pBdr>
        <w:rPr>
          <w:b w:val="0"/>
        </w:rPr>
      </w:pPr>
      <w:r>
        <w:rPr>
          <w:b w:val="0"/>
        </w:rPr>
        <w:t>Specific t</w:t>
      </w:r>
      <w:r w:rsidR="006F54CC" w:rsidRPr="006F54CC">
        <w:rPr>
          <w:b w:val="0"/>
        </w:rPr>
        <w:t xml:space="preserve">herapies for NMOSD (PLEX, RTX, </w:t>
      </w:r>
      <w:r w:rsidR="007A3089">
        <w:rPr>
          <w:b w:val="0"/>
        </w:rPr>
        <w:t xml:space="preserve">and </w:t>
      </w:r>
      <w:r w:rsidR="006F54CC" w:rsidRPr="006F54CC">
        <w:rPr>
          <w:b w:val="0"/>
        </w:rPr>
        <w:t xml:space="preserve">AZA) were more </w:t>
      </w:r>
      <w:r w:rsidR="007A3089">
        <w:rPr>
          <w:b w:val="0"/>
        </w:rPr>
        <w:t xml:space="preserve">effective overall than </w:t>
      </w:r>
      <w:r w:rsidR="004226B6">
        <w:rPr>
          <w:b w:val="0"/>
        </w:rPr>
        <w:t xml:space="preserve">standard </w:t>
      </w:r>
      <w:r>
        <w:rPr>
          <w:b w:val="0"/>
        </w:rPr>
        <w:t>immunosuppressant</w:t>
      </w:r>
      <w:r w:rsidR="006F54CC" w:rsidRPr="006F54CC">
        <w:rPr>
          <w:b w:val="0"/>
        </w:rPr>
        <w:t xml:space="preserve"> therapy</w:t>
      </w:r>
      <w:r w:rsidR="00C15223">
        <w:rPr>
          <w:b w:val="0"/>
        </w:rPr>
        <w:t xml:space="preserve"> (</w:t>
      </w:r>
      <w:r>
        <w:rPr>
          <w:b w:val="0"/>
        </w:rPr>
        <w:t>IVMP, glucocorticoids</w:t>
      </w:r>
      <w:r w:rsidR="00C15223">
        <w:rPr>
          <w:b w:val="0"/>
        </w:rPr>
        <w:t>)</w:t>
      </w:r>
      <w:r w:rsidR="006F54CC" w:rsidRPr="006F54CC">
        <w:rPr>
          <w:b w:val="0"/>
        </w:rPr>
        <w:t xml:space="preserve"> alone </w:t>
      </w:r>
      <w:r w:rsidR="007A3089">
        <w:rPr>
          <w:b w:val="0"/>
        </w:rPr>
        <w:t>when measured by EDSS or ARR in statistically significant results. ECZ was more effective than placebo when measure</w:t>
      </w:r>
      <w:r w:rsidR="001D0659">
        <w:rPr>
          <w:b w:val="0"/>
        </w:rPr>
        <w:t>d</w:t>
      </w:r>
      <w:r w:rsidR="007A3089">
        <w:rPr>
          <w:b w:val="0"/>
        </w:rPr>
        <w:t xml:space="preserve"> by ARR but not by EDSS.</w:t>
      </w:r>
      <w:r w:rsidR="006F54CC" w:rsidRPr="006F54CC">
        <w:rPr>
          <w:b w:val="0"/>
        </w:rPr>
        <w:t xml:space="preserve"> </w:t>
      </w:r>
      <w:r w:rsidR="00B14B53">
        <w:rPr>
          <w:b w:val="0"/>
        </w:rPr>
        <w:t xml:space="preserve">MS </w:t>
      </w:r>
      <w:r w:rsidR="006F54CC" w:rsidRPr="006F54CC">
        <w:rPr>
          <w:b w:val="0"/>
        </w:rPr>
        <w:t>treatment</w:t>
      </w:r>
      <w:r w:rsidR="00B14B53">
        <w:rPr>
          <w:b w:val="0"/>
        </w:rPr>
        <w:t>s</w:t>
      </w:r>
      <w:r w:rsidR="006F54CC" w:rsidRPr="006F54CC">
        <w:rPr>
          <w:b w:val="0"/>
        </w:rPr>
        <w:t xml:space="preserve"> (interferon beta</w:t>
      </w:r>
      <w:r w:rsidR="00B14B53">
        <w:rPr>
          <w:b w:val="0"/>
        </w:rPr>
        <w:t>,</w:t>
      </w:r>
      <w:r w:rsidR="00B14B53" w:rsidRPr="00B14B53">
        <w:rPr>
          <w:b w:val="0"/>
        </w:rPr>
        <w:t xml:space="preserve"> </w:t>
      </w:r>
      <w:r w:rsidR="00B14B53">
        <w:rPr>
          <w:b w:val="0"/>
        </w:rPr>
        <w:t>g</w:t>
      </w:r>
      <w:r w:rsidR="00B14B53" w:rsidRPr="00B14B53">
        <w:rPr>
          <w:b w:val="0"/>
        </w:rPr>
        <w:t>latiramer acetate and mitoxantrone</w:t>
      </w:r>
      <w:r w:rsidR="006F54CC" w:rsidRPr="006F54CC">
        <w:rPr>
          <w:b w:val="0"/>
        </w:rPr>
        <w:t>)</w:t>
      </w:r>
      <w:r w:rsidR="00B14B53">
        <w:rPr>
          <w:b w:val="0"/>
        </w:rPr>
        <w:t xml:space="preserve"> were not found to be effective in NMOSD patients</w:t>
      </w:r>
      <w:r w:rsidR="006F54CC" w:rsidRPr="006F54CC">
        <w:rPr>
          <w:b w:val="0"/>
        </w:rPr>
        <w:t xml:space="preserve">. The association between better effectiveness and NMOSD treatment was strong and there was moderate confidence in this outcome when assessed by GRADE. (GRADE: LOW </w:t>
      </w:r>
      <w:r w:rsidR="00B14B53" w:rsidRPr="00065D65">
        <w:rPr>
          <w:rFonts w:ascii="Cambria Math" w:hAnsi="Cambria Math" w:cs="Cambria Math"/>
          <w:b w:val="0"/>
          <w:color w:val="00B050"/>
        </w:rPr>
        <w:t>⨁⨁</w:t>
      </w:r>
      <w:r w:rsidR="00B14B53" w:rsidRPr="00065D65">
        <w:rPr>
          <w:rFonts w:ascii="Cambria Math" w:hAnsi="Cambria Math" w:cs="Cambria Math"/>
          <w:b w:val="0"/>
          <w:color w:val="FF0000"/>
        </w:rPr>
        <w:t>⨀⨀</w:t>
      </w:r>
      <w:r w:rsidR="006F54CC" w:rsidRPr="006F54CC">
        <w:rPr>
          <w:b w:val="0"/>
        </w:rPr>
        <w:t xml:space="preserve"> to HIGH </w:t>
      </w:r>
      <w:r w:rsidR="006F54CC" w:rsidRPr="00B14B53">
        <w:rPr>
          <w:rFonts w:ascii="Cambria Math" w:hAnsi="Cambria Math" w:cs="Cambria Math"/>
          <w:b w:val="0"/>
          <w:color w:val="00B050"/>
        </w:rPr>
        <w:t>⨁⨁⨁⨁</w:t>
      </w:r>
      <w:r w:rsidR="006F54CC" w:rsidRPr="006F54CC">
        <w:rPr>
          <w:b w:val="0"/>
        </w:rPr>
        <w:t>)</w:t>
      </w:r>
    </w:p>
    <w:p w14:paraId="21AFCDF1" w14:textId="77777777" w:rsidR="000B746D" w:rsidRDefault="006F54CC" w:rsidP="00ED65EE">
      <w:pPr>
        <w:pStyle w:val="Summaryboxheading"/>
        <w:pBdr>
          <w:top w:val="single" w:sz="4" w:space="1" w:color="auto"/>
          <w:left w:val="single" w:sz="4" w:space="4" w:color="auto"/>
          <w:bottom w:val="single" w:sz="4" w:space="1" w:color="auto"/>
          <w:right w:val="single" w:sz="4" w:space="4" w:color="auto"/>
        </w:pBdr>
        <w:rPr>
          <w:b w:val="0"/>
        </w:rPr>
      </w:pPr>
      <w:r w:rsidRPr="006F54CC">
        <w:rPr>
          <w:b w:val="0"/>
        </w:rPr>
        <w:t xml:space="preserve">There </w:t>
      </w:r>
      <w:r w:rsidR="00B14B53">
        <w:rPr>
          <w:b w:val="0"/>
        </w:rPr>
        <w:t>is a risk of serious</w:t>
      </w:r>
      <w:r w:rsidRPr="006F54CC">
        <w:rPr>
          <w:b w:val="0"/>
        </w:rPr>
        <w:t xml:space="preserve"> side effects associated with NMOSD therapies, including some serious adverse events. However, </w:t>
      </w:r>
      <w:r w:rsidR="00B14B53">
        <w:rPr>
          <w:b w:val="0"/>
        </w:rPr>
        <w:t xml:space="preserve">the risk </w:t>
      </w:r>
      <w:r w:rsidR="00036EC8">
        <w:rPr>
          <w:b w:val="0"/>
        </w:rPr>
        <w:t xml:space="preserve">of </w:t>
      </w:r>
      <w:r w:rsidR="00B14B53">
        <w:rPr>
          <w:b w:val="0"/>
        </w:rPr>
        <w:t xml:space="preserve">side effects is likely to be considered preferable to </w:t>
      </w:r>
      <w:r w:rsidRPr="006F54CC">
        <w:rPr>
          <w:b w:val="0"/>
        </w:rPr>
        <w:t xml:space="preserve">the </w:t>
      </w:r>
      <w:r w:rsidR="00036EC8">
        <w:rPr>
          <w:b w:val="0"/>
        </w:rPr>
        <w:t>risk</w:t>
      </w:r>
      <w:r w:rsidRPr="006F54CC">
        <w:rPr>
          <w:b w:val="0"/>
        </w:rPr>
        <w:t xml:space="preserve"> of </w:t>
      </w:r>
      <w:r w:rsidR="00B14B53">
        <w:rPr>
          <w:b w:val="0"/>
        </w:rPr>
        <w:t xml:space="preserve">the </w:t>
      </w:r>
      <w:r w:rsidRPr="006F54CC">
        <w:rPr>
          <w:b w:val="0"/>
        </w:rPr>
        <w:t>serious clinical impact associated with NM</w:t>
      </w:r>
      <w:r w:rsidR="00B14B53">
        <w:rPr>
          <w:b w:val="0"/>
        </w:rPr>
        <w:t>OSD relapse symptoms or attacks</w:t>
      </w:r>
      <w:r w:rsidRPr="006F54CC">
        <w:rPr>
          <w:b w:val="0"/>
        </w:rPr>
        <w:t>.</w:t>
      </w:r>
      <w:r w:rsidR="00BC7AB8">
        <w:rPr>
          <w:b w:val="0"/>
        </w:rPr>
        <w:t xml:space="preserve"> The </w:t>
      </w:r>
      <w:r w:rsidR="000B746D">
        <w:rPr>
          <w:b w:val="0"/>
        </w:rPr>
        <w:t>risk of mortality associated with treatment appears to be very low.</w:t>
      </w:r>
    </w:p>
    <w:p w14:paraId="707C63B9" w14:textId="5BB401A6" w:rsidR="00906758" w:rsidRDefault="006F54CC" w:rsidP="00ED65EE">
      <w:pPr>
        <w:pStyle w:val="Summaryboxheading"/>
        <w:pBdr>
          <w:top w:val="single" w:sz="4" w:space="1" w:color="auto"/>
          <w:left w:val="single" w:sz="4" w:space="4" w:color="auto"/>
          <w:bottom w:val="single" w:sz="4" w:space="1" w:color="auto"/>
          <w:right w:val="single" w:sz="4" w:space="4" w:color="auto"/>
        </w:pBdr>
        <w:rPr>
          <w:b w:val="0"/>
        </w:rPr>
      </w:pPr>
      <w:r w:rsidRPr="006F54CC">
        <w:rPr>
          <w:b w:val="0"/>
        </w:rPr>
        <w:t xml:space="preserve">Likely outcomes of AQP4-Ab testing for true positive, true negative, false positive and false negative patients are described in </w:t>
      </w:r>
      <w:r w:rsidR="00421333" w:rsidRPr="00421333">
        <w:rPr>
          <w:b w:val="0"/>
        </w:rPr>
        <w:fldChar w:fldCharType="begin"/>
      </w:r>
      <w:r w:rsidR="00421333" w:rsidRPr="00421333">
        <w:rPr>
          <w:b w:val="0"/>
        </w:rPr>
        <w:instrText xml:space="preserve"> REF _Ref33442890 \h  \* MERGEFORMAT </w:instrText>
      </w:r>
      <w:r w:rsidR="00421333" w:rsidRPr="00421333">
        <w:rPr>
          <w:b w:val="0"/>
        </w:rPr>
      </w:r>
      <w:r w:rsidR="00421333" w:rsidRPr="00421333">
        <w:rPr>
          <w:b w:val="0"/>
        </w:rPr>
        <w:fldChar w:fldCharType="separate"/>
      </w:r>
      <w:r w:rsidR="00127A9A" w:rsidRPr="00127A9A">
        <w:rPr>
          <w:b w:val="0"/>
        </w:rPr>
        <w:t xml:space="preserve">Table </w:t>
      </w:r>
      <w:r w:rsidR="00127A9A" w:rsidRPr="00127A9A">
        <w:rPr>
          <w:b w:val="0"/>
          <w:noProof/>
        </w:rPr>
        <w:t>4</w:t>
      </w:r>
      <w:r w:rsidR="00421333" w:rsidRPr="00421333">
        <w:rPr>
          <w:b w:val="0"/>
        </w:rPr>
        <w:fldChar w:fldCharType="end"/>
      </w:r>
      <w:r w:rsidR="00421333">
        <w:rPr>
          <w:b w:val="0"/>
        </w:rPr>
        <w:t>.</w:t>
      </w:r>
    </w:p>
    <w:p w14:paraId="6F0AB3DA" w14:textId="77777777" w:rsidR="00ED65EE" w:rsidRPr="00183E4D" w:rsidRDefault="000B746D" w:rsidP="00ED65EE">
      <w:pPr>
        <w:pStyle w:val="Summaryboxheading"/>
        <w:pBdr>
          <w:top w:val="single" w:sz="4" w:space="1" w:color="auto"/>
          <w:left w:val="single" w:sz="4" w:space="4" w:color="auto"/>
          <w:bottom w:val="single" w:sz="4" w:space="1" w:color="auto"/>
          <w:right w:val="single" w:sz="4" w:space="4" w:color="auto"/>
        </w:pBdr>
      </w:pPr>
      <w:r>
        <w:rPr>
          <w:b w:val="0"/>
        </w:rPr>
        <w:t>There was insufficient evidence to report on similar outcomes for MOG-Ab testing.</w:t>
      </w:r>
    </w:p>
    <w:p w14:paraId="08A2B7F2" w14:textId="77777777" w:rsidR="00185A05" w:rsidRDefault="0072770C" w:rsidP="0072770C">
      <w:pPr>
        <w:pStyle w:val="Heading3"/>
      </w:pPr>
      <w:bookmarkStart w:id="307" w:name="_Toc39588334"/>
      <w:r>
        <w:t>Early versus late treatment</w:t>
      </w:r>
      <w:r w:rsidR="000516D7">
        <w:t xml:space="preserve"> </w:t>
      </w:r>
      <w:r w:rsidR="00621F69">
        <w:t>in NMOSD patients</w:t>
      </w:r>
      <w:bookmarkEnd w:id="307"/>
    </w:p>
    <w:p w14:paraId="65777B3B" w14:textId="77777777" w:rsidR="0072770C" w:rsidRDefault="0072770C" w:rsidP="0072770C">
      <w:pPr>
        <w:pStyle w:val="Heading4"/>
      </w:pPr>
      <w:r>
        <w:t xml:space="preserve">Early versus late </w:t>
      </w:r>
      <w:r w:rsidR="00621F69">
        <w:t>p</w:t>
      </w:r>
      <w:r>
        <w:t xml:space="preserve">lasma exchange </w:t>
      </w:r>
      <w:r w:rsidR="00DC00DB">
        <w:t xml:space="preserve">(PLEX) </w:t>
      </w:r>
      <w:r>
        <w:t>treatment for NMOSD</w:t>
      </w:r>
    </w:p>
    <w:p w14:paraId="33BF68BE" w14:textId="52A259CC" w:rsidR="0072770C" w:rsidRDefault="0072770C" w:rsidP="00EC2492">
      <w:r>
        <w:t>P</w:t>
      </w:r>
      <w:r w:rsidR="00774010">
        <w:t>L</w:t>
      </w:r>
      <w:r>
        <w:t>E</w:t>
      </w:r>
      <w:r w:rsidR="00774010">
        <w:t>X</w:t>
      </w:r>
      <w:r>
        <w:t xml:space="preserve"> is one </w:t>
      </w:r>
      <w:r w:rsidR="009A17CA">
        <w:t xml:space="preserve">of </w:t>
      </w:r>
      <w:r>
        <w:t>the more commonly used treatments for acute phase NMOSD in Australian patients. One article identified in the literature search assessed the impact of delay in P</w:t>
      </w:r>
      <w:r w:rsidR="008D1D74">
        <w:t>L</w:t>
      </w:r>
      <w:r>
        <w:t>E</w:t>
      </w:r>
      <w:r w:rsidR="008D1D74">
        <w:t>X</w:t>
      </w:r>
      <w:r>
        <w:t xml:space="preserve"> treatment on </w:t>
      </w:r>
      <w:r w:rsidR="000516D7">
        <w:t>improvement</w:t>
      </w:r>
      <w:r>
        <w:t xml:space="preserve"> for </w:t>
      </w:r>
      <w:r w:rsidR="009F4BE9">
        <w:t xml:space="preserve">60 </w:t>
      </w:r>
      <w:r>
        <w:t xml:space="preserve">NMSOD patients </w:t>
      </w:r>
      <w:r w:rsidR="00156621">
        <w:fldChar w:fldCharType="begin">
          <w:fldData xml:space="preserve">PEVuZE5vdGU+PENpdGU+PEF1dGhvcj5Cb25uYW48L0F1dGhvcj48WWVhcj4yMDE4PC9ZZWFyPjxS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</w:fldData>
        </w:fldChar>
      </w:r>
      <w:r w:rsidR="00591217">
        <w:instrText xml:space="preserve"> ADDIN EN.CITE </w:instrText>
      </w:r>
      <w:r w:rsidR="00591217">
        <w:fldChar w:fldCharType="begin">
          <w:fldData xml:space="preserve">PEVuZE5vdGU+PENpdGU+PEF1dGhvcj5Cb25uYW48L0F1dGhvcj48WWVhcj4yMDE4PC9ZZWFyPjxS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</w:fldData>
        </w:fldChar>
      </w:r>
      <w:r w:rsidR="00591217">
        <w:instrText xml:space="preserve"> ADDIN EN.CITE.DATA </w:instrText>
      </w:r>
      <w:r w:rsidR="00591217">
        <w:fldChar w:fldCharType="end"/>
      </w:r>
      <w:r w:rsidR="00156621">
        <w:fldChar w:fldCharType="separate"/>
      </w:r>
      <w:r w:rsidR="00705441">
        <w:rPr>
          <w:noProof/>
        </w:rPr>
        <w:t>(Bonnan</w:t>
      </w:r>
      <w:r w:rsidR="00591217">
        <w:rPr>
          <w:noProof/>
        </w:rPr>
        <w:t xml:space="preserve"> et al. 2018)</w:t>
      </w:r>
      <w:r w:rsidR="00156621">
        <w:fldChar w:fldCharType="end"/>
      </w:r>
      <w:r w:rsidR="009F4BE9">
        <w:t xml:space="preserve">. </w:t>
      </w:r>
      <w:r w:rsidR="000516D7">
        <w:t xml:space="preserve">Complete improvement was </w:t>
      </w:r>
      <w:r w:rsidR="000516D7" w:rsidRPr="000516D7">
        <w:t>defined as improving to baseline stat</w:t>
      </w:r>
      <w:r w:rsidR="00B27A52">
        <w:t>u</w:t>
      </w:r>
      <w:r w:rsidR="000516D7" w:rsidRPr="000516D7">
        <w:t>s during follow-up</w:t>
      </w:r>
      <w:r w:rsidR="000516D7">
        <w:t>, as determined by EDSS and VA scores.</w:t>
      </w:r>
    </w:p>
    <w:p w14:paraId="7AF3063C" w14:textId="6E561EA8" w:rsidR="005E4859" w:rsidRDefault="00774010" w:rsidP="00EC2492">
      <w:r>
        <w:t>I</w:t>
      </w:r>
      <w:r w:rsidR="000516D7">
        <w:t>n</w:t>
      </w:r>
      <w:r>
        <w:t xml:space="preserve"> </w:t>
      </w:r>
      <w:r w:rsidR="009A17CA">
        <w:t xml:space="preserve">the </w:t>
      </w:r>
      <w:r>
        <w:t>population of 60 NMOSD patients who underwent a total of 115 attacks</w:t>
      </w:r>
      <w:r w:rsidR="009A17CA">
        <w:t>,</w:t>
      </w:r>
      <w:r>
        <w:t xml:space="preserve"> it was found that the probability of regaining complete improvement </w:t>
      </w:r>
      <w:r w:rsidRPr="00774010">
        <w:t>decreased as the delay in receiving PLEX increased</w:t>
      </w:r>
      <w:r>
        <w:t xml:space="preserve"> after </w:t>
      </w:r>
      <w:r w:rsidR="005E4859">
        <w:t>relapse</w:t>
      </w:r>
      <w:r>
        <w:t xml:space="preserve">. </w:t>
      </w:r>
      <w:r w:rsidR="00615765">
        <w:t xml:space="preserve">One quarter of events were </w:t>
      </w:r>
      <w:r w:rsidR="005E4859">
        <w:t xml:space="preserve">disease </w:t>
      </w:r>
      <w:r w:rsidR="00615765">
        <w:t xml:space="preserve">onset attacks and the majority were in confirmed NMOSD patients. </w:t>
      </w:r>
      <w:r>
        <w:t xml:space="preserve">Probability decreased from 50% if PLEX was received at day 0 to 1, to approximately 5% if PLEX was received after day 20. </w:t>
      </w:r>
      <w:r w:rsidR="005E4859">
        <w:t xml:space="preserve">Furthermore, the probability of achieving a good recovery decreased with delay in PLEX, while at the same time, the probability of achieving a poor recovery </w:t>
      </w:r>
      <w:r w:rsidR="005E4859">
        <w:lastRenderedPageBreak/>
        <w:t xml:space="preserve">increased. </w:t>
      </w:r>
      <w:r>
        <w:t xml:space="preserve">Both baseline impairment (based on EDSS) and delay in receiving PLEX were associated with the probability of achieving complete improvement. </w:t>
      </w:r>
    </w:p>
    <w:p w14:paraId="58432089" w14:textId="77777777" w:rsidR="0072770C" w:rsidRDefault="0072770C" w:rsidP="0072770C">
      <w:pPr>
        <w:pStyle w:val="Heading4"/>
      </w:pPr>
      <w:r>
        <w:t xml:space="preserve">Early versus late azathioprine </w:t>
      </w:r>
      <w:r w:rsidR="00DC00DB">
        <w:t xml:space="preserve">(AZA) </w:t>
      </w:r>
      <w:r>
        <w:t>treatment for NMOSD</w:t>
      </w:r>
    </w:p>
    <w:p w14:paraId="2244019C" w14:textId="74BF2315" w:rsidR="0072770C" w:rsidRDefault="007F4A71" w:rsidP="00EC2492">
      <w:r>
        <w:t>I</w:t>
      </w:r>
      <w:r w:rsidR="009A3CAD">
        <w:t>n</w:t>
      </w:r>
      <w:r>
        <w:t xml:space="preserve"> one </w:t>
      </w:r>
      <w:r w:rsidR="009D7647">
        <w:t>retrospective review of 38 NMOSD patients</w:t>
      </w:r>
      <w:r w:rsidR="009A3CAD">
        <w:t xml:space="preserve"> </w:t>
      </w:r>
      <w:r w:rsidR="00156621">
        <w:fldChar w:fldCharType="begin">
          <w:fldData xml:space="preserve">PEVuZE5vdGU+PENpdGU+PEF1dGhvcj5CdWtoYXJpPC9BdXRob3I+PFllYXI+MjAxNzwvWWVhcj48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</w:fldData>
        </w:fldChar>
      </w:r>
      <w:r w:rsidR="00D96694">
        <w:instrText xml:space="preserve"> ADDIN EN.CITE </w:instrText>
      </w:r>
      <w:r w:rsidR="00D96694">
        <w:fldChar w:fldCharType="begin">
          <w:fldData xml:space="preserve">PEVuZE5vdGU+PENpdGU+PEF1dGhvcj5CdWtoYXJpPC9BdXRob3I+PFllYXI+MjAxNzwvWWVhcj48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</w:fldData>
        </w:fldChar>
      </w:r>
      <w:r w:rsidR="00D96694">
        <w:instrText xml:space="preserve"> ADDIN EN.CITE.DATA </w:instrText>
      </w:r>
      <w:r w:rsidR="00D96694">
        <w:fldChar w:fldCharType="end"/>
      </w:r>
      <w:r w:rsidR="00156621">
        <w:fldChar w:fldCharType="separate"/>
      </w:r>
      <w:r w:rsidR="00156621">
        <w:rPr>
          <w:noProof/>
        </w:rPr>
        <w:t>(Bukhari et al. 2017)</w:t>
      </w:r>
      <w:r w:rsidR="00156621">
        <w:fldChar w:fldCharType="end"/>
      </w:r>
      <w:r>
        <w:t xml:space="preserve"> impairment </w:t>
      </w:r>
      <w:r w:rsidR="009D7647">
        <w:t>was assessed. O</w:t>
      </w:r>
      <w:r>
        <w:t xml:space="preserve">utcomes were compared between </w:t>
      </w:r>
      <w:r w:rsidR="009D7647">
        <w:t>those</w:t>
      </w:r>
      <w:r>
        <w:t xml:space="preserve"> who </w:t>
      </w:r>
      <w:r w:rsidR="009D7647">
        <w:t xml:space="preserve">had </w:t>
      </w:r>
      <w:r>
        <w:t xml:space="preserve">received </w:t>
      </w:r>
      <w:r w:rsidR="009A3CAD">
        <w:t xml:space="preserve">AZA at the same time as </w:t>
      </w:r>
      <w:r w:rsidR="009D7647">
        <w:t>IVMP</w:t>
      </w:r>
      <w:r w:rsidR="009A3CAD">
        <w:t xml:space="preserve"> or within 2 weeks of an </w:t>
      </w:r>
      <w:r w:rsidR="002467C4">
        <w:t>acute</w:t>
      </w:r>
      <w:r w:rsidR="009A3CAD">
        <w:t xml:space="preserve"> phase relapse, with those who </w:t>
      </w:r>
      <w:r w:rsidR="009D7647">
        <w:t xml:space="preserve">had </w:t>
      </w:r>
      <w:r w:rsidR="009A3CAD">
        <w:t>received AZA after IVM</w:t>
      </w:r>
      <w:r w:rsidR="00207876">
        <w:t>P</w:t>
      </w:r>
      <w:r w:rsidR="009A3CAD">
        <w:t xml:space="preserve"> had been tapered to 10mg on alternate days. In a third group only IVM</w:t>
      </w:r>
      <w:r w:rsidR="00207876">
        <w:t>P</w:t>
      </w:r>
      <w:r w:rsidR="009A3CAD">
        <w:t xml:space="preserve"> was given in the acute phase and no AZA </w:t>
      </w:r>
      <w:r w:rsidR="009A17CA">
        <w:t>w</w:t>
      </w:r>
      <w:r w:rsidR="009A3CAD">
        <w:t>as given.</w:t>
      </w:r>
    </w:p>
    <w:p w14:paraId="25FE8F58" w14:textId="1B140C89" w:rsidR="002467C4" w:rsidRDefault="009A3CAD" w:rsidP="00EC2492">
      <w:r>
        <w:t>When early and late AZA treatment groups were compared</w:t>
      </w:r>
      <w:r w:rsidR="009A7600">
        <w:t xml:space="preserve"> for time to next relapse, patients receiving early AZA</w:t>
      </w:r>
      <w:r w:rsidR="009A7600" w:rsidRPr="009A7600">
        <w:t xml:space="preserve"> </w:t>
      </w:r>
      <w:r w:rsidR="009A7600">
        <w:t>experienced a longer time to next relapse than</w:t>
      </w:r>
      <w:r w:rsidR="009A7600" w:rsidRPr="009A7600">
        <w:t xml:space="preserve"> </w:t>
      </w:r>
      <w:r w:rsidR="009A7600">
        <w:t>those receiving late AZA</w:t>
      </w:r>
      <w:r w:rsidR="009A7600" w:rsidRPr="009A7600">
        <w:t xml:space="preserve"> </w:t>
      </w:r>
      <w:r w:rsidR="009A7600">
        <w:t>(32.74 versus 18.17 months; p = 0.025). Similarly, in a survival analysis</w:t>
      </w:r>
      <w:r w:rsidR="00510780">
        <w:t>,</w:t>
      </w:r>
      <w:r w:rsidR="009A7600">
        <w:t xml:space="preserve"> the duration of remission </w:t>
      </w:r>
      <w:r w:rsidR="00510780">
        <w:t xml:space="preserve">in </w:t>
      </w:r>
      <w:r w:rsidR="002467C4">
        <w:t xml:space="preserve">the early AZA groups a </w:t>
      </w:r>
      <w:r w:rsidR="009A7600" w:rsidRPr="009A7600">
        <w:t xml:space="preserve">showed </w:t>
      </w:r>
      <w:r w:rsidR="009A7600">
        <w:t>longer duration of remission</w:t>
      </w:r>
      <w:r w:rsidR="002467C4">
        <w:t xml:space="preserve"> compared to the late AZA group (HR 0.250; 95%CI 0.072, 0.867; p = 0.029).</w:t>
      </w:r>
    </w:p>
    <w:p w14:paraId="1B5F2AB9" w14:textId="5C33C6F0" w:rsidR="0093403F" w:rsidRPr="00A364BA" w:rsidRDefault="002467C4" w:rsidP="004B21EF">
      <w:r>
        <w:t xml:space="preserve">Multivariate modelling found that </w:t>
      </w:r>
      <w:r w:rsidR="00510780">
        <w:t xml:space="preserve">receiving treatment at a </w:t>
      </w:r>
      <w:r>
        <w:t>younger age and history of receiving AZA were associated with better outcomes for patients, whereas older initial age was a risk factor for worse outcomes.</w:t>
      </w:r>
    </w:p>
    <w:p w14:paraId="70037333" w14:textId="77777777" w:rsidR="00185A05" w:rsidRDefault="000516D7" w:rsidP="0072770C">
      <w:pPr>
        <w:pStyle w:val="Heading4"/>
      </w:pPr>
      <w:r>
        <w:t xml:space="preserve">Early versus late </w:t>
      </w:r>
      <w:r w:rsidR="009B2598">
        <w:t xml:space="preserve">intravenous </w:t>
      </w:r>
      <w:r w:rsidR="00710736">
        <w:t xml:space="preserve">methylprednisolone </w:t>
      </w:r>
      <w:r w:rsidR="009B2598">
        <w:t xml:space="preserve">(IVMP) </w:t>
      </w:r>
      <w:r>
        <w:t>t</w:t>
      </w:r>
      <w:r w:rsidR="00185A05">
        <w:t>reatment of ON in NMOSD patients</w:t>
      </w:r>
    </w:p>
    <w:p w14:paraId="4F676788" w14:textId="2FB52AD0" w:rsidR="005E6E90" w:rsidRDefault="00CA2BFE" w:rsidP="00EC2492">
      <w:r>
        <w:t xml:space="preserve">The relationship between time to treatment and visual outcome was investigated in one retrospective study of </w:t>
      </w:r>
      <w:r w:rsidR="00C74DF2">
        <w:t xml:space="preserve">27 </w:t>
      </w:r>
      <w:r>
        <w:t>patients</w:t>
      </w:r>
      <w:r w:rsidR="00B84A92">
        <w:t xml:space="preserve"> with NMOSD and ON.</w:t>
      </w:r>
      <w:r>
        <w:t xml:space="preserve"> </w:t>
      </w:r>
      <w:r w:rsidR="00156621">
        <w:fldChar w:fldCharType="begin">
          <w:fldData xml:space="preserve">PEVuZE5vdGU+PENpdGU+PEF1dGhvcj5TdGllYmVsLUthbGlzaDwvQXV0aG9yPjxZZWFyPjIwMTk8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==
</w:fldData>
        </w:fldChar>
      </w:r>
      <w:r w:rsidR="00AB2520">
        <w:instrText xml:space="preserve"> ADDIN EN.CITE </w:instrText>
      </w:r>
      <w:r w:rsidR="00AB2520">
        <w:fldChar w:fldCharType="begin">
          <w:fldData xml:space="preserve">PEVuZE5vdGU+PENpdGU+PEF1dGhvcj5TdGllYmVsLUthbGlzaDwvQXV0aG9yPjxZZWFyPjIwMTk8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==
</w:fldData>
        </w:fldChar>
      </w:r>
      <w:r w:rsidR="00AB2520">
        <w:instrText xml:space="preserve"> ADDIN EN.CITE.DATA </w:instrText>
      </w:r>
      <w:r w:rsidR="00AB2520">
        <w:fldChar w:fldCharType="end"/>
      </w:r>
      <w:r w:rsidR="00156621">
        <w:fldChar w:fldCharType="separate"/>
      </w:r>
      <w:r w:rsidR="00AB2520">
        <w:rPr>
          <w:noProof/>
        </w:rPr>
        <w:t>(Stiebel-Kalish et al. 2019)</w:t>
      </w:r>
      <w:r w:rsidR="00156621">
        <w:fldChar w:fldCharType="end"/>
      </w:r>
      <w:r>
        <w:t xml:space="preserve">. Patients were either AQP4-Ab or MOG-Ab positive, </w:t>
      </w:r>
      <w:r w:rsidR="00C74DF2">
        <w:t>and had either uni- or bilateral ON. A</w:t>
      </w:r>
      <w:r>
        <w:t>ll were treated with IVMP</w:t>
      </w:r>
      <w:r w:rsidR="00C74DF2">
        <w:t xml:space="preserve"> for 3 days followed by oral prednisone</w:t>
      </w:r>
      <w:r>
        <w:t xml:space="preserve">. </w:t>
      </w:r>
      <w:r w:rsidR="00C74DF2">
        <w:t xml:space="preserve">A comparison of best corrected visual acuity (BCVA) at 3 months follow-up after an attack was made between those treated within 7 days and those treated after 7 days. </w:t>
      </w:r>
    </w:p>
    <w:p w14:paraId="4CFBBDEC" w14:textId="1A7239BF" w:rsidR="00C74DF2" w:rsidRDefault="00C74DF2" w:rsidP="00EC2492">
      <w:r>
        <w:t>The primary outcome reported was failure to regain 20/</w:t>
      </w:r>
      <w:r w:rsidR="005E1B45">
        <w:t>3</w:t>
      </w:r>
      <w:r>
        <w:t>0 vision based on BCVA measurements</w:t>
      </w:r>
      <w:r w:rsidR="005E1B45">
        <w:t xml:space="preserve">. Those treated after 7 days had an OR of failure of 10.0 (95%CI 1.39, 71.86) compared to those treated within 7 days (p = 0.01). Additional analyses to determine the optimum threshold for administering treatment found that those treated after 4 days had an OR of 8.33 of failure to regain 20/20 vision when compared to those treated prior to 4 days (p = 0.01). Results are shown in </w:t>
      </w:r>
      <w:r w:rsidR="005E1B45">
        <w:fldChar w:fldCharType="begin"/>
      </w:r>
      <w:r w:rsidR="005E1B45">
        <w:instrText xml:space="preserve"> REF _Ref30076907 \h </w:instrText>
      </w:r>
      <w:r w:rsidR="005E1B45">
        <w:fldChar w:fldCharType="separate"/>
      </w:r>
      <w:r w:rsidR="0093403F">
        <w:t xml:space="preserve">Table </w:t>
      </w:r>
      <w:r w:rsidR="0093403F">
        <w:rPr>
          <w:noProof/>
        </w:rPr>
        <w:t>49</w:t>
      </w:r>
      <w:r w:rsidR="005E1B45">
        <w:fldChar w:fldCharType="end"/>
      </w:r>
      <w:r w:rsidR="00510780">
        <w:t>.</w:t>
      </w:r>
    </w:p>
    <w:p w14:paraId="70B1E7B0" w14:textId="017A2A19" w:rsidR="00185A05" w:rsidRDefault="00185A05" w:rsidP="00175F83">
      <w:pPr>
        <w:pStyle w:val="Caption"/>
        <w:ind w:left="720" w:hanging="720"/>
      </w:pPr>
      <w:bookmarkStart w:id="308" w:name="_Ref30076907"/>
      <w:bookmarkStart w:id="309" w:name="_Toc39580830"/>
      <w:r>
        <w:t xml:space="preserve">Table </w:t>
      </w:r>
      <w:fldSimple w:instr=" SEQ Table \* ARABIC ">
        <w:r w:rsidR="00FA7BCD">
          <w:rPr>
            <w:noProof/>
          </w:rPr>
          <w:t>49</w:t>
        </w:r>
      </w:fldSimple>
      <w:bookmarkEnd w:id="308"/>
      <w:r>
        <w:rPr>
          <w:noProof/>
        </w:rPr>
        <w:tab/>
        <w:t xml:space="preserve">Early versus late </w:t>
      </w:r>
      <w:r w:rsidR="00857FD1">
        <w:rPr>
          <w:noProof/>
        </w:rPr>
        <w:t xml:space="preserve">intravenous methylprednisolone </w:t>
      </w:r>
      <w:r>
        <w:rPr>
          <w:noProof/>
        </w:rPr>
        <w:t>treatment in patients with ON</w:t>
      </w:r>
      <w:r w:rsidR="00710736">
        <w:rPr>
          <w:noProof/>
        </w:rPr>
        <w:t xml:space="preserve"> </w:t>
      </w:r>
      <w:r w:rsidR="00156621">
        <w:rPr>
          <w:noProof/>
        </w:rPr>
        <w:fldChar w:fldCharType="begin">
          <w:fldData xml:space="preserve">PEVuZE5vdGU+PENpdGU+PEF1dGhvcj5TdGllYmVsLUthbGlzaDwvQXV0aG9yPjxZZWFyPjIwMTk8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==
</w:fldData>
        </w:fldChar>
      </w:r>
      <w:r w:rsidR="00AB2520">
        <w:rPr>
          <w:noProof/>
        </w:rPr>
        <w:instrText xml:space="preserve"> ADDIN EN.CITE </w:instrText>
      </w:r>
      <w:r w:rsidR="00AB2520">
        <w:rPr>
          <w:noProof/>
        </w:rPr>
        <w:fldChar w:fldCharType="begin">
          <w:fldData xml:space="preserve">PEVuZE5vdGU+PENpdGU+PEF1dGhvcj5TdGllYmVsLUthbGlzaDwvQXV0aG9yPjxZZWFyPjIwMTk8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==
</w:fldData>
        </w:fldChar>
      </w:r>
      <w:r w:rsidR="00AB2520">
        <w:rPr>
          <w:noProof/>
        </w:rPr>
        <w:instrText xml:space="preserve"> ADDIN EN.CITE.DATA </w:instrText>
      </w:r>
      <w:r w:rsidR="00AB2520">
        <w:rPr>
          <w:noProof/>
        </w:rPr>
      </w:r>
      <w:r w:rsidR="00AB2520">
        <w:rPr>
          <w:noProof/>
        </w:rPr>
        <w:fldChar w:fldCharType="end"/>
      </w:r>
      <w:r w:rsidR="00156621">
        <w:rPr>
          <w:noProof/>
        </w:rPr>
      </w:r>
      <w:r w:rsidR="00156621">
        <w:rPr>
          <w:noProof/>
        </w:rPr>
        <w:fldChar w:fldCharType="separate"/>
      </w:r>
      <w:r w:rsidR="00AB2520">
        <w:rPr>
          <w:noProof/>
        </w:rPr>
        <w:t>(Stiebel-Kalish et al. 2019)</w:t>
      </w:r>
      <w:bookmarkEnd w:id="309"/>
      <w:r w:rsidR="00156621">
        <w:rPr>
          <w:noProof/>
        </w:rPr>
        <w:fldChar w:fldCharType="end"/>
      </w:r>
    </w:p>
    <w:tbl>
      <w:tblPr>
        <w:tblStyle w:val="TableGrid1"/>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49 Early versus late intravenous methylprednisolone treatment in patients with ON (Stiebel-Kalish et al. 2019b)"/>
        <w:tblDescription w:val="A comparison of visual recovery in patients receiving either late or eary intravenous methylprednisolpne treatment for NMOSD"/>
      </w:tblPr>
      <w:tblGrid>
        <w:gridCol w:w="1559"/>
        <w:gridCol w:w="1880"/>
        <w:gridCol w:w="1448"/>
        <w:gridCol w:w="1180"/>
        <w:gridCol w:w="1174"/>
        <w:gridCol w:w="1769"/>
      </w:tblGrid>
      <w:tr w:rsidR="00710736" w:rsidRPr="001C45F4" w14:paraId="7E798CA2" w14:textId="77777777" w:rsidTr="00710736">
        <w:trPr>
          <w:cnfStyle w:val="100000000000" w:firstRow="1" w:lastRow="0" w:firstColumn="0" w:lastColumn="0" w:oddVBand="0" w:evenVBand="0" w:oddHBand="0" w:evenHBand="0" w:firstRowFirstColumn="0" w:firstRowLastColumn="0" w:lastRowFirstColumn="0" w:lastRowLastColumn="0"/>
        </w:trPr>
        <w:tc>
          <w:tcPr>
            <w:tcW w:w="0" w:type="auto"/>
            <w:tcBorders>
              <w:top w:val="single" w:sz="6" w:space="0" w:color="auto"/>
              <w:left w:val="single" w:sz="6" w:space="0" w:color="auto"/>
              <w:bottom w:val="single" w:sz="6" w:space="0" w:color="auto"/>
              <w:right w:val="single" w:sz="6" w:space="0" w:color="auto"/>
            </w:tcBorders>
            <w:hideMark/>
          </w:tcPr>
          <w:p w14:paraId="74124CC9" w14:textId="77777777" w:rsidR="00710736" w:rsidRPr="001C45F4" w:rsidRDefault="00710736" w:rsidP="00361EF8">
            <w:pPr>
              <w:jc w:val="left"/>
              <w:rPr>
                <w:rFonts w:ascii="Arial Narrow" w:hAnsi="Arial Narrow"/>
                <w:b/>
              </w:rPr>
            </w:pPr>
            <w:r w:rsidRPr="001C45F4">
              <w:rPr>
                <w:rFonts w:ascii="Arial Narrow" w:hAnsi="Arial Narrow"/>
                <w:b/>
              </w:rPr>
              <w:t>Outcome</w:t>
            </w:r>
          </w:p>
        </w:tc>
        <w:tc>
          <w:tcPr>
            <w:tcW w:w="0" w:type="auto"/>
            <w:tcBorders>
              <w:top w:val="single" w:sz="6" w:space="0" w:color="auto"/>
              <w:left w:val="single" w:sz="6" w:space="0" w:color="auto"/>
              <w:bottom w:val="single" w:sz="6" w:space="0" w:color="auto"/>
              <w:right w:val="single" w:sz="6" w:space="0" w:color="auto"/>
            </w:tcBorders>
            <w:hideMark/>
          </w:tcPr>
          <w:p w14:paraId="7D18B2FA" w14:textId="77777777" w:rsidR="00710736" w:rsidRPr="001C45F4" w:rsidRDefault="00710736" w:rsidP="00361EF8">
            <w:pPr>
              <w:jc w:val="left"/>
              <w:rPr>
                <w:rFonts w:ascii="Arial Narrow" w:hAnsi="Arial Narrow"/>
                <w:b/>
              </w:rPr>
            </w:pPr>
            <w:r w:rsidRPr="001C45F4">
              <w:rPr>
                <w:rFonts w:ascii="Arial Narrow" w:hAnsi="Arial Narrow"/>
                <w:b/>
              </w:rPr>
              <w:t>Population</w:t>
            </w:r>
          </w:p>
        </w:tc>
        <w:tc>
          <w:tcPr>
            <w:tcW w:w="0" w:type="auto"/>
            <w:tcBorders>
              <w:top w:val="single" w:sz="6" w:space="0" w:color="auto"/>
              <w:left w:val="single" w:sz="6" w:space="0" w:color="auto"/>
              <w:bottom w:val="single" w:sz="6" w:space="0" w:color="auto"/>
              <w:right w:val="single" w:sz="6" w:space="0" w:color="auto"/>
            </w:tcBorders>
            <w:hideMark/>
          </w:tcPr>
          <w:p w14:paraId="379719AE" w14:textId="77777777" w:rsidR="00710736" w:rsidRPr="001C45F4" w:rsidRDefault="00710736" w:rsidP="00361EF8">
            <w:pPr>
              <w:jc w:val="left"/>
              <w:rPr>
                <w:rFonts w:ascii="Arial Narrow" w:hAnsi="Arial Narrow"/>
                <w:b/>
              </w:rPr>
            </w:pPr>
            <w:r w:rsidRPr="001C45F4">
              <w:rPr>
                <w:rFonts w:ascii="Arial Narrow" w:hAnsi="Arial Narrow"/>
                <w:b/>
              </w:rPr>
              <w:t>Follow-Up</w:t>
            </w:r>
          </w:p>
        </w:tc>
        <w:tc>
          <w:tcPr>
            <w:tcW w:w="0" w:type="auto"/>
            <w:tcBorders>
              <w:top w:val="single" w:sz="6" w:space="0" w:color="auto"/>
              <w:left w:val="single" w:sz="6" w:space="0" w:color="auto"/>
              <w:bottom w:val="single" w:sz="6" w:space="0" w:color="auto"/>
              <w:right w:val="single" w:sz="6" w:space="0" w:color="auto"/>
            </w:tcBorders>
            <w:hideMark/>
          </w:tcPr>
          <w:p w14:paraId="3AC1019A" w14:textId="77777777" w:rsidR="00710736" w:rsidRPr="001C45F4" w:rsidRDefault="00710736" w:rsidP="005E1B45">
            <w:pPr>
              <w:jc w:val="left"/>
              <w:rPr>
                <w:rFonts w:ascii="Arial Narrow" w:hAnsi="Arial Narrow"/>
                <w:b/>
              </w:rPr>
            </w:pPr>
            <w:r w:rsidRPr="001C45F4">
              <w:rPr>
                <w:rFonts w:ascii="Arial Narrow" w:hAnsi="Arial Narrow"/>
                <w:b/>
              </w:rPr>
              <w:t>Intervention</w:t>
            </w:r>
          </w:p>
        </w:tc>
        <w:tc>
          <w:tcPr>
            <w:tcW w:w="0" w:type="auto"/>
            <w:tcBorders>
              <w:top w:val="single" w:sz="6" w:space="0" w:color="auto"/>
              <w:left w:val="single" w:sz="6" w:space="0" w:color="auto"/>
              <w:bottom w:val="single" w:sz="6" w:space="0" w:color="auto"/>
              <w:right w:val="single" w:sz="6" w:space="0" w:color="auto"/>
            </w:tcBorders>
            <w:hideMark/>
          </w:tcPr>
          <w:p w14:paraId="19673F2C" w14:textId="77777777" w:rsidR="00710736" w:rsidRPr="001C45F4" w:rsidRDefault="00710736" w:rsidP="00361EF8">
            <w:pPr>
              <w:jc w:val="left"/>
              <w:rPr>
                <w:rFonts w:ascii="Arial Narrow" w:hAnsi="Arial Narrow"/>
                <w:b/>
              </w:rPr>
            </w:pPr>
            <w:r w:rsidRPr="001C45F4">
              <w:rPr>
                <w:rFonts w:ascii="Arial Narrow" w:hAnsi="Arial Narrow"/>
                <w:b/>
              </w:rPr>
              <w:t>Comparator</w:t>
            </w:r>
          </w:p>
        </w:tc>
        <w:tc>
          <w:tcPr>
            <w:tcW w:w="0" w:type="auto"/>
            <w:tcBorders>
              <w:top w:val="single" w:sz="6" w:space="0" w:color="auto"/>
              <w:left w:val="single" w:sz="6" w:space="0" w:color="auto"/>
              <w:bottom w:val="single" w:sz="6" w:space="0" w:color="auto"/>
              <w:right w:val="single" w:sz="6" w:space="0" w:color="auto"/>
            </w:tcBorders>
            <w:hideMark/>
          </w:tcPr>
          <w:p w14:paraId="28EF46BD" w14:textId="77777777" w:rsidR="00710736" w:rsidRPr="001C45F4" w:rsidRDefault="00710736" w:rsidP="00361EF8">
            <w:pPr>
              <w:jc w:val="left"/>
              <w:rPr>
                <w:rFonts w:ascii="Arial Narrow" w:hAnsi="Arial Narrow"/>
                <w:b/>
              </w:rPr>
            </w:pPr>
            <w:r w:rsidRPr="001C45F4">
              <w:rPr>
                <w:rFonts w:ascii="Arial Narrow" w:hAnsi="Arial Narrow"/>
                <w:b/>
              </w:rPr>
              <w:t>Difference</w:t>
            </w:r>
          </w:p>
        </w:tc>
      </w:tr>
      <w:tr w:rsidR="00710736" w:rsidRPr="004371CF" w14:paraId="0AA9BD0B" w14:textId="77777777" w:rsidTr="00710736">
        <w:tc>
          <w:tcPr>
            <w:tcW w:w="0" w:type="auto"/>
            <w:tcBorders>
              <w:top w:val="single" w:sz="6" w:space="0" w:color="auto"/>
              <w:left w:val="single" w:sz="6" w:space="0" w:color="auto"/>
              <w:bottom w:val="single" w:sz="6" w:space="0" w:color="auto"/>
              <w:right w:val="single" w:sz="6" w:space="0" w:color="auto"/>
            </w:tcBorders>
            <w:hideMark/>
          </w:tcPr>
          <w:p w14:paraId="18152A1A" w14:textId="77777777" w:rsidR="00710736" w:rsidRPr="004371CF" w:rsidRDefault="00710736" w:rsidP="00361EF8">
            <w:pPr>
              <w:jc w:val="left"/>
              <w:rPr>
                <w:rFonts w:ascii="Arial Narrow" w:hAnsi="Arial Narrow"/>
              </w:rPr>
            </w:pPr>
            <w:r w:rsidRPr="004371CF">
              <w:rPr>
                <w:rFonts w:ascii="Arial Narrow" w:hAnsi="Arial Narrow"/>
              </w:rPr>
              <w:t>Failure to regain 20/30 vision</w:t>
            </w:r>
          </w:p>
        </w:tc>
        <w:tc>
          <w:tcPr>
            <w:tcW w:w="0" w:type="auto"/>
            <w:tcBorders>
              <w:top w:val="single" w:sz="6" w:space="0" w:color="auto"/>
              <w:left w:val="single" w:sz="6" w:space="0" w:color="auto"/>
              <w:bottom w:val="single" w:sz="6" w:space="0" w:color="auto"/>
              <w:right w:val="single" w:sz="6" w:space="0" w:color="auto"/>
            </w:tcBorders>
            <w:hideMark/>
          </w:tcPr>
          <w:p w14:paraId="7EFCD5AC" w14:textId="77777777" w:rsidR="00710736" w:rsidRPr="004371CF" w:rsidRDefault="00710736" w:rsidP="00361EF8">
            <w:pPr>
              <w:jc w:val="left"/>
              <w:rPr>
                <w:rFonts w:ascii="Arial Narrow" w:hAnsi="Arial Narrow"/>
              </w:rPr>
            </w:pPr>
            <w:r w:rsidRPr="004371CF">
              <w:rPr>
                <w:rFonts w:ascii="Arial Narrow" w:hAnsi="Arial Narrow"/>
              </w:rPr>
              <w:t>NMOSD AQP4-Ab and MOG-Ab ON patients; n=36</w:t>
            </w:r>
          </w:p>
        </w:tc>
        <w:tc>
          <w:tcPr>
            <w:tcW w:w="0" w:type="auto"/>
            <w:tcBorders>
              <w:top w:val="single" w:sz="6" w:space="0" w:color="auto"/>
              <w:left w:val="single" w:sz="6" w:space="0" w:color="auto"/>
              <w:bottom w:val="single" w:sz="6" w:space="0" w:color="auto"/>
              <w:right w:val="single" w:sz="6" w:space="0" w:color="auto"/>
            </w:tcBorders>
            <w:hideMark/>
          </w:tcPr>
          <w:p w14:paraId="449E2A76" w14:textId="77777777" w:rsidR="00710736" w:rsidRPr="004371CF" w:rsidRDefault="00710736" w:rsidP="00361EF8">
            <w:pPr>
              <w:jc w:val="left"/>
              <w:rPr>
                <w:rFonts w:ascii="Arial Narrow" w:hAnsi="Arial Narrow"/>
              </w:rPr>
            </w:pPr>
            <w:r w:rsidRPr="004371CF">
              <w:rPr>
                <w:rFonts w:ascii="Arial Narrow" w:hAnsi="Arial Narrow"/>
              </w:rPr>
              <w:t>3 months from treatment start of IVMP</w:t>
            </w:r>
          </w:p>
        </w:tc>
        <w:tc>
          <w:tcPr>
            <w:tcW w:w="0" w:type="auto"/>
            <w:tcBorders>
              <w:top w:val="single" w:sz="6" w:space="0" w:color="auto"/>
              <w:left w:val="single" w:sz="6" w:space="0" w:color="auto"/>
              <w:bottom w:val="single" w:sz="6" w:space="0" w:color="auto"/>
              <w:right w:val="single" w:sz="6" w:space="0" w:color="auto"/>
            </w:tcBorders>
            <w:hideMark/>
          </w:tcPr>
          <w:p w14:paraId="02CFB7D4" w14:textId="77777777" w:rsidR="00710736" w:rsidRPr="004371CF" w:rsidRDefault="00710736" w:rsidP="00604B0D">
            <w:pPr>
              <w:jc w:val="left"/>
              <w:rPr>
                <w:rFonts w:ascii="Arial Narrow" w:hAnsi="Arial Narrow"/>
              </w:rPr>
            </w:pPr>
            <w:r w:rsidRPr="004371CF">
              <w:rPr>
                <w:rFonts w:ascii="Arial Narrow" w:hAnsi="Arial Narrow"/>
              </w:rPr>
              <w:t>&lt;7 days to treatment:</w:t>
            </w:r>
          </w:p>
        </w:tc>
        <w:tc>
          <w:tcPr>
            <w:tcW w:w="0" w:type="auto"/>
            <w:tcBorders>
              <w:top w:val="single" w:sz="6" w:space="0" w:color="auto"/>
              <w:left w:val="single" w:sz="6" w:space="0" w:color="auto"/>
              <w:bottom w:val="single" w:sz="6" w:space="0" w:color="auto"/>
              <w:right w:val="single" w:sz="6" w:space="0" w:color="auto"/>
            </w:tcBorders>
            <w:hideMark/>
          </w:tcPr>
          <w:p w14:paraId="75CBF403" w14:textId="77777777" w:rsidR="00710736" w:rsidRPr="004371CF" w:rsidRDefault="00710736" w:rsidP="00361EF8">
            <w:pPr>
              <w:jc w:val="left"/>
              <w:rPr>
                <w:rFonts w:ascii="Arial Narrow" w:hAnsi="Arial Narrow"/>
              </w:rPr>
            </w:pPr>
            <w:r w:rsidRPr="004371CF">
              <w:rPr>
                <w:rFonts w:ascii="Arial Narrow" w:hAnsi="Arial Narrow"/>
              </w:rPr>
              <w:t>&gt;7 days to treatment:</w:t>
            </w:r>
          </w:p>
        </w:tc>
        <w:tc>
          <w:tcPr>
            <w:tcW w:w="0" w:type="auto"/>
            <w:tcBorders>
              <w:top w:val="single" w:sz="6" w:space="0" w:color="auto"/>
              <w:left w:val="single" w:sz="6" w:space="0" w:color="auto"/>
              <w:bottom w:val="single" w:sz="6" w:space="0" w:color="auto"/>
              <w:right w:val="single" w:sz="6" w:space="0" w:color="auto"/>
            </w:tcBorders>
            <w:hideMark/>
          </w:tcPr>
          <w:p w14:paraId="2C5D198B" w14:textId="77777777" w:rsidR="00710736" w:rsidRPr="004371CF" w:rsidRDefault="00710736" w:rsidP="00361EF8">
            <w:pPr>
              <w:jc w:val="left"/>
              <w:rPr>
                <w:rFonts w:ascii="Arial Narrow" w:hAnsi="Arial Narrow"/>
              </w:rPr>
            </w:pPr>
            <w:r w:rsidRPr="004371CF">
              <w:rPr>
                <w:rFonts w:ascii="Arial Narrow" w:hAnsi="Arial Narrow"/>
              </w:rPr>
              <w:t>OR of failure = 10.0 (96%CI 1.39-71.86); p=0.01</w:t>
            </w:r>
          </w:p>
        </w:tc>
      </w:tr>
      <w:tr w:rsidR="00710736" w:rsidRPr="004371CF" w14:paraId="3409C67E" w14:textId="77777777" w:rsidTr="00710736">
        <w:tc>
          <w:tcPr>
            <w:tcW w:w="0" w:type="auto"/>
            <w:tcBorders>
              <w:top w:val="single" w:sz="6" w:space="0" w:color="auto"/>
              <w:left w:val="single" w:sz="6" w:space="0" w:color="auto"/>
              <w:bottom w:val="single" w:sz="6" w:space="0" w:color="auto"/>
              <w:right w:val="single" w:sz="6" w:space="0" w:color="auto"/>
            </w:tcBorders>
            <w:hideMark/>
          </w:tcPr>
          <w:p w14:paraId="2CC616C7" w14:textId="77777777" w:rsidR="00710736" w:rsidRPr="004371CF" w:rsidRDefault="00710736" w:rsidP="00361EF8">
            <w:pPr>
              <w:jc w:val="left"/>
              <w:rPr>
                <w:rFonts w:ascii="Arial Narrow" w:hAnsi="Arial Narrow"/>
              </w:rPr>
            </w:pPr>
            <w:r>
              <w:rPr>
                <w:rFonts w:ascii="Arial Narrow" w:hAnsi="Arial Narrow"/>
              </w:rPr>
              <w:t>L</w:t>
            </w:r>
            <w:r w:rsidRPr="004371CF">
              <w:rPr>
                <w:rFonts w:ascii="Arial Narrow" w:hAnsi="Arial Narrow"/>
              </w:rPr>
              <w:t>ikelihood of failure to regain 20/20 vision</w:t>
            </w:r>
          </w:p>
        </w:tc>
        <w:tc>
          <w:tcPr>
            <w:tcW w:w="0" w:type="auto"/>
            <w:tcBorders>
              <w:top w:val="single" w:sz="6" w:space="0" w:color="auto"/>
              <w:left w:val="single" w:sz="6" w:space="0" w:color="auto"/>
              <w:bottom w:val="single" w:sz="6" w:space="0" w:color="auto"/>
              <w:right w:val="single" w:sz="6" w:space="0" w:color="auto"/>
            </w:tcBorders>
            <w:hideMark/>
          </w:tcPr>
          <w:p w14:paraId="4664AA95" w14:textId="77777777" w:rsidR="00710736" w:rsidRPr="004371CF" w:rsidRDefault="00710736" w:rsidP="00361EF8">
            <w:pPr>
              <w:jc w:val="left"/>
              <w:rPr>
                <w:rFonts w:ascii="Arial Narrow" w:hAnsi="Arial Narrow"/>
              </w:rPr>
            </w:pPr>
            <w:r w:rsidRPr="004371CF">
              <w:rPr>
                <w:rFonts w:ascii="Arial Narrow" w:hAnsi="Arial Narrow"/>
              </w:rPr>
              <w:t>AQP4-Ab and MOG-Ab positive ON patients;</w:t>
            </w:r>
            <w:r>
              <w:rPr>
                <w:rFonts w:ascii="Arial Narrow" w:hAnsi="Arial Narrow"/>
              </w:rPr>
              <w:t xml:space="preserve"> n=36</w:t>
            </w:r>
          </w:p>
        </w:tc>
        <w:tc>
          <w:tcPr>
            <w:tcW w:w="0" w:type="auto"/>
            <w:tcBorders>
              <w:top w:val="single" w:sz="6" w:space="0" w:color="auto"/>
              <w:left w:val="single" w:sz="6" w:space="0" w:color="auto"/>
              <w:bottom w:val="single" w:sz="6" w:space="0" w:color="auto"/>
              <w:right w:val="single" w:sz="6" w:space="0" w:color="auto"/>
            </w:tcBorders>
            <w:hideMark/>
          </w:tcPr>
          <w:p w14:paraId="1EF0EB40" w14:textId="77777777" w:rsidR="00710736" w:rsidRPr="004371CF" w:rsidRDefault="00710736" w:rsidP="00361EF8">
            <w:pPr>
              <w:jc w:val="left"/>
              <w:rPr>
                <w:rFonts w:ascii="Arial Narrow" w:hAnsi="Arial Narrow"/>
              </w:rPr>
            </w:pPr>
            <w:r w:rsidRPr="004371CF">
              <w:rPr>
                <w:rFonts w:ascii="Arial Narrow" w:hAnsi="Arial Narrow"/>
              </w:rPr>
              <w:t>3 months</w:t>
            </w:r>
          </w:p>
        </w:tc>
        <w:tc>
          <w:tcPr>
            <w:tcW w:w="0" w:type="auto"/>
            <w:tcBorders>
              <w:top w:val="single" w:sz="6" w:space="0" w:color="auto"/>
              <w:left w:val="single" w:sz="6" w:space="0" w:color="auto"/>
              <w:bottom w:val="single" w:sz="6" w:space="0" w:color="auto"/>
              <w:right w:val="single" w:sz="6" w:space="0" w:color="auto"/>
            </w:tcBorders>
            <w:hideMark/>
          </w:tcPr>
          <w:p w14:paraId="1B7DB6EA" w14:textId="77777777" w:rsidR="00710736" w:rsidRPr="004371CF" w:rsidRDefault="00710736" w:rsidP="00361EF8">
            <w:pPr>
              <w:jc w:val="left"/>
              <w:rPr>
                <w:rFonts w:ascii="Arial Narrow" w:hAnsi="Arial Narrow"/>
              </w:rPr>
            </w:pPr>
            <w:r w:rsidRPr="004371CF">
              <w:rPr>
                <w:rFonts w:ascii="Arial Narrow" w:hAnsi="Arial Narrow"/>
              </w:rPr>
              <w:t>Treatment &lt;4 days:</w:t>
            </w:r>
          </w:p>
        </w:tc>
        <w:tc>
          <w:tcPr>
            <w:tcW w:w="0" w:type="auto"/>
            <w:tcBorders>
              <w:top w:val="single" w:sz="6" w:space="0" w:color="auto"/>
              <w:left w:val="single" w:sz="6" w:space="0" w:color="auto"/>
              <w:bottom w:val="single" w:sz="6" w:space="0" w:color="auto"/>
              <w:right w:val="single" w:sz="6" w:space="0" w:color="auto"/>
            </w:tcBorders>
            <w:hideMark/>
          </w:tcPr>
          <w:p w14:paraId="40DEFF7B" w14:textId="77777777" w:rsidR="00710736" w:rsidRPr="004371CF" w:rsidRDefault="00710736" w:rsidP="00361EF8">
            <w:pPr>
              <w:jc w:val="left"/>
              <w:rPr>
                <w:rFonts w:ascii="Arial Narrow" w:hAnsi="Arial Narrow"/>
              </w:rPr>
            </w:pPr>
            <w:r w:rsidRPr="004371CF">
              <w:rPr>
                <w:rFonts w:ascii="Arial Narrow" w:hAnsi="Arial Narrow"/>
              </w:rPr>
              <w:t>Treatment &gt;4 days</w:t>
            </w:r>
          </w:p>
        </w:tc>
        <w:tc>
          <w:tcPr>
            <w:tcW w:w="0" w:type="auto"/>
            <w:tcBorders>
              <w:top w:val="single" w:sz="6" w:space="0" w:color="auto"/>
              <w:left w:val="single" w:sz="6" w:space="0" w:color="auto"/>
              <w:bottom w:val="single" w:sz="6" w:space="0" w:color="auto"/>
              <w:right w:val="single" w:sz="6" w:space="0" w:color="auto"/>
            </w:tcBorders>
            <w:hideMark/>
          </w:tcPr>
          <w:p w14:paraId="45FBEEAB" w14:textId="77777777" w:rsidR="00710736" w:rsidRDefault="00710736" w:rsidP="00361EF8">
            <w:pPr>
              <w:jc w:val="left"/>
              <w:rPr>
                <w:rFonts w:ascii="Arial Narrow" w:hAnsi="Arial Narrow"/>
              </w:rPr>
            </w:pPr>
            <w:r w:rsidRPr="004371CF">
              <w:rPr>
                <w:rFonts w:ascii="Arial Narrow" w:hAnsi="Arial Narrow"/>
              </w:rPr>
              <w:t>OR = 8.33 (95%CI 1.47, 47.22)</w:t>
            </w:r>
          </w:p>
          <w:p w14:paraId="6CFFFFEB" w14:textId="77777777" w:rsidR="00710736" w:rsidRPr="004371CF" w:rsidRDefault="00710736" w:rsidP="00361EF8">
            <w:pPr>
              <w:jc w:val="left"/>
              <w:rPr>
                <w:rFonts w:ascii="Arial Narrow" w:hAnsi="Arial Narrow"/>
              </w:rPr>
            </w:pPr>
            <w:r>
              <w:rPr>
                <w:rFonts w:ascii="Arial Narrow" w:hAnsi="Arial Narrow"/>
              </w:rPr>
              <w:t>P=0.01</w:t>
            </w:r>
          </w:p>
        </w:tc>
      </w:tr>
    </w:tbl>
    <w:p w14:paraId="7610ADCE" w14:textId="294F9838" w:rsidR="00185A05" w:rsidRDefault="00604B0D" w:rsidP="00604B0D">
      <w:pPr>
        <w:pStyle w:val="Tablenotes0"/>
      </w:pPr>
      <w:r>
        <w:t>AQP4-Ab = aquaporin 4 a</w:t>
      </w:r>
      <w:r w:rsidR="00BB374E">
        <w:t>nti</w:t>
      </w:r>
      <w:r>
        <w:t xml:space="preserve">bodies; MOG-Ab = </w:t>
      </w:r>
      <w:r w:rsidR="00B84A92">
        <w:t>myelin</w:t>
      </w:r>
      <w:r>
        <w:t xml:space="preserve"> oligodendrocyte glycoprotein antibodie</w:t>
      </w:r>
      <w:r w:rsidR="00B84A92">
        <w:t>s; NMOSD = neuromyelitis optica spectrum disorder</w:t>
      </w:r>
      <w:r w:rsidR="00831EF9">
        <w:t>s</w:t>
      </w:r>
      <w:r w:rsidR="00B84A92">
        <w:t>; ON = optic neuritis</w:t>
      </w:r>
      <w:r w:rsidR="007651B8">
        <w:t>; odds ratio</w:t>
      </w:r>
      <w:r>
        <w:t xml:space="preserve"> </w:t>
      </w:r>
    </w:p>
    <w:p w14:paraId="6D8F7714" w14:textId="77777777" w:rsidR="0093403F" w:rsidRDefault="0093403F" w:rsidP="00604B0D">
      <w:pPr>
        <w:pStyle w:val="Tablenotes0"/>
      </w:pPr>
    </w:p>
    <w:p w14:paraId="78E8B676" w14:textId="77777777" w:rsidR="00EF6CA2" w:rsidRDefault="00EF6CA2" w:rsidP="00EF6CA2">
      <w:pPr>
        <w:pStyle w:val="Heading4"/>
      </w:pPr>
      <w:r>
        <w:t xml:space="preserve">Association of delay in diagnosis with </w:t>
      </w:r>
      <w:r w:rsidR="00A15E8D">
        <w:t>disability (</w:t>
      </w:r>
      <w:r>
        <w:t>EDSS</w:t>
      </w:r>
      <w:r w:rsidR="00A15E8D">
        <w:t>)</w:t>
      </w:r>
      <w:r>
        <w:t xml:space="preserve"> associated with any treatment</w:t>
      </w:r>
    </w:p>
    <w:p w14:paraId="12ACCC2C" w14:textId="5A884457" w:rsidR="00EF6CA2" w:rsidRDefault="00EF6CA2" w:rsidP="00EF6CA2">
      <w:r>
        <w:t xml:space="preserve">One recent study </w:t>
      </w:r>
      <w:r w:rsidR="00156621">
        <w:fldChar w:fldCharType="begin">
          <w:fldData xml:space="preserve">PEVuZE5vdGU+PENpdGU+PEF1dGhvcj5NZWFseTwvQXV0aG9yPjxZZWFyPjIwMTk8L1llYXI+PFJl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</w:fldData>
        </w:fldChar>
      </w:r>
      <w:r w:rsidR="000967CF">
        <w:instrText xml:space="preserve"> ADDIN EN.CITE </w:instrText>
      </w:r>
      <w:r w:rsidR="000967CF">
        <w:fldChar w:fldCharType="begin">
          <w:fldData xml:space="preserve">PEVuZE5vdGU+PENpdGU+PEF1dGhvcj5NZWFseTwvQXV0aG9yPjxZZWFyPjIwMTk8L1llYXI+PFJl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</w:fldData>
        </w:fldChar>
      </w:r>
      <w:r w:rsidR="000967CF">
        <w:instrText xml:space="preserve"> ADDIN EN.CITE.DATA </w:instrText>
      </w:r>
      <w:r w:rsidR="000967CF">
        <w:fldChar w:fldCharType="end"/>
      </w:r>
      <w:r w:rsidR="00156621">
        <w:fldChar w:fldCharType="separate"/>
      </w:r>
      <w:r w:rsidR="00705441">
        <w:rPr>
          <w:noProof/>
        </w:rPr>
        <w:t>(Mealy</w:t>
      </w:r>
      <w:r w:rsidR="000967CF">
        <w:rPr>
          <w:noProof/>
        </w:rPr>
        <w:t xml:space="preserve"> et al. 2019)</w:t>
      </w:r>
      <w:r w:rsidR="00156621">
        <w:fldChar w:fldCharType="end"/>
      </w:r>
      <w:r>
        <w:t xml:space="preserve"> looked at the impact of the extent of delay in diagnosis for NMOSD patients on disability measured by EDSS. According to the authors, “patients were started on NMOSD-specific immunotherapy at the time of NMOSD diagnosis confirmation, such that the delay in </w:t>
      </w:r>
      <w:r>
        <w:lastRenderedPageBreak/>
        <w:t xml:space="preserve">diagnosis was equivalent to delay in initiation of preventative treatment.” Demographic and clinical data in 182 AQP4-Ab </w:t>
      </w:r>
      <w:r w:rsidR="002562C2">
        <w:t>positive</w:t>
      </w:r>
      <w:r>
        <w:t xml:space="preserve"> patients were analysed for contribution to disability beyond relapse. Disability was measured using the EDSS tool.</w:t>
      </w:r>
    </w:p>
    <w:p w14:paraId="0A217ED7" w14:textId="3C37FAEC" w:rsidR="00EF6CA2" w:rsidRDefault="00EF6CA2" w:rsidP="00EF6CA2">
      <w:r>
        <w:t xml:space="preserve">Delay in diagnosis/preventative treatment was found to be contribute to a worse EDSS in simple regression analysis (p = 0.033; 95%CI 0.006, 0.140) and by multiple regression modelling (p = 0.006; 95%CI 0.02, 0.15). Other factors found to contribute to disability in the multivariable regression modelling were </w:t>
      </w:r>
      <w:r w:rsidR="00074B5A">
        <w:t xml:space="preserve">older </w:t>
      </w:r>
      <w:r>
        <w:t xml:space="preserve">age at onset, length of acute T2 myelitis lesion and the presence of symptomatic brain/brainstem lesions. Factors not found to be contributors were the number of inflammatory events, ARR; relapse treatment score (calculated to account for the number of events and type of treatment) and duration of MS modifying treatment in single factor analyses. Multivariable regression results are shown in </w:t>
      </w:r>
      <w:r>
        <w:fldChar w:fldCharType="begin"/>
      </w:r>
      <w:r>
        <w:instrText xml:space="preserve"> REF _Ref29905429 \h </w:instrText>
      </w:r>
      <w:r>
        <w:fldChar w:fldCharType="separate"/>
      </w:r>
      <w:r w:rsidR="0093403F">
        <w:t xml:space="preserve">Table </w:t>
      </w:r>
      <w:r w:rsidR="0093403F">
        <w:rPr>
          <w:noProof/>
        </w:rPr>
        <w:t>50</w:t>
      </w:r>
      <w:r>
        <w:fldChar w:fldCharType="end"/>
      </w:r>
      <w:r>
        <w:t>.</w:t>
      </w:r>
    </w:p>
    <w:p w14:paraId="420BC331" w14:textId="71B57853" w:rsidR="00EF6CA2" w:rsidRDefault="00EF6CA2" w:rsidP="00EF6CA2">
      <w:pPr>
        <w:pStyle w:val="Caption"/>
      </w:pPr>
      <w:bookmarkStart w:id="310" w:name="_Ref29905429"/>
      <w:bookmarkStart w:id="311" w:name="_Toc39580831"/>
      <w:r>
        <w:t xml:space="preserve">Table </w:t>
      </w:r>
      <w:fldSimple w:instr=" SEQ Table \* ARABIC ">
        <w:r w:rsidR="00FA7BCD">
          <w:rPr>
            <w:noProof/>
          </w:rPr>
          <w:t>50</w:t>
        </w:r>
      </w:fldSimple>
      <w:bookmarkEnd w:id="310"/>
      <w:r>
        <w:rPr>
          <w:noProof/>
        </w:rPr>
        <w:tab/>
        <w:t xml:space="preserve">Contributors to NMOSD disability (EDSS) by multivariate analysis </w:t>
      </w:r>
      <w:r w:rsidR="00156621">
        <w:rPr>
          <w:noProof/>
        </w:rPr>
        <w:fldChar w:fldCharType="begin">
          <w:fldData xml:space="preserve">PEVuZE5vdGU+PENpdGU+PEF1dGhvcj5NZWFseTwvQXV0aG9yPjxZZWFyPjIwMTk8L1llYXI+PFJl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</w:fldData>
        </w:fldChar>
      </w:r>
      <w:r w:rsidR="000967CF">
        <w:rPr>
          <w:noProof/>
        </w:rPr>
        <w:instrText xml:space="preserve"> ADDIN EN.CITE </w:instrText>
      </w:r>
      <w:r w:rsidR="000967CF">
        <w:rPr>
          <w:noProof/>
        </w:rPr>
        <w:fldChar w:fldCharType="begin">
          <w:fldData xml:space="preserve">PEVuZE5vdGU+PENpdGU+PEF1dGhvcj5NZWFseTwvQXV0aG9yPjxZZWFyPjIwMTk8L1llYXI+PFJl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</w:fldData>
        </w:fldChar>
      </w:r>
      <w:r w:rsidR="000967CF">
        <w:rPr>
          <w:noProof/>
        </w:rPr>
        <w:instrText xml:space="preserve"> ADDIN EN.CITE.DATA </w:instrText>
      </w:r>
      <w:r w:rsidR="000967CF">
        <w:rPr>
          <w:noProof/>
        </w:rPr>
      </w:r>
      <w:r w:rsidR="000967CF">
        <w:rPr>
          <w:noProof/>
        </w:rPr>
        <w:fldChar w:fldCharType="end"/>
      </w:r>
      <w:r w:rsidR="00156621">
        <w:rPr>
          <w:noProof/>
        </w:rPr>
      </w:r>
      <w:r w:rsidR="00156621">
        <w:rPr>
          <w:noProof/>
        </w:rPr>
        <w:fldChar w:fldCharType="separate"/>
      </w:r>
      <w:r w:rsidR="00705441">
        <w:rPr>
          <w:noProof/>
        </w:rPr>
        <w:t>(Mealy</w:t>
      </w:r>
      <w:r w:rsidR="000967CF">
        <w:rPr>
          <w:noProof/>
        </w:rPr>
        <w:t xml:space="preserve"> et al. 2019)</w:t>
      </w:r>
      <w:bookmarkEnd w:id="311"/>
      <w:r w:rsidR="00156621">
        <w:rPr>
          <w:noProof/>
        </w:rPr>
        <w:fldChar w:fldCharType="end"/>
      </w:r>
    </w:p>
    <w:tbl>
      <w:tblPr>
        <w:tblStyle w:val="TableGrid1"/>
        <w:tblW w:w="892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50 Contributors to NMOSD disability (EDSS) by multivariate analysis (Mealy, Mossburg, et al. 2019)"/>
        <w:tblDescription w:val="Results of a multivariate analysis showing variables impacting on disability in NMOSD patients (measured by EDSS)"/>
      </w:tblPr>
      <w:tblGrid>
        <w:gridCol w:w="3111"/>
        <w:gridCol w:w="1843"/>
        <w:gridCol w:w="1701"/>
        <w:gridCol w:w="2268"/>
      </w:tblGrid>
      <w:tr w:rsidR="00EF6CA2" w:rsidRPr="001C45F4" w14:paraId="16C112D5" w14:textId="77777777" w:rsidTr="00576648">
        <w:trPr>
          <w:cnfStyle w:val="100000000000" w:firstRow="1" w:lastRow="0" w:firstColumn="0" w:lastColumn="0" w:oddVBand="0" w:evenVBand="0" w:oddHBand="0" w:evenHBand="0" w:firstRowFirstColumn="0" w:firstRowLastColumn="0" w:lastRowFirstColumn="0" w:lastRowLastColumn="0"/>
        </w:trPr>
        <w:tc>
          <w:tcPr>
            <w:tcW w:w="3111" w:type="dxa"/>
            <w:tcBorders>
              <w:top w:val="single" w:sz="6" w:space="0" w:color="auto"/>
              <w:left w:val="single" w:sz="6" w:space="0" w:color="auto"/>
              <w:bottom w:val="single" w:sz="6" w:space="0" w:color="auto"/>
              <w:right w:val="single" w:sz="6" w:space="0" w:color="auto"/>
            </w:tcBorders>
            <w:hideMark/>
          </w:tcPr>
          <w:p w14:paraId="584BF468" w14:textId="77777777" w:rsidR="00EF6CA2" w:rsidRPr="001C45F4" w:rsidRDefault="00EF6CA2" w:rsidP="00576648">
            <w:pPr>
              <w:jc w:val="left"/>
              <w:rPr>
                <w:rFonts w:ascii="Arial Narrow" w:hAnsi="Arial Narrow"/>
                <w:b/>
              </w:rPr>
            </w:pPr>
            <w:r>
              <w:rPr>
                <w:rFonts w:ascii="Arial Narrow" w:hAnsi="Arial Narrow"/>
                <w:b/>
              </w:rPr>
              <w:t>Variable</w:t>
            </w:r>
          </w:p>
        </w:tc>
        <w:tc>
          <w:tcPr>
            <w:tcW w:w="1843" w:type="dxa"/>
            <w:tcBorders>
              <w:top w:val="single" w:sz="6" w:space="0" w:color="auto"/>
              <w:left w:val="single" w:sz="6" w:space="0" w:color="auto"/>
              <w:bottom w:val="single" w:sz="6" w:space="0" w:color="auto"/>
              <w:right w:val="single" w:sz="6" w:space="0" w:color="auto"/>
            </w:tcBorders>
            <w:hideMark/>
          </w:tcPr>
          <w:p w14:paraId="74EC302A" w14:textId="77777777" w:rsidR="00EF6CA2" w:rsidRPr="001C45F4" w:rsidRDefault="00EF6CA2" w:rsidP="00576648">
            <w:pPr>
              <w:jc w:val="left"/>
              <w:rPr>
                <w:rFonts w:ascii="Arial Narrow" w:hAnsi="Arial Narrow"/>
                <w:b/>
              </w:rPr>
            </w:pPr>
            <w:r>
              <w:rPr>
                <w:rFonts w:ascii="Arial Narrow" w:hAnsi="Arial Narrow"/>
                <w:b/>
              </w:rPr>
              <w:t>P value</w:t>
            </w:r>
          </w:p>
        </w:tc>
        <w:tc>
          <w:tcPr>
            <w:tcW w:w="1701" w:type="dxa"/>
            <w:tcBorders>
              <w:top w:val="single" w:sz="6" w:space="0" w:color="auto"/>
              <w:left w:val="single" w:sz="6" w:space="0" w:color="auto"/>
              <w:bottom w:val="single" w:sz="6" w:space="0" w:color="auto"/>
              <w:right w:val="single" w:sz="6" w:space="0" w:color="auto"/>
            </w:tcBorders>
            <w:hideMark/>
          </w:tcPr>
          <w:p w14:paraId="2400BB2A" w14:textId="77777777" w:rsidR="00EF6CA2" w:rsidRPr="002B01FD" w:rsidRDefault="00EF6CA2" w:rsidP="00576648">
            <w:pPr>
              <w:jc w:val="left"/>
              <w:rPr>
                <w:rFonts w:ascii="Arial Narrow" w:hAnsi="Arial Narrow"/>
                <w:b/>
                <w:vertAlign w:val="superscript"/>
              </w:rPr>
            </w:pPr>
            <w:r>
              <w:rPr>
                <w:rFonts w:ascii="Arial Narrow" w:hAnsi="Arial Narrow"/>
                <w:b/>
              </w:rPr>
              <w:t>Coefficient</w:t>
            </w:r>
            <w:r>
              <w:rPr>
                <w:rFonts w:ascii="Arial Narrow" w:hAnsi="Arial Narrow"/>
                <w:b/>
                <w:vertAlign w:val="superscript"/>
              </w:rPr>
              <w:t>a</w:t>
            </w:r>
          </w:p>
        </w:tc>
        <w:tc>
          <w:tcPr>
            <w:tcW w:w="2268" w:type="dxa"/>
            <w:tcBorders>
              <w:top w:val="single" w:sz="6" w:space="0" w:color="auto"/>
              <w:left w:val="single" w:sz="6" w:space="0" w:color="auto"/>
              <w:bottom w:val="single" w:sz="6" w:space="0" w:color="auto"/>
              <w:right w:val="single" w:sz="6" w:space="0" w:color="auto"/>
            </w:tcBorders>
            <w:hideMark/>
          </w:tcPr>
          <w:p w14:paraId="4B18F022" w14:textId="77777777" w:rsidR="00EF6CA2" w:rsidRPr="001C45F4" w:rsidRDefault="00EF6CA2" w:rsidP="00576648">
            <w:pPr>
              <w:jc w:val="left"/>
              <w:rPr>
                <w:rFonts w:ascii="Arial Narrow" w:hAnsi="Arial Narrow"/>
                <w:b/>
              </w:rPr>
            </w:pPr>
            <w:r>
              <w:rPr>
                <w:rFonts w:ascii="Arial Narrow" w:hAnsi="Arial Narrow"/>
                <w:b/>
              </w:rPr>
              <w:t>95% confidence interval</w:t>
            </w:r>
          </w:p>
        </w:tc>
      </w:tr>
      <w:tr w:rsidR="00EF6CA2" w:rsidRPr="004371CF" w14:paraId="77B1E46B" w14:textId="77777777" w:rsidTr="00576648">
        <w:tc>
          <w:tcPr>
            <w:tcW w:w="3111" w:type="dxa"/>
            <w:tcBorders>
              <w:top w:val="single" w:sz="6" w:space="0" w:color="auto"/>
              <w:left w:val="single" w:sz="6" w:space="0" w:color="auto"/>
              <w:bottom w:val="single" w:sz="6" w:space="0" w:color="auto"/>
              <w:right w:val="single" w:sz="6" w:space="0" w:color="auto"/>
            </w:tcBorders>
            <w:hideMark/>
          </w:tcPr>
          <w:p w14:paraId="07FC3DFD" w14:textId="77777777" w:rsidR="00EF6CA2" w:rsidRPr="004371CF" w:rsidRDefault="00EF6CA2" w:rsidP="00576648">
            <w:pPr>
              <w:jc w:val="left"/>
              <w:rPr>
                <w:rFonts w:ascii="Arial Narrow" w:hAnsi="Arial Narrow"/>
              </w:rPr>
            </w:pPr>
            <w:r>
              <w:rPr>
                <w:rFonts w:ascii="Arial Narrow" w:hAnsi="Arial Narrow"/>
              </w:rPr>
              <w:t>Age at onset</w:t>
            </w:r>
          </w:p>
        </w:tc>
        <w:tc>
          <w:tcPr>
            <w:tcW w:w="1843" w:type="dxa"/>
            <w:tcBorders>
              <w:top w:val="single" w:sz="6" w:space="0" w:color="auto"/>
              <w:left w:val="single" w:sz="6" w:space="0" w:color="auto"/>
              <w:bottom w:val="single" w:sz="6" w:space="0" w:color="auto"/>
              <w:right w:val="single" w:sz="6" w:space="0" w:color="auto"/>
            </w:tcBorders>
            <w:hideMark/>
          </w:tcPr>
          <w:p w14:paraId="72E2C6C2" w14:textId="77777777" w:rsidR="00EF6CA2" w:rsidRPr="004371CF" w:rsidRDefault="00EF6CA2" w:rsidP="00576648">
            <w:pPr>
              <w:jc w:val="left"/>
              <w:rPr>
                <w:rFonts w:ascii="Arial Narrow" w:hAnsi="Arial Narrow"/>
              </w:rPr>
            </w:pPr>
            <w:r>
              <w:rPr>
                <w:rFonts w:ascii="Arial Narrow" w:hAnsi="Arial Narrow"/>
              </w:rPr>
              <w:t>0.000</w:t>
            </w:r>
          </w:p>
        </w:tc>
        <w:tc>
          <w:tcPr>
            <w:tcW w:w="1701" w:type="dxa"/>
            <w:tcBorders>
              <w:top w:val="single" w:sz="6" w:space="0" w:color="auto"/>
              <w:left w:val="single" w:sz="6" w:space="0" w:color="auto"/>
              <w:bottom w:val="single" w:sz="6" w:space="0" w:color="auto"/>
              <w:right w:val="single" w:sz="6" w:space="0" w:color="auto"/>
            </w:tcBorders>
            <w:hideMark/>
          </w:tcPr>
          <w:p w14:paraId="00EFF4FF" w14:textId="77777777" w:rsidR="00EF6CA2" w:rsidRPr="004371CF" w:rsidRDefault="00EF6CA2" w:rsidP="00576648">
            <w:pPr>
              <w:jc w:val="left"/>
              <w:rPr>
                <w:rFonts w:ascii="Arial Narrow" w:hAnsi="Arial Narrow"/>
              </w:rPr>
            </w:pPr>
            <w:r>
              <w:rPr>
                <w:rFonts w:ascii="Arial Narrow" w:hAnsi="Arial Narrow"/>
              </w:rPr>
              <w:t>0.06</w:t>
            </w:r>
          </w:p>
        </w:tc>
        <w:tc>
          <w:tcPr>
            <w:tcW w:w="2268" w:type="dxa"/>
            <w:tcBorders>
              <w:top w:val="single" w:sz="6" w:space="0" w:color="auto"/>
              <w:left w:val="single" w:sz="6" w:space="0" w:color="auto"/>
              <w:bottom w:val="single" w:sz="6" w:space="0" w:color="auto"/>
              <w:right w:val="single" w:sz="6" w:space="0" w:color="auto"/>
            </w:tcBorders>
            <w:hideMark/>
          </w:tcPr>
          <w:p w14:paraId="10967923" w14:textId="77777777" w:rsidR="00EF6CA2" w:rsidRPr="004371CF" w:rsidRDefault="00EF6CA2" w:rsidP="00576648">
            <w:pPr>
              <w:jc w:val="left"/>
              <w:rPr>
                <w:rFonts w:ascii="Arial Narrow" w:hAnsi="Arial Narrow"/>
              </w:rPr>
            </w:pPr>
            <w:r>
              <w:rPr>
                <w:rFonts w:ascii="Arial Narrow" w:hAnsi="Arial Narrow"/>
              </w:rPr>
              <w:t>0.04, 0.08</w:t>
            </w:r>
          </w:p>
        </w:tc>
      </w:tr>
      <w:tr w:rsidR="00EF6CA2" w:rsidRPr="004371CF" w14:paraId="1D07532B" w14:textId="77777777" w:rsidTr="00576648">
        <w:tc>
          <w:tcPr>
            <w:tcW w:w="3111" w:type="dxa"/>
            <w:tcBorders>
              <w:top w:val="single" w:sz="6" w:space="0" w:color="auto"/>
              <w:left w:val="single" w:sz="6" w:space="0" w:color="auto"/>
              <w:bottom w:val="single" w:sz="6" w:space="0" w:color="auto"/>
              <w:right w:val="single" w:sz="6" w:space="0" w:color="auto"/>
            </w:tcBorders>
            <w:hideMark/>
          </w:tcPr>
          <w:p w14:paraId="7E94C4C1" w14:textId="77777777" w:rsidR="00EF6CA2" w:rsidRPr="004371CF" w:rsidRDefault="00EF6CA2" w:rsidP="00576648">
            <w:pPr>
              <w:jc w:val="left"/>
              <w:rPr>
                <w:rFonts w:ascii="Arial Narrow" w:hAnsi="Arial Narrow"/>
              </w:rPr>
            </w:pPr>
            <w:r>
              <w:rPr>
                <w:rFonts w:ascii="Arial Narrow" w:hAnsi="Arial Narrow"/>
              </w:rPr>
              <w:t>Delay at diagnosis</w:t>
            </w:r>
          </w:p>
        </w:tc>
        <w:tc>
          <w:tcPr>
            <w:tcW w:w="1843" w:type="dxa"/>
            <w:tcBorders>
              <w:top w:val="single" w:sz="6" w:space="0" w:color="auto"/>
              <w:left w:val="single" w:sz="6" w:space="0" w:color="auto"/>
              <w:bottom w:val="single" w:sz="6" w:space="0" w:color="auto"/>
              <w:right w:val="single" w:sz="6" w:space="0" w:color="auto"/>
            </w:tcBorders>
            <w:hideMark/>
          </w:tcPr>
          <w:p w14:paraId="2C4D2DA8" w14:textId="77777777" w:rsidR="00EF6CA2" w:rsidRPr="004371CF" w:rsidRDefault="00EF6CA2" w:rsidP="00576648">
            <w:pPr>
              <w:jc w:val="left"/>
              <w:rPr>
                <w:rFonts w:ascii="Arial Narrow" w:hAnsi="Arial Narrow"/>
              </w:rPr>
            </w:pPr>
            <w:r>
              <w:rPr>
                <w:rFonts w:ascii="Arial Narrow" w:hAnsi="Arial Narrow"/>
              </w:rPr>
              <w:t>0.006</w:t>
            </w:r>
          </w:p>
        </w:tc>
        <w:tc>
          <w:tcPr>
            <w:tcW w:w="1701" w:type="dxa"/>
            <w:tcBorders>
              <w:top w:val="single" w:sz="6" w:space="0" w:color="auto"/>
              <w:left w:val="single" w:sz="6" w:space="0" w:color="auto"/>
              <w:bottom w:val="single" w:sz="6" w:space="0" w:color="auto"/>
              <w:right w:val="single" w:sz="6" w:space="0" w:color="auto"/>
            </w:tcBorders>
            <w:hideMark/>
          </w:tcPr>
          <w:p w14:paraId="27DD3E28" w14:textId="77777777" w:rsidR="00EF6CA2" w:rsidRPr="004371CF" w:rsidRDefault="00EF6CA2" w:rsidP="00576648">
            <w:pPr>
              <w:jc w:val="left"/>
              <w:rPr>
                <w:rFonts w:ascii="Arial Narrow" w:hAnsi="Arial Narrow"/>
              </w:rPr>
            </w:pPr>
            <w:r>
              <w:rPr>
                <w:rFonts w:ascii="Arial Narrow" w:hAnsi="Arial Narrow"/>
              </w:rPr>
              <w:t>0.09</w:t>
            </w:r>
          </w:p>
        </w:tc>
        <w:tc>
          <w:tcPr>
            <w:tcW w:w="2268" w:type="dxa"/>
            <w:tcBorders>
              <w:top w:val="single" w:sz="6" w:space="0" w:color="auto"/>
              <w:left w:val="single" w:sz="6" w:space="0" w:color="auto"/>
              <w:bottom w:val="single" w:sz="6" w:space="0" w:color="auto"/>
              <w:right w:val="single" w:sz="6" w:space="0" w:color="auto"/>
            </w:tcBorders>
            <w:hideMark/>
          </w:tcPr>
          <w:p w14:paraId="6DA639E1" w14:textId="77777777" w:rsidR="00EF6CA2" w:rsidRPr="004371CF" w:rsidRDefault="00EF6CA2" w:rsidP="00576648">
            <w:pPr>
              <w:jc w:val="left"/>
              <w:rPr>
                <w:rFonts w:ascii="Arial Narrow" w:hAnsi="Arial Narrow"/>
              </w:rPr>
            </w:pPr>
            <w:r>
              <w:rPr>
                <w:rFonts w:ascii="Arial Narrow" w:hAnsi="Arial Narrow"/>
              </w:rPr>
              <w:t>0.02, 0.15</w:t>
            </w:r>
          </w:p>
        </w:tc>
      </w:tr>
      <w:tr w:rsidR="00EF6CA2" w:rsidRPr="004371CF" w14:paraId="2B41BBAC" w14:textId="77777777" w:rsidTr="00576648">
        <w:tc>
          <w:tcPr>
            <w:tcW w:w="3111" w:type="dxa"/>
            <w:tcBorders>
              <w:top w:val="single" w:sz="6" w:space="0" w:color="auto"/>
              <w:left w:val="single" w:sz="6" w:space="0" w:color="auto"/>
              <w:bottom w:val="single" w:sz="6" w:space="0" w:color="auto"/>
              <w:right w:val="single" w:sz="6" w:space="0" w:color="auto"/>
            </w:tcBorders>
          </w:tcPr>
          <w:p w14:paraId="3D0E57C9" w14:textId="77777777" w:rsidR="00EF6CA2" w:rsidRDefault="00EF6CA2" w:rsidP="00576648">
            <w:pPr>
              <w:jc w:val="left"/>
              <w:rPr>
                <w:rFonts w:ascii="Arial Narrow" w:hAnsi="Arial Narrow"/>
              </w:rPr>
            </w:pPr>
            <w:r>
              <w:rPr>
                <w:rFonts w:ascii="Arial Narrow" w:hAnsi="Arial Narrow"/>
              </w:rPr>
              <w:t>Length of acute T2 myelitis lesion</w:t>
            </w:r>
          </w:p>
        </w:tc>
        <w:tc>
          <w:tcPr>
            <w:tcW w:w="1843" w:type="dxa"/>
            <w:tcBorders>
              <w:top w:val="single" w:sz="6" w:space="0" w:color="auto"/>
              <w:left w:val="single" w:sz="6" w:space="0" w:color="auto"/>
              <w:bottom w:val="single" w:sz="6" w:space="0" w:color="auto"/>
              <w:right w:val="single" w:sz="6" w:space="0" w:color="auto"/>
            </w:tcBorders>
          </w:tcPr>
          <w:p w14:paraId="6A4A9894" w14:textId="77777777" w:rsidR="00EF6CA2" w:rsidRPr="004371CF" w:rsidRDefault="00EF6CA2" w:rsidP="00576648">
            <w:pPr>
              <w:jc w:val="left"/>
              <w:rPr>
                <w:rFonts w:ascii="Arial Narrow" w:hAnsi="Arial Narrow"/>
              </w:rPr>
            </w:pPr>
            <w:r>
              <w:rPr>
                <w:rFonts w:ascii="Arial Narrow" w:hAnsi="Arial Narrow"/>
              </w:rPr>
              <w:t>0.000</w:t>
            </w:r>
          </w:p>
        </w:tc>
        <w:tc>
          <w:tcPr>
            <w:tcW w:w="1701" w:type="dxa"/>
            <w:tcBorders>
              <w:top w:val="single" w:sz="6" w:space="0" w:color="auto"/>
              <w:left w:val="single" w:sz="6" w:space="0" w:color="auto"/>
              <w:bottom w:val="single" w:sz="6" w:space="0" w:color="auto"/>
              <w:right w:val="single" w:sz="6" w:space="0" w:color="auto"/>
            </w:tcBorders>
          </w:tcPr>
          <w:p w14:paraId="4ACC4872" w14:textId="77777777" w:rsidR="00EF6CA2" w:rsidRPr="004371CF" w:rsidRDefault="00EF6CA2" w:rsidP="00576648">
            <w:pPr>
              <w:jc w:val="left"/>
              <w:rPr>
                <w:rFonts w:ascii="Arial Narrow" w:hAnsi="Arial Narrow"/>
              </w:rPr>
            </w:pPr>
            <w:r>
              <w:rPr>
                <w:rFonts w:ascii="Arial Narrow" w:hAnsi="Arial Narrow"/>
              </w:rPr>
              <w:t>0.16</w:t>
            </w:r>
          </w:p>
        </w:tc>
        <w:tc>
          <w:tcPr>
            <w:tcW w:w="2268" w:type="dxa"/>
            <w:tcBorders>
              <w:top w:val="single" w:sz="6" w:space="0" w:color="auto"/>
              <w:left w:val="single" w:sz="6" w:space="0" w:color="auto"/>
              <w:bottom w:val="single" w:sz="6" w:space="0" w:color="auto"/>
              <w:right w:val="single" w:sz="6" w:space="0" w:color="auto"/>
            </w:tcBorders>
          </w:tcPr>
          <w:p w14:paraId="1A041FB9" w14:textId="77777777" w:rsidR="00EF6CA2" w:rsidRPr="004371CF" w:rsidRDefault="00EF6CA2" w:rsidP="00576648">
            <w:pPr>
              <w:jc w:val="left"/>
              <w:rPr>
                <w:rFonts w:ascii="Arial Narrow" w:hAnsi="Arial Narrow"/>
              </w:rPr>
            </w:pPr>
            <w:r>
              <w:rPr>
                <w:rFonts w:ascii="Arial Narrow" w:hAnsi="Arial Narrow"/>
              </w:rPr>
              <w:t>0.08, 0.23</w:t>
            </w:r>
          </w:p>
        </w:tc>
      </w:tr>
      <w:tr w:rsidR="00EF6CA2" w:rsidRPr="004371CF" w14:paraId="3E0BEF0C" w14:textId="77777777" w:rsidTr="00576648">
        <w:tc>
          <w:tcPr>
            <w:tcW w:w="3111" w:type="dxa"/>
            <w:tcBorders>
              <w:top w:val="single" w:sz="6" w:space="0" w:color="auto"/>
              <w:left w:val="single" w:sz="6" w:space="0" w:color="auto"/>
              <w:bottom w:val="single" w:sz="6" w:space="0" w:color="auto"/>
              <w:right w:val="single" w:sz="6" w:space="0" w:color="auto"/>
            </w:tcBorders>
            <w:hideMark/>
          </w:tcPr>
          <w:p w14:paraId="13C9898F" w14:textId="77777777" w:rsidR="00EF6CA2" w:rsidRPr="004371CF" w:rsidRDefault="00EF6CA2" w:rsidP="00576648">
            <w:pPr>
              <w:jc w:val="left"/>
              <w:rPr>
                <w:rFonts w:ascii="Arial Narrow" w:hAnsi="Arial Narrow"/>
              </w:rPr>
            </w:pPr>
            <w:r>
              <w:rPr>
                <w:rFonts w:ascii="Arial Narrow" w:hAnsi="Arial Narrow"/>
              </w:rPr>
              <w:t>Brain/brainstem lesions (normal versus symptomatic)</w:t>
            </w:r>
          </w:p>
        </w:tc>
        <w:tc>
          <w:tcPr>
            <w:tcW w:w="1843" w:type="dxa"/>
            <w:tcBorders>
              <w:top w:val="single" w:sz="6" w:space="0" w:color="auto"/>
              <w:left w:val="single" w:sz="6" w:space="0" w:color="auto"/>
              <w:bottom w:val="single" w:sz="6" w:space="0" w:color="auto"/>
              <w:right w:val="single" w:sz="6" w:space="0" w:color="auto"/>
            </w:tcBorders>
            <w:hideMark/>
          </w:tcPr>
          <w:p w14:paraId="35AEDEC9" w14:textId="77777777" w:rsidR="00EF6CA2" w:rsidRPr="004371CF" w:rsidRDefault="00EF6CA2" w:rsidP="00576648">
            <w:pPr>
              <w:jc w:val="left"/>
              <w:rPr>
                <w:rFonts w:ascii="Arial Narrow" w:hAnsi="Arial Narrow"/>
              </w:rPr>
            </w:pPr>
            <w:r>
              <w:rPr>
                <w:rFonts w:ascii="Arial Narrow" w:hAnsi="Arial Narrow"/>
              </w:rPr>
              <w:t>0.023</w:t>
            </w:r>
          </w:p>
        </w:tc>
        <w:tc>
          <w:tcPr>
            <w:tcW w:w="1701" w:type="dxa"/>
            <w:tcBorders>
              <w:top w:val="single" w:sz="6" w:space="0" w:color="auto"/>
              <w:left w:val="single" w:sz="6" w:space="0" w:color="auto"/>
              <w:bottom w:val="single" w:sz="6" w:space="0" w:color="auto"/>
              <w:right w:val="single" w:sz="6" w:space="0" w:color="auto"/>
            </w:tcBorders>
            <w:hideMark/>
          </w:tcPr>
          <w:p w14:paraId="10A58277" w14:textId="77777777" w:rsidR="00EF6CA2" w:rsidRPr="004371CF" w:rsidRDefault="00EF6CA2" w:rsidP="00576648">
            <w:pPr>
              <w:jc w:val="left"/>
              <w:rPr>
                <w:rFonts w:ascii="Arial Narrow" w:hAnsi="Arial Narrow"/>
              </w:rPr>
            </w:pPr>
            <w:r>
              <w:rPr>
                <w:rFonts w:ascii="Arial Narrow" w:hAnsi="Arial Narrow"/>
              </w:rPr>
              <w:t>0.91</w:t>
            </w:r>
          </w:p>
        </w:tc>
        <w:tc>
          <w:tcPr>
            <w:tcW w:w="2268" w:type="dxa"/>
            <w:tcBorders>
              <w:top w:val="single" w:sz="6" w:space="0" w:color="auto"/>
              <w:left w:val="single" w:sz="6" w:space="0" w:color="auto"/>
              <w:bottom w:val="single" w:sz="6" w:space="0" w:color="auto"/>
              <w:right w:val="single" w:sz="6" w:space="0" w:color="auto"/>
            </w:tcBorders>
            <w:hideMark/>
          </w:tcPr>
          <w:p w14:paraId="388AC09C" w14:textId="77777777" w:rsidR="00EF6CA2" w:rsidRPr="004371CF" w:rsidRDefault="00EF6CA2" w:rsidP="00576648">
            <w:pPr>
              <w:jc w:val="left"/>
              <w:rPr>
                <w:rFonts w:ascii="Arial Narrow" w:hAnsi="Arial Narrow"/>
              </w:rPr>
            </w:pPr>
            <w:r>
              <w:rPr>
                <w:rFonts w:ascii="Arial Narrow" w:hAnsi="Arial Narrow"/>
              </w:rPr>
              <w:t>0.12, 1.71</w:t>
            </w:r>
          </w:p>
        </w:tc>
      </w:tr>
    </w:tbl>
    <w:p w14:paraId="6ADE790C" w14:textId="77777777" w:rsidR="00DE3ACA" w:rsidRPr="00DE3ACA" w:rsidRDefault="00DE3ACA" w:rsidP="00EF6CA2">
      <w:pPr>
        <w:pStyle w:val="Tablenotes0"/>
      </w:pPr>
      <w:r>
        <w:t>NMOSD = neuromyelitis optica spectrum disorders; EDSS = expanded disability status scale</w:t>
      </w:r>
    </w:p>
    <w:p w14:paraId="73D6AB74" w14:textId="77777777" w:rsidR="00EF6CA2" w:rsidRDefault="00EF6CA2" w:rsidP="00EF6CA2">
      <w:pPr>
        <w:pStyle w:val="Tablenotes0"/>
      </w:pPr>
      <w:r>
        <w:rPr>
          <w:vertAlign w:val="superscript"/>
        </w:rPr>
        <w:t>a</w:t>
      </w:r>
      <w:r>
        <w:t xml:space="preserve"> If correlation was greater than 0.6, collinear variables were not included in the multivariate analysis</w:t>
      </w:r>
    </w:p>
    <w:p w14:paraId="0D7C8924" w14:textId="77777777" w:rsidR="00EF6CA2" w:rsidRPr="002B01FD" w:rsidRDefault="00EF6CA2" w:rsidP="00EF6CA2">
      <w:pPr>
        <w:pStyle w:val="Tablenotes0"/>
      </w:pPr>
    </w:p>
    <w:p w14:paraId="7DA5D143" w14:textId="77777777" w:rsidR="00185A05" w:rsidRDefault="005E7517" w:rsidP="005E7517">
      <w:pPr>
        <w:pStyle w:val="Heading3"/>
      </w:pPr>
      <w:bookmarkStart w:id="312" w:name="_Toc39588335"/>
      <w:r>
        <w:t>Comparison of effectiveness of NMOSD and MS treatments in NMOSD patients</w:t>
      </w:r>
      <w:bookmarkEnd w:id="312"/>
    </w:p>
    <w:p w14:paraId="5D59F777" w14:textId="68E344B2" w:rsidR="00F87CBB" w:rsidRDefault="003A1AB2" w:rsidP="00EC2492">
      <w:r>
        <w:t>A retrospective cohort study conducted in Germany collected data on 144 patients from 21 regional and university hospitals</w:t>
      </w:r>
      <w:r w:rsidR="006201B8">
        <w:t xml:space="preserve"> </w:t>
      </w:r>
      <w:r w:rsidR="00156621">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instrText xml:space="preserve"> ADDIN EN.CITE </w:instrText>
      </w:r>
      <w:r w:rsidR="00D96694">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instrText xml:space="preserve"> ADDIN EN.CITE.DATA </w:instrText>
      </w:r>
      <w:r w:rsidR="00D96694">
        <w:fldChar w:fldCharType="end"/>
      </w:r>
      <w:r w:rsidR="00156621">
        <w:fldChar w:fldCharType="separate"/>
      </w:r>
      <w:r w:rsidR="00156621">
        <w:rPr>
          <w:noProof/>
        </w:rPr>
        <w:t>(Stellmann et al. 2017)</w:t>
      </w:r>
      <w:r w:rsidR="00156621">
        <w:fldChar w:fldCharType="end"/>
      </w:r>
      <w:r>
        <w:t xml:space="preserve">. Eligible patients had been treated for NMO (2006 criteria) or AQP4-Ab </w:t>
      </w:r>
      <w:r w:rsidR="00545C13">
        <w:t>positive or negative</w:t>
      </w:r>
      <w:r>
        <w:t xml:space="preserve"> NMOSD. Hazard ratios for attack risk were calculated using multivariate analyses and were compared across treatments</w:t>
      </w:r>
      <w:r w:rsidR="00A6776A">
        <w:t>;</w:t>
      </w:r>
      <w:r>
        <w:t xml:space="preserve"> </w:t>
      </w:r>
      <w:r w:rsidR="00A6776A">
        <w:t xml:space="preserve">RTX, AZA, </w:t>
      </w:r>
      <w:r>
        <w:t>interferon-</w:t>
      </w:r>
      <w:r>
        <w:rPr>
          <w:rFonts w:cs="Calibri"/>
        </w:rPr>
        <w:t>β</w:t>
      </w:r>
      <w:r>
        <w:t>, mitoxantrone and glatiramer acetate. The latter three treatments are commonly used in MS patients</w:t>
      </w:r>
      <w:r w:rsidR="00EC746D">
        <w:t xml:space="preserve">; treatment with </w:t>
      </w:r>
      <w:r>
        <w:t>interferon-</w:t>
      </w:r>
      <w:r>
        <w:rPr>
          <w:rFonts w:cs="Calibri"/>
        </w:rPr>
        <w:t>β</w:t>
      </w:r>
      <w:r>
        <w:t xml:space="preserve"> </w:t>
      </w:r>
      <w:r w:rsidR="00EC746D">
        <w:t xml:space="preserve">is </w:t>
      </w:r>
      <w:r>
        <w:t>now ceased for NMOSD</w:t>
      </w:r>
      <w:r w:rsidR="006201B8">
        <w:t xml:space="preserve"> </w:t>
      </w:r>
      <w:r w:rsidR="00156621">
        <w:fldChar w:fldCharType="begin">
          <w:fldData xml:space="preserve">PEVuZE5vdGU+PENpdGU+PEF1dGhvcj5LaW08L0F1dGhvcj48WWVhcj4yMDEyPC9ZZWFyPjxSZWNO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=
</w:fldData>
        </w:fldChar>
      </w:r>
      <w:r w:rsidR="00AC01FD">
        <w:instrText xml:space="preserve"> ADDIN EN.CITE </w:instrText>
      </w:r>
      <w:r w:rsidR="00AC01FD">
        <w:fldChar w:fldCharType="begin">
          <w:fldData xml:space="preserve">PEVuZE5vdGU+PENpdGU+PEF1dGhvcj5LaW08L0F1dGhvcj48WWVhcj4yMDEyPC9ZZWFyPjxSZWNO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=
</w:fldData>
        </w:fldChar>
      </w:r>
      <w:r w:rsidR="00AC01FD">
        <w:instrText xml:space="preserve"> ADDIN EN.CITE.DATA </w:instrText>
      </w:r>
      <w:r w:rsidR="00AC01FD">
        <w:fldChar w:fldCharType="end"/>
      </w:r>
      <w:r w:rsidR="00156621">
        <w:fldChar w:fldCharType="separate"/>
      </w:r>
      <w:r w:rsidR="00156621">
        <w:rPr>
          <w:noProof/>
        </w:rPr>
        <w:t>(Kim et al. 2012; Tanaka, Tanaka &amp; Komori 2009; Wang et al. 2014)</w:t>
      </w:r>
      <w:r w:rsidR="00156621">
        <w:fldChar w:fldCharType="end"/>
      </w:r>
      <w:r>
        <w:t xml:space="preserve">. </w:t>
      </w:r>
      <w:r w:rsidR="004F2ADA">
        <w:t xml:space="preserve">Separate analyses were performed on 127 patients who received 322 treatment episodes with these five treatments. </w:t>
      </w:r>
    </w:p>
    <w:p w14:paraId="5F778172" w14:textId="77777777" w:rsidR="006201B8" w:rsidRDefault="006201B8" w:rsidP="00EC2492">
      <w:r>
        <w:t xml:space="preserve">According to analyses, </w:t>
      </w:r>
      <w:r w:rsidR="00262D93">
        <w:t>RTX</w:t>
      </w:r>
      <w:r>
        <w:t xml:space="preserve"> and </w:t>
      </w:r>
      <w:r w:rsidR="00262D93">
        <w:t>AZA</w:t>
      </w:r>
      <w:r>
        <w:t xml:space="preserve"> were the only treatments to perform better than interferon-</w:t>
      </w:r>
      <w:r>
        <w:rPr>
          <w:rFonts w:cs="Calibri"/>
        </w:rPr>
        <w:t>β</w:t>
      </w:r>
      <w:r w:rsidR="004F2ADA">
        <w:rPr>
          <w:rFonts w:cs="Calibri"/>
        </w:rPr>
        <w:t xml:space="preserve"> in reducing attacks</w:t>
      </w:r>
      <w:r>
        <w:rPr>
          <w:rFonts w:cs="Calibri"/>
        </w:rPr>
        <w:t xml:space="preserve"> (</w:t>
      </w:r>
      <w:r w:rsidR="00262D93">
        <w:rPr>
          <w:rFonts w:cs="Calibri"/>
        </w:rPr>
        <w:t>RTX</w:t>
      </w:r>
      <w:r w:rsidR="004F2ADA">
        <w:rPr>
          <w:rFonts w:cs="Calibri"/>
        </w:rPr>
        <w:t>: p = 0.034;</w:t>
      </w:r>
      <w:r>
        <w:rPr>
          <w:rFonts w:cs="Calibri"/>
        </w:rPr>
        <w:t xml:space="preserve"> </w:t>
      </w:r>
      <w:r w:rsidR="00262D93">
        <w:rPr>
          <w:rFonts w:cs="Calibri"/>
        </w:rPr>
        <w:t>AZA</w:t>
      </w:r>
      <w:r w:rsidR="004F2ADA">
        <w:rPr>
          <w:rFonts w:cs="Calibri"/>
        </w:rPr>
        <w:t xml:space="preserve">: </w:t>
      </w:r>
      <w:r>
        <w:rPr>
          <w:rFonts w:cs="Calibri"/>
        </w:rPr>
        <w:t xml:space="preserve">p = </w:t>
      </w:r>
      <w:r w:rsidR="004F2ADA">
        <w:rPr>
          <w:rFonts w:cs="Calibri"/>
        </w:rPr>
        <w:t>0.001)</w:t>
      </w:r>
      <w:r>
        <w:t>. Glatiramer acetate and mitoxantrone were not found to have a statistically significant difference in effectiveness to interferon-</w:t>
      </w:r>
      <w:r>
        <w:rPr>
          <w:rFonts w:cs="Calibri"/>
        </w:rPr>
        <w:t>β</w:t>
      </w:r>
      <w:r>
        <w:t>. Predictors of attacks that were found to be statistically significant were seropositivity for AQP4-Ab</w:t>
      </w:r>
      <w:r w:rsidR="004F2ADA">
        <w:t xml:space="preserve"> (p = 0.009) </w:t>
      </w:r>
      <w:r>
        <w:t>and age at which attack occurred</w:t>
      </w:r>
      <w:r w:rsidR="004F2ADA">
        <w:t>, with frequency decreasing with older age</w:t>
      </w:r>
      <w:r>
        <w:t xml:space="preserve"> (</w:t>
      </w:r>
      <w:r w:rsidR="004F2ADA">
        <w:t>p = 0.039).</w:t>
      </w:r>
    </w:p>
    <w:p w14:paraId="57252CE4" w14:textId="50A52B0B" w:rsidR="003A1AB2" w:rsidRDefault="00074B5A" w:rsidP="00EC2492">
      <w:r>
        <w:t xml:space="preserve">The </w:t>
      </w:r>
      <w:r w:rsidR="00D07533">
        <w:t xml:space="preserve">study </w:t>
      </w:r>
      <w:r>
        <w:t xml:space="preserve">evidence favours the treatment of NMOSD with RTX or AZA rather than MS </w:t>
      </w:r>
      <w:r w:rsidR="00CE7F93">
        <w:t>therapies</w:t>
      </w:r>
      <w:r>
        <w:t xml:space="preserve"> interferon-</w:t>
      </w:r>
      <w:r>
        <w:rPr>
          <w:rFonts w:cs="Calibri"/>
        </w:rPr>
        <w:t>β</w:t>
      </w:r>
      <w:r w:rsidR="00D07533">
        <w:t xml:space="preserve"> or </w:t>
      </w:r>
      <w:r>
        <w:t>glatiramer acetate</w:t>
      </w:r>
      <w:r w:rsidR="00D07533">
        <w:t>. However, t</w:t>
      </w:r>
      <w:r w:rsidR="001250A0">
        <w:t xml:space="preserve">he authors commented that sample sizes were too small for strong conclusions to be made. </w:t>
      </w:r>
      <w:r w:rsidR="00315EBD">
        <w:t>Furthermore</w:t>
      </w:r>
      <w:r w:rsidR="001250A0">
        <w:t>, a previous attack under the same treatment was associated with a 1.5</w:t>
      </w:r>
      <w:r>
        <w:t xml:space="preserve"> times</w:t>
      </w:r>
      <w:r w:rsidR="001250A0">
        <w:t xml:space="preserve"> increase in risk of further attack</w:t>
      </w:r>
      <w:r w:rsidR="00865526">
        <w:t>,</w:t>
      </w:r>
      <w:r w:rsidR="001250A0">
        <w:t xml:space="preserve"> but not found to be statistically significant. </w:t>
      </w:r>
    </w:p>
    <w:p w14:paraId="791DBAAA" w14:textId="77777777" w:rsidR="0089705F" w:rsidRDefault="00F42DA8" w:rsidP="00D6012F">
      <w:pPr>
        <w:pStyle w:val="Heading3"/>
      </w:pPr>
      <w:bookmarkStart w:id="313" w:name="_Toc39588336"/>
      <w:r>
        <w:t xml:space="preserve">Change in </w:t>
      </w:r>
      <w:r w:rsidR="00241E97">
        <w:t>disease status</w:t>
      </w:r>
      <w:r>
        <w:t xml:space="preserve"> in patients treated for NMOSD</w:t>
      </w:r>
      <w:bookmarkEnd w:id="313"/>
    </w:p>
    <w:p w14:paraId="048F03DF" w14:textId="77777777" w:rsidR="000516D7" w:rsidRPr="000516D7" w:rsidRDefault="000516D7" w:rsidP="000516D7">
      <w:r>
        <w:t xml:space="preserve">Studies with comparative </w:t>
      </w:r>
      <w:r w:rsidR="007F4A71">
        <w:t xml:space="preserve">before and after treatment </w:t>
      </w:r>
      <w:r>
        <w:t xml:space="preserve">analyses </w:t>
      </w:r>
      <w:r w:rsidR="00241E97">
        <w:t xml:space="preserve">of EDSS, ARR or relapse frequency </w:t>
      </w:r>
      <w:r>
        <w:t xml:space="preserve">were included </w:t>
      </w:r>
      <w:r w:rsidR="00A15E8D">
        <w:t>in</w:t>
      </w:r>
      <w:r>
        <w:t xml:space="preserve"> this section.</w:t>
      </w:r>
    </w:p>
    <w:p w14:paraId="7D943C14" w14:textId="77777777" w:rsidR="000516D7" w:rsidRDefault="00241E97" w:rsidP="00621F69">
      <w:pPr>
        <w:pStyle w:val="Heading4"/>
      </w:pPr>
      <w:r>
        <w:lastRenderedPageBreak/>
        <w:t xml:space="preserve">Change in EDSS following </w:t>
      </w:r>
      <w:r w:rsidR="00B81AF4">
        <w:t xml:space="preserve">plasma exchange </w:t>
      </w:r>
      <w:r w:rsidR="00473091">
        <w:t>(</w:t>
      </w:r>
      <w:r w:rsidR="000516D7">
        <w:t>PLEX</w:t>
      </w:r>
      <w:r w:rsidR="00473091">
        <w:t>)</w:t>
      </w:r>
      <w:r w:rsidR="000516D7">
        <w:t xml:space="preserve"> treatment for NMOSD</w:t>
      </w:r>
    </w:p>
    <w:p w14:paraId="3AD1C2B4" w14:textId="799E3D57" w:rsidR="000516D7" w:rsidRDefault="007F4A71" w:rsidP="00F87DE5">
      <w:r>
        <w:t>Bonnan</w:t>
      </w:r>
      <w:r w:rsidR="004A4BF9">
        <w:t xml:space="preserve"> </w:t>
      </w:r>
      <w:r w:rsidR="00AB0AFB">
        <w:t xml:space="preserve">et al 2009 </w:t>
      </w:r>
      <w:r w:rsidR="00156621">
        <w:fldChar w:fldCharType="begin"/>
      </w:r>
      <w:r w:rsidR="00591217">
        <w:instrText xml:space="preserve"> ADDIN EN.CITE &lt;EndNote&gt;&lt;Cite&gt;&lt;Author&gt;Bonnan&lt;/Author&gt;&lt;Year&gt;2009&lt;/Year&gt;&lt;RecNum&gt;104&lt;/RecNum&gt;&lt;DisplayText&gt;(Bonnan, M et al. 2009)&lt;/DisplayText&gt;&lt;record&gt;&lt;rec-number&gt;104&lt;/rec-number&gt;&lt;foreign-keys&gt;&lt;key app="EN" db-id="r25zptaswpdzade29ws5pf9gx55ztppatt20" timestamp="1588575151"&gt;104&lt;/key&gt;&lt;/foreign-keys&gt;&lt;ref-type name="Journal Article"&gt;17&lt;/ref-type&gt;&lt;contributors&gt;&lt;authors&gt;&lt;author&gt;Bonnan, M&lt;/author&gt;&lt;author&gt;Valentino, R.&lt;/author&gt;&lt;author&gt;Olindo, S.&lt;/author&gt;&lt;author&gt;Mehdaoui, H.&lt;/author&gt;&lt;author&gt;Smadja, D.&lt;/author&gt;&lt;author&gt;Cabre, P.&lt;/author&gt;&lt;/authors&gt;&lt;/contributors&gt;&lt;auth-address&gt;Service de neurologie, Hopital Zobda Quitman, 97261 Fort-de-France, Martinique, French West Indies. mickael_bonnan@yahoo.fr&lt;/auth-address&gt;&lt;titles&gt;&lt;title&gt;Plasma exchange in severe spinal attacks associated with neuromyelitis optica spectrum disorder&lt;/title&gt;&lt;secondary-title&gt;Mult Scler&lt;/secondary-title&gt;&lt;/titles&gt;&lt;periodical&gt;&lt;full-title&gt;Mult Scler&lt;/full-title&gt;&lt;/periodical&gt;&lt;pages&gt;487-92&lt;/pages&gt;&lt;volume&gt;15&lt;/volume&gt;&lt;number&gt;4&lt;/number&gt;&lt;edition&gt;2009/03/28&lt;/edition&gt;&lt;keywords&gt;&lt;keyword&gt;Adolescent&lt;/keyword&gt;&lt;keyword&gt;Adult&lt;/keyword&gt;&lt;keyword&gt;Aged&lt;/keyword&gt;&lt;keyword&gt;Aged, 80 and over&lt;/keyword&gt;&lt;keyword&gt;Combined Modality Therapy&lt;/keyword&gt;&lt;keyword&gt;Female&lt;/keyword&gt;&lt;keyword&gt;Humans&lt;/keyword&gt;&lt;keyword&gt;Male&lt;/keyword&gt;&lt;keyword&gt;Middle Aged&lt;/keyword&gt;&lt;keyword&gt;Myelitis, Transverse/ drug therapy&lt;/keyword&gt;&lt;keyword&gt;Neuromyelitis Optica/ drug therapy&lt;/keyword&gt;&lt;keyword&gt;Plasma Exchange/adverse effects&lt;/keyword&gt;&lt;keyword&gt;Recurrence&lt;/keyword&gt;&lt;keyword&gt;Retrospective Studies&lt;/keyword&gt;&lt;keyword&gt;Severity of Illness Index&lt;/keyword&gt;&lt;keyword&gt;Steroids/ therapeutic use&lt;/keyword&gt;&lt;keyword&gt;Young Adult&lt;/keyword&gt;&lt;/keywords&gt;&lt;dates&gt;&lt;year&gt;2009&lt;/year&gt;&lt;pub-dates&gt;&lt;date&gt;Apr&lt;/date&gt;&lt;/pub-dates&gt;&lt;/dates&gt;&lt;isbn&gt;1352-4585 (Print)&amp;#xD;1352-4585 (Linking)&lt;/isbn&gt;&lt;accession-num&gt;19324982&lt;/accession-num&gt;&lt;urls&gt;&lt;/urls&gt;&lt;electronic-resource-num&gt;10.1177/1352458508100837&lt;/electronic-resource-num&gt;&lt;remote-database-provider&gt;NLM&lt;/remote-database-provider&gt;&lt;language&gt;eng&lt;/language&gt;&lt;/record&gt;&lt;/Cite&gt;&lt;/EndNote&gt;</w:instrText>
      </w:r>
      <w:r w:rsidR="00156621">
        <w:fldChar w:fldCharType="separate"/>
      </w:r>
      <w:r w:rsidR="00705441">
        <w:rPr>
          <w:noProof/>
        </w:rPr>
        <w:t>(Bonnan</w:t>
      </w:r>
      <w:r w:rsidR="00591217">
        <w:rPr>
          <w:noProof/>
        </w:rPr>
        <w:t xml:space="preserve"> et al. 2009)</w:t>
      </w:r>
      <w:r w:rsidR="00156621">
        <w:fldChar w:fldCharType="end"/>
      </w:r>
      <w:r w:rsidR="004A4BF9">
        <w:t xml:space="preserve"> </w:t>
      </w:r>
      <w:r w:rsidR="00AB0AFB">
        <w:t>assessed the impact of P</w:t>
      </w:r>
      <w:r w:rsidR="001B73C1">
        <w:t>L</w:t>
      </w:r>
      <w:r w:rsidR="00AB0AFB">
        <w:t>E</w:t>
      </w:r>
      <w:r w:rsidR="001B73C1">
        <w:t>X</w:t>
      </w:r>
      <w:r w:rsidR="00AB0AFB">
        <w:t xml:space="preserve"> treatment on a cohort of patients </w:t>
      </w:r>
      <w:r w:rsidR="001B73C1">
        <w:t xml:space="preserve">from French West Indies </w:t>
      </w:r>
      <w:r w:rsidR="00AB0AFB">
        <w:t>with either NMO or extensive transverse myelitis (ETM). The patien</w:t>
      </w:r>
      <w:r w:rsidR="001B73C1">
        <w:t>t</w:t>
      </w:r>
      <w:r w:rsidR="00AB0AFB">
        <w:t xml:space="preserve">s with NMO </w:t>
      </w:r>
      <w:r w:rsidR="001B73C1">
        <w:t>comprised</w:t>
      </w:r>
      <w:r w:rsidR="00AB0AFB">
        <w:t xml:space="preserve"> 79% of the total group of 43 patients. </w:t>
      </w:r>
      <w:r w:rsidR="001B73C1">
        <w:t xml:space="preserve">There were 96 spinal attacks in all, 29 of which were treated with PLEX. Change in EDSS was the primary outcome and was compared between </w:t>
      </w:r>
      <w:r w:rsidR="00865526">
        <w:t xml:space="preserve">patients </w:t>
      </w:r>
      <w:r w:rsidR="001B73C1">
        <w:t>who received PLEX and patients who received steroid therapy alone for treatment of an attack.</w:t>
      </w:r>
    </w:p>
    <w:p w14:paraId="1C273B8D" w14:textId="448E05D1" w:rsidR="000516D7" w:rsidRDefault="00865526" w:rsidP="00F87DE5">
      <w:r>
        <w:t xml:space="preserve">Change in EDSS was measured from peak EDSS at acute phase to residual EDSS. In both treatment groups EDSS was worse at follow-up after the attack. </w:t>
      </w:r>
      <w:r w:rsidR="001B73C1">
        <w:t xml:space="preserve">The </w:t>
      </w:r>
      <w:r w:rsidR="004A4BF9">
        <w:t>overall increase</w:t>
      </w:r>
      <w:r w:rsidR="001B73C1">
        <w:t xml:space="preserve"> in </w:t>
      </w:r>
      <w:r w:rsidR="004A4BF9">
        <w:t xml:space="preserve">mean </w:t>
      </w:r>
      <w:r w:rsidR="001B73C1">
        <w:t xml:space="preserve">EDSS was </w:t>
      </w:r>
      <w:r w:rsidR="004A4BF9">
        <w:t>smaller</w:t>
      </w:r>
      <w:r w:rsidR="001B73C1">
        <w:t xml:space="preserve"> in those receiving PLEX for an attack compared with those who received only steroid therapy</w:t>
      </w:r>
      <w:r>
        <w:t>(p &lt; 0.01)</w:t>
      </w:r>
      <w:r w:rsidR="001B73C1">
        <w:t xml:space="preserve"> (</w:t>
      </w:r>
      <w:r w:rsidR="000E5D04">
        <w:fldChar w:fldCharType="begin"/>
      </w:r>
      <w:r w:rsidR="000E5D04">
        <w:instrText xml:space="preserve"> REF _Ref30074620 \h </w:instrText>
      </w:r>
      <w:r w:rsidR="000E5D04">
        <w:fldChar w:fldCharType="separate"/>
      </w:r>
      <w:r w:rsidR="00DB7652">
        <w:t xml:space="preserve">Table </w:t>
      </w:r>
      <w:r w:rsidR="00DB7652">
        <w:rPr>
          <w:noProof/>
        </w:rPr>
        <w:t>51</w:t>
      </w:r>
      <w:r w:rsidR="000E5D04">
        <w:fldChar w:fldCharType="end"/>
      </w:r>
      <w:r w:rsidR="001B73C1">
        <w:t xml:space="preserve">). There was no statistically significant difference in the treatment groups for baseline EDSS and EDSS at the acute phase. </w:t>
      </w:r>
    </w:p>
    <w:p w14:paraId="282440A1" w14:textId="5CCF4A35" w:rsidR="004A4BF9" w:rsidRDefault="004A4BF9" w:rsidP="004A4BF9">
      <w:pPr>
        <w:pStyle w:val="Caption"/>
      </w:pPr>
      <w:bookmarkStart w:id="314" w:name="_Ref30074620"/>
      <w:bookmarkStart w:id="315" w:name="_Toc39580832"/>
      <w:r>
        <w:t xml:space="preserve">Table </w:t>
      </w:r>
      <w:fldSimple w:instr=" SEQ Table \* ARABIC ">
        <w:r w:rsidR="00FA7BCD">
          <w:rPr>
            <w:noProof/>
          </w:rPr>
          <w:t>51</w:t>
        </w:r>
      </w:fldSimple>
      <w:bookmarkEnd w:id="314"/>
      <w:r>
        <w:rPr>
          <w:noProof/>
        </w:rPr>
        <w:tab/>
      </w:r>
      <w:r w:rsidR="000E5D04">
        <w:rPr>
          <w:noProof/>
        </w:rPr>
        <w:t>Comparison of change in EDSS between NMOSD atacks treated with steroid or</w:t>
      </w:r>
      <w:r w:rsidR="0008413E">
        <w:rPr>
          <w:noProof/>
        </w:rPr>
        <w:t xml:space="preserve"> PLEX</w:t>
      </w:r>
      <w:r w:rsidR="000E5D04">
        <w:rPr>
          <w:noProof/>
        </w:rPr>
        <w:t xml:space="preserve"> </w:t>
      </w:r>
      <w:r w:rsidR="00156621">
        <w:rPr>
          <w:noProof/>
        </w:rPr>
        <w:fldChar w:fldCharType="begin"/>
      </w:r>
      <w:r w:rsidR="00591217">
        <w:rPr>
          <w:noProof/>
        </w:rPr>
        <w:instrText xml:space="preserve"> ADDIN EN.CITE &lt;EndNote&gt;&lt;Cite&gt;&lt;Author&gt;Bonnan&lt;/Author&gt;&lt;Year&gt;2009&lt;/Year&gt;&lt;RecNum&gt;104&lt;/RecNum&gt;&lt;DisplayText&gt;(Bonnan, M et al. 2009)&lt;/DisplayText&gt;&lt;record&gt;&lt;rec-number&gt;104&lt;/rec-number&gt;&lt;foreign-keys&gt;&lt;key app="EN" db-id="r25zptaswpdzade29ws5pf9gx55ztppatt20" timestamp="1588575151"&gt;104&lt;/key&gt;&lt;/foreign-keys&gt;&lt;ref-type name="Journal Article"&gt;17&lt;/ref-type&gt;&lt;contributors&gt;&lt;authors&gt;&lt;author&gt;Bonnan, M&lt;/author&gt;&lt;author&gt;Valentino, R.&lt;/author&gt;&lt;author&gt;Olindo, S.&lt;/author&gt;&lt;author&gt;Mehdaoui, H.&lt;/author&gt;&lt;author&gt;Smadja, D.&lt;/author&gt;&lt;author&gt;Cabre, P.&lt;/author&gt;&lt;/authors&gt;&lt;/contributors&gt;&lt;auth-address&gt;Service de neurologie, Hopital Zobda Quitman, 97261 Fort-de-France, Martinique, French West Indies. mickael_bonnan@yahoo.fr&lt;/auth-address&gt;&lt;titles&gt;&lt;title&gt;Plasma exchange in severe spinal attacks associated with neuromyelitis optica spectrum disorder&lt;/title&gt;&lt;secondary-title&gt;Mult Scler&lt;/secondary-title&gt;&lt;/titles&gt;&lt;periodical&gt;&lt;full-title&gt;Mult Scler&lt;/full-title&gt;&lt;/periodical&gt;&lt;pages&gt;487-92&lt;/pages&gt;&lt;volume&gt;15&lt;/volume&gt;&lt;number&gt;4&lt;/number&gt;&lt;edition&gt;2009/03/28&lt;/edition&gt;&lt;keywords&gt;&lt;keyword&gt;Adolescent&lt;/keyword&gt;&lt;keyword&gt;Adult&lt;/keyword&gt;&lt;keyword&gt;Aged&lt;/keyword&gt;&lt;keyword&gt;Aged, 80 and over&lt;/keyword&gt;&lt;keyword&gt;Combined Modality Therapy&lt;/keyword&gt;&lt;keyword&gt;Female&lt;/keyword&gt;&lt;keyword&gt;Humans&lt;/keyword&gt;&lt;keyword&gt;Male&lt;/keyword&gt;&lt;keyword&gt;Middle Aged&lt;/keyword&gt;&lt;keyword&gt;Myelitis, Transverse/ drug therapy&lt;/keyword&gt;&lt;keyword&gt;Neuromyelitis Optica/ drug therapy&lt;/keyword&gt;&lt;keyword&gt;Plasma Exchange/adverse effects&lt;/keyword&gt;&lt;keyword&gt;Recurrence&lt;/keyword&gt;&lt;keyword&gt;Retrospective Studies&lt;/keyword&gt;&lt;keyword&gt;Severity of Illness Index&lt;/keyword&gt;&lt;keyword&gt;Steroids/ therapeutic use&lt;/keyword&gt;&lt;keyword&gt;Young Adult&lt;/keyword&gt;&lt;/keywords&gt;&lt;dates&gt;&lt;year&gt;2009&lt;/year&gt;&lt;pub-dates&gt;&lt;date&gt;Apr&lt;/date&gt;&lt;/pub-dates&gt;&lt;/dates&gt;&lt;isbn&gt;1352-4585 (Print)&amp;#xD;1352-4585 (Linking)&lt;/isbn&gt;&lt;accession-num&gt;19324982&lt;/accession-num&gt;&lt;urls&gt;&lt;/urls&gt;&lt;electronic-resource-num&gt;10.1177/1352458508100837&lt;/electronic-resource-num&gt;&lt;remote-database-provider&gt;NLM&lt;/remote-database-provider&gt;&lt;language&gt;eng&lt;/language&gt;&lt;/record&gt;&lt;/Cite&gt;&lt;/EndNote&gt;</w:instrText>
      </w:r>
      <w:r w:rsidR="00156621">
        <w:rPr>
          <w:noProof/>
        </w:rPr>
        <w:fldChar w:fldCharType="separate"/>
      </w:r>
      <w:r w:rsidR="00591217">
        <w:rPr>
          <w:noProof/>
        </w:rPr>
        <w:t>(Bonnan, M et al. 2009)</w:t>
      </w:r>
      <w:bookmarkEnd w:id="315"/>
      <w:r w:rsidR="00156621">
        <w:rPr>
          <w:noProof/>
        </w:rPr>
        <w:fldChar w:fldCharType="end"/>
      </w:r>
    </w:p>
    <w:tbl>
      <w:tblPr>
        <w:tblStyle w:val="TableGrid1"/>
        <w:tblW w:w="892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51 Comparison of change in EDSS between NMOSD atacks treated with steroid or PLEX (Bonnan, Valentino, Bonnan, et al. 2009)"/>
        <w:tblDescription w:val="A comparison of the changes in disability level (EDSS) between NMOSD patients treated for attackes with either steroid therapy or plasma exchange"/>
      </w:tblPr>
      <w:tblGrid>
        <w:gridCol w:w="2402"/>
        <w:gridCol w:w="2126"/>
        <w:gridCol w:w="2127"/>
        <w:gridCol w:w="2268"/>
      </w:tblGrid>
      <w:tr w:rsidR="004A4BF9" w:rsidRPr="001C45F4" w14:paraId="58179672" w14:textId="77777777" w:rsidTr="00305818">
        <w:trPr>
          <w:cnfStyle w:val="100000000000" w:firstRow="1" w:lastRow="0" w:firstColumn="0" w:lastColumn="0" w:oddVBand="0" w:evenVBand="0" w:oddHBand="0" w:evenHBand="0" w:firstRowFirstColumn="0" w:firstRowLastColumn="0" w:lastRowFirstColumn="0" w:lastRowLastColumn="0"/>
        </w:trPr>
        <w:tc>
          <w:tcPr>
            <w:tcW w:w="2402" w:type="dxa"/>
            <w:tcBorders>
              <w:top w:val="single" w:sz="6" w:space="0" w:color="auto"/>
              <w:left w:val="single" w:sz="6" w:space="0" w:color="auto"/>
              <w:bottom w:val="single" w:sz="6" w:space="0" w:color="auto"/>
              <w:right w:val="single" w:sz="6" w:space="0" w:color="auto"/>
            </w:tcBorders>
            <w:hideMark/>
          </w:tcPr>
          <w:p w14:paraId="11D02101" w14:textId="77777777" w:rsidR="004A4BF9" w:rsidRPr="001C45F4" w:rsidRDefault="004A4BF9" w:rsidP="00982312">
            <w:pPr>
              <w:jc w:val="left"/>
              <w:rPr>
                <w:rFonts w:ascii="Arial Narrow" w:hAnsi="Arial Narrow"/>
                <w:b/>
              </w:rPr>
            </w:pPr>
            <w:r>
              <w:rPr>
                <w:rFonts w:ascii="Arial Narrow" w:hAnsi="Arial Narrow"/>
                <w:b/>
              </w:rPr>
              <w:t>Variable</w:t>
            </w:r>
          </w:p>
        </w:tc>
        <w:tc>
          <w:tcPr>
            <w:tcW w:w="2126" w:type="dxa"/>
            <w:tcBorders>
              <w:top w:val="single" w:sz="6" w:space="0" w:color="auto"/>
              <w:left w:val="single" w:sz="6" w:space="0" w:color="auto"/>
              <w:bottom w:val="single" w:sz="6" w:space="0" w:color="auto"/>
              <w:right w:val="single" w:sz="6" w:space="0" w:color="auto"/>
            </w:tcBorders>
            <w:hideMark/>
          </w:tcPr>
          <w:p w14:paraId="788EE5E5" w14:textId="77777777" w:rsidR="004A4BF9" w:rsidRDefault="004A4BF9" w:rsidP="00982312">
            <w:pPr>
              <w:jc w:val="left"/>
              <w:rPr>
                <w:rFonts w:ascii="Arial Narrow" w:hAnsi="Arial Narrow"/>
                <w:b/>
              </w:rPr>
            </w:pPr>
            <w:r>
              <w:rPr>
                <w:rFonts w:ascii="Arial Narrow" w:hAnsi="Arial Narrow"/>
                <w:b/>
              </w:rPr>
              <w:t>Steroid therapy (n=67)</w:t>
            </w:r>
          </w:p>
          <w:p w14:paraId="1D168DC9" w14:textId="77777777" w:rsidR="004A4BF9" w:rsidRPr="001C45F4" w:rsidRDefault="004A4BF9" w:rsidP="00982312">
            <w:pPr>
              <w:jc w:val="left"/>
              <w:rPr>
                <w:rFonts w:ascii="Arial Narrow" w:hAnsi="Arial Narrow"/>
                <w:b/>
              </w:rPr>
            </w:pPr>
            <w:r>
              <w:rPr>
                <w:rFonts w:ascii="Arial Narrow" w:hAnsi="Arial Narrow"/>
                <w:b/>
              </w:rPr>
              <w:t>Mean±SD</w:t>
            </w:r>
          </w:p>
        </w:tc>
        <w:tc>
          <w:tcPr>
            <w:tcW w:w="2127" w:type="dxa"/>
            <w:tcBorders>
              <w:top w:val="single" w:sz="6" w:space="0" w:color="auto"/>
              <w:left w:val="single" w:sz="6" w:space="0" w:color="auto"/>
              <w:bottom w:val="single" w:sz="6" w:space="0" w:color="auto"/>
              <w:right w:val="single" w:sz="6" w:space="0" w:color="auto"/>
            </w:tcBorders>
            <w:hideMark/>
          </w:tcPr>
          <w:p w14:paraId="054A1AC9" w14:textId="77777777" w:rsidR="004A4BF9" w:rsidRPr="002B01FD" w:rsidRDefault="004A4BF9" w:rsidP="00B86D6B">
            <w:pPr>
              <w:jc w:val="left"/>
              <w:rPr>
                <w:rFonts w:ascii="Arial Narrow" w:hAnsi="Arial Narrow"/>
                <w:b/>
                <w:vertAlign w:val="superscript"/>
              </w:rPr>
            </w:pPr>
            <w:r>
              <w:rPr>
                <w:rFonts w:ascii="Arial Narrow" w:hAnsi="Arial Narrow"/>
                <w:b/>
              </w:rPr>
              <w:t>P</w:t>
            </w:r>
            <w:r w:rsidR="00B86D6B">
              <w:rPr>
                <w:rFonts w:ascii="Arial Narrow" w:hAnsi="Arial Narrow"/>
                <w:b/>
              </w:rPr>
              <w:t>lasma exchange</w:t>
            </w:r>
            <w:r>
              <w:rPr>
                <w:rFonts w:ascii="Arial Narrow" w:hAnsi="Arial Narrow"/>
                <w:b/>
              </w:rPr>
              <w:t xml:space="preserve"> (n=29)</w:t>
            </w:r>
            <w:r w:rsidR="00B86D6B">
              <w:rPr>
                <w:rFonts w:ascii="Arial Narrow" w:hAnsi="Arial Narrow"/>
                <w:b/>
              </w:rPr>
              <w:t xml:space="preserve"> </w:t>
            </w:r>
            <w:r>
              <w:rPr>
                <w:rFonts w:ascii="Arial Narrow" w:hAnsi="Arial Narrow"/>
                <w:b/>
              </w:rPr>
              <w:t>Mean±SD</w:t>
            </w:r>
          </w:p>
        </w:tc>
        <w:tc>
          <w:tcPr>
            <w:tcW w:w="2268" w:type="dxa"/>
            <w:tcBorders>
              <w:top w:val="single" w:sz="6" w:space="0" w:color="auto"/>
              <w:left w:val="single" w:sz="6" w:space="0" w:color="auto"/>
              <w:bottom w:val="single" w:sz="6" w:space="0" w:color="auto"/>
              <w:right w:val="single" w:sz="6" w:space="0" w:color="auto"/>
            </w:tcBorders>
            <w:hideMark/>
          </w:tcPr>
          <w:p w14:paraId="06F23E6E" w14:textId="77777777" w:rsidR="004A4BF9" w:rsidRDefault="004A4BF9" w:rsidP="00982312">
            <w:pPr>
              <w:jc w:val="left"/>
              <w:rPr>
                <w:rFonts w:ascii="Arial Narrow" w:hAnsi="Arial Narrow"/>
                <w:b/>
              </w:rPr>
            </w:pPr>
            <w:r>
              <w:rPr>
                <w:rFonts w:ascii="Arial Narrow" w:hAnsi="Arial Narrow"/>
                <w:b/>
              </w:rPr>
              <w:t>Difference</w:t>
            </w:r>
          </w:p>
          <w:p w14:paraId="1651B849" w14:textId="77777777" w:rsidR="004A4BF9" w:rsidRPr="001C45F4" w:rsidRDefault="004A4BF9" w:rsidP="00982312">
            <w:pPr>
              <w:jc w:val="left"/>
              <w:rPr>
                <w:rFonts w:ascii="Arial Narrow" w:hAnsi="Arial Narrow"/>
                <w:b/>
              </w:rPr>
            </w:pPr>
            <w:r>
              <w:rPr>
                <w:rFonts w:ascii="Arial Narrow" w:hAnsi="Arial Narrow"/>
                <w:b/>
              </w:rPr>
              <w:t>P value</w:t>
            </w:r>
          </w:p>
        </w:tc>
      </w:tr>
      <w:tr w:rsidR="004A4BF9" w:rsidRPr="004371CF" w14:paraId="057D460E" w14:textId="77777777" w:rsidTr="00305818">
        <w:tc>
          <w:tcPr>
            <w:tcW w:w="2402" w:type="dxa"/>
            <w:tcBorders>
              <w:top w:val="single" w:sz="6" w:space="0" w:color="auto"/>
              <w:left w:val="single" w:sz="6" w:space="0" w:color="auto"/>
              <w:bottom w:val="single" w:sz="6" w:space="0" w:color="auto"/>
              <w:right w:val="single" w:sz="6" w:space="0" w:color="auto"/>
            </w:tcBorders>
            <w:hideMark/>
          </w:tcPr>
          <w:p w14:paraId="1BF369A9" w14:textId="77777777" w:rsidR="004A4BF9" w:rsidRPr="004371CF" w:rsidRDefault="004A4BF9" w:rsidP="00982312">
            <w:pPr>
              <w:jc w:val="left"/>
              <w:rPr>
                <w:rFonts w:ascii="Arial Narrow" w:hAnsi="Arial Narrow"/>
              </w:rPr>
            </w:pPr>
            <w:r>
              <w:rPr>
                <w:rFonts w:ascii="Arial Narrow" w:hAnsi="Arial Narrow"/>
              </w:rPr>
              <w:t>Baseline EDSS</w:t>
            </w:r>
          </w:p>
        </w:tc>
        <w:tc>
          <w:tcPr>
            <w:tcW w:w="2126" w:type="dxa"/>
            <w:tcBorders>
              <w:top w:val="single" w:sz="6" w:space="0" w:color="auto"/>
              <w:left w:val="single" w:sz="6" w:space="0" w:color="auto"/>
              <w:bottom w:val="single" w:sz="6" w:space="0" w:color="auto"/>
              <w:right w:val="single" w:sz="6" w:space="0" w:color="auto"/>
            </w:tcBorders>
            <w:hideMark/>
          </w:tcPr>
          <w:p w14:paraId="64292E7E" w14:textId="77777777" w:rsidR="004A4BF9" w:rsidRPr="004371CF" w:rsidRDefault="004A4BF9" w:rsidP="00447C83">
            <w:pPr>
              <w:jc w:val="center"/>
              <w:rPr>
                <w:rFonts w:ascii="Arial Narrow" w:hAnsi="Arial Narrow"/>
              </w:rPr>
            </w:pPr>
            <w:r>
              <w:rPr>
                <w:rFonts w:ascii="Arial Narrow" w:hAnsi="Arial Narrow"/>
              </w:rPr>
              <w:t>4.2±2.9</w:t>
            </w:r>
          </w:p>
        </w:tc>
        <w:tc>
          <w:tcPr>
            <w:tcW w:w="2127" w:type="dxa"/>
            <w:tcBorders>
              <w:top w:val="single" w:sz="6" w:space="0" w:color="auto"/>
              <w:left w:val="single" w:sz="6" w:space="0" w:color="auto"/>
              <w:bottom w:val="single" w:sz="6" w:space="0" w:color="auto"/>
              <w:right w:val="single" w:sz="6" w:space="0" w:color="auto"/>
            </w:tcBorders>
            <w:hideMark/>
          </w:tcPr>
          <w:p w14:paraId="1AE97729" w14:textId="77777777" w:rsidR="004A4BF9" w:rsidRPr="004371CF" w:rsidRDefault="004A4BF9" w:rsidP="00447C83">
            <w:pPr>
              <w:jc w:val="center"/>
              <w:rPr>
                <w:rFonts w:ascii="Arial Narrow" w:hAnsi="Arial Narrow"/>
              </w:rPr>
            </w:pPr>
            <w:r>
              <w:rPr>
                <w:rFonts w:ascii="Arial Narrow" w:hAnsi="Arial Narrow"/>
              </w:rPr>
              <w:t>3.9±2.9</w:t>
            </w:r>
          </w:p>
        </w:tc>
        <w:tc>
          <w:tcPr>
            <w:tcW w:w="2268" w:type="dxa"/>
            <w:tcBorders>
              <w:top w:val="single" w:sz="6" w:space="0" w:color="auto"/>
              <w:left w:val="single" w:sz="6" w:space="0" w:color="auto"/>
              <w:bottom w:val="single" w:sz="6" w:space="0" w:color="auto"/>
              <w:right w:val="single" w:sz="6" w:space="0" w:color="auto"/>
            </w:tcBorders>
            <w:hideMark/>
          </w:tcPr>
          <w:p w14:paraId="098D1C24" w14:textId="77777777" w:rsidR="004A4BF9" w:rsidRPr="004371CF" w:rsidRDefault="004A4BF9" w:rsidP="00447C83">
            <w:pPr>
              <w:jc w:val="center"/>
              <w:rPr>
                <w:rFonts w:ascii="Arial Narrow" w:hAnsi="Arial Narrow"/>
              </w:rPr>
            </w:pPr>
            <w:r>
              <w:rPr>
                <w:rFonts w:ascii="Arial Narrow" w:hAnsi="Arial Narrow"/>
              </w:rPr>
              <w:t>0.84</w:t>
            </w:r>
          </w:p>
        </w:tc>
      </w:tr>
      <w:tr w:rsidR="004A4BF9" w:rsidRPr="004371CF" w14:paraId="3F2DEE98" w14:textId="77777777" w:rsidTr="00305818">
        <w:tc>
          <w:tcPr>
            <w:tcW w:w="2402" w:type="dxa"/>
            <w:tcBorders>
              <w:top w:val="single" w:sz="6" w:space="0" w:color="auto"/>
              <w:left w:val="single" w:sz="6" w:space="0" w:color="auto"/>
              <w:bottom w:val="single" w:sz="6" w:space="0" w:color="auto"/>
              <w:right w:val="single" w:sz="6" w:space="0" w:color="auto"/>
            </w:tcBorders>
            <w:hideMark/>
          </w:tcPr>
          <w:p w14:paraId="31F54AAC" w14:textId="77777777" w:rsidR="004A4BF9" w:rsidRPr="004371CF" w:rsidRDefault="004A4BF9" w:rsidP="00982312">
            <w:pPr>
              <w:jc w:val="left"/>
              <w:rPr>
                <w:rFonts w:ascii="Arial Narrow" w:hAnsi="Arial Narrow"/>
              </w:rPr>
            </w:pPr>
            <w:r>
              <w:rPr>
                <w:rFonts w:ascii="Arial Narrow" w:hAnsi="Arial Narrow"/>
              </w:rPr>
              <w:t>Acute phase EDSS</w:t>
            </w:r>
          </w:p>
        </w:tc>
        <w:tc>
          <w:tcPr>
            <w:tcW w:w="2126" w:type="dxa"/>
            <w:tcBorders>
              <w:top w:val="single" w:sz="6" w:space="0" w:color="auto"/>
              <w:left w:val="single" w:sz="6" w:space="0" w:color="auto"/>
              <w:bottom w:val="single" w:sz="6" w:space="0" w:color="auto"/>
              <w:right w:val="single" w:sz="6" w:space="0" w:color="auto"/>
            </w:tcBorders>
            <w:hideMark/>
          </w:tcPr>
          <w:p w14:paraId="2A3E7C2E" w14:textId="77777777" w:rsidR="004A4BF9" w:rsidRPr="004371CF" w:rsidRDefault="000E5D04" w:rsidP="00447C83">
            <w:pPr>
              <w:jc w:val="center"/>
              <w:rPr>
                <w:rFonts w:ascii="Arial Narrow" w:hAnsi="Arial Narrow"/>
              </w:rPr>
            </w:pPr>
            <w:r>
              <w:rPr>
                <w:rFonts w:ascii="Arial Narrow" w:hAnsi="Arial Narrow"/>
              </w:rPr>
              <w:t>8.0±1.4</w:t>
            </w:r>
          </w:p>
        </w:tc>
        <w:tc>
          <w:tcPr>
            <w:tcW w:w="2127" w:type="dxa"/>
            <w:tcBorders>
              <w:top w:val="single" w:sz="6" w:space="0" w:color="auto"/>
              <w:left w:val="single" w:sz="6" w:space="0" w:color="auto"/>
              <w:bottom w:val="single" w:sz="6" w:space="0" w:color="auto"/>
              <w:right w:val="single" w:sz="6" w:space="0" w:color="auto"/>
            </w:tcBorders>
            <w:hideMark/>
          </w:tcPr>
          <w:p w14:paraId="3A2EC66E" w14:textId="77777777" w:rsidR="004A4BF9" w:rsidRPr="004371CF" w:rsidRDefault="000E5D04" w:rsidP="00447C83">
            <w:pPr>
              <w:jc w:val="center"/>
              <w:rPr>
                <w:rFonts w:ascii="Arial Narrow" w:hAnsi="Arial Narrow"/>
              </w:rPr>
            </w:pPr>
            <w:r>
              <w:rPr>
                <w:rFonts w:ascii="Arial Narrow" w:hAnsi="Arial Narrow"/>
              </w:rPr>
              <w:t>7.9±1.0</w:t>
            </w:r>
          </w:p>
        </w:tc>
        <w:tc>
          <w:tcPr>
            <w:tcW w:w="2268" w:type="dxa"/>
            <w:tcBorders>
              <w:top w:val="single" w:sz="6" w:space="0" w:color="auto"/>
              <w:left w:val="single" w:sz="6" w:space="0" w:color="auto"/>
              <w:bottom w:val="single" w:sz="6" w:space="0" w:color="auto"/>
              <w:right w:val="single" w:sz="6" w:space="0" w:color="auto"/>
            </w:tcBorders>
            <w:hideMark/>
          </w:tcPr>
          <w:p w14:paraId="2F7F3C02" w14:textId="77777777" w:rsidR="004A4BF9" w:rsidRPr="004371CF" w:rsidRDefault="000E5D04" w:rsidP="00447C83">
            <w:pPr>
              <w:jc w:val="center"/>
              <w:rPr>
                <w:rFonts w:ascii="Arial Narrow" w:hAnsi="Arial Narrow"/>
              </w:rPr>
            </w:pPr>
            <w:r>
              <w:rPr>
                <w:rFonts w:ascii="Arial Narrow" w:hAnsi="Arial Narrow"/>
              </w:rPr>
              <w:t>0.52</w:t>
            </w:r>
          </w:p>
        </w:tc>
      </w:tr>
      <w:tr w:rsidR="004A4BF9" w:rsidRPr="004371CF" w14:paraId="4B6A2734" w14:textId="77777777" w:rsidTr="00305818">
        <w:tc>
          <w:tcPr>
            <w:tcW w:w="2402" w:type="dxa"/>
            <w:tcBorders>
              <w:top w:val="single" w:sz="6" w:space="0" w:color="auto"/>
              <w:left w:val="single" w:sz="6" w:space="0" w:color="auto"/>
              <w:bottom w:val="single" w:sz="6" w:space="0" w:color="auto"/>
              <w:right w:val="single" w:sz="6" w:space="0" w:color="auto"/>
            </w:tcBorders>
          </w:tcPr>
          <w:p w14:paraId="60271D33" w14:textId="77777777" w:rsidR="004A4BF9" w:rsidRDefault="004A4BF9" w:rsidP="00982312">
            <w:pPr>
              <w:jc w:val="left"/>
              <w:rPr>
                <w:rFonts w:ascii="Arial Narrow" w:hAnsi="Arial Narrow"/>
              </w:rPr>
            </w:pPr>
            <w:r>
              <w:rPr>
                <w:rFonts w:ascii="Arial Narrow" w:hAnsi="Arial Narrow"/>
              </w:rPr>
              <w:t>Residual EDSS</w:t>
            </w:r>
          </w:p>
        </w:tc>
        <w:tc>
          <w:tcPr>
            <w:tcW w:w="2126" w:type="dxa"/>
            <w:tcBorders>
              <w:top w:val="single" w:sz="6" w:space="0" w:color="auto"/>
              <w:left w:val="single" w:sz="6" w:space="0" w:color="auto"/>
              <w:bottom w:val="single" w:sz="6" w:space="0" w:color="auto"/>
              <w:right w:val="single" w:sz="6" w:space="0" w:color="auto"/>
            </w:tcBorders>
          </w:tcPr>
          <w:p w14:paraId="57982184" w14:textId="77777777" w:rsidR="004A4BF9" w:rsidRPr="004371CF" w:rsidRDefault="000E5D04" w:rsidP="00447C83">
            <w:pPr>
              <w:jc w:val="center"/>
              <w:rPr>
                <w:rFonts w:ascii="Arial Narrow" w:hAnsi="Arial Narrow"/>
              </w:rPr>
            </w:pPr>
            <w:r>
              <w:rPr>
                <w:rFonts w:ascii="Arial Narrow" w:hAnsi="Arial Narrow"/>
              </w:rPr>
              <w:t>6.8±1.9</w:t>
            </w:r>
          </w:p>
        </w:tc>
        <w:tc>
          <w:tcPr>
            <w:tcW w:w="2127" w:type="dxa"/>
            <w:tcBorders>
              <w:top w:val="single" w:sz="6" w:space="0" w:color="auto"/>
              <w:left w:val="single" w:sz="6" w:space="0" w:color="auto"/>
              <w:bottom w:val="single" w:sz="6" w:space="0" w:color="auto"/>
              <w:right w:val="single" w:sz="6" w:space="0" w:color="auto"/>
            </w:tcBorders>
          </w:tcPr>
          <w:p w14:paraId="024AA5B1" w14:textId="77777777" w:rsidR="004A4BF9" w:rsidRPr="004371CF" w:rsidRDefault="000E5D04" w:rsidP="00447C83">
            <w:pPr>
              <w:jc w:val="center"/>
              <w:rPr>
                <w:rFonts w:ascii="Arial Narrow" w:hAnsi="Arial Narrow"/>
              </w:rPr>
            </w:pPr>
            <w:r>
              <w:rPr>
                <w:rFonts w:ascii="Arial Narrow" w:hAnsi="Arial Narrow"/>
              </w:rPr>
              <w:t>5.1±2.4</w:t>
            </w:r>
          </w:p>
        </w:tc>
        <w:tc>
          <w:tcPr>
            <w:tcW w:w="2268" w:type="dxa"/>
            <w:tcBorders>
              <w:top w:val="single" w:sz="6" w:space="0" w:color="auto"/>
              <w:left w:val="single" w:sz="6" w:space="0" w:color="auto"/>
              <w:bottom w:val="single" w:sz="6" w:space="0" w:color="auto"/>
              <w:right w:val="single" w:sz="6" w:space="0" w:color="auto"/>
            </w:tcBorders>
          </w:tcPr>
          <w:p w14:paraId="04C31786" w14:textId="77777777" w:rsidR="004A4BF9" w:rsidRPr="004371CF" w:rsidRDefault="000E5D04" w:rsidP="00447C83">
            <w:pPr>
              <w:jc w:val="center"/>
              <w:rPr>
                <w:rFonts w:ascii="Arial Narrow" w:hAnsi="Arial Narrow"/>
              </w:rPr>
            </w:pPr>
            <w:r>
              <w:rPr>
                <w:rFonts w:ascii="Arial Narrow" w:hAnsi="Arial Narrow"/>
              </w:rPr>
              <w:t>&lt;0.01</w:t>
            </w:r>
          </w:p>
        </w:tc>
      </w:tr>
      <w:tr w:rsidR="004A4BF9" w:rsidRPr="004371CF" w14:paraId="14038B45" w14:textId="77777777" w:rsidTr="00305818">
        <w:tc>
          <w:tcPr>
            <w:tcW w:w="2402" w:type="dxa"/>
            <w:tcBorders>
              <w:top w:val="single" w:sz="6" w:space="0" w:color="auto"/>
              <w:left w:val="single" w:sz="6" w:space="0" w:color="auto"/>
              <w:bottom w:val="single" w:sz="6" w:space="0" w:color="auto"/>
              <w:right w:val="single" w:sz="6" w:space="0" w:color="auto"/>
            </w:tcBorders>
          </w:tcPr>
          <w:p w14:paraId="426ED737" w14:textId="77777777" w:rsidR="004A4BF9" w:rsidRDefault="004A4BF9" w:rsidP="00982312">
            <w:pPr>
              <w:jc w:val="left"/>
              <w:rPr>
                <w:rFonts w:ascii="Arial Narrow" w:hAnsi="Arial Narrow"/>
              </w:rPr>
            </w:pPr>
            <w:r>
              <w:rPr>
                <w:rFonts w:ascii="Arial Narrow" w:hAnsi="Arial Narrow"/>
              </w:rPr>
              <w:t>Change in EDSS</w:t>
            </w:r>
          </w:p>
        </w:tc>
        <w:tc>
          <w:tcPr>
            <w:tcW w:w="2126" w:type="dxa"/>
            <w:tcBorders>
              <w:top w:val="single" w:sz="6" w:space="0" w:color="auto"/>
              <w:left w:val="single" w:sz="6" w:space="0" w:color="auto"/>
              <w:bottom w:val="single" w:sz="6" w:space="0" w:color="auto"/>
              <w:right w:val="single" w:sz="6" w:space="0" w:color="auto"/>
            </w:tcBorders>
          </w:tcPr>
          <w:p w14:paraId="314321AA" w14:textId="77777777" w:rsidR="004A4BF9" w:rsidRDefault="000E5D04" w:rsidP="00447C83">
            <w:pPr>
              <w:jc w:val="center"/>
              <w:rPr>
                <w:rFonts w:ascii="Arial Narrow" w:hAnsi="Arial Narrow"/>
              </w:rPr>
            </w:pPr>
            <w:r>
              <w:rPr>
                <w:rFonts w:ascii="Arial Narrow" w:hAnsi="Arial Narrow"/>
              </w:rPr>
              <w:t>2.6±2.4</w:t>
            </w:r>
          </w:p>
        </w:tc>
        <w:tc>
          <w:tcPr>
            <w:tcW w:w="2127" w:type="dxa"/>
            <w:tcBorders>
              <w:top w:val="single" w:sz="6" w:space="0" w:color="auto"/>
              <w:left w:val="single" w:sz="6" w:space="0" w:color="auto"/>
              <w:bottom w:val="single" w:sz="6" w:space="0" w:color="auto"/>
              <w:right w:val="single" w:sz="6" w:space="0" w:color="auto"/>
            </w:tcBorders>
          </w:tcPr>
          <w:p w14:paraId="776F3193" w14:textId="77777777" w:rsidR="004A4BF9" w:rsidRDefault="000E5D04" w:rsidP="00447C83">
            <w:pPr>
              <w:jc w:val="center"/>
              <w:rPr>
                <w:rFonts w:ascii="Arial Narrow" w:hAnsi="Arial Narrow"/>
              </w:rPr>
            </w:pPr>
            <w:r>
              <w:rPr>
                <w:rFonts w:ascii="Arial Narrow" w:hAnsi="Arial Narrow"/>
              </w:rPr>
              <w:t>1.2±1.6</w:t>
            </w:r>
          </w:p>
        </w:tc>
        <w:tc>
          <w:tcPr>
            <w:tcW w:w="2268" w:type="dxa"/>
            <w:tcBorders>
              <w:top w:val="single" w:sz="6" w:space="0" w:color="auto"/>
              <w:left w:val="single" w:sz="6" w:space="0" w:color="auto"/>
              <w:bottom w:val="single" w:sz="6" w:space="0" w:color="auto"/>
              <w:right w:val="single" w:sz="6" w:space="0" w:color="auto"/>
            </w:tcBorders>
          </w:tcPr>
          <w:p w14:paraId="7FCDC4CB" w14:textId="77777777" w:rsidR="004A4BF9" w:rsidRDefault="000E5D04" w:rsidP="00447C83">
            <w:pPr>
              <w:jc w:val="center"/>
              <w:rPr>
                <w:rFonts w:ascii="Arial Narrow" w:hAnsi="Arial Narrow"/>
              </w:rPr>
            </w:pPr>
            <w:r>
              <w:rPr>
                <w:rFonts w:ascii="Arial Narrow" w:hAnsi="Arial Narrow"/>
              </w:rPr>
              <w:t>&lt;0.01</w:t>
            </w:r>
          </w:p>
        </w:tc>
      </w:tr>
    </w:tbl>
    <w:p w14:paraId="6702A2B7" w14:textId="77777777" w:rsidR="001B73C1" w:rsidRDefault="00CA2BFE" w:rsidP="00CA2BFE">
      <w:pPr>
        <w:pStyle w:val="Tablenotes0"/>
      </w:pPr>
      <w:r>
        <w:t xml:space="preserve">EDSS = expanded disability status score; </w:t>
      </w:r>
      <w:r w:rsidR="00C1397A">
        <w:t>NMOSD = neuromyelitis optica spectrum disorders;</w:t>
      </w:r>
      <w:r w:rsidR="0008413E">
        <w:t xml:space="preserve"> PLEX = plasma exchange;</w:t>
      </w:r>
      <w:r w:rsidR="00C1397A">
        <w:t xml:space="preserve"> </w:t>
      </w:r>
      <w:r>
        <w:t>SD = standard deviation</w:t>
      </w:r>
    </w:p>
    <w:p w14:paraId="287E2546" w14:textId="77777777" w:rsidR="00185A05" w:rsidRDefault="00241E97" w:rsidP="0089705F">
      <w:pPr>
        <w:pStyle w:val="Heading4"/>
      </w:pPr>
      <w:r>
        <w:t xml:space="preserve">Change in EDSS following </w:t>
      </w:r>
      <w:r w:rsidR="00454389">
        <w:t>rituximab (</w:t>
      </w:r>
      <w:r w:rsidR="0089705F">
        <w:t>R</w:t>
      </w:r>
      <w:r w:rsidR="004406BF">
        <w:t>TX</w:t>
      </w:r>
      <w:r w:rsidR="00454389">
        <w:t>)</w:t>
      </w:r>
      <w:r w:rsidR="0089705F">
        <w:t xml:space="preserve"> treatment for NMOSD</w:t>
      </w:r>
    </w:p>
    <w:p w14:paraId="0A68C786" w14:textId="4414DBD0" w:rsidR="0089705F" w:rsidRDefault="00F42DA8" w:rsidP="00EC2492">
      <w:r>
        <w:t xml:space="preserve">A recent </w:t>
      </w:r>
      <w:r w:rsidR="00C52FF0">
        <w:t>SR</w:t>
      </w:r>
      <w:r>
        <w:t xml:space="preserve"> </w:t>
      </w:r>
      <w:r w:rsidR="00156621">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 </w:instrText>
      </w:r>
      <w:r w:rsidR="00511EDB">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EN.CITE.DATA </w:instrText>
      </w:r>
      <w:r w:rsidR="00511EDB">
        <w:fldChar w:fldCharType="end"/>
      </w:r>
      <w:r w:rsidR="00156621">
        <w:fldChar w:fldCharType="separate"/>
      </w:r>
      <w:r w:rsidR="00511EDB">
        <w:rPr>
          <w:noProof/>
        </w:rPr>
        <w:t>(Gao et al. 2019)</w:t>
      </w:r>
      <w:r w:rsidR="00156621">
        <w:fldChar w:fldCharType="end"/>
      </w:r>
      <w:r w:rsidR="00A72C06">
        <w:t xml:space="preserve"> </w:t>
      </w:r>
      <w:r>
        <w:t xml:space="preserve">performed </w:t>
      </w:r>
      <w:r w:rsidR="00D6012F">
        <w:t xml:space="preserve">a review </w:t>
      </w:r>
      <w:r w:rsidR="00A72C06">
        <w:t xml:space="preserve">of studies assessing </w:t>
      </w:r>
      <w:r w:rsidR="003859BA">
        <w:t>RTX</w:t>
      </w:r>
      <w:r w:rsidR="00A72C06">
        <w:t xml:space="preserve"> effectiveness in NMOSD patients. Studies were included if they were published in English, and patients were not limited in age, gender, ethnicity or previous treatments. </w:t>
      </w:r>
      <w:r w:rsidR="00846389">
        <w:t>Case studies</w:t>
      </w:r>
      <w:r w:rsidR="00A72C06">
        <w:t xml:space="preserve"> with </w:t>
      </w:r>
      <w:r w:rsidR="00846389">
        <w:t>one or</w:t>
      </w:r>
      <w:r w:rsidR="00A72C06">
        <w:t xml:space="preserve"> </w:t>
      </w:r>
      <w:r w:rsidR="00846389">
        <w:t>two</w:t>
      </w:r>
      <w:r w:rsidR="00A72C06">
        <w:t xml:space="preserve"> patients, reviews and meta-analyses </w:t>
      </w:r>
      <w:r w:rsidR="0028303B">
        <w:t xml:space="preserve">were </w:t>
      </w:r>
      <w:r w:rsidR="00A72C06">
        <w:t xml:space="preserve">excluded. </w:t>
      </w:r>
      <w:r w:rsidR="00846389">
        <w:t xml:space="preserve">Before and after treatment </w:t>
      </w:r>
      <w:r w:rsidR="00A72C06">
        <w:t xml:space="preserve">EDSS and ARR </w:t>
      </w:r>
      <w:r w:rsidR="00846389">
        <w:t xml:space="preserve">data </w:t>
      </w:r>
      <w:r w:rsidR="00A72C06">
        <w:t xml:space="preserve">were </w:t>
      </w:r>
      <w:r w:rsidR="00846389">
        <w:t>extracted</w:t>
      </w:r>
      <w:r w:rsidR="00A72C06">
        <w:t xml:space="preserve"> from the included 26 articles. The </w:t>
      </w:r>
      <w:r w:rsidR="00846389">
        <w:t xml:space="preserve">majority of </w:t>
      </w:r>
      <w:r w:rsidR="00A72C06">
        <w:t xml:space="preserve">articles were </w:t>
      </w:r>
      <w:r w:rsidR="00846389">
        <w:t xml:space="preserve">retrospective cohorts, one each was </w:t>
      </w:r>
      <w:r w:rsidR="00E717D2">
        <w:t>a case series</w:t>
      </w:r>
      <w:r w:rsidR="00846389">
        <w:t xml:space="preserve">, and case controlled in design, three were prospective and one was a randomised controlled trial. </w:t>
      </w:r>
    </w:p>
    <w:p w14:paraId="319DD5B6" w14:textId="7BB73452" w:rsidR="00846389" w:rsidRDefault="00F84E0E" w:rsidP="00EC2492">
      <w:r>
        <w:t>A</w:t>
      </w:r>
      <w:r w:rsidR="0028303B">
        <w:t xml:space="preserve"> meta-</w:t>
      </w:r>
      <w:r w:rsidR="00160BB1">
        <w:t xml:space="preserve">analysis of 22 articles reporting on change in EDSS found that </w:t>
      </w:r>
      <w:r w:rsidR="003859BA">
        <w:t>RTX</w:t>
      </w:r>
      <w:r>
        <w:t xml:space="preserve"> improved EDSS. A pooled estimate</w:t>
      </w:r>
      <w:r w:rsidR="00160BB1">
        <w:t xml:space="preserve"> </w:t>
      </w:r>
      <w:r>
        <w:t>of</w:t>
      </w:r>
      <w:r w:rsidR="00160BB1">
        <w:t xml:space="preserve"> weighted mean reduction of score of -1.16 (95%CI, -1.36. 0.96</w:t>
      </w:r>
      <w:r>
        <w:t>; p &lt; 0.0001) was reported</w:t>
      </w:r>
      <w:r w:rsidR="00160BB1">
        <w:t xml:space="preserve">. </w:t>
      </w:r>
      <w:r>
        <w:t>The heterogeneity across studies was moderate (I</w:t>
      </w:r>
      <w:r>
        <w:rPr>
          <w:vertAlign w:val="superscript"/>
        </w:rPr>
        <w:t>2</w:t>
      </w:r>
      <w:r>
        <w:t xml:space="preserve"> = 15.5%; p = 0.254) There was no correlation between the change in EDSS and age of onset, duration of disease, follow-up time, dose of infusion and AQP4-Ab sero-status. </w:t>
      </w:r>
    </w:p>
    <w:p w14:paraId="0F1C75A5" w14:textId="6345D772" w:rsidR="00605C49" w:rsidRDefault="00605C49" w:rsidP="00605C49">
      <w:r>
        <w:t xml:space="preserve">EDSS was reported in two further studies </w:t>
      </w:r>
      <w:r w:rsidR="00156621">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instrText xml:space="preserve"> ADDIN EN.CITE </w:instrText>
      </w:r>
      <w:r w:rsidR="00D96694">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instrText xml:space="preserve"> ADDIN EN.CITE.DATA </w:instrText>
      </w:r>
      <w:r w:rsidR="00D96694">
        <w:fldChar w:fldCharType="end"/>
      </w:r>
      <w:r w:rsidR="00156621">
        <w:fldChar w:fldCharType="separate"/>
      </w:r>
      <w:r w:rsidR="00156621">
        <w:rPr>
          <w:noProof/>
        </w:rPr>
        <w:t>(Shaygannejad et al. 2019)</w:t>
      </w:r>
      <w:r w:rsidR="00156621">
        <w:fldChar w:fldCharType="end"/>
      </w:r>
      <w:r>
        <w:t xml:space="preserve"> </w:t>
      </w:r>
      <w:r w:rsidR="00156621">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instrText xml:space="preserve"> ADDIN EN.CITE </w:instrText>
      </w:r>
      <w:r w:rsidR="00D96694">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instrText xml:space="preserve"> ADDIN EN.CITE.DATA </w:instrText>
      </w:r>
      <w:r w:rsidR="00D96694">
        <w:fldChar w:fldCharType="end"/>
      </w:r>
      <w:r w:rsidR="00156621">
        <w:fldChar w:fldCharType="separate"/>
      </w:r>
      <w:r w:rsidR="00156621">
        <w:rPr>
          <w:noProof/>
        </w:rPr>
        <w:t>(Ashtari et al. 2019)</w:t>
      </w:r>
      <w:r w:rsidR="00156621">
        <w:fldChar w:fldCharType="end"/>
      </w:r>
      <w:r>
        <w:t xml:space="preserve"> identified in the literature search and published after the search dat</w:t>
      </w:r>
      <w:r w:rsidR="0028303B">
        <w:t>e</w:t>
      </w:r>
      <w:r>
        <w:t xml:space="preserve"> of the meta-analysis. </w:t>
      </w:r>
    </w:p>
    <w:p w14:paraId="51D9FC34" w14:textId="1180D46A" w:rsidR="00F87DE5" w:rsidRDefault="0028303B" w:rsidP="00EC2492">
      <w:r>
        <w:t>These t</w:t>
      </w:r>
      <w:r w:rsidR="00F87DE5">
        <w:t>wo recent primary studies compared EDSS at baseline and last follow-up in NM</w:t>
      </w:r>
      <w:r w:rsidR="00D6086B">
        <w:t>O</w:t>
      </w:r>
      <w:r w:rsidR="00F87DE5">
        <w:t>SD patients treated with R</w:t>
      </w:r>
      <w:r w:rsidR="008D561C">
        <w:t>TX</w:t>
      </w:r>
      <w:r w:rsidR="00F87DE5">
        <w:t xml:space="preserve"> </w:t>
      </w:r>
      <w:r w:rsidR="00156621">
        <w:fldChar w:fldCharType="begin">
          <w:fldData xml:space="preserve">PEVuZE5vdGU+PENpdGU+PEF1dGhvcj5Bc2h0YXJpPC9BdXRob3I+PFllYXI+MjAxOTwvWWVhcj48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</w:fldData>
        </w:fldChar>
      </w:r>
      <w:r w:rsidR="00D96694">
        <w:instrText xml:space="preserve"> ADDIN EN.CITE </w:instrText>
      </w:r>
      <w:r w:rsidR="00D96694">
        <w:fldChar w:fldCharType="begin">
          <w:fldData xml:space="preserve">PEVuZE5vdGU+PENpdGU+PEF1dGhvcj5Bc2h0YXJpPC9BdXRob3I+PFllYXI+MjAxOTwvWWVhcj48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</w:fldData>
        </w:fldChar>
      </w:r>
      <w:r w:rsidR="00D96694">
        <w:instrText xml:space="preserve"> ADDIN EN.CITE.DATA </w:instrText>
      </w:r>
      <w:r w:rsidR="00D96694">
        <w:fldChar w:fldCharType="end"/>
      </w:r>
      <w:r w:rsidR="00156621">
        <w:fldChar w:fldCharType="separate"/>
      </w:r>
      <w:r w:rsidR="00156621">
        <w:rPr>
          <w:noProof/>
        </w:rPr>
        <w:t>(Ashtari et al. 2019; Shaygannejad et al. 2019)</w:t>
      </w:r>
      <w:r w:rsidR="00156621">
        <w:fldChar w:fldCharType="end"/>
      </w:r>
      <w:r w:rsidR="00F87DE5">
        <w:t xml:space="preserve">. </w:t>
      </w:r>
      <w:r w:rsidR="00666CB3">
        <w:t>I</w:t>
      </w:r>
      <w:r w:rsidR="00F87DE5">
        <w:t>n</w:t>
      </w:r>
      <w:r w:rsidR="00666CB3">
        <w:t xml:space="preserve"> </w:t>
      </w:r>
      <w:r w:rsidR="00F87DE5">
        <w:t>both</w:t>
      </w:r>
      <w:r w:rsidR="00666CB3">
        <w:t xml:space="preserve"> stud</w:t>
      </w:r>
      <w:r w:rsidR="00F87DE5">
        <w:t>ies</w:t>
      </w:r>
      <w:r w:rsidR="00666CB3">
        <w:t>, NMOSD diagnosis was based on the 2015 IPND criteria.</w:t>
      </w:r>
      <w:r w:rsidR="00AA1070">
        <w:t xml:space="preserve"> </w:t>
      </w:r>
    </w:p>
    <w:p w14:paraId="32AD38C0" w14:textId="7F966B11" w:rsidR="00666CB3" w:rsidRDefault="00F87DE5" w:rsidP="00EC2492">
      <w:r>
        <w:t xml:space="preserve">Ashtari et al </w:t>
      </w:r>
      <w:r w:rsidR="00AA1070">
        <w:t xml:space="preserve">conducted </w:t>
      </w:r>
      <w:r>
        <w:t xml:space="preserve">a sub-analysis </w:t>
      </w:r>
      <w:r w:rsidR="00AA1070">
        <w:t>according to AQP4-Ab status</w:t>
      </w:r>
      <w:r w:rsidR="00DE1851">
        <w:t xml:space="preserve"> </w:t>
      </w:r>
      <w:r w:rsidR="00D34D92">
        <w:t>(54% were AQP4-Ab positive)</w:t>
      </w:r>
      <w:r w:rsidR="00DE1851">
        <w:t>. Shaygannejad also stratified the results according to AQP4-Ab status and found no difference between groups</w:t>
      </w:r>
      <w:r w:rsidR="00D07533">
        <w:t>,</w:t>
      </w:r>
      <w:r w:rsidR="00DE1851">
        <w:t xml:space="preserve"> </w:t>
      </w:r>
      <w:r w:rsidR="00383650">
        <w:t>however</w:t>
      </w:r>
      <w:r w:rsidR="00D07533">
        <w:t xml:space="preserve"> EDSS data w</w:t>
      </w:r>
      <w:r w:rsidR="008F2AFA">
        <w:t>ere</w:t>
      </w:r>
      <w:r w:rsidR="00D07533">
        <w:t xml:space="preserve"> only reported for the whole patient group </w:t>
      </w:r>
      <w:r w:rsidR="005D0F36">
        <w:t>(</w:t>
      </w:r>
      <w:r w:rsidR="005D0F36">
        <w:fldChar w:fldCharType="begin"/>
      </w:r>
      <w:r w:rsidR="005D0F36">
        <w:instrText xml:space="preserve"> REF _Ref32414327 \h </w:instrText>
      </w:r>
      <w:r w:rsidR="005D0F36">
        <w:fldChar w:fldCharType="separate"/>
      </w:r>
      <w:r w:rsidR="00305818">
        <w:t xml:space="preserve">Table </w:t>
      </w:r>
      <w:r w:rsidR="00305818">
        <w:rPr>
          <w:noProof/>
        </w:rPr>
        <w:t>52</w:t>
      </w:r>
      <w:r w:rsidR="005D0F36">
        <w:fldChar w:fldCharType="end"/>
      </w:r>
      <w:r w:rsidR="005D0F36">
        <w:t>)</w:t>
      </w:r>
      <w:r w:rsidR="00DE1851">
        <w:t>.</w:t>
      </w:r>
      <w:r w:rsidR="00D07533">
        <w:t xml:space="preserve"> </w:t>
      </w:r>
    </w:p>
    <w:p w14:paraId="3A66D9C5" w14:textId="51ABB96B" w:rsidR="00666CB3" w:rsidRDefault="00666CB3" w:rsidP="00666CB3">
      <w:pPr>
        <w:pStyle w:val="Caption"/>
      </w:pPr>
      <w:bookmarkStart w:id="316" w:name="_Ref32414327"/>
      <w:bookmarkStart w:id="317" w:name="_Toc39580833"/>
      <w:r>
        <w:lastRenderedPageBreak/>
        <w:t xml:space="preserve">Table </w:t>
      </w:r>
      <w:fldSimple w:instr=" SEQ Table \* ARABIC ">
        <w:r w:rsidR="00FA7BCD">
          <w:rPr>
            <w:noProof/>
          </w:rPr>
          <w:t>52</w:t>
        </w:r>
      </w:fldSimple>
      <w:bookmarkEnd w:id="316"/>
      <w:r>
        <w:rPr>
          <w:noProof/>
        </w:rPr>
        <w:tab/>
        <w:t>Change in EDSS reported in recent primary studies</w:t>
      </w:r>
      <w:bookmarkEnd w:id="317"/>
      <w:r>
        <w:rPr>
          <w:noProof/>
        </w:rPr>
        <w:t xml:space="preserve"> </w:t>
      </w:r>
    </w:p>
    <w:tbl>
      <w:tblPr>
        <w:tblStyle w:val="TableGrid1"/>
        <w:tblW w:w="8497"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52 Change in EDSS reported in recent primary studies "/>
        <w:tblDescription w:val="Change in EDSS in patients recieving rituximab reported in recent primary studies"/>
      </w:tblPr>
      <w:tblGrid>
        <w:gridCol w:w="1410"/>
        <w:gridCol w:w="1984"/>
        <w:gridCol w:w="1843"/>
        <w:gridCol w:w="1559"/>
        <w:gridCol w:w="1701"/>
      </w:tblGrid>
      <w:tr w:rsidR="00D34D92" w:rsidRPr="001C45F4" w14:paraId="4EFFCBB0" w14:textId="77777777" w:rsidTr="00204A26">
        <w:trPr>
          <w:cnfStyle w:val="100000000000" w:firstRow="1" w:lastRow="0" w:firstColumn="0" w:lastColumn="0" w:oddVBand="0" w:evenVBand="0" w:oddHBand="0" w:evenHBand="0" w:firstRowFirstColumn="0" w:firstRowLastColumn="0" w:lastRowFirstColumn="0" w:lastRowLastColumn="0"/>
        </w:trPr>
        <w:tc>
          <w:tcPr>
            <w:tcW w:w="1410" w:type="dxa"/>
            <w:tcBorders>
              <w:top w:val="single" w:sz="6" w:space="0" w:color="auto"/>
              <w:left w:val="single" w:sz="6" w:space="0" w:color="auto"/>
              <w:bottom w:val="single" w:sz="6" w:space="0" w:color="auto"/>
              <w:right w:val="single" w:sz="6" w:space="0" w:color="auto"/>
            </w:tcBorders>
            <w:hideMark/>
          </w:tcPr>
          <w:p w14:paraId="16BD2100" w14:textId="77777777" w:rsidR="00D34D92" w:rsidRPr="001C45F4" w:rsidRDefault="00D34D92" w:rsidP="00361EF8">
            <w:pPr>
              <w:jc w:val="left"/>
              <w:rPr>
                <w:rFonts w:ascii="Arial Narrow" w:hAnsi="Arial Narrow"/>
                <w:b/>
              </w:rPr>
            </w:pPr>
            <w:r w:rsidRPr="001C45F4">
              <w:rPr>
                <w:rFonts w:ascii="Arial Narrow" w:hAnsi="Arial Narrow"/>
                <w:b/>
              </w:rPr>
              <w:t>Study</w:t>
            </w:r>
          </w:p>
        </w:tc>
        <w:tc>
          <w:tcPr>
            <w:tcW w:w="1984" w:type="dxa"/>
            <w:tcBorders>
              <w:top w:val="single" w:sz="6" w:space="0" w:color="auto"/>
              <w:left w:val="single" w:sz="6" w:space="0" w:color="auto"/>
              <w:bottom w:val="single" w:sz="6" w:space="0" w:color="auto"/>
              <w:right w:val="single" w:sz="6" w:space="0" w:color="auto"/>
            </w:tcBorders>
            <w:hideMark/>
          </w:tcPr>
          <w:p w14:paraId="70A7CCF2" w14:textId="77777777" w:rsidR="00D34D92" w:rsidRDefault="00D34D92" w:rsidP="00361EF8">
            <w:pPr>
              <w:jc w:val="left"/>
              <w:rPr>
                <w:rFonts w:ascii="Arial Narrow" w:hAnsi="Arial Narrow"/>
                <w:b/>
              </w:rPr>
            </w:pPr>
            <w:r>
              <w:rPr>
                <w:rFonts w:ascii="Arial Narrow" w:hAnsi="Arial Narrow"/>
                <w:b/>
              </w:rPr>
              <w:t>N patients</w:t>
            </w:r>
          </w:p>
          <w:p w14:paraId="706E58D9" w14:textId="77777777" w:rsidR="00D34D92" w:rsidRPr="001C45F4" w:rsidRDefault="00D34D92" w:rsidP="00361EF8">
            <w:pPr>
              <w:jc w:val="left"/>
              <w:rPr>
                <w:rFonts w:ascii="Arial Narrow" w:hAnsi="Arial Narrow"/>
                <w:b/>
              </w:rPr>
            </w:pPr>
            <w:r>
              <w:rPr>
                <w:rFonts w:ascii="Arial Narrow" w:hAnsi="Arial Narrow"/>
                <w:b/>
              </w:rPr>
              <w:t>Follow-up</w:t>
            </w:r>
          </w:p>
        </w:tc>
        <w:tc>
          <w:tcPr>
            <w:tcW w:w="1843" w:type="dxa"/>
            <w:tcBorders>
              <w:top w:val="single" w:sz="6" w:space="0" w:color="auto"/>
              <w:left w:val="single" w:sz="6" w:space="0" w:color="auto"/>
              <w:bottom w:val="single" w:sz="6" w:space="0" w:color="auto"/>
              <w:right w:val="single" w:sz="6" w:space="0" w:color="auto"/>
            </w:tcBorders>
            <w:hideMark/>
          </w:tcPr>
          <w:p w14:paraId="54535D44" w14:textId="77777777" w:rsidR="00D34D92" w:rsidRDefault="00D34D92" w:rsidP="00361EF8">
            <w:pPr>
              <w:jc w:val="left"/>
              <w:rPr>
                <w:rFonts w:ascii="Arial Narrow" w:hAnsi="Arial Narrow"/>
                <w:b/>
              </w:rPr>
            </w:pPr>
            <w:r>
              <w:rPr>
                <w:rFonts w:ascii="Arial Narrow" w:hAnsi="Arial Narrow"/>
                <w:b/>
              </w:rPr>
              <w:t>Baseline EDSS</w:t>
            </w:r>
          </w:p>
          <w:p w14:paraId="1D2DCADA" w14:textId="77777777" w:rsidR="00D34D92" w:rsidRPr="001C45F4" w:rsidRDefault="00D34D92" w:rsidP="00361EF8">
            <w:pPr>
              <w:jc w:val="left"/>
              <w:rPr>
                <w:rFonts w:ascii="Arial Narrow" w:hAnsi="Arial Narrow"/>
                <w:b/>
              </w:rPr>
            </w:pPr>
            <w:r>
              <w:rPr>
                <w:rFonts w:ascii="Arial Narrow" w:hAnsi="Arial Narrow"/>
                <w:b/>
              </w:rPr>
              <w:t>(Mean±SD)</w:t>
            </w:r>
          </w:p>
        </w:tc>
        <w:tc>
          <w:tcPr>
            <w:tcW w:w="1559" w:type="dxa"/>
            <w:tcBorders>
              <w:top w:val="single" w:sz="6" w:space="0" w:color="auto"/>
              <w:left w:val="single" w:sz="6" w:space="0" w:color="auto"/>
              <w:bottom w:val="single" w:sz="6" w:space="0" w:color="auto"/>
              <w:right w:val="single" w:sz="6" w:space="0" w:color="auto"/>
            </w:tcBorders>
            <w:hideMark/>
          </w:tcPr>
          <w:p w14:paraId="00CBDC2D" w14:textId="77777777" w:rsidR="00D34D92" w:rsidRDefault="00D34D92" w:rsidP="00666CB3">
            <w:pPr>
              <w:jc w:val="left"/>
              <w:rPr>
                <w:rFonts w:ascii="Arial Narrow" w:hAnsi="Arial Narrow"/>
                <w:b/>
              </w:rPr>
            </w:pPr>
            <w:r>
              <w:rPr>
                <w:rFonts w:ascii="Arial Narrow" w:hAnsi="Arial Narrow"/>
                <w:b/>
              </w:rPr>
              <w:t>Follow-up EDSS</w:t>
            </w:r>
          </w:p>
          <w:p w14:paraId="27CA48B2" w14:textId="77777777" w:rsidR="00D34D92" w:rsidRPr="001C45F4" w:rsidRDefault="00D34D92" w:rsidP="00666CB3">
            <w:pPr>
              <w:jc w:val="left"/>
              <w:rPr>
                <w:rFonts w:ascii="Arial Narrow" w:hAnsi="Arial Narrow"/>
                <w:b/>
              </w:rPr>
            </w:pPr>
            <w:r>
              <w:rPr>
                <w:rFonts w:ascii="Arial Narrow" w:hAnsi="Arial Narrow"/>
                <w:b/>
              </w:rPr>
              <w:t>(Mean±SD)</w:t>
            </w:r>
          </w:p>
        </w:tc>
        <w:tc>
          <w:tcPr>
            <w:tcW w:w="1701" w:type="dxa"/>
            <w:tcBorders>
              <w:top w:val="single" w:sz="6" w:space="0" w:color="auto"/>
              <w:left w:val="single" w:sz="6" w:space="0" w:color="auto"/>
              <w:bottom w:val="single" w:sz="6" w:space="0" w:color="auto"/>
              <w:right w:val="single" w:sz="6" w:space="0" w:color="auto"/>
            </w:tcBorders>
            <w:hideMark/>
          </w:tcPr>
          <w:p w14:paraId="16539DCC" w14:textId="77777777" w:rsidR="00D34D92" w:rsidRDefault="00D34D92" w:rsidP="00361EF8">
            <w:pPr>
              <w:jc w:val="left"/>
              <w:rPr>
                <w:rFonts w:ascii="Arial Narrow" w:hAnsi="Arial Narrow"/>
                <w:b/>
              </w:rPr>
            </w:pPr>
            <w:r w:rsidRPr="001C45F4">
              <w:rPr>
                <w:rFonts w:ascii="Arial Narrow" w:hAnsi="Arial Narrow"/>
                <w:b/>
              </w:rPr>
              <w:t>Difference</w:t>
            </w:r>
          </w:p>
          <w:p w14:paraId="20D964E1" w14:textId="77777777" w:rsidR="00D34D92" w:rsidRPr="001C45F4" w:rsidRDefault="00D34D92" w:rsidP="00361EF8">
            <w:pPr>
              <w:jc w:val="left"/>
              <w:rPr>
                <w:rFonts w:ascii="Arial Narrow" w:hAnsi="Arial Narrow"/>
                <w:b/>
              </w:rPr>
            </w:pPr>
            <w:r>
              <w:rPr>
                <w:rFonts w:ascii="Arial Narrow" w:hAnsi="Arial Narrow"/>
                <w:b/>
              </w:rPr>
              <w:t>P value</w:t>
            </w:r>
          </w:p>
        </w:tc>
      </w:tr>
      <w:tr w:rsidR="00D34D92" w:rsidRPr="004371CF" w14:paraId="1F4D436F" w14:textId="77777777" w:rsidTr="00204A26">
        <w:tc>
          <w:tcPr>
            <w:tcW w:w="1410" w:type="dxa"/>
            <w:vMerge w:val="restart"/>
            <w:tcBorders>
              <w:top w:val="single" w:sz="6" w:space="0" w:color="auto"/>
              <w:left w:val="single" w:sz="6" w:space="0" w:color="auto"/>
              <w:right w:val="single" w:sz="6" w:space="0" w:color="auto"/>
            </w:tcBorders>
            <w:hideMark/>
          </w:tcPr>
          <w:p w14:paraId="46360D1F" w14:textId="0ED52FBE" w:rsidR="00D34D92" w:rsidRPr="004371CF" w:rsidRDefault="00156621" w:rsidP="00D96694">
            <w:pPr>
              <w:jc w:val="left"/>
              <w:rPr>
                <w:rFonts w:ascii="Arial Narrow" w:hAnsi="Arial Narrow"/>
              </w:rPr>
            </w:pPr>
            <w:r>
              <w:rPr>
                <w:rFonts w:ascii="Arial Narrow" w:hAnsi="Arial Narrow"/>
              </w:rPr>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rPr>
                <w:rFonts w:ascii="Arial Narrow" w:hAnsi="Arial Narrow"/>
              </w:rPr>
              <w:instrText xml:space="preserve"> ADDIN EN.CITE </w:instrText>
            </w:r>
            <w:r w:rsidR="00D96694">
              <w:rPr>
                <w:rFonts w:ascii="Arial Narrow" w:hAnsi="Arial Narrow"/>
              </w:rPr>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rPr>
                <w:rFonts w:ascii="Arial Narrow" w:hAnsi="Arial Narrow"/>
              </w:rPr>
              <w:instrText xml:space="preserve"> ADDIN EN.CITE.DATA </w:instrText>
            </w:r>
            <w:r w:rsidR="00D96694">
              <w:rPr>
                <w:rFonts w:ascii="Arial Narrow" w:hAnsi="Arial Narrow"/>
              </w:rPr>
            </w:r>
            <w:r w:rsidR="00D96694">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(Ashtari et al. 2019)</w:t>
            </w:r>
            <w:r>
              <w:rPr>
                <w:rFonts w:ascii="Arial Narrow" w:hAnsi="Arial Narrow"/>
              </w:rPr>
              <w:fldChar w:fldCharType="end"/>
            </w:r>
          </w:p>
        </w:tc>
        <w:tc>
          <w:tcPr>
            <w:tcW w:w="1984" w:type="dxa"/>
            <w:tcBorders>
              <w:top w:val="single" w:sz="6" w:space="0" w:color="auto"/>
              <w:left w:val="single" w:sz="6" w:space="0" w:color="auto"/>
              <w:bottom w:val="single" w:sz="6" w:space="0" w:color="auto"/>
              <w:right w:val="single" w:sz="6" w:space="0" w:color="auto"/>
            </w:tcBorders>
          </w:tcPr>
          <w:p w14:paraId="22A228E4" w14:textId="77777777" w:rsidR="00D34D92" w:rsidRDefault="00D34D92" w:rsidP="00361EF8">
            <w:pPr>
              <w:jc w:val="left"/>
              <w:rPr>
                <w:rFonts w:ascii="Arial Narrow" w:hAnsi="Arial Narrow"/>
              </w:rPr>
            </w:pPr>
            <w:r>
              <w:rPr>
                <w:rFonts w:ascii="Arial Narrow" w:hAnsi="Arial Narrow"/>
              </w:rPr>
              <w:t>All patients: 56</w:t>
            </w:r>
          </w:p>
          <w:p w14:paraId="4207895F" w14:textId="77777777" w:rsidR="00D34D92" w:rsidRPr="004371CF" w:rsidRDefault="00D34D92" w:rsidP="00361EF8">
            <w:pPr>
              <w:jc w:val="left"/>
              <w:rPr>
                <w:rFonts w:ascii="Arial Narrow" w:hAnsi="Arial Narrow"/>
              </w:rPr>
            </w:pPr>
            <w:r>
              <w:rPr>
                <w:rFonts w:ascii="Arial Narrow" w:hAnsi="Arial Narrow"/>
              </w:rPr>
              <w:t>1 year</w:t>
            </w:r>
          </w:p>
        </w:tc>
        <w:tc>
          <w:tcPr>
            <w:tcW w:w="1843" w:type="dxa"/>
            <w:tcBorders>
              <w:top w:val="single" w:sz="6" w:space="0" w:color="auto"/>
              <w:left w:val="single" w:sz="6" w:space="0" w:color="auto"/>
              <w:bottom w:val="single" w:sz="6" w:space="0" w:color="auto"/>
              <w:right w:val="single" w:sz="6" w:space="0" w:color="auto"/>
            </w:tcBorders>
          </w:tcPr>
          <w:p w14:paraId="362DD37C" w14:textId="77777777" w:rsidR="00D34D92" w:rsidRPr="004371CF" w:rsidRDefault="00D34D92" w:rsidP="00447C83">
            <w:pPr>
              <w:jc w:val="center"/>
              <w:rPr>
                <w:rFonts w:ascii="Arial Narrow" w:hAnsi="Arial Narrow"/>
              </w:rPr>
            </w:pPr>
            <w:r>
              <w:rPr>
                <w:rFonts w:ascii="Arial Narrow" w:hAnsi="Arial Narrow"/>
              </w:rPr>
              <w:t>4.83±1.87</w:t>
            </w:r>
          </w:p>
        </w:tc>
        <w:tc>
          <w:tcPr>
            <w:tcW w:w="1559" w:type="dxa"/>
            <w:tcBorders>
              <w:top w:val="single" w:sz="6" w:space="0" w:color="auto"/>
              <w:left w:val="single" w:sz="6" w:space="0" w:color="auto"/>
              <w:bottom w:val="single" w:sz="6" w:space="0" w:color="auto"/>
              <w:right w:val="single" w:sz="6" w:space="0" w:color="auto"/>
            </w:tcBorders>
          </w:tcPr>
          <w:p w14:paraId="17170AF3" w14:textId="77777777" w:rsidR="00D34D92" w:rsidRPr="004371CF" w:rsidRDefault="00D34D92" w:rsidP="00447C83">
            <w:pPr>
              <w:jc w:val="center"/>
              <w:rPr>
                <w:rFonts w:ascii="Arial Narrow" w:hAnsi="Arial Narrow"/>
              </w:rPr>
            </w:pPr>
            <w:r>
              <w:rPr>
                <w:rFonts w:ascii="Arial Narrow" w:hAnsi="Arial Narrow"/>
              </w:rPr>
              <w:t>2.87±1.63</w:t>
            </w:r>
          </w:p>
        </w:tc>
        <w:tc>
          <w:tcPr>
            <w:tcW w:w="1701" w:type="dxa"/>
            <w:tcBorders>
              <w:top w:val="single" w:sz="6" w:space="0" w:color="auto"/>
              <w:left w:val="single" w:sz="6" w:space="0" w:color="auto"/>
              <w:bottom w:val="single" w:sz="6" w:space="0" w:color="auto"/>
              <w:right w:val="single" w:sz="6" w:space="0" w:color="auto"/>
            </w:tcBorders>
          </w:tcPr>
          <w:p w14:paraId="6A0BCA04" w14:textId="77777777" w:rsidR="00D34D92" w:rsidRDefault="00D34D92" w:rsidP="00361EF8">
            <w:pPr>
              <w:jc w:val="left"/>
              <w:rPr>
                <w:rFonts w:ascii="Arial Narrow" w:hAnsi="Arial Narrow"/>
              </w:rPr>
            </w:pPr>
            <w:r>
              <w:rPr>
                <w:rFonts w:ascii="Arial Narrow" w:hAnsi="Arial Narrow"/>
              </w:rPr>
              <w:t>NR</w:t>
            </w:r>
          </w:p>
          <w:p w14:paraId="6151EF11" w14:textId="77777777" w:rsidR="00D34D92" w:rsidRPr="004371CF" w:rsidRDefault="00D34D92" w:rsidP="00361EF8">
            <w:pPr>
              <w:jc w:val="left"/>
              <w:rPr>
                <w:rFonts w:ascii="Arial Narrow" w:hAnsi="Arial Narrow"/>
              </w:rPr>
            </w:pPr>
            <w:r>
              <w:rPr>
                <w:rFonts w:ascii="Arial Narrow" w:hAnsi="Arial Narrow"/>
              </w:rPr>
              <w:t>(MedCalc: p&lt;0.0001)</w:t>
            </w:r>
          </w:p>
        </w:tc>
      </w:tr>
      <w:tr w:rsidR="00D34D92" w:rsidRPr="004371CF" w14:paraId="552C9D35" w14:textId="77777777" w:rsidTr="00204A26">
        <w:tc>
          <w:tcPr>
            <w:tcW w:w="1410" w:type="dxa"/>
            <w:vMerge/>
            <w:tcBorders>
              <w:left w:val="single" w:sz="6" w:space="0" w:color="auto"/>
              <w:right w:val="single" w:sz="6" w:space="0" w:color="auto"/>
            </w:tcBorders>
          </w:tcPr>
          <w:p w14:paraId="7220AE25" w14:textId="77777777" w:rsidR="00D34D92" w:rsidRPr="004371CF" w:rsidRDefault="00D34D92" w:rsidP="00361EF8">
            <w:pPr>
              <w:jc w:val="left"/>
              <w:rPr>
                <w:rFonts w:ascii="Arial Narrow" w:hAnsi="Arial Narrow"/>
              </w:rPr>
            </w:pPr>
          </w:p>
        </w:tc>
        <w:tc>
          <w:tcPr>
            <w:tcW w:w="1984" w:type="dxa"/>
            <w:tcBorders>
              <w:top w:val="single" w:sz="6" w:space="0" w:color="auto"/>
              <w:left w:val="single" w:sz="6" w:space="0" w:color="auto"/>
              <w:bottom w:val="single" w:sz="6" w:space="0" w:color="auto"/>
              <w:right w:val="single" w:sz="6" w:space="0" w:color="auto"/>
            </w:tcBorders>
          </w:tcPr>
          <w:p w14:paraId="6AC5C3D0" w14:textId="77777777" w:rsidR="00D34D92" w:rsidRDefault="00D34D92" w:rsidP="00361EF8">
            <w:pPr>
              <w:jc w:val="left"/>
              <w:rPr>
                <w:rFonts w:ascii="Arial Narrow" w:hAnsi="Arial Narrow"/>
              </w:rPr>
            </w:pPr>
            <w:r>
              <w:rPr>
                <w:rFonts w:ascii="Arial Narrow" w:hAnsi="Arial Narrow"/>
              </w:rPr>
              <w:t>AQP4-Ab +ve: 30</w:t>
            </w:r>
          </w:p>
          <w:p w14:paraId="3FF604DD" w14:textId="77777777" w:rsidR="00D34D92" w:rsidRPr="004371CF" w:rsidRDefault="00D34D92" w:rsidP="00361EF8">
            <w:pPr>
              <w:jc w:val="left"/>
              <w:rPr>
                <w:rFonts w:ascii="Arial Narrow" w:hAnsi="Arial Narrow"/>
              </w:rPr>
            </w:pPr>
            <w:r>
              <w:rPr>
                <w:rFonts w:ascii="Arial Narrow" w:hAnsi="Arial Narrow"/>
              </w:rPr>
              <w:t>1 year</w:t>
            </w:r>
          </w:p>
        </w:tc>
        <w:tc>
          <w:tcPr>
            <w:tcW w:w="1843" w:type="dxa"/>
            <w:tcBorders>
              <w:top w:val="single" w:sz="6" w:space="0" w:color="auto"/>
              <w:left w:val="single" w:sz="6" w:space="0" w:color="auto"/>
              <w:bottom w:val="single" w:sz="6" w:space="0" w:color="auto"/>
              <w:right w:val="single" w:sz="6" w:space="0" w:color="auto"/>
            </w:tcBorders>
          </w:tcPr>
          <w:p w14:paraId="5C256754" w14:textId="77777777" w:rsidR="00D34D92" w:rsidRPr="004371CF" w:rsidRDefault="00D34D92" w:rsidP="00447C83">
            <w:pPr>
              <w:jc w:val="center"/>
              <w:rPr>
                <w:rFonts w:ascii="Arial Narrow" w:hAnsi="Arial Narrow"/>
              </w:rPr>
            </w:pPr>
            <w:r>
              <w:rPr>
                <w:rFonts w:ascii="Arial Narrow" w:hAnsi="Arial Narrow"/>
              </w:rPr>
              <w:t>4.94±1.83</w:t>
            </w:r>
          </w:p>
        </w:tc>
        <w:tc>
          <w:tcPr>
            <w:tcW w:w="1559" w:type="dxa"/>
            <w:tcBorders>
              <w:top w:val="single" w:sz="6" w:space="0" w:color="auto"/>
              <w:left w:val="single" w:sz="6" w:space="0" w:color="auto"/>
              <w:bottom w:val="single" w:sz="6" w:space="0" w:color="auto"/>
              <w:right w:val="single" w:sz="6" w:space="0" w:color="auto"/>
            </w:tcBorders>
          </w:tcPr>
          <w:p w14:paraId="21F9E193" w14:textId="77777777" w:rsidR="00D34D92" w:rsidRPr="004371CF" w:rsidRDefault="00D34D92" w:rsidP="00447C83">
            <w:pPr>
              <w:jc w:val="center"/>
              <w:rPr>
                <w:rFonts w:ascii="Arial Narrow" w:hAnsi="Arial Narrow"/>
              </w:rPr>
            </w:pPr>
            <w:r>
              <w:rPr>
                <w:rFonts w:ascii="Arial Narrow" w:hAnsi="Arial Narrow"/>
              </w:rPr>
              <w:t>2.92±1.54</w:t>
            </w:r>
          </w:p>
        </w:tc>
        <w:tc>
          <w:tcPr>
            <w:tcW w:w="1701" w:type="dxa"/>
            <w:tcBorders>
              <w:top w:val="single" w:sz="6" w:space="0" w:color="auto"/>
              <w:left w:val="single" w:sz="6" w:space="0" w:color="auto"/>
              <w:bottom w:val="single" w:sz="6" w:space="0" w:color="auto"/>
              <w:right w:val="single" w:sz="6" w:space="0" w:color="auto"/>
            </w:tcBorders>
          </w:tcPr>
          <w:p w14:paraId="0A4F9900" w14:textId="77777777" w:rsidR="00D34D92" w:rsidRDefault="00D34D92" w:rsidP="00361EF8">
            <w:pPr>
              <w:jc w:val="left"/>
              <w:rPr>
                <w:rFonts w:ascii="Arial Narrow" w:hAnsi="Arial Narrow"/>
              </w:rPr>
            </w:pPr>
            <w:r>
              <w:rPr>
                <w:rFonts w:ascii="Arial Narrow" w:hAnsi="Arial Narrow"/>
              </w:rPr>
              <w:t>NR</w:t>
            </w:r>
          </w:p>
          <w:p w14:paraId="2AAD4B40" w14:textId="77777777" w:rsidR="00D34D92" w:rsidRPr="004371CF" w:rsidRDefault="00D34D92" w:rsidP="00361EF8">
            <w:pPr>
              <w:jc w:val="left"/>
              <w:rPr>
                <w:rFonts w:ascii="Arial Narrow" w:hAnsi="Arial Narrow"/>
              </w:rPr>
            </w:pPr>
            <w:r>
              <w:rPr>
                <w:rFonts w:ascii="Arial Narrow" w:hAnsi="Arial Narrow"/>
              </w:rPr>
              <w:t>(MedCalc: p&lt;0.0001)</w:t>
            </w:r>
          </w:p>
        </w:tc>
      </w:tr>
      <w:tr w:rsidR="00D34D92" w:rsidRPr="004371CF" w14:paraId="3945B5D6" w14:textId="77777777" w:rsidTr="00204A26">
        <w:tc>
          <w:tcPr>
            <w:tcW w:w="1410" w:type="dxa"/>
            <w:vMerge/>
            <w:tcBorders>
              <w:left w:val="single" w:sz="6" w:space="0" w:color="auto"/>
              <w:bottom w:val="single" w:sz="6" w:space="0" w:color="auto"/>
              <w:right w:val="single" w:sz="6" w:space="0" w:color="auto"/>
            </w:tcBorders>
          </w:tcPr>
          <w:p w14:paraId="2B97D49E" w14:textId="77777777" w:rsidR="00D34D92" w:rsidRPr="004371CF" w:rsidRDefault="00D34D92" w:rsidP="00361EF8">
            <w:pPr>
              <w:jc w:val="left"/>
              <w:rPr>
                <w:rFonts w:ascii="Arial Narrow" w:hAnsi="Arial Narrow"/>
              </w:rPr>
            </w:pPr>
          </w:p>
        </w:tc>
        <w:tc>
          <w:tcPr>
            <w:tcW w:w="1984" w:type="dxa"/>
            <w:tcBorders>
              <w:top w:val="single" w:sz="6" w:space="0" w:color="auto"/>
              <w:left w:val="single" w:sz="6" w:space="0" w:color="auto"/>
              <w:bottom w:val="single" w:sz="6" w:space="0" w:color="auto"/>
              <w:right w:val="single" w:sz="6" w:space="0" w:color="auto"/>
            </w:tcBorders>
          </w:tcPr>
          <w:p w14:paraId="7AC48D7B" w14:textId="77777777" w:rsidR="00D34D92" w:rsidRDefault="00D34D92" w:rsidP="00361EF8">
            <w:pPr>
              <w:jc w:val="left"/>
              <w:rPr>
                <w:rFonts w:ascii="Arial Narrow" w:hAnsi="Arial Narrow"/>
              </w:rPr>
            </w:pPr>
            <w:r>
              <w:rPr>
                <w:rFonts w:ascii="Arial Narrow" w:hAnsi="Arial Narrow"/>
              </w:rPr>
              <w:t>AQP4-Ab –ve: 26</w:t>
            </w:r>
          </w:p>
          <w:p w14:paraId="6174B0F3" w14:textId="77777777" w:rsidR="00D34D92" w:rsidRPr="004371CF" w:rsidRDefault="00D34D92" w:rsidP="00361EF8">
            <w:pPr>
              <w:jc w:val="left"/>
              <w:rPr>
                <w:rFonts w:ascii="Arial Narrow" w:hAnsi="Arial Narrow"/>
              </w:rPr>
            </w:pPr>
            <w:r>
              <w:rPr>
                <w:rFonts w:ascii="Arial Narrow" w:hAnsi="Arial Narrow"/>
              </w:rPr>
              <w:t>1 year</w:t>
            </w:r>
          </w:p>
        </w:tc>
        <w:tc>
          <w:tcPr>
            <w:tcW w:w="1843" w:type="dxa"/>
            <w:tcBorders>
              <w:top w:val="single" w:sz="6" w:space="0" w:color="auto"/>
              <w:left w:val="single" w:sz="6" w:space="0" w:color="auto"/>
              <w:bottom w:val="single" w:sz="6" w:space="0" w:color="auto"/>
              <w:right w:val="single" w:sz="6" w:space="0" w:color="auto"/>
            </w:tcBorders>
          </w:tcPr>
          <w:p w14:paraId="54B5517D" w14:textId="77777777" w:rsidR="00D34D92" w:rsidRPr="004371CF" w:rsidRDefault="00D34D92" w:rsidP="00447C83">
            <w:pPr>
              <w:jc w:val="center"/>
              <w:rPr>
                <w:rFonts w:ascii="Arial Narrow" w:hAnsi="Arial Narrow"/>
              </w:rPr>
            </w:pPr>
            <w:r>
              <w:rPr>
                <w:rFonts w:ascii="Arial Narrow" w:hAnsi="Arial Narrow"/>
              </w:rPr>
              <w:t>4.76±1.93</w:t>
            </w:r>
          </w:p>
        </w:tc>
        <w:tc>
          <w:tcPr>
            <w:tcW w:w="1559" w:type="dxa"/>
            <w:tcBorders>
              <w:top w:val="single" w:sz="6" w:space="0" w:color="auto"/>
              <w:left w:val="single" w:sz="6" w:space="0" w:color="auto"/>
              <w:bottom w:val="single" w:sz="6" w:space="0" w:color="auto"/>
              <w:right w:val="single" w:sz="6" w:space="0" w:color="auto"/>
            </w:tcBorders>
          </w:tcPr>
          <w:p w14:paraId="4B0401E0" w14:textId="77777777" w:rsidR="00D34D92" w:rsidRPr="004371CF" w:rsidRDefault="00D34D92" w:rsidP="00447C83">
            <w:pPr>
              <w:jc w:val="center"/>
              <w:rPr>
                <w:rFonts w:ascii="Arial Narrow" w:hAnsi="Arial Narrow"/>
              </w:rPr>
            </w:pPr>
            <w:r>
              <w:rPr>
                <w:rFonts w:ascii="Arial Narrow" w:hAnsi="Arial Narrow"/>
              </w:rPr>
              <w:t>2.84±1.72</w:t>
            </w:r>
          </w:p>
        </w:tc>
        <w:tc>
          <w:tcPr>
            <w:tcW w:w="1701" w:type="dxa"/>
            <w:tcBorders>
              <w:top w:val="single" w:sz="6" w:space="0" w:color="auto"/>
              <w:left w:val="single" w:sz="6" w:space="0" w:color="auto"/>
              <w:bottom w:val="single" w:sz="6" w:space="0" w:color="auto"/>
              <w:right w:val="single" w:sz="6" w:space="0" w:color="auto"/>
            </w:tcBorders>
          </w:tcPr>
          <w:p w14:paraId="73C8C391" w14:textId="77777777" w:rsidR="00D34D92" w:rsidRDefault="00D34D92" w:rsidP="00361EF8">
            <w:pPr>
              <w:jc w:val="left"/>
              <w:rPr>
                <w:rFonts w:ascii="Arial Narrow" w:hAnsi="Arial Narrow"/>
              </w:rPr>
            </w:pPr>
            <w:r>
              <w:rPr>
                <w:rFonts w:ascii="Arial Narrow" w:hAnsi="Arial Narrow"/>
              </w:rPr>
              <w:t>NR</w:t>
            </w:r>
          </w:p>
          <w:p w14:paraId="78037FAB" w14:textId="77777777" w:rsidR="00D34D92" w:rsidRPr="004371CF" w:rsidRDefault="00D34D92" w:rsidP="00D34D92">
            <w:pPr>
              <w:jc w:val="left"/>
              <w:rPr>
                <w:rFonts w:ascii="Arial Narrow" w:hAnsi="Arial Narrow"/>
              </w:rPr>
            </w:pPr>
            <w:r>
              <w:rPr>
                <w:rFonts w:ascii="Arial Narrow" w:hAnsi="Arial Narrow"/>
              </w:rPr>
              <w:t>(MedCalc: p=0.0003)</w:t>
            </w:r>
          </w:p>
        </w:tc>
      </w:tr>
      <w:tr w:rsidR="00D34D92" w:rsidRPr="004371CF" w14:paraId="3C7EFA36" w14:textId="77777777" w:rsidTr="00204A26">
        <w:tc>
          <w:tcPr>
            <w:tcW w:w="1410" w:type="dxa"/>
            <w:tcBorders>
              <w:top w:val="single" w:sz="6" w:space="0" w:color="auto"/>
              <w:left w:val="single" w:sz="6" w:space="0" w:color="auto"/>
              <w:bottom w:val="single" w:sz="6" w:space="0" w:color="auto"/>
              <w:right w:val="single" w:sz="6" w:space="0" w:color="auto"/>
            </w:tcBorders>
            <w:hideMark/>
          </w:tcPr>
          <w:p w14:paraId="425DB02E" w14:textId="1CB63636" w:rsidR="00D34D92" w:rsidRPr="004371CF" w:rsidRDefault="00156621" w:rsidP="00D96694">
            <w:pPr>
              <w:jc w:val="left"/>
              <w:rPr>
                <w:rFonts w:ascii="Arial Narrow" w:hAnsi="Arial Narrow"/>
              </w:rPr>
            </w:pPr>
            <w:r>
              <w:rPr>
                <w:rFonts w:ascii="Arial Narrow" w:hAnsi="Arial Narrow"/>
              </w:rPr>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rPr>
                <w:rFonts w:ascii="Arial Narrow" w:hAnsi="Arial Narrow"/>
              </w:rPr>
              <w:instrText xml:space="preserve"> ADDIN EN.CITE </w:instrText>
            </w:r>
            <w:r w:rsidR="00D96694">
              <w:rPr>
                <w:rFonts w:ascii="Arial Narrow" w:hAnsi="Arial Narrow"/>
              </w:rPr>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rPr>
                <w:rFonts w:ascii="Arial Narrow" w:hAnsi="Arial Narrow"/>
              </w:rPr>
              <w:instrText xml:space="preserve"> ADDIN EN.CITE.DATA </w:instrText>
            </w:r>
            <w:r w:rsidR="00D96694">
              <w:rPr>
                <w:rFonts w:ascii="Arial Narrow" w:hAnsi="Arial Narrow"/>
              </w:rPr>
            </w:r>
            <w:r w:rsidR="00D96694">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(Shaygannejad et al. 2019)</w:t>
            </w:r>
            <w:r>
              <w:rPr>
                <w:rFonts w:ascii="Arial Narrow" w:hAnsi="Arial Narrow"/>
              </w:rPr>
              <w:fldChar w:fldCharType="end"/>
            </w:r>
          </w:p>
        </w:tc>
        <w:tc>
          <w:tcPr>
            <w:tcW w:w="1984" w:type="dxa"/>
            <w:tcBorders>
              <w:top w:val="single" w:sz="6" w:space="0" w:color="auto"/>
              <w:left w:val="single" w:sz="6" w:space="0" w:color="auto"/>
              <w:bottom w:val="single" w:sz="6" w:space="0" w:color="auto"/>
              <w:right w:val="single" w:sz="6" w:space="0" w:color="auto"/>
            </w:tcBorders>
          </w:tcPr>
          <w:p w14:paraId="1F3C9B98" w14:textId="77777777" w:rsidR="00D34D92" w:rsidRDefault="00D34D92" w:rsidP="00361EF8">
            <w:pPr>
              <w:jc w:val="left"/>
              <w:rPr>
                <w:rFonts w:ascii="Arial Narrow" w:hAnsi="Arial Narrow"/>
              </w:rPr>
            </w:pPr>
            <w:r>
              <w:rPr>
                <w:rFonts w:ascii="Arial Narrow" w:hAnsi="Arial Narrow"/>
              </w:rPr>
              <w:t>All patients: 46</w:t>
            </w:r>
          </w:p>
          <w:p w14:paraId="7329E99C" w14:textId="77777777" w:rsidR="00D34D92" w:rsidRPr="004371CF" w:rsidRDefault="00D34D92" w:rsidP="00361EF8">
            <w:pPr>
              <w:jc w:val="left"/>
              <w:rPr>
                <w:rFonts w:ascii="Arial Narrow" w:hAnsi="Arial Narrow"/>
              </w:rPr>
            </w:pPr>
            <w:r>
              <w:rPr>
                <w:rFonts w:ascii="Arial Narrow" w:hAnsi="Arial Narrow"/>
              </w:rPr>
              <w:t>31.6±7.3 months</w:t>
            </w:r>
          </w:p>
        </w:tc>
        <w:tc>
          <w:tcPr>
            <w:tcW w:w="1843" w:type="dxa"/>
            <w:tcBorders>
              <w:top w:val="single" w:sz="6" w:space="0" w:color="auto"/>
              <w:left w:val="single" w:sz="6" w:space="0" w:color="auto"/>
              <w:bottom w:val="single" w:sz="6" w:space="0" w:color="auto"/>
              <w:right w:val="single" w:sz="6" w:space="0" w:color="auto"/>
            </w:tcBorders>
          </w:tcPr>
          <w:p w14:paraId="29F40C3F" w14:textId="77777777" w:rsidR="00D34D92" w:rsidRPr="004371CF" w:rsidRDefault="00D34D92" w:rsidP="00447C83">
            <w:pPr>
              <w:jc w:val="center"/>
              <w:rPr>
                <w:rFonts w:ascii="Arial Narrow" w:hAnsi="Arial Narrow"/>
              </w:rPr>
            </w:pPr>
            <w:r>
              <w:rPr>
                <w:rFonts w:ascii="Arial Narrow" w:hAnsi="Arial Narrow"/>
              </w:rPr>
              <w:t>4.1±1.8</w:t>
            </w:r>
          </w:p>
        </w:tc>
        <w:tc>
          <w:tcPr>
            <w:tcW w:w="1559" w:type="dxa"/>
            <w:tcBorders>
              <w:top w:val="single" w:sz="6" w:space="0" w:color="auto"/>
              <w:left w:val="single" w:sz="6" w:space="0" w:color="auto"/>
              <w:bottom w:val="single" w:sz="6" w:space="0" w:color="auto"/>
              <w:right w:val="single" w:sz="6" w:space="0" w:color="auto"/>
            </w:tcBorders>
          </w:tcPr>
          <w:p w14:paraId="1286890F" w14:textId="77777777" w:rsidR="00D34D92" w:rsidRPr="004371CF" w:rsidRDefault="00D34D92" w:rsidP="00447C83">
            <w:pPr>
              <w:jc w:val="center"/>
              <w:rPr>
                <w:rFonts w:ascii="Arial Narrow" w:hAnsi="Arial Narrow"/>
              </w:rPr>
            </w:pPr>
            <w:r>
              <w:rPr>
                <w:rFonts w:ascii="Arial Narrow" w:hAnsi="Arial Narrow"/>
              </w:rPr>
              <w:t>3.1±1.8</w:t>
            </w:r>
          </w:p>
        </w:tc>
        <w:tc>
          <w:tcPr>
            <w:tcW w:w="1701" w:type="dxa"/>
            <w:tcBorders>
              <w:top w:val="single" w:sz="6" w:space="0" w:color="auto"/>
              <w:left w:val="single" w:sz="6" w:space="0" w:color="auto"/>
              <w:bottom w:val="single" w:sz="6" w:space="0" w:color="auto"/>
              <w:right w:val="single" w:sz="6" w:space="0" w:color="auto"/>
            </w:tcBorders>
          </w:tcPr>
          <w:p w14:paraId="4E44B274" w14:textId="77777777" w:rsidR="00D34D92" w:rsidRPr="004371CF" w:rsidRDefault="00D34D92" w:rsidP="00361EF8">
            <w:pPr>
              <w:jc w:val="left"/>
              <w:rPr>
                <w:rFonts w:ascii="Arial Narrow" w:hAnsi="Arial Narrow"/>
              </w:rPr>
            </w:pPr>
            <w:r>
              <w:rPr>
                <w:rFonts w:ascii="Arial Narrow" w:hAnsi="Arial Narrow"/>
              </w:rPr>
              <w:t>&lt;0.001</w:t>
            </w:r>
          </w:p>
        </w:tc>
      </w:tr>
    </w:tbl>
    <w:p w14:paraId="6E51BCEF" w14:textId="77777777" w:rsidR="00846389" w:rsidRDefault="00E50E5E" w:rsidP="00E50E5E">
      <w:pPr>
        <w:pStyle w:val="Tablenotes0"/>
      </w:pPr>
      <w:r>
        <w:t>AQP4-Ab = aquaporin 4 antibodies; EDSS = expanded disability status scale; NR = not reported; SD = standard deviation</w:t>
      </w:r>
    </w:p>
    <w:p w14:paraId="50CA1C6D" w14:textId="77777777" w:rsidR="00FF5C89" w:rsidRDefault="00FF5C89" w:rsidP="00E50E5E">
      <w:pPr>
        <w:pStyle w:val="Tablenotes0"/>
      </w:pPr>
    </w:p>
    <w:p w14:paraId="74B16852" w14:textId="77777777" w:rsidR="00AE2816" w:rsidRDefault="00241E97" w:rsidP="00AE2816">
      <w:pPr>
        <w:pStyle w:val="Heading4"/>
      </w:pPr>
      <w:r>
        <w:t xml:space="preserve">Change in EDSS following </w:t>
      </w:r>
      <w:r w:rsidR="006B756E">
        <w:t>eculizumab (</w:t>
      </w:r>
      <w:r w:rsidR="00AE2816">
        <w:t>E</w:t>
      </w:r>
      <w:r w:rsidR="00544741">
        <w:t>CZ</w:t>
      </w:r>
      <w:r w:rsidR="006B756E">
        <w:t>)</w:t>
      </w:r>
      <w:r w:rsidR="00AE2816">
        <w:t xml:space="preserve"> treatment for NMOSD</w:t>
      </w:r>
    </w:p>
    <w:p w14:paraId="54FC131D" w14:textId="0C77822C" w:rsidR="00AE2816" w:rsidRDefault="00AE2816" w:rsidP="00AE2816">
      <w:r>
        <w:t>Authors Pittock et al reported on a double blind, placebo controlled time</w:t>
      </w:r>
      <w:r w:rsidR="0028303B">
        <w:t>-</w:t>
      </w:r>
      <w:r>
        <w:t>to</w:t>
      </w:r>
      <w:r w:rsidR="0028303B">
        <w:t>-</w:t>
      </w:r>
      <w:r>
        <w:t xml:space="preserve">event randomised controlled trial of </w:t>
      </w:r>
      <w:r w:rsidR="001F1374">
        <w:t>ECZ</w:t>
      </w:r>
      <w:r>
        <w:t xml:space="preserve"> in NMOSD patients </w:t>
      </w:r>
      <w:r w:rsidR="00156621">
        <w:fldChar w:fldCharType="begin"/>
      </w:r>
      <w:r w:rsidR="001E4BD1">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sidR="00156621">
        <w:fldChar w:fldCharType="separate"/>
      </w:r>
      <w:r w:rsidR="001E4BD1">
        <w:rPr>
          <w:noProof/>
        </w:rPr>
        <w:t>(Pittock et al. 2019)</w:t>
      </w:r>
      <w:r w:rsidR="00156621">
        <w:fldChar w:fldCharType="end"/>
      </w:r>
      <w:r>
        <w:t>. Diagnosis was according to 2006 or 2007 criteria</w:t>
      </w:r>
      <w:r w:rsidR="0064379B">
        <w:t xml:space="preserve">, and patients were randomised in a 2:1 ratio to </w:t>
      </w:r>
      <w:r w:rsidR="001F1374">
        <w:t>ECZ</w:t>
      </w:r>
      <w:r w:rsidR="0064379B">
        <w:t xml:space="preserve"> (n = 96) and placebo (n = 47) respectively</w:t>
      </w:r>
      <w:r>
        <w:t xml:space="preserve">. </w:t>
      </w:r>
      <w:r w:rsidR="00F8457B">
        <w:t xml:space="preserve">The trial design allowed for continuation until 24 patients had a relapse of NMOSD, however the trial was terminated by the sponsor after the 23 patients relapsed. Twenty of these relapses occurred in the placebo group. </w:t>
      </w:r>
      <w:r>
        <w:t xml:space="preserve">Disability was compared between </w:t>
      </w:r>
      <w:r w:rsidR="00A265CC">
        <w:t>ECZ</w:t>
      </w:r>
      <w:r>
        <w:t xml:space="preserve"> and placebo groups using the EDSS in a </w:t>
      </w:r>
      <w:r w:rsidR="00D17F23">
        <w:t>secondary endpoint</w:t>
      </w:r>
      <w:r>
        <w:t xml:space="preserve"> analysis</w:t>
      </w:r>
      <w:r w:rsidR="00D17F23">
        <w:t xml:space="preserve">. </w:t>
      </w:r>
      <w:r w:rsidR="00F8457B">
        <w:t>Disability</w:t>
      </w:r>
      <w:r w:rsidR="00D17F23">
        <w:t xml:space="preserve"> was reduced in both groups and the difference between them was not significant</w:t>
      </w:r>
      <w:r w:rsidR="00D4493D">
        <w:t xml:space="preserve"> (</w:t>
      </w:r>
      <w:r w:rsidR="00D4493D">
        <w:fldChar w:fldCharType="begin"/>
      </w:r>
      <w:r w:rsidR="00D4493D">
        <w:instrText xml:space="preserve"> REF _Ref32414366 \h </w:instrText>
      </w:r>
      <w:r w:rsidR="00D4493D">
        <w:fldChar w:fldCharType="separate"/>
      </w:r>
      <w:r w:rsidR="00305818">
        <w:t xml:space="preserve">Table </w:t>
      </w:r>
      <w:r w:rsidR="00305818">
        <w:rPr>
          <w:noProof/>
        </w:rPr>
        <w:t>53</w:t>
      </w:r>
      <w:r w:rsidR="00D4493D">
        <w:fldChar w:fldCharType="end"/>
      </w:r>
      <w:r w:rsidR="00D4493D">
        <w:t>)</w:t>
      </w:r>
      <w:r w:rsidR="00D17F23">
        <w:t>.</w:t>
      </w:r>
    </w:p>
    <w:p w14:paraId="65762D27" w14:textId="1F9D402B" w:rsidR="00AE2816" w:rsidRDefault="00AE2816" w:rsidP="00AE2816">
      <w:pPr>
        <w:pStyle w:val="Caption"/>
        <w:ind w:left="720" w:hanging="720"/>
      </w:pPr>
      <w:bookmarkStart w:id="318" w:name="_Ref32414366"/>
      <w:bookmarkStart w:id="319" w:name="_Toc39580834"/>
      <w:r>
        <w:t xml:space="preserve">Table </w:t>
      </w:r>
      <w:fldSimple w:instr=" SEQ Table \* ARABIC ">
        <w:r w:rsidR="00FA7BCD">
          <w:rPr>
            <w:noProof/>
          </w:rPr>
          <w:t>53</w:t>
        </w:r>
      </w:fldSimple>
      <w:bookmarkEnd w:id="318"/>
      <w:r>
        <w:rPr>
          <w:noProof/>
        </w:rPr>
        <w:tab/>
        <w:t xml:space="preserve">Change in EDSS </w:t>
      </w:r>
      <w:r w:rsidR="0064379B">
        <w:rPr>
          <w:noProof/>
        </w:rPr>
        <w:t>in</w:t>
      </w:r>
      <w:r>
        <w:rPr>
          <w:noProof/>
        </w:rPr>
        <w:t xml:space="preserve"> NMOSD patients randomized to </w:t>
      </w:r>
      <w:r w:rsidR="0029523D">
        <w:rPr>
          <w:noProof/>
        </w:rPr>
        <w:t xml:space="preserve">eculizumab </w:t>
      </w:r>
      <w:r>
        <w:rPr>
          <w:noProof/>
        </w:rPr>
        <w:t xml:space="preserve">or placebo </w:t>
      </w:r>
      <w:r w:rsidR="003B6F6C">
        <w:rPr>
          <w:noProof/>
        </w:rPr>
        <w:fldChar w:fldCharType="begin"/>
      </w:r>
      <w:r w:rsidR="001E4BD1">
        <w:rPr>
          <w:noProof/>
        </w:rPr>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sidR="003B6F6C">
        <w:rPr>
          <w:noProof/>
        </w:rPr>
        <w:fldChar w:fldCharType="separate"/>
      </w:r>
      <w:r w:rsidR="001E4BD1">
        <w:rPr>
          <w:noProof/>
        </w:rPr>
        <w:t>(Pittock et al. 2019)</w:t>
      </w:r>
      <w:bookmarkEnd w:id="319"/>
      <w:r w:rsidR="003B6F6C">
        <w:rPr>
          <w:noProof/>
        </w:rPr>
        <w:fldChar w:fldCharType="end"/>
      </w:r>
    </w:p>
    <w:tbl>
      <w:tblPr>
        <w:tblStyle w:val="TableGrid1"/>
        <w:tblW w:w="8072"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
      <w:tblGrid>
        <w:gridCol w:w="1835"/>
        <w:gridCol w:w="1985"/>
        <w:gridCol w:w="2126"/>
        <w:gridCol w:w="2126"/>
      </w:tblGrid>
      <w:tr w:rsidR="00AE2816" w:rsidRPr="001C45F4" w14:paraId="4C000C40" w14:textId="77777777" w:rsidTr="00AE2816">
        <w:trPr>
          <w:cnfStyle w:val="100000000000" w:firstRow="1" w:lastRow="0" w:firstColumn="0" w:lastColumn="0" w:oddVBand="0" w:evenVBand="0" w:oddHBand="0" w:evenHBand="0" w:firstRowFirstColumn="0" w:firstRowLastColumn="0" w:lastRowFirstColumn="0" w:lastRowLastColumn="0"/>
        </w:trPr>
        <w:tc>
          <w:tcPr>
            <w:tcW w:w="1835" w:type="dxa"/>
            <w:tcBorders>
              <w:top w:val="single" w:sz="6" w:space="0" w:color="auto"/>
              <w:left w:val="single" w:sz="6" w:space="0" w:color="auto"/>
              <w:bottom w:val="single" w:sz="6" w:space="0" w:color="auto"/>
              <w:right w:val="single" w:sz="6" w:space="0" w:color="auto"/>
            </w:tcBorders>
            <w:hideMark/>
          </w:tcPr>
          <w:p w14:paraId="01AF2769" w14:textId="77777777" w:rsidR="00AE2816" w:rsidRPr="001C45F4" w:rsidRDefault="00AE2816" w:rsidP="00605C49">
            <w:pPr>
              <w:jc w:val="left"/>
              <w:rPr>
                <w:rFonts w:ascii="Arial Narrow" w:hAnsi="Arial Narrow"/>
                <w:b/>
              </w:rPr>
            </w:pPr>
            <w:r>
              <w:rPr>
                <w:rFonts w:ascii="Arial Narrow" w:hAnsi="Arial Narrow"/>
                <w:b/>
              </w:rPr>
              <w:t>Timeline</w:t>
            </w:r>
          </w:p>
        </w:tc>
        <w:tc>
          <w:tcPr>
            <w:tcW w:w="1985" w:type="dxa"/>
            <w:tcBorders>
              <w:top w:val="single" w:sz="6" w:space="0" w:color="auto"/>
              <w:left w:val="single" w:sz="6" w:space="0" w:color="auto"/>
              <w:bottom w:val="single" w:sz="6" w:space="0" w:color="auto"/>
              <w:right w:val="single" w:sz="6" w:space="0" w:color="auto"/>
            </w:tcBorders>
            <w:hideMark/>
          </w:tcPr>
          <w:p w14:paraId="37878C62" w14:textId="77777777" w:rsidR="00AE2816" w:rsidRDefault="00AE2816" w:rsidP="00605C49">
            <w:pPr>
              <w:jc w:val="left"/>
              <w:rPr>
                <w:rFonts w:ascii="Arial Narrow" w:hAnsi="Arial Narrow"/>
                <w:b/>
              </w:rPr>
            </w:pPr>
            <w:r>
              <w:rPr>
                <w:rFonts w:ascii="Arial Narrow" w:hAnsi="Arial Narrow"/>
                <w:b/>
              </w:rPr>
              <w:t>E</w:t>
            </w:r>
            <w:r w:rsidR="006B756E">
              <w:rPr>
                <w:rFonts w:ascii="Arial Narrow" w:hAnsi="Arial Narrow"/>
                <w:b/>
              </w:rPr>
              <w:t>culizumab</w:t>
            </w:r>
            <w:r>
              <w:rPr>
                <w:rFonts w:ascii="Arial Narrow" w:hAnsi="Arial Narrow"/>
                <w:b/>
              </w:rPr>
              <w:t xml:space="preserve"> </w:t>
            </w:r>
          </w:p>
          <w:p w14:paraId="66217001" w14:textId="77777777" w:rsidR="00AE2816" w:rsidRDefault="0064379B" w:rsidP="00605C49">
            <w:pPr>
              <w:jc w:val="left"/>
              <w:rPr>
                <w:rFonts w:ascii="Arial Narrow" w:hAnsi="Arial Narrow"/>
                <w:b/>
              </w:rPr>
            </w:pPr>
            <w:r>
              <w:rPr>
                <w:rFonts w:ascii="Arial Narrow" w:hAnsi="Arial Narrow"/>
                <w:b/>
              </w:rPr>
              <w:t>N=96</w:t>
            </w:r>
          </w:p>
          <w:p w14:paraId="2BD2D67E" w14:textId="77777777" w:rsidR="00AE2816" w:rsidRPr="001C45F4" w:rsidRDefault="00AE2816" w:rsidP="00605C49">
            <w:pPr>
              <w:jc w:val="left"/>
              <w:rPr>
                <w:rFonts w:ascii="Arial Narrow" w:hAnsi="Arial Narrow"/>
                <w:b/>
              </w:rPr>
            </w:pPr>
            <w:r>
              <w:rPr>
                <w:rFonts w:ascii="Arial Narrow" w:hAnsi="Arial Narrow"/>
                <w:b/>
              </w:rPr>
              <w:t>(Mean±SD)</w:t>
            </w:r>
          </w:p>
        </w:tc>
        <w:tc>
          <w:tcPr>
            <w:tcW w:w="2126" w:type="dxa"/>
            <w:tcBorders>
              <w:top w:val="single" w:sz="6" w:space="0" w:color="auto"/>
              <w:left w:val="single" w:sz="6" w:space="0" w:color="auto"/>
              <w:bottom w:val="single" w:sz="6" w:space="0" w:color="auto"/>
              <w:right w:val="single" w:sz="6" w:space="0" w:color="auto"/>
            </w:tcBorders>
            <w:hideMark/>
          </w:tcPr>
          <w:p w14:paraId="527B6A7A" w14:textId="77777777" w:rsidR="00AE2816" w:rsidRDefault="00AE2816" w:rsidP="00605C49">
            <w:pPr>
              <w:jc w:val="left"/>
              <w:rPr>
                <w:rFonts w:ascii="Arial Narrow" w:hAnsi="Arial Narrow"/>
                <w:b/>
              </w:rPr>
            </w:pPr>
            <w:r>
              <w:rPr>
                <w:rFonts w:ascii="Arial Narrow" w:hAnsi="Arial Narrow"/>
                <w:b/>
              </w:rPr>
              <w:t xml:space="preserve">Placebo </w:t>
            </w:r>
          </w:p>
          <w:p w14:paraId="63B0A7D4" w14:textId="77777777" w:rsidR="00AE2816" w:rsidRDefault="00AE2816" w:rsidP="00605C49">
            <w:pPr>
              <w:jc w:val="left"/>
              <w:rPr>
                <w:rFonts w:ascii="Arial Narrow" w:hAnsi="Arial Narrow"/>
                <w:b/>
              </w:rPr>
            </w:pPr>
            <w:r>
              <w:rPr>
                <w:rFonts w:ascii="Arial Narrow" w:hAnsi="Arial Narrow"/>
                <w:b/>
              </w:rPr>
              <w:t>N=</w:t>
            </w:r>
            <w:r w:rsidR="0064379B">
              <w:rPr>
                <w:rFonts w:ascii="Arial Narrow" w:hAnsi="Arial Narrow"/>
                <w:b/>
              </w:rPr>
              <w:t>47</w:t>
            </w:r>
          </w:p>
          <w:p w14:paraId="0B23643C" w14:textId="77777777" w:rsidR="00AE2816" w:rsidRPr="001C45F4" w:rsidRDefault="00AE2816" w:rsidP="00605C49">
            <w:pPr>
              <w:jc w:val="left"/>
              <w:rPr>
                <w:rFonts w:ascii="Arial Narrow" w:hAnsi="Arial Narrow"/>
                <w:b/>
              </w:rPr>
            </w:pPr>
            <w:r>
              <w:rPr>
                <w:rFonts w:ascii="Arial Narrow" w:hAnsi="Arial Narrow"/>
                <w:b/>
              </w:rPr>
              <w:t>(Mean±SD)</w:t>
            </w:r>
          </w:p>
        </w:tc>
        <w:tc>
          <w:tcPr>
            <w:tcW w:w="2126" w:type="dxa"/>
            <w:tcBorders>
              <w:top w:val="single" w:sz="6" w:space="0" w:color="auto"/>
              <w:left w:val="single" w:sz="6" w:space="0" w:color="auto"/>
              <w:bottom w:val="single" w:sz="6" w:space="0" w:color="auto"/>
              <w:right w:val="single" w:sz="6" w:space="0" w:color="auto"/>
            </w:tcBorders>
            <w:hideMark/>
          </w:tcPr>
          <w:p w14:paraId="67C8FAB5" w14:textId="77777777" w:rsidR="00AE2816" w:rsidRDefault="00AE2816" w:rsidP="00605C49">
            <w:pPr>
              <w:jc w:val="left"/>
              <w:rPr>
                <w:rFonts w:ascii="Arial Narrow" w:hAnsi="Arial Narrow"/>
                <w:b/>
              </w:rPr>
            </w:pPr>
            <w:r w:rsidRPr="001C45F4">
              <w:rPr>
                <w:rFonts w:ascii="Arial Narrow" w:hAnsi="Arial Narrow"/>
                <w:b/>
              </w:rPr>
              <w:t>Difference</w:t>
            </w:r>
          </w:p>
          <w:p w14:paraId="2446D257" w14:textId="77777777" w:rsidR="00AE2816" w:rsidRPr="001C45F4" w:rsidRDefault="00D17F23" w:rsidP="00605C49">
            <w:pPr>
              <w:jc w:val="left"/>
              <w:rPr>
                <w:rFonts w:ascii="Arial Narrow" w:hAnsi="Arial Narrow"/>
                <w:b/>
              </w:rPr>
            </w:pPr>
            <w:r>
              <w:rPr>
                <w:rFonts w:ascii="Arial Narrow" w:hAnsi="Arial Narrow"/>
                <w:b/>
              </w:rPr>
              <w:t>HR</w:t>
            </w:r>
            <w:r w:rsidR="00AE2816">
              <w:rPr>
                <w:rFonts w:ascii="Arial Narrow" w:hAnsi="Arial Narrow"/>
                <w:b/>
              </w:rPr>
              <w:t xml:space="preserve"> (95%CI)</w:t>
            </w:r>
          </w:p>
        </w:tc>
      </w:tr>
      <w:tr w:rsidR="00AE2816" w:rsidRPr="004371CF" w14:paraId="676ED7DC" w14:textId="77777777" w:rsidTr="00AE2816">
        <w:tc>
          <w:tcPr>
            <w:tcW w:w="1835" w:type="dxa"/>
            <w:tcBorders>
              <w:top w:val="single" w:sz="6" w:space="0" w:color="auto"/>
              <w:left w:val="single" w:sz="6" w:space="0" w:color="auto"/>
              <w:bottom w:val="single" w:sz="6" w:space="0" w:color="auto"/>
              <w:right w:val="single" w:sz="6" w:space="0" w:color="auto"/>
            </w:tcBorders>
          </w:tcPr>
          <w:p w14:paraId="38E2D961" w14:textId="77777777" w:rsidR="00AE2816" w:rsidRPr="004371CF" w:rsidRDefault="00AE2816" w:rsidP="00605C49">
            <w:pPr>
              <w:jc w:val="left"/>
              <w:rPr>
                <w:rFonts w:ascii="Arial Narrow" w:hAnsi="Arial Narrow"/>
              </w:rPr>
            </w:pPr>
            <w:r>
              <w:rPr>
                <w:rFonts w:ascii="Arial Narrow" w:hAnsi="Arial Narrow"/>
              </w:rPr>
              <w:t>Baseline</w:t>
            </w:r>
          </w:p>
        </w:tc>
        <w:tc>
          <w:tcPr>
            <w:tcW w:w="1985" w:type="dxa"/>
            <w:tcBorders>
              <w:top w:val="single" w:sz="6" w:space="0" w:color="auto"/>
              <w:left w:val="single" w:sz="6" w:space="0" w:color="auto"/>
              <w:bottom w:val="single" w:sz="6" w:space="0" w:color="auto"/>
              <w:right w:val="single" w:sz="6" w:space="0" w:color="auto"/>
            </w:tcBorders>
          </w:tcPr>
          <w:p w14:paraId="71BA27D1" w14:textId="57C53402" w:rsidR="00AE2816" w:rsidRPr="004371CF" w:rsidRDefault="00447C83" w:rsidP="007373CA">
            <w:pPr>
              <w:jc w:val="left"/>
              <w:rPr>
                <w:rFonts w:ascii="Arial Narrow" w:hAnsi="Arial Narrow"/>
              </w:rPr>
            </w:pPr>
            <w:r>
              <w:rPr>
                <w:rFonts w:ascii="Arial Narrow" w:hAnsi="Arial Narrow"/>
              </w:rPr>
              <w:t>4.00 (1.0–</w:t>
            </w:r>
            <w:r w:rsidR="00AE2816">
              <w:rPr>
                <w:rFonts w:ascii="Arial Narrow" w:hAnsi="Arial Narrow"/>
              </w:rPr>
              <w:t>7.0)</w:t>
            </w:r>
          </w:p>
        </w:tc>
        <w:tc>
          <w:tcPr>
            <w:tcW w:w="2126" w:type="dxa"/>
            <w:tcBorders>
              <w:top w:val="single" w:sz="6" w:space="0" w:color="auto"/>
              <w:left w:val="single" w:sz="6" w:space="0" w:color="auto"/>
              <w:bottom w:val="single" w:sz="6" w:space="0" w:color="auto"/>
              <w:right w:val="single" w:sz="6" w:space="0" w:color="auto"/>
            </w:tcBorders>
          </w:tcPr>
          <w:p w14:paraId="0D966501" w14:textId="040D0EB2" w:rsidR="00AE2816" w:rsidRPr="004371CF" w:rsidRDefault="00AE2816" w:rsidP="007373CA">
            <w:pPr>
              <w:jc w:val="left"/>
              <w:rPr>
                <w:rFonts w:ascii="Arial Narrow" w:hAnsi="Arial Narrow"/>
              </w:rPr>
            </w:pPr>
            <w:r>
              <w:rPr>
                <w:rFonts w:ascii="Arial Narrow" w:hAnsi="Arial Narrow"/>
              </w:rPr>
              <w:t>4.00 (1.0</w:t>
            </w:r>
            <w:r w:rsidR="00447C83">
              <w:rPr>
                <w:rFonts w:ascii="Arial Narrow" w:hAnsi="Arial Narrow"/>
              </w:rPr>
              <w:t>–</w:t>
            </w:r>
            <w:r>
              <w:rPr>
                <w:rFonts w:ascii="Arial Narrow" w:hAnsi="Arial Narrow"/>
              </w:rPr>
              <w:t>6.5)</w:t>
            </w:r>
          </w:p>
        </w:tc>
        <w:tc>
          <w:tcPr>
            <w:tcW w:w="2126" w:type="dxa"/>
            <w:tcBorders>
              <w:top w:val="single" w:sz="6" w:space="0" w:color="auto"/>
              <w:left w:val="single" w:sz="6" w:space="0" w:color="auto"/>
              <w:bottom w:val="single" w:sz="6" w:space="0" w:color="auto"/>
              <w:right w:val="single" w:sz="6" w:space="0" w:color="auto"/>
            </w:tcBorders>
          </w:tcPr>
          <w:p w14:paraId="5DAD9660" w14:textId="77777777" w:rsidR="00AE2816" w:rsidRPr="004371CF" w:rsidRDefault="00AE2816" w:rsidP="007373CA">
            <w:pPr>
              <w:jc w:val="left"/>
              <w:rPr>
                <w:rFonts w:ascii="Arial Narrow" w:hAnsi="Arial Narrow"/>
              </w:rPr>
            </w:pPr>
            <w:r>
              <w:rPr>
                <w:rFonts w:ascii="Arial Narrow" w:hAnsi="Arial Narrow"/>
              </w:rPr>
              <w:t>NR</w:t>
            </w:r>
          </w:p>
        </w:tc>
      </w:tr>
      <w:tr w:rsidR="00AE2816" w:rsidRPr="004371CF" w14:paraId="52C2DF07" w14:textId="77777777" w:rsidTr="00AE2816">
        <w:tc>
          <w:tcPr>
            <w:tcW w:w="1835" w:type="dxa"/>
            <w:tcBorders>
              <w:top w:val="single" w:sz="6" w:space="0" w:color="auto"/>
              <w:left w:val="single" w:sz="6" w:space="0" w:color="auto"/>
              <w:bottom w:val="single" w:sz="6" w:space="0" w:color="auto"/>
              <w:right w:val="single" w:sz="6" w:space="0" w:color="auto"/>
            </w:tcBorders>
          </w:tcPr>
          <w:p w14:paraId="225BFDD9" w14:textId="77777777" w:rsidR="00AE2816" w:rsidRDefault="00AE2816" w:rsidP="00605C49">
            <w:pPr>
              <w:jc w:val="left"/>
              <w:rPr>
                <w:rFonts w:ascii="Arial Narrow" w:hAnsi="Arial Narrow"/>
              </w:rPr>
            </w:pPr>
            <w:r>
              <w:rPr>
                <w:rFonts w:ascii="Arial Narrow" w:hAnsi="Arial Narrow"/>
              </w:rPr>
              <w:t>Follow-up</w:t>
            </w:r>
          </w:p>
        </w:tc>
        <w:tc>
          <w:tcPr>
            <w:tcW w:w="1985" w:type="dxa"/>
            <w:tcBorders>
              <w:top w:val="single" w:sz="6" w:space="0" w:color="auto"/>
              <w:left w:val="single" w:sz="6" w:space="0" w:color="auto"/>
              <w:bottom w:val="single" w:sz="6" w:space="0" w:color="auto"/>
              <w:right w:val="single" w:sz="6" w:space="0" w:color="auto"/>
            </w:tcBorders>
          </w:tcPr>
          <w:p w14:paraId="3E262907" w14:textId="6750D7AA" w:rsidR="00AE2816" w:rsidRDefault="00447C83" w:rsidP="007373CA">
            <w:pPr>
              <w:jc w:val="left"/>
              <w:rPr>
                <w:rFonts w:ascii="Arial Narrow" w:hAnsi="Arial Narrow"/>
              </w:rPr>
            </w:pPr>
            <w:r>
              <w:rPr>
                <w:rFonts w:ascii="Arial Narrow" w:hAnsi="Arial Narrow"/>
              </w:rPr>
              <w:t>–</w:t>
            </w:r>
            <w:r w:rsidR="00AE2816">
              <w:rPr>
                <w:rFonts w:ascii="Arial Narrow" w:hAnsi="Arial Narrow"/>
              </w:rPr>
              <w:t>0.18±0.81</w:t>
            </w:r>
          </w:p>
        </w:tc>
        <w:tc>
          <w:tcPr>
            <w:tcW w:w="2126" w:type="dxa"/>
            <w:tcBorders>
              <w:top w:val="single" w:sz="6" w:space="0" w:color="auto"/>
              <w:left w:val="single" w:sz="6" w:space="0" w:color="auto"/>
              <w:bottom w:val="single" w:sz="6" w:space="0" w:color="auto"/>
              <w:right w:val="single" w:sz="6" w:space="0" w:color="auto"/>
            </w:tcBorders>
          </w:tcPr>
          <w:p w14:paraId="5900B80D" w14:textId="77777777" w:rsidR="00AE2816" w:rsidRDefault="00AE2816" w:rsidP="007373CA">
            <w:pPr>
              <w:jc w:val="left"/>
              <w:rPr>
                <w:rFonts w:ascii="Arial Narrow" w:hAnsi="Arial Narrow"/>
              </w:rPr>
            </w:pPr>
            <w:r>
              <w:rPr>
                <w:rFonts w:ascii="Arial Narrow" w:hAnsi="Arial Narrow"/>
              </w:rPr>
              <w:t>0.12±0.95</w:t>
            </w:r>
          </w:p>
        </w:tc>
        <w:tc>
          <w:tcPr>
            <w:tcW w:w="2126" w:type="dxa"/>
            <w:tcBorders>
              <w:top w:val="single" w:sz="6" w:space="0" w:color="auto"/>
              <w:left w:val="single" w:sz="6" w:space="0" w:color="auto"/>
              <w:bottom w:val="single" w:sz="6" w:space="0" w:color="auto"/>
              <w:right w:val="single" w:sz="6" w:space="0" w:color="auto"/>
            </w:tcBorders>
          </w:tcPr>
          <w:p w14:paraId="0BA1A1A5" w14:textId="78E7BB1A" w:rsidR="00AE2816" w:rsidRDefault="00447C83" w:rsidP="007373CA">
            <w:pPr>
              <w:jc w:val="left"/>
              <w:rPr>
                <w:rFonts w:ascii="Arial Narrow" w:hAnsi="Arial Narrow"/>
              </w:rPr>
            </w:pPr>
            <w:r>
              <w:rPr>
                <w:rFonts w:ascii="Arial Narrow" w:hAnsi="Arial Narrow"/>
              </w:rPr>
              <w:t>–0.29 (–</w:t>
            </w:r>
            <w:r w:rsidR="00AE2816">
              <w:rPr>
                <w:rFonts w:ascii="Arial Narrow" w:hAnsi="Arial Narrow"/>
              </w:rPr>
              <w:t>0.59 to 0.01)</w:t>
            </w:r>
          </w:p>
        </w:tc>
      </w:tr>
    </w:tbl>
    <w:p w14:paraId="18F2F034" w14:textId="77777777" w:rsidR="00AE2816" w:rsidRDefault="00751142" w:rsidP="00D17F23">
      <w:pPr>
        <w:pStyle w:val="Tablenotes0"/>
      </w:pPr>
      <w:r>
        <w:t xml:space="preserve">EDSS = expanded disability status scale; </w:t>
      </w:r>
      <w:r w:rsidR="00D17F23">
        <w:t>HR = hazard ratio; NMOSD = neuromyelitis optica spectrum disorder</w:t>
      </w:r>
      <w:r w:rsidR="009A7685">
        <w:t>s</w:t>
      </w:r>
      <w:r w:rsidR="00D17F23">
        <w:t>; SD = standard deviation</w:t>
      </w:r>
    </w:p>
    <w:p w14:paraId="3AF5BA81" w14:textId="77777777" w:rsidR="00FF5C89" w:rsidRDefault="00FF5C89" w:rsidP="00D17F23">
      <w:pPr>
        <w:pStyle w:val="Tablenotes0"/>
      </w:pPr>
    </w:p>
    <w:p w14:paraId="0000C8E0" w14:textId="77777777" w:rsidR="00F54237" w:rsidRDefault="005B095B" w:rsidP="00F54237">
      <w:pPr>
        <w:pStyle w:val="Heading4"/>
      </w:pPr>
      <w:r>
        <w:t xml:space="preserve">Change in ARR following </w:t>
      </w:r>
      <w:r w:rsidR="00096000">
        <w:t>rituximab (</w:t>
      </w:r>
      <w:r w:rsidR="00CD71F8">
        <w:t>RTX</w:t>
      </w:r>
      <w:r w:rsidR="00096000">
        <w:t>)</w:t>
      </w:r>
      <w:r w:rsidR="00F54237">
        <w:t xml:space="preserve"> treatment for NMOSD</w:t>
      </w:r>
    </w:p>
    <w:p w14:paraId="3926DCF7" w14:textId="65C4F4B5" w:rsidR="00C4651F" w:rsidRDefault="00C4651F" w:rsidP="00C4651F">
      <w:r>
        <w:t xml:space="preserve">A </w:t>
      </w:r>
      <w:r w:rsidR="00180536">
        <w:t>SR</w:t>
      </w:r>
      <w:r w:rsidR="00F84E0E">
        <w:t xml:space="preserve"> by Gao et al</w:t>
      </w:r>
      <w:r>
        <w:t xml:space="preserve"> </w:t>
      </w:r>
      <w:r w:rsidR="003E265F">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 </w:instrText>
      </w:r>
      <w:r w:rsidR="00511EDB">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EN.CITE.DATA </w:instrText>
      </w:r>
      <w:r w:rsidR="00511EDB">
        <w:fldChar w:fldCharType="end"/>
      </w:r>
      <w:r w:rsidR="003E265F">
        <w:fldChar w:fldCharType="separate"/>
      </w:r>
      <w:r w:rsidR="00705441">
        <w:rPr>
          <w:noProof/>
        </w:rPr>
        <w:t>(</w:t>
      </w:r>
      <w:r w:rsidR="00511EDB">
        <w:rPr>
          <w:noProof/>
        </w:rPr>
        <w:t>2019)</w:t>
      </w:r>
      <w:r w:rsidR="003E265F">
        <w:fldChar w:fldCharType="end"/>
      </w:r>
      <w:r>
        <w:t xml:space="preserve"> performed a review of studies assessing </w:t>
      </w:r>
      <w:r w:rsidR="00681881">
        <w:t>RTX</w:t>
      </w:r>
      <w:r>
        <w:t xml:space="preserve"> effectiveness in NMOSD patients. Studies were included if they were published in English, and patients were not limited in age, gender, ethnicity or previous treatments. Case studies with one or two patients, reviews and meta-analyses excluded. Before and after treatment EDSS</w:t>
      </w:r>
      <w:r w:rsidR="00F5331F">
        <w:t xml:space="preserve"> (reported above)</w:t>
      </w:r>
      <w:r>
        <w:t xml:space="preserve"> and ARR data were extracted from the included 26 articles. The majority of articles were retrospective cohorts, one each was </w:t>
      </w:r>
      <w:r w:rsidR="00E717D2">
        <w:t>a case series</w:t>
      </w:r>
      <w:r>
        <w:t xml:space="preserve">, and case controlled in design, three were prospective and one was a randomised controlled trial. </w:t>
      </w:r>
    </w:p>
    <w:p w14:paraId="5A1AD136" w14:textId="197D7A98" w:rsidR="00952F14" w:rsidRDefault="00F84E0E" w:rsidP="004B21EF">
      <w:r>
        <w:t xml:space="preserve">An </w:t>
      </w:r>
      <w:r w:rsidR="00A74D1C">
        <w:t>analysis</w:t>
      </w:r>
      <w:r>
        <w:t xml:space="preserve"> of 26 articles reporting on the </w:t>
      </w:r>
      <w:r w:rsidR="00BD3225">
        <w:t xml:space="preserve">ARR ratio change, </w:t>
      </w:r>
      <w:r w:rsidR="00F4305D">
        <w:t>RTX</w:t>
      </w:r>
      <w:r w:rsidR="00BD3225">
        <w:t xml:space="preserve"> was fo</w:t>
      </w:r>
      <w:r w:rsidR="004B21EF">
        <w:t>und to improve the relapse rate</w:t>
      </w:r>
      <w:r w:rsidR="00BD3225">
        <w:t xml:space="preserve">. In the random effects model the mean difference in ARR ratio after </w:t>
      </w:r>
      <w:r w:rsidR="002003AF">
        <w:t>RTX</w:t>
      </w:r>
      <w:r w:rsidR="00BD3225">
        <w:t xml:space="preserve"> therapy was -1.56 (95%CI -1.82, -1.29). Heterogeneity was high (I</w:t>
      </w:r>
      <w:r w:rsidR="00BD3225">
        <w:rPr>
          <w:vertAlign w:val="superscript"/>
        </w:rPr>
        <w:t>2</w:t>
      </w:r>
      <w:r w:rsidR="00BD3225">
        <w:t xml:space="preserve"> = 81.3%; p = 0.000) but in sensitivity analyses no study was found to individually affect heterogeneity</w:t>
      </w:r>
      <w:r w:rsidR="00F5331F">
        <w:t>, and all studies favoured RTX</w:t>
      </w:r>
      <w:r w:rsidR="00BD3225">
        <w:t xml:space="preserve">. As with change in EDSS reported in this SR, there was no correlation with change in ARR with age of onset, duration of disease, </w:t>
      </w:r>
      <w:r w:rsidR="00BD3225">
        <w:lastRenderedPageBreak/>
        <w:t>follow-up time, dose of infusion and AQP4-Ab sero-status. The authors also reported that</w:t>
      </w:r>
      <w:r>
        <w:t xml:space="preserve"> 330 of 528 patients receiving </w:t>
      </w:r>
      <w:r w:rsidR="002222E6">
        <w:t>RTX</w:t>
      </w:r>
      <w:r>
        <w:t xml:space="preserve"> (62.9%) reached a relapse free state.</w:t>
      </w:r>
      <w:r w:rsidR="00BD3225">
        <w:t xml:space="preserve"> </w:t>
      </w:r>
    </w:p>
    <w:p w14:paraId="7CBEF4AE" w14:textId="4F9E3460" w:rsidR="00204A26" w:rsidRDefault="00204A26" w:rsidP="00204A26">
      <w:r>
        <w:t xml:space="preserve">Two </w:t>
      </w:r>
      <w:r w:rsidR="00DF4652">
        <w:t xml:space="preserve">recent </w:t>
      </w:r>
      <w:r>
        <w:t>studies not included in the SR compared ARR</w:t>
      </w:r>
      <w:r w:rsidR="00BD3225">
        <w:t>s</w:t>
      </w:r>
      <w:r>
        <w:t xml:space="preserve"> at baseline and last follow-up in NM</w:t>
      </w:r>
      <w:r w:rsidR="00B37383">
        <w:t>O</w:t>
      </w:r>
      <w:r>
        <w:t>SD patients treated with R</w:t>
      </w:r>
      <w:r w:rsidR="00B37383">
        <w:t>TX</w:t>
      </w:r>
      <w:r>
        <w:t xml:space="preserve"> </w:t>
      </w:r>
      <w:r w:rsidR="00156621">
        <w:fldChar w:fldCharType="begin">
          <w:fldData xml:space="preserve">PEVuZE5vdGU+PENpdGU+PEF1dGhvcj5Bc2h0YXJpPC9BdXRob3I+PFllYXI+MjAxOTwvWWVhcj48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</w:fldData>
        </w:fldChar>
      </w:r>
      <w:r w:rsidR="00D96694">
        <w:instrText xml:space="preserve"> ADDIN EN.CITE </w:instrText>
      </w:r>
      <w:r w:rsidR="00D96694">
        <w:fldChar w:fldCharType="begin">
          <w:fldData xml:space="preserve">PEVuZE5vdGU+PENpdGU+PEF1dGhvcj5Bc2h0YXJpPC9BdXRob3I+PFllYXI+MjAxOTwvWWVhcj48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</w:fldData>
        </w:fldChar>
      </w:r>
      <w:r w:rsidR="00D96694">
        <w:instrText xml:space="preserve"> ADDIN EN.CITE.DATA </w:instrText>
      </w:r>
      <w:r w:rsidR="00D96694">
        <w:fldChar w:fldCharType="end"/>
      </w:r>
      <w:r w:rsidR="00156621">
        <w:fldChar w:fldCharType="separate"/>
      </w:r>
      <w:r w:rsidR="00156621">
        <w:rPr>
          <w:noProof/>
        </w:rPr>
        <w:t>(Ashtari et al. 2019; Shaygannejad et al. 2019)</w:t>
      </w:r>
      <w:r w:rsidR="00156621">
        <w:fldChar w:fldCharType="end"/>
      </w:r>
      <w:r>
        <w:t xml:space="preserve">. </w:t>
      </w:r>
      <w:r w:rsidR="00BD4DEE">
        <w:t xml:space="preserve">Patients were identified in the same Iranian hospital in </w:t>
      </w:r>
      <w:r>
        <w:t xml:space="preserve">both studies, </w:t>
      </w:r>
      <w:r w:rsidR="00BD4DEE">
        <w:t xml:space="preserve">however patients were included from different time periods. </w:t>
      </w:r>
      <w:r>
        <w:t xml:space="preserve">NMOSD diagnosis was based on the 2015 IPND criteria. </w:t>
      </w:r>
    </w:p>
    <w:p w14:paraId="1FD82B2B" w14:textId="42FCE451" w:rsidR="00A15B1A" w:rsidRPr="00A15B1A" w:rsidRDefault="00BD4DEE" w:rsidP="00A15B1A">
      <w:r>
        <w:t>There was a consistent and statistically significant reduction in ARR from baseline following treatment in both study groups (</w:t>
      </w:r>
      <w:r w:rsidR="004412CF">
        <w:t xml:space="preserve">MedCalc: </w:t>
      </w:r>
      <w:r>
        <w:t xml:space="preserve">p&lt;0.0001 for both studies). </w:t>
      </w:r>
      <w:r w:rsidR="00204A26">
        <w:t xml:space="preserve">Ashtari et al conducted a sub-analysis according to AQP4-Ab status (54% were AQP4-Ab positive) </w:t>
      </w:r>
      <w:r w:rsidR="004412CF">
        <w:t>that provided a similar result to the whole group analysis.</w:t>
      </w:r>
      <w:r w:rsidR="00204A26">
        <w:t xml:space="preserve"> Shaygannejad</w:t>
      </w:r>
      <w:r w:rsidR="004412CF">
        <w:t xml:space="preserve"> et al</w:t>
      </w:r>
      <w:r w:rsidR="00204A26">
        <w:t xml:space="preserve"> also stratified ARR results according to AQP4-Ab status and found no difference between groups </w:t>
      </w:r>
      <w:r w:rsidR="00C06709">
        <w:t xml:space="preserve">although </w:t>
      </w:r>
      <w:r w:rsidR="00204A26">
        <w:t xml:space="preserve">data </w:t>
      </w:r>
      <w:r w:rsidR="00F5331F">
        <w:t xml:space="preserve">were </w:t>
      </w:r>
      <w:r w:rsidR="00204A26">
        <w:t>not published</w:t>
      </w:r>
      <w:r w:rsidR="00C06709">
        <w:t xml:space="preserve"> for this outcome</w:t>
      </w:r>
      <w:r w:rsidR="00205D92">
        <w:t>, however ARR data w</w:t>
      </w:r>
      <w:r w:rsidR="008F2AFA">
        <w:t>ere</w:t>
      </w:r>
      <w:r w:rsidR="00205D92">
        <w:t xml:space="preserve"> only reported for the whole patient group</w:t>
      </w:r>
      <w:r w:rsidR="00204A26">
        <w:t>.</w:t>
      </w:r>
      <w:r w:rsidR="004412CF" w:rsidRPr="004412CF">
        <w:t xml:space="preserve"> </w:t>
      </w:r>
      <w:r w:rsidR="004412CF">
        <w:t xml:space="preserve">Published results can be seen in </w:t>
      </w:r>
      <w:r w:rsidR="004412CF">
        <w:fldChar w:fldCharType="begin"/>
      </w:r>
      <w:r w:rsidR="004412CF">
        <w:instrText xml:space="preserve"> REF _Ref32415868 \h </w:instrText>
      </w:r>
      <w:r w:rsidR="004412CF">
        <w:fldChar w:fldCharType="separate"/>
      </w:r>
      <w:r w:rsidR="005475B9">
        <w:t xml:space="preserve">Table </w:t>
      </w:r>
      <w:r w:rsidR="005475B9">
        <w:rPr>
          <w:noProof/>
        </w:rPr>
        <w:t>54</w:t>
      </w:r>
      <w:r w:rsidR="004412CF">
        <w:fldChar w:fldCharType="end"/>
      </w:r>
      <w:r w:rsidR="004412CF">
        <w:t>.</w:t>
      </w:r>
      <w:bookmarkStart w:id="320" w:name="_Ref32415868"/>
      <w:bookmarkStart w:id="321" w:name="_Toc39580835"/>
      <w:r w:rsidR="00A15B1A">
        <w:br w:type="page"/>
      </w:r>
    </w:p>
    <w:p w14:paraId="3F2378CF" w14:textId="080AC299" w:rsidR="00D34D92" w:rsidRDefault="00D34D92" w:rsidP="005475B9">
      <w:pPr>
        <w:pStyle w:val="Caption"/>
        <w:keepLines/>
      </w:pPr>
      <w:r>
        <w:lastRenderedPageBreak/>
        <w:t xml:space="preserve">Table </w:t>
      </w:r>
      <w:fldSimple w:instr=" SEQ Table \* ARABIC ">
        <w:r w:rsidR="00FA7BCD">
          <w:rPr>
            <w:noProof/>
          </w:rPr>
          <w:t>54</w:t>
        </w:r>
      </w:fldSimple>
      <w:bookmarkEnd w:id="320"/>
      <w:r>
        <w:rPr>
          <w:noProof/>
        </w:rPr>
        <w:tab/>
        <w:t xml:space="preserve">Change in ARR </w:t>
      </w:r>
      <w:r w:rsidR="00204A26">
        <w:rPr>
          <w:noProof/>
        </w:rPr>
        <w:t xml:space="preserve">from before to after </w:t>
      </w:r>
      <w:r w:rsidR="00B06BE0">
        <w:rPr>
          <w:noProof/>
        </w:rPr>
        <w:t>rituximab (</w:t>
      </w:r>
      <w:r w:rsidR="00B30ED0">
        <w:rPr>
          <w:noProof/>
        </w:rPr>
        <w:t>RTX</w:t>
      </w:r>
      <w:r w:rsidR="00B06BE0">
        <w:rPr>
          <w:noProof/>
        </w:rPr>
        <w:t>)</w:t>
      </w:r>
      <w:r w:rsidR="00204A26">
        <w:rPr>
          <w:noProof/>
        </w:rPr>
        <w:t xml:space="preserve"> treatment </w:t>
      </w:r>
      <w:r>
        <w:rPr>
          <w:noProof/>
        </w:rPr>
        <w:t>reported in recent primary studies</w:t>
      </w:r>
      <w:bookmarkEnd w:id="321"/>
      <w:r>
        <w:rPr>
          <w:noProof/>
        </w:rPr>
        <w:t xml:space="preserve"> </w:t>
      </w:r>
    </w:p>
    <w:tbl>
      <w:tblPr>
        <w:tblStyle w:val="TableGrid1"/>
        <w:tblW w:w="9064"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54 Change in ARR from before to after rituximab (RTX) treatment reported in recent primary studies "/>
        <w:tblDescription w:val="Improvement in ARR in NMOSD patients treated with rituximab reported in recent primary studies"/>
      </w:tblPr>
      <w:tblGrid>
        <w:gridCol w:w="1268"/>
        <w:gridCol w:w="1985"/>
        <w:gridCol w:w="1842"/>
        <w:gridCol w:w="1843"/>
        <w:gridCol w:w="2126"/>
      </w:tblGrid>
      <w:tr w:rsidR="00D34D92" w:rsidRPr="001C45F4" w14:paraId="1F0E81A7" w14:textId="77777777" w:rsidTr="00CF2DB3">
        <w:trPr>
          <w:cnfStyle w:val="100000000000" w:firstRow="1" w:lastRow="0" w:firstColumn="0" w:lastColumn="0" w:oddVBand="0" w:evenVBand="0" w:oddHBand="0" w:evenHBand="0" w:firstRowFirstColumn="0" w:firstRowLastColumn="0" w:lastRowFirstColumn="0" w:lastRowLastColumn="0"/>
        </w:trPr>
        <w:tc>
          <w:tcPr>
            <w:tcW w:w="1268" w:type="dxa"/>
            <w:tcBorders>
              <w:top w:val="single" w:sz="6" w:space="0" w:color="auto"/>
              <w:left w:val="single" w:sz="6" w:space="0" w:color="auto"/>
              <w:bottom w:val="single" w:sz="6" w:space="0" w:color="auto"/>
              <w:right w:val="single" w:sz="6" w:space="0" w:color="auto"/>
            </w:tcBorders>
            <w:hideMark/>
          </w:tcPr>
          <w:p w14:paraId="4EDE602F" w14:textId="77777777" w:rsidR="00D34D92" w:rsidRPr="001C45F4" w:rsidRDefault="00D34D92" w:rsidP="005475B9">
            <w:pPr>
              <w:keepNext/>
              <w:keepLines/>
              <w:jc w:val="left"/>
              <w:rPr>
                <w:rFonts w:ascii="Arial Narrow" w:hAnsi="Arial Narrow"/>
                <w:b/>
              </w:rPr>
            </w:pPr>
            <w:r w:rsidRPr="001C45F4">
              <w:rPr>
                <w:rFonts w:ascii="Arial Narrow" w:hAnsi="Arial Narrow"/>
                <w:b/>
              </w:rPr>
              <w:t>Study</w:t>
            </w:r>
          </w:p>
        </w:tc>
        <w:tc>
          <w:tcPr>
            <w:tcW w:w="1985" w:type="dxa"/>
            <w:tcBorders>
              <w:top w:val="single" w:sz="6" w:space="0" w:color="auto"/>
              <w:left w:val="single" w:sz="6" w:space="0" w:color="auto"/>
              <w:bottom w:val="single" w:sz="6" w:space="0" w:color="auto"/>
              <w:right w:val="single" w:sz="6" w:space="0" w:color="auto"/>
            </w:tcBorders>
            <w:hideMark/>
          </w:tcPr>
          <w:p w14:paraId="441CD3C0" w14:textId="77777777" w:rsidR="00D34D92" w:rsidRDefault="00D34D92" w:rsidP="005475B9">
            <w:pPr>
              <w:keepNext/>
              <w:keepLines/>
              <w:jc w:val="left"/>
              <w:rPr>
                <w:rFonts w:ascii="Arial Narrow" w:hAnsi="Arial Narrow"/>
                <w:b/>
              </w:rPr>
            </w:pPr>
            <w:r>
              <w:rPr>
                <w:rFonts w:ascii="Arial Narrow" w:hAnsi="Arial Narrow"/>
                <w:b/>
              </w:rPr>
              <w:t>N patients</w:t>
            </w:r>
          </w:p>
          <w:p w14:paraId="20F43D13" w14:textId="77777777" w:rsidR="00D34D92" w:rsidRPr="001C45F4" w:rsidRDefault="00D34D92" w:rsidP="005475B9">
            <w:pPr>
              <w:keepNext/>
              <w:keepLines/>
              <w:jc w:val="left"/>
              <w:rPr>
                <w:rFonts w:ascii="Arial Narrow" w:hAnsi="Arial Narrow"/>
                <w:b/>
              </w:rPr>
            </w:pPr>
            <w:r>
              <w:rPr>
                <w:rFonts w:ascii="Arial Narrow" w:hAnsi="Arial Narrow"/>
                <w:b/>
              </w:rPr>
              <w:t>Follow-up</w:t>
            </w:r>
          </w:p>
        </w:tc>
        <w:tc>
          <w:tcPr>
            <w:tcW w:w="1842" w:type="dxa"/>
            <w:tcBorders>
              <w:top w:val="single" w:sz="6" w:space="0" w:color="auto"/>
              <w:left w:val="single" w:sz="6" w:space="0" w:color="auto"/>
              <w:bottom w:val="single" w:sz="6" w:space="0" w:color="auto"/>
              <w:right w:val="single" w:sz="6" w:space="0" w:color="auto"/>
            </w:tcBorders>
            <w:hideMark/>
          </w:tcPr>
          <w:p w14:paraId="54D7D0F3" w14:textId="77777777" w:rsidR="00D34D92" w:rsidRDefault="00D34D92" w:rsidP="005475B9">
            <w:pPr>
              <w:keepNext/>
              <w:keepLines/>
              <w:jc w:val="left"/>
              <w:rPr>
                <w:rFonts w:ascii="Arial Narrow" w:hAnsi="Arial Narrow"/>
                <w:b/>
              </w:rPr>
            </w:pPr>
            <w:r>
              <w:rPr>
                <w:rFonts w:ascii="Arial Narrow" w:hAnsi="Arial Narrow"/>
                <w:b/>
              </w:rPr>
              <w:t>Baseline ARR</w:t>
            </w:r>
          </w:p>
          <w:p w14:paraId="7677EC51" w14:textId="77777777" w:rsidR="00D34D92" w:rsidRPr="001C45F4" w:rsidRDefault="00D34D92" w:rsidP="005475B9">
            <w:pPr>
              <w:keepNext/>
              <w:keepLines/>
              <w:jc w:val="left"/>
              <w:rPr>
                <w:rFonts w:ascii="Arial Narrow" w:hAnsi="Arial Narrow"/>
                <w:b/>
              </w:rPr>
            </w:pPr>
            <w:r>
              <w:rPr>
                <w:rFonts w:ascii="Arial Narrow" w:hAnsi="Arial Narrow"/>
                <w:b/>
              </w:rPr>
              <w:t>(Mean±SD)</w:t>
            </w:r>
          </w:p>
        </w:tc>
        <w:tc>
          <w:tcPr>
            <w:tcW w:w="1843" w:type="dxa"/>
            <w:tcBorders>
              <w:top w:val="single" w:sz="6" w:space="0" w:color="auto"/>
              <w:left w:val="single" w:sz="6" w:space="0" w:color="auto"/>
              <w:bottom w:val="single" w:sz="6" w:space="0" w:color="auto"/>
              <w:right w:val="single" w:sz="6" w:space="0" w:color="auto"/>
            </w:tcBorders>
            <w:hideMark/>
          </w:tcPr>
          <w:p w14:paraId="71B1CACC" w14:textId="77777777" w:rsidR="00D34D92" w:rsidRDefault="00D34D92" w:rsidP="005475B9">
            <w:pPr>
              <w:keepNext/>
              <w:keepLines/>
              <w:jc w:val="left"/>
              <w:rPr>
                <w:rFonts w:ascii="Arial Narrow" w:hAnsi="Arial Narrow"/>
                <w:b/>
              </w:rPr>
            </w:pPr>
            <w:r>
              <w:rPr>
                <w:rFonts w:ascii="Arial Narrow" w:hAnsi="Arial Narrow"/>
                <w:b/>
              </w:rPr>
              <w:t>Follow-up ARR</w:t>
            </w:r>
          </w:p>
          <w:p w14:paraId="4CBDD930" w14:textId="77777777" w:rsidR="00D34D92" w:rsidRPr="001C45F4" w:rsidRDefault="00D34D92" w:rsidP="005475B9">
            <w:pPr>
              <w:keepNext/>
              <w:keepLines/>
              <w:jc w:val="left"/>
              <w:rPr>
                <w:rFonts w:ascii="Arial Narrow" w:hAnsi="Arial Narrow"/>
                <w:b/>
              </w:rPr>
            </w:pPr>
            <w:r>
              <w:rPr>
                <w:rFonts w:ascii="Arial Narrow" w:hAnsi="Arial Narrow"/>
                <w:b/>
              </w:rPr>
              <w:t>(Mean±SD)</w:t>
            </w:r>
          </w:p>
        </w:tc>
        <w:tc>
          <w:tcPr>
            <w:tcW w:w="2126" w:type="dxa"/>
            <w:tcBorders>
              <w:top w:val="single" w:sz="6" w:space="0" w:color="auto"/>
              <w:left w:val="single" w:sz="6" w:space="0" w:color="auto"/>
              <w:bottom w:val="single" w:sz="6" w:space="0" w:color="auto"/>
              <w:right w:val="single" w:sz="6" w:space="0" w:color="auto"/>
            </w:tcBorders>
            <w:hideMark/>
          </w:tcPr>
          <w:p w14:paraId="2A41E1A0" w14:textId="77777777" w:rsidR="00D34D92" w:rsidRDefault="00D34D92" w:rsidP="005475B9">
            <w:pPr>
              <w:keepNext/>
              <w:keepLines/>
              <w:jc w:val="left"/>
              <w:rPr>
                <w:rFonts w:ascii="Arial Narrow" w:hAnsi="Arial Narrow"/>
                <w:b/>
              </w:rPr>
            </w:pPr>
            <w:r w:rsidRPr="001C45F4">
              <w:rPr>
                <w:rFonts w:ascii="Arial Narrow" w:hAnsi="Arial Narrow"/>
                <w:b/>
              </w:rPr>
              <w:t>Difference</w:t>
            </w:r>
          </w:p>
          <w:p w14:paraId="3C799323" w14:textId="77777777" w:rsidR="00D34D92" w:rsidRPr="001C45F4" w:rsidRDefault="00D34D92" w:rsidP="005475B9">
            <w:pPr>
              <w:keepNext/>
              <w:keepLines/>
              <w:jc w:val="left"/>
              <w:rPr>
                <w:rFonts w:ascii="Arial Narrow" w:hAnsi="Arial Narrow"/>
                <w:b/>
              </w:rPr>
            </w:pPr>
            <w:r>
              <w:rPr>
                <w:rFonts w:ascii="Arial Narrow" w:hAnsi="Arial Narrow"/>
                <w:b/>
              </w:rPr>
              <w:t>P value</w:t>
            </w:r>
          </w:p>
        </w:tc>
      </w:tr>
      <w:tr w:rsidR="00D34D92" w:rsidRPr="004371CF" w14:paraId="69A1FF03" w14:textId="77777777" w:rsidTr="00CF2DB3">
        <w:tc>
          <w:tcPr>
            <w:tcW w:w="1268" w:type="dxa"/>
            <w:vMerge w:val="restart"/>
            <w:tcBorders>
              <w:top w:val="single" w:sz="6" w:space="0" w:color="auto"/>
              <w:left w:val="single" w:sz="6" w:space="0" w:color="auto"/>
              <w:right w:val="single" w:sz="6" w:space="0" w:color="auto"/>
            </w:tcBorders>
            <w:hideMark/>
          </w:tcPr>
          <w:p w14:paraId="0A90B8A4" w14:textId="58B9F7F6" w:rsidR="00D34D92" w:rsidRPr="004371CF" w:rsidRDefault="00156621" w:rsidP="005475B9">
            <w:pPr>
              <w:keepNext/>
              <w:keepLines/>
              <w:jc w:val="left"/>
              <w:rPr>
                <w:rFonts w:ascii="Arial Narrow" w:hAnsi="Arial Narrow"/>
              </w:rPr>
            </w:pPr>
            <w:r>
              <w:rPr>
                <w:rFonts w:ascii="Arial Narrow" w:hAnsi="Arial Narrow"/>
              </w:rPr>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rPr>
                <w:rFonts w:ascii="Arial Narrow" w:hAnsi="Arial Narrow"/>
              </w:rPr>
              <w:instrText xml:space="preserve"> ADDIN EN.CITE </w:instrText>
            </w:r>
            <w:r w:rsidR="00D96694">
              <w:rPr>
                <w:rFonts w:ascii="Arial Narrow" w:hAnsi="Arial Narrow"/>
              </w:rPr>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rPr>
                <w:rFonts w:ascii="Arial Narrow" w:hAnsi="Arial Narrow"/>
              </w:rPr>
              <w:instrText xml:space="preserve"> ADDIN EN.CITE.DATA </w:instrText>
            </w:r>
            <w:r w:rsidR="00D96694">
              <w:rPr>
                <w:rFonts w:ascii="Arial Narrow" w:hAnsi="Arial Narrow"/>
              </w:rPr>
            </w:r>
            <w:r w:rsidR="00D96694">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(Ashtari et al. 2019)</w:t>
            </w:r>
            <w:r>
              <w:rPr>
                <w:rFonts w:ascii="Arial Narrow" w:hAnsi="Arial Narrow"/>
              </w:rPr>
              <w:fldChar w:fldCharType="end"/>
            </w:r>
          </w:p>
        </w:tc>
        <w:tc>
          <w:tcPr>
            <w:tcW w:w="1985" w:type="dxa"/>
            <w:tcBorders>
              <w:top w:val="single" w:sz="6" w:space="0" w:color="auto"/>
              <w:left w:val="single" w:sz="6" w:space="0" w:color="auto"/>
              <w:bottom w:val="single" w:sz="6" w:space="0" w:color="auto"/>
              <w:right w:val="single" w:sz="6" w:space="0" w:color="auto"/>
            </w:tcBorders>
          </w:tcPr>
          <w:p w14:paraId="6D081E4D" w14:textId="77777777" w:rsidR="00D34D92" w:rsidRDefault="00D34D92" w:rsidP="005475B9">
            <w:pPr>
              <w:keepNext/>
              <w:keepLines/>
              <w:jc w:val="left"/>
              <w:rPr>
                <w:rFonts w:ascii="Arial Narrow" w:hAnsi="Arial Narrow"/>
              </w:rPr>
            </w:pPr>
            <w:r>
              <w:rPr>
                <w:rFonts w:ascii="Arial Narrow" w:hAnsi="Arial Narrow"/>
              </w:rPr>
              <w:t>All patients: 56</w:t>
            </w:r>
          </w:p>
          <w:p w14:paraId="6B7F6F0C" w14:textId="77777777" w:rsidR="00D34D92" w:rsidRPr="004371CF" w:rsidRDefault="00D34D92" w:rsidP="005475B9">
            <w:pPr>
              <w:keepNext/>
              <w:keepLines/>
              <w:jc w:val="left"/>
              <w:rPr>
                <w:rFonts w:ascii="Arial Narrow" w:hAnsi="Arial Narrow"/>
              </w:rPr>
            </w:pPr>
            <w:r>
              <w:rPr>
                <w:rFonts w:ascii="Arial Narrow" w:hAnsi="Arial Narrow"/>
              </w:rPr>
              <w:t>1 year</w:t>
            </w:r>
          </w:p>
        </w:tc>
        <w:tc>
          <w:tcPr>
            <w:tcW w:w="1842" w:type="dxa"/>
            <w:tcBorders>
              <w:top w:val="single" w:sz="6" w:space="0" w:color="auto"/>
              <w:left w:val="single" w:sz="6" w:space="0" w:color="auto"/>
              <w:bottom w:val="single" w:sz="6" w:space="0" w:color="auto"/>
              <w:right w:val="single" w:sz="6" w:space="0" w:color="auto"/>
            </w:tcBorders>
          </w:tcPr>
          <w:p w14:paraId="12D421F6" w14:textId="77777777" w:rsidR="00D34D92" w:rsidRPr="004371CF" w:rsidRDefault="00D34D92" w:rsidP="005475B9">
            <w:pPr>
              <w:keepNext/>
              <w:keepLines/>
              <w:jc w:val="left"/>
              <w:rPr>
                <w:rFonts w:ascii="Arial Narrow" w:hAnsi="Arial Narrow"/>
              </w:rPr>
            </w:pPr>
            <w:r>
              <w:rPr>
                <w:rFonts w:ascii="Arial Narrow" w:hAnsi="Arial Narrow"/>
              </w:rPr>
              <w:t>1.</w:t>
            </w:r>
            <w:r w:rsidR="00F54237">
              <w:rPr>
                <w:rFonts w:ascii="Arial Narrow" w:hAnsi="Arial Narrow"/>
              </w:rPr>
              <w:t>43</w:t>
            </w:r>
            <w:r>
              <w:rPr>
                <w:rFonts w:ascii="Arial Narrow" w:hAnsi="Arial Narrow"/>
              </w:rPr>
              <w:t>±</w:t>
            </w:r>
            <w:r w:rsidR="00F54237">
              <w:rPr>
                <w:rFonts w:ascii="Arial Narrow" w:hAnsi="Arial Narrow"/>
              </w:rPr>
              <w:t>1.107</w:t>
            </w:r>
          </w:p>
        </w:tc>
        <w:tc>
          <w:tcPr>
            <w:tcW w:w="1843" w:type="dxa"/>
            <w:tcBorders>
              <w:top w:val="single" w:sz="6" w:space="0" w:color="auto"/>
              <w:left w:val="single" w:sz="6" w:space="0" w:color="auto"/>
              <w:bottom w:val="single" w:sz="6" w:space="0" w:color="auto"/>
              <w:right w:val="single" w:sz="6" w:space="0" w:color="auto"/>
            </w:tcBorders>
          </w:tcPr>
          <w:p w14:paraId="6F27A4EB" w14:textId="77777777" w:rsidR="00D34D92" w:rsidRPr="004371CF" w:rsidRDefault="00D34D92" w:rsidP="005475B9">
            <w:pPr>
              <w:keepNext/>
              <w:keepLines/>
              <w:jc w:val="left"/>
              <w:rPr>
                <w:rFonts w:ascii="Arial Narrow" w:hAnsi="Arial Narrow"/>
              </w:rPr>
            </w:pPr>
            <w:r>
              <w:rPr>
                <w:rFonts w:ascii="Arial Narrow" w:hAnsi="Arial Narrow"/>
              </w:rPr>
              <w:t>0.</w:t>
            </w:r>
            <w:r w:rsidR="00F54237">
              <w:rPr>
                <w:rFonts w:ascii="Arial Narrow" w:hAnsi="Arial Narrow"/>
              </w:rPr>
              <w:t>147</w:t>
            </w:r>
            <w:r>
              <w:rPr>
                <w:rFonts w:ascii="Arial Narrow" w:hAnsi="Arial Narrow"/>
              </w:rPr>
              <w:t>±0.</w:t>
            </w:r>
            <w:r w:rsidR="00F54237">
              <w:rPr>
                <w:rFonts w:ascii="Arial Narrow" w:hAnsi="Arial Narrow"/>
              </w:rPr>
              <w:t>27</w:t>
            </w:r>
          </w:p>
        </w:tc>
        <w:tc>
          <w:tcPr>
            <w:tcW w:w="2126" w:type="dxa"/>
            <w:tcBorders>
              <w:top w:val="single" w:sz="6" w:space="0" w:color="auto"/>
              <w:left w:val="single" w:sz="6" w:space="0" w:color="auto"/>
              <w:bottom w:val="single" w:sz="6" w:space="0" w:color="auto"/>
              <w:right w:val="single" w:sz="6" w:space="0" w:color="auto"/>
            </w:tcBorders>
          </w:tcPr>
          <w:p w14:paraId="5EEEC14F" w14:textId="77777777" w:rsidR="00D34D92" w:rsidRDefault="00D34D92" w:rsidP="005475B9">
            <w:pPr>
              <w:keepNext/>
              <w:keepLines/>
              <w:jc w:val="left"/>
              <w:rPr>
                <w:rFonts w:ascii="Arial Narrow" w:hAnsi="Arial Narrow"/>
              </w:rPr>
            </w:pPr>
            <w:r>
              <w:rPr>
                <w:rFonts w:ascii="Arial Narrow" w:hAnsi="Arial Narrow"/>
              </w:rPr>
              <w:t>NR</w:t>
            </w:r>
          </w:p>
          <w:p w14:paraId="087AC9F2" w14:textId="77777777" w:rsidR="00D34D92" w:rsidRPr="004371CF" w:rsidRDefault="00D34D92" w:rsidP="005475B9">
            <w:pPr>
              <w:keepNext/>
              <w:keepLines/>
              <w:jc w:val="left"/>
              <w:rPr>
                <w:rFonts w:ascii="Arial Narrow" w:hAnsi="Arial Narrow"/>
              </w:rPr>
            </w:pPr>
            <w:r>
              <w:rPr>
                <w:rFonts w:ascii="Arial Narrow" w:hAnsi="Arial Narrow"/>
              </w:rPr>
              <w:t>(MedCalc: p&lt;0.0001)</w:t>
            </w:r>
          </w:p>
        </w:tc>
      </w:tr>
      <w:tr w:rsidR="00D34D92" w:rsidRPr="004371CF" w14:paraId="39564A3D" w14:textId="77777777" w:rsidTr="00CF2DB3">
        <w:tc>
          <w:tcPr>
            <w:tcW w:w="1268" w:type="dxa"/>
            <w:vMerge/>
            <w:tcBorders>
              <w:left w:val="single" w:sz="6" w:space="0" w:color="auto"/>
              <w:right w:val="single" w:sz="6" w:space="0" w:color="auto"/>
            </w:tcBorders>
          </w:tcPr>
          <w:p w14:paraId="06C0F57A" w14:textId="77777777" w:rsidR="00D34D92" w:rsidRPr="004371CF" w:rsidRDefault="00D34D92" w:rsidP="00361EF8">
            <w:pPr>
              <w:jc w:val="left"/>
              <w:rPr>
                <w:rFonts w:ascii="Arial Narrow" w:hAnsi="Arial Narrow"/>
              </w:rPr>
            </w:pPr>
          </w:p>
        </w:tc>
        <w:tc>
          <w:tcPr>
            <w:tcW w:w="1985" w:type="dxa"/>
            <w:tcBorders>
              <w:top w:val="single" w:sz="6" w:space="0" w:color="auto"/>
              <w:left w:val="single" w:sz="6" w:space="0" w:color="auto"/>
              <w:bottom w:val="single" w:sz="6" w:space="0" w:color="auto"/>
              <w:right w:val="single" w:sz="6" w:space="0" w:color="auto"/>
            </w:tcBorders>
          </w:tcPr>
          <w:p w14:paraId="33960590" w14:textId="77777777" w:rsidR="00D34D92" w:rsidRDefault="00D34D92" w:rsidP="00361EF8">
            <w:pPr>
              <w:jc w:val="left"/>
              <w:rPr>
                <w:rFonts w:ascii="Arial Narrow" w:hAnsi="Arial Narrow"/>
              </w:rPr>
            </w:pPr>
            <w:r>
              <w:rPr>
                <w:rFonts w:ascii="Arial Narrow" w:hAnsi="Arial Narrow"/>
              </w:rPr>
              <w:t>AQP4-Ab +ve: 30</w:t>
            </w:r>
          </w:p>
          <w:p w14:paraId="1D6040A7" w14:textId="77777777" w:rsidR="00D34D92" w:rsidRPr="004371CF" w:rsidRDefault="00D34D92" w:rsidP="00361EF8">
            <w:pPr>
              <w:jc w:val="left"/>
              <w:rPr>
                <w:rFonts w:ascii="Arial Narrow" w:hAnsi="Arial Narrow"/>
              </w:rPr>
            </w:pPr>
            <w:r>
              <w:rPr>
                <w:rFonts w:ascii="Arial Narrow" w:hAnsi="Arial Narrow"/>
              </w:rPr>
              <w:t>1 year</w:t>
            </w:r>
          </w:p>
        </w:tc>
        <w:tc>
          <w:tcPr>
            <w:tcW w:w="1842" w:type="dxa"/>
            <w:tcBorders>
              <w:top w:val="single" w:sz="6" w:space="0" w:color="auto"/>
              <w:left w:val="single" w:sz="6" w:space="0" w:color="auto"/>
              <w:bottom w:val="single" w:sz="6" w:space="0" w:color="auto"/>
              <w:right w:val="single" w:sz="6" w:space="0" w:color="auto"/>
            </w:tcBorders>
          </w:tcPr>
          <w:p w14:paraId="109D0A42" w14:textId="77777777" w:rsidR="00D34D92" w:rsidRPr="004371CF" w:rsidRDefault="00F54237" w:rsidP="00F54237">
            <w:pPr>
              <w:jc w:val="left"/>
              <w:rPr>
                <w:rFonts w:ascii="Arial Narrow" w:hAnsi="Arial Narrow"/>
              </w:rPr>
            </w:pPr>
            <w:r>
              <w:rPr>
                <w:rFonts w:ascii="Arial Narrow" w:hAnsi="Arial Narrow"/>
              </w:rPr>
              <w:t>1.35</w:t>
            </w:r>
            <w:r w:rsidR="00D34D92">
              <w:rPr>
                <w:rFonts w:ascii="Arial Narrow" w:hAnsi="Arial Narrow"/>
              </w:rPr>
              <w:t>±0.</w:t>
            </w:r>
            <w:r>
              <w:rPr>
                <w:rFonts w:ascii="Arial Narrow" w:hAnsi="Arial Narrow"/>
              </w:rPr>
              <w:t>85</w:t>
            </w:r>
          </w:p>
        </w:tc>
        <w:tc>
          <w:tcPr>
            <w:tcW w:w="1843" w:type="dxa"/>
            <w:tcBorders>
              <w:top w:val="single" w:sz="6" w:space="0" w:color="auto"/>
              <w:left w:val="single" w:sz="6" w:space="0" w:color="auto"/>
              <w:bottom w:val="single" w:sz="6" w:space="0" w:color="auto"/>
              <w:right w:val="single" w:sz="6" w:space="0" w:color="auto"/>
            </w:tcBorders>
          </w:tcPr>
          <w:p w14:paraId="739F334E" w14:textId="77777777" w:rsidR="00D34D92" w:rsidRPr="004371CF" w:rsidRDefault="00D34D92" w:rsidP="00F54237">
            <w:pPr>
              <w:jc w:val="left"/>
              <w:rPr>
                <w:rFonts w:ascii="Arial Narrow" w:hAnsi="Arial Narrow"/>
              </w:rPr>
            </w:pPr>
            <w:r>
              <w:rPr>
                <w:rFonts w:ascii="Arial Narrow" w:hAnsi="Arial Narrow"/>
              </w:rPr>
              <w:t>0.</w:t>
            </w:r>
            <w:r w:rsidR="00F54237">
              <w:rPr>
                <w:rFonts w:ascii="Arial Narrow" w:hAnsi="Arial Narrow"/>
              </w:rPr>
              <w:t>10</w:t>
            </w:r>
            <w:r>
              <w:rPr>
                <w:rFonts w:ascii="Arial Narrow" w:hAnsi="Arial Narrow"/>
              </w:rPr>
              <w:t>±0.</w:t>
            </w:r>
            <w:r w:rsidR="00F54237">
              <w:rPr>
                <w:rFonts w:ascii="Arial Narrow" w:hAnsi="Arial Narrow"/>
              </w:rPr>
              <w:t>19</w:t>
            </w:r>
          </w:p>
        </w:tc>
        <w:tc>
          <w:tcPr>
            <w:tcW w:w="2126" w:type="dxa"/>
            <w:tcBorders>
              <w:top w:val="single" w:sz="6" w:space="0" w:color="auto"/>
              <w:left w:val="single" w:sz="6" w:space="0" w:color="auto"/>
              <w:bottom w:val="single" w:sz="6" w:space="0" w:color="auto"/>
              <w:right w:val="single" w:sz="6" w:space="0" w:color="auto"/>
            </w:tcBorders>
          </w:tcPr>
          <w:p w14:paraId="3D80336B" w14:textId="77777777" w:rsidR="00D34D92" w:rsidRDefault="00D34D92" w:rsidP="00361EF8">
            <w:pPr>
              <w:jc w:val="left"/>
              <w:rPr>
                <w:rFonts w:ascii="Arial Narrow" w:hAnsi="Arial Narrow"/>
              </w:rPr>
            </w:pPr>
            <w:r>
              <w:rPr>
                <w:rFonts w:ascii="Arial Narrow" w:hAnsi="Arial Narrow"/>
              </w:rPr>
              <w:t>NR</w:t>
            </w:r>
          </w:p>
          <w:p w14:paraId="7A4161EA" w14:textId="77777777" w:rsidR="00D34D92" w:rsidRPr="004371CF" w:rsidRDefault="00D34D92" w:rsidP="00361EF8">
            <w:pPr>
              <w:jc w:val="left"/>
              <w:rPr>
                <w:rFonts w:ascii="Arial Narrow" w:hAnsi="Arial Narrow"/>
              </w:rPr>
            </w:pPr>
            <w:r>
              <w:rPr>
                <w:rFonts w:ascii="Arial Narrow" w:hAnsi="Arial Narrow"/>
              </w:rPr>
              <w:t>(MedCalc: p&lt;0.0001)</w:t>
            </w:r>
          </w:p>
        </w:tc>
      </w:tr>
      <w:tr w:rsidR="00D34D92" w:rsidRPr="004371CF" w14:paraId="14F94AF3" w14:textId="77777777" w:rsidTr="00CF2DB3">
        <w:tc>
          <w:tcPr>
            <w:tcW w:w="1268" w:type="dxa"/>
            <w:vMerge/>
            <w:tcBorders>
              <w:left w:val="single" w:sz="6" w:space="0" w:color="auto"/>
              <w:bottom w:val="single" w:sz="6" w:space="0" w:color="auto"/>
              <w:right w:val="single" w:sz="6" w:space="0" w:color="auto"/>
            </w:tcBorders>
          </w:tcPr>
          <w:p w14:paraId="3E6AE64B" w14:textId="77777777" w:rsidR="00D34D92" w:rsidRPr="004371CF" w:rsidRDefault="00D34D92" w:rsidP="00361EF8">
            <w:pPr>
              <w:jc w:val="left"/>
              <w:rPr>
                <w:rFonts w:ascii="Arial Narrow" w:hAnsi="Arial Narrow"/>
              </w:rPr>
            </w:pPr>
          </w:p>
        </w:tc>
        <w:tc>
          <w:tcPr>
            <w:tcW w:w="1985" w:type="dxa"/>
            <w:tcBorders>
              <w:top w:val="single" w:sz="6" w:space="0" w:color="auto"/>
              <w:left w:val="single" w:sz="6" w:space="0" w:color="auto"/>
              <w:bottom w:val="single" w:sz="6" w:space="0" w:color="auto"/>
              <w:right w:val="single" w:sz="6" w:space="0" w:color="auto"/>
            </w:tcBorders>
          </w:tcPr>
          <w:p w14:paraId="2611A6CF" w14:textId="77777777" w:rsidR="00D34D92" w:rsidRDefault="00D34D92" w:rsidP="00361EF8">
            <w:pPr>
              <w:jc w:val="left"/>
              <w:rPr>
                <w:rFonts w:ascii="Arial Narrow" w:hAnsi="Arial Narrow"/>
              </w:rPr>
            </w:pPr>
            <w:r>
              <w:rPr>
                <w:rFonts w:ascii="Arial Narrow" w:hAnsi="Arial Narrow"/>
              </w:rPr>
              <w:t>AQP4-Ab –ve: 26</w:t>
            </w:r>
          </w:p>
          <w:p w14:paraId="0E392BB1" w14:textId="77777777" w:rsidR="00D34D92" w:rsidRPr="004371CF" w:rsidRDefault="00D34D92" w:rsidP="00361EF8">
            <w:pPr>
              <w:jc w:val="left"/>
              <w:rPr>
                <w:rFonts w:ascii="Arial Narrow" w:hAnsi="Arial Narrow"/>
              </w:rPr>
            </w:pPr>
            <w:r>
              <w:rPr>
                <w:rFonts w:ascii="Arial Narrow" w:hAnsi="Arial Narrow"/>
              </w:rPr>
              <w:t>1 year</w:t>
            </w:r>
          </w:p>
        </w:tc>
        <w:tc>
          <w:tcPr>
            <w:tcW w:w="1842" w:type="dxa"/>
            <w:tcBorders>
              <w:top w:val="single" w:sz="6" w:space="0" w:color="auto"/>
              <w:left w:val="single" w:sz="6" w:space="0" w:color="auto"/>
              <w:bottom w:val="single" w:sz="6" w:space="0" w:color="auto"/>
              <w:right w:val="single" w:sz="6" w:space="0" w:color="auto"/>
            </w:tcBorders>
          </w:tcPr>
          <w:p w14:paraId="424DECA2" w14:textId="77777777" w:rsidR="00D34D92" w:rsidRPr="004371CF" w:rsidRDefault="00D34D92" w:rsidP="00F54237">
            <w:pPr>
              <w:jc w:val="left"/>
              <w:rPr>
                <w:rFonts w:ascii="Arial Narrow" w:hAnsi="Arial Narrow"/>
              </w:rPr>
            </w:pPr>
            <w:r>
              <w:rPr>
                <w:rFonts w:ascii="Arial Narrow" w:hAnsi="Arial Narrow"/>
              </w:rPr>
              <w:t>1.</w:t>
            </w:r>
            <w:r w:rsidR="00F54237">
              <w:rPr>
                <w:rFonts w:ascii="Arial Narrow" w:hAnsi="Arial Narrow"/>
              </w:rPr>
              <w:t>49+</w:t>
            </w:r>
            <w:r>
              <w:rPr>
                <w:rFonts w:ascii="Arial Narrow" w:hAnsi="Arial Narrow"/>
              </w:rPr>
              <w:t>±</w:t>
            </w:r>
            <w:r w:rsidR="00F54237">
              <w:rPr>
                <w:rFonts w:ascii="Arial Narrow" w:hAnsi="Arial Narrow"/>
              </w:rPr>
              <w:t>1.25</w:t>
            </w:r>
          </w:p>
        </w:tc>
        <w:tc>
          <w:tcPr>
            <w:tcW w:w="1843" w:type="dxa"/>
            <w:tcBorders>
              <w:top w:val="single" w:sz="6" w:space="0" w:color="auto"/>
              <w:left w:val="single" w:sz="6" w:space="0" w:color="auto"/>
              <w:bottom w:val="single" w:sz="6" w:space="0" w:color="auto"/>
              <w:right w:val="single" w:sz="6" w:space="0" w:color="auto"/>
            </w:tcBorders>
          </w:tcPr>
          <w:p w14:paraId="427BD9B2" w14:textId="77777777" w:rsidR="00D34D92" w:rsidRPr="004371CF" w:rsidRDefault="00D34D92" w:rsidP="00F54237">
            <w:pPr>
              <w:jc w:val="left"/>
              <w:rPr>
                <w:rFonts w:ascii="Arial Narrow" w:hAnsi="Arial Narrow"/>
              </w:rPr>
            </w:pPr>
            <w:r>
              <w:rPr>
                <w:rFonts w:ascii="Arial Narrow" w:hAnsi="Arial Narrow"/>
              </w:rPr>
              <w:t>0.</w:t>
            </w:r>
            <w:r w:rsidR="00F54237">
              <w:rPr>
                <w:rFonts w:ascii="Arial Narrow" w:hAnsi="Arial Narrow"/>
              </w:rPr>
              <w:t>17</w:t>
            </w:r>
            <w:r>
              <w:rPr>
                <w:rFonts w:ascii="Arial Narrow" w:hAnsi="Arial Narrow"/>
              </w:rPr>
              <w:t>±0.</w:t>
            </w:r>
            <w:r w:rsidR="00F54237">
              <w:rPr>
                <w:rFonts w:ascii="Arial Narrow" w:hAnsi="Arial Narrow"/>
              </w:rPr>
              <w:t>31</w:t>
            </w:r>
          </w:p>
        </w:tc>
        <w:tc>
          <w:tcPr>
            <w:tcW w:w="2126" w:type="dxa"/>
            <w:tcBorders>
              <w:top w:val="single" w:sz="6" w:space="0" w:color="auto"/>
              <w:left w:val="single" w:sz="6" w:space="0" w:color="auto"/>
              <w:bottom w:val="single" w:sz="6" w:space="0" w:color="auto"/>
              <w:right w:val="single" w:sz="6" w:space="0" w:color="auto"/>
            </w:tcBorders>
          </w:tcPr>
          <w:p w14:paraId="245B4926" w14:textId="77777777" w:rsidR="00D34D92" w:rsidRDefault="00D34D92" w:rsidP="00361EF8">
            <w:pPr>
              <w:jc w:val="left"/>
              <w:rPr>
                <w:rFonts w:ascii="Arial Narrow" w:hAnsi="Arial Narrow"/>
              </w:rPr>
            </w:pPr>
            <w:r>
              <w:rPr>
                <w:rFonts w:ascii="Arial Narrow" w:hAnsi="Arial Narrow"/>
              </w:rPr>
              <w:t>NR</w:t>
            </w:r>
          </w:p>
          <w:p w14:paraId="5D11F538" w14:textId="77777777" w:rsidR="00D34D92" w:rsidRPr="004371CF" w:rsidRDefault="00D34D92" w:rsidP="007C6EF2">
            <w:pPr>
              <w:jc w:val="left"/>
              <w:rPr>
                <w:rFonts w:ascii="Arial Narrow" w:hAnsi="Arial Narrow"/>
              </w:rPr>
            </w:pPr>
            <w:r>
              <w:rPr>
                <w:rFonts w:ascii="Arial Narrow" w:hAnsi="Arial Narrow"/>
              </w:rPr>
              <w:t>(MedCalc: p</w:t>
            </w:r>
            <w:r w:rsidR="007C6EF2">
              <w:rPr>
                <w:rFonts w:ascii="Arial Narrow" w:hAnsi="Arial Narrow"/>
              </w:rPr>
              <w:t>&lt;</w:t>
            </w:r>
            <w:r>
              <w:rPr>
                <w:rFonts w:ascii="Arial Narrow" w:hAnsi="Arial Narrow"/>
              </w:rPr>
              <w:t>0.000</w:t>
            </w:r>
            <w:r w:rsidR="007C6EF2">
              <w:rPr>
                <w:rFonts w:ascii="Arial Narrow" w:hAnsi="Arial Narrow"/>
              </w:rPr>
              <w:t>1</w:t>
            </w:r>
            <w:r>
              <w:rPr>
                <w:rFonts w:ascii="Arial Narrow" w:hAnsi="Arial Narrow"/>
              </w:rPr>
              <w:t>)</w:t>
            </w:r>
          </w:p>
        </w:tc>
      </w:tr>
      <w:tr w:rsidR="00D34D92" w:rsidRPr="004371CF" w14:paraId="0C143377" w14:textId="77777777" w:rsidTr="00CF2DB3">
        <w:tc>
          <w:tcPr>
            <w:tcW w:w="1268" w:type="dxa"/>
            <w:tcBorders>
              <w:top w:val="single" w:sz="6" w:space="0" w:color="auto"/>
              <w:left w:val="single" w:sz="6" w:space="0" w:color="auto"/>
              <w:bottom w:val="single" w:sz="6" w:space="0" w:color="auto"/>
              <w:right w:val="single" w:sz="6" w:space="0" w:color="auto"/>
            </w:tcBorders>
            <w:hideMark/>
          </w:tcPr>
          <w:p w14:paraId="3ABD0B71" w14:textId="2F1AD563" w:rsidR="00D34D92" w:rsidRPr="004371CF" w:rsidRDefault="00156621" w:rsidP="00D96694">
            <w:pPr>
              <w:jc w:val="left"/>
              <w:rPr>
                <w:rFonts w:ascii="Arial Narrow" w:hAnsi="Arial Narrow"/>
              </w:rPr>
            </w:pPr>
            <w:r>
              <w:rPr>
                <w:rFonts w:ascii="Arial Narrow" w:hAnsi="Arial Narrow"/>
              </w:rPr>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rPr>
                <w:rFonts w:ascii="Arial Narrow" w:hAnsi="Arial Narrow"/>
              </w:rPr>
              <w:instrText xml:space="preserve"> ADDIN EN.CITE </w:instrText>
            </w:r>
            <w:r w:rsidR="00D96694">
              <w:rPr>
                <w:rFonts w:ascii="Arial Narrow" w:hAnsi="Arial Narrow"/>
              </w:rPr>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rPr>
                <w:rFonts w:ascii="Arial Narrow" w:hAnsi="Arial Narrow"/>
              </w:rPr>
              <w:instrText xml:space="preserve"> ADDIN EN.CITE.DATA </w:instrText>
            </w:r>
            <w:r w:rsidR="00D96694">
              <w:rPr>
                <w:rFonts w:ascii="Arial Narrow" w:hAnsi="Arial Narrow"/>
              </w:rPr>
            </w:r>
            <w:r w:rsidR="00D96694">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(Shaygannejad et al. 2019)</w:t>
            </w:r>
            <w:r>
              <w:rPr>
                <w:rFonts w:ascii="Arial Narrow" w:hAnsi="Arial Narrow"/>
              </w:rPr>
              <w:fldChar w:fldCharType="end"/>
            </w:r>
          </w:p>
        </w:tc>
        <w:tc>
          <w:tcPr>
            <w:tcW w:w="1985" w:type="dxa"/>
            <w:tcBorders>
              <w:top w:val="single" w:sz="6" w:space="0" w:color="auto"/>
              <w:left w:val="single" w:sz="6" w:space="0" w:color="auto"/>
              <w:bottom w:val="single" w:sz="6" w:space="0" w:color="auto"/>
              <w:right w:val="single" w:sz="6" w:space="0" w:color="auto"/>
            </w:tcBorders>
          </w:tcPr>
          <w:p w14:paraId="016CCC9D" w14:textId="77777777" w:rsidR="00D34D92" w:rsidRDefault="00D34D92" w:rsidP="00361EF8">
            <w:pPr>
              <w:jc w:val="left"/>
              <w:rPr>
                <w:rFonts w:ascii="Arial Narrow" w:hAnsi="Arial Narrow"/>
              </w:rPr>
            </w:pPr>
            <w:r>
              <w:rPr>
                <w:rFonts w:ascii="Arial Narrow" w:hAnsi="Arial Narrow"/>
              </w:rPr>
              <w:t>All patients: 46</w:t>
            </w:r>
          </w:p>
          <w:p w14:paraId="45F25F5A" w14:textId="77777777" w:rsidR="00D34D92" w:rsidRPr="004371CF" w:rsidRDefault="00D34D92" w:rsidP="00361EF8">
            <w:pPr>
              <w:jc w:val="left"/>
              <w:rPr>
                <w:rFonts w:ascii="Arial Narrow" w:hAnsi="Arial Narrow"/>
              </w:rPr>
            </w:pPr>
            <w:r>
              <w:rPr>
                <w:rFonts w:ascii="Arial Narrow" w:hAnsi="Arial Narrow"/>
              </w:rPr>
              <w:t>31.6±7.3 months</w:t>
            </w:r>
          </w:p>
        </w:tc>
        <w:tc>
          <w:tcPr>
            <w:tcW w:w="1842" w:type="dxa"/>
            <w:tcBorders>
              <w:top w:val="single" w:sz="6" w:space="0" w:color="auto"/>
              <w:left w:val="single" w:sz="6" w:space="0" w:color="auto"/>
              <w:bottom w:val="single" w:sz="6" w:space="0" w:color="auto"/>
              <w:right w:val="single" w:sz="6" w:space="0" w:color="auto"/>
            </w:tcBorders>
          </w:tcPr>
          <w:p w14:paraId="7E40E200" w14:textId="77777777" w:rsidR="00D34D92" w:rsidRPr="004371CF" w:rsidRDefault="00D34D92" w:rsidP="00D34D92">
            <w:pPr>
              <w:jc w:val="left"/>
              <w:rPr>
                <w:rFonts w:ascii="Arial Narrow" w:hAnsi="Arial Narrow"/>
              </w:rPr>
            </w:pPr>
            <w:r>
              <w:rPr>
                <w:rFonts w:ascii="Arial Narrow" w:hAnsi="Arial Narrow"/>
              </w:rPr>
              <w:t>0.26±0.54</w:t>
            </w:r>
          </w:p>
        </w:tc>
        <w:tc>
          <w:tcPr>
            <w:tcW w:w="1843" w:type="dxa"/>
            <w:tcBorders>
              <w:top w:val="single" w:sz="6" w:space="0" w:color="auto"/>
              <w:left w:val="single" w:sz="6" w:space="0" w:color="auto"/>
              <w:bottom w:val="single" w:sz="6" w:space="0" w:color="auto"/>
              <w:right w:val="single" w:sz="6" w:space="0" w:color="auto"/>
            </w:tcBorders>
          </w:tcPr>
          <w:p w14:paraId="1A2B0B4B" w14:textId="77777777" w:rsidR="00D34D92" w:rsidRPr="004371CF" w:rsidRDefault="00D34D92" w:rsidP="00361EF8">
            <w:pPr>
              <w:jc w:val="left"/>
              <w:rPr>
                <w:rFonts w:ascii="Arial Narrow" w:hAnsi="Arial Narrow"/>
              </w:rPr>
            </w:pPr>
            <w:r>
              <w:rPr>
                <w:rFonts w:ascii="Arial Narrow" w:hAnsi="Arial Narrow"/>
              </w:rPr>
              <w:t>0</w:t>
            </w:r>
          </w:p>
        </w:tc>
        <w:tc>
          <w:tcPr>
            <w:tcW w:w="2126" w:type="dxa"/>
            <w:tcBorders>
              <w:top w:val="single" w:sz="6" w:space="0" w:color="auto"/>
              <w:left w:val="single" w:sz="6" w:space="0" w:color="auto"/>
              <w:bottom w:val="single" w:sz="6" w:space="0" w:color="auto"/>
              <w:right w:val="single" w:sz="6" w:space="0" w:color="auto"/>
            </w:tcBorders>
          </w:tcPr>
          <w:p w14:paraId="005D084D" w14:textId="77777777" w:rsidR="00D34D92" w:rsidRPr="004371CF" w:rsidRDefault="00D34D92" w:rsidP="00361EF8">
            <w:pPr>
              <w:jc w:val="left"/>
              <w:rPr>
                <w:rFonts w:ascii="Arial Narrow" w:hAnsi="Arial Narrow"/>
              </w:rPr>
            </w:pPr>
            <w:r>
              <w:rPr>
                <w:rFonts w:ascii="Arial Narrow" w:hAnsi="Arial Narrow"/>
              </w:rPr>
              <w:t>0.003</w:t>
            </w:r>
          </w:p>
        </w:tc>
      </w:tr>
    </w:tbl>
    <w:p w14:paraId="7E070643" w14:textId="77777777" w:rsidR="00D34D92" w:rsidRDefault="00CF2DB3" w:rsidP="00CD61AC">
      <w:pPr>
        <w:pStyle w:val="Tablenotes0"/>
      </w:pPr>
      <w:r>
        <w:t xml:space="preserve">ARR = annualised relapse rate; </w:t>
      </w:r>
      <w:r w:rsidR="00CD61AC">
        <w:t xml:space="preserve">AQP4-Ab = aquaporin 4 antibodies; </w:t>
      </w:r>
      <w:r>
        <w:t xml:space="preserve">NR = not reported; </w:t>
      </w:r>
      <w:r w:rsidR="00CD61AC">
        <w:t>SD = standard deviation</w:t>
      </w:r>
    </w:p>
    <w:p w14:paraId="6E884318" w14:textId="77777777" w:rsidR="00FF5C89" w:rsidRDefault="00FF5C89" w:rsidP="00CD61AC">
      <w:pPr>
        <w:pStyle w:val="Tablenotes0"/>
      </w:pPr>
    </w:p>
    <w:p w14:paraId="7C82F011" w14:textId="77777777" w:rsidR="00D17F23" w:rsidRDefault="005B095B" w:rsidP="00D17F23">
      <w:pPr>
        <w:pStyle w:val="Heading4"/>
      </w:pPr>
      <w:r>
        <w:t xml:space="preserve">Change in ARR following </w:t>
      </w:r>
      <w:r w:rsidR="00BD5D00">
        <w:t>eculizumab (</w:t>
      </w:r>
      <w:r w:rsidR="00DB529A">
        <w:t>ECZ</w:t>
      </w:r>
      <w:r w:rsidR="00BD5D00">
        <w:t>)</w:t>
      </w:r>
      <w:r w:rsidR="00D17F23">
        <w:t xml:space="preserve"> treatment for NMOSD</w:t>
      </w:r>
    </w:p>
    <w:p w14:paraId="4640C239" w14:textId="06C8EAAD" w:rsidR="00D17F23" w:rsidRDefault="00D17F23" w:rsidP="00D17F23">
      <w:r>
        <w:t>A double blind, placebo controlled time</w:t>
      </w:r>
      <w:r w:rsidR="00F5331F">
        <w:t>-</w:t>
      </w:r>
      <w:r>
        <w:t>to</w:t>
      </w:r>
      <w:r w:rsidR="00F5331F">
        <w:t>-</w:t>
      </w:r>
      <w:r>
        <w:t xml:space="preserve">event </w:t>
      </w:r>
      <w:r w:rsidR="000D175E">
        <w:t>RCT</w:t>
      </w:r>
      <w:r>
        <w:t xml:space="preserve"> of </w:t>
      </w:r>
      <w:r w:rsidR="000D175E">
        <w:t>ECZ</w:t>
      </w:r>
      <w:r>
        <w:t xml:space="preserve"> in NMOSD patients reported on ARR</w:t>
      </w:r>
      <w:r w:rsidR="003B6F6C">
        <w:t xml:space="preserve"> </w:t>
      </w:r>
      <w:r w:rsidR="003B6F6C">
        <w:fldChar w:fldCharType="begin"/>
      </w:r>
      <w:r w:rsidR="001E4BD1">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sidR="003B6F6C">
        <w:fldChar w:fldCharType="separate"/>
      </w:r>
      <w:r w:rsidR="001E4BD1">
        <w:rPr>
          <w:noProof/>
        </w:rPr>
        <w:t>(Pittock et al. 2019)</w:t>
      </w:r>
      <w:r w:rsidR="003B6F6C">
        <w:fldChar w:fldCharType="end"/>
      </w:r>
      <w:r w:rsidR="00F5331F">
        <w:t>; also reported above for the outcome of EDSS</w:t>
      </w:r>
      <w:r>
        <w:t xml:space="preserve">. Diagnosis was according to 2006 or 2007 criteria. </w:t>
      </w:r>
      <w:r w:rsidR="00F8457B">
        <w:t xml:space="preserve">The trial design allowed for continuation until 24 patients had a relapse of NMOSD, however the </w:t>
      </w:r>
      <w:r w:rsidR="00A247DA">
        <w:t>sponsor terminated the trial</w:t>
      </w:r>
      <w:r w:rsidR="00F8457B">
        <w:t xml:space="preserve"> after the 23 patients relapsed. Twenty of these relapses occurred in the placebo group. </w:t>
      </w:r>
      <w:r>
        <w:t xml:space="preserve">ARR was compared between </w:t>
      </w:r>
      <w:r w:rsidR="004C69CF">
        <w:t>ECZ</w:t>
      </w:r>
      <w:r>
        <w:t xml:space="preserve"> and placebo groups in an endpoint analysis. </w:t>
      </w:r>
      <w:r w:rsidR="00205D92">
        <w:t xml:space="preserve">The </w:t>
      </w:r>
      <w:r w:rsidR="00FC46CB">
        <w:t xml:space="preserve">study </w:t>
      </w:r>
      <w:r w:rsidR="00205D92">
        <w:t xml:space="preserve">primary efficacy endpoint was first adjudicated relapse (first physician-determined relapse). </w:t>
      </w:r>
      <w:r w:rsidR="00FC46CB">
        <w:t>A s</w:t>
      </w:r>
      <w:r w:rsidR="00205D92">
        <w:t>econdary e</w:t>
      </w:r>
      <w:r w:rsidR="00FC46CB">
        <w:t>nd</w:t>
      </w:r>
      <w:r w:rsidR="00205D92">
        <w:t xml:space="preserve">point </w:t>
      </w:r>
      <w:r w:rsidR="00FC46CB">
        <w:t>was</w:t>
      </w:r>
      <w:r w:rsidR="00205D92">
        <w:t xml:space="preserve"> the adjudicated ARR (ARR based on physician</w:t>
      </w:r>
      <w:r w:rsidR="00FC46CB">
        <w:t>-</w:t>
      </w:r>
      <w:r w:rsidR="00205D92">
        <w:t xml:space="preserve">determined relapses). </w:t>
      </w:r>
    </w:p>
    <w:p w14:paraId="3D67DCE6" w14:textId="7AC46FBC" w:rsidR="00F8457B" w:rsidRDefault="00F03F27" w:rsidP="00D17F23">
      <w:r>
        <w:t xml:space="preserve">First adjudicated relapse and adjudicated </w:t>
      </w:r>
      <w:r w:rsidR="00F8457B">
        <w:t xml:space="preserve">ARR </w:t>
      </w:r>
      <w:r>
        <w:t>were both</w:t>
      </w:r>
      <w:r w:rsidR="00F8457B">
        <w:t xml:space="preserve"> significantly higher in the placebo group (</w:t>
      </w:r>
      <w:r>
        <w:t xml:space="preserve">both outcomes: </w:t>
      </w:r>
      <w:r w:rsidR="00F8457B">
        <w:t>p&lt;0.001</w:t>
      </w:r>
      <w:r w:rsidR="004412CF">
        <w:t xml:space="preserve">; </w:t>
      </w:r>
      <w:r w:rsidR="004412CF">
        <w:fldChar w:fldCharType="begin"/>
      </w:r>
      <w:r w:rsidR="004412CF">
        <w:instrText xml:space="preserve"> REF _Ref32415905 \h </w:instrText>
      </w:r>
      <w:r w:rsidR="004412CF">
        <w:fldChar w:fldCharType="separate"/>
      </w:r>
      <w:r w:rsidR="005475B9">
        <w:t xml:space="preserve">Table </w:t>
      </w:r>
      <w:r w:rsidR="005475B9">
        <w:rPr>
          <w:noProof/>
        </w:rPr>
        <w:t>55</w:t>
      </w:r>
      <w:r w:rsidR="004412CF">
        <w:fldChar w:fldCharType="end"/>
      </w:r>
      <w:r w:rsidR="00F8457B">
        <w:t>)</w:t>
      </w:r>
      <w:r>
        <w:t>.</w:t>
      </w:r>
    </w:p>
    <w:p w14:paraId="54923560" w14:textId="6AD27CE2" w:rsidR="00D17F23" w:rsidRDefault="00D17F23" w:rsidP="00D17F23">
      <w:pPr>
        <w:pStyle w:val="Caption"/>
        <w:ind w:left="720" w:hanging="720"/>
      </w:pPr>
      <w:bookmarkStart w:id="322" w:name="_Ref32415905"/>
      <w:bookmarkStart w:id="323" w:name="_Toc39580836"/>
      <w:r>
        <w:t xml:space="preserve">Table </w:t>
      </w:r>
      <w:fldSimple w:instr=" SEQ Table \* ARABIC ">
        <w:r w:rsidR="00FA7BCD">
          <w:rPr>
            <w:noProof/>
          </w:rPr>
          <w:t>55</w:t>
        </w:r>
      </w:fldSimple>
      <w:bookmarkEnd w:id="322"/>
      <w:r>
        <w:rPr>
          <w:noProof/>
        </w:rPr>
        <w:tab/>
      </w:r>
      <w:r w:rsidR="003B37E6">
        <w:rPr>
          <w:noProof/>
        </w:rPr>
        <w:t>Difference</w:t>
      </w:r>
      <w:r>
        <w:rPr>
          <w:noProof/>
        </w:rPr>
        <w:t xml:space="preserve"> in </w:t>
      </w:r>
      <w:r w:rsidR="003B37E6">
        <w:rPr>
          <w:noProof/>
        </w:rPr>
        <w:t>first adjudicated and ARR between</w:t>
      </w:r>
      <w:r>
        <w:rPr>
          <w:noProof/>
        </w:rPr>
        <w:t xml:space="preserve"> NMOSD patients randomized to </w:t>
      </w:r>
      <w:r w:rsidR="00BD5D00">
        <w:rPr>
          <w:noProof/>
        </w:rPr>
        <w:t>eculizumab (</w:t>
      </w:r>
      <w:r w:rsidR="00534C58">
        <w:rPr>
          <w:noProof/>
        </w:rPr>
        <w:t>ECZ</w:t>
      </w:r>
      <w:r w:rsidR="00BD5D00">
        <w:rPr>
          <w:noProof/>
        </w:rPr>
        <w:t>)</w:t>
      </w:r>
      <w:r>
        <w:rPr>
          <w:noProof/>
        </w:rPr>
        <w:t xml:space="preserve"> or placebo </w:t>
      </w:r>
      <w:r w:rsidR="001E4BD1">
        <w:rPr>
          <w:noProof/>
        </w:rPr>
        <w:fldChar w:fldCharType="begin"/>
      </w:r>
      <w:r w:rsidR="001E4BD1">
        <w:rPr>
          <w:noProof/>
        </w:rPr>
        <w:instrText xml:space="preserve"> ADDIN EN.CITE &lt;EndNote&gt;&lt;Cite&gt;&lt;Author&gt;Sean&lt;/Author&gt;&lt;Year&gt;2019&lt;/Year&gt;&lt;RecNum&gt;103&lt;/RecNum&gt;&lt;DisplayText&gt;(Pittock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sidR="001E4BD1">
        <w:rPr>
          <w:noProof/>
        </w:rPr>
        <w:fldChar w:fldCharType="separate"/>
      </w:r>
      <w:r w:rsidR="001E4BD1">
        <w:rPr>
          <w:noProof/>
        </w:rPr>
        <w:t>(Pittock et al. 2019)</w:t>
      </w:r>
      <w:bookmarkEnd w:id="323"/>
      <w:r w:rsidR="001E4BD1">
        <w:rPr>
          <w:noProof/>
        </w:rPr>
        <w:fldChar w:fldCharType="end"/>
      </w:r>
    </w:p>
    <w:tbl>
      <w:tblPr>
        <w:tblStyle w:val="TableGrid1"/>
        <w:tblW w:w="901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55 Difference in first adjudicated and ARR between NMOSD patients randomized to eculizumab (ECZ) or placebo (Pittock et al. 2019)"/>
        <w:tblDescription w:val="A comparison in change in ARR in NMOSD patients treated with either Eculizumab or placebo"/>
      </w:tblPr>
      <w:tblGrid>
        <w:gridCol w:w="1587"/>
        <w:gridCol w:w="1678"/>
        <w:gridCol w:w="1841"/>
        <w:gridCol w:w="1956"/>
        <w:gridCol w:w="1948"/>
      </w:tblGrid>
      <w:tr w:rsidR="003B37E6" w:rsidRPr="001C45F4" w14:paraId="0CF42527" w14:textId="77777777" w:rsidTr="003B37E6">
        <w:trPr>
          <w:cnfStyle w:val="100000000000" w:firstRow="1" w:lastRow="0" w:firstColumn="0" w:lastColumn="0" w:oddVBand="0" w:evenVBand="0" w:oddHBand="0" w:evenHBand="0" w:firstRowFirstColumn="0" w:firstRowLastColumn="0" w:lastRowFirstColumn="0" w:lastRowLastColumn="0"/>
        </w:trPr>
        <w:tc>
          <w:tcPr>
            <w:tcW w:w="1587" w:type="dxa"/>
            <w:tcBorders>
              <w:top w:val="single" w:sz="6" w:space="0" w:color="auto"/>
              <w:left w:val="single" w:sz="6" w:space="0" w:color="auto"/>
              <w:bottom w:val="single" w:sz="6" w:space="0" w:color="auto"/>
              <w:right w:val="single" w:sz="6" w:space="0" w:color="auto"/>
            </w:tcBorders>
          </w:tcPr>
          <w:p w14:paraId="08168B34" w14:textId="77777777" w:rsidR="003B37E6" w:rsidRDefault="003B37E6" w:rsidP="00605C49">
            <w:pPr>
              <w:jc w:val="left"/>
              <w:rPr>
                <w:rFonts w:ascii="Arial Narrow" w:hAnsi="Arial Narrow"/>
                <w:b/>
              </w:rPr>
            </w:pPr>
            <w:r>
              <w:rPr>
                <w:rFonts w:ascii="Arial Narrow" w:hAnsi="Arial Narrow"/>
                <w:b/>
              </w:rPr>
              <w:t>Outcome</w:t>
            </w:r>
          </w:p>
        </w:tc>
        <w:tc>
          <w:tcPr>
            <w:tcW w:w="1678" w:type="dxa"/>
            <w:tcBorders>
              <w:top w:val="single" w:sz="6" w:space="0" w:color="auto"/>
              <w:left w:val="single" w:sz="6" w:space="0" w:color="auto"/>
              <w:bottom w:val="single" w:sz="6" w:space="0" w:color="auto"/>
              <w:right w:val="single" w:sz="6" w:space="0" w:color="auto"/>
            </w:tcBorders>
            <w:hideMark/>
          </w:tcPr>
          <w:p w14:paraId="63E70FDF" w14:textId="77777777" w:rsidR="003B37E6" w:rsidRPr="001C45F4" w:rsidRDefault="003B37E6" w:rsidP="00605C49">
            <w:pPr>
              <w:jc w:val="left"/>
              <w:rPr>
                <w:rFonts w:ascii="Arial Narrow" w:hAnsi="Arial Narrow"/>
                <w:b/>
              </w:rPr>
            </w:pPr>
            <w:r>
              <w:rPr>
                <w:rFonts w:ascii="Arial Narrow" w:hAnsi="Arial Narrow"/>
                <w:b/>
              </w:rPr>
              <w:t>Timeline</w:t>
            </w:r>
          </w:p>
        </w:tc>
        <w:tc>
          <w:tcPr>
            <w:tcW w:w="1841" w:type="dxa"/>
            <w:tcBorders>
              <w:top w:val="single" w:sz="6" w:space="0" w:color="auto"/>
              <w:left w:val="single" w:sz="6" w:space="0" w:color="auto"/>
              <w:bottom w:val="single" w:sz="6" w:space="0" w:color="auto"/>
              <w:right w:val="single" w:sz="6" w:space="0" w:color="auto"/>
            </w:tcBorders>
            <w:hideMark/>
          </w:tcPr>
          <w:p w14:paraId="3258D0E1" w14:textId="77777777" w:rsidR="003B37E6" w:rsidRDefault="003B37E6" w:rsidP="00605C49">
            <w:pPr>
              <w:jc w:val="left"/>
              <w:rPr>
                <w:rFonts w:ascii="Arial Narrow" w:hAnsi="Arial Narrow"/>
                <w:b/>
              </w:rPr>
            </w:pPr>
            <w:r>
              <w:rPr>
                <w:rFonts w:ascii="Arial Narrow" w:hAnsi="Arial Narrow"/>
                <w:b/>
              </w:rPr>
              <w:t>E</w:t>
            </w:r>
            <w:r w:rsidR="00BD5D00">
              <w:rPr>
                <w:rFonts w:ascii="Arial Narrow" w:hAnsi="Arial Narrow"/>
                <w:b/>
              </w:rPr>
              <w:t>culizumab</w:t>
            </w:r>
            <w:r>
              <w:rPr>
                <w:rFonts w:ascii="Arial Narrow" w:hAnsi="Arial Narrow"/>
                <w:b/>
              </w:rPr>
              <w:t xml:space="preserve"> </w:t>
            </w:r>
          </w:p>
          <w:p w14:paraId="14520CAD" w14:textId="77777777" w:rsidR="003B37E6" w:rsidRDefault="003B37E6" w:rsidP="00605C49">
            <w:pPr>
              <w:jc w:val="left"/>
              <w:rPr>
                <w:rFonts w:ascii="Arial Narrow" w:hAnsi="Arial Narrow"/>
                <w:b/>
              </w:rPr>
            </w:pPr>
            <w:r>
              <w:rPr>
                <w:rFonts w:ascii="Arial Narrow" w:hAnsi="Arial Narrow"/>
                <w:b/>
              </w:rPr>
              <w:t>N=</w:t>
            </w:r>
            <w:r w:rsidR="004412CF">
              <w:rPr>
                <w:rFonts w:ascii="Arial Narrow" w:hAnsi="Arial Narrow"/>
                <w:b/>
              </w:rPr>
              <w:t>96</w:t>
            </w:r>
          </w:p>
          <w:p w14:paraId="2ABD0085" w14:textId="77777777" w:rsidR="003B37E6" w:rsidRPr="001C45F4" w:rsidRDefault="003B37E6" w:rsidP="00605C49">
            <w:pPr>
              <w:jc w:val="left"/>
              <w:rPr>
                <w:rFonts w:ascii="Arial Narrow" w:hAnsi="Arial Narrow"/>
                <w:b/>
              </w:rPr>
            </w:pPr>
            <w:r>
              <w:rPr>
                <w:rFonts w:ascii="Arial Narrow" w:hAnsi="Arial Narrow"/>
                <w:b/>
              </w:rPr>
              <w:t>(Mean±SD)</w:t>
            </w:r>
          </w:p>
        </w:tc>
        <w:tc>
          <w:tcPr>
            <w:tcW w:w="1956" w:type="dxa"/>
            <w:tcBorders>
              <w:top w:val="single" w:sz="6" w:space="0" w:color="auto"/>
              <w:left w:val="single" w:sz="6" w:space="0" w:color="auto"/>
              <w:bottom w:val="single" w:sz="6" w:space="0" w:color="auto"/>
              <w:right w:val="single" w:sz="6" w:space="0" w:color="auto"/>
            </w:tcBorders>
            <w:hideMark/>
          </w:tcPr>
          <w:p w14:paraId="2FC9C695" w14:textId="77777777" w:rsidR="003B37E6" w:rsidRDefault="003B37E6" w:rsidP="00605C49">
            <w:pPr>
              <w:jc w:val="left"/>
              <w:rPr>
                <w:rFonts w:ascii="Arial Narrow" w:hAnsi="Arial Narrow"/>
                <w:b/>
              </w:rPr>
            </w:pPr>
            <w:r>
              <w:rPr>
                <w:rFonts w:ascii="Arial Narrow" w:hAnsi="Arial Narrow"/>
                <w:b/>
              </w:rPr>
              <w:t xml:space="preserve">Placebo </w:t>
            </w:r>
          </w:p>
          <w:p w14:paraId="6AD41AEB" w14:textId="77777777" w:rsidR="003B37E6" w:rsidRDefault="003B37E6" w:rsidP="00605C49">
            <w:pPr>
              <w:jc w:val="left"/>
              <w:rPr>
                <w:rFonts w:ascii="Arial Narrow" w:hAnsi="Arial Narrow"/>
                <w:b/>
              </w:rPr>
            </w:pPr>
            <w:r>
              <w:rPr>
                <w:rFonts w:ascii="Arial Narrow" w:hAnsi="Arial Narrow"/>
                <w:b/>
              </w:rPr>
              <w:t>N=</w:t>
            </w:r>
            <w:r w:rsidR="004412CF">
              <w:rPr>
                <w:rFonts w:ascii="Arial Narrow" w:hAnsi="Arial Narrow"/>
                <w:b/>
              </w:rPr>
              <w:t>47</w:t>
            </w:r>
          </w:p>
          <w:p w14:paraId="66198C93" w14:textId="77777777" w:rsidR="003B37E6" w:rsidRPr="001C45F4" w:rsidRDefault="003B37E6" w:rsidP="00605C49">
            <w:pPr>
              <w:jc w:val="left"/>
              <w:rPr>
                <w:rFonts w:ascii="Arial Narrow" w:hAnsi="Arial Narrow"/>
                <w:b/>
              </w:rPr>
            </w:pPr>
            <w:r>
              <w:rPr>
                <w:rFonts w:ascii="Arial Narrow" w:hAnsi="Arial Narrow"/>
                <w:b/>
              </w:rPr>
              <w:t>(Mean±SD)</w:t>
            </w:r>
          </w:p>
        </w:tc>
        <w:tc>
          <w:tcPr>
            <w:tcW w:w="1948" w:type="dxa"/>
            <w:tcBorders>
              <w:top w:val="single" w:sz="6" w:space="0" w:color="auto"/>
              <w:left w:val="single" w:sz="6" w:space="0" w:color="auto"/>
              <w:bottom w:val="single" w:sz="6" w:space="0" w:color="auto"/>
              <w:right w:val="single" w:sz="6" w:space="0" w:color="auto"/>
            </w:tcBorders>
            <w:hideMark/>
          </w:tcPr>
          <w:p w14:paraId="7D32D01F" w14:textId="77777777" w:rsidR="003B37E6" w:rsidRDefault="003B37E6" w:rsidP="00605C49">
            <w:pPr>
              <w:jc w:val="left"/>
              <w:rPr>
                <w:rFonts w:ascii="Arial Narrow" w:hAnsi="Arial Narrow"/>
                <w:b/>
              </w:rPr>
            </w:pPr>
            <w:r w:rsidRPr="001C45F4">
              <w:rPr>
                <w:rFonts w:ascii="Arial Narrow" w:hAnsi="Arial Narrow"/>
                <w:b/>
              </w:rPr>
              <w:t>Difference</w:t>
            </w:r>
          </w:p>
          <w:p w14:paraId="2167249B" w14:textId="77777777" w:rsidR="003B37E6" w:rsidRPr="001C45F4" w:rsidRDefault="003B37E6" w:rsidP="00605C49">
            <w:pPr>
              <w:jc w:val="left"/>
              <w:rPr>
                <w:rFonts w:ascii="Arial Narrow" w:hAnsi="Arial Narrow"/>
                <w:b/>
              </w:rPr>
            </w:pPr>
            <w:r>
              <w:rPr>
                <w:rFonts w:ascii="Arial Narrow" w:hAnsi="Arial Narrow"/>
                <w:b/>
              </w:rPr>
              <w:t>HR (95%CI)</w:t>
            </w:r>
          </w:p>
        </w:tc>
      </w:tr>
      <w:tr w:rsidR="003B37E6" w:rsidRPr="004371CF" w14:paraId="38C9CDC7" w14:textId="77777777" w:rsidTr="00605C49">
        <w:tc>
          <w:tcPr>
            <w:tcW w:w="1587" w:type="dxa"/>
            <w:vMerge w:val="restart"/>
            <w:tcBorders>
              <w:top w:val="single" w:sz="6" w:space="0" w:color="auto"/>
              <w:left w:val="single" w:sz="6" w:space="0" w:color="auto"/>
              <w:right w:val="single" w:sz="6" w:space="0" w:color="auto"/>
            </w:tcBorders>
          </w:tcPr>
          <w:p w14:paraId="0D4210A7" w14:textId="77777777" w:rsidR="003B37E6" w:rsidRPr="00FC46CB" w:rsidRDefault="00F03F27" w:rsidP="00605C49">
            <w:pPr>
              <w:jc w:val="left"/>
              <w:rPr>
                <w:rFonts w:ascii="Arial Narrow" w:hAnsi="Arial Narrow"/>
                <w:vertAlign w:val="superscript"/>
              </w:rPr>
            </w:pPr>
            <w:r>
              <w:rPr>
                <w:rFonts w:ascii="Arial Narrow" w:hAnsi="Arial Narrow"/>
              </w:rPr>
              <w:t xml:space="preserve">Adjudicated </w:t>
            </w:r>
            <w:r w:rsidR="003B37E6">
              <w:rPr>
                <w:rFonts w:ascii="Arial Narrow" w:hAnsi="Arial Narrow"/>
              </w:rPr>
              <w:t>ARR</w:t>
            </w:r>
            <w:r w:rsidR="00FC46CB">
              <w:rPr>
                <w:rFonts w:ascii="Arial Narrow" w:hAnsi="Arial Narrow"/>
                <w:vertAlign w:val="superscript"/>
              </w:rPr>
              <w:t>a</w:t>
            </w:r>
          </w:p>
        </w:tc>
        <w:tc>
          <w:tcPr>
            <w:tcW w:w="1678" w:type="dxa"/>
            <w:tcBorders>
              <w:top w:val="single" w:sz="6" w:space="0" w:color="auto"/>
              <w:left w:val="single" w:sz="6" w:space="0" w:color="auto"/>
              <w:bottom w:val="single" w:sz="6" w:space="0" w:color="auto"/>
              <w:right w:val="single" w:sz="6" w:space="0" w:color="auto"/>
            </w:tcBorders>
          </w:tcPr>
          <w:p w14:paraId="3A859515" w14:textId="77777777" w:rsidR="003B37E6" w:rsidRDefault="003B37E6" w:rsidP="003B37E6">
            <w:pPr>
              <w:jc w:val="left"/>
              <w:rPr>
                <w:rFonts w:ascii="Arial Narrow" w:hAnsi="Arial Narrow"/>
              </w:rPr>
            </w:pPr>
            <w:r>
              <w:rPr>
                <w:rFonts w:ascii="Arial Narrow" w:hAnsi="Arial Narrow"/>
              </w:rPr>
              <w:t>Baseline (previous 24 months)</w:t>
            </w:r>
          </w:p>
        </w:tc>
        <w:tc>
          <w:tcPr>
            <w:tcW w:w="1841" w:type="dxa"/>
            <w:tcBorders>
              <w:top w:val="single" w:sz="6" w:space="0" w:color="auto"/>
              <w:left w:val="single" w:sz="6" w:space="0" w:color="auto"/>
              <w:bottom w:val="single" w:sz="6" w:space="0" w:color="auto"/>
              <w:right w:val="single" w:sz="6" w:space="0" w:color="auto"/>
            </w:tcBorders>
          </w:tcPr>
          <w:p w14:paraId="31B52C3C" w14:textId="77777777" w:rsidR="003B37E6" w:rsidRDefault="003B37E6" w:rsidP="00605C49">
            <w:pPr>
              <w:jc w:val="left"/>
              <w:rPr>
                <w:rFonts w:ascii="Arial Narrow" w:hAnsi="Arial Narrow"/>
              </w:rPr>
            </w:pPr>
            <w:r>
              <w:rPr>
                <w:rFonts w:ascii="Arial Narrow" w:hAnsi="Arial Narrow"/>
              </w:rPr>
              <w:t>1.94±0.90</w:t>
            </w:r>
          </w:p>
        </w:tc>
        <w:tc>
          <w:tcPr>
            <w:tcW w:w="1956" w:type="dxa"/>
            <w:tcBorders>
              <w:top w:val="single" w:sz="6" w:space="0" w:color="auto"/>
              <w:left w:val="single" w:sz="6" w:space="0" w:color="auto"/>
              <w:bottom w:val="single" w:sz="6" w:space="0" w:color="auto"/>
              <w:right w:val="single" w:sz="6" w:space="0" w:color="auto"/>
            </w:tcBorders>
          </w:tcPr>
          <w:p w14:paraId="0E6EB8F7" w14:textId="77777777" w:rsidR="003B37E6" w:rsidRDefault="003B37E6" w:rsidP="00605C49">
            <w:pPr>
              <w:jc w:val="left"/>
              <w:rPr>
                <w:rFonts w:ascii="Arial Narrow" w:hAnsi="Arial Narrow"/>
              </w:rPr>
            </w:pPr>
            <w:r>
              <w:rPr>
                <w:rFonts w:ascii="Arial Narrow" w:hAnsi="Arial Narrow"/>
              </w:rPr>
              <w:t>2.07±1.04</w:t>
            </w:r>
          </w:p>
        </w:tc>
        <w:tc>
          <w:tcPr>
            <w:tcW w:w="1948" w:type="dxa"/>
            <w:tcBorders>
              <w:top w:val="single" w:sz="6" w:space="0" w:color="auto"/>
              <w:left w:val="single" w:sz="6" w:space="0" w:color="auto"/>
              <w:bottom w:val="single" w:sz="6" w:space="0" w:color="auto"/>
              <w:right w:val="single" w:sz="6" w:space="0" w:color="auto"/>
            </w:tcBorders>
          </w:tcPr>
          <w:p w14:paraId="48BA93ED" w14:textId="77777777" w:rsidR="003B37E6" w:rsidRDefault="003B37E6" w:rsidP="00605C49">
            <w:pPr>
              <w:jc w:val="left"/>
              <w:rPr>
                <w:rFonts w:ascii="Arial Narrow" w:hAnsi="Arial Narrow"/>
              </w:rPr>
            </w:pPr>
            <w:r>
              <w:rPr>
                <w:rFonts w:ascii="Arial Narrow" w:hAnsi="Arial Narrow"/>
              </w:rPr>
              <w:t>NR</w:t>
            </w:r>
          </w:p>
        </w:tc>
      </w:tr>
      <w:tr w:rsidR="003B37E6" w:rsidRPr="004371CF" w14:paraId="477D1A05" w14:textId="77777777" w:rsidTr="00605C49">
        <w:tc>
          <w:tcPr>
            <w:tcW w:w="1587" w:type="dxa"/>
            <w:vMerge/>
            <w:tcBorders>
              <w:left w:val="single" w:sz="6" w:space="0" w:color="auto"/>
              <w:bottom w:val="single" w:sz="6" w:space="0" w:color="auto"/>
              <w:right w:val="single" w:sz="6" w:space="0" w:color="auto"/>
            </w:tcBorders>
          </w:tcPr>
          <w:p w14:paraId="30E82D9A" w14:textId="77777777" w:rsidR="003B37E6" w:rsidRDefault="003B37E6" w:rsidP="00605C49">
            <w:pPr>
              <w:jc w:val="left"/>
              <w:rPr>
                <w:rFonts w:ascii="Arial Narrow" w:hAnsi="Arial Narrow"/>
              </w:rPr>
            </w:pPr>
          </w:p>
        </w:tc>
        <w:tc>
          <w:tcPr>
            <w:tcW w:w="1678" w:type="dxa"/>
            <w:tcBorders>
              <w:top w:val="single" w:sz="6" w:space="0" w:color="auto"/>
              <w:left w:val="single" w:sz="6" w:space="0" w:color="auto"/>
              <w:bottom w:val="single" w:sz="6" w:space="0" w:color="auto"/>
              <w:right w:val="single" w:sz="6" w:space="0" w:color="auto"/>
            </w:tcBorders>
          </w:tcPr>
          <w:p w14:paraId="562A2C69" w14:textId="77777777" w:rsidR="003B37E6" w:rsidRPr="004371CF" w:rsidRDefault="003B37E6" w:rsidP="00605C49">
            <w:pPr>
              <w:jc w:val="left"/>
              <w:rPr>
                <w:rFonts w:ascii="Arial Narrow" w:hAnsi="Arial Narrow"/>
              </w:rPr>
            </w:pPr>
            <w:r>
              <w:rPr>
                <w:rFonts w:ascii="Arial Narrow" w:hAnsi="Arial Narrow"/>
              </w:rPr>
              <w:t>Follow-up</w:t>
            </w:r>
          </w:p>
        </w:tc>
        <w:tc>
          <w:tcPr>
            <w:tcW w:w="1841" w:type="dxa"/>
            <w:tcBorders>
              <w:top w:val="single" w:sz="6" w:space="0" w:color="auto"/>
              <w:left w:val="single" w:sz="6" w:space="0" w:color="auto"/>
              <w:bottom w:val="single" w:sz="6" w:space="0" w:color="auto"/>
              <w:right w:val="single" w:sz="6" w:space="0" w:color="auto"/>
            </w:tcBorders>
          </w:tcPr>
          <w:p w14:paraId="2AF68C37" w14:textId="0850E6E8" w:rsidR="003B37E6" w:rsidRPr="004371CF" w:rsidRDefault="007373CA" w:rsidP="003B37E6">
            <w:pPr>
              <w:jc w:val="left"/>
              <w:rPr>
                <w:rFonts w:ascii="Arial Narrow" w:hAnsi="Arial Narrow"/>
              </w:rPr>
            </w:pPr>
            <w:r>
              <w:rPr>
                <w:rFonts w:ascii="Arial Narrow" w:hAnsi="Arial Narrow"/>
              </w:rPr>
              <w:t>0.02 (0.01–</w:t>
            </w:r>
            <w:r w:rsidR="003B37E6">
              <w:rPr>
                <w:rFonts w:ascii="Arial Narrow" w:hAnsi="Arial Narrow"/>
              </w:rPr>
              <w:t>0.05)</w:t>
            </w:r>
          </w:p>
        </w:tc>
        <w:tc>
          <w:tcPr>
            <w:tcW w:w="1956" w:type="dxa"/>
            <w:tcBorders>
              <w:top w:val="single" w:sz="6" w:space="0" w:color="auto"/>
              <w:left w:val="single" w:sz="6" w:space="0" w:color="auto"/>
              <w:bottom w:val="single" w:sz="6" w:space="0" w:color="auto"/>
              <w:right w:val="single" w:sz="6" w:space="0" w:color="auto"/>
            </w:tcBorders>
          </w:tcPr>
          <w:p w14:paraId="4F6DEC2D" w14:textId="3879F5FC" w:rsidR="003B37E6" w:rsidRPr="004371CF" w:rsidRDefault="007373CA" w:rsidP="003B37E6">
            <w:pPr>
              <w:jc w:val="left"/>
              <w:rPr>
                <w:rFonts w:ascii="Arial Narrow" w:hAnsi="Arial Narrow"/>
              </w:rPr>
            </w:pPr>
            <w:r>
              <w:rPr>
                <w:rFonts w:ascii="Arial Narrow" w:hAnsi="Arial Narrow"/>
              </w:rPr>
              <w:t>0.35 (0.20–</w:t>
            </w:r>
            <w:r w:rsidR="003B37E6">
              <w:rPr>
                <w:rFonts w:ascii="Arial Narrow" w:hAnsi="Arial Narrow"/>
              </w:rPr>
              <w:t>0.62)</w:t>
            </w:r>
          </w:p>
        </w:tc>
        <w:tc>
          <w:tcPr>
            <w:tcW w:w="1948" w:type="dxa"/>
            <w:tcBorders>
              <w:top w:val="single" w:sz="6" w:space="0" w:color="auto"/>
              <w:left w:val="single" w:sz="6" w:space="0" w:color="auto"/>
              <w:bottom w:val="single" w:sz="6" w:space="0" w:color="auto"/>
              <w:right w:val="single" w:sz="6" w:space="0" w:color="auto"/>
            </w:tcBorders>
          </w:tcPr>
          <w:p w14:paraId="470A5E27" w14:textId="77777777" w:rsidR="003B37E6" w:rsidRDefault="003B37E6" w:rsidP="003B37E6">
            <w:pPr>
              <w:jc w:val="left"/>
              <w:rPr>
                <w:rFonts w:ascii="Arial Narrow" w:hAnsi="Arial Narrow"/>
              </w:rPr>
            </w:pPr>
            <w:r>
              <w:rPr>
                <w:rFonts w:ascii="Arial Narrow" w:hAnsi="Arial Narrow"/>
              </w:rPr>
              <w:t>0.04 (0.01, 0.015)</w:t>
            </w:r>
          </w:p>
          <w:p w14:paraId="73CAD5E8" w14:textId="77777777" w:rsidR="003B37E6" w:rsidRPr="004371CF" w:rsidRDefault="003B37E6" w:rsidP="003B37E6">
            <w:pPr>
              <w:jc w:val="left"/>
              <w:rPr>
                <w:rFonts w:ascii="Arial Narrow" w:hAnsi="Arial Narrow"/>
              </w:rPr>
            </w:pPr>
            <w:r>
              <w:rPr>
                <w:rFonts w:ascii="Arial Narrow" w:hAnsi="Arial Narrow"/>
              </w:rPr>
              <w:t>P&lt;0.001</w:t>
            </w:r>
          </w:p>
        </w:tc>
      </w:tr>
      <w:tr w:rsidR="003B37E6" w:rsidRPr="004371CF" w14:paraId="09938B87" w14:textId="77777777" w:rsidTr="003B37E6">
        <w:tc>
          <w:tcPr>
            <w:tcW w:w="1587" w:type="dxa"/>
            <w:tcBorders>
              <w:top w:val="single" w:sz="6" w:space="0" w:color="auto"/>
              <w:left w:val="single" w:sz="6" w:space="0" w:color="auto"/>
              <w:bottom w:val="single" w:sz="6" w:space="0" w:color="auto"/>
              <w:right w:val="single" w:sz="6" w:space="0" w:color="auto"/>
            </w:tcBorders>
          </w:tcPr>
          <w:p w14:paraId="255C0BA8" w14:textId="77777777" w:rsidR="003B37E6" w:rsidRPr="00FC46CB" w:rsidRDefault="003B37E6" w:rsidP="00605C49">
            <w:pPr>
              <w:jc w:val="left"/>
              <w:rPr>
                <w:rFonts w:ascii="Arial Narrow" w:hAnsi="Arial Narrow"/>
                <w:vertAlign w:val="superscript"/>
              </w:rPr>
            </w:pPr>
            <w:r>
              <w:rPr>
                <w:rFonts w:ascii="Arial Narrow" w:hAnsi="Arial Narrow"/>
              </w:rPr>
              <w:t xml:space="preserve">First adjudicated </w:t>
            </w:r>
            <w:r w:rsidR="00165421">
              <w:rPr>
                <w:rFonts w:ascii="Arial Narrow" w:hAnsi="Arial Narrow"/>
              </w:rPr>
              <w:t>relapse</w:t>
            </w:r>
            <w:r w:rsidR="00FC46CB">
              <w:rPr>
                <w:rFonts w:ascii="Arial Narrow" w:hAnsi="Arial Narrow"/>
                <w:vertAlign w:val="superscript"/>
              </w:rPr>
              <w:t>b</w:t>
            </w:r>
          </w:p>
        </w:tc>
        <w:tc>
          <w:tcPr>
            <w:tcW w:w="1678" w:type="dxa"/>
            <w:tcBorders>
              <w:top w:val="single" w:sz="6" w:space="0" w:color="auto"/>
              <w:left w:val="single" w:sz="6" w:space="0" w:color="auto"/>
              <w:bottom w:val="single" w:sz="6" w:space="0" w:color="auto"/>
              <w:right w:val="single" w:sz="6" w:space="0" w:color="auto"/>
            </w:tcBorders>
          </w:tcPr>
          <w:p w14:paraId="5737FDB4" w14:textId="77777777" w:rsidR="003B37E6" w:rsidRDefault="00F8457B" w:rsidP="00605C49">
            <w:pPr>
              <w:jc w:val="left"/>
              <w:rPr>
                <w:rFonts w:ascii="Arial Narrow" w:hAnsi="Arial Narrow"/>
              </w:rPr>
            </w:pPr>
            <w:r>
              <w:rPr>
                <w:rFonts w:ascii="Arial Narrow" w:hAnsi="Arial Narrow"/>
              </w:rPr>
              <w:t>0</w:t>
            </w:r>
          </w:p>
        </w:tc>
        <w:tc>
          <w:tcPr>
            <w:tcW w:w="1841" w:type="dxa"/>
            <w:tcBorders>
              <w:top w:val="single" w:sz="6" w:space="0" w:color="auto"/>
              <w:left w:val="single" w:sz="6" w:space="0" w:color="auto"/>
              <w:bottom w:val="single" w:sz="6" w:space="0" w:color="auto"/>
              <w:right w:val="single" w:sz="6" w:space="0" w:color="auto"/>
            </w:tcBorders>
          </w:tcPr>
          <w:p w14:paraId="1A0CBBC8" w14:textId="77777777" w:rsidR="003B37E6" w:rsidRDefault="00F8457B" w:rsidP="00605C49">
            <w:pPr>
              <w:jc w:val="left"/>
              <w:rPr>
                <w:rFonts w:ascii="Arial Narrow" w:hAnsi="Arial Narrow"/>
              </w:rPr>
            </w:pPr>
            <w:r>
              <w:rPr>
                <w:rFonts w:ascii="Arial Narrow" w:hAnsi="Arial Narrow"/>
              </w:rPr>
              <w:t>3</w:t>
            </w:r>
            <w:r w:rsidR="00F03F27">
              <w:rPr>
                <w:rFonts w:ascii="Arial Narrow" w:hAnsi="Arial Narrow"/>
              </w:rPr>
              <w:t>/96 (3%)</w:t>
            </w:r>
          </w:p>
        </w:tc>
        <w:tc>
          <w:tcPr>
            <w:tcW w:w="1956" w:type="dxa"/>
            <w:tcBorders>
              <w:top w:val="single" w:sz="6" w:space="0" w:color="auto"/>
              <w:left w:val="single" w:sz="6" w:space="0" w:color="auto"/>
              <w:bottom w:val="single" w:sz="6" w:space="0" w:color="auto"/>
              <w:right w:val="single" w:sz="6" w:space="0" w:color="auto"/>
            </w:tcBorders>
          </w:tcPr>
          <w:p w14:paraId="758CB5E1" w14:textId="77777777" w:rsidR="003B37E6" w:rsidRDefault="00F03F27" w:rsidP="00605C49">
            <w:pPr>
              <w:jc w:val="left"/>
              <w:rPr>
                <w:rFonts w:ascii="Arial Narrow" w:hAnsi="Arial Narrow"/>
              </w:rPr>
            </w:pPr>
            <w:r>
              <w:rPr>
                <w:rFonts w:ascii="Arial Narrow" w:hAnsi="Arial Narrow"/>
              </w:rPr>
              <w:t>20/47 (43%)</w:t>
            </w:r>
          </w:p>
        </w:tc>
        <w:tc>
          <w:tcPr>
            <w:tcW w:w="1948" w:type="dxa"/>
            <w:tcBorders>
              <w:top w:val="single" w:sz="6" w:space="0" w:color="auto"/>
              <w:left w:val="single" w:sz="6" w:space="0" w:color="auto"/>
              <w:bottom w:val="single" w:sz="6" w:space="0" w:color="auto"/>
              <w:right w:val="single" w:sz="6" w:space="0" w:color="auto"/>
            </w:tcBorders>
          </w:tcPr>
          <w:p w14:paraId="322A6ADB" w14:textId="77777777" w:rsidR="003B37E6" w:rsidRDefault="00F03F27" w:rsidP="003B37E6">
            <w:pPr>
              <w:jc w:val="left"/>
              <w:rPr>
                <w:rFonts w:ascii="Arial Narrow" w:hAnsi="Arial Narrow"/>
              </w:rPr>
            </w:pPr>
            <w:r>
              <w:rPr>
                <w:rFonts w:ascii="Arial Narrow" w:hAnsi="Arial Narrow"/>
              </w:rPr>
              <w:t>0.06 (0.02, 0.20)</w:t>
            </w:r>
          </w:p>
          <w:p w14:paraId="20521F9D" w14:textId="77777777" w:rsidR="00F03F27" w:rsidRDefault="00F03F27" w:rsidP="003B37E6">
            <w:pPr>
              <w:jc w:val="left"/>
              <w:rPr>
                <w:rFonts w:ascii="Arial Narrow" w:hAnsi="Arial Narrow"/>
              </w:rPr>
            </w:pPr>
            <w:r>
              <w:rPr>
                <w:rFonts w:ascii="Arial Narrow" w:hAnsi="Arial Narrow"/>
              </w:rPr>
              <w:t>P&lt;0.001</w:t>
            </w:r>
          </w:p>
        </w:tc>
      </w:tr>
    </w:tbl>
    <w:p w14:paraId="7C5C6413" w14:textId="77777777" w:rsidR="00D17F23" w:rsidRDefault="004C69CF" w:rsidP="00D17F23">
      <w:pPr>
        <w:pStyle w:val="Tablenotes0"/>
      </w:pPr>
      <w:r>
        <w:t xml:space="preserve">ARR = annualised relapse rate; </w:t>
      </w:r>
      <w:r w:rsidR="00D17F23">
        <w:t>HR = hazard ratio; NMOSD = neuromyelitis optica spectrum disorder</w:t>
      </w:r>
      <w:r w:rsidR="00BC3F77">
        <w:t>s</w:t>
      </w:r>
      <w:r w:rsidR="00D17F23">
        <w:t>; SD = standard deviation</w:t>
      </w:r>
    </w:p>
    <w:p w14:paraId="7F782948" w14:textId="2AFB51C3" w:rsidR="00FC46CB" w:rsidRDefault="00FC46CB" w:rsidP="00D17F23">
      <w:pPr>
        <w:pStyle w:val="Tablenotes0"/>
      </w:pPr>
      <w:r>
        <w:rPr>
          <w:vertAlign w:val="superscript"/>
        </w:rPr>
        <w:t>a</w:t>
      </w:r>
      <w:r>
        <w:t xml:space="preserve"> Anualised relapse rate based on physician-determined </w:t>
      </w:r>
      <w:r w:rsidR="00A247DA">
        <w:t>relapses</w:t>
      </w:r>
    </w:p>
    <w:p w14:paraId="3FD49D14" w14:textId="253153A6" w:rsidR="00FC46CB" w:rsidRDefault="00FC46CB" w:rsidP="00D17F23">
      <w:pPr>
        <w:pStyle w:val="Tablenotes0"/>
      </w:pPr>
      <w:r>
        <w:rPr>
          <w:vertAlign w:val="superscript"/>
        </w:rPr>
        <w:t>b</w:t>
      </w:r>
      <w:r>
        <w:t xml:space="preserve"> First physician-determined </w:t>
      </w:r>
      <w:r w:rsidR="005475B9">
        <w:t>relapse</w:t>
      </w:r>
    </w:p>
    <w:p w14:paraId="260104E0" w14:textId="77777777" w:rsidR="005475B9" w:rsidRPr="00FC46CB" w:rsidRDefault="005475B9" w:rsidP="00D17F23">
      <w:pPr>
        <w:pStyle w:val="Tablenotes0"/>
      </w:pPr>
    </w:p>
    <w:p w14:paraId="7FD31AA7" w14:textId="77777777" w:rsidR="00E237A4" w:rsidRDefault="00ED0550" w:rsidP="00C01F8A">
      <w:pPr>
        <w:pStyle w:val="Heading4"/>
      </w:pPr>
      <w:r>
        <w:t>Change in ARR and EDSS for AQP4-Ab positive NMOSD patients given Azathioprine (AZA)</w:t>
      </w:r>
    </w:p>
    <w:p w14:paraId="60B280D0" w14:textId="55ACBED7" w:rsidR="00E237A4" w:rsidRDefault="00ED0550" w:rsidP="00E237A4">
      <w:r>
        <w:t>Elsone et al (2014)</w:t>
      </w:r>
      <w:r w:rsidR="00E237A4" w:rsidRPr="00D813D0">
        <w:t xml:space="preserve"> assess</w:t>
      </w:r>
      <w:r>
        <w:t>ed</w:t>
      </w:r>
      <w:r w:rsidR="00E237A4" w:rsidRPr="00D813D0">
        <w:t xml:space="preserve"> efficacy, tolerability and retention of AZA in a cohort of </w:t>
      </w:r>
      <w:r w:rsidR="00E237A4">
        <w:t xml:space="preserve">103 </w:t>
      </w:r>
      <w:r w:rsidR="00E237A4" w:rsidRPr="00D813D0">
        <w:t xml:space="preserve">AQP4-Ab positive NMOSD patients, </w:t>
      </w:r>
      <w:r w:rsidR="00156621">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 </w:instrText>
      </w:r>
      <w:r w:rsidR="00D96694">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EN.CITE.DATA </w:instrText>
      </w:r>
      <w:r w:rsidR="00D96694">
        <w:fldChar w:fldCharType="end"/>
      </w:r>
      <w:r w:rsidR="00156621">
        <w:fldChar w:fldCharType="separate"/>
      </w:r>
      <w:r w:rsidR="00156621">
        <w:rPr>
          <w:noProof/>
        </w:rPr>
        <w:t>(Elsone et al. 2014)</w:t>
      </w:r>
      <w:r w:rsidR="00156621">
        <w:fldChar w:fldCharType="end"/>
      </w:r>
      <w:r>
        <w:t>.</w:t>
      </w:r>
      <w:r w:rsidR="00E237A4" w:rsidRPr="00D813D0">
        <w:t xml:space="preserve"> </w:t>
      </w:r>
      <w:r>
        <w:t xml:space="preserve">Efficacy was based on the change in ARR and EDSS. The median follow-up of the whole cohort was 18 months, however using Kaplan-Myer analysis it was estimated that </w:t>
      </w:r>
      <w:r w:rsidR="00E237A4" w:rsidRPr="00D813D0">
        <w:t xml:space="preserve">nearly 73%, 58%, 47% and 33% of patients </w:t>
      </w:r>
      <w:r w:rsidR="00A247DA" w:rsidRPr="00D813D0">
        <w:t>would</w:t>
      </w:r>
      <w:r w:rsidR="00E237A4" w:rsidRPr="00D813D0">
        <w:t xml:space="preserve"> remain on AZA for longer than one, </w:t>
      </w:r>
      <w:r w:rsidR="00E237A4" w:rsidRPr="00D813D0">
        <w:lastRenderedPageBreak/>
        <w:t xml:space="preserve">three, five and </w:t>
      </w:r>
      <w:r w:rsidR="00E237A4">
        <w:t>ten</w:t>
      </w:r>
      <w:r w:rsidR="00E237A4" w:rsidRPr="00D813D0">
        <w:t xml:space="preserve"> years, respectively, after initiation of treatment </w:t>
      </w:r>
      <w:r w:rsidR="00156621">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 </w:instrText>
      </w:r>
      <w:r w:rsidR="00D96694">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EN.CITE.DATA </w:instrText>
      </w:r>
      <w:r w:rsidR="00D96694">
        <w:fldChar w:fldCharType="end"/>
      </w:r>
      <w:r w:rsidR="00156621">
        <w:fldChar w:fldCharType="separate"/>
      </w:r>
      <w:r w:rsidR="00156621">
        <w:rPr>
          <w:noProof/>
        </w:rPr>
        <w:t>(Elsone et al. 2014)</w:t>
      </w:r>
      <w:r w:rsidR="00156621">
        <w:fldChar w:fldCharType="end"/>
      </w:r>
      <w:r w:rsidR="00E237A4" w:rsidRPr="00D813D0">
        <w:t>.</w:t>
      </w:r>
      <w:r w:rsidR="00E237A4">
        <w:t xml:space="preserve"> The reasons for treatment discontinuation were mainly attributed to tolerability (due to </w:t>
      </w:r>
      <w:r w:rsidR="005475B9">
        <w:t>side effects</w:t>
      </w:r>
      <w:r w:rsidR="00E237A4">
        <w:t>), death and disease-activity.</w:t>
      </w:r>
    </w:p>
    <w:p w14:paraId="3B04870D" w14:textId="068A2E6D" w:rsidR="00E237A4" w:rsidRDefault="00ED0550" w:rsidP="00EC2492">
      <w:r>
        <w:t xml:space="preserve">Change in ARR and EDSS results are shown in </w:t>
      </w:r>
      <w:r w:rsidR="00680028">
        <w:fldChar w:fldCharType="begin"/>
      </w:r>
      <w:r w:rsidR="00680028">
        <w:instrText xml:space="preserve"> REF _Ref36039053 \h </w:instrText>
      </w:r>
      <w:r w:rsidR="00680028">
        <w:fldChar w:fldCharType="separate"/>
      </w:r>
      <w:r w:rsidR="005475B9">
        <w:t xml:space="preserve">Table </w:t>
      </w:r>
      <w:r w:rsidR="005475B9">
        <w:rPr>
          <w:noProof/>
        </w:rPr>
        <w:t>56</w:t>
      </w:r>
      <w:r w:rsidR="00680028">
        <w:fldChar w:fldCharType="end"/>
      </w:r>
      <w:r w:rsidR="00680028">
        <w:t>. There was an improvement in both outcomes, but the difference in ARR was statistically significant (p &lt; 0.00005) but the reduction in EDSS was not.</w:t>
      </w:r>
    </w:p>
    <w:p w14:paraId="37BDCF3F" w14:textId="35F84668" w:rsidR="00ED0550" w:rsidRDefault="00ED0550" w:rsidP="00ED0550">
      <w:pPr>
        <w:pStyle w:val="Caption"/>
      </w:pPr>
      <w:bookmarkStart w:id="324" w:name="_Ref36039053"/>
      <w:bookmarkStart w:id="325" w:name="_Toc39580837"/>
      <w:r>
        <w:t xml:space="preserve">Table </w:t>
      </w:r>
      <w:fldSimple w:instr=" SEQ Table \* ARABIC ">
        <w:r w:rsidR="00FA7BCD">
          <w:rPr>
            <w:noProof/>
          </w:rPr>
          <w:t>56</w:t>
        </w:r>
      </w:fldSimple>
      <w:bookmarkEnd w:id="324"/>
      <w:r>
        <w:rPr>
          <w:noProof/>
        </w:rPr>
        <w:tab/>
        <w:t xml:space="preserve">Change in ARR and EDSS from before to after azathioprine (AZA) treatment </w:t>
      </w:r>
      <w:r w:rsidR="00156621">
        <w:rPr>
          <w:noProof/>
        </w:rPr>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rPr>
          <w:noProof/>
        </w:rPr>
        <w:instrText xml:space="preserve"> ADDIN EN.CITE </w:instrText>
      </w:r>
      <w:r w:rsidR="00D96694">
        <w:rPr>
          <w:noProof/>
        </w:rPr>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rPr>
          <w:noProof/>
        </w:rPr>
        <w:instrText xml:space="preserve"> ADDIN EN.CITE.DATA </w:instrText>
      </w:r>
      <w:r w:rsidR="00D96694">
        <w:rPr>
          <w:noProof/>
        </w:rPr>
      </w:r>
      <w:r w:rsidR="00D96694">
        <w:rPr>
          <w:noProof/>
        </w:rPr>
        <w:fldChar w:fldCharType="end"/>
      </w:r>
      <w:r w:rsidR="00156621">
        <w:rPr>
          <w:noProof/>
        </w:rPr>
      </w:r>
      <w:r w:rsidR="00156621">
        <w:rPr>
          <w:noProof/>
        </w:rPr>
        <w:fldChar w:fldCharType="separate"/>
      </w:r>
      <w:r w:rsidR="00156621">
        <w:rPr>
          <w:noProof/>
        </w:rPr>
        <w:t>(Elsone et al. 2014)</w:t>
      </w:r>
      <w:bookmarkEnd w:id="325"/>
      <w:r w:rsidR="00156621">
        <w:rPr>
          <w:noProof/>
        </w:rPr>
        <w:fldChar w:fldCharType="end"/>
      </w:r>
    </w:p>
    <w:tbl>
      <w:tblPr>
        <w:tblStyle w:val="TableGrid1"/>
        <w:tblW w:w="892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56 Change in ARR and EDSS from before to after azathioprine (AZA) treatment (Elsone et al. 2014)"/>
        <w:tblDescription w:val="The before and after change in ARR and EDSS in pNMOSD patients treated with azathioprine"/>
      </w:tblPr>
      <w:tblGrid>
        <w:gridCol w:w="2402"/>
        <w:gridCol w:w="1985"/>
        <w:gridCol w:w="2268"/>
        <w:gridCol w:w="2268"/>
      </w:tblGrid>
      <w:tr w:rsidR="00ED0550" w:rsidRPr="001C45F4" w14:paraId="10B06D39" w14:textId="77777777" w:rsidTr="00ED0550">
        <w:trPr>
          <w:cnfStyle w:val="100000000000" w:firstRow="1" w:lastRow="0" w:firstColumn="0" w:lastColumn="0" w:oddVBand="0" w:evenVBand="0" w:oddHBand="0" w:evenHBand="0" w:firstRowFirstColumn="0" w:firstRowLastColumn="0" w:lastRowFirstColumn="0" w:lastRowLastColumn="0"/>
        </w:trPr>
        <w:tc>
          <w:tcPr>
            <w:tcW w:w="2402" w:type="dxa"/>
            <w:tcBorders>
              <w:top w:val="single" w:sz="6" w:space="0" w:color="auto"/>
              <w:left w:val="single" w:sz="6" w:space="0" w:color="auto"/>
              <w:bottom w:val="single" w:sz="6" w:space="0" w:color="auto"/>
              <w:right w:val="single" w:sz="6" w:space="0" w:color="auto"/>
            </w:tcBorders>
            <w:hideMark/>
          </w:tcPr>
          <w:p w14:paraId="07C46F58" w14:textId="77777777" w:rsidR="00ED0550" w:rsidRDefault="00ED0550" w:rsidP="002E2399">
            <w:pPr>
              <w:jc w:val="left"/>
              <w:rPr>
                <w:rFonts w:ascii="Arial Narrow" w:hAnsi="Arial Narrow"/>
                <w:b/>
              </w:rPr>
            </w:pPr>
            <w:r>
              <w:rPr>
                <w:rFonts w:ascii="Arial Narrow" w:hAnsi="Arial Narrow"/>
                <w:b/>
              </w:rPr>
              <w:t>Outcome</w:t>
            </w:r>
          </w:p>
          <w:p w14:paraId="15F03313" w14:textId="77777777" w:rsidR="00680028" w:rsidRPr="001C45F4" w:rsidRDefault="00680028" w:rsidP="002E2399">
            <w:pPr>
              <w:jc w:val="left"/>
              <w:rPr>
                <w:rFonts w:ascii="Arial Narrow" w:hAnsi="Arial Narrow"/>
                <w:b/>
              </w:rPr>
            </w:pPr>
            <w:r>
              <w:rPr>
                <w:rFonts w:ascii="Arial Narrow" w:hAnsi="Arial Narrow"/>
                <w:b/>
              </w:rPr>
              <w:t>N patients</w:t>
            </w:r>
          </w:p>
        </w:tc>
        <w:tc>
          <w:tcPr>
            <w:tcW w:w="1985" w:type="dxa"/>
            <w:tcBorders>
              <w:top w:val="single" w:sz="6" w:space="0" w:color="auto"/>
              <w:left w:val="single" w:sz="6" w:space="0" w:color="auto"/>
              <w:bottom w:val="single" w:sz="6" w:space="0" w:color="auto"/>
              <w:right w:val="single" w:sz="6" w:space="0" w:color="auto"/>
            </w:tcBorders>
            <w:hideMark/>
          </w:tcPr>
          <w:p w14:paraId="3AE42AE8" w14:textId="77777777" w:rsidR="00ED0550" w:rsidRDefault="00ED0550" w:rsidP="002E2399">
            <w:pPr>
              <w:jc w:val="left"/>
              <w:rPr>
                <w:rFonts w:ascii="Arial Narrow" w:hAnsi="Arial Narrow"/>
                <w:b/>
              </w:rPr>
            </w:pPr>
            <w:r>
              <w:rPr>
                <w:rFonts w:ascii="Arial Narrow" w:hAnsi="Arial Narrow"/>
                <w:b/>
              </w:rPr>
              <w:t xml:space="preserve">Baseline </w:t>
            </w:r>
            <w:r w:rsidR="00680028">
              <w:rPr>
                <w:rFonts w:ascii="Arial Narrow" w:hAnsi="Arial Narrow"/>
                <w:b/>
              </w:rPr>
              <w:t>(pre-treatment)</w:t>
            </w:r>
          </w:p>
          <w:p w14:paraId="5E4ED94D" w14:textId="77777777" w:rsidR="00ED0550" w:rsidRPr="001C45F4" w:rsidRDefault="00680028" w:rsidP="00680028">
            <w:pPr>
              <w:jc w:val="left"/>
              <w:rPr>
                <w:rFonts w:ascii="Arial Narrow" w:hAnsi="Arial Narrow"/>
                <w:b/>
              </w:rPr>
            </w:pPr>
            <w:r>
              <w:rPr>
                <w:rFonts w:ascii="Arial Narrow" w:hAnsi="Arial Narrow"/>
                <w:b/>
              </w:rPr>
              <w:t>Median (IQR</w:t>
            </w:r>
            <w:r w:rsidR="00ED0550">
              <w:rPr>
                <w:rFonts w:ascii="Arial Narrow" w:hAnsi="Arial Narrow"/>
                <w:b/>
              </w:rPr>
              <w:t>)</w:t>
            </w:r>
          </w:p>
        </w:tc>
        <w:tc>
          <w:tcPr>
            <w:tcW w:w="2268" w:type="dxa"/>
            <w:tcBorders>
              <w:top w:val="single" w:sz="6" w:space="0" w:color="auto"/>
              <w:left w:val="single" w:sz="6" w:space="0" w:color="auto"/>
              <w:bottom w:val="single" w:sz="6" w:space="0" w:color="auto"/>
              <w:right w:val="single" w:sz="6" w:space="0" w:color="auto"/>
            </w:tcBorders>
            <w:hideMark/>
          </w:tcPr>
          <w:p w14:paraId="11F342B5" w14:textId="77777777" w:rsidR="00ED0550" w:rsidRDefault="00ED0550" w:rsidP="002E2399">
            <w:pPr>
              <w:jc w:val="left"/>
              <w:rPr>
                <w:rFonts w:ascii="Arial Narrow" w:hAnsi="Arial Narrow"/>
                <w:b/>
              </w:rPr>
            </w:pPr>
            <w:r>
              <w:rPr>
                <w:rFonts w:ascii="Arial Narrow" w:hAnsi="Arial Narrow"/>
                <w:b/>
              </w:rPr>
              <w:t xml:space="preserve">Follow-up </w:t>
            </w:r>
            <w:r w:rsidR="00680028">
              <w:rPr>
                <w:rFonts w:ascii="Arial Narrow" w:hAnsi="Arial Narrow"/>
                <w:b/>
              </w:rPr>
              <w:t>(post-treatment)</w:t>
            </w:r>
          </w:p>
          <w:p w14:paraId="3C52C42A" w14:textId="77777777" w:rsidR="00ED0550" w:rsidRPr="001C45F4" w:rsidRDefault="00680028" w:rsidP="00680028">
            <w:pPr>
              <w:jc w:val="left"/>
              <w:rPr>
                <w:rFonts w:ascii="Arial Narrow" w:hAnsi="Arial Narrow"/>
                <w:b/>
              </w:rPr>
            </w:pPr>
            <w:r>
              <w:rPr>
                <w:rFonts w:ascii="Arial Narrow" w:hAnsi="Arial Narrow"/>
                <w:b/>
              </w:rPr>
              <w:t>Median (IQR)</w:t>
            </w:r>
          </w:p>
        </w:tc>
        <w:tc>
          <w:tcPr>
            <w:tcW w:w="2268" w:type="dxa"/>
            <w:tcBorders>
              <w:top w:val="single" w:sz="6" w:space="0" w:color="auto"/>
              <w:left w:val="single" w:sz="6" w:space="0" w:color="auto"/>
              <w:bottom w:val="single" w:sz="6" w:space="0" w:color="auto"/>
              <w:right w:val="single" w:sz="6" w:space="0" w:color="auto"/>
            </w:tcBorders>
            <w:hideMark/>
          </w:tcPr>
          <w:p w14:paraId="4E3C51C1" w14:textId="77777777" w:rsidR="00ED0550" w:rsidRDefault="00ED0550" w:rsidP="002E2399">
            <w:pPr>
              <w:jc w:val="left"/>
              <w:rPr>
                <w:rFonts w:ascii="Arial Narrow" w:hAnsi="Arial Narrow"/>
                <w:b/>
              </w:rPr>
            </w:pPr>
            <w:r w:rsidRPr="001C45F4">
              <w:rPr>
                <w:rFonts w:ascii="Arial Narrow" w:hAnsi="Arial Narrow"/>
                <w:b/>
              </w:rPr>
              <w:t>Difference</w:t>
            </w:r>
          </w:p>
          <w:p w14:paraId="7B19326D" w14:textId="77777777" w:rsidR="00ED0550" w:rsidRPr="001C45F4" w:rsidRDefault="00ED0550" w:rsidP="002E2399">
            <w:pPr>
              <w:jc w:val="left"/>
              <w:rPr>
                <w:rFonts w:ascii="Arial Narrow" w:hAnsi="Arial Narrow"/>
                <w:b/>
              </w:rPr>
            </w:pPr>
            <w:r>
              <w:rPr>
                <w:rFonts w:ascii="Arial Narrow" w:hAnsi="Arial Narrow"/>
                <w:b/>
              </w:rPr>
              <w:t>P value</w:t>
            </w:r>
          </w:p>
        </w:tc>
      </w:tr>
      <w:tr w:rsidR="00ED0550" w:rsidRPr="004371CF" w14:paraId="02B32FF2" w14:textId="77777777" w:rsidTr="00ED0550">
        <w:tc>
          <w:tcPr>
            <w:tcW w:w="2402" w:type="dxa"/>
            <w:tcBorders>
              <w:top w:val="single" w:sz="6" w:space="0" w:color="auto"/>
              <w:left w:val="single" w:sz="6" w:space="0" w:color="auto"/>
              <w:bottom w:val="single" w:sz="6" w:space="0" w:color="auto"/>
              <w:right w:val="single" w:sz="6" w:space="0" w:color="auto"/>
            </w:tcBorders>
          </w:tcPr>
          <w:p w14:paraId="5B5ACD4A" w14:textId="77777777" w:rsidR="00ED0550" w:rsidRDefault="00ED0550" w:rsidP="002E2399">
            <w:pPr>
              <w:jc w:val="left"/>
              <w:rPr>
                <w:rFonts w:ascii="Arial Narrow" w:hAnsi="Arial Narrow"/>
              </w:rPr>
            </w:pPr>
            <w:r>
              <w:rPr>
                <w:rFonts w:ascii="Arial Narrow" w:hAnsi="Arial Narrow"/>
              </w:rPr>
              <w:t>EDSS</w:t>
            </w:r>
          </w:p>
          <w:p w14:paraId="458288D1" w14:textId="77777777" w:rsidR="00680028" w:rsidRPr="004371CF" w:rsidRDefault="00680028" w:rsidP="002E2399">
            <w:pPr>
              <w:jc w:val="left"/>
              <w:rPr>
                <w:rFonts w:ascii="Arial Narrow" w:hAnsi="Arial Narrow"/>
              </w:rPr>
            </w:pPr>
            <w:r>
              <w:rPr>
                <w:rFonts w:ascii="Arial Narrow" w:hAnsi="Arial Narrow"/>
              </w:rPr>
              <w:t>N=96</w:t>
            </w:r>
          </w:p>
        </w:tc>
        <w:tc>
          <w:tcPr>
            <w:tcW w:w="1985" w:type="dxa"/>
            <w:tcBorders>
              <w:top w:val="single" w:sz="6" w:space="0" w:color="auto"/>
              <w:left w:val="single" w:sz="6" w:space="0" w:color="auto"/>
              <w:bottom w:val="single" w:sz="6" w:space="0" w:color="auto"/>
              <w:right w:val="single" w:sz="6" w:space="0" w:color="auto"/>
            </w:tcBorders>
          </w:tcPr>
          <w:p w14:paraId="3BC79A36" w14:textId="387E4DD3" w:rsidR="00ED0550" w:rsidRPr="004371CF" w:rsidRDefault="00680028" w:rsidP="007373CA">
            <w:pPr>
              <w:jc w:val="left"/>
              <w:rPr>
                <w:rFonts w:ascii="Arial Narrow" w:hAnsi="Arial Narrow"/>
              </w:rPr>
            </w:pPr>
            <w:r>
              <w:rPr>
                <w:rFonts w:ascii="Arial Narrow" w:hAnsi="Arial Narrow"/>
              </w:rPr>
              <w:t>6 (3.5</w:t>
            </w:r>
            <w:r w:rsidR="007373CA">
              <w:rPr>
                <w:rFonts w:ascii="Arial Narrow" w:hAnsi="Arial Narrow"/>
              </w:rPr>
              <w:t>–</w:t>
            </w:r>
            <w:r>
              <w:rPr>
                <w:rFonts w:ascii="Arial Narrow" w:hAnsi="Arial Narrow"/>
              </w:rPr>
              <w:t>6.5)</w:t>
            </w:r>
          </w:p>
        </w:tc>
        <w:tc>
          <w:tcPr>
            <w:tcW w:w="2268" w:type="dxa"/>
            <w:tcBorders>
              <w:top w:val="single" w:sz="6" w:space="0" w:color="auto"/>
              <w:left w:val="single" w:sz="6" w:space="0" w:color="auto"/>
              <w:bottom w:val="single" w:sz="6" w:space="0" w:color="auto"/>
              <w:right w:val="single" w:sz="6" w:space="0" w:color="auto"/>
            </w:tcBorders>
          </w:tcPr>
          <w:p w14:paraId="7373CCC0" w14:textId="40AF2527" w:rsidR="00ED0550" w:rsidRPr="004371CF" w:rsidRDefault="00680028" w:rsidP="007373CA">
            <w:pPr>
              <w:jc w:val="left"/>
              <w:rPr>
                <w:rFonts w:ascii="Arial Narrow" w:hAnsi="Arial Narrow"/>
              </w:rPr>
            </w:pPr>
            <w:r>
              <w:rPr>
                <w:rFonts w:ascii="Arial Narrow" w:hAnsi="Arial Narrow"/>
              </w:rPr>
              <w:t>5 (3.5</w:t>
            </w:r>
            <w:r w:rsidR="007373CA">
              <w:rPr>
                <w:rFonts w:ascii="Arial Narrow" w:hAnsi="Arial Narrow"/>
              </w:rPr>
              <w:t>–</w:t>
            </w:r>
            <w:r>
              <w:rPr>
                <w:rFonts w:ascii="Arial Narrow" w:hAnsi="Arial Narrow"/>
              </w:rPr>
              <w:t>6.5)</w:t>
            </w:r>
          </w:p>
        </w:tc>
        <w:tc>
          <w:tcPr>
            <w:tcW w:w="2268" w:type="dxa"/>
            <w:tcBorders>
              <w:top w:val="single" w:sz="6" w:space="0" w:color="auto"/>
              <w:left w:val="single" w:sz="6" w:space="0" w:color="auto"/>
              <w:bottom w:val="single" w:sz="6" w:space="0" w:color="auto"/>
              <w:right w:val="single" w:sz="6" w:space="0" w:color="auto"/>
            </w:tcBorders>
          </w:tcPr>
          <w:p w14:paraId="3C82D85D" w14:textId="77777777" w:rsidR="00ED0550" w:rsidRPr="004371CF" w:rsidRDefault="00680028" w:rsidP="002E2399">
            <w:pPr>
              <w:jc w:val="left"/>
              <w:rPr>
                <w:rFonts w:ascii="Arial Narrow" w:hAnsi="Arial Narrow"/>
              </w:rPr>
            </w:pPr>
            <w:r>
              <w:rPr>
                <w:rFonts w:ascii="Arial Narrow" w:hAnsi="Arial Narrow"/>
              </w:rPr>
              <w:t>P=0.52</w:t>
            </w:r>
          </w:p>
        </w:tc>
      </w:tr>
      <w:tr w:rsidR="00ED0550" w:rsidRPr="004371CF" w14:paraId="2A2F3A69" w14:textId="77777777" w:rsidTr="00ED0550">
        <w:tc>
          <w:tcPr>
            <w:tcW w:w="2402" w:type="dxa"/>
            <w:tcBorders>
              <w:top w:val="single" w:sz="6" w:space="0" w:color="auto"/>
              <w:left w:val="single" w:sz="6" w:space="0" w:color="auto"/>
              <w:bottom w:val="single" w:sz="6" w:space="0" w:color="auto"/>
              <w:right w:val="single" w:sz="6" w:space="0" w:color="auto"/>
            </w:tcBorders>
          </w:tcPr>
          <w:p w14:paraId="2F430752" w14:textId="77777777" w:rsidR="00ED0550" w:rsidRDefault="00ED0550" w:rsidP="002E2399">
            <w:pPr>
              <w:jc w:val="left"/>
              <w:rPr>
                <w:rFonts w:ascii="Arial Narrow" w:hAnsi="Arial Narrow"/>
              </w:rPr>
            </w:pPr>
            <w:r>
              <w:rPr>
                <w:rFonts w:ascii="Arial Narrow" w:hAnsi="Arial Narrow"/>
              </w:rPr>
              <w:t>ARR</w:t>
            </w:r>
          </w:p>
          <w:p w14:paraId="397C954E" w14:textId="77777777" w:rsidR="00680028" w:rsidRDefault="00680028" w:rsidP="002E2399">
            <w:pPr>
              <w:jc w:val="left"/>
              <w:rPr>
                <w:rFonts w:ascii="Arial Narrow" w:hAnsi="Arial Narrow"/>
              </w:rPr>
            </w:pPr>
            <w:r>
              <w:rPr>
                <w:rFonts w:ascii="Arial Narrow" w:hAnsi="Arial Narrow"/>
              </w:rPr>
              <w:t>N=103</w:t>
            </w:r>
          </w:p>
        </w:tc>
        <w:tc>
          <w:tcPr>
            <w:tcW w:w="1985" w:type="dxa"/>
            <w:tcBorders>
              <w:top w:val="single" w:sz="6" w:space="0" w:color="auto"/>
              <w:left w:val="single" w:sz="6" w:space="0" w:color="auto"/>
              <w:bottom w:val="single" w:sz="6" w:space="0" w:color="auto"/>
              <w:right w:val="single" w:sz="6" w:space="0" w:color="auto"/>
            </w:tcBorders>
          </w:tcPr>
          <w:p w14:paraId="7B78AADF" w14:textId="7256A5CB" w:rsidR="00ED0550" w:rsidRDefault="00680028" w:rsidP="007373CA">
            <w:pPr>
              <w:jc w:val="left"/>
              <w:rPr>
                <w:rFonts w:ascii="Arial Narrow" w:hAnsi="Arial Narrow"/>
              </w:rPr>
            </w:pPr>
            <w:r>
              <w:rPr>
                <w:rFonts w:ascii="Arial Narrow" w:hAnsi="Arial Narrow"/>
              </w:rPr>
              <w:t>1.5 (0.6</w:t>
            </w:r>
            <w:r w:rsidR="007373CA">
              <w:rPr>
                <w:rFonts w:ascii="Arial Narrow" w:hAnsi="Arial Narrow"/>
              </w:rPr>
              <w:t>–</w:t>
            </w:r>
            <w:r>
              <w:rPr>
                <w:rFonts w:ascii="Arial Narrow" w:hAnsi="Arial Narrow"/>
              </w:rPr>
              <w:t>4.0)</w:t>
            </w:r>
          </w:p>
        </w:tc>
        <w:tc>
          <w:tcPr>
            <w:tcW w:w="2268" w:type="dxa"/>
            <w:tcBorders>
              <w:top w:val="single" w:sz="6" w:space="0" w:color="auto"/>
              <w:left w:val="single" w:sz="6" w:space="0" w:color="auto"/>
              <w:bottom w:val="single" w:sz="6" w:space="0" w:color="auto"/>
              <w:right w:val="single" w:sz="6" w:space="0" w:color="auto"/>
            </w:tcBorders>
          </w:tcPr>
          <w:p w14:paraId="5F402F89" w14:textId="530E4AB7" w:rsidR="00ED0550" w:rsidRDefault="00680028" w:rsidP="007373CA">
            <w:pPr>
              <w:jc w:val="left"/>
              <w:rPr>
                <w:rFonts w:ascii="Arial Narrow" w:hAnsi="Arial Narrow"/>
              </w:rPr>
            </w:pPr>
            <w:r>
              <w:rPr>
                <w:rFonts w:ascii="Arial Narrow" w:hAnsi="Arial Narrow"/>
              </w:rPr>
              <w:t>0</w:t>
            </w:r>
            <w:r w:rsidRPr="00680028">
              <w:rPr>
                <w:rFonts w:ascii="Arial Narrow" w:hAnsi="Arial Narrow"/>
              </w:rPr>
              <w:t xml:space="preserve"> (0</w:t>
            </w:r>
            <w:r w:rsidR="007373CA">
              <w:rPr>
                <w:rFonts w:ascii="Arial Narrow" w:hAnsi="Arial Narrow"/>
              </w:rPr>
              <w:t>–</w:t>
            </w:r>
            <w:r>
              <w:rPr>
                <w:rFonts w:ascii="Arial Narrow" w:hAnsi="Arial Narrow"/>
              </w:rPr>
              <w:t>0.27</w:t>
            </w:r>
            <w:r w:rsidRPr="00680028">
              <w:rPr>
                <w:rFonts w:ascii="Arial Narrow" w:hAnsi="Arial Narrow"/>
              </w:rPr>
              <w:t>)</w:t>
            </w:r>
          </w:p>
        </w:tc>
        <w:tc>
          <w:tcPr>
            <w:tcW w:w="2268" w:type="dxa"/>
            <w:tcBorders>
              <w:top w:val="single" w:sz="6" w:space="0" w:color="auto"/>
              <w:left w:val="single" w:sz="6" w:space="0" w:color="auto"/>
              <w:bottom w:val="single" w:sz="6" w:space="0" w:color="auto"/>
              <w:right w:val="single" w:sz="6" w:space="0" w:color="auto"/>
            </w:tcBorders>
          </w:tcPr>
          <w:p w14:paraId="3C6C84CB" w14:textId="77777777" w:rsidR="00ED0550" w:rsidRDefault="00680028" w:rsidP="00680028">
            <w:pPr>
              <w:jc w:val="left"/>
              <w:rPr>
                <w:rFonts w:ascii="Arial Narrow" w:hAnsi="Arial Narrow"/>
              </w:rPr>
            </w:pPr>
            <w:r>
              <w:rPr>
                <w:rFonts w:ascii="Arial Narrow" w:hAnsi="Arial Narrow"/>
              </w:rPr>
              <w:t>p&lt;0.00005</w:t>
            </w:r>
          </w:p>
        </w:tc>
      </w:tr>
    </w:tbl>
    <w:p w14:paraId="6623C1DB" w14:textId="46387A73" w:rsidR="00705441" w:rsidRDefault="00705441" w:rsidP="00705441">
      <w:pPr>
        <w:pStyle w:val="Tablenotes0"/>
      </w:pPr>
      <w:r>
        <w:t>ARR = annualised relapse rate; EDSS = extended disability severity scale; IQR = inter-quartile range</w:t>
      </w:r>
    </w:p>
    <w:p w14:paraId="745D0E71" w14:textId="77777777" w:rsidR="00F87CBB" w:rsidRDefault="00F87CBB" w:rsidP="00F87CBB">
      <w:pPr>
        <w:pStyle w:val="Heading3"/>
      </w:pPr>
      <w:bookmarkStart w:id="326" w:name="_Toc39588337"/>
      <w:r>
        <w:t>Safety</w:t>
      </w:r>
      <w:bookmarkEnd w:id="326"/>
    </w:p>
    <w:p w14:paraId="30FFFDC3" w14:textId="60876D81" w:rsidR="00982312" w:rsidRDefault="00396920" w:rsidP="00982312">
      <w:r>
        <w:t>Adverse events</w:t>
      </w:r>
      <w:r w:rsidR="00982312">
        <w:t xml:space="preserve"> for the most commonly used therapies for NMOSD are reported in this section. </w:t>
      </w:r>
      <w:r w:rsidR="002F793A">
        <w:t>Only one study provided comparative evi</w:t>
      </w:r>
      <w:r w:rsidR="003B6F6C">
        <w:t xml:space="preserve">dence for safety. Pittock et al </w:t>
      </w:r>
      <w:r w:rsidR="001E4BD1">
        <w:fldChar w:fldCharType="begin"/>
      </w:r>
      <w:r w:rsidR="001E4BD1">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sidR="001E4BD1">
        <w:fldChar w:fldCharType="separate"/>
      </w:r>
      <w:r w:rsidR="001E4BD1">
        <w:rPr>
          <w:noProof/>
        </w:rPr>
        <w:t>(2019)</w:t>
      </w:r>
      <w:r w:rsidR="001E4BD1">
        <w:fldChar w:fldCharType="end"/>
      </w:r>
      <w:r w:rsidR="002F793A">
        <w:t xml:space="preserve"> compared adverse events between patients randomised to either </w:t>
      </w:r>
      <w:r w:rsidR="004C69CF">
        <w:t>ECZ</w:t>
      </w:r>
      <w:r w:rsidR="002F793A">
        <w:t xml:space="preserve"> or placebo. The remaining studies were non-comparative, and reported adverse events in patients receiving treatment only.</w:t>
      </w:r>
    </w:p>
    <w:p w14:paraId="67B6ED4A" w14:textId="77777777" w:rsidR="00982312" w:rsidRDefault="00204FCF" w:rsidP="00982312">
      <w:pPr>
        <w:pStyle w:val="Heading4"/>
      </w:pPr>
      <w:r>
        <w:t>Plasma Exchange (</w:t>
      </w:r>
      <w:r w:rsidR="00982312">
        <w:t>P</w:t>
      </w:r>
      <w:r w:rsidR="00054B2E">
        <w:t>LEX</w:t>
      </w:r>
      <w:r>
        <w:t>)</w:t>
      </w:r>
    </w:p>
    <w:p w14:paraId="6FBA2CB6" w14:textId="58F2ABF5" w:rsidR="00F87CBB" w:rsidRDefault="00A86D51" w:rsidP="00EC2492">
      <w:r>
        <w:t xml:space="preserve">Bonnan et al </w:t>
      </w:r>
      <w:r w:rsidR="00156621">
        <w:fldChar w:fldCharType="begin"/>
      </w:r>
      <w:r w:rsidR="00591217">
        <w:instrText xml:space="preserve"> ADDIN EN.CITE &lt;EndNote&gt;&lt;Cite&gt;&lt;Author&gt;Bonnan&lt;/Author&gt;&lt;Year&gt;2009&lt;/Year&gt;&lt;RecNum&gt;104&lt;/RecNum&gt;&lt;DisplayText&gt;(Bonnan, M et al. 2009)&lt;/DisplayText&gt;&lt;record&gt;&lt;rec-number&gt;104&lt;/rec-number&gt;&lt;foreign-keys&gt;&lt;key app="EN" db-id="r25zptaswpdzade29ws5pf9gx55ztppatt20" timestamp="1588575151"&gt;104&lt;/key&gt;&lt;/foreign-keys&gt;&lt;ref-type name="Journal Article"&gt;17&lt;/ref-type&gt;&lt;contributors&gt;&lt;authors&gt;&lt;author&gt;Bonnan, M&lt;/author&gt;&lt;author&gt;Valentino, R.&lt;/author&gt;&lt;author&gt;Olindo, S.&lt;/author&gt;&lt;author&gt;Mehdaoui, H.&lt;/author&gt;&lt;author&gt;Smadja, D.&lt;/author&gt;&lt;author&gt;Cabre, P.&lt;/author&gt;&lt;/authors&gt;&lt;/contributors&gt;&lt;auth-address&gt;Service de neurologie, Hopital Zobda Quitman, 97261 Fort-de-France, Martinique, French West Indies. mickael_bonnan@yahoo.fr&lt;/auth-address&gt;&lt;titles&gt;&lt;title&gt;Plasma exchange in severe spinal attacks associated with neuromyelitis optica spectrum disorder&lt;/title&gt;&lt;secondary-title&gt;Mult Scler&lt;/secondary-title&gt;&lt;/titles&gt;&lt;periodical&gt;&lt;full-title&gt;Mult Scler&lt;/full-title&gt;&lt;/periodical&gt;&lt;pages&gt;487-92&lt;/pages&gt;&lt;volume&gt;15&lt;/volume&gt;&lt;number&gt;4&lt;/number&gt;&lt;edition&gt;2009/03/28&lt;/edition&gt;&lt;keywords&gt;&lt;keyword&gt;Adolescent&lt;/keyword&gt;&lt;keyword&gt;Adult&lt;/keyword&gt;&lt;keyword&gt;Aged&lt;/keyword&gt;&lt;keyword&gt;Aged, 80 and over&lt;/keyword&gt;&lt;keyword&gt;Combined Modality Therapy&lt;/keyword&gt;&lt;keyword&gt;Female&lt;/keyword&gt;&lt;keyword&gt;Humans&lt;/keyword&gt;&lt;keyword&gt;Male&lt;/keyword&gt;&lt;keyword&gt;Middle Aged&lt;/keyword&gt;&lt;keyword&gt;Myelitis, Transverse/ drug therapy&lt;/keyword&gt;&lt;keyword&gt;Neuromyelitis Optica/ drug therapy&lt;/keyword&gt;&lt;keyword&gt;Plasma Exchange/adverse effects&lt;/keyword&gt;&lt;keyword&gt;Recurrence&lt;/keyword&gt;&lt;keyword&gt;Retrospective Studies&lt;/keyword&gt;&lt;keyword&gt;Severity of Illness Index&lt;/keyword&gt;&lt;keyword&gt;Steroids/ therapeutic use&lt;/keyword&gt;&lt;keyword&gt;Young Adult&lt;/keyword&gt;&lt;/keywords&gt;&lt;dates&gt;&lt;year&gt;2009&lt;/year&gt;&lt;pub-dates&gt;&lt;date&gt;Apr&lt;/date&gt;&lt;/pub-dates&gt;&lt;/dates&gt;&lt;isbn&gt;1352-4585 (Print)&amp;#xD;1352-4585 (Linking)&lt;/isbn&gt;&lt;accession-num&gt;19324982&lt;/accession-num&gt;&lt;urls&gt;&lt;/urls&gt;&lt;electronic-resource-num&gt;10.1177/1352458508100837&lt;/electronic-resource-num&gt;&lt;remote-database-provider&gt;NLM&lt;/remote-database-provider&gt;&lt;language&gt;eng&lt;/language&gt;&lt;/record&gt;&lt;/Cite&gt;&lt;/EndNote&gt;</w:instrText>
      </w:r>
      <w:r w:rsidR="00156621">
        <w:fldChar w:fldCharType="separate"/>
      </w:r>
      <w:r w:rsidR="00705441">
        <w:rPr>
          <w:noProof/>
        </w:rPr>
        <w:t>(</w:t>
      </w:r>
      <w:r w:rsidR="00591217">
        <w:rPr>
          <w:noProof/>
        </w:rPr>
        <w:t>2009)</w:t>
      </w:r>
      <w:r w:rsidR="00156621">
        <w:fldChar w:fldCharType="end"/>
      </w:r>
      <w:r>
        <w:t xml:space="preserve"> reported on the adverse events occurring in 29 patients receiving PLEX treatment for spinal attack. Eight minor adverse events were reported in seven PLEX sessions. One 84 year old man who experienced extreme brachicardia, and a patient with bacteraemia</w:t>
      </w:r>
      <w:r w:rsidR="00514EBB">
        <w:t>,</w:t>
      </w:r>
      <w:r>
        <w:t xml:space="preserve"> ceased treatment sessions early. The adverse events are listed in </w:t>
      </w:r>
      <w:r>
        <w:fldChar w:fldCharType="begin"/>
      </w:r>
      <w:r>
        <w:instrText xml:space="preserve"> REF _Ref30083314 \h </w:instrText>
      </w:r>
      <w:r>
        <w:fldChar w:fldCharType="separate"/>
      </w:r>
      <w:r w:rsidR="005475B9">
        <w:t xml:space="preserve">Table </w:t>
      </w:r>
      <w:r w:rsidR="005475B9">
        <w:rPr>
          <w:noProof/>
        </w:rPr>
        <w:t>57</w:t>
      </w:r>
      <w:r>
        <w:fldChar w:fldCharType="end"/>
      </w:r>
      <w:r>
        <w:t>.</w:t>
      </w:r>
    </w:p>
    <w:p w14:paraId="5452337C" w14:textId="2A198199" w:rsidR="00A86D51" w:rsidRDefault="00A86D51" w:rsidP="00A86D51">
      <w:pPr>
        <w:pStyle w:val="Caption"/>
        <w:ind w:left="720" w:hanging="720"/>
      </w:pPr>
      <w:bookmarkStart w:id="327" w:name="_Ref30083314"/>
      <w:bookmarkStart w:id="328" w:name="_Toc39580838"/>
      <w:r>
        <w:t xml:space="preserve">Table </w:t>
      </w:r>
      <w:fldSimple w:instr=" SEQ Table \* ARABIC ">
        <w:r w:rsidR="00FA7BCD">
          <w:rPr>
            <w:noProof/>
          </w:rPr>
          <w:t>57</w:t>
        </w:r>
      </w:fldSimple>
      <w:bookmarkEnd w:id="327"/>
      <w:r>
        <w:rPr>
          <w:noProof/>
        </w:rPr>
        <w:tab/>
        <w:t xml:space="preserve">Adverse events in NMOSD patients given </w:t>
      </w:r>
      <w:r w:rsidR="00204FCF">
        <w:rPr>
          <w:noProof/>
        </w:rPr>
        <w:t>plasma exchange (</w:t>
      </w:r>
      <w:r>
        <w:rPr>
          <w:noProof/>
        </w:rPr>
        <w:t>PLEX</w:t>
      </w:r>
      <w:r w:rsidR="00204FCF">
        <w:rPr>
          <w:noProof/>
        </w:rPr>
        <w:t>)</w:t>
      </w:r>
      <w:r>
        <w:rPr>
          <w:noProof/>
        </w:rPr>
        <w:t xml:space="preserve"> </w:t>
      </w:r>
      <w:r w:rsidR="00156621">
        <w:rPr>
          <w:noProof/>
        </w:rPr>
        <w:fldChar w:fldCharType="begin"/>
      </w:r>
      <w:r w:rsidR="00591217">
        <w:rPr>
          <w:noProof/>
        </w:rPr>
        <w:instrText xml:space="preserve"> ADDIN EN.CITE &lt;EndNote&gt;&lt;Cite&gt;&lt;Author&gt;Bonnan&lt;/Author&gt;&lt;Year&gt;2009&lt;/Year&gt;&lt;RecNum&gt;104&lt;/RecNum&gt;&lt;DisplayText&gt;(Bonnan, M et al. 2009)&lt;/DisplayText&gt;&lt;record&gt;&lt;rec-number&gt;104&lt;/rec-number&gt;&lt;foreign-keys&gt;&lt;key app="EN" db-id="r25zptaswpdzade29ws5pf9gx55ztppatt20" timestamp="1588575151"&gt;104&lt;/key&gt;&lt;/foreign-keys&gt;&lt;ref-type name="Journal Article"&gt;17&lt;/ref-type&gt;&lt;contributors&gt;&lt;authors&gt;&lt;author&gt;Bonnan, M&lt;/author&gt;&lt;author&gt;Valentino, R.&lt;/author&gt;&lt;author&gt;Olindo, S.&lt;/author&gt;&lt;author&gt;Mehdaoui, H.&lt;/author&gt;&lt;author&gt;Smadja, D.&lt;/author&gt;&lt;author&gt;Cabre, P.&lt;/author&gt;&lt;/authors&gt;&lt;/contributors&gt;&lt;auth-address&gt;Service de neurologie, Hopital Zobda Quitman, 97261 Fort-de-France, Martinique, French West Indies. mickael_bonnan@yahoo.fr&lt;/auth-address&gt;&lt;titles&gt;&lt;title&gt;Plasma exchange in severe spinal attacks associated with neuromyelitis optica spectrum disorder&lt;/title&gt;&lt;secondary-title&gt;Mult Scler&lt;/secondary-title&gt;&lt;/titles&gt;&lt;periodical&gt;&lt;full-title&gt;Mult Scler&lt;/full-title&gt;&lt;/periodical&gt;&lt;pages&gt;487-92&lt;/pages&gt;&lt;volume&gt;15&lt;/volume&gt;&lt;number&gt;4&lt;/number&gt;&lt;edition&gt;2009/03/28&lt;/edition&gt;&lt;keywords&gt;&lt;keyword&gt;Adolescent&lt;/keyword&gt;&lt;keyword&gt;Adult&lt;/keyword&gt;&lt;keyword&gt;Aged&lt;/keyword&gt;&lt;keyword&gt;Aged, 80 and over&lt;/keyword&gt;&lt;keyword&gt;Combined Modality Therapy&lt;/keyword&gt;&lt;keyword&gt;Female&lt;/keyword&gt;&lt;keyword&gt;Humans&lt;/keyword&gt;&lt;keyword&gt;Male&lt;/keyword&gt;&lt;keyword&gt;Middle Aged&lt;/keyword&gt;&lt;keyword&gt;Myelitis, Transverse/ drug therapy&lt;/keyword&gt;&lt;keyword&gt;Neuromyelitis Optica/ drug therapy&lt;/keyword&gt;&lt;keyword&gt;Plasma Exchange/adverse effects&lt;/keyword&gt;&lt;keyword&gt;Recurrence&lt;/keyword&gt;&lt;keyword&gt;Retrospective Studies&lt;/keyword&gt;&lt;keyword&gt;Severity of Illness Index&lt;/keyword&gt;&lt;keyword&gt;Steroids/ therapeutic use&lt;/keyword&gt;&lt;keyword&gt;Young Adult&lt;/keyword&gt;&lt;/keywords&gt;&lt;dates&gt;&lt;year&gt;2009&lt;/year&gt;&lt;pub-dates&gt;&lt;date&gt;Apr&lt;/date&gt;&lt;/pub-dates&gt;&lt;/dates&gt;&lt;isbn&gt;1352-4585 (Print)&amp;#xD;1352-4585 (Linking)&lt;/isbn&gt;&lt;accession-num&gt;19324982&lt;/accession-num&gt;&lt;urls&gt;&lt;/urls&gt;&lt;electronic-resource-num&gt;10.1177/1352458508100837&lt;/electronic-resource-num&gt;&lt;remote-database-provider&gt;NLM&lt;/remote-database-provider&gt;&lt;language&gt;eng&lt;/language&gt;&lt;/record&gt;&lt;/Cite&gt;&lt;/EndNote&gt;</w:instrText>
      </w:r>
      <w:r w:rsidR="00156621">
        <w:rPr>
          <w:noProof/>
        </w:rPr>
        <w:fldChar w:fldCharType="separate"/>
      </w:r>
      <w:r w:rsidR="00705441">
        <w:rPr>
          <w:noProof/>
        </w:rPr>
        <w:t>(Bonnan</w:t>
      </w:r>
      <w:r w:rsidR="00591217">
        <w:rPr>
          <w:noProof/>
        </w:rPr>
        <w:t xml:space="preserve"> et al. 2009)</w:t>
      </w:r>
      <w:bookmarkEnd w:id="328"/>
      <w:r w:rsidR="00156621">
        <w:rPr>
          <w:noProof/>
        </w:rPr>
        <w:fldChar w:fldCharType="end"/>
      </w:r>
    </w:p>
    <w:tbl>
      <w:tblPr>
        <w:tblStyle w:val="TableGrid1"/>
        <w:tblW w:w="6088"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57 Adverse events in NMOSD patients given plasma exchange (PLEX) (Bonnan et al. 2009)"/>
        <w:tblDescription w:val="Adverse events reported in NMSOD patients treated with plasma exchange therpay"/>
      </w:tblPr>
      <w:tblGrid>
        <w:gridCol w:w="3678"/>
        <w:gridCol w:w="2410"/>
      </w:tblGrid>
      <w:tr w:rsidR="00A86D51" w:rsidRPr="001C45F4" w14:paraId="16512ECA" w14:textId="77777777" w:rsidTr="002B6F2A">
        <w:trPr>
          <w:cnfStyle w:val="100000000000" w:firstRow="1" w:lastRow="0" w:firstColumn="0" w:lastColumn="0" w:oddVBand="0" w:evenVBand="0" w:oddHBand="0" w:evenHBand="0" w:firstRowFirstColumn="0" w:firstRowLastColumn="0" w:lastRowFirstColumn="0" w:lastRowLastColumn="0"/>
        </w:trPr>
        <w:tc>
          <w:tcPr>
            <w:tcW w:w="3678" w:type="dxa"/>
            <w:tcBorders>
              <w:top w:val="single" w:sz="6" w:space="0" w:color="auto"/>
              <w:left w:val="single" w:sz="6" w:space="0" w:color="auto"/>
              <w:bottom w:val="single" w:sz="6" w:space="0" w:color="auto"/>
              <w:right w:val="single" w:sz="6" w:space="0" w:color="auto"/>
            </w:tcBorders>
          </w:tcPr>
          <w:p w14:paraId="708DEF24" w14:textId="77777777" w:rsidR="00A86D51" w:rsidRDefault="00A86D51" w:rsidP="002B6F2A">
            <w:pPr>
              <w:jc w:val="left"/>
              <w:rPr>
                <w:rFonts w:ascii="Arial Narrow" w:hAnsi="Arial Narrow"/>
                <w:b/>
              </w:rPr>
            </w:pPr>
            <w:r>
              <w:rPr>
                <w:rFonts w:ascii="Arial Narrow" w:hAnsi="Arial Narrow"/>
                <w:b/>
              </w:rPr>
              <w:t>Adverse event</w:t>
            </w:r>
          </w:p>
        </w:tc>
        <w:tc>
          <w:tcPr>
            <w:tcW w:w="2410" w:type="dxa"/>
            <w:tcBorders>
              <w:top w:val="single" w:sz="6" w:space="0" w:color="auto"/>
              <w:left w:val="single" w:sz="6" w:space="0" w:color="auto"/>
              <w:bottom w:val="single" w:sz="6" w:space="0" w:color="auto"/>
              <w:right w:val="single" w:sz="6" w:space="0" w:color="auto"/>
            </w:tcBorders>
            <w:hideMark/>
          </w:tcPr>
          <w:p w14:paraId="101C22C7" w14:textId="77777777" w:rsidR="00A86D51" w:rsidRDefault="00A86D51" w:rsidP="002B6F2A">
            <w:pPr>
              <w:jc w:val="left"/>
              <w:rPr>
                <w:rFonts w:ascii="Arial Narrow" w:hAnsi="Arial Narrow"/>
                <w:b/>
              </w:rPr>
            </w:pPr>
            <w:r>
              <w:rPr>
                <w:rFonts w:ascii="Arial Narrow" w:hAnsi="Arial Narrow"/>
                <w:b/>
              </w:rPr>
              <w:t>Patient number</w:t>
            </w:r>
          </w:p>
          <w:p w14:paraId="226EF8F2" w14:textId="77777777" w:rsidR="00A86D51" w:rsidRPr="001C45F4" w:rsidRDefault="00E459FE" w:rsidP="002B6F2A">
            <w:pPr>
              <w:jc w:val="left"/>
              <w:rPr>
                <w:rFonts w:ascii="Arial Narrow" w:hAnsi="Arial Narrow"/>
                <w:b/>
              </w:rPr>
            </w:pPr>
            <w:r>
              <w:rPr>
                <w:rFonts w:ascii="Arial Narrow" w:hAnsi="Arial Narrow"/>
                <w:b/>
              </w:rPr>
              <w:t>n/</w:t>
            </w:r>
            <w:r w:rsidR="00A86D51">
              <w:rPr>
                <w:rFonts w:ascii="Arial Narrow" w:hAnsi="Arial Narrow"/>
                <w:b/>
              </w:rPr>
              <w:t>N (%)</w:t>
            </w:r>
          </w:p>
        </w:tc>
      </w:tr>
      <w:tr w:rsidR="00A86D51" w:rsidRPr="004371CF" w14:paraId="5F1BED83" w14:textId="77777777" w:rsidTr="002B6F2A">
        <w:tc>
          <w:tcPr>
            <w:tcW w:w="3678" w:type="dxa"/>
            <w:tcBorders>
              <w:top w:val="single" w:sz="6" w:space="0" w:color="auto"/>
              <w:left w:val="single" w:sz="6" w:space="0" w:color="auto"/>
              <w:bottom w:val="single" w:sz="6" w:space="0" w:color="auto"/>
              <w:right w:val="single" w:sz="6" w:space="0" w:color="auto"/>
            </w:tcBorders>
          </w:tcPr>
          <w:p w14:paraId="437CAAD0" w14:textId="77777777" w:rsidR="00A86D51" w:rsidRDefault="00A86D51" w:rsidP="00A86D51">
            <w:pPr>
              <w:jc w:val="left"/>
              <w:rPr>
                <w:rFonts w:ascii="Arial Narrow" w:hAnsi="Arial Narrow"/>
              </w:rPr>
            </w:pPr>
            <w:r>
              <w:rPr>
                <w:rFonts w:ascii="Arial Narrow" w:hAnsi="Arial Narrow"/>
              </w:rPr>
              <w:t>Deep hypofibrinogenaemia (below 0.5 g/L)</w:t>
            </w:r>
          </w:p>
        </w:tc>
        <w:tc>
          <w:tcPr>
            <w:tcW w:w="2410" w:type="dxa"/>
            <w:tcBorders>
              <w:top w:val="single" w:sz="6" w:space="0" w:color="auto"/>
              <w:left w:val="single" w:sz="6" w:space="0" w:color="auto"/>
              <w:bottom w:val="single" w:sz="6" w:space="0" w:color="auto"/>
              <w:right w:val="single" w:sz="6" w:space="0" w:color="auto"/>
            </w:tcBorders>
          </w:tcPr>
          <w:p w14:paraId="20B1C694" w14:textId="77777777" w:rsidR="00A86D51" w:rsidRDefault="00A86D51" w:rsidP="002B6F2A">
            <w:pPr>
              <w:jc w:val="left"/>
              <w:rPr>
                <w:rFonts w:ascii="Arial Narrow" w:hAnsi="Arial Narrow"/>
              </w:rPr>
            </w:pPr>
            <w:r>
              <w:rPr>
                <w:rFonts w:ascii="Arial Narrow" w:hAnsi="Arial Narrow"/>
              </w:rPr>
              <w:t>2/29 (6.9)</w:t>
            </w:r>
          </w:p>
        </w:tc>
      </w:tr>
      <w:tr w:rsidR="00A86D51" w:rsidRPr="004371CF" w14:paraId="582949BA" w14:textId="77777777" w:rsidTr="002B6F2A">
        <w:tc>
          <w:tcPr>
            <w:tcW w:w="3678" w:type="dxa"/>
            <w:tcBorders>
              <w:top w:val="single" w:sz="6" w:space="0" w:color="auto"/>
              <w:left w:val="single" w:sz="6" w:space="0" w:color="auto"/>
              <w:bottom w:val="single" w:sz="6" w:space="0" w:color="auto"/>
              <w:right w:val="single" w:sz="6" w:space="0" w:color="auto"/>
            </w:tcBorders>
          </w:tcPr>
          <w:p w14:paraId="4D739AF2" w14:textId="77777777" w:rsidR="00A86D51" w:rsidRDefault="00A86D51" w:rsidP="002B6F2A">
            <w:pPr>
              <w:jc w:val="left"/>
              <w:rPr>
                <w:rFonts w:ascii="Arial Narrow" w:hAnsi="Arial Narrow"/>
              </w:rPr>
            </w:pPr>
            <w:r>
              <w:rPr>
                <w:rFonts w:ascii="Arial Narrow" w:hAnsi="Arial Narrow"/>
              </w:rPr>
              <w:t>Hematoma at puncture site</w:t>
            </w:r>
          </w:p>
        </w:tc>
        <w:tc>
          <w:tcPr>
            <w:tcW w:w="2410" w:type="dxa"/>
            <w:tcBorders>
              <w:top w:val="single" w:sz="6" w:space="0" w:color="auto"/>
              <w:left w:val="single" w:sz="6" w:space="0" w:color="auto"/>
              <w:bottom w:val="single" w:sz="6" w:space="0" w:color="auto"/>
              <w:right w:val="single" w:sz="6" w:space="0" w:color="auto"/>
            </w:tcBorders>
          </w:tcPr>
          <w:p w14:paraId="670C2661" w14:textId="77777777" w:rsidR="00A86D51" w:rsidRDefault="003C373F" w:rsidP="003C373F">
            <w:pPr>
              <w:jc w:val="left"/>
              <w:rPr>
                <w:rFonts w:ascii="Arial Narrow" w:hAnsi="Arial Narrow"/>
              </w:rPr>
            </w:pPr>
            <w:r>
              <w:rPr>
                <w:rFonts w:ascii="Arial Narrow" w:hAnsi="Arial Narrow"/>
              </w:rPr>
              <w:t>2</w:t>
            </w:r>
            <w:r w:rsidR="00A86D51">
              <w:rPr>
                <w:rFonts w:ascii="Arial Narrow" w:hAnsi="Arial Narrow"/>
              </w:rPr>
              <w:t>/29 (3.4)</w:t>
            </w:r>
          </w:p>
        </w:tc>
      </w:tr>
      <w:tr w:rsidR="00A86D51" w:rsidRPr="004371CF" w14:paraId="5DE1E3B3" w14:textId="77777777" w:rsidTr="002B6F2A">
        <w:tc>
          <w:tcPr>
            <w:tcW w:w="3678" w:type="dxa"/>
            <w:tcBorders>
              <w:top w:val="single" w:sz="6" w:space="0" w:color="auto"/>
              <w:left w:val="single" w:sz="6" w:space="0" w:color="auto"/>
              <w:bottom w:val="single" w:sz="6" w:space="0" w:color="auto"/>
              <w:right w:val="single" w:sz="6" w:space="0" w:color="auto"/>
            </w:tcBorders>
          </w:tcPr>
          <w:p w14:paraId="42FE5364" w14:textId="77777777" w:rsidR="00A86D51" w:rsidRDefault="00A86D51" w:rsidP="002B6F2A">
            <w:pPr>
              <w:jc w:val="left"/>
              <w:rPr>
                <w:rFonts w:ascii="Arial Narrow" w:hAnsi="Arial Narrow"/>
              </w:rPr>
            </w:pPr>
            <w:r>
              <w:rPr>
                <w:rFonts w:ascii="Arial Narrow" w:hAnsi="Arial Narrow"/>
              </w:rPr>
              <w:t>Benign vagal reaction</w:t>
            </w:r>
          </w:p>
        </w:tc>
        <w:tc>
          <w:tcPr>
            <w:tcW w:w="2410" w:type="dxa"/>
            <w:tcBorders>
              <w:top w:val="single" w:sz="6" w:space="0" w:color="auto"/>
              <w:left w:val="single" w:sz="6" w:space="0" w:color="auto"/>
              <w:bottom w:val="single" w:sz="6" w:space="0" w:color="auto"/>
              <w:right w:val="single" w:sz="6" w:space="0" w:color="auto"/>
            </w:tcBorders>
          </w:tcPr>
          <w:p w14:paraId="31D1EF9B" w14:textId="77777777" w:rsidR="00A86D51" w:rsidRDefault="00A86D51" w:rsidP="00A86D51">
            <w:pPr>
              <w:jc w:val="left"/>
              <w:rPr>
                <w:rFonts w:ascii="Arial Narrow" w:hAnsi="Arial Narrow"/>
              </w:rPr>
            </w:pPr>
            <w:r>
              <w:rPr>
                <w:rFonts w:ascii="Arial Narrow" w:hAnsi="Arial Narrow"/>
              </w:rPr>
              <w:t>1/29 (3.4)</w:t>
            </w:r>
          </w:p>
        </w:tc>
      </w:tr>
      <w:tr w:rsidR="00A86D51" w:rsidRPr="004371CF" w14:paraId="5CC80603" w14:textId="77777777" w:rsidTr="002B6F2A">
        <w:tc>
          <w:tcPr>
            <w:tcW w:w="3678" w:type="dxa"/>
            <w:tcBorders>
              <w:top w:val="single" w:sz="6" w:space="0" w:color="auto"/>
              <w:left w:val="single" w:sz="6" w:space="0" w:color="auto"/>
              <w:bottom w:val="single" w:sz="6" w:space="0" w:color="auto"/>
              <w:right w:val="single" w:sz="6" w:space="0" w:color="auto"/>
            </w:tcBorders>
          </w:tcPr>
          <w:p w14:paraId="3DE9346D" w14:textId="77777777" w:rsidR="00A86D51" w:rsidRDefault="00A86D51" w:rsidP="002B6F2A">
            <w:pPr>
              <w:jc w:val="left"/>
              <w:rPr>
                <w:rFonts w:ascii="Arial Narrow" w:hAnsi="Arial Narrow"/>
              </w:rPr>
            </w:pPr>
            <w:r>
              <w:rPr>
                <w:rFonts w:ascii="Arial Narrow" w:hAnsi="Arial Narrow"/>
              </w:rPr>
              <w:t>Asymptomatic bacteraemia</w:t>
            </w:r>
          </w:p>
        </w:tc>
        <w:tc>
          <w:tcPr>
            <w:tcW w:w="2410" w:type="dxa"/>
            <w:tcBorders>
              <w:top w:val="single" w:sz="6" w:space="0" w:color="auto"/>
              <w:left w:val="single" w:sz="6" w:space="0" w:color="auto"/>
              <w:bottom w:val="single" w:sz="6" w:space="0" w:color="auto"/>
              <w:right w:val="single" w:sz="6" w:space="0" w:color="auto"/>
            </w:tcBorders>
          </w:tcPr>
          <w:p w14:paraId="368D10BD" w14:textId="77777777" w:rsidR="00A86D51" w:rsidRDefault="00A86D51" w:rsidP="00A86D51">
            <w:pPr>
              <w:jc w:val="left"/>
              <w:rPr>
                <w:rFonts w:ascii="Arial Narrow" w:hAnsi="Arial Narrow"/>
              </w:rPr>
            </w:pPr>
            <w:r>
              <w:rPr>
                <w:rFonts w:ascii="Arial Narrow" w:hAnsi="Arial Narrow"/>
              </w:rPr>
              <w:t>1/29 (3.4)</w:t>
            </w:r>
          </w:p>
        </w:tc>
      </w:tr>
      <w:tr w:rsidR="00A86D51" w:rsidRPr="004371CF" w14:paraId="23B4F3DB" w14:textId="77777777" w:rsidTr="002B6F2A">
        <w:tc>
          <w:tcPr>
            <w:tcW w:w="3678" w:type="dxa"/>
            <w:tcBorders>
              <w:top w:val="single" w:sz="6" w:space="0" w:color="auto"/>
              <w:left w:val="single" w:sz="6" w:space="0" w:color="auto"/>
              <w:bottom w:val="single" w:sz="6" w:space="0" w:color="auto"/>
              <w:right w:val="single" w:sz="6" w:space="0" w:color="auto"/>
            </w:tcBorders>
          </w:tcPr>
          <w:p w14:paraId="009B9BC0" w14:textId="77777777" w:rsidR="00A86D51" w:rsidRDefault="00A86D51" w:rsidP="002B6F2A">
            <w:pPr>
              <w:jc w:val="left"/>
              <w:rPr>
                <w:rFonts w:ascii="Arial Narrow" w:hAnsi="Arial Narrow"/>
              </w:rPr>
            </w:pPr>
            <w:r>
              <w:rPr>
                <w:rFonts w:ascii="Arial Narrow" w:hAnsi="Arial Narrow"/>
              </w:rPr>
              <w:t>Abdominal syndrome</w:t>
            </w:r>
          </w:p>
        </w:tc>
        <w:tc>
          <w:tcPr>
            <w:tcW w:w="2410" w:type="dxa"/>
            <w:tcBorders>
              <w:top w:val="single" w:sz="6" w:space="0" w:color="auto"/>
              <w:left w:val="single" w:sz="6" w:space="0" w:color="auto"/>
              <w:bottom w:val="single" w:sz="6" w:space="0" w:color="auto"/>
              <w:right w:val="single" w:sz="6" w:space="0" w:color="auto"/>
            </w:tcBorders>
          </w:tcPr>
          <w:p w14:paraId="6CB2D57C" w14:textId="77777777" w:rsidR="00A86D51" w:rsidRDefault="00A86D51" w:rsidP="00A86D51">
            <w:pPr>
              <w:jc w:val="left"/>
              <w:rPr>
                <w:rFonts w:ascii="Arial Narrow" w:hAnsi="Arial Narrow"/>
              </w:rPr>
            </w:pPr>
            <w:r>
              <w:rPr>
                <w:rFonts w:ascii="Arial Narrow" w:hAnsi="Arial Narrow"/>
              </w:rPr>
              <w:t>1/29 (3.4)</w:t>
            </w:r>
          </w:p>
        </w:tc>
      </w:tr>
      <w:tr w:rsidR="00A86D51" w:rsidRPr="004371CF" w14:paraId="3AF0216A" w14:textId="77777777" w:rsidTr="002B6F2A">
        <w:tc>
          <w:tcPr>
            <w:tcW w:w="3678" w:type="dxa"/>
            <w:tcBorders>
              <w:top w:val="single" w:sz="6" w:space="0" w:color="auto"/>
              <w:left w:val="single" w:sz="6" w:space="0" w:color="auto"/>
              <w:bottom w:val="single" w:sz="6" w:space="0" w:color="auto"/>
              <w:right w:val="single" w:sz="6" w:space="0" w:color="auto"/>
            </w:tcBorders>
          </w:tcPr>
          <w:p w14:paraId="6FFBD6AC" w14:textId="77777777" w:rsidR="00A86D51" w:rsidRDefault="00A86D51" w:rsidP="002B6F2A">
            <w:pPr>
              <w:jc w:val="left"/>
              <w:rPr>
                <w:rFonts w:ascii="Arial Narrow" w:hAnsi="Arial Narrow"/>
              </w:rPr>
            </w:pPr>
            <w:r>
              <w:rPr>
                <w:rFonts w:ascii="Arial Narrow" w:hAnsi="Arial Narrow"/>
              </w:rPr>
              <w:t>Extreme bacteraemia</w:t>
            </w:r>
          </w:p>
        </w:tc>
        <w:tc>
          <w:tcPr>
            <w:tcW w:w="2410" w:type="dxa"/>
            <w:tcBorders>
              <w:top w:val="single" w:sz="6" w:space="0" w:color="auto"/>
              <w:left w:val="single" w:sz="6" w:space="0" w:color="auto"/>
              <w:bottom w:val="single" w:sz="6" w:space="0" w:color="auto"/>
              <w:right w:val="single" w:sz="6" w:space="0" w:color="auto"/>
            </w:tcBorders>
          </w:tcPr>
          <w:p w14:paraId="2B677494" w14:textId="77777777" w:rsidR="00A86D51" w:rsidRDefault="00A86D51" w:rsidP="002B6F2A">
            <w:pPr>
              <w:jc w:val="left"/>
              <w:rPr>
                <w:rFonts w:ascii="Arial Narrow" w:hAnsi="Arial Narrow"/>
              </w:rPr>
            </w:pPr>
            <w:r>
              <w:rPr>
                <w:rFonts w:ascii="Arial Narrow" w:hAnsi="Arial Narrow"/>
              </w:rPr>
              <w:t xml:space="preserve">1/29 (3.4) </w:t>
            </w:r>
          </w:p>
        </w:tc>
      </w:tr>
    </w:tbl>
    <w:p w14:paraId="6817FC1A" w14:textId="7FBE5F12" w:rsidR="005475B9" w:rsidRDefault="004F02F0" w:rsidP="004F02F0">
      <w:pPr>
        <w:pStyle w:val="Tablenotes0"/>
      </w:pPr>
      <w:r>
        <w:t xml:space="preserve">NMOSD = neuromyelitis optica spectrum disorders </w:t>
      </w:r>
    </w:p>
    <w:p w14:paraId="66D4F771" w14:textId="41F05293" w:rsidR="00982312" w:rsidRDefault="00454B21" w:rsidP="00EC2492">
      <w:r w:rsidRPr="00454B21">
        <w:t xml:space="preserve">A further study by Jiao et al. </w:t>
      </w:r>
      <w:r w:rsidR="00E33BFB">
        <w:fldChar w:fldCharType="begin">
          <w:fldData xml:space="preserve">PEVuZE5vdGU+PENpdGU+PEF1dGhvcj5KaWFvPC9BdXRob3I+PFllYXI+MjAxODwvWWVhcj48UmVj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=
</w:fldData>
        </w:fldChar>
      </w:r>
      <w:r w:rsidR="00557788">
        <w:instrText xml:space="preserve"> ADDIN EN.CITE </w:instrText>
      </w:r>
      <w:r w:rsidR="00557788">
        <w:fldChar w:fldCharType="begin">
          <w:fldData xml:space="preserve">PEVuZE5vdGU+PENpdGU+PEF1dGhvcj5KaWFvPC9BdXRob3I+PFllYXI+MjAxODwvWWVhcj48UmVj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=
</w:fldData>
        </w:fldChar>
      </w:r>
      <w:r w:rsidR="00557788">
        <w:instrText xml:space="preserve"> ADDIN EN.CITE.DATA </w:instrText>
      </w:r>
      <w:r w:rsidR="00557788">
        <w:fldChar w:fldCharType="end"/>
      </w:r>
      <w:r w:rsidR="00E33BFB">
        <w:fldChar w:fldCharType="separate"/>
      </w:r>
      <w:r w:rsidR="00557788">
        <w:rPr>
          <w:noProof/>
        </w:rPr>
        <w:t>(Jiao et al. 2018</w:t>
      </w:r>
      <w:r w:rsidR="00705441">
        <w:rPr>
          <w:noProof/>
        </w:rPr>
        <w:t>b</w:t>
      </w:r>
      <w:r w:rsidR="00557788">
        <w:rPr>
          <w:noProof/>
        </w:rPr>
        <w:t>)</w:t>
      </w:r>
      <w:r w:rsidR="00E33BFB">
        <w:fldChar w:fldCharType="end"/>
      </w:r>
      <w:r w:rsidR="00E33BFB">
        <w:t xml:space="preserve"> </w:t>
      </w:r>
      <w:r w:rsidRPr="00454B21">
        <w:t xml:space="preserve">reported adverse events in Chinese patients (N=29) with NMOSD who received </w:t>
      </w:r>
      <w:r w:rsidR="00514EBB">
        <w:t>two</w:t>
      </w:r>
      <w:r w:rsidR="00514EBB" w:rsidRPr="00454B21">
        <w:t xml:space="preserve"> </w:t>
      </w:r>
      <w:r w:rsidRPr="00454B21">
        <w:t xml:space="preserve">to </w:t>
      </w:r>
      <w:r w:rsidR="00514EBB">
        <w:t>seven</w:t>
      </w:r>
      <w:r w:rsidR="00514EBB" w:rsidRPr="00454B21">
        <w:t xml:space="preserve"> </w:t>
      </w:r>
      <w:r w:rsidRPr="00454B21">
        <w:t>sessions of PLEX treatment</w:t>
      </w:r>
      <w:r w:rsidR="00514EBB">
        <w:t xml:space="preserve">, </w:t>
      </w:r>
      <w:r w:rsidR="00FC46CB">
        <w:t>on alternate days</w:t>
      </w:r>
      <w:r w:rsidRPr="00454B21">
        <w:t>. A total of 11</w:t>
      </w:r>
      <w:r w:rsidR="00A247DA">
        <w:t xml:space="preserve"> of </w:t>
      </w:r>
      <w:r w:rsidRPr="00454B21">
        <w:t xml:space="preserve">29 </w:t>
      </w:r>
      <w:r w:rsidR="00A247DA">
        <w:t xml:space="preserve">patients </w:t>
      </w:r>
      <w:r w:rsidRPr="00454B21">
        <w:t>(37.9%) experienced adverse events</w:t>
      </w:r>
      <w:r w:rsidR="00514EBB">
        <w:t>, with</w:t>
      </w:r>
      <w:r w:rsidRPr="00454B21">
        <w:t xml:space="preserve"> nine (18.8%) deemed mild and transient. Two PLEX treatments were prematurely interrupted</w:t>
      </w:r>
      <w:r w:rsidR="00514EBB">
        <w:t>, one</w:t>
      </w:r>
      <w:r w:rsidRPr="00454B21">
        <w:t xml:space="preserve"> due to life-threatening heparin-related thrombocytopenia and </w:t>
      </w:r>
      <w:r w:rsidR="00514EBB">
        <w:t xml:space="preserve">one to </w:t>
      </w:r>
      <w:r w:rsidRPr="00454B21">
        <w:t>catheter-related severe sepsis. There was one death during PLEX treatment, however the study authors did not believe this was a result of PLEX treatment per se</w:t>
      </w:r>
      <w:r>
        <w:t>.</w:t>
      </w:r>
    </w:p>
    <w:p w14:paraId="1325920E" w14:textId="77777777" w:rsidR="00982312" w:rsidRDefault="009D165E" w:rsidP="00982312">
      <w:pPr>
        <w:pStyle w:val="Heading4"/>
      </w:pPr>
      <w:r>
        <w:lastRenderedPageBreak/>
        <w:t>Rituximab (</w:t>
      </w:r>
      <w:r w:rsidR="00982312">
        <w:t>R</w:t>
      </w:r>
      <w:r w:rsidR="00054B2E">
        <w:t>TX</w:t>
      </w:r>
      <w:r>
        <w:t>)</w:t>
      </w:r>
    </w:p>
    <w:p w14:paraId="2360DB0F" w14:textId="7D497E99" w:rsidR="00F87CBB" w:rsidRDefault="00982312" w:rsidP="00EC2492">
      <w:r>
        <w:t>The SR by</w:t>
      </w:r>
      <w:r w:rsidR="00F84E0E">
        <w:t xml:space="preserve"> Gao </w:t>
      </w:r>
      <w:r>
        <w:t xml:space="preserve">et al </w:t>
      </w:r>
      <w:r w:rsidR="00F84E0E">
        <w:t>2019</w:t>
      </w:r>
      <w:r>
        <w:t xml:space="preserve"> </w:t>
      </w:r>
      <w:r w:rsidR="00156621">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 </w:instrText>
      </w:r>
      <w:r w:rsidR="00511EDB">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EN.CITE.DATA </w:instrText>
      </w:r>
      <w:r w:rsidR="00511EDB">
        <w:fldChar w:fldCharType="end"/>
      </w:r>
      <w:r w:rsidR="00156621">
        <w:fldChar w:fldCharType="separate"/>
      </w:r>
      <w:r w:rsidR="00511EDB">
        <w:rPr>
          <w:noProof/>
        </w:rPr>
        <w:t>(2019)</w:t>
      </w:r>
      <w:r w:rsidR="00156621">
        <w:fldChar w:fldCharType="end"/>
      </w:r>
      <w:r>
        <w:t xml:space="preserve"> reported on adverse events reported in the 26 included studies. A total of 95 of 577 patients receiving </w:t>
      </w:r>
      <w:r w:rsidR="006B7FA0">
        <w:t>RTX</w:t>
      </w:r>
      <w:r>
        <w:t xml:space="preserve"> were recorded as having adverse events</w:t>
      </w:r>
      <w:r w:rsidR="003951CF">
        <w:t>, including 22 serious events</w:t>
      </w:r>
      <w:r>
        <w:t xml:space="preserve">. The </w:t>
      </w:r>
      <w:r w:rsidR="003951CF">
        <w:t xml:space="preserve">serious adverse </w:t>
      </w:r>
      <w:r>
        <w:t xml:space="preserve">events are </w:t>
      </w:r>
      <w:r w:rsidR="003951CF">
        <w:t>listed</w:t>
      </w:r>
      <w:r>
        <w:t xml:space="preserve"> in </w:t>
      </w:r>
      <w:r w:rsidR="00A86D51">
        <w:fldChar w:fldCharType="begin"/>
      </w:r>
      <w:r w:rsidR="00A86D51">
        <w:instrText xml:space="preserve"> REF _Ref30083336 \h </w:instrText>
      </w:r>
      <w:r w:rsidR="00A86D51">
        <w:fldChar w:fldCharType="separate"/>
      </w:r>
      <w:r w:rsidR="00D804C8">
        <w:t xml:space="preserve">Table </w:t>
      </w:r>
      <w:r w:rsidR="00D804C8">
        <w:rPr>
          <w:noProof/>
        </w:rPr>
        <w:t>58</w:t>
      </w:r>
      <w:r w:rsidR="00A86D51">
        <w:fldChar w:fldCharType="end"/>
      </w:r>
      <w:r>
        <w:t xml:space="preserve">. In </w:t>
      </w:r>
      <w:r w:rsidR="004C26D5">
        <w:t>a</w:t>
      </w:r>
      <w:r>
        <w:t xml:space="preserve">ddition there were five recorded deaths. The causes of death were reported as pneumonia (n = 2); urogenital infection and thrombosis (n = 1); bone marrow transplantation </w:t>
      </w:r>
      <w:r w:rsidR="00E459FE">
        <w:t>(</w:t>
      </w:r>
      <w:r>
        <w:t>n = 1), and cardiac and respiratory failure due to extensive myelitis reaching the medulla oblongata (n=1).</w:t>
      </w:r>
    </w:p>
    <w:p w14:paraId="55C09C39" w14:textId="584131FB" w:rsidR="00982312" w:rsidRDefault="00982312" w:rsidP="00982312">
      <w:pPr>
        <w:pStyle w:val="Caption"/>
        <w:ind w:left="720" w:hanging="720"/>
      </w:pPr>
      <w:bookmarkStart w:id="329" w:name="_Ref30083336"/>
      <w:bookmarkStart w:id="330" w:name="_Ref30081381"/>
      <w:bookmarkStart w:id="331" w:name="_Toc39580839"/>
      <w:r>
        <w:t xml:space="preserve">Table </w:t>
      </w:r>
      <w:fldSimple w:instr=" SEQ Table \* ARABIC ">
        <w:r w:rsidR="00FA7BCD">
          <w:rPr>
            <w:noProof/>
          </w:rPr>
          <w:t>58</w:t>
        </w:r>
      </w:fldSimple>
      <w:bookmarkEnd w:id="329"/>
      <w:r>
        <w:rPr>
          <w:noProof/>
        </w:rPr>
        <w:tab/>
      </w:r>
      <w:r w:rsidR="003951CF">
        <w:rPr>
          <w:noProof/>
        </w:rPr>
        <w:t xml:space="preserve">Serious adverse events in </w:t>
      </w:r>
      <w:r>
        <w:rPr>
          <w:noProof/>
        </w:rPr>
        <w:t xml:space="preserve">NMOSD patients given </w:t>
      </w:r>
      <w:r w:rsidR="00261ED1">
        <w:rPr>
          <w:noProof/>
        </w:rPr>
        <w:t>rituximab (</w:t>
      </w:r>
      <w:r w:rsidR="003750E7">
        <w:rPr>
          <w:noProof/>
        </w:rPr>
        <w:t>RTX</w:t>
      </w:r>
      <w:bookmarkEnd w:id="330"/>
      <w:r w:rsidR="00261ED1">
        <w:rPr>
          <w:noProof/>
        </w:rPr>
        <w:t>)</w:t>
      </w:r>
      <w:r w:rsidR="00B177F8">
        <w:rPr>
          <w:noProof/>
        </w:rPr>
        <w:t xml:space="preserve"> </w:t>
      </w:r>
      <w:r w:rsidR="003E265F">
        <w:rPr>
          <w:noProof/>
        </w:rPr>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rPr>
          <w:noProof/>
        </w:rPr>
        <w:instrText xml:space="preserve"> ADDIN EN.CITE </w:instrText>
      </w:r>
      <w:r w:rsidR="00511EDB">
        <w:rPr>
          <w:noProof/>
        </w:rPr>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rPr>
          <w:noProof/>
        </w:rPr>
        <w:instrText xml:space="preserve"> ADDIN EN.CITE.DATA </w:instrText>
      </w:r>
      <w:r w:rsidR="00511EDB">
        <w:rPr>
          <w:noProof/>
        </w:rPr>
      </w:r>
      <w:r w:rsidR="00511EDB">
        <w:rPr>
          <w:noProof/>
        </w:rPr>
        <w:fldChar w:fldCharType="end"/>
      </w:r>
      <w:r w:rsidR="003E265F">
        <w:rPr>
          <w:noProof/>
        </w:rPr>
      </w:r>
      <w:r w:rsidR="003E265F">
        <w:rPr>
          <w:noProof/>
        </w:rPr>
        <w:fldChar w:fldCharType="separate"/>
      </w:r>
      <w:r w:rsidR="00511EDB">
        <w:rPr>
          <w:noProof/>
        </w:rPr>
        <w:t>(Gao et al. 2019)</w:t>
      </w:r>
      <w:bookmarkEnd w:id="331"/>
      <w:r w:rsidR="003E265F">
        <w:rPr>
          <w:noProof/>
        </w:rPr>
        <w:fldChar w:fldCharType="end"/>
      </w:r>
    </w:p>
    <w:tbl>
      <w:tblPr>
        <w:tblStyle w:val="TableGrid1"/>
        <w:tblW w:w="6088"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58 Serious adverse events in NMOSD patients given rituximab (RTX) (Gao et al. 2019a)"/>
        <w:tblDescription w:val="Serious adverse events reported in NMOSD patients treated with rituximab"/>
      </w:tblPr>
      <w:tblGrid>
        <w:gridCol w:w="3536"/>
        <w:gridCol w:w="2552"/>
      </w:tblGrid>
      <w:tr w:rsidR="003951CF" w:rsidRPr="001C45F4" w14:paraId="196C06B5" w14:textId="77777777" w:rsidTr="00CE4D3A">
        <w:trPr>
          <w:cnfStyle w:val="100000000000" w:firstRow="1" w:lastRow="0" w:firstColumn="0" w:lastColumn="0" w:oddVBand="0" w:evenVBand="0" w:oddHBand="0" w:evenHBand="0" w:firstRowFirstColumn="0" w:firstRowLastColumn="0" w:lastRowFirstColumn="0" w:lastRowLastColumn="0"/>
        </w:trPr>
        <w:tc>
          <w:tcPr>
            <w:tcW w:w="3536" w:type="dxa"/>
            <w:tcBorders>
              <w:top w:val="single" w:sz="6" w:space="0" w:color="auto"/>
              <w:left w:val="single" w:sz="6" w:space="0" w:color="auto"/>
              <w:bottom w:val="single" w:sz="6" w:space="0" w:color="auto"/>
              <w:right w:val="single" w:sz="6" w:space="0" w:color="auto"/>
            </w:tcBorders>
          </w:tcPr>
          <w:p w14:paraId="59362560" w14:textId="77777777" w:rsidR="003951CF" w:rsidRDefault="003951CF" w:rsidP="00982312">
            <w:pPr>
              <w:jc w:val="left"/>
              <w:rPr>
                <w:rFonts w:ascii="Arial Narrow" w:hAnsi="Arial Narrow"/>
                <w:b/>
              </w:rPr>
            </w:pPr>
            <w:r>
              <w:rPr>
                <w:rFonts w:ascii="Arial Narrow" w:hAnsi="Arial Narrow"/>
                <w:b/>
              </w:rPr>
              <w:t>Adverse event</w:t>
            </w:r>
          </w:p>
        </w:tc>
        <w:tc>
          <w:tcPr>
            <w:tcW w:w="2552" w:type="dxa"/>
            <w:tcBorders>
              <w:top w:val="single" w:sz="6" w:space="0" w:color="auto"/>
              <w:left w:val="single" w:sz="6" w:space="0" w:color="auto"/>
              <w:bottom w:val="single" w:sz="6" w:space="0" w:color="auto"/>
              <w:right w:val="single" w:sz="6" w:space="0" w:color="auto"/>
            </w:tcBorders>
            <w:hideMark/>
          </w:tcPr>
          <w:p w14:paraId="0D44B895" w14:textId="77777777" w:rsidR="003951CF" w:rsidRDefault="003951CF" w:rsidP="00982312">
            <w:pPr>
              <w:jc w:val="left"/>
              <w:rPr>
                <w:rFonts w:ascii="Arial Narrow" w:hAnsi="Arial Narrow"/>
                <w:b/>
              </w:rPr>
            </w:pPr>
            <w:r>
              <w:rPr>
                <w:rFonts w:ascii="Arial Narrow" w:hAnsi="Arial Narrow"/>
                <w:b/>
              </w:rPr>
              <w:t>Patient number</w:t>
            </w:r>
          </w:p>
          <w:p w14:paraId="2069E467" w14:textId="77777777" w:rsidR="003951CF" w:rsidRPr="001C45F4" w:rsidRDefault="00E459FE" w:rsidP="00982312">
            <w:pPr>
              <w:jc w:val="left"/>
              <w:rPr>
                <w:rFonts w:ascii="Arial Narrow" w:hAnsi="Arial Narrow"/>
                <w:b/>
              </w:rPr>
            </w:pPr>
            <w:r>
              <w:rPr>
                <w:rFonts w:ascii="Arial Narrow" w:hAnsi="Arial Narrow"/>
                <w:b/>
              </w:rPr>
              <w:t>n/</w:t>
            </w:r>
            <w:r w:rsidR="003951CF">
              <w:rPr>
                <w:rFonts w:ascii="Arial Narrow" w:hAnsi="Arial Narrow"/>
                <w:b/>
              </w:rPr>
              <w:t>N (%)</w:t>
            </w:r>
          </w:p>
        </w:tc>
      </w:tr>
      <w:tr w:rsidR="003951CF" w:rsidRPr="004371CF" w14:paraId="20D110DC" w14:textId="77777777" w:rsidTr="00CE4D3A">
        <w:tc>
          <w:tcPr>
            <w:tcW w:w="3536" w:type="dxa"/>
            <w:tcBorders>
              <w:top w:val="single" w:sz="6" w:space="0" w:color="auto"/>
              <w:left w:val="single" w:sz="6" w:space="0" w:color="auto"/>
              <w:bottom w:val="single" w:sz="6" w:space="0" w:color="auto"/>
              <w:right w:val="single" w:sz="6" w:space="0" w:color="auto"/>
            </w:tcBorders>
          </w:tcPr>
          <w:p w14:paraId="604A0593" w14:textId="77777777" w:rsidR="003951CF" w:rsidRDefault="003951CF" w:rsidP="003951CF">
            <w:pPr>
              <w:jc w:val="left"/>
              <w:rPr>
                <w:rFonts w:ascii="Arial Narrow" w:hAnsi="Arial Narrow"/>
              </w:rPr>
            </w:pPr>
            <w:r>
              <w:rPr>
                <w:rFonts w:ascii="Arial Narrow" w:hAnsi="Arial Narrow"/>
              </w:rPr>
              <w:t>Severe adverse reaction</w:t>
            </w:r>
          </w:p>
        </w:tc>
        <w:tc>
          <w:tcPr>
            <w:tcW w:w="2552" w:type="dxa"/>
            <w:tcBorders>
              <w:top w:val="single" w:sz="6" w:space="0" w:color="auto"/>
              <w:left w:val="single" w:sz="6" w:space="0" w:color="auto"/>
              <w:bottom w:val="single" w:sz="6" w:space="0" w:color="auto"/>
              <w:right w:val="single" w:sz="6" w:space="0" w:color="auto"/>
            </w:tcBorders>
          </w:tcPr>
          <w:p w14:paraId="12C4BE9C" w14:textId="77777777" w:rsidR="003951CF" w:rsidRDefault="003951CF" w:rsidP="00982312">
            <w:pPr>
              <w:jc w:val="left"/>
              <w:rPr>
                <w:rFonts w:ascii="Arial Narrow" w:hAnsi="Arial Narrow"/>
              </w:rPr>
            </w:pPr>
            <w:r>
              <w:rPr>
                <w:rFonts w:ascii="Arial Narrow" w:hAnsi="Arial Narrow"/>
              </w:rPr>
              <w:t>12</w:t>
            </w:r>
            <w:r w:rsidR="00E459FE">
              <w:rPr>
                <w:rFonts w:ascii="Arial Narrow" w:hAnsi="Arial Narrow"/>
              </w:rPr>
              <w:t>/577</w:t>
            </w:r>
            <w:r>
              <w:rPr>
                <w:rFonts w:ascii="Arial Narrow" w:hAnsi="Arial Narrow"/>
              </w:rPr>
              <w:t xml:space="preserve"> (2.1)</w:t>
            </w:r>
          </w:p>
        </w:tc>
      </w:tr>
      <w:tr w:rsidR="003951CF" w:rsidRPr="004371CF" w14:paraId="130B9534" w14:textId="77777777" w:rsidTr="00CE4D3A">
        <w:tc>
          <w:tcPr>
            <w:tcW w:w="3536" w:type="dxa"/>
            <w:tcBorders>
              <w:top w:val="single" w:sz="6" w:space="0" w:color="auto"/>
              <w:left w:val="single" w:sz="6" w:space="0" w:color="auto"/>
              <w:bottom w:val="single" w:sz="6" w:space="0" w:color="auto"/>
              <w:right w:val="single" w:sz="6" w:space="0" w:color="auto"/>
            </w:tcBorders>
          </w:tcPr>
          <w:p w14:paraId="0F808584" w14:textId="77777777" w:rsidR="003951CF" w:rsidRDefault="003951CF" w:rsidP="003951CF">
            <w:pPr>
              <w:jc w:val="left"/>
              <w:rPr>
                <w:rFonts w:ascii="Arial Narrow" w:hAnsi="Arial Narrow"/>
              </w:rPr>
            </w:pPr>
            <w:r>
              <w:rPr>
                <w:rFonts w:ascii="Arial Narrow" w:hAnsi="Arial Narrow"/>
              </w:rPr>
              <w:t>Severe pneumonia</w:t>
            </w:r>
          </w:p>
        </w:tc>
        <w:tc>
          <w:tcPr>
            <w:tcW w:w="2552" w:type="dxa"/>
            <w:tcBorders>
              <w:top w:val="single" w:sz="6" w:space="0" w:color="auto"/>
              <w:left w:val="single" w:sz="6" w:space="0" w:color="auto"/>
              <w:bottom w:val="single" w:sz="6" w:space="0" w:color="auto"/>
              <w:right w:val="single" w:sz="6" w:space="0" w:color="auto"/>
            </w:tcBorders>
          </w:tcPr>
          <w:p w14:paraId="508ED844" w14:textId="77777777" w:rsidR="003951CF" w:rsidRDefault="003951CF" w:rsidP="00982312">
            <w:pPr>
              <w:jc w:val="left"/>
              <w:rPr>
                <w:rFonts w:ascii="Arial Narrow" w:hAnsi="Arial Narrow"/>
              </w:rPr>
            </w:pPr>
            <w:r>
              <w:rPr>
                <w:rFonts w:ascii="Arial Narrow" w:hAnsi="Arial Narrow"/>
              </w:rPr>
              <w:t>5</w:t>
            </w:r>
            <w:r w:rsidR="00E459FE">
              <w:rPr>
                <w:rFonts w:ascii="Arial Narrow" w:hAnsi="Arial Narrow"/>
              </w:rPr>
              <w:t>/577</w:t>
            </w:r>
            <w:r>
              <w:rPr>
                <w:rFonts w:ascii="Arial Narrow" w:hAnsi="Arial Narrow"/>
              </w:rPr>
              <w:t xml:space="preserve"> (0.87)</w:t>
            </w:r>
          </w:p>
        </w:tc>
      </w:tr>
      <w:tr w:rsidR="003951CF" w:rsidRPr="004371CF" w14:paraId="052E62CF" w14:textId="77777777" w:rsidTr="00CE4D3A">
        <w:tc>
          <w:tcPr>
            <w:tcW w:w="3536" w:type="dxa"/>
            <w:tcBorders>
              <w:top w:val="single" w:sz="6" w:space="0" w:color="auto"/>
              <w:left w:val="single" w:sz="6" w:space="0" w:color="auto"/>
              <w:bottom w:val="single" w:sz="6" w:space="0" w:color="auto"/>
              <w:right w:val="single" w:sz="6" w:space="0" w:color="auto"/>
            </w:tcBorders>
          </w:tcPr>
          <w:p w14:paraId="3E679FF7" w14:textId="77777777" w:rsidR="003951CF" w:rsidRDefault="003951CF" w:rsidP="00982312">
            <w:pPr>
              <w:jc w:val="left"/>
              <w:rPr>
                <w:rFonts w:ascii="Arial Narrow" w:hAnsi="Arial Narrow"/>
              </w:rPr>
            </w:pPr>
            <w:r>
              <w:rPr>
                <w:rFonts w:ascii="Arial Narrow" w:hAnsi="Arial Narrow"/>
              </w:rPr>
              <w:t>Transit hyperpyrexia</w:t>
            </w:r>
          </w:p>
        </w:tc>
        <w:tc>
          <w:tcPr>
            <w:tcW w:w="2552" w:type="dxa"/>
            <w:tcBorders>
              <w:top w:val="single" w:sz="6" w:space="0" w:color="auto"/>
              <w:left w:val="single" w:sz="6" w:space="0" w:color="auto"/>
              <w:bottom w:val="single" w:sz="6" w:space="0" w:color="auto"/>
              <w:right w:val="single" w:sz="6" w:space="0" w:color="auto"/>
            </w:tcBorders>
          </w:tcPr>
          <w:p w14:paraId="2870A9CA" w14:textId="77777777" w:rsidR="003951CF" w:rsidRDefault="003951CF" w:rsidP="00982312">
            <w:pPr>
              <w:jc w:val="left"/>
              <w:rPr>
                <w:rFonts w:ascii="Arial Narrow" w:hAnsi="Arial Narrow"/>
              </w:rPr>
            </w:pPr>
            <w:r>
              <w:rPr>
                <w:rFonts w:ascii="Arial Narrow" w:hAnsi="Arial Narrow"/>
              </w:rPr>
              <w:t>2</w:t>
            </w:r>
            <w:r w:rsidR="00E459FE">
              <w:rPr>
                <w:rFonts w:ascii="Arial Narrow" w:hAnsi="Arial Narrow"/>
              </w:rPr>
              <w:t>/577</w:t>
            </w:r>
            <w:r>
              <w:rPr>
                <w:rFonts w:ascii="Arial Narrow" w:hAnsi="Arial Narrow"/>
              </w:rPr>
              <w:t xml:space="preserve"> (0.35)</w:t>
            </w:r>
          </w:p>
        </w:tc>
      </w:tr>
      <w:tr w:rsidR="003951CF" w:rsidRPr="004371CF" w14:paraId="2F699E48" w14:textId="77777777" w:rsidTr="00CE4D3A">
        <w:tc>
          <w:tcPr>
            <w:tcW w:w="3536" w:type="dxa"/>
            <w:tcBorders>
              <w:top w:val="single" w:sz="6" w:space="0" w:color="auto"/>
              <w:left w:val="single" w:sz="6" w:space="0" w:color="auto"/>
              <w:bottom w:val="single" w:sz="6" w:space="0" w:color="auto"/>
              <w:right w:val="single" w:sz="6" w:space="0" w:color="auto"/>
            </w:tcBorders>
          </w:tcPr>
          <w:p w14:paraId="5F914A0E" w14:textId="77777777" w:rsidR="003951CF" w:rsidRDefault="003951CF" w:rsidP="00982312">
            <w:pPr>
              <w:jc w:val="left"/>
              <w:rPr>
                <w:rFonts w:ascii="Arial Narrow" w:hAnsi="Arial Narrow"/>
              </w:rPr>
            </w:pPr>
            <w:r>
              <w:rPr>
                <w:rFonts w:ascii="Arial Narrow" w:hAnsi="Arial Narrow"/>
              </w:rPr>
              <w:t>Severe allergic reaction</w:t>
            </w:r>
          </w:p>
        </w:tc>
        <w:tc>
          <w:tcPr>
            <w:tcW w:w="2552" w:type="dxa"/>
            <w:tcBorders>
              <w:top w:val="single" w:sz="6" w:space="0" w:color="auto"/>
              <w:left w:val="single" w:sz="6" w:space="0" w:color="auto"/>
              <w:bottom w:val="single" w:sz="6" w:space="0" w:color="auto"/>
              <w:right w:val="single" w:sz="6" w:space="0" w:color="auto"/>
            </w:tcBorders>
          </w:tcPr>
          <w:p w14:paraId="63D2F764" w14:textId="77777777" w:rsidR="003951CF" w:rsidRDefault="003951CF" w:rsidP="00982312">
            <w:pPr>
              <w:jc w:val="left"/>
              <w:rPr>
                <w:rFonts w:ascii="Arial Narrow" w:hAnsi="Arial Narrow"/>
              </w:rPr>
            </w:pPr>
            <w:r>
              <w:rPr>
                <w:rFonts w:ascii="Arial Narrow" w:hAnsi="Arial Narrow"/>
              </w:rPr>
              <w:t>1</w:t>
            </w:r>
            <w:r w:rsidR="00E459FE">
              <w:rPr>
                <w:rFonts w:ascii="Arial Narrow" w:hAnsi="Arial Narrow"/>
              </w:rPr>
              <w:t>/577</w:t>
            </w:r>
            <w:r>
              <w:rPr>
                <w:rFonts w:ascii="Arial Narrow" w:hAnsi="Arial Narrow"/>
              </w:rPr>
              <w:t xml:space="preserve"> (0.17)</w:t>
            </w:r>
          </w:p>
        </w:tc>
      </w:tr>
      <w:tr w:rsidR="003951CF" w:rsidRPr="004371CF" w14:paraId="28427CEE" w14:textId="77777777" w:rsidTr="00CE4D3A">
        <w:tc>
          <w:tcPr>
            <w:tcW w:w="3536" w:type="dxa"/>
            <w:tcBorders>
              <w:top w:val="single" w:sz="6" w:space="0" w:color="auto"/>
              <w:left w:val="single" w:sz="6" w:space="0" w:color="auto"/>
              <w:bottom w:val="single" w:sz="6" w:space="0" w:color="auto"/>
              <w:right w:val="single" w:sz="6" w:space="0" w:color="auto"/>
            </w:tcBorders>
          </w:tcPr>
          <w:p w14:paraId="01E9F9AA" w14:textId="77777777" w:rsidR="003951CF" w:rsidRDefault="003951CF" w:rsidP="00982312">
            <w:pPr>
              <w:jc w:val="left"/>
              <w:rPr>
                <w:rFonts w:ascii="Arial Narrow" w:hAnsi="Arial Narrow"/>
              </w:rPr>
            </w:pPr>
            <w:r>
              <w:rPr>
                <w:rFonts w:ascii="Arial Narrow" w:hAnsi="Arial Narrow"/>
              </w:rPr>
              <w:t>Urogenital infection</w:t>
            </w:r>
          </w:p>
        </w:tc>
        <w:tc>
          <w:tcPr>
            <w:tcW w:w="2552" w:type="dxa"/>
            <w:tcBorders>
              <w:top w:val="single" w:sz="6" w:space="0" w:color="auto"/>
              <w:left w:val="single" w:sz="6" w:space="0" w:color="auto"/>
              <w:bottom w:val="single" w:sz="6" w:space="0" w:color="auto"/>
              <w:right w:val="single" w:sz="6" w:space="0" w:color="auto"/>
            </w:tcBorders>
          </w:tcPr>
          <w:p w14:paraId="081BA981" w14:textId="77777777" w:rsidR="003951CF" w:rsidRDefault="003951CF" w:rsidP="00982312">
            <w:pPr>
              <w:jc w:val="left"/>
              <w:rPr>
                <w:rFonts w:ascii="Arial Narrow" w:hAnsi="Arial Narrow"/>
              </w:rPr>
            </w:pPr>
            <w:r>
              <w:rPr>
                <w:rFonts w:ascii="Arial Narrow" w:hAnsi="Arial Narrow"/>
              </w:rPr>
              <w:t>1</w:t>
            </w:r>
            <w:r w:rsidR="00E459FE">
              <w:rPr>
                <w:rFonts w:ascii="Arial Narrow" w:hAnsi="Arial Narrow"/>
              </w:rPr>
              <w:t>/577</w:t>
            </w:r>
            <w:r>
              <w:rPr>
                <w:rFonts w:ascii="Arial Narrow" w:hAnsi="Arial Narrow"/>
              </w:rPr>
              <w:t xml:space="preserve"> (0.17)</w:t>
            </w:r>
          </w:p>
        </w:tc>
      </w:tr>
      <w:tr w:rsidR="003951CF" w:rsidRPr="004371CF" w14:paraId="16440BA9" w14:textId="77777777" w:rsidTr="00CE4D3A">
        <w:tc>
          <w:tcPr>
            <w:tcW w:w="3536" w:type="dxa"/>
            <w:tcBorders>
              <w:top w:val="single" w:sz="6" w:space="0" w:color="auto"/>
              <w:left w:val="single" w:sz="6" w:space="0" w:color="auto"/>
              <w:bottom w:val="single" w:sz="6" w:space="0" w:color="auto"/>
              <w:right w:val="single" w:sz="6" w:space="0" w:color="auto"/>
            </w:tcBorders>
          </w:tcPr>
          <w:p w14:paraId="19BF7060" w14:textId="77777777" w:rsidR="003951CF" w:rsidRDefault="003951CF" w:rsidP="00982312">
            <w:pPr>
              <w:jc w:val="left"/>
              <w:rPr>
                <w:rFonts w:ascii="Arial Narrow" w:hAnsi="Arial Narrow"/>
              </w:rPr>
            </w:pPr>
            <w:r>
              <w:rPr>
                <w:rFonts w:ascii="Arial Narrow" w:hAnsi="Arial Narrow"/>
              </w:rPr>
              <w:t>Seborrheic dermatitis</w:t>
            </w:r>
          </w:p>
        </w:tc>
        <w:tc>
          <w:tcPr>
            <w:tcW w:w="2552" w:type="dxa"/>
            <w:tcBorders>
              <w:top w:val="single" w:sz="6" w:space="0" w:color="auto"/>
              <w:left w:val="single" w:sz="6" w:space="0" w:color="auto"/>
              <w:bottom w:val="single" w:sz="6" w:space="0" w:color="auto"/>
              <w:right w:val="single" w:sz="6" w:space="0" w:color="auto"/>
            </w:tcBorders>
          </w:tcPr>
          <w:p w14:paraId="6046C6C3" w14:textId="77777777" w:rsidR="003951CF" w:rsidRDefault="003951CF" w:rsidP="00982312">
            <w:pPr>
              <w:jc w:val="left"/>
              <w:rPr>
                <w:rFonts w:ascii="Arial Narrow" w:hAnsi="Arial Narrow"/>
              </w:rPr>
            </w:pPr>
            <w:r>
              <w:rPr>
                <w:rFonts w:ascii="Arial Narrow" w:hAnsi="Arial Narrow"/>
              </w:rPr>
              <w:t>1</w:t>
            </w:r>
            <w:r w:rsidR="00E459FE">
              <w:rPr>
                <w:rFonts w:ascii="Arial Narrow" w:hAnsi="Arial Narrow"/>
              </w:rPr>
              <w:t>/577</w:t>
            </w:r>
            <w:r>
              <w:rPr>
                <w:rFonts w:ascii="Arial Narrow" w:hAnsi="Arial Narrow"/>
              </w:rPr>
              <w:t xml:space="preserve"> (0.17)</w:t>
            </w:r>
          </w:p>
        </w:tc>
      </w:tr>
      <w:tr w:rsidR="003951CF" w:rsidRPr="004371CF" w14:paraId="097BDFC3" w14:textId="77777777" w:rsidTr="00CE4D3A">
        <w:tc>
          <w:tcPr>
            <w:tcW w:w="3536" w:type="dxa"/>
            <w:tcBorders>
              <w:top w:val="single" w:sz="6" w:space="0" w:color="auto"/>
              <w:left w:val="single" w:sz="6" w:space="0" w:color="auto"/>
              <w:bottom w:val="single" w:sz="6" w:space="0" w:color="auto"/>
              <w:right w:val="single" w:sz="6" w:space="0" w:color="auto"/>
            </w:tcBorders>
          </w:tcPr>
          <w:p w14:paraId="4B8001E6" w14:textId="77777777" w:rsidR="003951CF" w:rsidRDefault="003951CF" w:rsidP="00982312">
            <w:pPr>
              <w:jc w:val="left"/>
              <w:rPr>
                <w:rFonts w:ascii="Arial Narrow" w:hAnsi="Arial Narrow"/>
              </w:rPr>
            </w:pPr>
            <w:r>
              <w:rPr>
                <w:rFonts w:ascii="Arial Narrow" w:hAnsi="Arial Narrow"/>
              </w:rPr>
              <w:t>Death</w:t>
            </w:r>
          </w:p>
        </w:tc>
        <w:tc>
          <w:tcPr>
            <w:tcW w:w="2552" w:type="dxa"/>
            <w:tcBorders>
              <w:top w:val="single" w:sz="6" w:space="0" w:color="auto"/>
              <w:left w:val="single" w:sz="6" w:space="0" w:color="auto"/>
              <w:bottom w:val="single" w:sz="6" w:space="0" w:color="auto"/>
              <w:right w:val="single" w:sz="6" w:space="0" w:color="auto"/>
            </w:tcBorders>
          </w:tcPr>
          <w:p w14:paraId="08D5B48B" w14:textId="77777777" w:rsidR="003951CF" w:rsidRDefault="003951CF" w:rsidP="00982312">
            <w:pPr>
              <w:jc w:val="left"/>
              <w:rPr>
                <w:rFonts w:ascii="Arial Narrow" w:hAnsi="Arial Narrow"/>
              </w:rPr>
            </w:pPr>
            <w:r>
              <w:rPr>
                <w:rFonts w:ascii="Arial Narrow" w:hAnsi="Arial Narrow"/>
              </w:rPr>
              <w:t>5</w:t>
            </w:r>
            <w:r w:rsidR="00E459FE">
              <w:rPr>
                <w:rFonts w:ascii="Arial Narrow" w:hAnsi="Arial Narrow"/>
              </w:rPr>
              <w:t>/577</w:t>
            </w:r>
            <w:r>
              <w:rPr>
                <w:rFonts w:ascii="Arial Narrow" w:hAnsi="Arial Narrow"/>
              </w:rPr>
              <w:t xml:space="preserve"> (0.87)</w:t>
            </w:r>
          </w:p>
        </w:tc>
      </w:tr>
    </w:tbl>
    <w:p w14:paraId="7A493C32" w14:textId="455238D0" w:rsidR="00FF5C89" w:rsidRDefault="003951CF" w:rsidP="00982312">
      <w:pPr>
        <w:pStyle w:val="Tablenotes0"/>
      </w:pPr>
      <w:r>
        <w:t>NMOSD = neuromyelitis optic spectrum disorder</w:t>
      </w:r>
      <w:r w:rsidR="00E01259">
        <w:t>s</w:t>
      </w:r>
    </w:p>
    <w:p w14:paraId="66974E8F" w14:textId="77777777" w:rsidR="00F87CBB" w:rsidRDefault="00973BBD" w:rsidP="00302E60">
      <w:pPr>
        <w:pStyle w:val="Heading4"/>
      </w:pPr>
      <w:r>
        <w:t>Azathioprine (</w:t>
      </w:r>
      <w:r w:rsidR="00302E60">
        <w:t>A</w:t>
      </w:r>
      <w:r w:rsidR="009F3345">
        <w:t>ZA</w:t>
      </w:r>
      <w:r>
        <w:t>)</w:t>
      </w:r>
    </w:p>
    <w:p w14:paraId="55ADC2A7" w14:textId="60202B3A" w:rsidR="00302E60" w:rsidRDefault="00302E60" w:rsidP="00EC2492">
      <w:r>
        <w:t xml:space="preserve">Bichuetti et al </w:t>
      </w:r>
      <w:r w:rsidR="00156621">
        <w:fldChar w:fldCharType="begin">
          <w:fldData xml:space="preserve">PEVuZE5vdGU+PENpdGU+PEF1dGhvcj5CaWNodWV0dGk8L0F1dGhvcj48WWVhcj4yMDE5PC9ZZWFy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==
</w:fldData>
        </w:fldChar>
      </w:r>
      <w:r w:rsidR="00D96694">
        <w:instrText xml:space="preserve"> ADDIN EN.CITE </w:instrText>
      </w:r>
      <w:r w:rsidR="00D96694">
        <w:fldChar w:fldCharType="begin">
          <w:fldData xml:space="preserve">PEVuZE5vdGU+PENpdGU+PEF1dGhvcj5CaWNodWV0dGk8L0F1dGhvcj48WWVhcj4yMDE5PC9ZZWFy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==
</w:fldData>
        </w:fldChar>
      </w:r>
      <w:r w:rsidR="00D96694">
        <w:instrText xml:space="preserve"> ADDIN EN.CITE.DATA </w:instrText>
      </w:r>
      <w:r w:rsidR="00D96694">
        <w:fldChar w:fldCharType="end"/>
      </w:r>
      <w:r w:rsidR="00156621">
        <w:fldChar w:fldCharType="separate"/>
      </w:r>
      <w:r w:rsidR="00705441">
        <w:rPr>
          <w:noProof/>
        </w:rPr>
        <w:t>(</w:t>
      </w:r>
      <w:r w:rsidR="00156621">
        <w:rPr>
          <w:noProof/>
        </w:rPr>
        <w:t>2019)</w:t>
      </w:r>
      <w:r w:rsidR="00156621">
        <w:fldChar w:fldCharType="end"/>
      </w:r>
      <w:r w:rsidR="00B177F8">
        <w:t xml:space="preserve"> </w:t>
      </w:r>
      <w:r>
        <w:t>reported on the number of severe side effects in patients receiving AZA therapy. In the study</w:t>
      </w:r>
      <w:r w:rsidR="00514EBB">
        <w:t>,</w:t>
      </w:r>
      <w:r>
        <w:t xml:space="preserve"> 100 of 158 NMOSD patients were given AZA, and 11 (11%) suffered severe adverse events that required cessation of therapy. The events are listed in </w:t>
      </w:r>
      <w:r w:rsidR="002F793A">
        <w:fldChar w:fldCharType="begin"/>
      </w:r>
      <w:r w:rsidR="002F793A">
        <w:instrText xml:space="preserve"> REF _Ref32416307 \h </w:instrText>
      </w:r>
      <w:r w:rsidR="002F793A">
        <w:fldChar w:fldCharType="separate"/>
      </w:r>
      <w:r w:rsidR="00D804C8">
        <w:t xml:space="preserve">Table </w:t>
      </w:r>
      <w:r w:rsidR="00D804C8">
        <w:rPr>
          <w:noProof/>
        </w:rPr>
        <w:t>59</w:t>
      </w:r>
      <w:r w:rsidR="002F793A">
        <w:fldChar w:fldCharType="end"/>
      </w:r>
      <w:r w:rsidR="002F793A">
        <w:t xml:space="preserve">. </w:t>
      </w:r>
    </w:p>
    <w:p w14:paraId="0611606E" w14:textId="7341AD44" w:rsidR="00302E60" w:rsidRDefault="00302E60" w:rsidP="00302E60">
      <w:pPr>
        <w:pStyle w:val="Caption"/>
        <w:ind w:left="720" w:hanging="720"/>
      </w:pPr>
      <w:bookmarkStart w:id="332" w:name="_Ref32416307"/>
      <w:bookmarkStart w:id="333" w:name="_Toc39580840"/>
      <w:r>
        <w:t xml:space="preserve">Table </w:t>
      </w:r>
      <w:fldSimple w:instr=" SEQ Table \* ARABIC ">
        <w:r w:rsidR="00FA7BCD">
          <w:rPr>
            <w:noProof/>
          </w:rPr>
          <w:t>59</w:t>
        </w:r>
      </w:fldSimple>
      <w:bookmarkEnd w:id="332"/>
      <w:r>
        <w:rPr>
          <w:noProof/>
        </w:rPr>
        <w:tab/>
        <w:t xml:space="preserve">Serious adverse events in NMOSD patients given </w:t>
      </w:r>
      <w:r w:rsidR="00973BBD">
        <w:rPr>
          <w:noProof/>
        </w:rPr>
        <w:t>azathiorpine (</w:t>
      </w:r>
      <w:r w:rsidR="003750E7">
        <w:rPr>
          <w:noProof/>
        </w:rPr>
        <w:t>AZA</w:t>
      </w:r>
      <w:r w:rsidR="00973BBD">
        <w:rPr>
          <w:noProof/>
        </w:rPr>
        <w:t>)</w:t>
      </w:r>
      <w:r w:rsidR="00B177F8">
        <w:rPr>
          <w:noProof/>
        </w:rPr>
        <w:t xml:space="preserve"> </w:t>
      </w:r>
      <w:r w:rsidR="00156621">
        <w:rPr>
          <w:noProof/>
        </w:rPr>
        <w:fldChar w:fldCharType="begin">
          <w:fldData xml:space="preserve">PEVuZE5vdGU+PENpdGU+PEF1dGhvcj5CaWNodWV0dGk8L0F1dGhvcj48WWVhcj4yMDE5PC9ZZWFy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==
</w:fldData>
        </w:fldChar>
      </w:r>
      <w:r w:rsidR="00D96694">
        <w:rPr>
          <w:noProof/>
        </w:rPr>
        <w:instrText xml:space="preserve"> ADDIN EN.CITE </w:instrText>
      </w:r>
      <w:r w:rsidR="00D96694">
        <w:rPr>
          <w:noProof/>
        </w:rPr>
        <w:fldChar w:fldCharType="begin">
          <w:fldData xml:space="preserve">PEVuZE5vdGU+PENpdGU+PEF1dGhvcj5CaWNodWV0dGk8L0F1dGhvcj48WWVhcj4yMDE5PC9ZZWFy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==
</w:fldData>
        </w:fldChar>
      </w:r>
      <w:r w:rsidR="00D96694">
        <w:rPr>
          <w:noProof/>
        </w:rPr>
        <w:instrText xml:space="preserve"> ADDIN EN.CITE.DATA </w:instrText>
      </w:r>
      <w:r w:rsidR="00D96694">
        <w:rPr>
          <w:noProof/>
        </w:rPr>
      </w:r>
      <w:r w:rsidR="00D96694">
        <w:rPr>
          <w:noProof/>
        </w:rPr>
        <w:fldChar w:fldCharType="end"/>
      </w:r>
      <w:r w:rsidR="00156621">
        <w:rPr>
          <w:noProof/>
        </w:rPr>
      </w:r>
      <w:r w:rsidR="00156621">
        <w:rPr>
          <w:noProof/>
        </w:rPr>
        <w:fldChar w:fldCharType="separate"/>
      </w:r>
      <w:r w:rsidR="00156621">
        <w:rPr>
          <w:noProof/>
        </w:rPr>
        <w:t>(Bichuetti et al. 2019)</w:t>
      </w:r>
      <w:bookmarkEnd w:id="333"/>
      <w:r w:rsidR="00156621">
        <w:rPr>
          <w:noProof/>
        </w:rPr>
        <w:fldChar w:fldCharType="end"/>
      </w:r>
    </w:p>
    <w:tbl>
      <w:tblPr>
        <w:tblStyle w:val="TableGrid1"/>
        <w:tblW w:w="6088"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Caption w:val="Table 59 Serious adverse events in NMOSD patients given azathiorpine (AZA) (Bichuetti et al. 2019)"/>
        <w:tblDescription w:val="Serious adverse events reported in patients treated with azathioprine"/>
      </w:tblPr>
      <w:tblGrid>
        <w:gridCol w:w="3678"/>
        <w:gridCol w:w="2410"/>
      </w:tblGrid>
      <w:tr w:rsidR="00302E60" w:rsidRPr="001C45F4" w14:paraId="5CCBF6FB" w14:textId="77777777" w:rsidTr="002B6F2A">
        <w:trPr>
          <w:cnfStyle w:val="100000000000" w:firstRow="1" w:lastRow="0" w:firstColumn="0" w:lastColumn="0" w:oddVBand="0" w:evenVBand="0" w:oddHBand="0" w:evenHBand="0" w:firstRowFirstColumn="0" w:firstRowLastColumn="0" w:lastRowFirstColumn="0" w:lastRowLastColumn="0"/>
        </w:trPr>
        <w:tc>
          <w:tcPr>
            <w:tcW w:w="3678" w:type="dxa"/>
            <w:tcBorders>
              <w:top w:val="single" w:sz="6" w:space="0" w:color="auto"/>
              <w:left w:val="single" w:sz="6" w:space="0" w:color="auto"/>
              <w:bottom w:val="single" w:sz="6" w:space="0" w:color="auto"/>
              <w:right w:val="single" w:sz="6" w:space="0" w:color="auto"/>
            </w:tcBorders>
          </w:tcPr>
          <w:p w14:paraId="63AD14AE" w14:textId="77777777" w:rsidR="00302E60" w:rsidRDefault="00302E60" w:rsidP="002B6F2A">
            <w:pPr>
              <w:jc w:val="left"/>
              <w:rPr>
                <w:rFonts w:ascii="Arial Narrow" w:hAnsi="Arial Narrow"/>
                <w:b/>
              </w:rPr>
            </w:pPr>
            <w:r>
              <w:rPr>
                <w:rFonts w:ascii="Arial Narrow" w:hAnsi="Arial Narrow"/>
                <w:b/>
              </w:rPr>
              <w:t>Adverse event</w:t>
            </w:r>
          </w:p>
        </w:tc>
        <w:tc>
          <w:tcPr>
            <w:tcW w:w="2410" w:type="dxa"/>
            <w:tcBorders>
              <w:top w:val="single" w:sz="6" w:space="0" w:color="auto"/>
              <w:left w:val="single" w:sz="6" w:space="0" w:color="auto"/>
              <w:bottom w:val="single" w:sz="6" w:space="0" w:color="auto"/>
              <w:right w:val="single" w:sz="6" w:space="0" w:color="auto"/>
            </w:tcBorders>
            <w:hideMark/>
          </w:tcPr>
          <w:p w14:paraId="01FF4450" w14:textId="77777777" w:rsidR="00302E60" w:rsidRDefault="00302E60" w:rsidP="002B6F2A">
            <w:pPr>
              <w:jc w:val="left"/>
              <w:rPr>
                <w:rFonts w:ascii="Arial Narrow" w:hAnsi="Arial Narrow"/>
                <w:b/>
              </w:rPr>
            </w:pPr>
            <w:r>
              <w:rPr>
                <w:rFonts w:ascii="Arial Narrow" w:hAnsi="Arial Narrow"/>
                <w:b/>
              </w:rPr>
              <w:t>Patient number</w:t>
            </w:r>
          </w:p>
          <w:p w14:paraId="38EC5029" w14:textId="77777777" w:rsidR="00302E60" w:rsidRPr="001C45F4" w:rsidRDefault="00E459FE" w:rsidP="002B6F2A">
            <w:pPr>
              <w:jc w:val="left"/>
              <w:rPr>
                <w:rFonts w:ascii="Arial Narrow" w:hAnsi="Arial Narrow"/>
                <w:b/>
              </w:rPr>
            </w:pPr>
            <w:r>
              <w:rPr>
                <w:rFonts w:ascii="Arial Narrow" w:hAnsi="Arial Narrow"/>
                <w:b/>
              </w:rPr>
              <w:t>n/</w:t>
            </w:r>
            <w:r w:rsidR="00302E60">
              <w:rPr>
                <w:rFonts w:ascii="Arial Narrow" w:hAnsi="Arial Narrow"/>
                <w:b/>
              </w:rPr>
              <w:t>N (%)</w:t>
            </w:r>
          </w:p>
        </w:tc>
      </w:tr>
      <w:tr w:rsidR="00302E60" w:rsidRPr="004371CF" w14:paraId="2F92116E" w14:textId="77777777" w:rsidTr="002B6F2A">
        <w:tc>
          <w:tcPr>
            <w:tcW w:w="3678" w:type="dxa"/>
            <w:tcBorders>
              <w:top w:val="single" w:sz="6" w:space="0" w:color="auto"/>
              <w:left w:val="single" w:sz="6" w:space="0" w:color="auto"/>
              <w:bottom w:val="single" w:sz="6" w:space="0" w:color="auto"/>
              <w:right w:val="single" w:sz="6" w:space="0" w:color="auto"/>
            </w:tcBorders>
          </w:tcPr>
          <w:p w14:paraId="17CEF3F9" w14:textId="77777777" w:rsidR="00302E60" w:rsidRDefault="00E459FE" w:rsidP="002B6F2A">
            <w:pPr>
              <w:jc w:val="left"/>
              <w:rPr>
                <w:rFonts w:ascii="Arial Narrow" w:hAnsi="Arial Narrow"/>
              </w:rPr>
            </w:pPr>
            <w:r>
              <w:rPr>
                <w:rFonts w:ascii="Arial Narrow" w:hAnsi="Arial Narrow"/>
              </w:rPr>
              <w:t xml:space="preserve">Gastrointestinal </w:t>
            </w:r>
            <w:r w:rsidR="002F793A">
              <w:rPr>
                <w:rFonts w:ascii="Arial Narrow" w:hAnsi="Arial Narrow"/>
              </w:rPr>
              <w:t>intolerance</w:t>
            </w:r>
          </w:p>
        </w:tc>
        <w:tc>
          <w:tcPr>
            <w:tcW w:w="2410" w:type="dxa"/>
            <w:tcBorders>
              <w:top w:val="single" w:sz="6" w:space="0" w:color="auto"/>
              <w:left w:val="single" w:sz="6" w:space="0" w:color="auto"/>
              <w:bottom w:val="single" w:sz="6" w:space="0" w:color="auto"/>
              <w:right w:val="single" w:sz="6" w:space="0" w:color="auto"/>
            </w:tcBorders>
          </w:tcPr>
          <w:p w14:paraId="79724370" w14:textId="77777777" w:rsidR="00302E60" w:rsidRDefault="00E459FE" w:rsidP="00E459FE">
            <w:pPr>
              <w:jc w:val="left"/>
              <w:rPr>
                <w:rFonts w:ascii="Arial Narrow" w:hAnsi="Arial Narrow"/>
              </w:rPr>
            </w:pPr>
            <w:r>
              <w:rPr>
                <w:rFonts w:ascii="Arial Narrow" w:hAnsi="Arial Narrow"/>
              </w:rPr>
              <w:t>4/100</w:t>
            </w:r>
            <w:r w:rsidR="00302E60">
              <w:rPr>
                <w:rFonts w:ascii="Arial Narrow" w:hAnsi="Arial Narrow"/>
              </w:rPr>
              <w:t xml:space="preserve"> (</w:t>
            </w:r>
            <w:r>
              <w:rPr>
                <w:rFonts w:ascii="Arial Narrow" w:hAnsi="Arial Narrow"/>
              </w:rPr>
              <w:t xml:space="preserve">4.0 </w:t>
            </w:r>
            <w:r w:rsidR="00302E60">
              <w:rPr>
                <w:rFonts w:ascii="Arial Narrow" w:hAnsi="Arial Narrow"/>
              </w:rPr>
              <w:t>)</w:t>
            </w:r>
          </w:p>
        </w:tc>
      </w:tr>
      <w:tr w:rsidR="00302E60" w:rsidRPr="004371CF" w14:paraId="45E257B3" w14:textId="77777777" w:rsidTr="002B6F2A">
        <w:tc>
          <w:tcPr>
            <w:tcW w:w="3678" w:type="dxa"/>
            <w:tcBorders>
              <w:top w:val="single" w:sz="6" w:space="0" w:color="auto"/>
              <w:left w:val="single" w:sz="6" w:space="0" w:color="auto"/>
              <w:bottom w:val="single" w:sz="6" w:space="0" w:color="auto"/>
              <w:right w:val="single" w:sz="6" w:space="0" w:color="auto"/>
            </w:tcBorders>
          </w:tcPr>
          <w:p w14:paraId="11B3789D" w14:textId="77777777" w:rsidR="00302E60" w:rsidRDefault="00302E60" w:rsidP="00E459FE">
            <w:pPr>
              <w:jc w:val="left"/>
              <w:rPr>
                <w:rFonts w:ascii="Arial Narrow" w:hAnsi="Arial Narrow"/>
              </w:rPr>
            </w:pPr>
            <w:r>
              <w:rPr>
                <w:rFonts w:ascii="Arial Narrow" w:hAnsi="Arial Narrow"/>
              </w:rPr>
              <w:t xml:space="preserve">Severe </w:t>
            </w:r>
            <w:r w:rsidR="00E459FE">
              <w:rPr>
                <w:rFonts w:ascii="Arial Narrow" w:hAnsi="Arial Narrow"/>
              </w:rPr>
              <w:t>infection</w:t>
            </w:r>
          </w:p>
        </w:tc>
        <w:tc>
          <w:tcPr>
            <w:tcW w:w="2410" w:type="dxa"/>
            <w:tcBorders>
              <w:top w:val="single" w:sz="6" w:space="0" w:color="auto"/>
              <w:left w:val="single" w:sz="6" w:space="0" w:color="auto"/>
              <w:bottom w:val="single" w:sz="6" w:space="0" w:color="auto"/>
              <w:right w:val="single" w:sz="6" w:space="0" w:color="auto"/>
            </w:tcBorders>
          </w:tcPr>
          <w:p w14:paraId="2D26D5BC" w14:textId="77777777" w:rsidR="00302E60" w:rsidRDefault="00E459FE" w:rsidP="00E459FE">
            <w:pPr>
              <w:jc w:val="left"/>
              <w:rPr>
                <w:rFonts w:ascii="Arial Narrow" w:hAnsi="Arial Narrow"/>
              </w:rPr>
            </w:pPr>
            <w:r>
              <w:rPr>
                <w:rFonts w:ascii="Arial Narrow" w:hAnsi="Arial Narrow"/>
              </w:rPr>
              <w:t>2/100</w:t>
            </w:r>
            <w:r w:rsidR="00302E60">
              <w:rPr>
                <w:rFonts w:ascii="Arial Narrow" w:hAnsi="Arial Narrow"/>
              </w:rPr>
              <w:t xml:space="preserve"> (</w:t>
            </w:r>
            <w:r>
              <w:rPr>
                <w:rFonts w:ascii="Arial Narrow" w:hAnsi="Arial Narrow"/>
              </w:rPr>
              <w:t>2.0</w:t>
            </w:r>
            <w:r w:rsidR="00302E60">
              <w:rPr>
                <w:rFonts w:ascii="Arial Narrow" w:hAnsi="Arial Narrow"/>
              </w:rPr>
              <w:t>)</w:t>
            </w:r>
          </w:p>
        </w:tc>
      </w:tr>
      <w:tr w:rsidR="00302E60" w:rsidRPr="004371CF" w14:paraId="129D0D84" w14:textId="77777777" w:rsidTr="002B6F2A">
        <w:tc>
          <w:tcPr>
            <w:tcW w:w="3678" w:type="dxa"/>
            <w:tcBorders>
              <w:top w:val="single" w:sz="6" w:space="0" w:color="auto"/>
              <w:left w:val="single" w:sz="6" w:space="0" w:color="auto"/>
              <w:bottom w:val="single" w:sz="6" w:space="0" w:color="auto"/>
              <w:right w:val="single" w:sz="6" w:space="0" w:color="auto"/>
            </w:tcBorders>
          </w:tcPr>
          <w:p w14:paraId="174B5608" w14:textId="77777777" w:rsidR="00302E60" w:rsidRDefault="00E459FE" w:rsidP="002B6F2A">
            <w:pPr>
              <w:jc w:val="left"/>
              <w:rPr>
                <w:rFonts w:ascii="Arial Narrow" w:hAnsi="Arial Narrow"/>
              </w:rPr>
            </w:pPr>
            <w:r>
              <w:rPr>
                <w:rFonts w:ascii="Arial Narrow" w:hAnsi="Arial Narrow"/>
              </w:rPr>
              <w:t>Alopecia</w:t>
            </w:r>
          </w:p>
        </w:tc>
        <w:tc>
          <w:tcPr>
            <w:tcW w:w="2410" w:type="dxa"/>
            <w:tcBorders>
              <w:top w:val="single" w:sz="6" w:space="0" w:color="auto"/>
              <w:left w:val="single" w:sz="6" w:space="0" w:color="auto"/>
              <w:bottom w:val="single" w:sz="6" w:space="0" w:color="auto"/>
              <w:right w:val="single" w:sz="6" w:space="0" w:color="auto"/>
            </w:tcBorders>
          </w:tcPr>
          <w:p w14:paraId="403028E1" w14:textId="77777777" w:rsidR="00302E60" w:rsidRDefault="00E459FE" w:rsidP="00E459FE">
            <w:pPr>
              <w:jc w:val="left"/>
              <w:rPr>
                <w:rFonts w:ascii="Arial Narrow" w:hAnsi="Arial Narrow"/>
              </w:rPr>
            </w:pPr>
            <w:r>
              <w:rPr>
                <w:rFonts w:ascii="Arial Narrow" w:hAnsi="Arial Narrow"/>
              </w:rPr>
              <w:t>1/100</w:t>
            </w:r>
            <w:r w:rsidR="00302E60">
              <w:rPr>
                <w:rFonts w:ascii="Arial Narrow" w:hAnsi="Arial Narrow"/>
              </w:rPr>
              <w:t xml:space="preserve"> (</w:t>
            </w:r>
            <w:r>
              <w:rPr>
                <w:rFonts w:ascii="Arial Narrow" w:hAnsi="Arial Narrow"/>
              </w:rPr>
              <w:t>1.0</w:t>
            </w:r>
            <w:r w:rsidR="00302E60">
              <w:rPr>
                <w:rFonts w:ascii="Arial Narrow" w:hAnsi="Arial Narrow"/>
              </w:rPr>
              <w:t>)</w:t>
            </w:r>
          </w:p>
        </w:tc>
      </w:tr>
      <w:tr w:rsidR="00302E60" w:rsidRPr="004371CF" w14:paraId="6137EAD8" w14:textId="77777777" w:rsidTr="002B6F2A">
        <w:tc>
          <w:tcPr>
            <w:tcW w:w="3678" w:type="dxa"/>
            <w:tcBorders>
              <w:top w:val="single" w:sz="6" w:space="0" w:color="auto"/>
              <w:left w:val="single" w:sz="6" w:space="0" w:color="auto"/>
              <w:bottom w:val="single" w:sz="6" w:space="0" w:color="auto"/>
              <w:right w:val="single" w:sz="6" w:space="0" w:color="auto"/>
            </w:tcBorders>
          </w:tcPr>
          <w:p w14:paraId="2E1C4943" w14:textId="77777777" w:rsidR="00302E60" w:rsidRDefault="00E459FE" w:rsidP="002B6F2A">
            <w:pPr>
              <w:jc w:val="left"/>
              <w:rPr>
                <w:rFonts w:ascii="Arial Narrow" w:hAnsi="Arial Narrow"/>
              </w:rPr>
            </w:pPr>
            <w:r>
              <w:rPr>
                <w:rFonts w:ascii="Arial Narrow" w:hAnsi="Arial Narrow"/>
              </w:rPr>
              <w:t>Liver toxicity</w:t>
            </w:r>
          </w:p>
        </w:tc>
        <w:tc>
          <w:tcPr>
            <w:tcW w:w="2410" w:type="dxa"/>
            <w:tcBorders>
              <w:top w:val="single" w:sz="6" w:space="0" w:color="auto"/>
              <w:left w:val="single" w:sz="6" w:space="0" w:color="auto"/>
              <w:bottom w:val="single" w:sz="6" w:space="0" w:color="auto"/>
              <w:right w:val="single" w:sz="6" w:space="0" w:color="auto"/>
            </w:tcBorders>
          </w:tcPr>
          <w:p w14:paraId="0E334DAF" w14:textId="77777777" w:rsidR="00302E60" w:rsidRDefault="00E459FE" w:rsidP="00E459FE">
            <w:pPr>
              <w:jc w:val="left"/>
              <w:rPr>
                <w:rFonts w:ascii="Arial Narrow" w:hAnsi="Arial Narrow"/>
              </w:rPr>
            </w:pPr>
            <w:r>
              <w:rPr>
                <w:rFonts w:ascii="Arial Narrow" w:hAnsi="Arial Narrow"/>
              </w:rPr>
              <w:t>2/100</w:t>
            </w:r>
            <w:r w:rsidR="00302E60">
              <w:rPr>
                <w:rFonts w:ascii="Arial Narrow" w:hAnsi="Arial Narrow"/>
              </w:rPr>
              <w:t xml:space="preserve"> (</w:t>
            </w:r>
            <w:r>
              <w:rPr>
                <w:rFonts w:ascii="Arial Narrow" w:hAnsi="Arial Narrow"/>
              </w:rPr>
              <w:t>2.0</w:t>
            </w:r>
            <w:r w:rsidR="00302E60">
              <w:rPr>
                <w:rFonts w:ascii="Arial Narrow" w:hAnsi="Arial Narrow"/>
              </w:rPr>
              <w:t>)</w:t>
            </w:r>
          </w:p>
        </w:tc>
      </w:tr>
      <w:tr w:rsidR="00302E60" w:rsidRPr="004371CF" w14:paraId="73C9EED4" w14:textId="77777777" w:rsidTr="002B6F2A">
        <w:tc>
          <w:tcPr>
            <w:tcW w:w="3678" w:type="dxa"/>
            <w:tcBorders>
              <w:top w:val="single" w:sz="6" w:space="0" w:color="auto"/>
              <w:left w:val="single" w:sz="6" w:space="0" w:color="auto"/>
              <w:bottom w:val="single" w:sz="6" w:space="0" w:color="auto"/>
              <w:right w:val="single" w:sz="6" w:space="0" w:color="auto"/>
            </w:tcBorders>
          </w:tcPr>
          <w:p w14:paraId="39394A1E" w14:textId="77777777" w:rsidR="00302E60" w:rsidRDefault="00E459FE" w:rsidP="002B6F2A">
            <w:pPr>
              <w:jc w:val="left"/>
              <w:rPr>
                <w:rFonts w:ascii="Arial Narrow" w:hAnsi="Arial Narrow"/>
              </w:rPr>
            </w:pPr>
            <w:r>
              <w:rPr>
                <w:rFonts w:ascii="Arial Narrow" w:hAnsi="Arial Narrow"/>
              </w:rPr>
              <w:t>Allergy/skin reactions</w:t>
            </w:r>
          </w:p>
        </w:tc>
        <w:tc>
          <w:tcPr>
            <w:tcW w:w="2410" w:type="dxa"/>
            <w:tcBorders>
              <w:top w:val="single" w:sz="6" w:space="0" w:color="auto"/>
              <w:left w:val="single" w:sz="6" w:space="0" w:color="auto"/>
              <w:bottom w:val="single" w:sz="6" w:space="0" w:color="auto"/>
              <w:right w:val="single" w:sz="6" w:space="0" w:color="auto"/>
            </w:tcBorders>
          </w:tcPr>
          <w:p w14:paraId="65DD3F15" w14:textId="77777777" w:rsidR="00302E60" w:rsidRDefault="00E459FE" w:rsidP="00E459FE">
            <w:pPr>
              <w:jc w:val="left"/>
              <w:rPr>
                <w:rFonts w:ascii="Arial Narrow" w:hAnsi="Arial Narrow"/>
              </w:rPr>
            </w:pPr>
            <w:r>
              <w:rPr>
                <w:rFonts w:ascii="Arial Narrow" w:hAnsi="Arial Narrow"/>
              </w:rPr>
              <w:t>2/100</w:t>
            </w:r>
            <w:r w:rsidR="00302E60">
              <w:rPr>
                <w:rFonts w:ascii="Arial Narrow" w:hAnsi="Arial Narrow"/>
              </w:rPr>
              <w:t xml:space="preserve"> (</w:t>
            </w:r>
            <w:r>
              <w:rPr>
                <w:rFonts w:ascii="Arial Narrow" w:hAnsi="Arial Narrow"/>
              </w:rPr>
              <w:t>2.0</w:t>
            </w:r>
            <w:r w:rsidR="00302E60">
              <w:rPr>
                <w:rFonts w:ascii="Arial Narrow" w:hAnsi="Arial Narrow"/>
              </w:rPr>
              <w:t>)</w:t>
            </w:r>
          </w:p>
        </w:tc>
      </w:tr>
    </w:tbl>
    <w:p w14:paraId="2E743521" w14:textId="7E5A6664" w:rsidR="00FF5C89" w:rsidRDefault="000E6970" w:rsidP="000E6970">
      <w:pPr>
        <w:pStyle w:val="Tablenotes0"/>
      </w:pPr>
      <w:r>
        <w:t>NMOSD = neuromyelitis optica spectrum disorders</w:t>
      </w:r>
    </w:p>
    <w:p w14:paraId="3B26F946" w14:textId="77777777" w:rsidR="0092564D" w:rsidRDefault="0051394F" w:rsidP="00955D8B">
      <w:pPr>
        <w:pStyle w:val="Heading4"/>
      </w:pPr>
      <w:r>
        <w:t>Mycophenolate mofetil (</w:t>
      </w:r>
      <w:r w:rsidR="00677C1E">
        <w:t>M</w:t>
      </w:r>
      <w:r w:rsidR="00CF4AED">
        <w:t>MF</w:t>
      </w:r>
      <w:r>
        <w:t>)</w:t>
      </w:r>
      <w:r w:rsidR="00677C1E">
        <w:t xml:space="preserve"> </w:t>
      </w:r>
    </w:p>
    <w:p w14:paraId="6135B471" w14:textId="68540899" w:rsidR="00454B21" w:rsidRPr="00454B21" w:rsidRDefault="00454B21" w:rsidP="00454B21">
      <w:r w:rsidRPr="00454B21">
        <w:t xml:space="preserve">Two studies </w:t>
      </w:r>
      <w:r w:rsidR="00156621">
        <w:fldChar w:fldCharType="begin">
          <w:fldData xml:space="preserve">PEVuZE5vdGU+PENpdGU+PEF1dGhvcj5IdWFuZzwvQXV0aG9yPjxZZWFyPjIwMTg8L1llYXI+PFJl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</w:fldData>
        </w:fldChar>
      </w:r>
      <w:r w:rsidR="00557788">
        <w:instrText xml:space="preserve"> ADDIN EN.CITE </w:instrText>
      </w:r>
      <w:r w:rsidR="00557788">
        <w:fldChar w:fldCharType="begin">
          <w:fldData xml:space="preserve">PEVuZE5vdGU+PENpdGU+PEF1dGhvcj5IdWFuZzwvQXV0aG9yPjxZZWFyPjIwMTg8L1llYXI+PFJl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</w:fldData>
        </w:fldChar>
      </w:r>
      <w:r w:rsidR="00557788">
        <w:instrText xml:space="preserve"> ADDIN EN.CITE.DATA </w:instrText>
      </w:r>
      <w:r w:rsidR="00557788">
        <w:fldChar w:fldCharType="end"/>
      </w:r>
      <w:r w:rsidR="00156621">
        <w:fldChar w:fldCharType="separate"/>
      </w:r>
      <w:r w:rsidR="00705441">
        <w:rPr>
          <w:noProof/>
        </w:rPr>
        <w:t>(Huang et al. 2018; Jiao</w:t>
      </w:r>
      <w:r w:rsidR="00557788">
        <w:rPr>
          <w:noProof/>
        </w:rPr>
        <w:t xml:space="preserve"> et al. 2018</w:t>
      </w:r>
      <w:r w:rsidR="00705441">
        <w:rPr>
          <w:noProof/>
        </w:rPr>
        <w:t>a</w:t>
      </w:r>
      <w:r w:rsidR="00557788">
        <w:rPr>
          <w:noProof/>
        </w:rPr>
        <w:t>)</w:t>
      </w:r>
      <w:r w:rsidR="00156621">
        <w:fldChar w:fldCharType="end"/>
      </w:r>
      <w:r w:rsidRPr="00454B21">
        <w:t xml:space="preserve"> reported on the safety of </w:t>
      </w:r>
      <w:r w:rsidR="00514EBB">
        <w:t xml:space="preserve">MMF </w:t>
      </w:r>
      <w:r w:rsidRPr="00454B21">
        <w:t xml:space="preserve">at different dosing regimens in Chinese patients with NMOSD seropositive for AQP4-Abs. All patients in both studies also received concomitant oral corticosteroids. </w:t>
      </w:r>
    </w:p>
    <w:p w14:paraId="64582DDD" w14:textId="14CD7D6D" w:rsidR="00454B21" w:rsidRPr="00454B21" w:rsidRDefault="00514EBB" w:rsidP="00454B21">
      <w:r>
        <w:t>The</w:t>
      </w:r>
      <w:r w:rsidRPr="00454B21">
        <w:t xml:space="preserve"> </w:t>
      </w:r>
      <w:r w:rsidR="00454B21" w:rsidRPr="00454B21">
        <w:t xml:space="preserve">multicentre, open prospective study, by Huang et al. </w:t>
      </w:r>
      <w:r w:rsidR="00156621">
        <w:fldChar w:fldCharType="begin">
          <w:fldData xml:space="preserve">PEVuZE5vdGU+PENpdGU+PEF1dGhvcj5IdWFuZzwvQXV0aG9yPjxZZWFyPjIwMTg8L1llYXI+PFJl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</w:fldData>
        </w:fldChar>
      </w:r>
      <w:r w:rsidR="00A400A2">
        <w:instrText xml:space="preserve"> ADDIN EN.CITE </w:instrText>
      </w:r>
      <w:r w:rsidR="00A400A2">
        <w:fldChar w:fldCharType="begin">
          <w:fldData xml:space="preserve">PEVuZE5vdGU+PENpdGU+PEF1dGhvcj5IdWFuZzwvQXV0aG9yPjxZZWFyPjIwMTg8L1llYXI+PFJl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</w:fldData>
        </w:fldChar>
      </w:r>
      <w:r w:rsidR="00A400A2">
        <w:instrText xml:space="preserve"> ADDIN EN.CITE.DATA </w:instrText>
      </w:r>
      <w:r w:rsidR="00A400A2">
        <w:fldChar w:fldCharType="end"/>
      </w:r>
      <w:r w:rsidR="00156621">
        <w:fldChar w:fldCharType="separate"/>
      </w:r>
      <w:r w:rsidR="00A400A2">
        <w:rPr>
          <w:noProof/>
        </w:rPr>
        <w:t>(Huang et al. 2018)</w:t>
      </w:r>
      <w:r w:rsidR="00156621">
        <w:fldChar w:fldCharType="end"/>
      </w:r>
      <w:r w:rsidR="00454B21" w:rsidRPr="00454B21">
        <w:t xml:space="preserve"> evaluated the safety of low dose MMF (500mg/day for the first 2 weeks, followed by 1,000 mg/day after 2 weeks) in 90 patients for a</w:t>
      </w:r>
      <w:r>
        <w:t xml:space="preserve"> mean</w:t>
      </w:r>
      <w:r w:rsidR="00454B21" w:rsidRPr="00454B21">
        <w:t xml:space="preserve"> duration of 18 months (range 6-40 months). The second study, a case series by Jiao et al. </w:t>
      </w:r>
      <w:r w:rsidR="000967CF">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instrText xml:space="preserve"> ADDIN EN.CITE </w:instrText>
      </w:r>
      <w:r w:rsidR="00557788">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instrText xml:space="preserve"> ADDIN EN.CITE.DATA </w:instrText>
      </w:r>
      <w:r w:rsidR="00557788">
        <w:fldChar w:fldCharType="end"/>
      </w:r>
      <w:r w:rsidR="000967CF">
        <w:fldChar w:fldCharType="separate"/>
      </w:r>
      <w:r w:rsidR="00557788">
        <w:rPr>
          <w:noProof/>
        </w:rPr>
        <w:t>(2018</w:t>
      </w:r>
      <w:r w:rsidR="00705441">
        <w:rPr>
          <w:noProof/>
        </w:rPr>
        <w:t>a</w:t>
      </w:r>
      <w:r w:rsidR="00557788">
        <w:rPr>
          <w:noProof/>
        </w:rPr>
        <w:t>)</w:t>
      </w:r>
      <w:r w:rsidR="000967CF">
        <w:fldChar w:fldCharType="end"/>
      </w:r>
      <w:r w:rsidR="00E33BFB">
        <w:t xml:space="preserve"> </w:t>
      </w:r>
      <w:r w:rsidR="00454B21" w:rsidRPr="00454B21">
        <w:t xml:space="preserve">included a total of 109 patients and investigated MMF at various doses: low </w:t>
      </w:r>
      <w:r w:rsidR="00454B21" w:rsidRPr="00454B21">
        <w:lastRenderedPageBreak/>
        <w:t>(</w:t>
      </w:r>
      <w:r w:rsidR="00454B21" w:rsidRPr="00454B21">
        <w:rPr>
          <w:rFonts w:cs="Calibri"/>
        </w:rPr>
        <w:t>≤ </w:t>
      </w:r>
      <w:r w:rsidR="00454B21" w:rsidRPr="00454B21">
        <w:t>1000mg/day N=11), moderate (1,250</w:t>
      </w:r>
      <w:r w:rsidR="00AB5DEA">
        <w:t xml:space="preserve"> and </w:t>
      </w:r>
      <w:r w:rsidR="00454B21" w:rsidRPr="00454B21">
        <w:t xml:space="preserve">1,500mg/day N=23) and high (1,750 and 2,000mg/day N=52). </w:t>
      </w:r>
    </w:p>
    <w:p w14:paraId="25E456D2" w14:textId="5B3E9C04" w:rsidR="00454B21" w:rsidRPr="00454B21" w:rsidRDefault="00454B21" w:rsidP="00454B21">
      <w:r w:rsidRPr="00454B21">
        <w:t xml:space="preserve">Adverse events included gastrointestinal symptoms, infections and haematological abnormalities. For Huang et al. </w:t>
      </w:r>
      <w:r w:rsidR="00156621">
        <w:fldChar w:fldCharType="begin">
          <w:fldData xml:space="preserve">PEVuZE5vdGU+PENpdGU+PEF1dGhvcj5IdWFuZzwvQXV0aG9yPjxZZWFyPjIwMTg8L1llYXI+PFJl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</w:fldData>
        </w:fldChar>
      </w:r>
      <w:r w:rsidR="00A400A2">
        <w:instrText xml:space="preserve"> ADDIN EN.CITE </w:instrText>
      </w:r>
      <w:r w:rsidR="00A400A2">
        <w:fldChar w:fldCharType="begin">
          <w:fldData xml:space="preserve">PEVuZE5vdGU+PENpdGU+PEF1dGhvcj5IdWFuZzwvQXV0aG9yPjxZZWFyPjIwMTg8L1llYXI+PFJl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</w:fldData>
        </w:fldChar>
      </w:r>
      <w:r w:rsidR="00A400A2">
        <w:instrText xml:space="preserve"> ADDIN EN.CITE.DATA </w:instrText>
      </w:r>
      <w:r w:rsidR="00A400A2">
        <w:fldChar w:fldCharType="end"/>
      </w:r>
      <w:r w:rsidR="00156621">
        <w:fldChar w:fldCharType="separate"/>
      </w:r>
      <w:r w:rsidR="00A400A2">
        <w:rPr>
          <w:noProof/>
        </w:rPr>
        <w:t>(Huang et al. 2018)</w:t>
      </w:r>
      <w:r w:rsidR="00156621">
        <w:fldChar w:fldCharType="end"/>
      </w:r>
      <w:r w:rsidRPr="00454B21">
        <w:t xml:space="preserve"> adverse events were documented in 43% (39/90) </w:t>
      </w:r>
      <w:r w:rsidR="00514EBB">
        <w:t xml:space="preserve">of </w:t>
      </w:r>
      <w:r w:rsidRPr="00454B21">
        <w:t xml:space="preserve">patients. Eight patients (9%) discontinued MMF due to intolerable adverse events. Three cases of pneumonia were reported, and two of these patients needed ventilator support. One patient died of acute respiratory distress syndrome, after being diagnosed with “haemorrhagic varicella” </w:t>
      </w:r>
      <w:r w:rsidR="00156621">
        <w:fldChar w:fldCharType="begin">
          <w:fldData xml:space="preserve">PEVuZE5vdGU+PENpdGU+PEF1dGhvcj5IdWFuZzwvQXV0aG9yPjxZZWFyPjIwMTg8L1llYXI+PFJl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</w:fldData>
        </w:fldChar>
      </w:r>
      <w:r w:rsidR="00A400A2">
        <w:instrText xml:space="preserve"> ADDIN EN.CITE </w:instrText>
      </w:r>
      <w:r w:rsidR="00A400A2">
        <w:fldChar w:fldCharType="begin">
          <w:fldData xml:space="preserve">PEVuZE5vdGU+PENpdGU+PEF1dGhvcj5IdWFuZzwvQXV0aG9yPjxZZWFyPjIwMTg8L1llYXI+PFJl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</w:fldData>
        </w:fldChar>
      </w:r>
      <w:r w:rsidR="00A400A2">
        <w:instrText xml:space="preserve"> ADDIN EN.CITE.DATA </w:instrText>
      </w:r>
      <w:r w:rsidR="00A400A2">
        <w:fldChar w:fldCharType="end"/>
      </w:r>
      <w:r w:rsidR="00156621">
        <w:fldChar w:fldCharType="separate"/>
      </w:r>
      <w:r w:rsidR="00A400A2">
        <w:rPr>
          <w:noProof/>
        </w:rPr>
        <w:t>(Huang et al. 2018)</w:t>
      </w:r>
      <w:r w:rsidR="00156621">
        <w:fldChar w:fldCharType="end"/>
      </w:r>
      <w:r w:rsidRPr="00454B21">
        <w:t xml:space="preserve">. </w:t>
      </w:r>
    </w:p>
    <w:p w14:paraId="43E38078" w14:textId="51EDE6D6" w:rsidR="00454B21" w:rsidRDefault="00454B21" w:rsidP="00454B21">
      <w:r w:rsidRPr="00454B21">
        <w:t>Jiao et al</w:t>
      </w:r>
      <w:r w:rsidR="00E33BFB">
        <w:t xml:space="preserve"> </w:t>
      </w:r>
      <w:r w:rsidR="00E33BFB">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instrText xml:space="preserve"> ADDIN EN.CITE </w:instrText>
      </w:r>
      <w:r w:rsidR="00557788">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instrText xml:space="preserve"> ADDIN EN.CITE.DATA </w:instrText>
      </w:r>
      <w:r w:rsidR="00557788">
        <w:fldChar w:fldCharType="end"/>
      </w:r>
      <w:r w:rsidR="00E33BFB">
        <w:fldChar w:fldCharType="separate"/>
      </w:r>
      <w:r w:rsidR="00557788">
        <w:rPr>
          <w:noProof/>
        </w:rPr>
        <w:t>(2018</w:t>
      </w:r>
      <w:r w:rsidR="00705441">
        <w:rPr>
          <w:noProof/>
        </w:rPr>
        <w:t>a</w:t>
      </w:r>
      <w:r w:rsidR="00557788">
        <w:rPr>
          <w:noProof/>
        </w:rPr>
        <w:t>)</w:t>
      </w:r>
      <w:r w:rsidR="00E33BFB">
        <w:fldChar w:fldCharType="end"/>
      </w:r>
      <w:r w:rsidRPr="00454B21">
        <w:t xml:space="preserve">, 19% (21/109) reported adverse effects with MMF treatment over the three dosing regimens, although they were not analysed based on dosing subgroups. A total of five patients (4.6%) receiving MMF 2,000mg/day reported moderate to severe adverse events. For two of the patients, one discontinued MMF in the first two months of treatment, while the other patient had their dose reduced from 2,000mg/day to 1,250mg/day. For the remaining three patients, dosage was lowered from 2,000mg/day to 1,500mg/day. A summary of the reported adverse events from the two studies </w:t>
      </w:r>
      <w:r w:rsidR="00514EBB">
        <w:t>is</w:t>
      </w:r>
      <w:r w:rsidR="00514EBB" w:rsidRPr="00454B21">
        <w:t xml:space="preserve"> </w:t>
      </w:r>
      <w:r w:rsidRPr="00454B21">
        <w:t xml:space="preserve">presented in </w:t>
      </w:r>
      <w:r w:rsidRPr="00454B21">
        <w:fldChar w:fldCharType="begin"/>
      </w:r>
      <w:r w:rsidRPr="00454B21">
        <w:instrText xml:space="preserve"> REF _Ref31614187 \h </w:instrText>
      </w:r>
      <w:r w:rsidR="00AB63E2">
        <w:instrText xml:space="preserve"> \* MERGEFORMAT </w:instrText>
      </w:r>
      <w:r w:rsidRPr="00454B21">
        <w:fldChar w:fldCharType="separate"/>
      </w:r>
      <w:r w:rsidR="00D804C8" w:rsidRPr="00454B21">
        <w:t xml:space="preserve">Table </w:t>
      </w:r>
      <w:r w:rsidR="00D804C8">
        <w:t>60</w:t>
      </w:r>
      <w:r w:rsidRPr="00454B21">
        <w:fldChar w:fldCharType="end"/>
      </w:r>
      <w:r w:rsidRPr="00454B21">
        <w:t>.</w:t>
      </w:r>
    </w:p>
    <w:p w14:paraId="09C44EB1" w14:textId="77777777" w:rsidR="0004095B" w:rsidRPr="00454B21" w:rsidRDefault="0004095B" w:rsidP="00454B21">
      <w:r>
        <w:t xml:space="preserve">While the rate of adverse events was not dissimilar between </w:t>
      </w:r>
      <w:r w:rsidR="00636831">
        <w:t>the two studies</w:t>
      </w:r>
      <w:r>
        <w:t xml:space="preserve">, </w:t>
      </w:r>
      <w:r w:rsidR="00375A67">
        <w:t xml:space="preserve">patients with severe events in the study by Jiao et al had the management option of </w:t>
      </w:r>
      <w:r w:rsidR="00347861">
        <w:t>a</w:t>
      </w:r>
      <w:r w:rsidR="00375A67">
        <w:t xml:space="preserve"> reduction in dose</w:t>
      </w:r>
      <w:r w:rsidR="00347861">
        <w:t>,</w:t>
      </w:r>
      <w:r w:rsidR="00375A67">
        <w:t xml:space="preserve"> rather than cessation of treatment as was the case for those in the study by Huang et al. </w:t>
      </w:r>
    </w:p>
    <w:p w14:paraId="4B0BA0A3" w14:textId="19D6106B" w:rsidR="00454B21" w:rsidRPr="00454B21" w:rsidRDefault="00454B21" w:rsidP="00A87AE2">
      <w:pPr>
        <w:pStyle w:val="TableHeading"/>
      </w:pPr>
      <w:bookmarkStart w:id="334" w:name="_Ref31614187"/>
      <w:bookmarkStart w:id="335" w:name="_Toc39580841"/>
      <w:r w:rsidRPr="00454B21">
        <w:t xml:space="preserve">Table </w:t>
      </w:r>
      <w:r w:rsidRPr="00454B21">
        <w:fldChar w:fldCharType="begin"/>
      </w:r>
      <w:r w:rsidRPr="00454B21">
        <w:instrText xml:space="preserve"> SEQ Table \* ARABIC </w:instrText>
      </w:r>
      <w:r w:rsidRPr="00454B21">
        <w:fldChar w:fldCharType="separate"/>
      </w:r>
      <w:r w:rsidR="00FA7BCD">
        <w:rPr>
          <w:noProof/>
        </w:rPr>
        <w:t>60</w:t>
      </w:r>
      <w:r w:rsidRPr="00454B21">
        <w:fldChar w:fldCharType="end"/>
      </w:r>
      <w:bookmarkEnd w:id="334"/>
      <w:r w:rsidRPr="00454B21">
        <w:tab/>
        <w:t xml:space="preserve">Adverse events following </w:t>
      </w:r>
      <w:r w:rsidR="00D16859">
        <w:t>mycophenolate mofetil (</w:t>
      </w:r>
      <w:r w:rsidRPr="00454B21">
        <w:t>MMF</w:t>
      </w:r>
      <w:r w:rsidR="00D16859">
        <w:t>)</w:t>
      </w:r>
      <w:r w:rsidRPr="00454B21">
        <w:t xml:space="preserve"> treatment in those with NMOSD</w:t>
      </w:r>
      <w:bookmarkEnd w:id="335"/>
      <w:r w:rsidRPr="00454B21">
        <w:t xml:space="preserve"> </w:t>
      </w:r>
    </w:p>
    <w:tbl>
      <w:tblPr>
        <w:tblStyle w:val="TableGrid1"/>
        <w:tblW w:w="5000" w:type="pct"/>
        <w:tblCellMar>
          <w:left w:w="28" w:type="dxa"/>
          <w:right w:w="28" w:type="dxa"/>
        </w:tblCellMar>
        <w:tblLook w:val="04A0" w:firstRow="1" w:lastRow="0" w:firstColumn="1" w:lastColumn="0" w:noHBand="0" w:noVBand="1"/>
        <w:tblCaption w:val="Table 60 Adverse events following mycophenolate mofetil (MMF) treatment in those with NMOSD "/>
        <w:tblDescription w:val="Adverse events reported in NMSOD patients treated with mycophenolate mofetil"/>
      </w:tblPr>
      <w:tblGrid>
        <w:gridCol w:w="1837"/>
        <w:gridCol w:w="3403"/>
        <w:gridCol w:w="3776"/>
      </w:tblGrid>
      <w:tr w:rsidR="00454B21" w:rsidRPr="00454B21" w14:paraId="5865A56E" w14:textId="77777777" w:rsidTr="006A6CE9">
        <w:trPr>
          <w:cnfStyle w:val="100000000000" w:firstRow="1" w:lastRow="0" w:firstColumn="0" w:lastColumn="0" w:oddVBand="0" w:evenVBand="0" w:oddHBand="0" w:evenHBand="0" w:firstRowFirstColumn="0" w:firstRowLastColumn="0" w:lastRowFirstColumn="0" w:lastRowLastColumn="0"/>
          <w:tblHeader/>
        </w:trPr>
        <w:tc>
          <w:tcPr>
            <w:tcW w:w="1019" w:type="pct"/>
            <w:shd w:val="clear" w:color="auto" w:fill="auto"/>
          </w:tcPr>
          <w:p w14:paraId="181E59DF" w14:textId="77777777" w:rsidR="00454B21" w:rsidRPr="00454B21" w:rsidRDefault="00454B21" w:rsidP="00454B21">
            <w:pPr>
              <w:keepNext/>
              <w:spacing w:before="80" w:after="0" w:line="312" w:lineRule="auto"/>
              <w:ind w:left="105"/>
              <w:contextualSpacing/>
              <w:jc w:val="left"/>
              <w:rPr>
                <w:rFonts w:ascii="Arial Narrow" w:hAnsi="Arial Narrow"/>
                <w:b/>
                <w:snapToGrid w:val="0"/>
                <w:lang w:eastAsia="en-US"/>
              </w:rPr>
            </w:pPr>
            <w:r w:rsidRPr="00454B21">
              <w:rPr>
                <w:rFonts w:ascii="Arial Narrow" w:hAnsi="Arial Narrow"/>
                <w:b/>
                <w:snapToGrid w:val="0"/>
                <w:lang w:eastAsia="en-US"/>
              </w:rPr>
              <w:t>Adverse Event</w:t>
            </w:r>
          </w:p>
        </w:tc>
        <w:tc>
          <w:tcPr>
            <w:tcW w:w="1887" w:type="pct"/>
            <w:shd w:val="clear" w:color="auto" w:fill="auto"/>
          </w:tcPr>
          <w:p w14:paraId="5F6A6C84" w14:textId="38FB1C33" w:rsidR="00454B21" w:rsidRPr="00454B21" w:rsidRDefault="00A400A2" w:rsidP="00454B21">
            <w:pPr>
              <w:keepNext/>
              <w:spacing w:before="80" w:after="0" w:line="312" w:lineRule="auto"/>
              <w:ind w:left="105"/>
              <w:contextualSpacing/>
              <w:jc w:val="left"/>
              <w:rPr>
                <w:rFonts w:ascii="Arial Narrow" w:hAnsi="Arial Narrow"/>
                <w:b/>
                <w:snapToGrid w:val="0"/>
                <w:vertAlign w:val="superscript"/>
                <w:lang w:eastAsia="en-US"/>
              </w:rPr>
            </w:pPr>
            <w:r>
              <w:rPr>
                <w:rFonts w:ascii="Arial Narrow" w:hAnsi="Arial Narrow"/>
                <w:b/>
                <w:snapToGrid w:val="0"/>
                <w:lang w:eastAsia="en-US"/>
              </w:rPr>
              <w:fldChar w:fldCharType="begin">
                <w:fldData xml:space="preserve">PEVuZE5vdGU+PENpdGU+PEF1dGhvcj5IdWFuZzwvQXV0aG9yPjxZZWFyPjIwMTg8L1llYXI+PFJl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</w:fldData>
              </w:fldChar>
            </w:r>
            <w:r>
              <w:rPr>
                <w:rFonts w:ascii="Arial Narrow" w:hAnsi="Arial Narrow"/>
                <w:b/>
                <w:snapToGrid w:val="0"/>
                <w:lang w:eastAsia="en-US"/>
              </w:rPr>
              <w:instrText xml:space="preserve"> ADDIN EN.CITE </w:instrText>
            </w:r>
            <w:r>
              <w:rPr>
                <w:rFonts w:ascii="Arial Narrow" w:hAnsi="Arial Narrow"/>
                <w:b/>
                <w:snapToGrid w:val="0"/>
                <w:lang w:eastAsia="en-US"/>
              </w:rPr>
              <w:fldChar w:fldCharType="begin">
                <w:fldData xml:space="preserve">PEVuZE5vdGU+PENpdGU+PEF1dGhvcj5IdWFuZzwvQXV0aG9yPjxZZWFyPjIwMTg8L1llYXI+PFJl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</w:fldData>
              </w:fldChar>
            </w:r>
            <w:r>
              <w:rPr>
                <w:rFonts w:ascii="Arial Narrow" w:hAnsi="Arial Narrow"/>
                <w:b/>
                <w:snapToGrid w:val="0"/>
                <w:lang w:eastAsia="en-US"/>
              </w:rPr>
              <w:instrText xml:space="preserve"> ADDIN EN.CITE.DATA </w:instrText>
            </w:r>
            <w:r>
              <w:rPr>
                <w:rFonts w:ascii="Arial Narrow" w:hAnsi="Arial Narrow"/>
                <w:b/>
                <w:snapToGrid w:val="0"/>
                <w:lang w:eastAsia="en-US"/>
              </w:rPr>
            </w:r>
            <w:r>
              <w:rPr>
                <w:rFonts w:ascii="Arial Narrow" w:hAnsi="Arial Narrow"/>
                <w:b/>
                <w:snapToGrid w:val="0"/>
                <w:lang w:eastAsia="en-US"/>
              </w:rPr>
              <w:fldChar w:fldCharType="end"/>
            </w:r>
            <w:r>
              <w:rPr>
                <w:rFonts w:ascii="Arial Narrow" w:hAnsi="Arial Narrow"/>
                <w:b/>
                <w:snapToGrid w:val="0"/>
                <w:lang w:eastAsia="en-US"/>
              </w:rPr>
            </w:r>
            <w:r>
              <w:rPr>
                <w:rFonts w:ascii="Arial Narrow" w:hAnsi="Arial Narrow"/>
                <w:b/>
                <w:snapToGrid w:val="0"/>
                <w:lang w:eastAsia="en-US"/>
              </w:rPr>
              <w:fldChar w:fldCharType="separate"/>
            </w:r>
            <w:r>
              <w:rPr>
                <w:rFonts w:ascii="Arial Narrow" w:hAnsi="Arial Narrow"/>
                <w:b/>
                <w:noProof/>
                <w:snapToGrid w:val="0"/>
                <w:lang w:eastAsia="en-US"/>
              </w:rPr>
              <w:t>(Huang et al. 2018)</w:t>
            </w:r>
            <w:r>
              <w:rPr>
                <w:rFonts w:ascii="Arial Narrow" w:hAnsi="Arial Narrow"/>
                <w:b/>
                <w:snapToGrid w:val="0"/>
                <w:lang w:eastAsia="en-US"/>
              </w:rPr>
              <w:fldChar w:fldCharType="end"/>
            </w:r>
            <w:r>
              <w:rPr>
                <w:rFonts w:ascii="Arial Narrow" w:hAnsi="Arial Narrow"/>
                <w:b/>
                <w:snapToGrid w:val="0"/>
                <w:lang w:eastAsia="en-US"/>
              </w:rPr>
              <w:t xml:space="preserve"> </w:t>
            </w:r>
            <w:r w:rsidR="00454B21" w:rsidRPr="00454B21">
              <w:rPr>
                <w:rFonts w:ascii="Arial Narrow" w:hAnsi="Arial Narrow"/>
                <w:b/>
                <w:snapToGrid w:val="0"/>
                <w:lang w:eastAsia="en-US"/>
              </w:rPr>
              <w:t>N=90</w:t>
            </w:r>
            <w:r w:rsidR="00454B21" w:rsidRPr="00454B21">
              <w:rPr>
                <w:rFonts w:ascii="Arial Narrow" w:hAnsi="Arial Narrow"/>
                <w:b/>
                <w:snapToGrid w:val="0"/>
                <w:vertAlign w:val="superscript"/>
                <w:lang w:eastAsia="en-US"/>
              </w:rPr>
              <w:t>a</w:t>
            </w:r>
          </w:p>
          <w:p w14:paraId="10D2001D" w14:textId="77777777" w:rsidR="00454B21" w:rsidRPr="00454B21" w:rsidRDefault="00454B21" w:rsidP="00454B21">
            <w:pPr>
              <w:keepNext/>
              <w:spacing w:before="80" w:after="0" w:line="312" w:lineRule="auto"/>
              <w:ind w:left="105"/>
              <w:contextualSpacing/>
              <w:jc w:val="left"/>
              <w:rPr>
                <w:rFonts w:ascii="Arial Narrow" w:hAnsi="Arial Narrow"/>
                <w:b/>
                <w:snapToGrid w:val="0"/>
                <w:lang w:eastAsia="en-US"/>
              </w:rPr>
            </w:pPr>
            <w:r w:rsidRPr="00454B21">
              <w:rPr>
                <w:rFonts w:ascii="Arial Narrow" w:hAnsi="Arial Narrow"/>
                <w:b/>
                <w:snapToGrid w:val="0"/>
                <w:lang w:eastAsia="en-US"/>
              </w:rPr>
              <w:t>No. with adverse event n (%)</w:t>
            </w:r>
          </w:p>
        </w:tc>
        <w:tc>
          <w:tcPr>
            <w:tcW w:w="2094" w:type="pct"/>
            <w:shd w:val="clear" w:color="auto" w:fill="auto"/>
          </w:tcPr>
          <w:p w14:paraId="635B0B2F" w14:textId="7CAFB8FC" w:rsidR="00454B21" w:rsidRPr="00454B21" w:rsidRDefault="00E33BFB" w:rsidP="00454B21">
            <w:pPr>
              <w:keepNext/>
              <w:spacing w:before="80" w:after="0" w:line="312" w:lineRule="auto"/>
              <w:ind w:left="105"/>
              <w:contextualSpacing/>
              <w:jc w:val="left"/>
              <w:rPr>
                <w:rFonts w:ascii="Arial Narrow" w:hAnsi="Arial Narrow"/>
                <w:b/>
                <w:snapToGrid w:val="0"/>
                <w:vertAlign w:val="superscript"/>
                <w:lang w:eastAsia="en-US"/>
              </w:rPr>
            </w:pPr>
            <w:r>
              <w:rPr>
                <w:rFonts w:ascii="Arial Narrow" w:hAnsi="Arial Narrow"/>
                <w:b/>
                <w:snapToGrid w:val="0"/>
                <w:lang w:eastAsia="en-US"/>
              </w:rPr>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rPr>
                <w:rFonts w:ascii="Arial Narrow" w:hAnsi="Arial Narrow"/>
                <w:b/>
                <w:snapToGrid w:val="0"/>
                <w:lang w:eastAsia="en-US"/>
              </w:rPr>
              <w:instrText xml:space="preserve"> ADDIN EN.CITE </w:instrText>
            </w:r>
            <w:r w:rsidR="00557788">
              <w:rPr>
                <w:rFonts w:ascii="Arial Narrow" w:hAnsi="Arial Narrow"/>
                <w:b/>
                <w:snapToGrid w:val="0"/>
                <w:lang w:eastAsia="en-US"/>
              </w:rPr>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rPr>
                <w:rFonts w:ascii="Arial Narrow" w:hAnsi="Arial Narrow"/>
                <w:b/>
                <w:snapToGrid w:val="0"/>
                <w:lang w:eastAsia="en-US"/>
              </w:rPr>
              <w:instrText xml:space="preserve"> ADDIN EN.CITE.DATA </w:instrText>
            </w:r>
            <w:r w:rsidR="00557788">
              <w:rPr>
                <w:rFonts w:ascii="Arial Narrow" w:hAnsi="Arial Narrow"/>
                <w:b/>
                <w:snapToGrid w:val="0"/>
                <w:lang w:eastAsia="en-US"/>
              </w:rPr>
            </w:r>
            <w:r w:rsidR="00557788">
              <w:rPr>
                <w:rFonts w:ascii="Arial Narrow" w:hAnsi="Arial Narrow"/>
                <w:b/>
                <w:snapToGrid w:val="0"/>
                <w:lang w:eastAsia="en-US"/>
              </w:rPr>
              <w:fldChar w:fldCharType="end"/>
            </w:r>
            <w:r>
              <w:rPr>
                <w:rFonts w:ascii="Arial Narrow" w:hAnsi="Arial Narrow"/>
                <w:b/>
                <w:snapToGrid w:val="0"/>
                <w:lang w:eastAsia="en-US"/>
              </w:rPr>
            </w:r>
            <w:r>
              <w:rPr>
                <w:rFonts w:ascii="Arial Narrow" w:hAnsi="Arial Narrow"/>
                <w:b/>
                <w:snapToGrid w:val="0"/>
                <w:lang w:eastAsia="en-US"/>
              </w:rPr>
              <w:fldChar w:fldCharType="separate"/>
            </w:r>
            <w:r w:rsidR="00705441">
              <w:rPr>
                <w:rFonts w:ascii="Arial Narrow" w:hAnsi="Arial Narrow"/>
                <w:b/>
                <w:noProof/>
                <w:snapToGrid w:val="0"/>
                <w:lang w:eastAsia="en-US"/>
              </w:rPr>
              <w:t>(Jiao et al.</w:t>
            </w:r>
            <w:r w:rsidR="00557788">
              <w:rPr>
                <w:rFonts w:ascii="Arial Narrow" w:hAnsi="Arial Narrow"/>
                <w:b/>
                <w:noProof/>
                <w:snapToGrid w:val="0"/>
                <w:lang w:eastAsia="en-US"/>
              </w:rPr>
              <w:t xml:space="preserve"> 2018</w:t>
            </w:r>
            <w:r w:rsidR="00705441">
              <w:rPr>
                <w:rFonts w:ascii="Arial Narrow" w:hAnsi="Arial Narrow"/>
                <w:b/>
                <w:noProof/>
                <w:snapToGrid w:val="0"/>
                <w:lang w:eastAsia="en-US"/>
              </w:rPr>
              <w:t>a</w:t>
            </w:r>
            <w:r w:rsidR="00557788">
              <w:rPr>
                <w:rFonts w:ascii="Arial Narrow" w:hAnsi="Arial Narrow"/>
                <w:b/>
                <w:noProof/>
                <w:snapToGrid w:val="0"/>
                <w:lang w:eastAsia="en-US"/>
              </w:rPr>
              <w:t>)</w:t>
            </w:r>
            <w:r>
              <w:rPr>
                <w:rFonts w:ascii="Arial Narrow" w:hAnsi="Arial Narrow"/>
                <w:b/>
                <w:snapToGrid w:val="0"/>
                <w:lang w:eastAsia="en-US"/>
              </w:rPr>
              <w:fldChar w:fldCharType="end"/>
            </w:r>
            <w:r w:rsidR="00454B21" w:rsidRPr="00454B21">
              <w:rPr>
                <w:rFonts w:ascii="Arial Narrow" w:hAnsi="Arial Narrow"/>
                <w:b/>
                <w:snapToGrid w:val="0"/>
                <w:lang w:eastAsia="en-US"/>
              </w:rPr>
              <w:t xml:space="preserve"> N=109</w:t>
            </w:r>
            <w:r w:rsidR="00454B21" w:rsidRPr="00454B21">
              <w:rPr>
                <w:rFonts w:ascii="Arial Narrow" w:hAnsi="Arial Narrow"/>
                <w:b/>
                <w:snapToGrid w:val="0"/>
                <w:vertAlign w:val="superscript"/>
                <w:lang w:eastAsia="en-US"/>
              </w:rPr>
              <w:t>b</w:t>
            </w:r>
          </w:p>
          <w:p w14:paraId="36C9022F" w14:textId="77777777" w:rsidR="00454B21" w:rsidRPr="00454B21" w:rsidRDefault="00454B21" w:rsidP="00454B21">
            <w:pPr>
              <w:keepNext/>
              <w:spacing w:before="80" w:after="0" w:line="312" w:lineRule="auto"/>
              <w:ind w:left="105"/>
              <w:contextualSpacing/>
              <w:jc w:val="left"/>
              <w:rPr>
                <w:rFonts w:ascii="Arial Narrow" w:hAnsi="Arial Narrow"/>
                <w:b/>
                <w:snapToGrid w:val="0"/>
                <w:lang w:eastAsia="en-US"/>
              </w:rPr>
            </w:pPr>
            <w:r w:rsidRPr="00454B21">
              <w:rPr>
                <w:rFonts w:ascii="Arial Narrow" w:hAnsi="Arial Narrow"/>
                <w:b/>
                <w:snapToGrid w:val="0"/>
                <w:lang w:eastAsia="en-US"/>
              </w:rPr>
              <w:t>No. with adverse event n (%)</w:t>
            </w:r>
          </w:p>
        </w:tc>
      </w:tr>
      <w:tr w:rsidR="00454B21" w:rsidRPr="00454B21" w14:paraId="312462D7" w14:textId="77777777" w:rsidTr="006A6CE9">
        <w:tc>
          <w:tcPr>
            <w:tcW w:w="1019" w:type="pct"/>
            <w:shd w:val="clear" w:color="auto" w:fill="auto"/>
          </w:tcPr>
          <w:p w14:paraId="4E885D6E"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Total</w:t>
            </w:r>
          </w:p>
        </w:tc>
        <w:tc>
          <w:tcPr>
            <w:tcW w:w="1887" w:type="pct"/>
            <w:shd w:val="clear" w:color="auto" w:fill="auto"/>
          </w:tcPr>
          <w:p w14:paraId="60751116"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39 (43)</w:t>
            </w:r>
          </w:p>
        </w:tc>
        <w:tc>
          <w:tcPr>
            <w:tcW w:w="2094" w:type="pct"/>
            <w:shd w:val="clear" w:color="auto" w:fill="auto"/>
          </w:tcPr>
          <w:p w14:paraId="061D67D1"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21 (19)</w:t>
            </w:r>
          </w:p>
        </w:tc>
      </w:tr>
      <w:tr w:rsidR="00454B21" w:rsidRPr="00454B21" w14:paraId="078CD65A" w14:textId="77777777" w:rsidTr="006A6CE9">
        <w:tc>
          <w:tcPr>
            <w:tcW w:w="1019" w:type="pct"/>
            <w:shd w:val="clear" w:color="auto" w:fill="auto"/>
          </w:tcPr>
          <w:p w14:paraId="5BF0A87F"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Gastrointestinal</w:t>
            </w:r>
          </w:p>
        </w:tc>
        <w:tc>
          <w:tcPr>
            <w:tcW w:w="1887" w:type="pct"/>
            <w:shd w:val="clear" w:color="auto" w:fill="auto"/>
          </w:tcPr>
          <w:p w14:paraId="3A7CFA89"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 xml:space="preserve">Total 22 (24) </w:t>
            </w:r>
          </w:p>
          <w:p w14:paraId="67A430E9"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deranged liver enzymes 18 (20), diarrhoea 2 (2), hyperbilirubinaemia 2 (2)</w:t>
            </w:r>
          </w:p>
        </w:tc>
        <w:tc>
          <w:tcPr>
            <w:tcW w:w="2094" w:type="pct"/>
            <w:shd w:val="clear" w:color="auto" w:fill="auto"/>
          </w:tcPr>
          <w:p w14:paraId="20F53E00"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Total 6 (5.5)</w:t>
            </w:r>
          </w:p>
          <w:p w14:paraId="7B585A4B"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deranged liver enzymes 3 (2.8), diarrhoea and abdominal pain 2 (1.8), constipation 1 (0.9)</w:t>
            </w:r>
          </w:p>
        </w:tc>
      </w:tr>
      <w:tr w:rsidR="00454B21" w:rsidRPr="00454B21" w14:paraId="1AABF491" w14:textId="77777777" w:rsidTr="006A6CE9">
        <w:tc>
          <w:tcPr>
            <w:tcW w:w="1019" w:type="pct"/>
            <w:shd w:val="clear" w:color="auto" w:fill="auto"/>
          </w:tcPr>
          <w:p w14:paraId="4107EBC6" w14:textId="77777777" w:rsidR="00454B21" w:rsidRPr="00454B21" w:rsidRDefault="00454B21" w:rsidP="00454B21">
            <w:pPr>
              <w:ind w:left="105"/>
              <w:contextualSpacing/>
              <w:jc w:val="left"/>
              <w:rPr>
                <w:rFonts w:ascii="Arial Narrow" w:hAnsi="Arial Narrow"/>
                <w:snapToGrid w:val="0"/>
                <w:highlight w:val="cyan"/>
                <w:lang w:eastAsia="en-US"/>
              </w:rPr>
            </w:pPr>
            <w:r w:rsidRPr="00454B21">
              <w:rPr>
                <w:rFonts w:ascii="Arial Narrow" w:hAnsi="Arial Narrow"/>
                <w:snapToGrid w:val="0"/>
                <w:lang w:eastAsia="en-US"/>
              </w:rPr>
              <w:t>Infections</w:t>
            </w:r>
          </w:p>
        </w:tc>
        <w:tc>
          <w:tcPr>
            <w:tcW w:w="1887" w:type="pct"/>
            <w:shd w:val="clear" w:color="auto" w:fill="auto"/>
          </w:tcPr>
          <w:p w14:paraId="67ECE3CB"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Total 21 (23)</w:t>
            </w:r>
          </w:p>
          <w:p w14:paraId="05EBCCEC"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respiratory infection 11 (12)</w:t>
            </w:r>
          </w:p>
          <w:p w14:paraId="42213BF9"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urinary tract infection 5 (6)</w:t>
            </w:r>
          </w:p>
          <w:p w14:paraId="100688D1"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 xml:space="preserve">Varicella-zoster virus infection 5 (6) </w:t>
            </w:r>
          </w:p>
        </w:tc>
        <w:tc>
          <w:tcPr>
            <w:tcW w:w="2094" w:type="pct"/>
            <w:shd w:val="clear" w:color="auto" w:fill="auto"/>
          </w:tcPr>
          <w:p w14:paraId="65BB66BB"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Total 4 (3.7)</w:t>
            </w:r>
          </w:p>
          <w:p w14:paraId="61610599" w14:textId="77777777" w:rsidR="00454B21" w:rsidRPr="00454B21" w:rsidRDefault="00454B21" w:rsidP="00454B21">
            <w:pPr>
              <w:ind w:left="404"/>
              <w:contextualSpacing/>
              <w:jc w:val="left"/>
              <w:rPr>
                <w:rFonts w:ascii="Arial Narrow" w:hAnsi="Arial Narrow"/>
                <w:snapToGrid w:val="0"/>
                <w:lang w:eastAsia="en-US"/>
              </w:rPr>
            </w:pPr>
            <w:r w:rsidRPr="00454B21">
              <w:rPr>
                <w:rFonts w:ascii="Arial Narrow" w:hAnsi="Arial Narrow"/>
                <w:snapToGrid w:val="0"/>
                <w:lang w:eastAsia="en-US"/>
              </w:rPr>
              <w:t>herpes simplex infection 2 (1.8)</w:t>
            </w:r>
          </w:p>
          <w:p w14:paraId="6220AD79" w14:textId="77777777" w:rsidR="00454B21" w:rsidRPr="00454B21" w:rsidRDefault="00454B21" w:rsidP="00454B21">
            <w:pPr>
              <w:ind w:left="404"/>
              <w:contextualSpacing/>
              <w:jc w:val="left"/>
              <w:rPr>
                <w:rFonts w:ascii="Arial Narrow" w:hAnsi="Arial Narrow"/>
                <w:snapToGrid w:val="0"/>
                <w:lang w:eastAsia="en-US"/>
              </w:rPr>
            </w:pPr>
            <w:r w:rsidRPr="00454B21">
              <w:rPr>
                <w:rFonts w:ascii="Arial Narrow" w:hAnsi="Arial Narrow"/>
                <w:snapToGrid w:val="0"/>
                <w:lang w:eastAsia="en-US"/>
              </w:rPr>
              <w:t>Varicella-zoster virus infection 2 (1.8)</w:t>
            </w:r>
          </w:p>
        </w:tc>
      </w:tr>
      <w:tr w:rsidR="00454B21" w:rsidRPr="00454B21" w14:paraId="38705300" w14:textId="77777777" w:rsidTr="006A6CE9">
        <w:tc>
          <w:tcPr>
            <w:tcW w:w="1019" w:type="pct"/>
            <w:shd w:val="clear" w:color="auto" w:fill="auto"/>
          </w:tcPr>
          <w:p w14:paraId="51D230F2"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 xml:space="preserve">Haematological </w:t>
            </w:r>
          </w:p>
        </w:tc>
        <w:tc>
          <w:tcPr>
            <w:tcW w:w="1887" w:type="pct"/>
            <w:shd w:val="clear" w:color="auto" w:fill="auto"/>
          </w:tcPr>
          <w:p w14:paraId="07AC9EB1"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Total 10 (11)</w:t>
            </w:r>
          </w:p>
          <w:p w14:paraId="04509990"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leucopenia 4 (4)</w:t>
            </w:r>
          </w:p>
          <w:p w14:paraId="231FD1B3" w14:textId="77777777" w:rsidR="00454B21" w:rsidRPr="00454B21" w:rsidRDefault="00454B21" w:rsidP="006A6CE9">
            <w:pPr>
              <w:ind w:left="326"/>
              <w:contextualSpacing/>
              <w:jc w:val="left"/>
              <w:rPr>
                <w:rFonts w:ascii="Arial Narrow" w:hAnsi="Arial Narrow"/>
                <w:snapToGrid w:val="0"/>
                <w:lang w:eastAsia="en-US"/>
              </w:rPr>
            </w:pPr>
            <w:r w:rsidRPr="00454B21">
              <w:rPr>
                <w:rFonts w:ascii="Arial Narrow" w:hAnsi="Arial Narrow"/>
                <w:snapToGrid w:val="0"/>
                <w:lang w:eastAsia="en-US"/>
              </w:rPr>
              <w:t>anaemia 6 (7)</w:t>
            </w:r>
          </w:p>
        </w:tc>
        <w:tc>
          <w:tcPr>
            <w:tcW w:w="2094" w:type="pct"/>
            <w:shd w:val="clear" w:color="auto" w:fill="auto"/>
          </w:tcPr>
          <w:p w14:paraId="16BC9633"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Total 4 (3.7)</w:t>
            </w:r>
          </w:p>
          <w:p w14:paraId="5BDAD1A8" w14:textId="77777777" w:rsidR="00454B21" w:rsidRPr="00454B21" w:rsidRDefault="00454B21" w:rsidP="00454B21">
            <w:pPr>
              <w:ind w:left="404"/>
              <w:contextualSpacing/>
              <w:jc w:val="left"/>
              <w:rPr>
                <w:rFonts w:ascii="Arial Narrow" w:hAnsi="Arial Narrow"/>
                <w:snapToGrid w:val="0"/>
                <w:lang w:eastAsia="en-US"/>
              </w:rPr>
            </w:pPr>
            <w:r w:rsidRPr="00454B21">
              <w:rPr>
                <w:rFonts w:ascii="Arial Narrow" w:hAnsi="Arial Narrow"/>
                <w:snapToGrid w:val="0"/>
                <w:lang w:eastAsia="en-US"/>
              </w:rPr>
              <w:t>leucopenia and low neutrophil counts 3 (2.8)</w:t>
            </w:r>
          </w:p>
          <w:p w14:paraId="74A9FD88" w14:textId="77777777" w:rsidR="00454B21" w:rsidRPr="00454B21" w:rsidRDefault="00454B21" w:rsidP="00454B21">
            <w:pPr>
              <w:ind w:left="404"/>
              <w:contextualSpacing/>
              <w:jc w:val="left"/>
              <w:rPr>
                <w:rFonts w:ascii="Arial Narrow" w:hAnsi="Arial Narrow"/>
                <w:snapToGrid w:val="0"/>
                <w:lang w:eastAsia="en-US"/>
              </w:rPr>
            </w:pPr>
            <w:r w:rsidRPr="00454B21">
              <w:rPr>
                <w:rFonts w:ascii="Arial Narrow" w:hAnsi="Arial Narrow"/>
                <w:snapToGrid w:val="0"/>
                <w:lang w:eastAsia="en-US"/>
              </w:rPr>
              <w:t>thrombocytopenia 1 (0.9)</w:t>
            </w:r>
          </w:p>
        </w:tc>
      </w:tr>
      <w:tr w:rsidR="00454B21" w:rsidRPr="00454B21" w14:paraId="071BD223" w14:textId="77777777" w:rsidTr="006A6CE9">
        <w:tc>
          <w:tcPr>
            <w:tcW w:w="1019" w:type="pct"/>
            <w:shd w:val="clear" w:color="auto" w:fill="auto"/>
          </w:tcPr>
          <w:p w14:paraId="482D05EF"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Others</w:t>
            </w:r>
          </w:p>
        </w:tc>
        <w:tc>
          <w:tcPr>
            <w:tcW w:w="1887" w:type="pct"/>
            <w:shd w:val="clear" w:color="auto" w:fill="auto"/>
          </w:tcPr>
          <w:p w14:paraId="024980FD"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Total 4 (4)</w:t>
            </w:r>
          </w:p>
          <w:p w14:paraId="58E6113F"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hair loss 2 (2)</w:t>
            </w:r>
          </w:p>
          <w:p w14:paraId="0D308598"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rectal cancer 1 (1)</w:t>
            </w:r>
          </w:p>
          <w:p w14:paraId="1981CB53" w14:textId="77777777" w:rsidR="00454B21" w:rsidRPr="00454B21" w:rsidRDefault="00454B21" w:rsidP="006A6CE9">
            <w:pPr>
              <w:ind w:left="326"/>
              <w:contextualSpacing/>
              <w:jc w:val="left"/>
              <w:rPr>
                <w:rFonts w:ascii="Arial Narrow" w:hAnsi="Arial Narrow"/>
                <w:snapToGrid w:val="0"/>
                <w:lang w:eastAsia="en-US"/>
              </w:rPr>
            </w:pPr>
            <w:r w:rsidRPr="00454B21">
              <w:rPr>
                <w:rFonts w:ascii="Arial Narrow" w:hAnsi="Arial Narrow"/>
                <w:snapToGrid w:val="0"/>
                <w:lang w:eastAsia="en-US"/>
              </w:rPr>
              <w:t>renal insufficiency 1 (1)</w:t>
            </w:r>
          </w:p>
        </w:tc>
        <w:tc>
          <w:tcPr>
            <w:tcW w:w="2094" w:type="pct"/>
            <w:shd w:val="clear" w:color="auto" w:fill="auto"/>
          </w:tcPr>
          <w:p w14:paraId="2361DDFC"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Total</w:t>
            </w:r>
          </w:p>
          <w:p w14:paraId="7C8DD42D"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hair loss 5 (4.6)</w:t>
            </w:r>
          </w:p>
          <w:p w14:paraId="6811B510"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headache 2 (1.8)</w:t>
            </w:r>
          </w:p>
          <w:p w14:paraId="0A5C0440" w14:textId="77777777" w:rsidR="00454B21" w:rsidRPr="00454B21" w:rsidRDefault="00454B21" w:rsidP="00454B21">
            <w:pPr>
              <w:ind w:left="326"/>
              <w:contextualSpacing/>
              <w:jc w:val="left"/>
              <w:rPr>
                <w:rFonts w:ascii="Arial Narrow" w:hAnsi="Arial Narrow"/>
                <w:snapToGrid w:val="0"/>
                <w:lang w:eastAsia="en-US"/>
              </w:rPr>
            </w:pPr>
            <w:r w:rsidRPr="00454B21">
              <w:rPr>
                <w:rFonts w:ascii="Arial Narrow" w:hAnsi="Arial Narrow"/>
                <w:snapToGrid w:val="0"/>
                <w:lang w:eastAsia="en-US"/>
              </w:rPr>
              <w:t xml:space="preserve">chronic dermopathy on hands and nails 1 (0.9) </w:t>
            </w:r>
          </w:p>
        </w:tc>
      </w:tr>
    </w:tbl>
    <w:p w14:paraId="515935BF" w14:textId="77777777" w:rsidR="00454B21" w:rsidRPr="00454B21" w:rsidRDefault="00454B21" w:rsidP="00454B21">
      <w:pPr>
        <w:widowControl w:val="0"/>
        <w:spacing w:after="120" w:line="240" w:lineRule="auto"/>
        <w:contextualSpacing/>
        <w:jc w:val="left"/>
        <w:rPr>
          <w:rFonts w:ascii="Arial Narrow" w:hAnsi="Arial Narrow" w:cs="Arial"/>
          <w:snapToGrid w:val="0"/>
          <w:sz w:val="18"/>
          <w:szCs w:val="20"/>
          <w:lang w:eastAsia="en-US"/>
        </w:rPr>
      </w:pPr>
      <w:r w:rsidRPr="00454B21">
        <w:rPr>
          <w:rFonts w:ascii="Arial Narrow" w:hAnsi="Arial Narrow" w:cs="Arial"/>
          <w:snapToGrid w:val="0"/>
          <w:sz w:val="18"/>
          <w:szCs w:val="20"/>
          <w:lang w:eastAsia="en-US"/>
        </w:rPr>
        <w:t>NMOSD = neuromyelitis optica spectrum disorders; WBC = white blood cell</w:t>
      </w:r>
    </w:p>
    <w:p w14:paraId="666FC098" w14:textId="77777777" w:rsidR="00454B21" w:rsidRPr="00454B21" w:rsidRDefault="00454B21" w:rsidP="00454B21">
      <w:pPr>
        <w:widowControl w:val="0"/>
        <w:spacing w:after="120" w:line="240" w:lineRule="auto"/>
        <w:contextualSpacing/>
        <w:jc w:val="left"/>
        <w:rPr>
          <w:rFonts w:ascii="Arial Narrow" w:hAnsi="Arial Narrow" w:cs="Arial"/>
          <w:snapToGrid w:val="0"/>
          <w:sz w:val="18"/>
          <w:szCs w:val="20"/>
          <w:lang w:eastAsia="en-US"/>
        </w:rPr>
      </w:pPr>
      <w:r w:rsidRPr="00454B21">
        <w:rPr>
          <w:rFonts w:ascii="Arial Narrow" w:hAnsi="Arial Narrow" w:cs="Arial"/>
          <w:snapToGrid w:val="0"/>
          <w:sz w:val="18"/>
          <w:szCs w:val="20"/>
          <w:vertAlign w:val="superscript"/>
          <w:lang w:eastAsia="en-US"/>
        </w:rPr>
        <w:t>a</w:t>
      </w:r>
      <w:r w:rsidRPr="00454B21">
        <w:rPr>
          <w:rFonts w:ascii="Arial Narrow" w:hAnsi="Arial Narrow" w:cs="Arial"/>
          <w:snapToGrid w:val="0"/>
          <w:sz w:val="18"/>
          <w:szCs w:val="20"/>
          <w:lang w:eastAsia="en-US"/>
        </w:rPr>
        <w:t xml:space="preserve"> MMF dose was 500mg/day for the first 2 weeks and adjusted to 1,000mg/day for 2 weeks. </w:t>
      </w:r>
    </w:p>
    <w:p w14:paraId="683C69BF" w14:textId="77777777" w:rsidR="00454B21" w:rsidRPr="00454B21" w:rsidRDefault="00454B21" w:rsidP="00454B21">
      <w:pPr>
        <w:widowControl w:val="0"/>
        <w:spacing w:after="120" w:line="240" w:lineRule="auto"/>
        <w:contextualSpacing/>
        <w:jc w:val="left"/>
        <w:rPr>
          <w:rFonts w:ascii="Arial Narrow" w:hAnsi="Arial Narrow" w:cs="Arial"/>
          <w:snapToGrid w:val="0"/>
          <w:sz w:val="18"/>
          <w:szCs w:val="20"/>
          <w:lang w:eastAsia="en-US"/>
        </w:rPr>
      </w:pPr>
      <w:r w:rsidRPr="00454B21">
        <w:rPr>
          <w:rFonts w:ascii="Arial Narrow" w:hAnsi="Arial Narrow" w:cs="Arial"/>
          <w:snapToGrid w:val="0"/>
          <w:sz w:val="18"/>
          <w:szCs w:val="20"/>
          <w:vertAlign w:val="superscript"/>
          <w:lang w:eastAsia="en-US"/>
        </w:rPr>
        <w:t xml:space="preserve">b </w:t>
      </w:r>
      <w:r w:rsidRPr="00454B21">
        <w:rPr>
          <w:rFonts w:ascii="Arial Narrow" w:hAnsi="Arial Narrow" w:cs="Arial"/>
          <w:snapToGrid w:val="0"/>
          <w:sz w:val="18"/>
          <w:szCs w:val="20"/>
          <w:lang w:eastAsia="en-US"/>
        </w:rPr>
        <w:t>MMF dose</w:t>
      </w:r>
      <w:r w:rsidRPr="00454B21">
        <w:rPr>
          <w:rFonts w:ascii="Arial Narrow" w:hAnsi="Arial Narrow" w:cs="Arial"/>
          <w:snapToGrid w:val="0"/>
          <w:sz w:val="18"/>
          <w:szCs w:val="20"/>
          <w:vertAlign w:val="superscript"/>
          <w:lang w:eastAsia="en-US"/>
        </w:rPr>
        <w:t xml:space="preserve"> </w:t>
      </w:r>
      <w:r w:rsidRPr="00454B21">
        <w:rPr>
          <w:rFonts w:ascii="Arial Narrow" w:hAnsi="Arial Narrow" w:cs="Arial"/>
          <w:snapToGrid w:val="0"/>
          <w:sz w:val="18"/>
          <w:szCs w:val="20"/>
          <w:lang w:eastAsia="en-US"/>
        </w:rPr>
        <w:t>was divided into three treatment groups; low dose (≤1,000mg/day), moderate dose (1,250</w:t>
      </w:r>
      <w:r w:rsidR="00AB5DEA">
        <w:rPr>
          <w:rFonts w:ascii="Arial Narrow" w:hAnsi="Arial Narrow" w:cs="Arial"/>
          <w:snapToGrid w:val="0"/>
          <w:sz w:val="18"/>
          <w:szCs w:val="20"/>
          <w:lang w:eastAsia="en-US"/>
        </w:rPr>
        <w:t xml:space="preserve"> and </w:t>
      </w:r>
      <w:r w:rsidRPr="00454B21">
        <w:rPr>
          <w:rFonts w:ascii="Arial Narrow" w:hAnsi="Arial Narrow" w:cs="Arial"/>
          <w:snapToGrid w:val="0"/>
          <w:sz w:val="18"/>
          <w:szCs w:val="20"/>
          <w:lang w:eastAsia="en-US"/>
        </w:rPr>
        <w:t>1,500mg/day) and high dose 1,750 and 2,000mg/day)</w:t>
      </w:r>
    </w:p>
    <w:p w14:paraId="70B1BF1E" w14:textId="77777777" w:rsidR="00454B21" w:rsidRDefault="00454B21" w:rsidP="00454B21">
      <w:pPr>
        <w:widowControl w:val="0"/>
        <w:spacing w:after="120" w:line="240" w:lineRule="auto"/>
        <w:contextualSpacing/>
        <w:jc w:val="left"/>
        <w:rPr>
          <w:rFonts w:ascii="Arial Narrow" w:hAnsi="Arial Narrow" w:cs="Arial"/>
          <w:snapToGrid w:val="0"/>
          <w:sz w:val="18"/>
          <w:szCs w:val="20"/>
          <w:lang w:eastAsia="en-US"/>
        </w:rPr>
      </w:pPr>
      <w:r w:rsidRPr="00454B21">
        <w:rPr>
          <w:rFonts w:ascii="Arial Narrow" w:hAnsi="Arial Narrow" w:cs="Arial"/>
          <w:snapToGrid w:val="0"/>
          <w:sz w:val="18"/>
          <w:szCs w:val="20"/>
          <w:lang w:eastAsia="en-US"/>
        </w:rPr>
        <w:t xml:space="preserve">All patients in the two studies received oral corticosteroids </w:t>
      </w:r>
    </w:p>
    <w:p w14:paraId="6DFDCFF7" w14:textId="77777777" w:rsidR="00FF5C89" w:rsidRPr="00454B21" w:rsidRDefault="00FF5C89" w:rsidP="00454B21">
      <w:pPr>
        <w:widowControl w:val="0"/>
        <w:spacing w:after="120" w:line="240" w:lineRule="auto"/>
        <w:contextualSpacing/>
        <w:jc w:val="left"/>
        <w:rPr>
          <w:rFonts w:ascii="Arial Narrow" w:hAnsi="Arial Narrow" w:cs="Arial"/>
          <w:snapToGrid w:val="0"/>
          <w:sz w:val="18"/>
          <w:szCs w:val="20"/>
          <w:lang w:eastAsia="en-US"/>
        </w:rPr>
      </w:pPr>
    </w:p>
    <w:p w14:paraId="3D20307D" w14:textId="77777777" w:rsidR="00302E60" w:rsidRDefault="00315EBD" w:rsidP="00302E60">
      <w:pPr>
        <w:pStyle w:val="Heading4"/>
      </w:pPr>
      <w:r>
        <w:t>Eculizumab</w:t>
      </w:r>
      <w:r w:rsidR="00755E4A">
        <w:t xml:space="preserve"> (</w:t>
      </w:r>
      <w:r w:rsidR="00302E60">
        <w:t>E</w:t>
      </w:r>
      <w:r w:rsidR="00917669">
        <w:t>CZ</w:t>
      </w:r>
      <w:r w:rsidR="00755E4A">
        <w:t>)</w:t>
      </w:r>
    </w:p>
    <w:p w14:paraId="16F10BB2" w14:textId="65912E2F" w:rsidR="00454B21" w:rsidRPr="00454B21" w:rsidRDefault="00454B21" w:rsidP="00454B21">
      <w:r w:rsidRPr="00454B21">
        <w:t xml:space="preserve">A randomised, double-blind, time-to-event trial investigated the safety of </w:t>
      </w:r>
      <w:r w:rsidR="00917669">
        <w:t>ECZ</w:t>
      </w:r>
      <w:r w:rsidRPr="00454B21">
        <w:t xml:space="preserve"> compared to placebo in 143 adults with NMOSD</w:t>
      </w:r>
      <w:r w:rsidR="003B6F6C">
        <w:t xml:space="preserve"> </w:t>
      </w:r>
      <w:r w:rsidR="001E4BD1">
        <w:fldChar w:fldCharType="begin"/>
      </w:r>
      <w:r w:rsidR="001E4BD1">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sidR="001E4BD1">
        <w:fldChar w:fldCharType="separate"/>
      </w:r>
      <w:r w:rsidR="001E4BD1">
        <w:rPr>
          <w:noProof/>
        </w:rPr>
        <w:t>(Pittock et al. 2019)</w:t>
      </w:r>
      <w:r w:rsidR="001E4BD1">
        <w:fldChar w:fldCharType="end"/>
      </w:r>
      <w:r w:rsidRPr="00454B21">
        <w:t>. The rate of adverse events per 100 patient</w:t>
      </w:r>
      <w:r w:rsidR="00347861">
        <w:t xml:space="preserve"> </w:t>
      </w:r>
      <w:r w:rsidRPr="00454B21">
        <w:t xml:space="preserve">years </w:t>
      </w:r>
      <w:r w:rsidR="00347861">
        <w:t>was</w:t>
      </w:r>
      <w:r w:rsidR="00347861" w:rsidRPr="00454B21">
        <w:t xml:space="preserve"> </w:t>
      </w:r>
      <w:r w:rsidRPr="00454B21">
        <w:t xml:space="preserve">lower in the </w:t>
      </w:r>
      <w:r w:rsidR="00917669">
        <w:t>ECZ</w:t>
      </w:r>
      <w:r w:rsidRPr="00454B21">
        <w:t xml:space="preserve"> group compared to placebo (745 versus 1,127, respectively). Higher rates of upper respiratory tract infection and headache were reported in the </w:t>
      </w:r>
      <w:r w:rsidR="00917669">
        <w:t>ECZ</w:t>
      </w:r>
      <w:r w:rsidRPr="00454B21">
        <w:t xml:space="preserve"> group than in the placebo group (upper respiratory tract infection 31 versus 19 events per 100 patient-years and headache 55 versus 38 events per 100 patient-years for </w:t>
      </w:r>
      <w:r w:rsidR="00917669">
        <w:t>ECZ</w:t>
      </w:r>
      <w:r w:rsidR="00FC46CB">
        <w:t xml:space="preserve"> and placebo, respectively). T</w:t>
      </w:r>
      <w:r w:rsidRPr="00454B21">
        <w:t>he rate of any serious adverse event per 100 patient-years</w:t>
      </w:r>
      <w:r w:rsidR="00FC46CB">
        <w:t>, however,</w:t>
      </w:r>
      <w:r w:rsidRPr="00454B21">
        <w:t xml:space="preserve"> </w:t>
      </w:r>
      <w:r w:rsidR="00347861">
        <w:t>was</w:t>
      </w:r>
      <w:r w:rsidR="00347861" w:rsidRPr="00454B21">
        <w:t xml:space="preserve"> </w:t>
      </w:r>
      <w:r w:rsidRPr="00454B21">
        <w:t xml:space="preserve">higher in the placebo group compared to </w:t>
      </w:r>
      <w:r w:rsidR="00917669">
        <w:t>ECZ</w:t>
      </w:r>
      <w:r w:rsidRPr="00454B21">
        <w:t xml:space="preserve"> (</w:t>
      </w:r>
      <w:r w:rsidR="00347861">
        <w:t>27</w:t>
      </w:r>
      <w:r w:rsidR="00347861" w:rsidRPr="00454B21">
        <w:t xml:space="preserve"> </w:t>
      </w:r>
      <w:r w:rsidRPr="00454B21">
        <w:t xml:space="preserve">versus </w:t>
      </w:r>
      <w:r w:rsidR="00347861">
        <w:lastRenderedPageBreak/>
        <w:t>55</w:t>
      </w:r>
      <w:r w:rsidR="00347861" w:rsidRPr="00454B21">
        <w:t xml:space="preserve"> </w:t>
      </w:r>
      <w:r w:rsidRPr="00454B21">
        <w:t xml:space="preserve">for </w:t>
      </w:r>
      <w:r w:rsidR="00347861">
        <w:t>ECZ</w:t>
      </w:r>
      <w:r w:rsidR="00347861" w:rsidRPr="00454B21">
        <w:t xml:space="preserve"> </w:t>
      </w:r>
      <w:r w:rsidRPr="00454B21">
        <w:t xml:space="preserve">and, </w:t>
      </w:r>
      <w:r w:rsidR="00347861" w:rsidRPr="00454B21">
        <w:t xml:space="preserve">placebo </w:t>
      </w:r>
      <w:r w:rsidRPr="00454B21">
        <w:t xml:space="preserve">respectively). No patients in the </w:t>
      </w:r>
      <w:r w:rsidR="00917669">
        <w:t>ECZ</w:t>
      </w:r>
      <w:r w:rsidRPr="00454B21">
        <w:t xml:space="preserve"> group, but two patients in the placebo group discontinued treatment due to adverse events. A summary of serious adverse events associated with </w:t>
      </w:r>
      <w:r w:rsidR="00917669">
        <w:t>ECZ</w:t>
      </w:r>
      <w:r w:rsidRPr="00454B21">
        <w:t xml:space="preserve"> compared to placebo </w:t>
      </w:r>
      <w:r w:rsidR="00347861">
        <w:t>is</w:t>
      </w:r>
      <w:r w:rsidR="00347861" w:rsidRPr="00454B21">
        <w:t xml:space="preserve"> </w:t>
      </w:r>
      <w:r w:rsidRPr="00454B21">
        <w:t xml:space="preserve">displayed in </w:t>
      </w:r>
      <w:r w:rsidRPr="00454B21">
        <w:fldChar w:fldCharType="begin"/>
      </w:r>
      <w:r w:rsidRPr="00454B21">
        <w:instrText xml:space="preserve"> REF _Ref31637301 \h </w:instrText>
      </w:r>
      <w:r w:rsidR="008A43C6">
        <w:instrText xml:space="preserve"> \* MERGEFORMAT </w:instrText>
      </w:r>
      <w:r w:rsidRPr="00454B21">
        <w:fldChar w:fldCharType="separate"/>
      </w:r>
      <w:r w:rsidR="00D804C8" w:rsidRPr="00454B21">
        <w:t xml:space="preserve">Table </w:t>
      </w:r>
      <w:r w:rsidR="00D804C8">
        <w:t>61</w:t>
      </w:r>
      <w:r w:rsidRPr="00454B21">
        <w:fldChar w:fldCharType="end"/>
      </w:r>
      <w:r w:rsidRPr="00454B21">
        <w:t xml:space="preserve">. Although the trial was undertaken with a placebo comparator, patients who were receiving immunosuppressive therapies for relapse prevention (except </w:t>
      </w:r>
      <w:r w:rsidR="00917669">
        <w:t>RTX</w:t>
      </w:r>
      <w:r w:rsidRPr="00454B21">
        <w:t xml:space="preserve">) were eligible for inclusion. It is unknown therefore, whether the adverse events reported were a consequence of only the </w:t>
      </w:r>
      <w:r w:rsidR="00EE6ED1">
        <w:t>ECZ</w:t>
      </w:r>
      <w:r w:rsidRPr="00454B21">
        <w:t xml:space="preserve"> treatment.</w:t>
      </w:r>
    </w:p>
    <w:p w14:paraId="385A6ECD" w14:textId="30C403DE" w:rsidR="00454B21" w:rsidRPr="00454B21" w:rsidRDefault="00454B21" w:rsidP="00A87AE2">
      <w:pPr>
        <w:pStyle w:val="TableHeading"/>
      </w:pPr>
      <w:bookmarkStart w:id="336" w:name="_Ref31637301"/>
      <w:bookmarkStart w:id="337" w:name="_Toc39580842"/>
      <w:r w:rsidRPr="00454B21">
        <w:t xml:space="preserve">Table </w:t>
      </w:r>
      <w:r w:rsidRPr="00454B21">
        <w:fldChar w:fldCharType="begin"/>
      </w:r>
      <w:r w:rsidRPr="00454B21">
        <w:instrText xml:space="preserve"> SEQ Table \* ARABIC </w:instrText>
      </w:r>
      <w:r w:rsidRPr="00454B21">
        <w:fldChar w:fldCharType="separate"/>
      </w:r>
      <w:r w:rsidR="00FA7BCD">
        <w:rPr>
          <w:noProof/>
        </w:rPr>
        <w:t>61</w:t>
      </w:r>
      <w:r w:rsidRPr="00454B21">
        <w:fldChar w:fldCharType="end"/>
      </w:r>
      <w:bookmarkEnd w:id="336"/>
      <w:r w:rsidRPr="00454B21">
        <w:tab/>
        <w:t>Serious adverse events following</w:t>
      </w:r>
      <w:r w:rsidR="00955D8B">
        <w:t xml:space="preserve"> </w:t>
      </w:r>
      <w:r w:rsidR="00755E4A">
        <w:t>eculizumab (</w:t>
      </w:r>
      <w:r w:rsidR="00EE6ED1">
        <w:t>ECZ</w:t>
      </w:r>
      <w:r w:rsidR="00755E4A">
        <w:t>)</w:t>
      </w:r>
      <w:r w:rsidR="00955D8B">
        <w:t xml:space="preserve"> treatment compared</w:t>
      </w:r>
      <w:r w:rsidRPr="00454B21">
        <w:t xml:space="preserve"> placebo </w:t>
      </w:r>
      <w:r w:rsidR="001E4BD1">
        <w:fldChar w:fldCharType="begin"/>
      </w:r>
      <w:r w:rsidR="001E4BD1">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sidR="001E4BD1">
        <w:fldChar w:fldCharType="separate"/>
      </w:r>
      <w:r w:rsidR="001E4BD1">
        <w:rPr>
          <w:noProof/>
        </w:rPr>
        <w:t>(Pittock et al. 2019)</w:t>
      </w:r>
      <w:bookmarkEnd w:id="337"/>
      <w:r w:rsidR="001E4BD1">
        <w:fldChar w:fldCharType="end"/>
      </w:r>
    </w:p>
    <w:tbl>
      <w:tblPr>
        <w:tblStyle w:val="TableGrid1"/>
        <w:tblW w:w="5000" w:type="pct"/>
        <w:tblCellMar>
          <w:left w:w="28" w:type="dxa"/>
          <w:right w:w="28" w:type="dxa"/>
        </w:tblCellMar>
        <w:tblLook w:val="04A0" w:firstRow="1" w:lastRow="0" w:firstColumn="1" w:lastColumn="0" w:noHBand="0" w:noVBand="1"/>
        <w:tblCaption w:val="Table 61 Serious adverse events following eculizumab (ECZ) treatment compared placebo (Pittock, Berthele, Fujihara, Kim, Levy, Palace, Nakashima, Terzi, Totolyan, Viswanathan, et al. 2019) "/>
        <w:tblDescription w:val="A comparison of serious adverse events in NMOSD patients treated with either eculizumab or placebo"/>
      </w:tblPr>
      <w:tblGrid>
        <w:gridCol w:w="2895"/>
        <w:gridCol w:w="957"/>
        <w:gridCol w:w="1001"/>
        <w:gridCol w:w="20"/>
        <w:gridCol w:w="961"/>
        <w:gridCol w:w="1062"/>
        <w:gridCol w:w="1062"/>
        <w:gridCol w:w="1058"/>
      </w:tblGrid>
      <w:tr w:rsidR="00454B21" w:rsidRPr="00454B21" w14:paraId="3E335995" w14:textId="77777777" w:rsidTr="004C247E">
        <w:trPr>
          <w:cnfStyle w:val="100000000000" w:firstRow="1" w:lastRow="0" w:firstColumn="0" w:lastColumn="0" w:oddVBand="0" w:evenVBand="0" w:oddHBand="0" w:evenHBand="0" w:firstRowFirstColumn="0" w:firstRowLastColumn="0" w:lastRowFirstColumn="0" w:lastRowLastColumn="0"/>
          <w:tblHeader/>
        </w:trPr>
        <w:tc>
          <w:tcPr>
            <w:tcW w:w="1605" w:type="pct"/>
            <w:shd w:val="clear" w:color="auto" w:fill="auto"/>
          </w:tcPr>
          <w:p w14:paraId="00597EBA" w14:textId="77777777" w:rsidR="00454B21" w:rsidRPr="00454B21" w:rsidRDefault="00454B21" w:rsidP="00454B21">
            <w:pPr>
              <w:keepNext/>
              <w:spacing w:before="80" w:after="0" w:line="312" w:lineRule="auto"/>
              <w:ind w:left="105"/>
              <w:contextualSpacing/>
              <w:jc w:val="left"/>
              <w:rPr>
                <w:rFonts w:ascii="Arial Narrow" w:hAnsi="Arial Narrow"/>
                <w:b/>
                <w:snapToGrid w:val="0"/>
                <w:vertAlign w:val="superscript"/>
                <w:lang w:eastAsia="en-US"/>
              </w:rPr>
            </w:pPr>
            <w:r w:rsidRPr="00454B21">
              <w:rPr>
                <w:rFonts w:ascii="Arial Narrow" w:hAnsi="Arial Narrow"/>
                <w:b/>
                <w:snapToGrid w:val="0"/>
                <w:lang w:eastAsia="en-US"/>
              </w:rPr>
              <w:t>Serious Adverse Event</w:t>
            </w:r>
            <w:r w:rsidRPr="00454B21">
              <w:rPr>
                <w:rFonts w:ascii="Arial Narrow" w:hAnsi="Arial Narrow"/>
                <w:b/>
                <w:snapToGrid w:val="0"/>
                <w:vertAlign w:val="superscript"/>
                <w:lang w:eastAsia="en-US"/>
              </w:rPr>
              <w:t>a</w:t>
            </w:r>
          </w:p>
        </w:tc>
        <w:tc>
          <w:tcPr>
            <w:tcW w:w="1630" w:type="pct"/>
            <w:gridSpan w:val="4"/>
            <w:shd w:val="clear" w:color="auto" w:fill="auto"/>
          </w:tcPr>
          <w:p w14:paraId="045F474B" w14:textId="77777777" w:rsidR="00454B21" w:rsidRPr="00454B21" w:rsidRDefault="00454B21" w:rsidP="00755E4A">
            <w:pPr>
              <w:keepNext/>
              <w:spacing w:before="80" w:after="0" w:line="312" w:lineRule="auto"/>
              <w:ind w:left="105"/>
              <w:contextualSpacing/>
              <w:jc w:val="center"/>
              <w:rPr>
                <w:rFonts w:ascii="Arial Narrow" w:hAnsi="Arial Narrow"/>
                <w:b/>
                <w:snapToGrid w:val="0"/>
                <w:lang w:eastAsia="en-US"/>
              </w:rPr>
            </w:pPr>
            <w:r w:rsidRPr="00454B21">
              <w:rPr>
                <w:rFonts w:ascii="Arial Narrow" w:hAnsi="Arial Narrow"/>
                <w:b/>
                <w:snapToGrid w:val="0"/>
                <w:lang w:eastAsia="en-US"/>
              </w:rPr>
              <w:t>E</w:t>
            </w:r>
            <w:r w:rsidR="00755E4A">
              <w:rPr>
                <w:rFonts w:ascii="Arial Narrow" w:hAnsi="Arial Narrow"/>
                <w:b/>
                <w:snapToGrid w:val="0"/>
                <w:lang w:eastAsia="en-US"/>
              </w:rPr>
              <w:t>culizumab</w:t>
            </w:r>
            <w:r w:rsidRPr="00454B21">
              <w:rPr>
                <w:rFonts w:ascii="Arial Narrow" w:hAnsi="Arial Narrow"/>
                <w:b/>
                <w:snapToGrid w:val="0"/>
                <w:lang w:eastAsia="en-US"/>
              </w:rPr>
              <w:t xml:space="preserve"> (N=96)</w:t>
            </w:r>
          </w:p>
        </w:tc>
        <w:tc>
          <w:tcPr>
            <w:tcW w:w="1765" w:type="pct"/>
            <w:gridSpan w:val="3"/>
            <w:shd w:val="clear" w:color="auto" w:fill="auto"/>
          </w:tcPr>
          <w:p w14:paraId="563EB1AF" w14:textId="77777777" w:rsidR="00454B21" w:rsidRPr="00454B21" w:rsidRDefault="00454B21" w:rsidP="00454B21">
            <w:pPr>
              <w:keepNext/>
              <w:spacing w:before="80" w:after="0" w:line="312" w:lineRule="auto"/>
              <w:ind w:left="105"/>
              <w:contextualSpacing/>
              <w:jc w:val="center"/>
              <w:rPr>
                <w:rFonts w:ascii="Arial Narrow" w:hAnsi="Arial Narrow"/>
                <w:b/>
                <w:snapToGrid w:val="0"/>
                <w:lang w:eastAsia="en-US"/>
              </w:rPr>
            </w:pPr>
            <w:r w:rsidRPr="00454B21">
              <w:rPr>
                <w:rFonts w:ascii="Arial Narrow" w:hAnsi="Arial Narrow"/>
                <w:b/>
                <w:snapToGrid w:val="0"/>
                <w:lang w:eastAsia="en-US"/>
              </w:rPr>
              <w:t>Placebo (N=47)</w:t>
            </w:r>
          </w:p>
        </w:tc>
      </w:tr>
      <w:tr w:rsidR="00454B21" w:rsidRPr="00454B21" w14:paraId="4F19E841" w14:textId="77777777" w:rsidTr="004C247E">
        <w:trPr>
          <w:cnfStyle w:val="100000000000" w:firstRow="1" w:lastRow="0" w:firstColumn="0" w:lastColumn="0" w:oddVBand="0" w:evenVBand="0" w:oddHBand="0" w:evenHBand="0" w:firstRowFirstColumn="0" w:firstRowLastColumn="0" w:lastRowFirstColumn="0" w:lastRowLastColumn="0"/>
          <w:tblHeader/>
        </w:trPr>
        <w:tc>
          <w:tcPr>
            <w:tcW w:w="1605" w:type="pct"/>
            <w:shd w:val="clear" w:color="auto" w:fill="auto"/>
          </w:tcPr>
          <w:p w14:paraId="53007601" w14:textId="77777777" w:rsidR="00454B21" w:rsidRPr="00454B21" w:rsidRDefault="00454B21" w:rsidP="00454B21">
            <w:pPr>
              <w:keepNext/>
              <w:spacing w:before="80" w:after="0" w:line="312" w:lineRule="auto"/>
              <w:ind w:left="105"/>
              <w:contextualSpacing/>
              <w:jc w:val="left"/>
              <w:rPr>
                <w:rFonts w:ascii="Arial Narrow" w:hAnsi="Arial Narrow"/>
                <w:b/>
                <w:snapToGrid w:val="0"/>
                <w:lang w:eastAsia="en-US"/>
              </w:rPr>
            </w:pPr>
          </w:p>
        </w:tc>
        <w:tc>
          <w:tcPr>
            <w:tcW w:w="531" w:type="pct"/>
            <w:shd w:val="clear" w:color="auto" w:fill="auto"/>
          </w:tcPr>
          <w:p w14:paraId="53BBEC23" w14:textId="77777777" w:rsidR="00454B21" w:rsidRPr="00454B21" w:rsidRDefault="00454B21" w:rsidP="00454B21">
            <w:pPr>
              <w:keepNext/>
              <w:spacing w:before="80" w:after="0" w:line="312" w:lineRule="auto"/>
              <w:ind w:left="105"/>
              <w:contextualSpacing/>
              <w:jc w:val="left"/>
              <w:rPr>
                <w:rFonts w:ascii="Arial Narrow" w:hAnsi="Arial Narrow"/>
                <w:b/>
                <w:snapToGrid w:val="0"/>
                <w:lang w:eastAsia="en-US"/>
              </w:rPr>
            </w:pPr>
            <w:r w:rsidRPr="00454B21">
              <w:rPr>
                <w:rFonts w:ascii="Arial Narrow" w:hAnsi="Arial Narrow"/>
                <w:b/>
                <w:snapToGrid w:val="0"/>
                <w:lang w:eastAsia="en-US"/>
              </w:rPr>
              <w:t>No. of events</w:t>
            </w:r>
          </w:p>
        </w:tc>
        <w:tc>
          <w:tcPr>
            <w:tcW w:w="566" w:type="pct"/>
            <w:gridSpan w:val="2"/>
            <w:shd w:val="clear" w:color="auto" w:fill="auto"/>
          </w:tcPr>
          <w:p w14:paraId="6B5EEA81" w14:textId="77777777" w:rsidR="00454B21" w:rsidRPr="00454B21" w:rsidRDefault="00454B21" w:rsidP="00454B21">
            <w:pPr>
              <w:keepNext/>
              <w:spacing w:before="80" w:after="0" w:line="312" w:lineRule="auto"/>
              <w:ind w:left="105"/>
              <w:contextualSpacing/>
              <w:jc w:val="left"/>
              <w:rPr>
                <w:rFonts w:ascii="Arial Narrow" w:hAnsi="Arial Narrow"/>
                <w:b/>
                <w:snapToGrid w:val="0"/>
                <w:lang w:eastAsia="en-US"/>
              </w:rPr>
            </w:pPr>
            <w:r w:rsidRPr="00454B21">
              <w:rPr>
                <w:rFonts w:ascii="Arial Narrow" w:hAnsi="Arial Narrow"/>
                <w:b/>
                <w:snapToGrid w:val="0"/>
                <w:lang w:eastAsia="en-US"/>
              </w:rPr>
              <w:t>Events/100 patient-year</w:t>
            </w:r>
          </w:p>
        </w:tc>
        <w:tc>
          <w:tcPr>
            <w:tcW w:w="533" w:type="pct"/>
            <w:shd w:val="clear" w:color="auto" w:fill="auto"/>
          </w:tcPr>
          <w:p w14:paraId="3357575E" w14:textId="77777777" w:rsidR="00454B21" w:rsidRPr="00454B21" w:rsidRDefault="00454B21" w:rsidP="00454B21">
            <w:pPr>
              <w:keepNext/>
              <w:spacing w:before="80" w:after="0" w:line="312" w:lineRule="auto"/>
              <w:ind w:left="105"/>
              <w:contextualSpacing/>
              <w:jc w:val="left"/>
              <w:rPr>
                <w:rFonts w:ascii="Arial Narrow" w:hAnsi="Arial Narrow"/>
                <w:b/>
                <w:snapToGrid w:val="0"/>
                <w:lang w:eastAsia="en-US"/>
              </w:rPr>
            </w:pPr>
            <w:r w:rsidRPr="00454B21">
              <w:rPr>
                <w:rFonts w:ascii="Arial Narrow" w:hAnsi="Arial Narrow"/>
                <w:b/>
                <w:snapToGrid w:val="0"/>
                <w:lang w:eastAsia="en-US"/>
              </w:rPr>
              <w:t>No. of patients (%)</w:t>
            </w:r>
          </w:p>
        </w:tc>
        <w:tc>
          <w:tcPr>
            <w:tcW w:w="589" w:type="pct"/>
            <w:shd w:val="clear" w:color="auto" w:fill="auto"/>
          </w:tcPr>
          <w:p w14:paraId="38BF7868" w14:textId="77777777" w:rsidR="00454B21" w:rsidRPr="00454B21" w:rsidRDefault="00454B21" w:rsidP="00454B21">
            <w:pPr>
              <w:keepNext/>
              <w:spacing w:before="80" w:after="0" w:line="312" w:lineRule="auto"/>
              <w:ind w:left="105"/>
              <w:contextualSpacing/>
              <w:jc w:val="left"/>
              <w:rPr>
                <w:rFonts w:ascii="Arial Narrow" w:hAnsi="Arial Narrow"/>
                <w:b/>
                <w:snapToGrid w:val="0"/>
                <w:lang w:eastAsia="en-US"/>
              </w:rPr>
            </w:pPr>
            <w:r w:rsidRPr="00454B21">
              <w:rPr>
                <w:rFonts w:ascii="Arial Narrow" w:hAnsi="Arial Narrow"/>
                <w:b/>
                <w:snapToGrid w:val="0"/>
                <w:lang w:eastAsia="en-US"/>
              </w:rPr>
              <w:t>No. of events</w:t>
            </w:r>
          </w:p>
        </w:tc>
        <w:tc>
          <w:tcPr>
            <w:tcW w:w="589" w:type="pct"/>
            <w:shd w:val="clear" w:color="auto" w:fill="auto"/>
          </w:tcPr>
          <w:p w14:paraId="247AFDA8" w14:textId="77777777" w:rsidR="00454B21" w:rsidRPr="00454B21" w:rsidRDefault="00454B21" w:rsidP="00454B21">
            <w:pPr>
              <w:keepNext/>
              <w:spacing w:before="80" w:after="0" w:line="312" w:lineRule="auto"/>
              <w:ind w:left="105"/>
              <w:contextualSpacing/>
              <w:jc w:val="left"/>
              <w:rPr>
                <w:rFonts w:ascii="Arial Narrow" w:hAnsi="Arial Narrow"/>
                <w:b/>
                <w:snapToGrid w:val="0"/>
                <w:lang w:eastAsia="en-US"/>
              </w:rPr>
            </w:pPr>
            <w:r w:rsidRPr="00454B21">
              <w:rPr>
                <w:rFonts w:ascii="Arial Narrow" w:hAnsi="Arial Narrow"/>
                <w:b/>
                <w:snapToGrid w:val="0"/>
                <w:lang w:eastAsia="en-US"/>
              </w:rPr>
              <w:t>Events/100 patient-year</w:t>
            </w:r>
          </w:p>
        </w:tc>
        <w:tc>
          <w:tcPr>
            <w:tcW w:w="587" w:type="pct"/>
            <w:shd w:val="clear" w:color="auto" w:fill="auto"/>
          </w:tcPr>
          <w:p w14:paraId="1D61E1A3" w14:textId="77777777" w:rsidR="00454B21" w:rsidRPr="00454B21" w:rsidRDefault="00454B21" w:rsidP="00454B21">
            <w:pPr>
              <w:keepNext/>
              <w:spacing w:before="80" w:after="0" w:line="312" w:lineRule="auto"/>
              <w:ind w:left="105"/>
              <w:contextualSpacing/>
              <w:jc w:val="left"/>
              <w:rPr>
                <w:rFonts w:ascii="Arial Narrow" w:hAnsi="Arial Narrow"/>
                <w:b/>
                <w:snapToGrid w:val="0"/>
                <w:lang w:eastAsia="en-US"/>
              </w:rPr>
            </w:pPr>
            <w:r w:rsidRPr="00454B21">
              <w:rPr>
                <w:rFonts w:ascii="Arial Narrow" w:hAnsi="Arial Narrow"/>
                <w:b/>
                <w:snapToGrid w:val="0"/>
                <w:lang w:eastAsia="en-US"/>
              </w:rPr>
              <w:t>No. of patients (%)</w:t>
            </w:r>
          </w:p>
        </w:tc>
      </w:tr>
      <w:tr w:rsidR="00454B21" w:rsidRPr="00454B21" w14:paraId="6D101A4F" w14:textId="77777777" w:rsidTr="004C247E">
        <w:tc>
          <w:tcPr>
            <w:tcW w:w="1605" w:type="pct"/>
            <w:shd w:val="clear" w:color="auto" w:fill="auto"/>
          </w:tcPr>
          <w:p w14:paraId="2FEFEEBD" w14:textId="77777777" w:rsidR="00454B21" w:rsidRPr="00454B21" w:rsidRDefault="00454B21" w:rsidP="00454B21">
            <w:pPr>
              <w:ind w:left="105"/>
              <w:contextualSpacing/>
              <w:jc w:val="left"/>
              <w:rPr>
                <w:rFonts w:ascii="Arial Narrow" w:hAnsi="Arial Narrow"/>
                <w:snapToGrid w:val="0"/>
                <w:vertAlign w:val="superscript"/>
                <w:lang w:eastAsia="en-US"/>
              </w:rPr>
            </w:pPr>
            <w:r w:rsidRPr="00454B21">
              <w:rPr>
                <w:rFonts w:ascii="Arial Narrow" w:hAnsi="Arial Narrow"/>
                <w:snapToGrid w:val="0"/>
                <w:lang w:eastAsia="en-US"/>
              </w:rPr>
              <w:t>Any serious adverse event</w:t>
            </w:r>
            <w:r w:rsidRPr="00454B21">
              <w:rPr>
                <w:rFonts w:ascii="Arial Narrow" w:hAnsi="Arial Narrow"/>
                <w:snapToGrid w:val="0"/>
                <w:vertAlign w:val="superscript"/>
                <w:lang w:eastAsia="en-US"/>
              </w:rPr>
              <w:t>b</w:t>
            </w:r>
          </w:p>
        </w:tc>
        <w:tc>
          <w:tcPr>
            <w:tcW w:w="531" w:type="pct"/>
            <w:shd w:val="clear" w:color="auto" w:fill="auto"/>
          </w:tcPr>
          <w:p w14:paraId="22A69C6F"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46</w:t>
            </w:r>
          </w:p>
        </w:tc>
        <w:tc>
          <w:tcPr>
            <w:tcW w:w="555" w:type="pct"/>
            <w:shd w:val="clear" w:color="auto" w:fill="auto"/>
          </w:tcPr>
          <w:p w14:paraId="6CCC04A5"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27</w:t>
            </w:r>
          </w:p>
        </w:tc>
        <w:tc>
          <w:tcPr>
            <w:tcW w:w="544" w:type="pct"/>
            <w:gridSpan w:val="2"/>
            <w:shd w:val="clear" w:color="auto" w:fill="auto"/>
          </w:tcPr>
          <w:p w14:paraId="69DB223A"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25 (26)</w:t>
            </w:r>
          </w:p>
        </w:tc>
        <w:tc>
          <w:tcPr>
            <w:tcW w:w="589" w:type="pct"/>
            <w:shd w:val="clear" w:color="auto" w:fill="auto"/>
          </w:tcPr>
          <w:p w14:paraId="16BD07AE"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29</w:t>
            </w:r>
          </w:p>
        </w:tc>
        <w:tc>
          <w:tcPr>
            <w:tcW w:w="589" w:type="pct"/>
            <w:shd w:val="clear" w:color="auto" w:fill="auto"/>
          </w:tcPr>
          <w:p w14:paraId="6CDC544F"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55</w:t>
            </w:r>
          </w:p>
        </w:tc>
        <w:tc>
          <w:tcPr>
            <w:tcW w:w="587" w:type="pct"/>
            <w:shd w:val="clear" w:color="auto" w:fill="auto"/>
          </w:tcPr>
          <w:p w14:paraId="5B9B3A15"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13 (28)</w:t>
            </w:r>
          </w:p>
        </w:tc>
      </w:tr>
      <w:tr w:rsidR="00454B21" w:rsidRPr="00454B21" w14:paraId="696CED09" w14:textId="77777777" w:rsidTr="004C247E">
        <w:tc>
          <w:tcPr>
            <w:tcW w:w="1605" w:type="pct"/>
            <w:shd w:val="clear" w:color="auto" w:fill="auto"/>
          </w:tcPr>
          <w:p w14:paraId="1DCE2B02" w14:textId="77777777" w:rsidR="00454B21" w:rsidRPr="00454B21" w:rsidRDefault="00454B21" w:rsidP="00454B21">
            <w:pPr>
              <w:ind w:left="247"/>
              <w:contextualSpacing/>
              <w:jc w:val="left"/>
              <w:rPr>
                <w:rFonts w:ascii="Arial Narrow" w:hAnsi="Arial Narrow"/>
                <w:snapToGrid w:val="0"/>
                <w:vertAlign w:val="superscript"/>
                <w:lang w:eastAsia="en-US"/>
              </w:rPr>
            </w:pPr>
            <w:r w:rsidRPr="00454B21">
              <w:rPr>
                <w:rFonts w:ascii="Arial Narrow" w:hAnsi="Arial Narrow"/>
                <w:snapToGrid w:val="0"/>
                <w:lang w:eastAsia="en-US"/>
              </w:rPr>
              <w:t>Death</w:t>
            </w:r>
            <w:r w:rsidRPr="00454B21">
              <w:rPr>
                <w:rFonts w:ascii="Arial Narrow" w:hAnsi="Arial Narrow"/>
                <w:snapToGrid w:val="0"/>
                <w:vertAlign w:val="superscript"/>
                <w:lang w:eastAsia="en-US"/>
              </w:rPr>
              <w:t>c</w:t>
            </w:r>
          </w:p>
        </w:tc>
        <w:tc>
          <w:tcPr>
            <w:tcW w:w="531" w:type="pct"/>
            <w:shd w:val="clear" w:color="auto" w:fill="auto"/>
          </w:tcPr>
          <w:p w14:paraId="0954AB32"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1</w:t>
            </w:r>
          </w:p>
        </w:tc>
        <w:tc>
          <w:tcPr>
            <w:tcW w:w="555" w:type="pct"/>
            <w:shd w:val="clear" w:color="auto" w:fill="auto"/>
          </w:tcPr>
          <w:p w14:paraId="10384AE0"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1</w:t>
            </w:r>
          </w:p>
        </w:tc>
        <w:tc>
          <w:tcPr>
            <w:tcW w:w="544" w:type="pct"/>
            <w:gridSpan w:val="2"/>
            <w:shd w:val="clear" w:color="auto" w:fill="auto"/>
          </w:tcPr>
          <w:p w14:paraId="5A9D1F35"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1 (1)</w:t>
            </w:r>
          </w:p>
        </w:tc>
        <w:tc>
          <w:tcPr>
            <w:tcW w:w="589" w:type="pct"/>
            <w:shd w:val="clear" w:color="auto" w:fill="auto"/>
          </w:tcPr>
          <w:p w14:paraId="58C3180F"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0</w:t>
            </w:r>
          </w:p>
        </w:tc>
        <w:tc>
          <w:tcPr>
            <w:tcW w:w="589" w:type="pct"/>
            <w:shd w:val="clear" w:color="auto" w:fill="auto"/>
          </w:tcPr>
          <w:p w14:paraId="4F7ECF31"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0</w:t>
            </w:r>
          </w:p>
        </w:tc>
        <w:tc>
          <w:tcPr>
            <w:tcW w:w="587" w:type="pct"/>
            <w:shd w:val="clear" w:color="auto" w:fill="auto"/>
          </w:tcPr>
          <w:p w14:paraId="4EDF592D"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0</w:t>
            </w:r>
          </w:p>
        </w:tc>
      </w:tr>
      <w:tr w:rsidR="00454B21" w:rsidRPr="00454B21" w14:paraId="38A2A42B" w14:textId="77777777" w:rsidTr="004C247E">
        <w:tc>
          <w:tcPr>
            <w:tcW w:w="1605" w:type="pct"/>
            <w:shd w:val="clear" w:color="auto" w:fill="auto"/>
          </w:tcPr>
          <w:p w14:paraId="12CE5C5F" w14:textId="77777777" w:rsidR="00454B21" w:rsidRPr="00454B21" w:rsidRDefault="00454B21" w:rsidP="00454B21">
            <w:pPr>
              <w:ind w:left="247"/>
              <w:contextualSpacing/>
              <w:jc w:val="left"/>
              <w:rPr>
                <w:rFonts w:ascii="Arial Narrow" w:hAnsi="Arial Narrow"/>
                <w:snapToGrid w:val="0"/>
                <w:highlight w:val="cyan"/>
                <w:vertAlign w:val="superscript"/>
                <w:lang w:eastAsia="en-US"/>
              </w:rPr>
            </w:pPr>
            <w:r w:rsidRPr="00454B21">
              <w:rPr>
                <w:rFonts w:ascii="Arial Narrow" w:hAnsi="Arial Narrow"/>
                <w:snapToGrid w:val="0"/>
                <w:lang w:eastAsia="en-US"/>
              </w:rPr>
              <w:t>Related to trial agent, as determined by investigator</w:t>
            </w:r>
            <w:r w:rsidRPr="00454B21">
              <w:rPr>
                <w:rFonts w:ascii="Arial Narrow" w:hAnsi="Arial Narrow"/>
                <w:snapToGrid w:val="0"/>
                <w:vertAlign w:val="superscript"/>
                <w:lang w:eastAsia="en-US"/>
              </w:rPr>
              <w:t>d</w:t>
            </w:r>
          </w:p>
        </w:tc>
        <w:tc>
          <w:tcPr>
            <w:tcW w:w="531" w:type="pct"/>
            <w:shd w:val="clear" w:color="auto" w:fill="auto"/>
          </w:tcPr>
          <w:p w14:paraId="11BA63C8"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13</w:t>
            </w:r>
          </w:p>
        </w:tc>
        <w:tc>
          <w:tcPr>
            <w:tcW w:w="555" w:type="pct"/>
            <w:shd w:val="clear" w:color="auto" w:fill="auto"/>
          </w:tcPr>
          <w:p w14:paraId="3692BD22"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8</w:t>
            </w:r>
          </w:p>
        </w:tc>
        <w:tc>
          <w:tcPr>
            <w:tcW w:w="544" w:type="pct"/>
            <w:gridSpan w:val="2"/>
            <w:shd w:val="clear" w:color="auto" w:fill="auto"/>
          </w:tcPr>
          <w:p w14:paraId="366E9426"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9</w:t>
            </w:r>
            <w:r w:rsidR="00AB63E2">
              <w:rPr>
                <w:rFonts w:ascii="Arial Narrow" w:hAnsi="Arial Narrow"/>
                <w:snapToGrid w:val="0"/>
                <w:lang w:eastAsia="en-US"/>
              </w:rPr>
              <w:t xml:space="preserve"> </w:t>
            </w:r>
            <w:r w:rsidRPr="00454B21">
              <w:rPr>
                <w:rFonts w:ascii="Arial Narrow" w:hAnsi="Arial Narrow"/>
                <w:snapToGrid w:val="0"/>
                <w:lang w:eastAsia="en-US"/>
              </w:rPr>
              <w:t>(9)</w:t>
            </w:r>
          </w:p>
        </w:tc>
        <w:tc>
          <w:tcPr>
            <w:tcW w:w="589" w:type="pct"/>
            <w:shd w:val="clear" w:color="auto" w:fill="auto"/>
          </w:tcPr>
          <w:p w14:paraId="4B3644A1"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13</w:t>
            </w:r>
          </w:p>
        </w:tc>
        <w:tc>
          <w:tcPr>
            <w:tcW w:w="589" w:type="pct"/>
            <w:shd w:val="clear" w:color="auto" w:fill="auto"/>
          </w:tcPr>
          <w:p w14:paraId="7BF3B19F"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24</w:t>
            </w:r>
          </w:p>
        </w:tc>
        <w:tc>
          <w:tcPr>
            <w:tcW w:w="587" w:type="pct"/>
            <w:shd w:val="clear" w:color="auto" w:fill="auto"/>
          </w:tcPr>
          <w:p w14:paraId="4EF2187F" w14:textId="77777777" w:rsidR="00454B21" w:rsidRPr="00454B21" w:rsidRDefault="00454B21" w:rsidP="00454B21">
            <w:pPr>
              <w:ind w:left="105"/>
              <w:contextualSpacing/>
              <w:jc w:val="left"/>
              <w:rPr>
                <w:rFonts w:ascii="Arial Narrow" w:hAnsi="Arial Narrow"/>
                <w:snapToGrid w:val="0"/>
                <w:lang w:eastAsia="en-US"/>
              </w:rPr>
            </w:pPr>
            <w:r w:rsidRPr="00454B21">
              <w:rPr>
                <w:rFonts w:ascii="Arial Narrow" w:hAnsi="Arial Narrow"/>
                <w:snapToGrid w:val="0"/>
                <w:lang w:eastAsia="en-US"/>
              </w:rPr>
              <w:t>9</w:t>
            </w:r>
            <w:r w:rsidR="00AB63E2">
              <w:rPr>
                <w:rFonts w:ascii="Arial Narrow" w:hAnsi="Arial Narrow"/>
                <w:snapToGrid w:val="0"/>
                <w:lang w:eastAsia="en-US"/>
              </w:rPr>
              <w:t xml:space="preserve"> </w:t>
            </w:r>
            <w:r w:rsidRPr="00454B21">
              <w:rPr>
                <w:rFonts w:ascii="Arial Narrow" w:hAnsi="Arial Narrow"/>
                <w:snapToGrid w:val="0"/>
                <w:lang w:eastAsia="en-US"/>
              </w:rPr>
              <w:t>(19)</w:t>
            </w:r>
          </w:p>
        </w:tc>
      </w:tr>
    </w:tbl>
    <w:p w14:paraId="5280CBE7" w14:textId="15B8CD5C" w:rsidR="00EE6ED1" w:rsidRDefault="00454B21" w:rsidP="00EE6ED1">
      <w:pPr>
        <w:pStyle w:val="Tablenotes0"/>
      </w:pPr>
      <w:r w:rsidRPr="00454B21">
        <w:rPr>
          <w:vertAlign w:val="superscript"/>
        </w:rPr>
        <w:t>a</w:t>
      </w:r>
      <w:r w:rsidRPr="00454B21">
        <w:t xml:space="preserve"> Serious adverse events were evaluated during 173 patient-years in eculizumab group and 53 patient-years in the placebo group. Serious adverse event defined as any of the following: death</w:t>
      </w:r>
      <w:r w:rsidR="00A247DA">
        <w:t>;</w:t>
      </w:r>
      <w:r w:rsidRPr="00454B21">
        <w:t xml:space="preserve"> is life-threatening; requires inpatient hospitalisation or prolongation of existing hospitalisation; results in persistent or significant disability; is congenital anomaly/birth defect; or is an important medical event</w:t>
      </w:r>
    </w:p>
    <w:p w14:paraId="321B454B" w14:textId="77777777" w:rsidR="00EE6ED1" w:rsidRDefault="00454B21" w:rsidP="00EE6ED1">
      <w:pPr>
        <w:pStyle w:val="Tablenotes0"/>
      </w:pPr>
      <w:r w:rsidRPr="00454B21">
        <w:rPr>
          <w:vertAlign w:val="superscript"/>
        </w:rPr>
        <w:t xml:space="preserve">b </w:t>
      </w:r>
      <w:r w:rsidRPr="00454B21">
        <w:t>Serious adverse events that were reported by more than 1 patient in either group were pneumonia (3 patients receiving eculizumab and 1 patient receiving placebo), cellulitis, sepsis and urinary tract infection (each in 2 patients receiving eculizumab and none receiving placebo)</w:t>
      </w:r>
    </w:p>
    <w:p w14:paraId="5B3E290F" w14:textId="77777777" w:rsidR="00EE6ED1" w:rsidRDefault="00454B21" w:rsidP="00EE6ED1">
      <w:pPr>
        <w:pStyle w:val="Tablenotes0"/>
      </w:pPr>
      <w:r w:rsidRPr="00454B21">
        <w:rPr>
          <w:vertAlign w:val="superscript"/>
        </w:rPr>
        <w:t xml:space="preserve">c </w:t>
      </w:r>
      <w:r w:rsidRPr="00454B21">
        <w:t>Patient died from infectious pleural effusion, which the investigator categorized as probably related to trial agent.</w:t>
      </w:r>
    </w:p>
    <w:p w14:paraId="7ABA03FB" w14:textId="0E16AA44" w:rsidR="00454B21" w:rsidRDefault="00454B21" w:rsidP="00EE6ED1">
      <w:pPr>
        <w:pStyle w:val="Tablenotes0"/>
      </w:pPr>
      <w:r w:rsidRPr="00454B21">
        <w:rPr>
          <w:vertAlign w:val="superscript"/>
        </w:rPr>
        <w:t xml:space="preserve">d </w:t>
      </w:r>
      <w:r w:rsidRPr="00454B21">
        <w:t>serious adverse events were those categorised by the investigator as possibly, probably or definitely related to the trial agent or as of unknown relationship and included such events as pneumonia, bronchitis, cellulitis and atrial fibrillation</w:t>
      </w:r>
    </w:p>
    <w:p w14:paraId="168EBC36" w14:textId="77777777" w:rsidR="00C1682B" w:rsidRPr="00454B21" w:rsidRDefault="00C1682B" w:rsidP="00EE6ED1">
      <w:pPr>
        <w:pStyle w:val="Tablenotes0"/>
      </w:pPr>
    </w:p>
    <w:p w14:paraId="4D37A4BA" w14:textId="77777777" w:rsidR="00CE4D3A" w:rsidRPr="0003195E" w:rsidRDefault="00C053CB" w:rsidP="00C053CB">
      <w:pPr>
        <w:pStyle w:val="Heading4"/>
      </w:pPr>
      <w:r w:rsidRPr="0003195E">
        <w:t>Summary of adverse events of treatments for NMSOD</w:t>
      </w:r>
    </w:p>
    <w:p w14:paraId="6AB746D0" w14:textId="6C1774F0" w:rsidR="00624FF9" w:rsidRPr="0003195E" w:rsidRDefault="00624FF9" w:rsidP="00624FF9">
      <w:r w:rsidRPr="0003195E">
        <w:t xml:space="preserve">In </w:t>
      </w:r>
      <w:r w:rsidRPr="0003195E">
        <w:fldChar w:fldCharType="begin"/>
      </w:r>
      <w:r w:rsidRPr="0003195E">
        <w:instrText xml:space="preserve"> REF _Ref33023808 \h </w:instrText>
      </w:r>
      <w:r w:rsidR="0003195E">
        <w:instrText xml:space="preserve"> \* MERGEFORMAT </w:instrText>
      </w:r>
      <w:r w:rsidRPr="0003195E">
        <w:fldChar w:fldCharType="separate"/>
      </w:r>
      <w:r w:rsidR="00C1682B" w:rsidRPr="0003195E">
        <w:t xml:space="preserve">Table </w:t>
      </w:r>
      <w:r w:rsidR="00C1682B">
        <w:rPr>
          <w:noProof/>
        </w:rPr>
        <w:t>62</w:t>
      </w:r>
      <w:r w:rsidRPr="0003195E">
        <w:fldChar w:fldCharType="end"/>
      </w:r>
      <w:r w:rsidRPr="0003195E">
        <w:t xml:space="preserve"> the number of adverse events and serious adverse events are compared amongst NMOSD treatments</w:t>
      </w:r>
      <w:r w:rsidR="00347861">
        <w:t xml:space="preserve">, summarising the </w:t>
      </w:r>
      <w:r w:rsidR="00765A6D" w:rsidRPr="0003195E">
        <w:t>study results reported earlier in the Safety section. S</w:t>
      </w:r>
      <w:r w:rsidRPr="0003195E">
        <w:t>ome studie</w:t>
      </w:r>
      <w:r w:rsidR="00A247DA">
        <w:t>s specified if an adverse event</w:t>
      </w:r>
      <w:r w:rsidRPr="0003195E">
        <w:t xml:space="preserve"> was </w:t>
      </w:r>
      <w:r w:rsidR="00765A6D" w:rsidRPr="0003195E">
        <w:t xml:space="preserve">considered </w:t>
      </w:r>
      <w:r w:rsidRPr="0003195E">
        <w:t>related to the treatment or to other patient circumstances</w:t>
      </w:r>
      <w:r w:rsidR="001E4BD1">
        <w:t xml:space="preserve"> </w:t>
      </w:r>
      <w:r w:rsidR="001E4BD1">
        <w:fldChar w:fldCharType="begin">
          <w:fldData xml:space="preserve">PEVuZE5vdGU+PENpdGU+PEF1dGhvcj5KaWFvPC9BdXRob3I+PFllYXI+MjAxODwvWWVhcj48UmVj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</w:fldData>
        </w:fldChar>
      </w:r>
      <w:r w:rsidR="00B76BB1">
        <w:instrText xml:space="preserve"> ADDIN EN.CITE </w:instrText>
      </w:r>
      <w:r w:rsidR="00B76BB1">
        <w:fldChar w:fldCharType="begin">
          <w:fldData xml:space="preserve">PEVuZE5vdGU+PENpdGU+PEF1dGhvcj5KaWFvPC9BdXRob3I+PFllYXI+MjAxODwvWWVhcj48UmVj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</w:fldData>
        </w:fldChar>
      </w:r>
      <w:r w:rsidR="00B76BB1">
        <w:instrText xml:space="preserve"> ADDIN EN.CITE.DATA </w:instrText>
      </w:r>
      <w:r w:rsidR="00B76BB1">
        <w:fldChar w:fldCharType="end"/>
      </w:r>
      <w:r w:rsidR="001E4BD1">
        <w:fldChar w:fldCharType="separate"/>
      </w:r>
      <w:r w:rsidR="004A614C">
        <w:rPr>
          <w:noProof/>
        </w:rPr>
        <w:t>(Pittock et al. 2019; Jiao</w:t>
      </w:r>
      <w:r w:rsidR="00B76BB1">
        <w:rPr>
          <w:noProof/>
        </w:rPr>
        <w:t xml:space="preserve"> et al. 2018</w:t>
      </w:r>
      <w:r w:rsidR="004A614C">
        <w:rPr>
          <w:noProof/>
        </w:rPr>
        <w:t>b</w:t>
      </w:r>
      <w:r w:rsidR="00B76BB1">
        <w:rPr>
          <w:noProof/>
        </w:rPr>
        <w:t>)</w:t>
      </w:r>
      <w:r w:rsidR="001E4BD1">
        <w:fldChar w:fldCharType="end"/>
      </w:r>
      <w:r w:rsidR="00BF4EBB" w:rsidRPr="0003195E">
        <w:t>.</w:t>
      </w:r>
      <w:r w:rsidRPr="0003195E">
        <w:t xml:space="preserve"> Serious adverse events were de</w:t>
      </w:r>
      <w:r w:rsidR="00765A6D" w:rsidRPr="0003195E">
        <w:t>f</w:t>
      </w:r>
      <w:r w:rsidRPr="0003195E">
        <w:t xml:space="preserve">ined differently amongst the studies or not defined at all. In </w:t>
      </w:r>
      <w:r w:rsidR="00A44FB9" w:rsidRPr="0003195E">
        <w:t>the studies</w:t>
      </w:r>
      <w:r w:rsidRPr="0003195E">
        <w:t xml:space="preserve"> by Jiao et al</w:t>
      </w:r>
      <w:r w:rsidR="00347861">
        <w:t xml:space="preserve"> (</w:t>
      </w:r>
      <w:r w:rsidRPr="0003195E">
        <w:t>2018</w:t>
      </w:r>
      <w:r w:rsidR="00347861">
        <w:t>)</w:t>
      </w:r>
      <w:r w:rsidR="00A44FB9" w:rsidRPr="0003195E">
        <w:t xml:space="preserve"> </w:t>
      </w:r>
      <w:r w:rsidR="00E33BFB">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instrText xml:space="preserve"> ADDIN EN.CITE </w:instrText>
      </w:r>
      <w:r w:rsidR="00557788">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instrText xml:space="preserve"> ADDIN EN.CITE.DATA </w:instrText>
      </w:r>
      <w:r w:rsidR="00557788">
        <w:fldChar w:fldCharType="end"/>
      </w:r>
      <w:r w:rsidR="00E33BFB">
        <w:fldChar w:fldCharType="separate"/>
      </w:r>
      <w:r w:rsidR="004A614C">
        <w:rPr>
          <w:noProof/>
        </w:rPr>
        <w:t>(Jiao</w:t>
      </w:r>
      <w:r w:rsidR="00557788">
        <w:rPr>
          <w:noProof/>
        </w:rPr>
        <w:t xml:space="preserve"> et al. 2018</w:t>
      </w:r>
      <w:r w:rsidR="004A614C">
        <w:rPr>
          <w:noProof/>
        </w:rPr>
        <w:t>b</w:t>
      </w:r>
      <w:r w:rsidR="00557788">
        <w:rPr>
          <w:noProof/>
        </w:rPr>
        <w:t>)</w:t>
      </w:r>
      <w:r w:rsidR="00E33BFB">
        <w:fldChar w:fldCharType="end"/>
      </w:r>
      <w:r w:rsidR="00E33BFB">
        <w:t xml:space="preserve"> </w:t>
      </w:r>
      <w:r w:rsidR="00A44FB9" w:rsidRPr="0003195E">
        <w:t xml:space="preserve">and Bonnan et al </w:t>
      </w:r>
      <w:r w:rsidR="00347861">
        <w:t>(</w:t>
      </w:r>
      <w:r w:rsidR="00A44FB9" w:rsidRPr="0003195E">
        <w:t>2009</w:t>
      </w:r>
      <w:r w:rsidR="00347861">
        <w:t>)</w:t>
      </w:r>
      <w:r w:rsidR="00916005">
        <w:t xml:space="preserve">, </w:t>
      </w:r>
      <w:r w:rsidR="00A44FB9" w:rsidRPr="0003195E">
        <w:t>patients who ceased treatment due to adverse events</w:t>
      </w:r>
      <w:r w:rsidR="00916005">
        <w:t xml:space="preserve"> are included</w:t>
      </w:r>
      <w:r w:rsidR="00A44FB9" w:rsidRPr="0003195E">
        <w:t xml:space="preserve"> as serious</w:t>
      </w:r>
      <w:r w:rsidR="00765A6D" w:rsidRPr="0003195E">
        <w:t xml:space="preserve"> adverse events</w:t>
      </w:r>
      <w:r w:rsidR="00916005" w:rsidRPr="00916005">
        <w:t xml:space="preserve"> </w:t>
      </w:r>
      <w:r w:rsidR="00916005" w:rsidRPr="0003195E">
        <w:t>in Table 69</w:t>
      </w:r>
      <w:r w:rsidR="00A44FB9" w:rsidRPr="0003195E">
        <w:t>.</w:t>
      </w:r>
      <w:r w:rsidRPr="0003195E">
        <w:t xml:space="preserve"> Only one study </w:t>
      </w:r>
      <w:r w:rsidR="001E4BD1">
        <w:fldChar w:fldCharType="begin"/>
      </w:r>
      <w:r w:rsidR="001E4BD1">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sidR="001E4BD1">
        <w:fldChar w:fldCharType="separate"/>
      </w:r>
      <w:r w:rsidR="001E4BD1">
        <w:rPr>
          <w:noProof/>
        </w:rPr>
        <w:t>(Pittock et al. 2019)</w:t>
      </w:r>
      <w:r w:rsidR="001E4BD1">
        <w:fldChar w:fldCharType="end"/>
      </w:r>
      <w:r w:rsidRPr="0003195E">
        <w:t xml:space="preserve"> compared events between groups randomised </w:t>
      </w:r>
      <w:r w:rsidR="00765A6D" w:rsidRPr="0003195E">
        <w:t>to either</w:t>
      </w:r>
      <w:r w:rsidR="00C1682B">
        <w:t xml:space="preserve"> treatment </w:t>
      </w:r>
      <w:r w:rsidR="001E0E29">
        <w:t>ECZ</w:t>
      </w:r>
      <w:r w:rsidRPr="0003195E">
        <w:t xml:space="preserve"> </w:t>
      </w:r>
      <w:r w:rsidR="00765A6D" w:rsidRPr="0003195E">
        <w:t>or</w:t>
      </w:r>
      <w:r w:rsidRPr="0003195E">
        <w:t xml:space="preserve"> placebo.</w:t>
      </w:r>
      <w:r w:rsidR="00DE37B4" w:rsidRPr="0003195E">
        <w:t xml:space="preserve"> </w:t>
      </w:r>
    </w:p>
    <w:p w14:paraId="14249233" w14:textId="77777777" w:rsidR="00636831" w:rsidRPr="0003195E" w:rsidRDefault="00636831" w:rsidP="00624FF9">
      <w:r w:rsidRPr="0003195E">
        <w:t xml:space="preserve">The lowest number of serious adverse events was associated with </w:t>
      </w:r>
      <w:r w:rsidR="001E0E29">
        <w:t>RTX</w:t>
      </w:r>
      <w:r w:rsidRPr="0003195E">
        <w:t xml:space="preserve"> treatment when compared with the other treatments. The highest number of serious adverse events was associated with </w:t>
      </w:r>
      <w:r w:rsidR="001E0E29">
        <w:t>ECZ</w:t>
      </w:r>
      <w:r w:rsidR="0081155E" w:rsidRPr="0003195E">
        <w:t xml:space="preserve"> treatment</w:t>
      </w:r>
      <w:r w:rsidR="001E0E29">
        <w:t xml:space="preserve"> </w:t>
      </w:r>
      <w:r w:rsidR="005F4482">
        <w:t>compared to the other treatments</w:t>
      </w:r>
      <w:r w:rsidR="0081155E" w:rsidRPr="0003195E">
        <w:t xml:space="preserve">, however </w:t>
      </w:r>
      <w:r w:rsidR="005F4482" w:rsidRPr="0003195E">
        <w:t xml:space="preserve">according to the RCT by Pittock et al </w:t>
      </w:r>
      <w:r w:rsidR="0081155E" w:rsidRPr="0003195E">
        <w:t>those who were randomised to placebo experienced twice the rate of serious adverse events than those who received the intervention.</w:t>
      </w:r>
      <w:r w:rsidR="005E708A" w:rsidRPr="0003195E">
        <w:t xml:space="preserve"> These results should be considered with caution as only selected data has been used to address the Safety section</w:t>
      </w:r>
      <w:r w:rsidR="005F4482">
        <w:t xml:space="preserve"> and treatments were only compared indirectly</w:t>
      </w:r>
      <w:r w:rsidR="005E708A" w:rsidRPr="0003195E">
        <w:t xml:space="preserve">. </w:t>
      </w:r>
      <w:r w:rsidR="00916005">
        <w:t>Moreover, the study sizes are small, limiting confidence in these results.</w:t>
      </w:r>
    </w:p>
    <w:p w14:paraId="5A0972F0" w14:textId="21F9F348" w:rsidR="00624FF9" w:rsidRPr="0003195E" w:rsidRDefault="00624FF9" w:rsidP="00624FF9">
      <w:pPr>
        <w:pStyle w:val="Caption"/>
      </w:pPr>
      <w:bookmarkStart w:id="338" w:name="_Ref33023808"/>
      <w:bookmarkStart w:id="339" w:name="_Toc39580843"/>
      <w:r w:rsidRPr="0003195E">
        <w:t xml:space="preserve">Table </w:t>
      </w:r>
      <w:fldSimple w:instr=" SEQ Table \* ARABIC ">
        <w:r w:rsidR="00FA7BCD">
          <w:rPr>
            <w:noProof/>
          </w:rPr>
          <w:t>62</w:t>
        </w:r>
      </w:fldSimple>
      <w:bookmarkEnd w:id="338"/>
      <w:r w:rsidRPr="0003195E">
        <w:tab/>
        <w:t>Summary of adverse events reported across NMOSD treatments</w:t>
      </w:r>
      <w:bookmarkEnd w:id="339"/>
    </w:p>
    <w:tbl>
      <w:tblPr>
        <w:tblStyle w:val="TableGrid1"/>
        <w:tblW w:w="5000" w:type="pct"/>
        <w:tblCellMar>
          <w:left w:w="28" w:type="dxa"/>
          <w:right w:w="28" w:type="dxa"/>
        </w:tblCellMar>
        <w:tblLook w:val="04A0" w:firstRow="1" w:lastRow="0" w:firstColumn="1" w:lastColumn="0" w:noHBand="0" w:noVBand="1"/>
        <w:tblCaption w:val="Table 62 Summary of adverse events reported across NMOSD treatments"/>
        <w:tblDescription w:val="A comparison of advserse events reported in NMOSD patients treated with plasma exchange, rituximab, azathioprine, myciphenolate mofetil or eculizumab"/>
      </w:tblPr>
      <w:tblGrid>
        <w:gridCol w:w="1554"/>
        <w:gridCol w:w="1560"/>
        <w:gridCol w:w="1985"/>
        <w:gridCol w:w="2128"/>
        <w:gridCol w:w="1789"/>
      </w:tblGrid>
      <w:tr w:rsidR="00C053CB" w:rsidRPr="0003195E" w14:paraId="2B9983F2" w14:textId="77777777" w:rsidTr="00C1682B">
        <w:trPr>
          <w:cnfStyle w:val="100000000000" w:firstRow="1" w:lastRow="0" w:firstColumn="0" w:lastColumn="0" w:oddVBand="0" w:evenVBand="0" w:oddHBand="0" w:evenHBand="0" w:firstRowFirstColumn="0" w:firstRowLastColumn="0" w:lastRowFirstColumn="0" w:lastRowLastColumn="0"/>
          <w:tblHeader/>
        </w:trPr>
        <w:tc>
          <w:tcPr>
            <w:tcW w:w="862" w:type="pct"/>
            <w:shd w:val="clear" w:color="auto" w:fill="auto"/>
          </w:tcPr>
          <w:p w14:paraId="378B34CF" w14:textId="77777777" w:rsidR="00C053CB" w:rsidRPr="0003195E" w:rsidRDefault="00C053CB" w:rsidP="00A44FB9">
            <w:pPr>
              <w:keepNext/>
              <w:ind w:left="105"/>
              <w:contextualSpacing/>
              <w:jc w:val="left"/>
              <w:rPr>
                <w:rFonts w:ascii="Arial Narrow" w:hAnsi="Arial Narrow"/>
                <w:b/>
                <w:snapToGrid w:val="0"/>
                <w:lang w:eastAsia="en-US"/>
              </w:rPr>
            </w:pPr>
            <w:r w:rsidRPr="0003195E">
              <w:rPr>
                <w:rFonts w:ascii="Arial Narrow" w:hAnsi="Arial Narrow"/>
                <w:b/>
                <w:snapToGrid w:val="0"/>
                <w:lang w:eastAsia="en-US"/>
              </w:rPr>
              <w:t>Study ID</w:t>
            </w:r>
          </w:p>
        </w:tc>
        <w:tc>
          <w:tcPr>
            <w:tcW w:w="865" w:type="pct"/>
          </w:tcPr>
          <w:p w14:paraId="7275B7F2" w14:textId="77777777" w:rsidR="00C053CB" w:rsidRPr="0003195E" w:rsidRDefault="00C053CB" w:rsidP="00A44FB9">
            <w:pPr>
              <w:keepNext/>
              <w:ind w:left="105"/>
              <w:contextualSpacing/>
              <w:jc w:val="left"/>
              <w:rPr>
                <w:rFonts w:ascii="Arial Narrow" w:hAnsi="Arial Narrow"/>
                <w:b/>
                <w:snapToGrid w:val="0"/>
                <w:lang w:eastAsia="en-US"/>
              </w:rPr>
            </w:pPr>
            <w:r w:rsidRPr="0003195E">
              <w:rPr>
                <w:rFonts w:ascii="Arial Narrow" w:hAnsi="Arial Narrow"/>
                <w:b/>
                <w:snapToGrid w:val="0"/>
                <w:lang w:eastAsia="en-US"/>
              </w:rPr>
              <w:t>Treatment</w:t>
            </w:r>
          </w:p>
          <w:p w14:paraId="291EBB72" w14:textId="77777777" w:rsidR="00C053CB" w:rsidRPr="0003195E" w:rsidRDefault="00C053CB" w:rsidP="00A44FB9">
            <w:pPr>
              <w:keepNext/>
              <w:ind w:left="105"/>
              <w:contextualSpacing/>
              <w:jc w:val="left"/>
              <w:rPr>
                <w:rFonts w:ascii="Arial Narrow" w:hAnsi="Arial Narrow"/>
                <w:b/>
                <w:snapToGrid w:val="0"/>
                <w:lang w:eastAsia="en-US"/>
              </w:rPr>
            </w:pPr>
            <w:r w:rsidRPr="0003195E">
              <w:rPr>
                <w:rFonts w:ascii="Arial Narrow" w:hAnsi="Arial Narrow"/>
                <w:b/>
                <w:snapToGrid w:val="0"/>
                <w:lang w:eastAsia="en-US"/>
              </w:rPr>
              <w:t>N patients</w:t>
            </w:r>
          </w:p>
        </w:tc>
        <w:tc>
          <w:tcPr>
            <w:tcW w:w="1101" w:type="pct"/>
            <w:shd w:val="clear" w:color="auto" w:fill="auto"/>
          </w:tcPr>
          <w:p w14:paraId="1B09DA0F" w14:textId="77777777" w:rsidR="00636831" w:rsidRPr="0003195E" w:rsidRDefault="00C053CB" w:rsidP="00A44FB9">
            <w:pPr>
              <w:keepNext/>
              <w:ind w:left="105"/>
              <w:contextualSpacing/>
              <w:jc w:val="left"/>
              <w:rPr>
                <w:rFonts w:ascii="Arial Narrow" w:hAnsi="Arial Narrow"/>
                <w:b/>
                <w:snapToGrid w:val="0"/>
                <w:lang w:eastAsia="en-US"/>
              </w:rPr>
            </w:pPr>
            <w:r w:rsidRPr="0003195E">
              <w:rPr>
                <w:rFonts w:ascii="Arial Narrow" w:hAnsi="Arial Narrow"/>
                <w:b/>
                <w:snapToGrid w:val="0"/>
                <w:lang w:eastAsia="en-US"/>
              </w:rPr>
              <w:t>Adverse events</w:t>
            </w:r>
            <w:r w:rsidR="008A43C6" w:rsidRPr="0003195E">
              <w:rPr>
                <w:rFonts w:ascii="Arial Narrow" w:hAnsi="Arial Narrow"/>
                <w:b/>
                <w:snapToGrid w:val="0"/>
                <w:lang w:eastAsia="en-US"/>
              </w:rPr>
              <w:t xml:space="preserve"> </w:t>
            </w:r>
          </w:p>
          <w:p w14:paraId="63FF3C87" w14:textId="77777777" w:rsidR="00C053CB" w:rsidRPr="0003195E" w:rsidRDefault="008A43C6" w:rsidP="00A44FB9">
            <w:pPr>
              <w:keepNext/>
              <w:ind w:left="105"/>
              <w:contextualSpacing/>
              <w:jc w:val="left"/>
              <w:rPr>
                <w:rFonts w:ascii="Arial Narrow" w:hAnsi="Arial Narrow"/>
                <w:b/>
                <w:snapToGrid w:val="0"/>
                <w:lang w:eastAsia="en-US"/>
              </w:rPr>
            </w:pPr>
            <w:r w:rsidRPr="0003195E">
              <w:rPr>
                <w:rFonts w:ascii="Arial Narrow" w:hAnsi="Arial Narrow"/>
                <w:b/>
                <w:snapToGrid w:val="0"/>
                <w:lang w:eastAsia="en-US"/>
              </w:rPr>
              <w:t>n</w:t>
            </w:r>
            <w:r w:rsidR="00C053CB" w:rsidRPr="0003195E">
              <w:rPr>
                <w:rFonts w:ascii="Arial Narrow" w:hAnsi="Arial Narrow"/>
                <w:b/>
                <w:snapToGrid w:val="0"/>
                <w:lang w:eastAsia="en-US"/>
              </w:rPr>
              <w:t xml:space="preserve"> (%)</w:t>
            </w:r>
          </w:p>
        </w:tc>
        <w:tc>
          <w:tcPr>
            <w:tcW w:w="1180" w:type="pct"/>
            <w:shd w:val="clear" w:color="auto" w:fill="auto"/>
          </w:tcPr>
          <w:p w14:paraId="51C1E108" w14:textId="77777777" w:rsidR="006100A1" w:rsidRPr="0003195E" w:rsidRDefault="00C053CB" w:rsidP="00A44FB9">
            <w:pPr>
              <w:keepNext/>
              <w:ind w:left="105"/>
              <w:contextualSpacing/>
              <w:jc w:val="left"/>
              <w:rPr>
                <w:rFonts w:ascii="Arial Narrow" w:hAnsi="Arial Narrow"/>
                <w:b/>
                <w:snapToGrid w:val="0"/>
                <w:lang w:eastAsia="en-US"/>
              </w:rPr>
            </w:pPr>
            <w:r w:rsidRPr="0003195E">
              <w:rPr>
                <w:rFonts w:ascii="Arial Narrow" w:hAnsi="Arial Narrow"/>
                <w:b/>
                <w:snapToGrid w:val="0"/>
                <w:lang w:eastAsia="en-US"/>
              </w:rPr>
              <w:t xml:space="preserve">Serious adverse events </w:t>
            </w:r>
          </w:p>
          <w:p w14:paraId="15E2CF85" w14:textId="77777777" w:rsidR="00C053CB" w:rsidRPr="0003195E" w:rsidRDefault="008A43C6" w:rsidP="00A44FB9">
            <w:pPr>
              <w:keepNext/>
              <w:ind w:left="105"/>
              <w:contextualSpacing/>
              <w:jc w:val="left"/>
              <w:rPr>
                <w:rFonts w:ascii="Arial Narrow" w:hAnsi="Arial Narrow"/>
                <w:b/>
                <w:snapToGrid w:val="0"/>
                <w:lang w:eastAsia="en-US"/>
              </w:rPr>
            </w:pPr>
            <w:r w:rsidRPr="0003195E">
              <w:rPr>
                <w:rFonts w:ascii="Arial Narrow" w:hAnsi="Arial Narrow"/>
                <w:b/>
                <w:snapToGrid w:val="0"/>
                <w:lang w:eastAsia="en-US"/>
              </w:rPr>
              <w:t>n</w:t>
            </w:r>
            <w:r w:rsidR="006100A1" w:rsidRPr="0003195E">
              <w:rPr>
                <w:rFonts w:ascii="Arial Narrow" w:hAnsi="Arial Narrow"/>
                <w:b/>
                <w:snapToGrid w:val="0"/>
                <w:lang w:eastAsia="en-US"/>
              </w:rPr>
              <w:t xml:space="preserve"> </w:t>
            </w:r>
            <w:r w:rsidR="00C053CB" w:rsidRPr="0003195E">
              <w:rPr>
                <w:rFonts w:ascii="Arial Narrow" w:hAnsi="Arial Narrow"/>
                <w:b/>
                <w:snapToGrid w:val="0"/>
                <w:lang w:eastAsia="en-US"/>
              </w:rPr>
              <w:t>(%)</w:t>
            </w:r>
          </w:p>
        </w:tc>
        <w:tc>
          <w:tcPr>
            <w:tcW w:w="992" w:type="pct"/>
          </w:tcPr>
          <w:p w14:paraId="393FCC1A" w14:textId="77777777" w:rsidR="006100A1" w:rsidRPr="0003195E" w:rsidRDefault="00C053CB" w:rsidP="00A44FB9">
            <w:pPr>
              <w:keepNext/>
              <w:ind w:left="105"/>
              <w:contextualSpacing/>
              <w:jc w:val="left"/>
              <w:rPr>
                <w:rFonts w:ascii="Arial Narrow" w:hAnsi="Arial Narrow"/>
                <w:b/>
                <w:snapToGrid w:val="0"/>
                <w:lang w:eastAsia="en-US"/>
              </w:rPr>
            </w:pPr>
            <w:r w:rsidRPr="0003195E">
              <w:rPr>
                <w:rFonts w:ascii="Arial Narrow" w:hAnsi="Arial Narrow"/>
                <w:b/>
                <w:snapToGrid w:val="0"/>
                <w:lang w:eastAsia="en-US"/>
              </w:rPr>
              <w:t>Mortality</w:t>
            </w:r>
            <w:r w:rsidR="008A43C6" w:rsidRPr="0003195E">
              <w:rPr>
                <w:rFonts w:ascii="Arial Narrow" w:hAnsi="Arial Narrow"/>
                <w:b/>
                <w:snapToGrid w:val="0"/>
                <w:lang w:eastAsia="en-US"/>
              </w:rPr>
              <w:t xml:space="preserve"> </w:t>
            </w:r>
          </w:p>
          <w:p w14:paraId="5F85D06B" w14:textId="77777777" w:rsidR="00C053CB" w:rsidRPr="0003195E" w:rsidRDefault="008A43C6" w:rsidP="00A44FB9">
            <w:pPr>
              <w:keepNext/>
              <w:ind w:left="105"/>
              <w:contextualSpacing/>
              <w:jc w:val="left"/>
              <w:rPr>
                <w:rFonts w:ascii="Arial Narrow" w:hAnsi="Arial Narrow"/>
                <w:b/>
                <w:snapToGrid w:val="0"/>
                <w:lang w:eastAsia="en-US"/>
              </w:rPr>
            </w:pPr>
            <w:r w:rsidRPr="0003195E">
              <w:rPr>
                <w:rFonts w:ascii="Arial Narrow" w:hAnsi="Arial Narrow"/>
                <w:b/>
                <w:snapToGrid w:val="0"/>
                <w:lang w:eastAsia="en-US"/>
              </w:rPr>
              <w:t>n</w:t>
            </w:r>
            <w:r w:rsidR="00C053CB" w:rsidRPr="0003195E">
              <w:rPr>
                <w:rFonts w:ascii="Arial Narrow" w:hAnsi="Arial Narrow"/>
                <w:b/>
                <w:snapToGrid w:val="0"/>
                <w:lang w:eastAsia="en-US"/>
              </w:rPr>
              <w:t xml:space="preserve"> (%)</w:t>
            </w:r>
          </w:p>
        </w:tc>
      </w:tr>
      <w:tr w:rsidR="00C053CB" w:rsidRPr="0003195E" w14:paraId="39021CA6" w14:textId="77777777" w:rsidTr="00C1682B">
        <w:tc>
          <w:tcPr>
            <w:tcW w:w="862" w:type="pct"/>
            <w:shd w:val="clear" w:color="auto" w:fill="auto"/>
          </w:tcPr>
          <w:p w14:paraId="3B67A40B" w14:textId="77777777" w:rsidR="00C053CB" w:rsidRPr="0003195E" w:rsidRDefault="008A43C6" w:rsidP="00A44FB9">
            <w:pPr>
              <w:jc w:val="left"/>
              <w:rPr>
                <w:rFonts w:ascii="Arial Narrow" w:hAnsi="Arial Narrow"/>
                <w:snapToGrid w:val="0"/>
                <w:lang w:eastAsia="en-US"/>
              </w:rPr>
            </w:pPr>
            <w:r w:rsidRPr="0003195E">
              <w:rPr>
                <w:rFonts w:ascii="Arial Narrow" w:hAnsi="Arial Narrow"/>
                <w:snapToGrid w:val="0"/>
                <w:lang w:eastAsia="en-US"/>
              </w:rPr>
              <w:t xml:space="preserve">Bonnan et al, </w:t>
            </w:r>
            <w:r w:rsidR="00C053CB" w:rsidRPr="0003195E">
              <w:rPr>
                <w:rFonts w:ascii="Arial Narrow" w:hAnsi="Arial Narrow"/>
                <w:snapToGrid w:val="0"/>
                <w:lang w:eastAsia="en-US"/>
              </w:rPr>
              <w:t>2009</w:t>
            </w:r>
          </w:p>
        </w:tc>
        <w:tc>
          <w:tcPr>
            <w:tcW w:w="865" w:type="pct"/>
          </w:tcPr>
          <w:p w14:paraId="120D1EA1" w14:textId="77777777" w:rsidR="00C053CB" w:rsidRPr="0003195E" w:rsidRDefault="00C053CB" w:rsidP="00A44FB9">
            <w:pPr>
              <w:rPr>
                <w:rFonts w:ascii="Arial Narrow" w:hAnsi="Arial Narrow"/>
                <w:snapToGrid w:val="0"/>
                <w:lang w:eastAsia="en-US"/>
              </w:rPr>
            </w:pPr>
            <w:r w:rsidRPr="0003195E">
              <w:rPr>
                <w:rFonts w:ascii="Arial Narrow" w:hAnsi="Arial Narrow"/>
                <w:snapToGrid w:val="0"/>
                <w:lang w:eastAsia="en-US"/>
              </w:rPr>
              <w:t>PLEX</w:t>
            </w:r>
          </w:p>
          <w:p w14:paraId="1C5CB7CB" w14:textId="77777777" w:rsidR="00C053CB" w:rsidRPr="0003195E" w:rsidRDefault="00C053CB" w:rsidP="00A44FB9">
            <w:pPr>
              <w:rPr>
                <w:rFonts w:ascii="Arial Narrow" w:hAnsi="Arial Narrow"/>
                <w:snapToGrid w:val="0"/>
                <w:lang w:eastAsia="en-US"/>
              </w:rPr>
            </w:pPr>
            <w:r w:rsidRPr="0003195E">
              <w:rPr>
                <w:rFonts w:ascii="Arial Narrow" w:hAnsi="Arial Narrow"/>
                <w:snapToGrid w:val="0"/>
                <w:lang w:eastAsia="en-US"/>
              </w:rPr>
              <w:t>N=29</w:t>
            </w:r>
          </w:p>
        </w:tc>
        <w:tc>
          <w:tcPr>
            <w:tcW w:w="1101" w:type="pct"/>
            <w:shd w:val="clear" w:color="auto" w:fill="auto"/>
          </w:tcPr>
          <w:p w14:paraId="2C03AE28" w14:textId="77777777" w:rsidR="00C053CB" w:rsidRPr="0003195E" w:rsidRDefault="00A44FB9" w:rsidP="00A44FB9">
            <w:pPr>
              <w:rPr>
                <w:rFonts w:ascii="Arial Narrow" w:hAnsi="Arial Narrow"/>
                <w:snapToGrid w:val="0"/>
                <w:lang w:eastAsia="en-US"/>
              </w:rPr>
            </w:pPr>
            <w:r w:rsidRPr="0003195E">
              <w:rPr>
                <w:rFonts w:ascii="Arial Narrow" w:hAnsi="Arial Narrow"/>
                <w:snapToGrid w:val="0"/>
                <w:lang w:eastAsia="en-US"/>
              </w:rPr>
              <w:t>8 (28</w:t>
            </w:r>
            <w:r w:rsidR="005F4482">
              <w:rPr>
                <w:rFonts w:ascii="Arial Narrow" w:hAnsi="Arial Narrow"/>
                <w:snapToGrid w:val="0"/>
                <w:lang w:eastAsia="en-US"/>
              </w:rPr>
              <w:t>)</w:t>
            </w:r>
          </w:p>
        </w:tc>
        <w:tc>
          <w:tcPr>
            <w:tcW w:w="1180" w:type="pct"/>
            <w:shd w:val="clear" w:color="auto" w:fill="auto"/>
          </w:tcPr>
          <w:p w14:paraId="243CEBFB" w14:textId="77777777" w:rsidR="00C053CB" w:rsidRPr="0003195E" w:rsidRDefault="00A44FB9" w:rsidP="00A44FB9">
            <w:pPr>
              <w:rPr>
                <w:rFonts w:ascii="Arial Narrow" w:hAnsi="Arial Narrow"/>
                <w:snapToGrid w:val="0"/>
                <w:lang w:eastAsia="en-US"/>
              </w:rPr>
            </w:pPr>
            <w:r w:rsidRPr="0003195E">
              <w:rPr>
                <w:rFonts w:ascii="Arial Narrow" w:hAnsi="Arial Narrow"/>
                <w:snapToGrid w:val="0"/>
                <w:lang w:eastAsia="en-US"/>
              </w:rPr>
              <w:t>2 (7)</w:t>
            </w:r>
          </w:p>
        </w:tc>
        <w:tc>
          <w:tcPr>
            <w:tcW w:w="992" w:type="pct"/>
          </w:tcPr>
          <w:p w14:paraId="5035BF8B" w14:textId="77777777" w:rsidR="00C053CB" w:rsidRPr="0003195E" w:rsidRDefault="00DE37B4" w:rsidP="00A44FB9">
            <w:pPr>
              <w:rPr>
                <w:rFonts w:ascii="Arial Narrow" w:hAnsi="Arial Narrow"/>
                <w:snapToGrid w:val="0"/>
                <w:lang w:eastAsia="en-US"/>
              </w:rPr>
            </w:pPr>
            <w:r w:rsidRPr="0003195E">
              <w:rPr>
                <w:rFonts w:ascii="Arial Narrow" w:hAnsi="Arial Narrow"/>
                <w:snapToGrid w:val="0"/>
                <w:lang w:eastAsia="en-US"/>
              </w:rPr>
              <w:t>0</w:t>
            </w:r>
          </w:p>
        </w:tc>
      </w:tr>
      <w:tr w:rsidR="00C053CB" w:rsidRPr="0003195E" w14:paraId="61B422D9" w14:textId="77777777" w:rsidTr="00C1682B">
        <w:tc>
          <w:tcPr>
            <w:tcW w:w="862" w:type="pct"/>
            <w:shd w:val="clear" w:color="auto" w:fill="auto"/>
          </w:tcPr>
          <w:p w14:paraId="2111EE63" w14:textId="77777777" w:rsidR="00C053CB" w:rsidRPr="0003195E" w:rsidRDefault="00C053CB" w:rsidP="00A44FB9">
            <w:pPr>
              <w:rPr>
                <w:rFonts w:ascii="Arial Narrow" w:hAnsi="Arial Narrow"/>
                <w:snapToGrid w:val="0"/>
                <w:lang w:eastAsia="en-US"/>
              </w:rPr>
            </w:pPr>
            <w:r w:rsidRPr="0003195E">
              <w:rPr>
                <w:rFonts w:ascii="Arial Narrow" w:hAnsi="Arial Narrow"/>
                <w:snapToGrid w:val="0"/>
                <w:lang w:eastAsia="en-US"/>
              </w:rPr>
              <w:t>Jiao et al</w:t>
            </w:r>
            <w:r w:rsidR="008A43C6" w:rsidRPr="0003195E">
              <w:rPr>
                <w:rFonts w:ascii="Arial Narrow" w:hAnsi="Arial Narrow"/>
                <w:snapToGrid w:val="0"/>
                <w:lang w:eastAsia="en-US"/>
              </w:rPr>
              <w:t>,</w:t>
            </w:r>
            <w:r w:rsidRPr="0003195E">
              <w:rPr>
                <w:rFonts w:ascii="Arial Narrow" w:hAnsi="Arial Narrow"/>
                <w:snapToGrid w:val="0"/>
                <w:lang w:eastAsia="en-US"/>
              </w:rPr>
              <w:t xml:space="preserve"> 2018</w:t>
            </w:r>
          </w:p>
        </w:tc>
        <w:tc>
          <w:tcPr>
            <w:tcW w:w="865" w:type="pct"/>
          </w:tcPr>
          <w:p w14:paraId="47F31CE3" w14:textId="77777777" w:rsidR="00C053CB" w:rsidRPr="0003195E" w:rsidRDefault="00C053CB" w:rsidP="00A44FB9">
            <w:pPr>
              <w:rPr>
                <w:rFonts w:ascii="Arial Narrow" w:hAnsi="Arial Narrow"/>
                <w:snapToGrid w:val="0"/>
                <w:lang w:eastAsia="en-US"/>
              </w:rPr>
            </w:pPr>
            <w:r w:rsidRPr="0003195E">
              <w:rPr>
                <w:rFonts w:ascii="Arial Narrow" w:hAnsi="Arial Narrow"/>
                <w:snapToGrid w:val="0"/>
                <w:lang w:eastAsia="en-US"/>
              </w:rPr>
              <w:t>PLEX</w:t>
            </w:r>
          </w:p>
          <w:p w14:paraId="54A810E6" w14:textId="77777777" w:rsidR="00C053CB" w:rsidRPr="0003195E" w:rsidRDefault="00C053CB" w:rsidP="00A44FB9">
            <w:pPr>
              <w:rPr>
                <w:rFonts w:ascii="Arial Narrow" w:hAnsi="Arial Narrow"/>
                <w:snapToGrid w:val="0"/>
                <w:lang w:eastAsia="en-US"/>
              </w:rPr>
            </w:pPr>
            <w:r w:rsidRPr="0003195E">
              <w:rPr>
                <w:rFonts w:ascii="Arial Narrow" w:hAnsi="Arial Narrow"/>
                <w:snapToGrid w:val="0"/>
                <w:lang w:eastAsia="en-US"/>
              </w:rPr>
              <w:t>N=29</w:t>
            </w:r>
          </w:p>
        </w:tc>
        <w:tc>
          <w:tcPr>
            <w:tcW w:w="1101" w:type="pct"/>
            <w:shd w:val="clear" w:color="auto" w:fill="auto"/>
          </w:tcPr>
          <w:p w14:paraId="4E9D18A0" w14:textId="77777777" w:rsidR="00C053CB" w:rsidRPr="0003195E" w:rsidRDefault="00A44FB9" w:rsidP="00A44FB9">
            <w:pPr>
              <w:rPr>
                <w:rFonts w:ascii="Arial Narrow" w:hAnsi="Arial Narrow"/>
                <w:snapToGrid w:val="0"/>
                <w:lang w:eastAsia="en-US"/>
              </w:rPr>
            </w:pPr>
            <w:r w:rsidRPr="0003195E">
              <w:rPr>
                <w:rFonts w:ascii="Arial Narrow" w:hAnsi="Arial Narrow"/>
                <w:snapToGrid w:val="0"/>
                <w:lang w:eastAsia="en-US"/>
              </w:rPr>
              <w:t>9 (31)</w:t>
            </w:r>
          </w:p>
        </w:tc>
        <w:tc>
          <w:tcPr>
            <w:tcW w:w="1180" w:type="pct"/>
            <w:shd w:val="clear" w:color="auto" w:fill="auto"/>
          </w:tcPr>
          <w:p w14:paraId="7BC6A07E" w14:textId="77777777" w:rsidR="00C053CB" w:rsidRPr="0003195E" w:rsidRDefault="00A44FB9" w:rsidP="00A44FB9">
            <w:pPr>
              <w:rPr>
                <w:rFonts w:ascii="Arial Narrow" w:hAnsi="Arial Narrow"/>
                <w:snapToGrid w:val="0"/>
                <w:lang w:eastAsia="en-US"/>
              </w:rPr>
            </w:pPr>
            <w:r w:rsidRPr="0003195E">
              <w:rPr>
                <w:rFonts w:ascii="Arial Narrow" w:hAnsi="Arial Narrow"/>
                <w:snapToGrid w:val="0"/>
                <w:lang w:eastAsia="en-US"/>
              </w:rPr>
              <w:t>2 (7)</w:t>
            </w:r>
          </w:p>
        </w:tc>
        <w:tc>
          <w:tcPr>
            <w:tcW w:w="992" w:type="pct"/>
          </w:tcPr>
          <w:p w14:paraId="0E07F0F8" w14:textId="77777777" w:rsidR="00C053CB" w:rsidRPr="0003195E" w:rsidRDefault="00DE37B4" w:rsidP="00A44FB9">
            <w:pPr>
              <w:rPr>
                <w:rFonts w:ascii="Arial Narrow" w:hAnsi="Arial Narrow"/>
                <w:snapToGrid w:val="0"/>
                <w:vertAlign w:val="subscript"/>
                <w:lang w:eastAsia="en-US"/>
              </w:rPr>
            </w:pPr>
            <w:r w:rsidRPr="0003195E">
              <w:rPr>
                <w:rFonts w:ascii="Arial Narrow" w:hAnsi="Arial Narrow"/>
                <w:snapToGrid w:val="0"/>
                <w:lang w:eastAsia="en-US"/>
              </w:rPr>
              <w:t>1 (3.4)</w:t>
            </w:r>
            <w:r w:rsidR="00636831" w:rsidRPr="0003195E">
              <w:rPr>
                <w:rFonts w:ascii="Arial Narrow" w:hAnsi="Arial Narrow"/>
                <w:snapToGrid w:val="0"/>
                <w:vertAlign w:val="subscript"/>
                <w:lang w:eastAsia="en-US"/>
              </w:rPr>
              <w:t>a</w:t>
            </w:r>
          </w:p>
        </w:tc>
      </w:tr>
      <w:tr w:rsidR="00C053CB" w:rsidRPr="0003195E" w14:paraId="5E492E8B" w14:textId="77777777" w:rsidTr="00C1682B">
        <w:tc>
          <w:tcPr>
            <w:tcW w:w="862" w:type="pct"/>
            <w:shd w:val="clear" w:color="auto" w:fill="auto"/>
          </w:tcPr>
          <w:p w14:paraId="56A9C6FB" w14:textId="77777777" w:rsidR="00C053CB" w:rsidRPr="0003195E" w:rsidRDefault="00C053CB" w:rsidP="00A44FB9">
            <w:pPr>
              <w:rPr>
                <w:rFonts w:ascii="Arial Narrow" w:hAnsi="Arial Narrow"/>
                <w:snapToGrid w:val="0"/>
                <w:lang w:eastAsia="en-US"/>
              </w:rPr>
            </w:pPr>
            <w:r w:rsidRPr="0003195E">
              <w:rPr>
                <w:rFonts w:ascii="Arial Narrow" w:hAnsi="Arial Narrow"/>
                <w:snapToGrid w:val="0"/>
                <w:lang w:eastAsia="en-US"/>
              </w:rPr>
              <w:lastRenderedPageBreak/>
              <w:t>Gao et al</w:t>
            </w:r>
            <w:r w:rsidR="008A43C6" w:rsidRPr="0003195E">
              <w:rPr>
                <w:rFonts w:ascii="Arial Narrow" w:hAnsi="Arial Narrow"/>
                <w:snapToGrid w:val="0"/>
                <w:lang w:eastAsia="en-US"/>
              </w:rPr>
              <w:t>,</w:t>
            </w:r>
            <w:r w:rsidRPr="0003195E">
              <w:rPr>
                <w:rFonts w:ascii="Arial Narrow" w:hAnsi="Arial Narrow"/>
                <w:snapToGrid w:val="0"/>
                <w:lang w:eastAsia="en-US"/>
              </w:rPr>
              <w:t xml:space="preserve"> 2019</w:t>
            </w:r>
          </w:p>
        </w:tc>
        <w:tc>
          <w:tcPr>
            <w:tcW w:w="865" w:type="pct"/>
          </w:tcPr>
          <w:p w14:paraId="4A437774" w14:textId="77777777" w:rsidR="00C053CB" w:rsidRPr="0003195E" w:rsidRDefault="00C053CB" w:rsidP="00A44FB9">
            <w:pPr>
              <w:rPr>
                <w:rFonts w:ascii="Arial Narrow" w:hAnsi="Arial Narrow"/>
                <w:snapToGrid w:val="0"/>
                <w:lang w:eastAsia="en-US"/>
              </w:rPr>
            </w:pPr>
            <w:r w:rsidRPr="0003195E">
              <w:rPr>
                <w:rFonts w:ascii="Arial Narrow" w:hAnsi="Arial Narrow"/>
                <w:snapToGrid w:val="0"/>
                <w:lang w:eastAsia="en-US"/>
              </w:rPr>
              <w:t>RTX</w:t>
            </w:r>
          </w:p>
          <w:p w14:paraId="194A890A" w14:textId="77777777" w:rsidR="00C053CB" w:rsidRPr="0003195E" w:rsidRDefault="00C053CB" w:rsidP="00A44FB9">
            <w:pPr>
              <w:rPr>
                <w:rFonts w:ascii="Arial Narrow" w:hAnsi="Arial Narrow"/>
                <w:snapToGrid w:val="0"/>
                <w:lang w:eastAsia="en-US"/>
              </w:rPr>
            </w:pPr>
            <w:r w:rsidRPr="0003195E">
              <w:rPr>
                <w:rFonts w:ascii="Arial Narrow" w:hAnsi="Arial Narrow"/>
                <w:snapToGrid w:val="0"/>
                <w:lang w:eastAsia="en-US"/>
              </w:rPr>
              <w:t>N=</w:t>
            </w:r>
            <w:r w:rsidR="008A43C6" w:rsidRPr="0003195E">
              <w:rPr>
                <w:rFonts w:ascii="Arial Narrow" w:hAnsi="Arial Narrow"/>
                <w:snapToGrid w:val="0"/>
                <w:lang w:eastAsia="en-US"/>
              </w:rPr>
              <w:t>577</w:t>
            </w:r>
          </w:p>
        </w:tc>
        <w:tc>
          <w:tcPr>
            <w:tcW w:w="1101" w:type="pct"/>
            <w:shd w:val="clear" w:color="auto" w:fill="auto"/>
          </w:tcPr>
          <w:p w14:paraId="5B780DB0" w14:textId="77777777" w:rsidR="00C053CB" w:rsidRPr="0003195E" w:rsidRDefault="00C053CB" w:rsidP="00A44FB9">
            <w:pPr>
              <w:rPr>
                <w:rFonts w:ascii="Arial Narrow" w:hAnsi="Arial Narrow"/>
                <w:snapToGrid w:val="0"/>
                <w:lang w:eastAsia="en-US"/>
              </w:rPr>
            </w:pPr>
            <w:r w:rsidRPr="0003195E">
              <w:rPr>
                <w:rFonts w:ascii="Arial Narrow" w:hAnsi="Arial Narrow"/>
                <w:snapToGrid w:val="0"/>
                <w:lang w:eastAsia="en-US"/>
              </w:rPr>
              <w:t>9</w:t>
            </w:r>
            <w:r w:rsidR="008A43C6" w:rsidRPr="0003195E">
              <w:rPr>
                <w:rFonts w:ascii="Arial Narrow" w:hAnsi="Arial Narrow"/>
                <w:snapToGrid w:val="0"/>
                <w:lang w:eastAsia="en-US"/>
              </w:rPr>
              <w:t>6</w:t>
            </w:r>
            <w:r w:rsidR="00A44FB9" w:rsidRPr="0003195E">
              <w:rPr>
                <w:rFonts w:ascii="Arial Narrow" w:hAnsi="Arial Narrow"/>
                <w:snapToGrid w:val="0"/>
                <w:lang w:eastAsia="en-US"/>
              </w:rPr>
              <w:t xml:space="preserve"> (16.6)</w:t>
            </w:r>
          </w:p>
        </w:tc>
        <w:tc>
          <w:tcPr>
            <w:tcW w:w="1180" w:type="pct"/>
            <w:shd w:val="clear" w:color="auto" w:fill="auto"/>
          </w:tcPr>
          <w:p w14:paraId="27B1F69A" w14:textId="77777777" w:rsidR="00C053CB" w:rsidRPr="0003195E" w:rsidRDefault="00C053CB" w:rsidP="00A44FB9">
            <w:pPr>
              <w:rPr>
                <w:rFonts w:ascii="Arial Narrow" w:hAnsi="Arial Narrow"/>
                <w:snapToGrid w:val="0"/>
                <w:lang w:eastAsia="en-US"/>
              </w:rPr>
            </w:pPr>
            <w:r w:rsidRPr="0003195E">
              <w:rPr>
                <w:rFonts w:ascii="Arial Narrow" w:hAnsi="Arial Narrow"/>
                <w:snapToGrid w:val="0"/>
                <w:lang w:eastAsia="en-US"/>
              </w:rPr>
              <w:t>22</w:t>
            </w:r>
            <w:r w:rsidR="00A44FB9" w:rsidRPr="0003195E">
              <w:rPr>
                <w:rFonts w:ascii="Arial Narrow" w:hAnsi="Arial Narrow"/>
                <w:snapToGrid w:val="0"/>
                <w:lang w:eastAsia="en-US"/>
              </w:rPr>
              <w:t xml:space="preserve"> (3.8)</w:t>
            </w:r>
          </w:p>
        </w:tc>
        <w:tc>
          <w:tcPr>
            <w:tcW w:w="992" w:type="pct"/>
          </w:tcPr>
          <w:p w14:paraId="714E275E" w14:textId="77777777" w:rsidR="00C053CB" w:rsidRPr="0003195E" w:rsidRDefault="00DE37B4" w:rsidP="00A44FB9">
            <w:pPr>
              <w:rPr>
                <w:rFonts w:ascii="Arial Narrow" w:hAnsi="Arial Narrow"/>
                <w:snapToGrid w:val="0"/>
                <w:lang w:eastAsia="en-US"/>
              </w:rPr>
            </w:pPr>
            <w:r w:rsidRPr="0003195E">
              <w:rPr>
                <w:rFonts w:ascii="Arial Narrow" w:hAnsi="Arial Narrow"/>
                <w:snapToGrid w:val="0"/>
                <w:lang w:eastAsia="en-US"/>
              </w:rPr>
              <w:t>5 (0.8)</w:t>
            </w:r>
          </w:p>
        </w:tc>
      </w:tr>
      <w:tr w:rsidR="00C053CB" w:rsidRPr="0003195E" w14:paraId="2FBEC417" w14:textId="77777777" w:rsidTr="00C1682B">
        <w:tc>
          <w:tcPr>
            <w:tcW w:w="862" w:type="pct"/>
            <w:shd w:val="clear" w:color="auto" w:fill="auto"/>
          </w:tcPr>
          <w:p w14:paraId="388B6BD4" w14:textId="77777777" w:rsidR="00C053CB" w:rsidRPr="0003195E" w:rsidRDefault="008A43C6" w:rsidP="00A44FB9">
            <w:pPr>
              <w:rPr>
                <w:rFonts w:ascii="Arial Narrow" w:hAnsi="Arial Narrow"/>
                <w:snapToGrid w:val="0"/>
                <w:lang w:eastAsia="en-US"/>
              </w:rPr>
            </w:pPr>
            <w:r w:rsidRPr="0003195E">
              <w:rPr>
                <w:rFonts w:ascii="Arial Narrow" w:hAnsi="Arial Narrow"/>
                <w:snapToGrid w:val="0"/>
                <w:lang w:eastAsia="en-US"/>
              </w:rPr>
              <w:t>Bichuetti et al, 2019</w:t>
            </w:r>
          </w:p>
        </w:tc>
        <w:tc>
          <w:tcPr>
            <w:tcW w:w="865" w:type="pct"/>
          </w:tcPr>
          <w:p w14:paraId="57B47BFB" w14:textId="77777777" w:rsidR="00C053CB" w:rsidRPr="0003195E" w:rsidRDefault="008A43C6" w:rsidP="00A44FB9">
            <w:pPr>
              <w:rPr>
                <w:rFonts w:ascii="Arial Narrow" w:hAnsi="Arial Narrow"/>
                <w:snapToGrid w:val="0"/>
                <w:lang w:eastAsia="en-US"/>
              </w:rPr>
            </w:pPr>
            <w:r w:rsidRPr="0003195E">
              <w:rPr>
                <w:rFonts w:ascii="Arial Narrow" w:hAnsi="Arial Narrow"/>
                <w:snapToGrid w:val="0"/>
                <w:lang w:eastAsia="en-US"/>
              </w:rPr>
              <w:t>AZA</w:t>
            </w:r>
          </w:p>
          <w:p w14:paraId="42052F77" w14:textId="77777777" w:rsidR="008A43C6" w:rsidRPr="0003195E" w:rsidRDefault="008A43C6" w:rsidP="00A44FB9">
            <w:pPr>
              <w:rPr>
                <w:rFonts w:ascii="Arial Narrow" w:hAnsi="Arial Narrow"/>
                <w:snapToGrid w:val="0"/>
                <w:lang w:eastAsia="en-US"/>
              </w:rPr>
            </w:pPr>
            <w:r w:rsidRPr="0003195E">
              <w:rPr>
                <w:rFonts w:ascii="Arial Narrow" w:hAnsi="Arial Narrow"/>
                <w:snapToGrid w:val="0"/>
                <w:lang w:eastAsia="en-US"/>
              </w:rPr>
              <w:t>N=100</w:t>
            </w:r>
          </w:p>
        </w:tc>
        <w:tc>
          <w:tcPr>
            <w:tcW w:w="1101" w:type="pct"/>
            <w:shd w:val="clear" w:color="auto" w:fill="auto"/>
          </w:tcPr>
          <w:p w14:paraId="5BFAB58E" w14:textId="77777777" w:rsidR="00C053CB" w:rsidRPr="0003195E" w:rsidRDefault="00A44FB9" w:rsidP="00A44FB9">
            <w:pPr>
              <w:rPr>
                <w:rFonts w:ascii="Arial Narrow" w:hAnsi="Arial Narrow"/>
                <w:snapToGrid w:val="0"/>
                <w:lang w:eastAsia="en-US"/>
              </w:rPr>
            </w:pPr>
            <w:r w:rsidRPr="0003195E">
              <w:rPr>
                <w:rFonts w:ascii="Arial Narrow" w:hAnsi="Arial Narrow"/>
                <w:snapToGrid w:val="0"/>
                <w:lang w:eastAsia="en-US"/>
              </w:rPr>
              <w:t>NR</w:t>
            </w:r>
          </w:p>
        </w:tc>
        <w:tc>
          <w:tcPr>
            <w:tcW w:w="1180" w:type="pct"/>
            <w:shd w:val="clear" w:color="auto" w:fill="auto"/>
          </w:tcPr>
          <w:p w14:paraId="3C13F3CF" w14:textId="77777777" w:rsidR="00C053CB" w:rsidRPr="0003195E" w:rsidRDefault="00A44FB9" w:rsidP="00A44FB9">
            <w:pPr>
              <w:rPr>
                <w:rFonts w:ascii="Arial Narrow" w:hAnsi="Arial Narrow"/>
                <w:snapToGrid w:val="0"/>
                <w:lang w:eastAsia="en-US"/>
              </w:rPr>
            </w:pPr>
            <w:r w:rsidRPr="0003195E">
              <w:rPr>
                <w:rFonts w:ascii="Arial Narrow" w:hAnsi="Arial Narrow"/>
                <w:snapToGrid w:val="0"/>
                <w:lang w:eastAsia="en-US"/>
              </w:rPr>
              <w:t>11 (11)</w:t>
            </w:r>
          </w:p>
        </w:tc>
        <w:tc>
          <w:tcPr>
            <w:tcW w:w="992" w:type="pct"/>
          </w:tcPr>
          <w:p w14:paraId="647D2344" w14:textId="77777777" w:rsidR="00C053CB" w:rsidRPr="0003195E" w:rsidRDefault="00DE37B4" w:rsidP="00A44FB9">
            <w:pPr>
              <w:rPr>
                <w:rFonts w:ascii="Arial Narrow" w:hAnsi="Arial Narrow"/>
                <w:snapToGrid w:val="0"/>
                <w:lang w:eastAsia="en-US"/>
              </w:rPr>
            </w:pPr>
            <w:r w:rsidRPr="0003195E">
              <w:rPr>
                <w:rFonts w:ascii="Arial Narrow" w:hAnsi="Arial Narrow"/>
                <w:snapToGrid w:val="0"/>
                <w:lang w:eastAsia="en-US"/>
              </w:rPr>
              <w:t>0</w:t>
            </w:r>
          </w:p>
        </w:tc>
      </w:tr>
      <w:tr w:rsidR="00C053CB" w:rsidRPr="0003195E" w14:paraId="22E4EA32" w14:textId="77777777" w:rsidTr="00C1682B">
        <w:tc>
          <w:tcPr>
            <w:tcW w:w="862" w:type="pct"/>
            <w:shd w:val="clear" w:color="auto" w:fill="auto"/>
          </w:tcPr>
          <w:p w14:paraId="44757EC5" w14:textId="77777777" w:rsidR="00C053CB" w:rsidRPr="0003195E" w:rsidRDefault="008A43C6" w:rsidP="00A44FB9">
            <w:pPr>
              <w:rPr>
                <w:rFonts w:ascii="Arial Narrow" w:hAnsi="Arial Narrow"/>
                <w:snapToGrid w:val="0"/>
                <w:lang w:eastAsia="en-US"/>
              </w:rPr>
            </w:pPr>
            <w:r w:rsidRPr="0003195E">
              <w:rPr>
                <w:rFonts w:ascii="Arial Narrow" w:hAnsi="Arial Narrow"/>
                <w:snapToGrid w:val="0"/>
                <w:lang w:eastAsia="en-US"/>
              </w:rPr>
              <w:t>Huang et al, 2018</w:t>
            </w:r>
          </w:p>
        </w:tc>
        <w:tc>
          <w:tcPr>
            <w:tcW w:w="865" w:type="pct"/>
          </w:tcPr>
          <w:p w14:paraId="6A8D324A" w14:textId="77777777" w:rsidR="00C053CB" w:rsidRPr="0003195E" w:rsidRDefault="008A43C6" w:rsidP="00A44FB9">
            <w:pPr>
              <w:rPr>
                <w:rFonts w:ascii="Arial Narrow" w:hAnsi="Arial Narrow"/>
                <w:snapToGrid w:val="0"/>
                <w:lang w:eastAsia="en-US"/>
              </w:rPr>
            </w:pPr>
            <w:r w:rsidRPr="0003195E">
              <w:rPr>
                <w:rFonts w:ascii="Arial Narrow" w:hAnsi="Arial Narrow"/>
                <w:snapToGrid w:val="0"/>
                <w:lang w:eastAsia="en-US"/>
              </w:rPr>
              <w:t>MMF</w:t>
            </w:r>
          </w:p>
          <w:p w14:paraId="45CF4236" w14:textId="77777777" w:rsidR="008A43C6" w:rsidRPr="0003195E" w:rsidRDefault="008A43C6" w:rsidP="00A44FB9">
            <w:pPr>
              <w:rPr>
                <w:rFonts w:ascii="Arial Narrow" w:hAnsi="Arial Narrow"/>
                <w:snapToGrid w:val="0"/>
                <w:lang w:eastAsia="en-US"/>
              </w:rPr>
            </w:pPr>
            <w:r w:rsidRPr="0003195E">
              <w:rPr>
                <w:rFonts w:ascii="Arial Narrow" w:hAnsi="Arial Narrow"/>
                <w:snapToGrid w:val="0"/>
                <w:lang w:eastAsia="en-US"/>
              </w:rPr>
              <w:t>N=90</w:t>
            </w:r>
          </w:p>
        </w:tc>
        <w:tc>
          <w:tcPr>
            <w:tcW w:w="1101" w:type="pct"/>
            <w:shd w:val="clear" w:color="auto" w:fill="auto"/>
          </w:tcPr>
          <w:p w14:paraId="3B2BD8BA" w14:textId="77777777" w:rsidR="00C053CB" w:rsidRPr="0003195E" w:rsidRDefault="008A43C6" w:rsidP="00A44FB9">
            <w:pPr>
              <w:rPr>
                <w:rFonts w:ascii="Arial Narrow" w:hAnsi="Arial Narrow"/>
                <w:snapToGrid w:val="0"/>
                <w:lang w:eastAsia="en-US"/>
              </w:rPr>
            </w:pPr>
            <w:r w:rsidRPr="0003195E">
              <w:rPr>
                <w:rFonts w:ascii="Arial Narrow" w:hAnsi="Arial Narrow"/>
                <w:snapToGrid w:val="0"/>
                <w:lang w:eastAsia="en-US"/>
              </w:rPr>
              <w:t>39 (43)</w:t>
            </w:r>
          </w:p>
        </w:tc>
        <w:tc>
          <w:tcPr>
            <w:tcW w:w="1180" w:type="pct"/>
            <w:shd w:val="clear" w:color="auto" w:fill="auto"/>
          </w:tcPr>
          <w:p w14:paraId="1C261982" w14:textId="77777777" w:rsidR="00C053CB" w:rsidRPr="0003195E" w:rsidRDefault="00624FF9" w:rsidP="00A44FB9">
            <w:pPr>
              <w:rPr>
                <w:rFonts w:ascii="Arial Narrow" w:hAnsi="Arial Narrow"/>
                <w:snapToGrid w:val="0"/>
                <w:lang w:eastAsia="en-US"/>
              </w:rPr>
            </w:pPr>
            <w:r w:rsidRPr="0003195E">
              <w:rPr>
                <w:rFonts w:ascii="Arial Narrow" w:hAnsi="Arial Narrow"/>
                <w:snapToGrid w:val="0"/>
                <w:lang w:eastAsia="en-US"/>
              </w:rPr>
              <w:t>8 (9)</w:t>
            </w:r>
          </w:p>
        </w:tc>
        <w:tc>
          <w:tcPr>
            <w:tcW w:w="992" w:type="pct"/>
          </w:tcPr>
          <w:p w14:paraId="7CAD6411" w14:textId="77777777" w:rsidR="00C053CB" w:rsidRPr="0003195E" w:rsidRDefault="00624FF9" w:rsidP="00A44FB9">
            <w:pPr>
              <w:rPr>
                <w:rFonts w:ascii="Arial Narrow" w:hAnsi="Arial Narrow"/>
                <w:snapToGrid w:val="0"/>
                <w:lang w:eastAsia="en-US"/>
              </w:rPr>
            </w:pPr>
            <w:r w:rsidRPr="0003195E">
              <w:rPr>
                <w:rFonts w:ascii="Arial Narrow" w:hAnsi="Arial Narrow"/>
                <w:snapToGrid w:val="0"/>
                <w:lang w:eastAsia="en-US"/>
              </w:rPr>
              <w:t>1</w:t>
            </w:r>
            <w:r w:rsidR="00A44FB9" w:rsidRPr="0003195E">
              <w:rPr>
                <w:rFonts w:ascii="Arial Narrow" w:hAnsi="Arial Narrow"/>
                <w:snapToGrid w:val="0"/>
                <w:lang w:eastAsia="en-US"/>
              </w:rPr>
              <w:t xml:space="preserve"> (1.1)</w:t>
            </w:r>
          </w:p>
        </w:tc>
      </w:tr>
      <w:tr w:rsidR="008A43C6" w:rsidRPr="0003195E" w14:paraId="73EFD1E0" w14:textId="77777777" w:rsidTr="00C1682B">
        <w:tc>
          <w:tcPr>
            <w:tcW w:w="862" w:type="pct"/>
            <w:shd w:val="clear" w:color="auto" w:fill="auto"/>
          </w:tcPr>
          <w:p w14:paraId="42F94A1E" w14:textId="77777777" w:rsidR="008A43C6" w:rsidRPr="0003195E" w:rsidRDefault="008A43C6" w:rsidP="00A44FB9">
            <w:pPr>
              <w:rPr>
                <w:rFonts w:ascii="Arial Narrow" w:hAnsi="Arial Narrow"/>
                <w:snapToGrid w:val="0"/>
                <w:lang w:eastAsia="en-US"/>
              </w:rPr>
            </w:pPr>
            <w:r w:rsidRPr="0003195E">
              <w:rPr>
                <w:rFonts w:ascii="Arial Narrow" w:hAnsi="Arial Narrow"/>
                <w:snapToGrid w:val="0"/>
                <w:lang w:eastAsia="en-US"/>
              </w:rPr>
              <w:t>Jiao et al, 2018</w:t>
            </w:r>
          </w:p>
        </w:tc>
        <w:tc>
          <w:tcPr>
            <w:tcW w:w="865" w:type="pct"/>
          </w:tcPr>
          <w:p w14:paraId="709D4573" w14:textId="77777777" w:rsidR="008A43C6" w:rsidRPr="0003195E" w:rsidRDefault="008A43C6" w:rsidP="00A44FB9">
            <w:pPr>
              <w:rPr>
                <w:rFonts w:ascii="Arial Narrow" w:hAnsi="Arial Narrow"/>
                <w:snapToGrid w:val="0"/>
                <w:lang w:eastAsia="en-US"/>
              </w:rPr>
            </w:pPr>
            <w:r w:rsidRPr="0003195E">
              <w:rPr>
                <w:rFonts w:ascii="Arial Narrow" w:hAnsi="Arial Narrow"/>
                <w:snapToGrid w:val="0"/>
                <w:lang w:eastAsia="en-US"/>
              </w:rPr>
              <w:t>MMF</w:t>
            </w:r>
          </w:p>
          <w:p w14:paraId="5C7E43D6" w14:textId="77777777" w:rsidR="008A43C6" w:rsidRPr="0003195E" w:rsidRDefault="008A43C6" w:rsidP="00A44FB9">
            <w:pPr>
              <w:rPr>
                <w:rFonts w:ascii="Arial Narrow" w:hAnsi="Arial Narrow"/>
                <w:snapToGrid w:val="0"/>
                <w:lang w:eastAsia="en-US"/>
              </w:rPr>
            </w:pPr>
            <w:r w:rsidRPr="0003195E">
              <w:rPr>
                <w:rFonts w:ascii="Arial Narrow" w:hAnsi="Arial Narrow"/>
                <w:snapToGrid w:val="0"/>
                <w:lang w:eastAsia="en-US"/>
              </w:rPr>
              <w:t>N=109</w:t>
            </w:r>
          </w:p>
        </w:tc>
        <w:tc>
          <w:tcPr>
            <w:tcW w:w="1101" w:type="pct"/>
            <w:shd w:val="clear" w:color="auto" w:fill="auto"/>
          </w:tcPr>
          <w:p w14:paraId="72FD5AB5" w14:textId="77777777" w:rsidR="008A43C6" w:rsidRPr="0003195E" w:rsidRDefault="008A43C6" w:rsidP="00A44FB9">
            <w:pPr>
              <w:rPr>
                <w:rFonts w:ascii="Arial Narrow" w:hAnsi="Arial Narrow"/>
                <w:snapToGrid w:val="0"/>
                <w:lang w:eastAsia="en-US"/>
              </w:rPr>
            </w:pPr>
            <w:r w:rsidRPr="0003195E">
              <w:rPr>
                <w:rFonts w:ascii="Arial Narrow" w:hAnsi="Arial Narrow"/>
                <w:snapToGrid w:val="0"/>
                <w:lang w:eastAsia="en-US"/>
              </w:rPr>
              <w:t>21 (19)</w:t>
            </w:r>
          </w:p>
        </w:tc>
        <w:tc>
          <w:tcPr>
            <w:tcW w:w="1180" w:type="pct"/>
            <w:shd w:val="clear" w:color="auto" w:fill="auto"/>
          </w:tcPr>
          <w:p w14:paraId="7C8DB628" w14:textId="77777777" w:rsidR="008A43C6" w:rsidRPr="0003195E" w:rsidRDefault="00624FF9" w:rsidP="00A44FB9">
            <w:pPr>
              <w:rPr>
                <w:rFonts w:ascii="Arial Narrow" w:hAnsi="Arial Narrow"/>
                <w:snapToGrid w:val="0"/>
                <w:lang w:eastAsia="en-US"/>
              </w:rPr>
            </w:pPr>
            <w:r w:rsidRPr="0003195E">
              <w:rPr>
                <w:rFonts w:ascii="Arial Narrow" w:hAnsi="Arial Narrow"/>
                <w:snapToGrid w:val="0"/>
                <w:lang w:eastAsia="en-US"/>
              </w:rPr>
              <w:t>5 (4.6)</w:t>
            </w:r>
          </w:p>
        </w:tc>
        <w:tc>
          <w:tcPr>
            <w:tcW w:w="992" w:type="pct"/>
          </w:tcPr>
          <w:p w14:paraId="639205A7" w14:textId="77777777" w:rsidR="008A43C6" w:rsidRPr="0003195E" w:rsidRDefault="00624FF9" w:rsidP="00A44FB9">
            <w:pPr>
              <w:rPr>
                <w:rFonts w:ascii="Arial Narrow" w:hAnsi="Arial Narrow"/>
                <w:snapToGrid w:val="0"/>
                <w:lang w:eastAsia="en-US"/>
              </w:rPr>
            </w:pPr>
            <w:r w:rsidRPr="0003195E">
              <w:rPr>
                <w:rFonts w:ascii="Arial Narrow" w:hAnsi="Arial Narrow"/>
                <w:snapToGrid w:val="0"/>
                <w:lang w:eastAsia="en-US"/>
              </w:rPr>
              <w:t>0</w:t>
            </w:r>
          </w:p>
        </w:tc>
      </w:tr>
      <w:tr w:rsidR="006100A1" w:rsidRPr="0003195E" w14:paraId="4F44EF67" w14:textId="77777777" w:rsidTr="00C1682B">
        <w:trPr>
          <w:trHeight w:val="405"/>
        </w:trPr>
        <w:tc>
          <w:tcPr>
            <w:tcW w:w="862" w:type="pct"/>
            <w:vMerge w:val="restart"/>
            <w:shd w:val="clear" w:color="auto" w:fill="auto"/>
          </w:tcPr>
          <w:p w14:paraId="52536207" w14:textId="77777777" w:rsidR="006100A1" w:rsidRPr="0003195E" w:rsidRDefault="006100A1" w:rsidP="00A44FB9">
            <w:pPr>
              <w:rPr>
                <w:rFonts w:ascii="Arial Narrow" w:hAnsi="Arial Narrow"/>
                <w:snapToGrid w:val="0"/>
                <w:lang w:eastAsia="en-US"/>
              </w:rPr>
            </w:pPr>
            <w:r w:rsidRPr="0003195E">
              <w:rPr>
                <w:rFonts w:ascii="Arial Narrow" w:hAnsi="Arial Narrow"/>
                <w:snapToGrid w:val="0"/>
                <w:lang w:eastAsia="en-US"/>
              </w:rPr>
              <w:t>Pittock et al, 2019</w:t>
            </w:r>
          </w:p>
        </w:tc>
        <w:tc>
          <w:tcPr>
            <w:tcW w:w="865" w:type="pct"/>
          </w:tcPr>
          <w:p w14:paraId="63E496DC" w14:textId="77777777" w:rsidR="006100A1" w:rsidRPr="0003195E" w:rsidRDefault="006100A1" w:rsidP="006100A1">
            <w:pPr>
              <w:rPr>
                <w:rFonts w:ascii="Arial Narrow" w:hAnsi="Arial Narrow"/>
                <w:snapToGrid w:val="0"/>
                <w:lang w:eastAsia="en-US"/>
              </w:rPr>
            </w:pPr>
            <w:r w:rsidRPr="0003195E">
              <w:rPr>
                <w:rFonts w:ascii="Arial Narrow" w:hAnsi="Arial Narrow"/>
                <w:snapToGrid w:val="0"/>
                <w:lang w:eastAsia="en-US"/>
              </w:rPr>
              <w:t>ECZ: N=96</w:t>
            </w:r>
          </w:p>
        </w:tc>
        <w:tc>
          <w:tcPr>
            <w:tcW w:w="1101" w:type="pct"/>
            <w:shd w:val="clear" w:color="auto" w:fill="auto"/>
          </w:tcPr>
          <w:p w14:paraId="537C5A7A" w14:textId="77777777" w:rsidR="006100A1" w:rsidRPr="0003195E" w:rsidRDefault="006100A1" w:rsidP="006100A1">
            <w:pPr>
              <w:rPr>
                <w:rFonts w:ascii="Arial Narrow" w:hAnsi="Arial Narrow"/>
                <w:snapToGrid w:val="0"/>
                <w:lang w:eastAsia="en-US"/>
              </w:rPr>
            </w:pPr>
            <w:r w:rsidRPr="0003195E">
              <w:rPr>
                <w:rFonts w:ascii="Arial Narrow" w:hAnsi="Arial Narrow"/>
                <w:snapToGrid w:val="0"/>
                <w:lang w:eastAsia="en-US"/>
              </w:rPr>
              <w:t>745 per 100 patient years</w:t>
            </w:r>
          </w:p>
        </w:tc>
        <w:tc>
          <w:tcPr>
            <w:tcW w:w="1180" w:type="pct"/>
            <w:shd w:val="clear" w:color="auto" w:fill="auto"/>
          </w:tcPr>
          <w:p w14:paraId="64A7CB04" w14:textId="77777777" w:rsidR="006100A1" w:rsidRPr="0003195E" w:rsidRDefault="006100A1" w:rsidP="006100A1">
            <w:pPr>
              <w:rPr>
                <w:rFonts w:ascii="Arial Narrow" w:hAnsi="Arial Narrow"/>
                <w:snapToGrid w:val="0"/>
                <w:vertAlign w:val="superscript"/>
                <w:lang w:eastAsia="en-US"/>
              </w:rPr>
            </w:pPr>
            <w:r w:rsidRPr="0003195E">
              <w:rPr>
                <w:rFonts w:ascii="Arial Narrow" w:hAnsi="Arial Narrow"/>
                <w:snapToGrid w:val="0"/>
                <w:lang w:eastAsia="en-US"/>
              </w:rPr>
              <w:t>13 (13.5)</w:t>
            </w:r>
            <w:r w:rsidR="00636831" w:rsidRPr="0003195E">
              <w:rPr>
                <w:rFonts w:ascii="Arial Narrow" w:hAnsi="Arial Narrow"/>
                <w:snapToGrid w:val="0"/>
                <w:vertAlign w:val="superscript"/>
                <w:lang w:eastAsia="en-US"/>
              </w:rPr>
              <w:t>b</w:t>
            </w:r>
          </w:p>
        </w:tc>
        <w:tc>
          <w:tcPr>
            <w:tcW w:w="992" w:type="pct"/>
            <w:shd w:val="clear" w:color="auto" w:fill="auto"/>
          </w:tcPr>
          <w:p w14:paraId="14244A59" w14:textId="77777777" w:rsidR="006100A1" w:rsidRPr="0003195E" w:rsidRDefault="006100A1" w:rsidP="006100A1">
            <w:pPr>
              <w:rPr>
                <w:rFonts w:ascii="Arial Narrow" w:hAnsi="Arial Narrow"/>
                <w:snapToGrid w:val="0"/>
                <w:lang w:eastAsia="en-US"/>
              </w:rPr>
            </w:pPr>
            <w:r w:rsidRPr="0003195E">
              <w:rPr>
                <w:rFonts w:ascii="Arial Narrow" w:hAnsi="Arial Narrow"/>
                <w:snapToGrid w:val="0"/>
                <w:lang w:eastAsia="en-US"/>
              </w:rPr>
              <w:t>1 (1)</w:t>
            </w:r>
          </w:p>
        </w:tc>
      </w:tr>
      <w:tr w:rsidR="006100A1" w:rsidRPr="0003195E" w14:paraId="739546DF" w14:textId="77777777" w:rsidTr="00C1682B">
        <w:trPr>
          <w:trHeight w:val="375"/>
        </w:trPr>
        <w:tc>
          <w:tcPr>
            <w:tcW w:w="862" w:type="pct"/>
            <w:vMerge/>
            <w:shd w:val="clear" w:color="auto" w:fill="auto"/>
          </w:tcPr>
          <w:p w14:paraId="22A12FAA" w14:textId="77777777" w:rsidR="006100A1" w:rsidRPr="0003195E" w:rsidRDefault="006100A1" w:rsidP="00A44FB9">
            <w:pPr>
              <w:rPr>
                <w:rFonts w:ascii="Arial Narrow" w:hAnsi="Arial Narrow"/>
                <w:snapToGrid w:val="0"/>
                <w:lang w:eastAsia="en-US"/>
              </w:rPr>
            </w:pPr>
          </w:p>
        </w:tc>
        <w:tc>
          <w:tcPr>
            <w:tcW w:w="865" w:type="pct"/>
          </w:tcPr>
          <w:p w14:paraId="1CAE6028" w14:textId="77777777" w:rsidR="006100A1" w:rsidRPr="0003195E" w:rsidRDefault="006100A1" w:rsidP="00A44FB9">
            <w:pPr>
              <w:rPr>
                <w:rFonts w:ascii="Arial Narrow" w:hAnsi="Arial Narrow"/>
                <w:snapToGrid w:val="0"/>
                <w:lang w:eastAsia="en-US"/>
              </w:rPr>
            </w:pPr>
            <w:r w:rsidRPr="0003195E">
              <w:rPr>
                <w:rFonts w:ascii="Arial Narrow" w:hAnsi="Arial Narrow"/>
                <w:snapToGrid w:val="0"/>
                <w:lang w:eastAsia="en-US"/>
              </w:rPr>
              <w:t>Placebo: N=47</w:t>
            </w:r>
          </w:p>
        </w:tc>
        <w:tc>
          <w:tcPr>
            <w:tcW w:w="1101" w:type="pct"/>
            <w:shd w:val="clear" w:color="auto" w:fill="auto"/>
          </w:tcPr>
          <w:p w14:paraId="68AB9860" w14:textId="77777777" w:rsidR="006100A1" w:rsidRPr="0003195E" w:rsidRDefault="006100A1" w:rsidP="006100A1">
            <w:pPr>
              <w:jc w:val="left"/>
              <w:rPr>
                <w:rFonts w:ascii="Arial Narrow" w:hAnsi="Arial Narrow"/>
                <w:snapToGrid w:val="0"/>
                <w:lang w:eastAsia="en-US"/>
              </w:rPr>
            </w:pPr>
            <w:r w:rsidRPr="0003195E">
              <w:rPr>
                <w:rFonts w:ascii="Arial Narrow" w:hAnsi="Arial Narrow"/>
                <w:snapToGrid w:val="0"/>
                <w:lang w:eastAsia="en-US"/>
              </w:rPr>
              <w:t>1127 per 100 patient years</w:t>
            </w:r>
          </w:p>
        </w:tc>
        <w:tc>
          <w:tcPr>
            <w:tcW w:w="1180" w:type="pct"/>
            <w:shd w:val="clear" w:color="auto" w:fill="auto"/>
          </w:tcPr>
          <w:p w14:paraId="1A017D69" w14:textId="77777777" w:rsidR="006100A1" w:rsidRPr="0003195E" w:rsidRDefault="006100A1" w:rsidP="00A44FB9">
            <w:pPr>
              <w:rPr>
                <w:rFonts w:ascii="Arial Narrow" w:hAnsi="Arial Narrow"/>
                <w:snapToGrid w:val="0"/>
                <w:vertAlign w:val="superscript"/>
                <w:lang w:eastAsia="en-US"/>
              </w:rPr>
            </w:pPr>
            <w:r w:rsidRPr="0003195E">
              <w:rPr>
                <w:rFonts w:ascii="Arial Narrow" w:hAnsi="Arial Narrow"/>
                <w:snapToGrid w:val="0"/>
                <w:lang w:eastAsia="en-US"/>
              </w:rPr>
              <w:t>13 (28)</w:t>
            </w:r>
            <w:r w:rsidR="00636831" w:rsidRPr="0003195E">
              <w:rPr>
                <w:rFonts w:ascii="Arial Narrow" w:hAnsi="Arial Narrow"/>
                <w:snapToGrid w:val="0"/>
                <w:vertAlign w:val="superscript"/>
                <w:lang w:eastAsia="en-US"/>
              </w:rPr>
              <w:t>b</w:t>
            </w:r>
          </w:p>
        </w:tc>
        <w:tc>
          <w:tcPr>
            <w:tcW w:w="992" w:type="pct"/>
            <w:shd w:val="clear" w:color="auto" w:fill="auto"/>
          </w:tcPr>
          <w:p w14:paraId="4634D327" w14:textId="77777777" w:rsidR="006100A1" w:rsidRPr="0003195E" w:rsidRDefault="006100A1" w:rsidP="00A44FB9">
            <w:pPr>
              <w:rPr>
                <w:rFonts w:ascii="Arial Narrow" w:hAnsi="Arial Narrow"/>
                <w:snapToGrid w:val="0"/>
                <w:lang w:eastAsia="en-US"/>
              </w:rPr>
            </w:pPr>
            <w:r w:rsidRPr="0003195E">
              <w:rPr>
                <w:rFonts w:ascii="Arial Narrow" w:hAnsi="Arial Narrow"/>
                <w:snapToGrid w:val="0"/>
                <w:lang w:eastAsia="en-US"/>
              </w:rPr>
              <w:t>0</w:t>
            </w:r>
          </w:p>
        </w:tc>
      </w:tr>
    </w:tbl>
    <w:p w14:paraId="40CCD2B2" w14:textId="77777777" w:rsidR="00CE4D3A" w:rsidRPr="0003195E" w:rsidRDefault="006100A1" w:rsidP="006100A1">
      <w:pPr>
        <w:pStyle w:val="Tablenotes0"/>
      </w:pPr>
      <w:r w:rsidRPr="0003195E">
        <w:t xml:space="preserve">AZA = azathioprine; ECZ = eculizumab; MMF = mycophenolate mofetil; </w:t>
      </w:r>
      <w:r w:rsidR="00E36019">
        <w:t xml:space="preserve">NMOSD = neuromyelitis optica spectrum disorders; </w:t>
      </w:r>
      <w:r w:rsidRPr="0003195E">
        <w:t>PLEX = plasma exchange therapy; RTX = rituximab</w:t>
      </w:r>
    </w:p>
    <w:p w14:paraId="0CBBCFE8" w14:textId="77777777" w:rsidR="00636831" w:rsidRPr="0003195E" w:rsidRDefault="00636831" w:rsidP="006100A1">
      <w:pPr>
        <w:pStyle w:val="Tablenotes0"/>
      </w:pPr>
      <w:r w:rsidRPr="0003195E">
        <w:rPr>
          <w:vertAlign w:val="superscript"/>
        </w:rPr>
        <w:t>a</w:t>
      </w:r>
      <w:r w:rsidRPr="0003195E">
        <w:t xml:space="preserve"> Death not considered related to treatment</w:t>
      </w:r>
    </w:p>
    <w:p w14:paraId="5571D69D" w14:textId="69A17622" w:rsidR="00F57C7B" w:rsidRDefault="00636831" w:rsidP="00EA0839">
      <w:pPr>
        <w:pStyle w:val="Tablenotes0"/>
      </w:pPr>
      <w:r w:rsidRPr="0003195E">
        <w:rPr>
          <w:vertAlign w:val="superscript"/>
        </w:rPr>
        <w:t>b</w:t>
      </w:r>
      <w:r w:rsidRPr="0003195E">
        <w:t xml:space="preserve"> Only adverse events considered to be related to treatment are reported in Table 69. In total there were 46 adverse events in the ECZ group and 29 in the placebo group.</w:t>
      </w:r>
      <w:r w:rsidR="00F57C7B">
        <w:br w:type="page"/>
      </w:r>
    </w:p>
    <w:p w14:paraId="4A26B410" w14:textId="77777777" w:rsidR="00ED65EE" w:rsidRDefault="00ED65EE" w:rsidP="00ED65EE">
      <w:pPr>
        <w:pStyle w:val="Heading1"/>
        <w:ind w:left="0" w:firstLine="0"/>
      </w:pPr>
      <w:bookmarkStart w:id="340" w:name="_Toc39588338"/>
      <w:r>
        <w:lastRenderedPageBreak/>
        <w:t>B6</w:t>
      </w:r>
      <w:r>
        <w:tab/>
        <w:t>Impact of repeat testing/monitoring</w:t>
      </w:r>
      <w:bookmarkEnd w:id="340"/>
    </w:p>
    <w:p w14:paraId="49D6A12E" w14:textId="1B4B503A" w:rsidR="00043567" w:rsidRPr="00B10025" w:rsidRDefault="00B10025" w:rsidP="00D20E56">
      <w:r w:rsidRPr="00B10025">
        <w:t xml:space="preserve">There </w:t>
      </w:r>
      <w:r w:rsidR="008966F7">
        <w:t>was</w:t>
      </w:r>
      <w:r w:rsidR="008966F7" w:rsidRPr="00B10025">
        <w:t xml:space="preserve"> </w:t>
      </w:r>
      <w:r w:rsidRPr="00B10025">
        <w:t xml:space="preserve">very little evidence </w:t>
      </w:r>
      <w:r w:rsidR="00DD122A">
        <w:t>that</w:t>
      </w:r>
      <w:r w:rsidRPr="00B10025">
        <w:t xml:space="preserve"> investigated the clinical validity of </w:t>
      </w:r>
      <w:r w:rsidR="00904026">
        <w:t xml:space="preserve">retesting or monitoring for </w:t>
      </w:r>
      <w:r w:rsidRPr="00B10025">
        <w:t>AQP4-Ab</w:t>
      </w:r>
      <w:r w:rsidR="004C5578">
        <w:t>s</w:t>
      </w:r>
      <w:r w:rsidRPr="00B10025">
        <w:t xml:space="preserve"> or MOG-Ab</w:t>
      </w:r>
      <w:r w:rsidR="004C5578">
        <w:t>s</w:t>
      </w:r>
      <w:r w:rsidRPr="00B10025">
        <w:t xml:space="preserve"> </w:t>
      </w:r>
      <w:r w:rsidR="008966F7" w:rsidRPr="00B10025">
        <w:t xml:space="preserve">for signs of relapse </w:t>
      </w:r>
      <w:r w:rsidRPr="00B10025">
        <w:t>in patients previously diagnosed with NMOSD</w:t>
      </w:r>
      <w:r w:rsidR="00904026">
        <w:t>.</w:t>
      </w:r>
      <w:r w:rsidRPr="00B10025">
        <w:t xml:space="preserve"> </w:t>
      </w:r>
      <w:r w:rsidR="00904026">
        <w:t xml:space="preserve">Only two small studies of low quality </w:t>
      </w:r>
      <w:r w:rsidR="001D700E">
        <w:t xml:space="preserve">evidence </w:t>
      </w:r>
      <w:r w:rsidR="00904026">
        <w:t xml:space="preserve">were identified which considered </w:t>
      </w:r>
      <w:r w:rsidR="001D700E">
        <w:t xml:space="preserve">an association between </w:t>
      </w:r>
      <w:r w:rsidR="00904026">
        <w:t xml:space="preserve">AQP4-Ab titres and the relapsing course of </w:t>
      </w:r>
      <w:r w:rsidR="001D700E">
        <w:t>NMOSD.</w:t>
      </w:r>
      <w:r w:rsidR="00904026">
        <w:t xml:space="preserve"> </w:t>
      </w:r>
      <w:r w:rsidR="004C5578">
        <w:t>A ret</w:t>
      </w:r>
      <w:r w:rsidR="00FC46CB">
        <w:t xml:space="preserve">rospective cohort by Chen et al </w:t>
      </w:r>
      <w:r w:rsidR="00156621">
        <w:fldChar w:fldCharType="begin">
          <w:fldData xml:space="preserve">PEVuZE5vdGU+PENpdGU+PEF1dGhvcj5DaGVuPC9BdXRob3I+PFllYXI+MjAxNzwvWWVhcj48UmVj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</w:fldData>
        </w:fldChar>
      </w:r>
      <w:r w:rsidR="00557788">
        <w:instrText xml:space="preserve"> ADDIN EN.CITE </w:instrText>
      </w:r>
      <w:r w:rsidR="00557788">
        <w:fldChar w:fldCharType="begin">
          <w:fldData xml:space="preserve">PEVuZE5vdGU+PENpdGU+PEF1dGhvcj5DaGVuPC9BdXRob3I+PFllYXI+MjAxNzwvWWVhcj48UmVj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</w:fldData>
        </w:fldChar>
      </w:r>
      <w:r w:rsidR="00557788">
        <w:instrText xml:space="preserve"> ADDIN EN.CITE.DATA </w:instrText>
      </w:r>
      <w:r w:rsidR="00557788">
        <w:fldChar w:fldCharType="end"/>
      </w:r>
      <w:r w:rsidR="00156621">
        <w:fldChar w:fldCharType="separate"/>
      </w:r>
      <w:r w:rsidR="004A614C">
        <w:rPr>
          <w:noProof/>
        </w:rPr>
        <w:t>(Chen</w:t>
      </w:r>
      <w:r w:rsidR="00557788">
        <w:rPr>
          <w:noProof/>
        </w:rPr>
        <w:t xml:space="preserve"> et al. 2017)</w:t>
      </w:r>
      <w:r w:rsidR="00156621">
        <w:fldChar w:fldCharType="end"/>
      </w:r>
      <w:r w:rsidR="00904026">
        <w:t xml:space="preserve">, </w:t>
      </w:r>
      <w:r w:rsidR="001D700E">
        <w:t xml:space="preserve">examined the </w:t>
      </w:r>
      <w:r w:rsidR="00EB6FD2">
        <w:t xml:space="preserve">influence of AQP4-Ab titres on the </w:t>
      </w:r>
      <w:r w:rsidR="001D700E">
        <w:t>probability of relapse in those with NMOSD receiving tacrolimus immunosuppressant treatment</w:t>
      </w:r>
      <w:r w:rsidR="008966F7">
        <w:t>. A</w:t>
      </w:r>
      <w:r w:rsidR="001D700E">
        <w:t xml:space="preserve"> case series study by </w:t>
      </w:r>
      <w:r w:rsidR="004C5578">
        <w:t xml:space="preserve">Valentino et al. </w:t>
      </w:r>
      <w:r w:rsidR="00156621">
        <w:fldChar w:fldCharType="begin">
          <w:fldData xml:space="preserve">PEVuZE5vdGU+PENpdGU+PEF1dGhvcj5WYWxlbnRpbm88L0F1dGhvcj48WWVhcj4yMDE3PC9ZZWFy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</w:fldData>
        </w:fldChar>
      </w:r>
      <w:r w:rsidR="0087595F">
        <w:instrText xml:space="preserve"> ADDIN EN.CITE </w:instrText>
      </w:r>
      <w:r w:rsidR="0087595F">
        <w:fldChar w:fldCharType="begin">
          <w:fldData xml:space="preserve">PEVuZE5vdGU+PENpdGU+PEF1dGhvcj5WYWxlbnRpbm88L0F1dGhvcj48WWVhcj4yMDE3PC9ZZWFy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</w:fldData>
        </w:fldChar>
      </w:r>
      <w:r w:rsidR="0087595F">
        <w:instrText xml:space="preserve"> ADDIN EN.CITE.DATA </w:instrText>
      </w:r>
      <w:r w:rsidR="0087595F">
        <w:fldChar w:fldCharType="end"/>
      </w:r>
      <w:r w:rsidR="00156621">
        <w:fldChar w:fldCharType="separate"/>
      </w:r>
      <w:r w:rsidR="0087595F">
        <w:rPr>
          <w:noProof/>
        </w:rPr>
        <w:t>(Valentino et al. 2017)</w:t>
      </w:r>
      <w:r w:rsidR="00156621">
        <w:fldChar w:fldCharType="end"/>
      </w:r>
      <w:r w:rsidR="004C5578">
        <w:t xml:space="preserve"> </w:t>
      </w:r>
      <w:r w:rsidR="00560C4C">
        <w:t>investigated the association of AQP4-Ab titre with disease activity in relapsing NMO</w:t>
      </w:r>
      <w:r w:rsidR="00DD122A">
        <w:t xml:space="preserve"> in those taking </w:t>
      </w:r>
      <w:r w:rsidR="00B8211A">
        <w:t>RTX</w:t>
      </w:r>
      <w:r w:rsidR="00560C4C">
        <w:t xml:space="preserve">. Both studies were assessed for risk of bias using appropriate assessment tools. Key characteristics of the two studies are reported in </w:t>
      </w:r>
      <w:r w:rsidR="00560C4C" w:rsidRPr="00560C4C">
        <w:fldChar w:fldCharType="begin"/>
      </w:r>
      <w:r w:rsidR="00560C4C" w:rsidRPr="00560C4C">
        <w:instrText xml:space="preserve"> REF _Ref31199341 \h  \* MERGEFORMAT </w:instrText>
      </w:r>
      <w:r w:rsidR="00560C4C" w:rsidRPr="00560C4C">
        <w:fldChar w:fldCharType="separate"/>
      </w:r>
      <w:r w:rsidR="007F0FFB" w:rsidRPr="00B10025">
        <w:t xml:space="preserve">Table </w:t>
      </w:r>
      <w:r w:rsidR="007F0FFB">
        <w:t>63</w:t>
      </w:r>
      <w:r w:rsidR="00560C4C" w:rsidRPr="00560C4C">
        <w:fldChar w:fldCharType="end"/>
      </w:r>
      <w:r w:rsidR="00560C4C" w:rsidRPr="00560C4C">
        <w:t>.</w:t>
      </w:r>
      <w:r w:rsidR="00043567">
        <w:t xml:space="preserve"> </w:t>
      </w:r>
      <w:r w:rsidR="00043567" w:rsidRPr="00B10025">
        <w:t>While several other studies were also initially considered for inclusion, they were later excluded due to such reasons as</w:t>
      </w:r>
      <w:r w:rsidR="008966F7">
        <w:t xml:space="preserve"> being</w:t>
      </w:r>
      <w:r w:rsidR="00043567" w:rsidRPr="00B10025">
        <w:t xml:space="preserve"> unable to extract data </w:t>
      </w:r>
      <w:r w:rsidR="00156621">
        <w:fldChar w:fldCharType="begin">
          <w:fldData xml:space="preserve">PEVuZE5vdGU+PENpdGU+PEF1dGhvcj5XZWluc3RvY2stR3V0dG1hbjwvQXV0aG9yPjxZZWFyPjIw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</w:fldData>
        </w:fldChar>
      </w:r>
      <w:r w:rsidR="00D96694">
        <w:instrText xml:space="preserve"> ADDIN EN.CITE </w:instrText>
      </w:r>
      <w:r w:rsidR="00D96694">
        <w:fldChar w:fldCharType="begin">
          <w:fldData xml:space="preserve">PEVuZE5vdGU+PENpdGU+PEF1dGhvcj5XZWluc3RvY2stR3V0dG1hbjwvQXV0aG9yPjxZZWFyPjIw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</w:fldData>
        </w:fldChar>
      </w:r>
      <w:r w:rsidR="00D96694">
        <w:instrText xml:space="preserve"> ADDIN EN.CITE.DATA </w:instrText>
      </w:r>
      <w:r w:rsidR="00D96694">
        <w:fldChar w:fldCharType="end"/>
      </w:r>
      <w:r w:rsidR="00156621">
        <w:fldChar w:fldCharType="separate"/>
      </w:r>
      <w:r w:rsidR="00156621">
        <w:rPr>
          <w:noProof/>
        </w:rPr>
        <w:t>(Weinstock-Guttman et al. 2008)</w:t>
      </w:r>
      <w:r w:rsidR="00156621">
        <w:fldChar w:fldCharType="end"/>
      </w:r>
      <w:r w:rsidR="00043567" w:rsidRPr="00B10025">
        <w:t xml:space="preserve"> and </w:t>
      </w:r>
      <w:r w:rsidR="008966F7">
        <w:t xml:space="preserve">the study </w:t>
      </w:r>
      <w:r w:rsidR="00043567" w:rsidRPr="00B10025">
        <w:t xml:space="preserve">not using cell-based assays </w:t>
      </w:r>
      <w:r w:rsidR="00156621">
        <w:fldChar w:fldCharType="begin">
          <w:fldData xml:space="preserve">PEVuZE5vdGU+PENpdGU+PEF1dGhvcj5KYXJpdXM8L0F1dGhvcj48WWVhcj4yMDA4PC9ZZWFyPjxS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==
</w:fldData>
        </w:fldChar>
      </w:r>
      <w:r w:rsidR="00A400A2">
        <w:instrText xml:space="preserve"> ADDIN EN.CITE </w:instrText>
      </w:r>
      <w:r w:rsidR="00A400A2">
        <w:fldChar w:fldCharType="begin">
          <w:fldData xml:space="preserve">PEVuZE5vdGU+PENpdGU+PEF1dGhvcj5KYXJpdXM8L0F1dGhvcj48WWVhcj4yMDA4PC9ZZWFyPjxS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==
</w:fldData>
        </w:fldChar>
      </w:r>
      <w:r w:rsidR="00A400A2">
        <w:instrText xml:space="preserve"> ADDIN EN.CITE.DATA </w:instrText>
      </w:r>
      <w:r w:rsidR="00A400A2">
        <w:fldChar w:fldCharType="end"/>
      </w:r>
      <w:r w:rsidR="00156621">
        <w:fldChar w:fldCharType="separate"/>
      </w:r>
      <w:r w:rsidR="00A400A2">
        <w:rPr>
          <w:noProof/>
        </w:rPr>
        <w:t>(Jarius et al. 2008; Kessler et al. 2017; Kim et al. 2011; Yang et al. 2013)</w:t>
      </w:r>
      <w:r w:rsidR="00156621">
        <w:fldChar w:fldCharType="end"/>
      </w:r>
      <w:r w:rsidR="00043567" w:rsidRPr="00B10025">
        <w:t>.</w:t>
      </w:r>
    </w:p>
    <w:p w14:paraId="49F2339B" w14:textId="16FE7254" w:rsidR="00B10025" w:rsidRPr="00610BFC" w:rsidRDefault="00B10025" w:rsidP="00A87AE2">
      <w:pPr>
        <w:pStyle w:val="TableHeading"/>
        <w:rPr>
          <w:bCs/>
          <w:vanish/>
        </w:rPr>
      </w:pPr>
      <w:bookmarkStart w:id="341" w:name="_Ref31199341"/>
      <w:bookmarkStart w:id="342" w:name="_Toc39580844"/>
      <w:r w:rsidRPr="00B10025">
        <w:t xml:space="preserve">Table </w:t>
      </w:r>
      <w:r w:rsidR="00E404C8">
        <w:fldChar w:fldCharType="begin"/>
      </w:r>
      <w:r w:rsidR="00E404C8">
        <w:instrText xml:space="preserve"> SEQ Table \* ARABIC </w:instrText>
      </w:r>
      <w:r w:rsidR="00E404C8">
        <w:fldChar w:fldCharType="separate"/>
      </w:r>
      <w:r w:rsidR="00FA7BCD">
        <w:rPr>
          <w:noProof/>
        </w:rPr>
        <w:t>63</w:t>
      </w:r>
      <w:r w:rsidR="00E404C8">
        <w:rPr>
          <w:noProof/>
        </w:rPr>
        <w:fldChar w:fldCharType="end"/>
      </w:r>
      <w:bookmarkEnd w:id="341"/>
      <w:r w:rsidRPr="00B10025">
        <w:tab/>
        <w:t>Key characteristics of stud</w:t>
      </w:r>
      <w:r w:rsidR="001D700E">
        <w:t>ies</w:t>
      </w:r>
      <w:r w:rsidRPr="00B10025">
        <w:t xml:space="preserve"> that investigated </w:t>
      </w:r>
      <w:r w:rsidR="008966F7">
        <w:t xml:space="preserve">the </w:t>
      </w:r>
      <w:r w:rsidRPr="00B10025">
        <w:t>association between serum titres of AQP4-Abs and relapses</w:t>
      </w:r>
      <w:r w:rsidR="001D700E">
        <w:t xml:space="preserve"> of NMOSD/NMO</w:t>
      </w:r>
      <w:bookmarkEnd w:id="342"/>
    </w:p>
    <w:tbl>
      <w:tblPr>
        <w:tblStyle w:val="TableGrid1"/>
        <w:tblW w:w="5000" w:type="pct"/>
        <w:tblCellMar>
          <w:left w:w="28" w:type="dxa"/>
          <w:right w:w="28" w:type="dxa"/>
        </w:tblCellMar>
        <w:tblLook w:val="04A0" w:firstRow="1" w:lastRow="0" w:firstColumn="1" w:lastColumn="0" w:noHBand="0" w:noVBand="1"/>
        <w:tblCaption w:val="Table 63 Key characteristics of studies that investigated the association between serum titres of AQP4-Abs and relapses of NMOSD/NMO"/>
        <w:tblDescription w:val="A summary of study details in articles reporting on repeat antibody testinfg for NMOSD or testing for monitoring of NMOSD"/>
      </w:tblPr>
      <w:tblGrid>
        <w:gridCol w:w="1131"/>
        <w:gridCol w:w="851"/>
        <w:gridCol w:w="1277"/>
        <w:gridCol w:w="1132"/>
        <w:gridCol w:w="2550"/>
        <w:gridCol w:w="2075"/>
      </w:tblGrid>
      <w:tr w:rsidR="00B10025" w:rsidRPr="00B10025" w14:paraId="78D2D07D" w14:textId="77777777" w:rsidTr="007F0FFB">
        <w:trPr>
          <w:cnfStyle w:val="100000000000" w:firstRow="1" w:lastRow="0" w:firstColumn="0" w:lastColumn="0" w:oddVBand="0" w:evenVBand="0" w:oddHBand="0" w:evenHBand="0" w:firstRowFirstColumn="0" w:firstRowLastColumn="0" w:lastRowFirstColumn="0" w:lastRowLastColumn="0"/>
          <w:tblHeader/>
        </w:trPr>
        <w:tc>
          <w:tcPr>
            <w:tcW w:w="627" w:type="pct"/>
            <w:shd w:val="clear" w:color="auto" w:fill="auto"/>
            <w:vAlign w:val="center"/>
          </w:tcPr>
          <w:p w14:paraId="6BB2AF9A" w14:textId="77777777" w:rsidR="00B10025" w:rsidRPr="00B10025" w:rsidRDefault="00B10025" w:rsidP="00B10025">
            <w:pPr>
              <w:keepNext/>
              <w:spacing w:after="0"/>
              <w:contextualSpacing/>
              <w:jc w:val="left"/>
              <w:rPr>
                <w:rFonts w:ascii="Arial Narrow" w:hAnsi="Arial Narrow"/>
                <w:b/>
                <w:snapToGrid w:val="0"/>
                <w:lang w:eastAsia="en-US"/>
              </w:rPr>
            </w:pPr>
            <w:r w:rsidRPr="00B10025">
              <w:rPr>
                <w:rFonts w:ascii="Arial Narrow" w:hAnsi="Arial Narrow"/>
                <w:b/>
                <w:snapToGrid w:val="0"/>
                <w:lang w:eastAsia="en-US"/>
              </w:rPr>
              <w:t>Trial/Study</w:t>
            </w:r>
          </w:p>
        </w:tc>
        <w:tc>
          <w:tcPr>
            <w:tcW w:w="472" w:type="pct"/>
            <w:shd w:val="clear" w:color="auto" w:fill="auto"/>
            <w:vAlign w:val="center"/>
          </w:tcPr>
          <w:p w14:paraId="41078F2C" w14:textId="77777777" w:rsidR="00B10025" w:rsidRPr="00B10025" w:rsidRDefault="00B10025" w:rsidP="00B10025">
            <w:pPr>
              <w:keepNext/>
              <w:spacing w:after="0"/>
              <w:contextualSpacing/>
              <w:jc w:val="left"/>
              <w:rPr>
                <w:rFonts w:ascii="Arial Narrow" w:hAnsi="Arial Narrow"/>
                <w:b/>
                <w:snapToGrid w:val="0"/>
                <w:lang w:eastAsia="en-US"/>
              </w:rPr>
            </w:pPr>
            <w:r w:rsidRPr="00B10025">
              <w:rPr>
                <w:rFonts w:ascii="Arial Narrow" w:hAnsi="Arial Narrow"/>
                <w:b/>
                <w:snapToGrid w:val="0"/>
                <w:lang w:eastAsia="en-US"/>
              </w:rPr>
              <w:t>N</w:t>
            </w:r>
          </w:p>
        </w:tc>
        <w:tc>
          <w:tcPr>
            <w:tcW w:w="708" w:type="pct"/>
            <w:shd w:val="clear" w:color="auto" w:fill="auto"/>
            <w:vAlign w:val="center"/>
          </w:tcPr>
          <w:p w14:paraId="5A0C57EF" w14:textId="77777777" w:rsidR="00B10025" w:rsidRPr="00B10025" w:rsidRDefault="00B10025" w:rsidP="00B10025">
            <w:pPr>
              <w:keepNext/>
              <w:spacing w:after="0"/>
              <w:contextualSpacing/>
              <w:jc w:val="left"/>
              <w:rPr>
                <w:rFonts w:ascii="Arial Narrow" w:hAnsi="Arial Narrow"/>
                <w:b/>
                <w:snapToGrid w:val="0"/>
                <w:lang w:eastAsia="en-US"/>
              </w:rPr>
            </w:pPr>
            <w:r w:rsidRPr="00B10025">
              <w:rPr>
                <w:rFonts w:ascii="Arial Narrow" w:hAnsi="Arial Narrow"/>
                <w:b/>
                <w:snapToGrid w:val="0"/>
                <w:lang w:eastAsia="en-US"/>
              </w:rPr>
              <w:t>Level of evidence</w:t>
            </w:r>
          </w:p>
        </w:tc>
        <w:tc>
          <w:tcPr>
            <w:tcW w:w="628" w:type="pct"/>
            <w:shd w:val="clear" w:color="auto" w:fill="auto"/>
            <w:vAlign w:val="center"/>
          </w:tcPr>
          <w:p w14:paraId="26965A92" w14:textId="77777777" w:rsidR="00B10025" w:rsidRPr="00B10025" w:rsidRDefault="00B10025" w:rsidP="00B10025">
            <w:pPr>
              <w:keepNext/>
              <w:spacing w:after="0"/>
              <w:contextualSpacing/>
              <w:jc w:val="left"/>
              <w:rPr>
                <w:rFonts w:ascii="Arial Narrow" w:hAnsi="Arial Narrow"/>
                <w:b/>
                <w:snapToGrid w:val="0"/>
                <w:lang w:eastAsia="en-US"/>
              </w:rPr>
            </w:pPr>
            <w:r w:rsidRPr="00B10025">
              <w:rPr>
                <w:rFonts w:ascii="Arial Narrow" w:hAnsi="Arial Narrow"/>
                <w:b/>
                <w:snapToGrid w:val="0"/>
                <w:lang w:eastAsia="en-US"/>
              </w:rPr>
              <w:t>Risk of bias</w:t>
            </w:r>
          </w:p>
        </w:tc>
        <w:tc>
          <w:tcPr>
            <w:tcW w:w="1414" w:type="pct"/>
            <w:shd w:val="clear" w:color="auto" w:fill="auto"/>
            <w:vAlign w:val="center"/>
          </w:tcPr>
          <w:p w14:paraId="711D5858" w14:textId="77777777" w:rsidR="00B10025" w:rsidRPr="00B10025" w:rsidRDefault="00B10025" w:rsidP="00B10025">
            <w:pPr>
              <w:keepNext/>
              <w:spacing w:after="0"/>
              <w:contextualSpacing/>
              <w:jc w:val="left"/>
              <w:rPr>
                <w:rFonts w:ascii="Arial Narrow" w:hAnsi="Arial Narrow"/>
                <w:b/>
                <w:snapToGrid w:val="0"/>
                <w:lang w:eastAsia="en-US"/>
              </w:rPr>
            </w:pPr>
            <w:r w:rsidRPr="00B10025">
              <w:rPr>
                <w:rFonts w:ascii="Arial Narrow" w:hAnsi="Arial Narrow"/>
                <w:b/>
                <w:snapToGrid w:val="0"/>
                <w:lang w:eastAsia="en-US"/>
              </w:rPr>
              <w:t>Patient population</w:t>
            </w:r>
          </w:p>
        </w:tc>
        <w:tc>
          <w:tcPr>
            <w:tcW w:w="1151" w:type="pct"/>
            <w:shd w:val="clear" w:color="auto" w:fill="auto"/>
            <w:vAlign w:val="center"/>
          </w:tcPr>
          <w:p w14:paraId="0DD328D9" w14:textId="77777777" w:rsidR="00B10025" w:rsidRPr="00B10025" w:rsidRDefault="00B10025" w:rsidP="00B10025">
            <w:pPr>
              <w:keepNext/>
              <w:spacing w:after="0"/>
              <w:contextualSpacing/>
              <w:jc w:val="left"/>
              <w:rPr>
                <w:rFonts w:ascii="Arial Narrow" w:hAnsi="Arial Narrow"/>
                <w:b/>
                <w:snapToGrid w:val="0"/>
                <w:lang w:eastAsia="en-US"/>
              </w:rPr>
            </w:pPr>
            <w:r w:rsidRPr="00B10025">
              <w:rPr>
                <w:rFonts w:ascii="Arial Narrow" w:hAnsi="Arial Narrow"/>
                <w:b/>
                <w:snapToGrid w:val="0"/>
                <w:lang w:eastAsia="en-US"/>
              </w:rPr>
              <w:t>Key outcome(s)</w:t>
            </w:r>
          </w:p>
        </w:tc>
      </w:tr>
      <w:tr w:rsidR="009001F1" w:rsidRPr="00B10025" w14:paraId="0118C218" w14:textId="77777777" w:rsidTr="007F0FFB">
        <w:tc>
          <w:tcPr>
            <w:tcW w:w="627" w:type="pct"/>
            <w:shd w:val="clear" w:color="auto" w:fill="auto"/>
          </w:tcPr>
          <w:p w14:paraId="4A954C70" w14:textId="77777777" w:rsidR="009001F1" w:rsidRPr="00B10025" w:rsidRDefault="009001F1" w:rsidP="009001F1">
            <w:pPr>
              <w:spacing w:after="0"/>
              <w:contextualSpacing/>
              <w:jc w:val="left"/>
              <w:rPr>
                <w:rFonts w:ascii="Arial Narrow" w:hAnsi="Arial Narrow"/>
                <w:snapToGrid w:val="0"/>
                <w:lang w:eastAsia="en-US"/>
              </w:rPr>
            </w:pPr>
            <w:r>
              <w:rPr>
                <w:rFonts w:ascii="Arial Narrow" w:hAnsi="Arial Narrow"/>
                <w:snapToGrid w:val="0"/>
                <w:lang w:eastAsia="en-US"/>
              </w:rPr>
              <w:t>Chen et al. 2017</w:t>
            </w:r>
          </w:p>
        </w:tc>
        <w:tc>
          <w:tcPr>
            <w:tcW w:w="472" w:type="pct"/>
            <w:shd w:val="clear" w:color="auto" w:fill="auto"/>
          </w:tcPr>
          <w:p w14:paraId="5CA2366F" w14:textId="77777777" w:rsidR="009001F1" w:rsidRPr="00B10025" w:rsidRDefault="009001F1" w:rsidP="009001F1">
            <w:pPr>
              <w:spacing w:after="0"/>
              <w:contextualSpacing/>
              <w:jc w:val="left"/>
              <w:rPr>
                <w:rFonts w:ascii="Arial Narrow" w:hAnsi="Arial Narrow"/>
                <w:snapToGrid w:val="0"/>
                <w:lang w:eastAsia="en-US"/>
              </w:rPr>
            </w:pPr>
            <w:r w:rsidRPr="00B10025">
              <w:rPr>
                <w:rFonts w:ascii="Arial Narrow" w:hAnsi="Arial Narrow"/>
                <w:snapToGrid w:val="0"/>
                <w:lang w:eastAsia="en-US"/>
              </w:rPr>
              <w:t>25</w:t>
            </w:r>
          </w:p>
        </w:tc>
        <w:tc>
          <w:tcPr>
            <w:tcW w:w="708" w:type="pct"/>
            <w:shd w:val="clear" w:color="auto" w:fill="auto"/>
          </w:tcPr>
          <w:p w14:paraId="560F20AE" w14:textId="77777777" w:rsidR="009001F1" w:rsidRPr="00B10025" w:rsidRDefault="009001F1" w:rsidP="009001F1">
            <w:pPr>
              <w:spacing w:after="0"/>
              <w:contextualSpacing/>
              <w:jc w:val="left"/>
              <w:rPr>
                <w:rFonts w:ascii="Arial Narrow" w:hAnsi="Arial Narrow"/>
                <w:snapToGrid w:val="0"/>
                <w:lang w:eastAsia="en-US"/>
              </w:rPr>
            </w:pPr>
            <w:r w:rsidRPr="00B10025">
              <w:rPr>
                <w:rFonts w:ascii="Arial Narrow" w:hAnsi="Arial Narrow"/>
                <w:snapToGrid w:val="0"/>
                <w:lang w:eastAsia="en-US"/>
              </w:rPr>
              <w:t>III-3</w:t>
            </w:r>
          </w:p>
        </w:tc>
        <w:tc>
          <w:tcPr>
            <w:tcW w:w="628" w:type="pct"/>
            <w:shd w:val="clear" w:color="auto" w:fill="auto"/>
          </w:tcPr>
          <w:p w14:paraId="1D65A3AE" w14:textId="77777777" w:rsidR="009001F1" w:rsidRPr="00B10025" w:rsidRDefault="009001F1" w:rsidP="009001F1">
            <w:pPr>
              <w:spacing w:after="0"/>
              <w:contextualSpacing/>
              <w:jc w:val="left"/>
              <w:rPr>
                <w:rFonts w:ascii="Arial Narrow" w:hAnsi="Arial Narrow"/>
                <w:snapToGrid w:val="0"/>
                <w:lang w:eastAsia="en-US"/>
              </w:rPr>
            </w:pPr>
            <w:r w:rsidRPr="00B10025">
              <w:rPr>
                <w:rFonts w:ascii="Arial Narrow" w:hAnsi="Arial Narrow"/>
                <w:snapToGrid w:val="0"/>
                <w:lang w:eastAsia="en-US"/>
              </w:rPr>
              <w:t>High</w:t>
            </w:r>
          </w:p>
        </w:tc>
        <w:tc>
          <w:tcPr>
            <w:tcW w:w="1414" w:type="pct"/>
            <w:shd w:val="clear" w:color="auto" w:fill="auto"/>
          </w:tcPr>
          <w:p w14:paraId="5F451656" w14:textId="77777777" w:rsidR="009001F1" w:rsidRPr="00B10025" w:rsidRDefault="009001F1" w:rsidP="00C6217A">
            <w:pPr>
              <w:spacing w:after="0"/>
              <w:contextualSpacing/>
              <w:jc w:val="left"/>
              <w:rPr>
                <w:rFonts w:ascii="Arial Narrow" w:hAnsi="Arial Narrow"/>
                <w:snapToGrid w:val="0"/>
                <w:lang w:eastAsia="en-US"/>
              </w:rPr>
            </w:pPr>
            <w:r w:rsidRPr="00B10025">
              <w:rPr>
                <w:rFonts w:ascii="Arial Narrow" w:hAnsi="Arial Narrow"/>
                <w:snapToGrid w:val="0"/>
                <w:lang w:eastAsia="en-US"/>
              </w:rPr>
              <w:t>Patients with NMOSD who were receiving or had received oral tacrolimus Age at onset (years) median (range) 31 (6-55)</w:t>
            </w:r>
          </w:p>
        </w:tc>
        <w:tc>
          <w:tcPr>
            <w:tcW w:w="1151" w:type="pct"/>
            <w:shd w:val="clear" w:color="auto" w:fill="auto"/>
          </w:tcPr>
          <w:p w14:paraId="7876D00F" w14:textId="77777777" w:rsidR="009001F1" w:rsidRPr="00B10025" w:rsidRDefault="009001F1" w:rsidP="009001F1">
            <w:pPr>
              <w:spacing w:after="0"/>
              <w:contextualSpacing/>
              <w:jc w:val="left"/>
              <w:rPr>
                <w:rFonts w:ascii="Arial Narrow" w:hAnsi="Arial Narrow"/>
                <w:snapToGrid w:val="0"/>
                <w:lang w:eastAsia="en-US"/>
              </w:rPr>
            </w:pPr>
            <w:r w:rsidRPr="00B10025">
              <w:rPr>
                <w:rFonts w:ascii="Arial Narrow" w:hAnsi="Arial Narrow"/>
                <w:snapToGrid w:val="0"/>
                <w:lang w:eastAsia="en-US"/>
              </w:rPr>
              <w:t>Relapse</w:t>
            </w:r>
            <w:r w:rsidRPr="00B10025">
              <w:rPr>
                <w:rFonts w:ascii="Arial Narrow" w:hAnsi="Arial Narrow"/>
                <w:snapToGrid w:val="0"/>
                <w:vertAlign w:val="superscript"/>
                <w:lang w:eastAsia="en-US"/>
              </w:rPr>
              <w:t>a</w:t>
            </w:r>
            <w:r w:rsidRPr="00B10025">
              <w:rPr>
                <w:rFonts w:ascii="Arial Narrow" w:hAnsi="Arial Narrow"/>
                <w:snapToGrid w:val="0"/>
                <w:lang w:eastAsia="en-US"/>
              </w:rPr>
              <w:t>-free patients in low</w:t>
            </w:r>
            <w:r w:rsidRPr="00B10025">
              <w:rPr>
                <w:rFonts w:ascii="Arial Narrow" w:hAnsi="Arial Narrow"/>
                <w:snapToGrid w:val="0"/>
                <w:vertAlign w:val="superscript"/>
                <w:lang w:eastAsia="en-US"/>
              </w:rPr>
              <w:t>b</w:t>
            </w:r>
            <w:r w:rsidRPr="00B10025">
              <w:rPr>
                <w:rFonts w:ascii="Arial Narrow" w:hAnsi="Arial Narrow"/>
                <w:snapToGrid w:val="0"/>
                <w:lang w:eastAsia="en-US"/>
              </w:rPr>
              <w:t xml:space="preserve"> and high</w:t>
            </w:r>
            <w:r w:rsidRPr="00B10025">
              <w:rPr>
                <w:rFonts w:ascii="Arial Narrow" w:hAnsi="Arial Narrow"/>
                <w:snapToGrid w:val="0"/>
                <w:vertAlign w:val="superscript"/>
                <w:lang w:eastAsia="en-US"/>
              </w:rPr>
              <w:t>c</w:t>
            </w:r>
            <w:r w:rsidRPr="00B10025">
              <w:rPr>
                <w:rFonts w:ascii="Arial Narrow" w:hAnsi="Arial Narrow"/>
                <w:snapToGrid w:val="0"/>
                <w:lang w:eastAsia="en-US"/>
              </w:rPr>
              <w:t xml:space="preserve"> AQP4-Ab titre groups</w:t>
            </w:r>
          </w:p>
        </w:tc>
      </w:tr>
      <w:tr w:rsidR="009001F1" w:rsidRPr="00B10025" w14:paraId="4AB94793" w14:textId="77777777" w:rsidTr="007F0FFB">
        <w:tc>
          <w:tcPr>
            <w:tcW w:w="627" w:type="pct"/>
            <w:shd w:val="clear" w:color="auto" w:fill="auto"/>
          </w:tcPr>
          <w:p w14:paraId="2DDAC2E6" w14:textId="77777777" w:rsidR="009001F1" w:rsidRPr="00B10025" w:rsidRDefault="009001F1" w:rsidP="009001F1">
            <w:pPr>
              <w:spacing w:after="0"/>
              <w:contextualSpacing/>
              <w:jc w:val="left"/>
              <w:rPr>
                <w:rFonts w:ascii="Arial Narrow" w:hAnsi="Arial Narrow"/>
                <w:snapToGrid w:val="0"/>
                <w:lang w:eastAsia="en-US"/>
              </w:rPr>
            </w:pPr>
            <w:r>
              <w:rPr>
                <w:rFonts w:ascii="Arial Narrow" w:hAnsi="Arial Narrow"/>
                <w:snapToGrid w:val="0"/>
                <w:lang w:eastAsia="en-US"/>
              </w:rPr>
              <w:t>Valentino et al. 2017</w:t>
            </w:r>
          </w:p>
        </w:tc>
        <w:tc>
          <w:tcPr>
            <w:tcW w:w="472" w:type="pct"/>
            <w:shd w:val="clear" w:color="auto" w:fill="auto"/>
          </w:tcPr>
          <w:p w14:paraId="3C73C387" w14:textId="77777777" w:rsidR="009001F1" w:rsidRPr="00B10025" w:rsidRDefault="009001F1" w:rsidP="009001F1">
            <w:pPr>
              <w:spacing w:after="0"/>
              <w:contextualSpacing/>
              <w:jc w:val="left"/>
              <w:rPr>
                <w:rFonts w:ascii="Arial Narrow" w:hAnsi="Arial Narrow"/>
                <w:snapToGrid w:val="0"/>
                <w:lang w:eastAsia="en-US"/>
              </w:rPr>
            </w:pPr>
            <w:r>
              <w:rPr>
                <w:rFonts w:ascii="Arial Narrow" w:hAnsi="Arial Narrow"/>
                <w:snapToGrid w:val="0"/>
                <w:lang w:eastAsia="en-US"/>
              </w:rPr>
              <w:t>7</w:t>
            </w:r>
          </w:p>
        </w:tc>
        <w:tc>
          <w:tcPr>
            <w:tcW w:w="708" w:type="pct"/>
            <w:shd w:val="clear" w:color="auto" w:fill="auto"/>
          </w:tcPr>
          <w:p w14:paraId="4020EC72" w14:textId="77777777" w:rsidR="009001F1" w:rsidRPr="00B10025" w:rsidRDefault="009001F1" w:rsidP="009001F1">
            <w:pPr>
              <w:spacing w:after="0"/>
              <w:contextualSpacing/>
              <w:jc w:val="left"/>
              <w:rPr>
                <w:rFonts w:ascii="Arial Narrow" w:hAnsi="Arial Narrow"/>
                <w:snapToGrid w:val="0"/>
                <w:lang w:eastAsia="en-US"/>
              </w:rPr>
            </w:pPr>
            <w:r>
              <w:rPr>
                <w:rFonts w:ascii="Arial Narrow" w:hAnsi="Arial Narrow"/>
                <w:snapToGrid w:val="0"/>
                <w:lang w:eastAsia="en-US"/>
              </w:rPr>
              <w:t>IV</w:t>
            </w:r>
          </w:p>
        </w:tc>
        <w:tc>
          <w:tcPr>
            <w:tcW w:w="628" w:type="pct"/>
            <w:shd w:val="clear" w:color="auto" w:fill="auto"/>
          </w:tcPr>
          <w:p w14:paraId="4A1B9DD7" w14:textId="77777777" w:rsidR="009001F1" w:rsidRPr="00B10025" w:rsidRDefault="009001F1" w:rsidP="009001F1">
            <w:pPr>
              <w:spacing w:after="0"/>
              <w:contextualSpacing/>
              <w:jc w:val="left"/>
              <w:rPr>
                <w:rFonts w:ascii="Arial Narrow" w:hAnsi="Arial Narrow"/>
                <w:snapToGrid w:val="0"/>
                <w:lang w:eastAsia="en-US"/>
              </w:rPr>
            </w:pPr>
            <w:r>
              <w:rPr>
                <w:rFonts w:ascii="Arial Narrow" w:hAnsi="Arial Narrow"/>
                <w:snapToGrid w:val="0"/>
                <w:lang w:eastAsia="en-US"/>
              </w:rPr>
              <w:t>Moderate</w:t>
            </w:r>
          </w:p>
        </w:tc>
        <w:tc>
          <w:tcPr>
            <w:tcW w:w="1414" w:type="pct"/>
            <w:shd w:val="clear" w:color="auto" w:fill="auto"/>
          </w:tcPr>
          <w:p w14:paraId="20832570" w14:textId="77777777" w:rsidR="009001F1" w:rsidRPr="00B10025" w:rsidRDefault="00EA58EE" w:rsidP="00EA58EE">
            <w:pPr>
              <w:spacing w:after="0"/>
              <w:contextualSpacing/>
              <w:jc w:val="left"/>
              <w:rPr>
                <w:rFonts w:ascii="Arial Narrow" w:hAnsi="Arial Narrow"/>
                <w:snapToGrid w:val="0"/>
                <w:lang w:eastAsia="en-US"/>
              </w:rPr>
            </w:pPr>
            <w:r>
              <w:rPr>
                <w:rFonts w:ascii="Arial Narrow" w:hAnsi="Arial Narrow"/>
                <w:snapToGrid w:val="0"/>
                <w:lang w:eastAsia="en-US"/>
              </w:rPr>
              <w:t>Patients with relapsing NMO</w:t>
            </w:r>
            <w:r w:rsidR="007A7C59">
              <w:rPr>
                <w:rFonts w:ascii="Arial Narrow" w:hAnsi="Arial Narrow"/>
                <w:snapToGrid w:val="0"/>
                <w:lang w:eastAsia="en-US"/>
              </w:rPr>
              <w:t xml:space="preserve"> taking rituximab</w:t>
            </w:r>
            <w:r>
              <w:rPr>
                <w:rFonts w:ascii="Arial Narrow" w:hAnsi="Arial Narrow"/>
                <w:snapToGrid w:val="0"/>
                <w:lang w:eastAsia="en-US"/>
              </w:rPr>
              <w:t>. Median age (years) 35</w:t>
            </w:r>
          </w:p>
        </w:tc>
        <w:tc>
          <w:tcPr>
            <w:tcW w:w="1151" w:type="pct"/>
            <w:shd w:val="clear" w:color="auto" w:fill="auto"/>
          </w:tcPr>
          <w:p w14:paraId="623FF57B" w14:textId="77777777" w:rsidR="009001F1" w:rsidRPr="00B10025" w:rsidRDefault="00EA58EE" w:rsidP="009001F1">
            <w:pPr>
              <w:spacing w:after="0"/>
              <w:contextualSpacing/>
              <w:jc w:val="left"/>
              <w:rPr>
                <w:rFonts w:ascii="Arial Narrow" w:hAnsi="Arial Narrow"/>
                <w:snapToGrid w:val="0"/>
                <w:lang w:eastAsia="en-US"/>
              </w:rPr>
            </w:pPr>
            <w:r>
              <w:rPr>
                <w:rFonts w:ascii="Arial Narrow" w:hAnsi="Arial Narrow"/>
                <w:snapToGrid w:val="0"/>
                <w:lang w:eastAsia="en-US"/>
              </w:rPr>
              <w:t>Correlation between AQP4-Ab titre and disease activity</w:t>
            </w:r>
            <w:r w:rsidR="00133BDF">
              <w:rPr>
                <w:rFonts w:ascii="Arial Narrow" w:hAnsi="Arial Narrow"/>
                <w:snapToGrid w:val="0"/>
                <w:lang w:eastAsia="en-US"/>
              </w:rPr>
              <w:t xml:space="preserve"> (relapse</w:t>
            </w:r>
            <w:r w:rsidR="00133BDF">
              <w:rPr>
                <w:rFonts w:ascii="Arial Narrow" w:hAnsi="Arial Narrow"/>
                <w:snapToGrid w:val="0"/>
                <w:vertAlign w:val="superscript"/>
                <w:lang w:eastAsia="en-US"/>
              </w:rPr>
              <w:t>d</w:t>
            </w:r>
            <w:r w:rsidR="00133BDF">
              <w:rPr>
                <w:rFonts w:ascii="Arial Narrow" w:hAnsi="Arial Narrow"/>
                <w:snapToGrid w:val="0"/>
                <w:lang w:eastAsia="en-US"/>
              </w:rPr>
              <w:t xml:space="preserve"> and remission)</w:t>
            </w:r>
          </w:p>
        </w:tc>
      </w:tr>
    </w:tbl>
    <w:p w14:paraId="40FBAEB7" w14:textId="2F9299E1" w:rsidR="00B10025" w:rsidRPr="00B10025" w:rsidRDefault="00B10025" w:rsidP="00B10025">
      <w:pPr>
        <w:widowControl w:val="0"/>
        <w:spacing w:after="120" w:line="240" w:lineRule="auto"/>
        <w:contextualSpacing/>
        <w:jc w:val="left"/>
        <w:rPr>
          <w:rFonts w:ascii="Arial Narrow" w:hAnsi="Arial Narrow" w:cs="Arial"/>
          <w:snapToGrid w:val="0"/>
          <w:sz w:val="18"/>
          <w:szCs w:val="20"/>
          <w:lang w:eastAsia="en-US"/>
        </w:rPr>
      </w:pPr>
      <w:r w:rsidRPr="00B10025">
        <w:rPr>
          <w:rFonts w:ascii="Arial Narrow" w:hAnsi="Arial Narrow" w:cs="Arial"/>
          <w:snapToGrid w:val="0"/>
          <w:sz w:val="18"/>
          <w:szCs w:val="20"/>
          <w:lang w:eastAsia="en-US"/>
        </w:rPr>
        <w:t xml:space="preserve">AQP4-Abs = aquaporin 4 antibodies; </w:t>
      </w:r>
      <w:r w:rsidR="001D700E">
        <w:rPr>
          <w:rFonts w:ascii="Arial Narrow" w:hAnsi="Arial Narrow" w:cs="Arial"/>
          <w:snapToGrid w:val="0"/>
          <w:sz w:val="18"/>
          <w:szCs w:val="20"/>
          <w:lang w:eastAsia="en-US"/>
        </w:rPr>
        <w:t xml:space="preserve">NMO = neuromyelitis optica; </w:t>
      </w:r>
      <w:r w:rsidR="007F0FFB">
        <w:rPr>
          <w:rFonts w:ascii="Arial Narrow" w:hAnsi="Arial Narrow" w:cs="Arial"/>
          <w:snapToGrid w:val="0"/>
          <w:sz w:val="18"/>
          <w:szCs w:val="20"/>
          <w:lang w:eastAsia="en-US"/>
        </w:rPr>
        <w:t xml:space="preserve">NMOSD = neuromyelitis </w:t>
      </w:r>
      <w:r w:rsidRPr="00B10025">
        <w:rPr>
          <w:rFonts w:ascii="Arial Narrow" w:hAnsi="Arial Narrow" w:cs="Arial"/>
          <w:snapToGrid w:val="0"/>
          <w:sz w:val="18"/>
          <w:szCs w:val="20"/>
          <w:lang w:eastAsia="en-US"/>
        </w:rPr>
        <w:t>optica spectrum disorders</w:t>
      </w:r>
    </w:p>
    <w:p w14:paraId="126A73EE" w14:textId="77777777" w:rsidR="00B10025" w:rsidRPr="00B10025" w:rsidRDefault="00B10025" w:rsidP="00B10025">
      <w:pPr>
        <w:widowControl w:val="0"/>
        <w:spacing w:after="120" w:line="240" w:lineRule="auto"/>
        <w:contextualSpacing/>
        <w:jc w:val="left"/>
        <w:rPr>
          <w:rFonts w:ascii="Arial Narrow" w:hAnsi="Arial Narrow" w:cs="Arial"/>
          <w:snapToGrid w:val="0"/>
          <w:sz w:val="18"/>
          <w:szCs w:val="20"/>
          <w:lang w:eastAsia="en-US"/>
        </w:rPr>
      </w:pPr>
      <w:r w:rsidRPr="00B10025">
        <w:rPr>
          <w:rFonts w:ascii="Arial Narrow" w:hAnsi="Arial Narrow" w:cs="Arial"/>
          <w:snapToGrid w:val="0"/>
          <w:sz w:val="18"/>
          <w:szCs w:val="20"/>
          <w:vertAlign w:val="superscript"/>
          <w:lang w:eastAsia="en-US"/>
        </w:rPr>
        <w:t xml:space="preserve">a </w:t>
      </w:r>
      <w:r w:rsidRPr="00B10025">
        <w:rPr>
          <w:rFonts w:ascii="Arial Narrow" w:hAnsi="Arial Narrow" w:cs="Arial"/>
          <w:snapToGrid w:val="0"/>
          <w:sz w:val="18"/>
          <w:szCs w:val="20"/>
          <w:lang w:eastAsia="en-US"/>
        </w:rPr>
        <w:t xml:space="preserve">relapse defined as a new neurological symptoms and signs lasting &gt; 24 hours with or without a responsible lesion on gadolinium enhancing magnetic resonance imaging (MRI) </w:t>
      </w:r>
    </w:p>
    <w:p w14:paraId="18EE35F3" w14:textId="77777777" w:rsidR="00B10025" w:rsidRPr="00B10025" w:rsidRDefault="00B10025" w:rsidP="00B10025">
      <w:pPr>
        <w:widowControl w:val="0"/>
        <w:spacing w:after="120" w:line="240" w:lineRule="auto"/>
        <w:contextualSpacing/>
        <w:jc w:val="left"/>
        <w:rPr>
          <w:rFonts w:ascii="Arial Narrow" w:hAnsi="Arial Narrow" w:cs="Arial"/>
          <w:snapToGrid w:val="0"/>
          <w:sz w:val="18"/>
          <w:szCs w:val="20"/>
          <w:lang w:eastAsia="en-US"/>
        </w:rPr>
      </w:pPr>
      <w:r w:rsidRPr="00B10025">
        <w:rPr>
          <w:rFonts w:ascii="Arial Narrow" w:hAnsi="Arial Narrow" w:cs="Arial"/>
          <w:snapToGrid w:val="0"/>
          <w:sz w:val="18"/>
          <w:szCs w:val="20"/>
          <w:vertAlign w:val="superscript"/>
          <w:lang w:eastAsia="en-US"/>
        </w:rPr>
        <w:t xml:space="preserve">b </w:t>
      </w:r>
      <w:r w:rsidRPr="00B10025">
        <w:rPr>
          <w:rFonts w:ascii="Arial Narrow" w:hAnsi="Arial Narrow" w:cs="Arial"/>
          <w:snapToGrid w:val="0"/>
          <w:sz w:val="18"/>
          <w:szCs w:val="20"/>
          <w:lang w:eastAsia="en-US"/>
        </w:rPr>
        <w:t>a low titre of AQP4-Ab was defined as the titre in the serum &lt;1:64 or no detectable level</w:t>
      </w:r>
    </w:p>
    <w:p w14:paraId="05985F82" w14:textId="77777777" w:rsidR="00133BDF" w:rsidRDefault="00B10025" w:rsidP="00B10025">
      <w:pPr>
        <w:widowControl w:val="0"/>
        <w:spacing w:after="120" w:line="240" w:lineRule="auto"/>
        <w:contextualSpacing/>
        <w:jc w:val="left"/>
        <w:rPr>
          <w:rFonts w:ascii="Arial Narrow" w:hAnsi="Arial Narrow" w:cs="Arial"/>
          <w:snapToGrid w:val="0"/>
          <w:sz w:val="18"/>
          <w:szCs w:val="20"/>
          <w:lang w:eastAsia="en-US"/>
        </w:rPr>
      </w:pPr>
      <w:r w:rsidRPr="00B10025">
        <w:rPr>
          <w:rFonts w:ascii="Arial Narrow" w:hAnsi="Arial Narrow" w:cs="Arial"/>
          <w:snapToGrid w:val="0"/>
          <w:sz w:val="18"/>
          <w:szCs w:val="20"/>
          <w:vertAlign w:val="superscript"/>
          <w:lang w:eastAsia="en-US"/>
        </w:rPr>
        <w:t xml:space="preserve">c </w:t>
      </w:r>
      <w:r w:rsidRPr="00B10025">
        <w:rPr>
          <w:rFonts w:ascii="Arial Narrow" w:hAnsi="Arial Narrow" w:cs="Arial"/>
          <w:snapToGrid w:val="0"/>
          <w:sz w:val="18"/>
          <w:szCs w:val="20"/>
          <w:lang w:eastAsia="en-US"/>
        </w:rPr>
        <w:t xml:space="preserve">a high titre of AQP4-Ab was defined as the titre in the serum ≥ 1:64 </w:t>
      </w:r>
    </w:p>
    <w:p w14:paraId="4194A27E" w14:textId="50AFCF7C" w:rsidR="00B10025" w:rsidRDefault="00133BDF" w:rsidP="00B10025">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 xml:space="preserve">d </w:t>
      </w:r>
      <w:r>
        <w:rPr>
          <w:rFonts w:ascii="Arial Narrow" w:hAnsi="Arial Narrow" w:cs="Arial"/>
          <w:snapToGrid w:val="0"/>
          <w:sz w:val="18"/>
          <w:szCs w:val="20"/>
          <w:lang w:eastAsia="en-US"/>
        </w:rPr>
        <w:t>relapse defined as patient reported or objectively observed events typical of an acute inflammatory demyelinating event in the central nervous system, with duration of at least 24 hours in the absence of fever or infection, documented by contemporaneous neurologic examination</w:t>
      </w:r>
    </w:p>
    <w:p w14:paraId="12EE7AF5" w14:textId="77777777" w:rsidR="007F0FFB" w:rsidRPr="00B10025" w:rsidRDefault="007F0FFB" w:rsidP="007F0FFB">
      <w:pPr>
        <w:pStyle w:val="Tablenotes0"/>
      </w:pPr>
    </w:p>
    <w:p w14:paraId="423BFF66" w14:textId="5D26A1E2" w:rsidR="00043567" w:rsidRPr="00B10025" w:rsidRDefault="00043567" w:rsidP="00D20E56">
      <w:r>
        <w:t>The ret</w:t>
      </w:r>
      <w:r w:rsidRPr="00B10025">
        <w:t xml:space="preserve">rospective cohort study </w:t>
      </w:r>
      <w:r w:rsidR="00156621">
        <w:fldChar w:fldCharType="begin">
          <w:fldData xml:space="preserve">PEVuZE5vdGU+PENpdGU+PEF1dGhvcj5DaGVuPC9BdXRob3I+PFllYXI+MjAxNzwvWWVhcj48UmVj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</w:fldData>
        </w:fldChar>
      </w:r>
      <w:r w:rsidR="00557788">
        <w:instrText xml:space="preserve"> ADDIN EN.CITE </w:instrText>
      </w:r>
      <w:r w:rsidR="00557788">
        <w:fldChar w:fldCharType="begin">
          <w:fldData xml:space="preserve">PEVuZE5vdGU+PENpdGU+PEF1dGhvcj5DaGVuPC9BdXRob3I+PFllYXI+MjAxNzwvWWVhcj48UmVj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</w:fldData>
        </w:fldChar>
      </w:r>
      <w:r w:rsidR="00557788">
        <w:instrText xml:space="preserve"> ADDIN EN.CITE.DATA </w:instrText>
      </w:r>
      <w:r w:rsidR="00557788">
        <w:fldChar w:fldCharType="end"/>
      </w:r>
      <w:r w:rsidR="00156621">
        <w:fldChar w:fldCharType="separate"/>
      </w:r>
      <w:r w:rsidR="004A614C">
        <w:rPr>
          <w:noProof/>
        </w:rPr>
        <w:t>(Chen</w:t>
      </w:r>
      <w:r w:rsidR="00557788">
        <w:rPr>
          <w:noProof/>
        </w:rPr>
        <w:t xml:space="preserve"> et al. 2017)</w:t>
      </w:r>
      <w:r w:rsidR="00156621">
        <w:fldChar w:fldCharType="end"/>
      </w:r>
      <w:r w:rsidR="004503F3">
        <w:t xml:space="preserve"> </w:t>
      </w:r>
      <w:r w:rsidRPr="00B10025">
        <w:t>reported an association between serum titres of AQP4-Abs and probability of relapses in those with NMOSD. Included patients were recruited from a single medical centre in China, and were receiving tacrolimus immunosuppressant treatment. A relapse was defined as new neurological symptoms and signs lasting &gt;24 hours</w:t>
      </w:r>
      <w:r w:rsidR="008966F7">
        <w:t>,</w:t>
      </w:r>
      <w:r w:rsidRPr="00B10025">
        <w:t xml:space="preserve"> with or without a responsible lesion on gadolinium</w:t>
      </w:r>
      <w:r w:rsidR="008966F7">
        <w:t>-</w:t>
      </w:r>
      <w:r w:rsidRPr="00B10025">
        <w:t xml:space="preserve">enhancing MRI. A high AQP4-Ab titre was defined as </w:t>
      </w:r>
      <w:r w:rsidRPr="00B10025">
        <w:rPr>
          <w:rFonts w:cs="Calibri"/>
        </w:rPr>
        <w:t>≥</w:t>
      </w:r>
      <w:r w:rsidRPr="00B10025">
        <w:t xml:space="preserve">1:64 and a low titre as &lt;1:64 or no detectable AQP4-Abs. The study did not state </w:t>
      </w:r>
      <w:r w:rsidR="002E352E">
        <w:t>why those particular titres were chosen as the cut-offs for high and low</w:t>
      </w:r>
      <w:r w:rsidR="00FC46CB">
        <w:t xml:space="preserve">, </w:t>
      </w:r>
      <w:r w:rsidR="00C15223">
        <w:t>and so it is difficult to determine how effective they would be in the context of monitoring disease status.</w:t>
      </w:r>
      <w:r w:rsidRPr="00B10025">
        <w:t xml:space="preserve"> </w:t>
      </w:r>
    </w:p>
    <w:p w14:paraId="53CCDC85" w14:textId="38AD9D48" w:rsidR="00B10025" w:rsidRDefault="00043567" w:rsidP="004B21EF">
      <w:r>
        <w:t xml:space="preserve">Study results showed that the titre of AQP4-Abs </w:t>
      </w:r>
      <w:r w:rsidRPr="00B10025">
        <w:t xml:space="preserve">in the serum before tacrolimus treatment appeared to be </w:t>
      </w:r>
      <w:r w:rsidR="00DE01A7">
        <w:t xml:space="preserve">a </w:t>
      </w:r>
      <w:r w:rsidRPr="00B10025">
        <w:t>factor in predicting relapse a</w:t>
      </w:r>
      <w:r w:rsidR="00E717D2">
        <w:t>fter initiation of treatment.</w:t>
      </w:r>
      <w:r w:rsidRPr="00B10025">
        <w:t xml:space="preserve"> </w:t>
      </w:r>
      <w:r w:rsidR="00E717D2">
        <w:t>T</w:t>
      </w:r>
      <w:r w:rsidRPr="00B10025">
        <w:t xml:space="preserve">hose patients with higher AQP4-Ab titres (≥ 1:64) were more likely to relapse while undergoing tacrolimus treatment, compared to those with lower AQP4-Ab titre (&lt;1:64 or none), with a significant difference in the log-rank test (p=0.028). The influence of the AQP4-Ab titre was also shown in a univariate Cox proportional hazards regression model, where the titre status of AQP-4-Abs before tacrolimus treatment was associated with relapse </w:t>
      </w:r>
      <w:r w:rsidRPr="00B10025">
        <w:lastRenderedPageBreak/>
        <w:t>after treatment (HR 5.665; 95% CI 1.012,31.705, p = 0.048). However, multivariate analysis revealed that the difference did not reach statistical significance (p = 0.061).</w:t>
      </w:r>
    </w:p>
    <w:p w14:paraId="7534B37A" w14:textId="708C80F6" w:rsidR="006B2CE0" w:rsidRPr="00B10025" w:rsidRDefault="006B2CE0" w:rsidP="00D20E56">
      <w:r w:rsidRPr="00B10025">
        <w:t>The results of this study</w:t>
      </w:r>
      <w:r w:rsidR="00650D20">
        <w:t xml:space="preserve"> </w:t>
      </w:r>
      <w:r w:rsidR="00156621">
        <w:fldChar w:fldCharType="begin">
          <w:fldData xml:space="preserve">PEVuZE5vdGU+PENpdGU+PEF1dGhvcj5DaGVuPC9BdXRob3I+PFllYXI+MjAxNzwvWWVhcj48UmVj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</w:fldData>
        </w:fldChar>
      </w:r>
      <w:r w:rsidR="00557788">
        <w:instrText xml:space="preserve"> ADDIN EN.CITE </w:instrText>
      </w:r>
      <w:r w:rsidR="00557788">
        <w:fldChar w:fldCharType="begin">
          <w:fldData xml:space="preserve">PEVuZE5vdGU+PENpdGU+PEF1dGhvcj5DaGVuPC9BdXRob3I+PFllYXI+MjAxNzwvWWVhcj48UmVj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</w:fldData>
        </w:fldChar>
      </w:r>
      <w:r w:rsidR="00557788">
        <w:instrText xml:space="preserve"> ADDIN EN.CITE.DATA </w:instrText>
      </w:r>
      <w:r w:rsidR="00557788">
        <w:fldChar w:fldCharType="end"/>
      </w:r>
      <w:r w:rsidR="00156621">
        <w:fldChar w:fldCharType="separate"/>
      </w:r>
      <w:r w:rsidR="00665317">
        <w:rPr>
          <w:noProof/>
        </w:rPr>
        <w:t>(Chen</w:t>
      </w:r>
      <w:r w:rsidR="00557788">
        <w:rPr>
          <w:noProof/>
        </w:rPr>
        <w:t xml:space="preserve"> et al. 2017)</w:t>
      </w:r>
      <w:r w:rsidR="00156621">
        <w:fldChar w:fldCharType="end"/>
      </w:r>
      <w:r w:rsidRPr="00B10025">
        <w:t xml:space="preserve"> suggest that patients with high titres of AQP4-Abs before the commencement of treatment may have a higher risk of relapse even while receiving treatment. However, these results should be viewed with caution, as the retrospective nature of the study presents many biases particularly around patient selection and detection of outcomes. There was no information regarding number of serum samples per patient, and no indication of the error or variation associated with an antibody titre at any individual time-point. While AQP4-Ab titres may prove to be useful in predicting relapse in those with NMOSD, considerably more high quality, </w:t>
      </w:r>
      <w:r w:rsidR="00A247DA" w:rsidRPr="00B10025">
        <w:t>large-scale</w:t>
      </w:r>
      <w:r w:rsidRPr="00B10025">
        <w:t xml:space="preserve"> research is required in this field.</w:t>
      </w:r>
      <w:r w:rsidR="00D643C9">
        <w:t xml:space="preserve"> </w:t>
      </w:r>
    </w:p>
    <w:p w14:paraId="01D6555F" w14:textId="5DD8AEE6" w:rsidR="006B2CE0" w:rsidRDefault="003A4C04" w:rsidP="00D20E56">
      <w:r>
        <w:t xml:space="preserve">The case series study </w:t>
      </w:r>
      <w:r w:rsidR="00156621">
        <w:fldChar w:fldCharType="begin">
          <w:fldData xml:space="preserve">PEVuZE5vdGU+PENpdGU+PEF1dGhvcj5WYWxlbnRpbm88L0F1dGhvcj48WWVhcj4yMDE3PC9ZZWFy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</w:fldData>
        </w:fldChar>
      </w:r>
      <w:r w:rsidR="0087595F">
        <w:instrText xml:space="preserve"> ADDIN EN.CITE </w:instrText>
      </w:r>
      <w:r w:rsidR="0087595F">
        <w:fldChar w:fldCharType="begin">
          <w:fldData xml:space="preserve">PEVuZE5vdGU+PENpdGU+PEF1dGhvcj5WYWxlbnRpbm88L0F1dGhvcj48WWVhcj4yMDE3PC9ZZWFy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</w:fldData>
        </w:fldChar>
      </w:r>
      <w:r w:rsidR="0087595F">
        <w:instrText xml:space="preserve"> ADDIN EN.CITE.DATA </w:instrText>
      </w:r>
      <w:r w:rsidR="0087595F">
        <w:fldChar w:fldCharType="end"/>
      </w:r>
      <w:r w:rsidR="00156621">
        <w:fldChar w:fldCharType="separate"/>
      </w:r>
      <w:r w:rsidR="0087595F">
        <w:rPr>
          <w:noProof/>
        </w:rPr>
        <w:t>(Valentino et al. 2017)</w:t>
      </w:r>
      <w:r w:rsidR="00156621">
        <w:fldChar w:fldCharType="end"/>
      </w:r>
      <w:r>
        <w:t xml:space="preserve"> reported</w:t>
      </w:r>
      <w:r w:rsidR="001E3AE2">
        <w:t xml:space="preserve"> that</w:t>
      </w:r>
      <w:r>
        <w:t xml:space="preserve"> </w:t>
      </w:r>
      <w:r w:rsidR="00FF4CB5">
        <w:t>higher AQP4-Ab levels were observed during and preceding relapses compared to those observed during remission. Study results showed a</w:t>
      </w:r>
      <w:r>
        <w:t xml:space="preserve"> higher median AQP4-Ab </w:t>
      </w:r>
      <w:r w:rsidR="00514FC5">
        <w:t>titre</w:t>
      </w:r>
      <w:r>
        <w:t xml:space="preserve"> </w:t>
      </w:r>
      <w:r w:rsidR="00FF4CB5">
        <w:t xml:space="preserve">at onset of relapse </w:t>
      </w:r>
      <w:r>
        <w:t xml:space="preserve">(median titre 320; range 160-640; n=10 samples) </w:t>
      </w:r>
      <w:r w:rsidR="00D14B09">
        <w:t xml:space="preserve">and within three months prior to onset of relapse (median titre 320; range 0-640; n=23 samples) </w:t>
      </w:r>
      <w:r>
        <w:t>compared to samples collected d</w:t>
      </w:r>
      <w:r w:rsidR="00FF4CB5">
        <w:t>u</w:t>
      </w:r>
      <w:r>
        <w:t>ring remission (median titre 80; range 0-1,280; n=261 samples)</w:t>
      </w:r>
      <w:r w:rsidR="00FF4CB5">
        <w:t xml:space="preserve"> (p=0.0002). </w:t>
      </w:r>
      <w:r w:rsidR="00A247DA">
        <w:t>Large</w:t>
      </w:r>
      <w:r w:rsidR="001E3AE2">
        <w:t xml:space="preserve"> variability </w:t>
      </w:r>
      <w:r w:rsidR="00514FC5">
        <w:t>was observed between AQP4-Ab titres at each sample point. Addit</w:t>
      </w:r>
      <w:r w:rsidR="000B1489">
        <w:t>i</w:t>
      </w:r>
      <w:r w:rsidR="00514FC5">
        <w:t xml:space="preserve">onally, </w:t>
      </w:r>
      <w:r w:rsidR="007C0091">
        <w:t>based on individual patient data, (</w:t>
      </w:r>
      <w:r w:rsidR="005C772C">
        <w:fldChar w:fldCharType="begin"/>
      </w:r>
      <w:r w:rsidR="005C772C">
        <w:instrText xml:space="preserve"> REF _Ref31377888 \h </w:instrText>
      </w:r>
      <w:r w:rsidR="00D20E56">
        <w:instrText xml:space="preserve"> \* MERGEFORMAT </w:instrText>
      </w:r>
      <w:r w:rsidR="005C772C">
        <w:fldChar w:fldCharType="separate"/>
      </w:r>
      <w:r w:rsidR="006C49B5">
        <w:t xml:space="preserve">Table </w:t>
      </w:r>
      <w:r w:rsidR="006C49B5">
        <w:rPr>
          <w:noProof/>
        </w:rPr>
        <w:t>64</w:t>
      </w:r>
      <w:r w:rsidR="005C772C">
        <w:fldChar w:fldCharType="end"/>
      </w:r>
      <w:r w:rsidR="007C0091">
        <w:t>)</w:t>
      </w:r>
      <w:r w:rsidR="00905816">
        <w:t>, increases in AQP4-Ab levels</w:t>
      </w:r>
      <w:r w:rsidR="007C0091">
        <w:t xml:space="preserve"> did not always lead to clinical relapses</w:t>
      </w:r>
      <w:r w:rsidR="00DD122A">
        <w:t>.</w:t>
      </w:r>
      <w:r w:rsidR="00905816">
        <w:t xml:space="preserve"> </w:t>
      </w:r>
      <w:r w:rsidR="005C772C">
        <w:t xml:space="preserve"> </w:t>
      </w:r>
    </w:p>
    <w:p w14:paraId="1695CF58" w14:textId="4DCA3E1F" w:rsidR="00043567" w:rsidRPr="005C772C" w:rsidRDefault="006B2CE0" w:rsidP="00665317">
      <w:pPr>
        <w:pStyle w:val="TableHeading"/>
        <w:ind w:left="720" w:hanging="720"/>
      </w:pPr>
      <w:bookmarkStart w:id="343" w:name="_Ref31377888"/>
      <w:bookmarkStart w:id="344" w:name="_Toc39580845"/>
      <w:r>
        <w:t xml:space="preserve">Table </w:t>
      </w:r>
      <w:r w:rsidR="00E404C8">
        <w:fldChar w:fldCharType="begin"/>
      </w:r>
      <w:r w:rsidR="00E404C8">
        <w:instrText xml:space="preserve"> SEQ Table \* ARABIC </w:instrText>
      </w:r>
      <w:r w:rsidR="00E404C8">
        <w:fldChar w:fldCharType="separate"/>
      </w:r>
      <w:r w:rsidR="00FA7BCD">
        <w:rPr>
          <w:noProof/>
        </w:rPr>
        <w:t>64</w:t>
      </w:r>
      <w:r w:rsidR="00E404C8">
        <w:rPr>
          <w:noProof/>
        </w:rPr>
        <w:fldChar w:fldCharType="end"/>
      </w:r>
      <w:bookmarkEnd w:id="343"/>
      <w:r>
        <w:t xml:space="preserve"> </w:t>
      </w:r>
      <w:r>
        <w:tab/>
        <w:t>Individual patient data on association between AQP4-Abs increase and clinical relapses</w:t>
      </w:r>
      <w:r w:rsidR="005C772C">
        <w:rPr>
          <w:vertAlign w:val="superscript"/>
        </w:rPr>
        <w:t xml:space="preserve"> </w:t>
      </w:r>
      <w:r w:rsidR="00156621">
        <w:fldChar w:fldCharType="begin">
          <w:fldData xml:space="preserve">PEVuZE5vdGU+PENpdGU+PEF1dGhvcj5WYWxlbnRpbm88L0F1dGhvcj48WWVhcj4yMDE3PC9ZZWFy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</w:fldData>
        </w:fldChar>
      </w:r>
      <w:r w:rsidR="0087595F">
        <w:instrText xml:space="preserve"> ADDIN EN.CITE </w:instrText>
      </w:r>
      <w:r w:rsidR="0087595F">
        <w:fldChar w:fldCharType="begin">
          <w:fldData xml:space="preserve">PEVuZE5vdGU+PENpdGU+PEF1dGhvcj5WYWxlbnRpbm88L0F1dGhvcj48WWVhcj4yMDE3PC9ZZWFy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</w:fldData>
        </w:fldChar>
      </w:r>
      <w:r w:rsidR="0087595F">
        <w:instrText xml:space="preserve"> ADDIN EN.CITE.DATA </w:instrText>
      </w:r>
      <w:r w:rsidR="0087595F">
        <w:fldChar w:fldCharType="end"/>
      </w:r>
      <w:r w:rsidR="00156621">
        <w:fldChar w:fldCharType="separate"/>
      </w:r>
      <w:r w:rsidR="0087595F">
        <w:rPr>
          <w:noProof/>
        </w:rPr>
        <w:t>(Valentino et al. 2017)</w:t>
      </w:r>
      <w:bookmarkEnd w:id="344"/>
      <w:r w:rsidR="00156621">
        <w:fldChar w:fldCharType="end"/>
      </w:r>
    </w:p>
    <w:tbl>
      <w:tblPr>
        <w:tblStyle w:val="TableGrid1"/>
        <w:tblW w:w="5000" w:type="pct"/>
        <w:tblCellMar>
          <w:left w:w="28" w:type="dxa"/>
          <w:right w:w="28" w:type="dxa"/>
        </w:tblCellMar>
        <w:tblLook w:val="04A0" w:firstRow="1" w:lastRow="0" w:firstColumn="1" w:lastColumn="0" w:noHBand="0" w:noVBand="1"/>
        <w:tblCaption w:val="Table 64  Individual patient data on association between AQP4-Abs increase and clinical relapses (Valentino et al. 2017a)"/>
        <w:tblDescription w:val="Individual patients data reported on the number of relapses and the AQP4-Ab titre"/>
      </w:tblPr>
      <w:tblGrid>
        <w:gridCol w:w="3084"/>
        <w:gridCol w:w="1590"/>
        <w:gridCol w:w="4342"/>
      </w:tblGrid>
      <w:tr w:rsidR="005C772C" w:rsidRPr="00B10025" w14:paraId="5A783290" w14:textId="77777777" w:rsidTr="005C772C">
        <w:trPr>
          <w:cnfStyle w:val="100000000000" w:firstRow="1" w:lastRow="0" w:firstColumn="0" w:lastColumn="0" w:oddVBand="0" w:evenVBand="0" w:oddHBand="0" w:evenHBand="0" w:firstRowFirstColumn="0" w:firstRowLastColumn="0" w:lastRowFirstColumn="0" w:lastRowLastColumn="0"/>
          <w:tblHeader/>
        </w:trPr>
        <w:tc>
          <w:tcPr>
            <w:tcW w:w="1710" w:type="pct"/>
            <w:shd w:val="clear" w:color="auto" w:fill="auto"/>
            <w:vAlign w:val="center"/>
          </w:tcPr>
          <w:p w14:paraId="0C400E6F" w14:textId="77777777" w:rsidR="005C772C" w:rsidRPr="00B10025" w:rsidRDefault="005C772C" w:rsidP="0092564D">
            <w:pPr>
              <w:keepNext/>
              <w:spacing w:after="0"/>
              <w:contextualSpacing/>
              <w:jc w:val="left"/>
              <w:rPr>
                <w:rFonts w:ascii="Arial Narrow" w:hAnsi="Arial Narrow"/>
                <w:b/>
                <w:snapToGrid w:val="0"/>
                <w:lang w:eastAsia="en-US"/>
              </w:rPr>
            </w:pPr>
            <w:r>
              <w:rPr>
                <w:rFonts w:ascii="Arial Narrow" w:hAnsi="Arial Narrow"/>
                <w:b/>
                <w:snapToGrid w:val="0"/>
                <w:lang w:eastAsia="en-US"/>
              </w:rPr>
              <w:t>Patients</w:t>
            </w:r>
          </w:p>
        </w:tc>
        <w:tc>
          <w:tcPr>
            <w:tcW w:w="882" w:type="pct"/>
            <w:shd w:val="clear" w:color="auto" w:fill="auto"/>
            <w:vAlign w:val="center"/>
          </w:tcPr>
          <w:p w14:paraId="107669EE" w14:textId="77777777" w:rsidR="005C772C" w:rsidRPr="00B10025" w:rsidRDefault="005C772C" w:rsidP="005C772C">
            <w:pPr>
              <w:keepNext/>
              <w:spacing w:after="0"/>
              <w:contextualSpacing/>
              <w:jc w:val="left"/>
              <w:rPr>
                <w:rFonts w:ascii="Arial Narrow" w:hAnsi="Arial Narrow"/>
                <w:b/>
                <w:snapToGrid w:val="0"/>
                <w:lang w:eastAsia="en-US"/>
              </w:rPr>
            </w:pPr>
            <w:r>
              <w:rPr>
                <w:rFonts w:ascii="Arial Narrow" w:hAnsi="Arial Narrow"/>
                <w:b/>
                <w:snapToGrid w:val="0"/>
                <w:lang w:eastAsia="en-US"/>
              </w:rPr>
              <w:t>Total relapses</w:t>
            </w:r>
            <w:r>
              <w:rPr>
                <w:rFonts w:ascii="Arial Narrow" w:hAnsi="Arial Narrow"/>
                <w:b/>
                <w:snapToGrid w:val="0"/>
                <w:vertAlign w:val="superscript"/>
                <w:lang w:eastAsia="en-US"/>
              </w:rPr>
              <w:t>a</w:t>
            </w:r>
            <w:r>
              <w:rPr>
                <w:rFonts w:ascii="Arial Narrow" w:hAnsi="Arial Narrow"/>
                <w:b/>
                <w:snapToGrid w:val="0"/>
                <w:lang w:eastAsia="en-US"/>
              </w:rPr>
              <w:t xml:space="preserve"> (n)</w:t>
            </w:r>
          </w:p>
        </w:tc>
        <w:tc>
          <w:tcPr>
            <w:tcW w:w="2408" w:type="pct"/>
            <w:shd w:val="clear" w:color="auto" w:fill="auto"/>
            <w:vAlign w:val="center"/>
          </w:tcPr>
          <w:p w14:paraId="29CA8C61" w14:textId="77777777" w:rsidR="005C772C" w:rsidRPr="005C772C" w:rsidRDefault="005C772C" w:rsidP="0092564D">
            <w:pPr>
              <w:keepNext/>
              <w:spacing w:after="0"/>
              <w:contextualSpacing/>
              <w:jc w:val="left"/>
              <w:rPr>
                <w:rFonts w:ascii="Arial Narrow" w:hAnsi="Arial Narrow"/>
                <w:b/>
                <w:snapToGrid w:val="0"/>
                <w:vertAlign w:val="superscript"/>
                <w:lang w:eastAsia="en-US"/>
              </w:rPr>
            </w:pPr>
            <w:r>
              <w:rPr>
                <w:rFonts w:ascii="Arial Narrow" w:hAnsi="Arial Narrow"/>
                <w:b/>
                <w:snapToGrid w:val="0"/>
                <w:lang w:eastAsia="en-US"/>
              </w:rPr>
              <w:t>Number of times AQP4-Ab increased/n relapses (%)</w:t>
            </w:r>
            <w:r>
              <w:rPr>
                <w:rFonts w:ascii="Arial Narrow" w:hAnsi="Arial Narrow"/>
                <w:b/>
                <w:snapToGrid w:val="0"/>
                <w:vertAlign w:val="superscript"/>
                <w:lang w:eastAsia="en-US"/>
              </w:rPr>
              <w:t>b</w:t>
            </w:r>
          </w:p>
        </w:tc>
      </w:tr>
      <w:tr w:rsidR="005C772C" w:rsidRPr="00B10025" w14:paraId="57745B67" w14:textId="77777777" w:rsidTr="005C772C">
        <w:tc>
          <w:tcPr>
            <w:tcW w:w="1710" w:type="pct"/>
            <w:shd w:val="clear" w:color="auto" w:fill="auto"/>
          </w:tcPr>
          <w:p w14:paraId="5038A989" w14:textId="77777777" w:rsidR="005C772C" w:rsidRPr="00B10025" w:rsidRDefault="005C772C" w:rsidP="005C772C">
            <w:pPr>
              <w:spacing w:after="0"/>
              <w:contextualSpacing/>
              <w:jc w:val="left"/>
              <w:rPr>
                <w:rFonts w:ascii="Arial Narrow" w:hAnsi="Arial Narrow"/>
                <w:snapToGrid w:val="0"/>
                <w:lang w:eastAsia="en-US"/>
              </w:rPr>
            </w:pPr>
            <w:r>
              <w:rPr>
                <w:rFonts w:ascii="Arial Narrow" w:hAnsi="Arial Narrow"/>
                <w:snapToGrid w:val="0"/>
                <w:lang w:eastAsia="en-US"/>
              </w:rPr>
              <w:t>All patients (N=7)</w:t>
            </w:r>
          </w:p>
        </w:tc>
        <w:tc>
          <w:tcPr>
            <w:tcW w:w="882" w:type="pct"/>
            <w:shd w:val="clear" w:color="auto" w:fill="auto"/>
          </w:tcPr>
          <w:p w14:paraId="28CCC3D7" w14:textId="77777777" w:rsidR="005C772C" w:rsidRPr="00B10025" w:rsidRDefault="005C772C" w:rsidP="0085261F">
            <w:pPr>
              <w:spacing w:after="0"/>
              <w:contextualSpacing/>
              <w:jc w:val="center"/>
              <w:rPr>
                <w:rFonts w:ascii="Arial Narrow" w:hAnsi="Arial Narrow"/>
                <w:snapToGrid w:val="0"/>
                <w:lang w:eastAsia="en-US"/>
              </w:rPr>
            </w:pPr>
            <w:r>
              <w:rPr>
                <w:rFonts w:ascii="Arial Narrow" w:hAnsi="Arial Narrow"/>
                <w:snapToGrid w:val="0"/>
                <w:lang w:eastAsia="en-US"/>
              </w:rPr>
              <w:t>12</w:t>
            </w:r>
          </w:p>
        </w:tc>
        <w:tc>
          <w:tcPr>
            <w:tcW w:w="2408" w:type="pct"/>
            <w:shd w:val="clear" w:color="auto" w:fill="auto"/>
          </w:tcPr>
          <w:p w14:paraId="5281C521" w14:textId="77777777" w:rsidR="005C772C" w:rsidRPr="00B10025" w:rsidRDefault="005C772C" w:rsidP="0085261F">
            <w:pPr>
              <w:spacing w:after="0"/>
              <w:contextualSpacing/>
              <w:jc w:val="center"/>
              <w:rPr>
                <w:rFonts w:ascii="Arial Narrow" w:hAnsi="Arial Narrow"/>
                <w:snapToGrid w:val="0"/>
                <w:lang w:eastAsia="en-US"/>
              </w:rPr>
            </w:pPr>
            <w:r>
              <w:rPr>
                <w:rFonts w:ascii="Arial Narrow" w:hAnsi="Arial Narrow"/>
                <w:snapToGrid w:val="0"/>
                <w:lang w:eastAsia="en-US"/>
              </w:rPr>
              <w:t>5/11 (45)</w:t>
            </w:r>
          </w:p>
        </w:tc>
      </w:tr>
      <w:tr w:rsidR="005C772C" w:rsidRPr="00B10025" w14:paraId="3E3D67C4" w14:textId="77777777" w:rsidTr="005C772C">
        <w:tc>
          <w:tcPr>
            <w:tcW w:w="1710" w:type="pct"/>
            <w:shd w:val="clear" w:color="auto" w:fill="auto"/>
          </w:tcPr>
          <w:p w14:paraId="25E36526" w14:textId="77777777" w:rsidR="005C772C" w:rsidRPr="00B10025" w:rsidRDefault="0085261F" w:rsidP="0092564D">
            <w:pPr>
              <w:spacing w:after="0"/>
              <w:contextualSpacing/>
              <w:jc w:val="left"/>
              <w:rPr>
                <w:rFonts w:ascii="Arial Narrow" w:hAnsi="Arial Narrow"/>
                <w:snapToGrid w:val="0"/>
                <w:lang w:eastAsia="en-US"/>
              </w:rPr>
            </w:pPr>
            <w:r>
              <w:rPr>
                <w:rFonts w:ascii="Arial Narrow" w:hAnsi="Arial Narrow"/>
                <w:snapToGrid w:val="0"/>
                <w:lang w:eastAsia="en-US"/>
              </w:rPr>
              <w:t>Patient 1</w:t>
            </w:r>
          </w:p>
        </w:tc>
        <w:tc>
          <w:tcPr>
            <w:tcW w:w="882" w:type="pct"/>
            <w:shd w:val="clear" w:color="auto" w:fill="auto"/>
          </w:tcPr>
          <w:p w14:paraId="1FAC1768" w14:textId="77777777" w:rsidR="005C772C" w:rsidRPr="00B10025"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3</w:t>
            </w:r>
          </w:p>
        </w:tc>
        <w:tc>
          <w:tcPr>
            <w:tcW w:w="2408" w:type="pct"/>
            <w:shd w:val="clear" w:color="auto" w:fill="auto"/>
          </w:tcPr>
          <w:p w14:paraId="280AB7E4" w14:textId="77777777" w:rsidR="005C772C" w:rsidRPr="00B10025"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2/3 (67)</w:t>
            </w:r>
          </w:p>
        </w:tc>
      </w:tr>
      <w:tr w:rsidR="0085261F" w:rsidRPr="00B10025" w14:paraId="3F5AF798" w14:textId="77777777" w:rsidTr="005C772C">
        <w:tc>
          <w:tcPr>
            <w:tcW w:w="1710" w:type="pct"/>
            <w:shd w:val="clear" w:color="auto" w:fill="auto"/>
          </w:tcPr>
          <w:p w14:paraId="54C29E0C" w14:textId="77777777" w:rsidR="0085261F" w:rsidRDefault="0085261F" w:rsidP="0092564D">
            <w:pPr>
              <w:spacing w:after="0"/>
              <w:contextualSpacing/>
              <w:jc w:val="left"/>
              <w:rPr>
                <w:rFonts w:ascii="Arial Narrow" w:hAnsi="Arial Narrow"/>
                <w:snapToGrid w:val="0"/>
                <w:lang w:eastAsia="en-US"/>
              </w:rPr>
            </w:pPr>
            <w:r>
              <w:rPr>
                <w:rFonts w:ascii="Arial Narrow" w:hAnsi="Arial Narrow"/>
                <w:snapToGrid w:val="0"/>
                <w:lang w:eastAsia="en-US"/>
              </w:rPr>
              <w:t>Patient 2</w:t>
            </w:r>
          </w:p>
        </w:tc>
        <w:tc>
          <w:tcPr>
            <w:tcW w:w="882" w:type="pct"/>
            <w:shd w:val="clear" w:color="auto" w:fill="auto"/>
          </w:tcPr>
          <w:p w14:paraId="49361604"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1</w:t>
            </w:r>
          </w:p>
        </w:tc>
        <w:tc>
          <w:tcPr>
            <w:tcW w:w="2408" w:type="pct"/>
            <w:shd w:val="clear" w:color="auto" w:fill="auto"/>
          </w:tcPr>
          <w:p w14:paraId="3AF76142"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1/1 (100)</w:t>
            </w:r>
          </w:p>
        </w:tc>
      </w:tr>
      <w:tr w:rsidR="0085261F" w:rsidRPr="00B10025" w14:paraId="3220FD89" w14:textId="77777777" w:rsidTr="005C772C">
        <w:tc>
          <w:tcPr>
            <w:tcW w:w="1710" w:type="pct"/>
            <w:shd w:val="clear" w:color="auto" w:fill="auto"/>
          </w:tcPr>
          <w:p w14:paraId="1FD95B29" w14:textId="77777777" w:rsidR="0085261F" w:rsidRDefault="0085261F" w:rsidP="0092564D">
            <w:pPr>
              <w:spacing w:after="0"/>
              <w:contextualSpacing/>
              <w:jc w:val="left"/>
              <w:rPr>
                <w:rFonts w:ascii="Arial Narrow" w:hAnsi="Arial Narrow"/>
                <w:snapToGrid w:val="0"/>
                <w:lang w:eastAsia="en-US"/>
              </w:rPr>
            </w:pPr>
            <w:r>
              <w:rPr>
                <w:rFonts w:ascii="Arial Narrow" w:hAnsi="Arial Narrow"/>
                <w:snapToGrid w:val="0"/>
                <w:lang w:eastAsia="en-US"/>
              </w:rPr>
              <w:t>Patient 3</w:t>
            </w:r>
          </w:p>
        </w:tc>
        <w:tc>
          <w:tcPr>
            <w:tcW w:w="882" w:type="pct"/>
            <w:shd w:val="clear" w:color="auto" w:fill="auto"/>
          </w:tcPr>
          <w:p w14:paraId="708AFEAC"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0</w:t>
            </w:r>
          </w:p>
        </w:tc>
        <w:tc>
          <w:tcPr>
            <w:tcW w:w="2408" w:type="pct"/>
            <w:shd w:val="clear" w:color="auto" w:fill="auto"/>
          </w:tcPr>
          <w:p w14:paraId="1F58F0F7"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w:t>
            </w:r>
          </w:p>
        </w:tc>
      </w:tr>
      <w:tr w:rsidR="0085261F" w:rsidRPr="00B10025" w14:paraId="7A9217ED" w14:textId="77777777" w:rsidTr="005C772C">
        <w:tc>
          <w:tcPr>
            <w:tcW w:w="1710" w:type="pct"/>
            <w:shd w:val="clear" w:color="auto" w:fill="auto"/>
          </w:tcPr>
          <w:p w14:paraId="36AB4763" w14:textId="77777777" w:rsidR="0085261F" w:rsidRDefault="0085261F" w:rsidP="0092564D">
            <w:pPr>
              <w:spacing w:after="0"/>
              <w:contextualSpacing/>
              <w:jc w:val="left"/>
              <w:rPr>
                <w:rFonts w:ascii="Arial Narrow" w:hAnsi="Arial Narrow"/>
                <w:snapToGrid w:val="0"/>
                <w:lang w:eastAsia="en-US"/>
              </w:rPr>
            </w:pPr>
            <w:r>
              <w:rPr>
                <w:rFonts w:ascii="Arial Narrow" w:hAnsi="Arial Narrow"/>
                <w:snapToGrid w:val="0"/>
                <w:lang w:eastAsia="en-US"/>
              </w:rPr>
              <w:t>Patient 4</w:t>
            </w:r>
          </w:p>
        </w:tc>
        <w:tc>
          <w:tcPr>
            <w:tcW w:w="882" w:type="pct"/>
            <w:shd w:val="clear" w:color="auto" w:fill="auto"/>
          </w:tcPr>
          <w:p w14:paraId="63DE79E7"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2</w:t>
            </w:r>
          </w:p>
        </w:tc>
        <w:tc>
          <w:tcPr>
            <w:tcW w:w="2408" w:type="pct"/>
            <w:shd w:val="clear" w:color="auto" w:fill="auto"/>
          </w:tcPr>
          <w:p w14:paraId="68F7840F"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1/2 (50)</w:t>
            </w:r>
          </w:p>
        </w:tc>
      </w:tr>
      <w:tr w:rsidR="0085261F" w:rsidRPr="00B10025" w14:paraId="606164A8" w14:textId="77777777" w:rsidTr="005C772C">
        <w:tc>
          <w:tcPr>
            <w:tcW w:w="1710" w:type="pct"/>
            <w:shd w:val="clear" w:color="auto" w:fill="auto"/>
          </w:tcPr>
          <w:p w14:paraId="51ACCF31" w14:textId="77777777" w:rsidR="0085261F" w:rsidRDefault="0085261F" w:rsidP="0092564D">
            <w:pPr>
              <w:spacing w:after="0"/>
              <w:contextualSpacing/>
              <w:jc w:val="left"/>
              <w:rPr>
                <w:rFonts w:ascii="Arial Narrow" w:hAnsi="Arial Narrow"/>
                <w:snapToGrid w:val="0"/>
                <w:lang w:eastAsia="en-US"/>
              </w:rPr>
            </w:pPr>
            <w:r>
              <w:rPr>
                <w:rFonts w:ascii="Arial Narrow" w:hAnsi="Arial Narrow"/>
                <w:snapToGrid w:val="0"/>
                <w:lang w:eastAsia="en-US"/>
              </w:rPr>
              <w:t>Patient 5</w:t>
            </w:r>
          </w:p>
        </w:tc>
        <w:tc>
          <w:tcPr>
            <w:tcW w:w="882" w:type="pct"/>
            <w:shd w:val="clear" w:color="auto" w:fill="auto"/>
          </w:tcPr>
          <w:p w14:paraId="6D955A72"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5</w:t>
            </w:r>
          </w:p>
        </w:tc>
        <w:tc>
          <w:tcPr>
            <w:tcW w:w="2408" w:type="pct"/>
            <w:shd w:val="clear" w:color="auto" w:fill="auto"/>
          </w:tcPr>
          <w:p w14:paraId="15BBCAD7"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1/5 (20)</w:t>
            </w:r>
          </w:p>
        </w:tc>
      </w:tr>
      <w:tr w:rsidR="0085261F" w:rsidRPr="00B10025" w14:paraId="649EB5FE" w14:textId="77777777" w:rsidTr="005C772C">
        <w:tc>
          <w:tcPr>
            <w:tcW w:w="1710" w:type="pct"/>
            <w:shd w:val="clear" w:color="auto" w:fill="auto"/>
          </w:tcPr>
          <w:p w14:paraId="135F76F9" w14:textId="77777777" w:rsidR="0085261F" w:rsidRDefault="0085261F" w:rsidP="0092564D">
            <w:pPr>
              <w:spacing w:after="0"/>
              <w:contextualSpacing/>
              <w:jc w:val="left"/>
              <w:rPr>
                <w:rFonts w:ascii="Arial Narrow" w:hAnsi="Arial Narrow"/>
                <w:snapToGrid w:val="0"/>
                <w:lang w:eastAsia="en-US"/>
              </w:rPr>
            </w:pPr>
            <w:r>
              <w:rPr>
                <w:rFonts w:ascii="Arial Narrow" w:hAnsi="Arial Narrow"/>
                <w:snapToGrid w:val="0"/>
                <w:lang w:eastAsia="en-US"/>
              </w:rPr>
              <w:t>Patient 6</w:t>
            </w:r>
          </w:p>
        </w:tc>
        <w:tc>
          <w:tcPr>
            <w:tcW w:w="882" w:type="pct"/>
            <w:shd w:val="clear" w:color="auto" w:fill="auto"/>
          </w:tcPr>
          <w:p w14:paraId="5063DE30"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1</w:t>
            </w:r>
          </w:p>
        </w:tc>
        <w:tc>
          <w:tcPr>
            <w:tcW w:w="2408" w:type="pct"/>
            <w:shd w:val="clear" w:color="auto" w:fill="auto"/>
          </w:tcPr>
          <w:p w14:paraId="224FA5F7"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w:t>
            </w:r>
          </w:p>
        </w:tc>
      </w:tr>
      <w:tr w:rsidR="0085261F" w:rsidRPr="00B10025" w14:paraId="7843C0DC" w14:textId="77777777" w:rsidTr="005C772C">
        <w:tc>
          <w:tcPr>
            <w:tcW w:w="1710" w:type="pct"/>
            <w:shd w:val="clear" w:color="auto" w:fill="auto"/>
          </w:tcPr>
          <w:p w14:paraId="37B8B321" w14:textId="77777777" w:rsidR="0085261F" w:rsidRDefault="0085261F" w:rsidP="0092564D">
            <w:pPr>
              <w:spacing w:after="0"/>
              <w:contextualSpacing/>
              <w:jc w:val="left"/>
              <w:rPr>
                <w:rFonts w:ascii="Arial Narrow" w:hAnsi="Arial Narrow"/>
                <w:snapToGrid w:val="0"/>
                <w:lang w:eastAsia="en-US"/>
              </w:rPr>
            </w:pPr>
            <w:r>
              <w:rPr>
                <w:rFonts w:ascii="Arial Narrow" w:hAnsi="Arial Narrow"/>
                <w:snapToGrid w:val="0"/>
                <w:lang w:eastAsia="en-US"/>
              </w:rPr>
              <w:t>Patient 7</w:t>
            </w:r>
          </w:p>
        </w:tc>
        <w:tc>
          <w:tcPr>
            <w:tcW w:w="882" w:type="pct"/>
            <w:shd w:val="clear" w:color="auto" w:fill="auto"/>
          </w:tcPr>
          <w:p w14:paraId="43BCDB5F"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0</w:t>
            </w:r>
          </w:p>
        </w:tc>
        <w:tc>
          <w:tcPr>
            <w:tcW w:w="2408" w:type="pct"/>
            <w:shd w:val="clear" w:color="auto" w:fill="auto"/>
          </w:tcPr>
          <w:p w14:paraId="3F3891F2" w14:textId="77777777" w:rsidR="0085261F" w:rsidRDefault="0085261F" w:rsidP="0085261F">
            <w:pPr>
              <w:spacing w:after="0"/>
              <w:contextualSpacing/>
              <w:jc w:val="center"/>
              <w:rPr>
                <w:rFonts w:ascii="Arial Narrow" w:hAnsi="Arial Narrow"/>
                <w:snapToGrid w:val="0"/>
                <w:lang w:eastAsia="en-US"/>
              </w:rPr>
            </w:pPr>
            <w:r>
              <w:rPr>
                <w:rFonts w:ascii="Arial Narrow" w:hAnsi="Arial Narrow"/>
                <w:snapToGrid w:val="0"/>
                <w:lang w:eastAsia="en-US"/>
              </w:rPr>
              <w:t>-</w:t>
            </w:r>
          </w:p>
        </w:tc>
      </w:tr>
    </w:tbl>
    <w:p w14:paraId="5A4AB0DB" w14:textId="77777777" w:rsidR="006B2CE0" w:rsidRDefault="00F719C3" w:rsidP="00F719C3">
      <w:pPr>
        <w:pStyle w:val="Tablenotes0"/>
      </w:pPr>
      <w:r>
        <w:t xml:space="preserve">AQP4-Ab = aquaporin 4 antibodies; </w:t>
      </w:r>
    </w:p>
    <w:p w14:paraId="7E6FA1FD" w14:textId="77777777" w:rsidR="005C772C" w:rsidRDefault="00F719C3" w:rsidP="00F719C3">
      <w:pPr>
        <w:pStyle w:val="Tablenotes0"/>
      </w:pPr>
      <w:r>
        <w:rPr>
          <w:vertAlign w:val="superscript"/>
        </w:rPr>
        <w:t xml:space="preserve">a </w:t>
      </w:r>
      <w:r>
        <w:t>relapse defined as patient reported or objectively observed events typical of an acute inflammatory demyelinating event in the central nervous system, with duration of at least 24 hours in the absence of fever or infection, documented by contemporaneous neurologic examination</w:t>
      </w:r>
    </w:p>
    <w:p w14:paraId="1BA65E59" w14:textId="689AD36E" w:rsidR="00F719C3" w:rsidRDefault="005C772C" w:rsidP="00F719C3">
      <w:pPr>
        <w:pStyle w:val="Tablenotes0"/>
      </w:pPr>
      <w:r>
        <w:rPr>
          <w:vertAlign w:val="superscript"/>
        </w:rPr>
        <w:t xml:space="preserve">b </w:t>
      </w:r>
      <w:r>
        <w:t>Percentage values calculated based on availability of AQP4-Ab data</w:t>
      </w:r>
    </w:p>
    <w:p w14:paraId="587E447D" w14:textId="77777777" w:rsidR="00DD122A" w:rsidRDefault="00DD122A" w:rsidP="00F719C3">
      <w:pPr>
        <w:pStyle w:val="Tablenotes0"/>
      </w:pPr>
    </w:p>
    <w:p w14:paraId="7F16462C" w14:textId="79D4F765" w:rsidR="00DD122A" w:rsidRDefault="00DD122A" w:rsidP="00DD122A">
      <w:r>
        <w:t xml:space="preserve">Based on results of this </w:t>
      </w:r>
      <w:r w:rsidR="00E00B06">
        <w:t xml:space="preserve">very small </w:t>
      </w:r>
      <w:r>
        <w:t>study</w:t>
      </w:r>
      <w:r w:rsidR="00585D05">
        <w:t xml:space="preserve"> </w:t>
      </w:r>
      <w:r w:rsidR="00156621">
        <w:fldChar w:fldCharType="begin">
          <w:fldData xml:space="preserve">PEVuZE5vdGU+PENpdGU+PEF1dGhvcj5WYWxlbnRpbm88L0F1dGhvcj48WWVhcj4yMDE3PC9ZZWFy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</w:fldData>
        </w:fldChar>
      </w:r>
      <w:r w:rsidR="0087595F">
        <w:instrText xml:space="preserve"> ADDIN EN.CITE </w:instrText>
      </w:r>
      <w:r w:rsidR="0087595F">
        <w:fldChar w:fldCharType="begin">
          <w:fldData xml:space="preserve">PEVuZE5vdGU+PENpdGU+PEF1dGhvcj5WYWxlbnRpbm88L0F1dGhvcj48WWVhcj4yMDE3PC9ZZWFy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</w:fldData>
        </w:fldChar>
      </w:r>
      <w:r w:rsidR="0087595F">
        <w:instrText xml:space="preserve"> ADDIN EN.CITE.DATA </w:instrText>
      </w:r>
      <w:r w:rsidR="0087595F">
        <w:fldChar w:fldCharType="end"/>
      </w:r>
      <w:r w:rsidR="00156621">
        <w:fldChar w:fldCharType="separate"/>
      </w:r>
      <w:r w:rsidR="0087595F">
        <w:rPr>
          <w:noProof/>
        </w:rPr>
        <w:t>(Valentino et al. 2017)</w:t>
      </w:r>
      <w:r w:rsidR="00156621">
        <w:fldChar w:fldCharType="end"/>
      </w:r>
      <w:r>
        <w:t xml:space="preserve"> AQP4-Abs are not considered a useful biomarker for predicting relapses in patients diagnosed with NMO. </w:t>
      </w:r>
    </w:p>
    <w:p w14:paraId="4FE15AAE" w14:textId="62D6F61C" w:rsidR="00043567" w:rsidRDefault="00E00B06" w:rsidP="007373CA">
      <w:r>
        <w:t>D</w:t>
      </w:r>
      <w:r w:rsidR="00767DEB">
        <w:t xml:space="preserve">ue to only limited evidence </w:t>
      </w:r>
      <w:r w:rsidR="00284F7A">
        <w:t xml:space="preserve">provided by </w:t>
      </w:r>
      <w:r>
        <w:t xml:space="preserve">two </w:t>
      </w:r>
      <w:r w:rsidR="00A247DA">
        <w:t xml:space="preserve">small </w:t>
      </w:r>
      <w:r w:rsidR="00284F7A">
        <w:t xml:space="preserve">studies </w:t>
      </w:r>
      <w:r w:rsidR="00F55D4C">
        <w:t xml:space="preserve">of </w:t>
      </w:r>
      <w:r>
        <w:t xml:space="preserve">low </w:t>
      </w:r>
      <w:r w:rsidR="00F55D4C">
        <w:t xml:space="preserve">evidence </w:t>
      </w:r>
      <w:r>
        <w:t xml:space="preserve">quality, no conclusion </w:t>
      </w:r>
      <w:r w:rsidR="00A247DA">
        <w:t>could</w:t>
      </w:r>
      <w:r>
        <w:t xml:space="preserve"> be drawn regarding the association between the presence of AQP4</w:t>
      </w:r>
      <w:r w:rsidR="00D643C9">
        <w:t>-Abs and prediction of relapse.</w:t>
      </w:r>
    </w:p>
    <w:p w14:paraId="1360B169" w14:textId="6D415191" w:rsidR="00ED65EE" w:rsidRDefault="00ED65EE" w:rsidP="00ED65EE">
      <w:pPr>
        <w:pStyle w:val="Heading1"/>
        <w:tabs>
          <w:tab w:val="left" w:pos="1134"/>
        </w:tabs>
      </w:pPr>
      <w:bookmarkStart w:id="345" w:name="_Toc39588339"/>
      <w:r>
        <w:lastRenderedPageBreak/>
        <w:t>B7</w:t>
      </w:r>
      <w:r>
        <w:tab/>
        <w:t>Extended assessment of comparative harms</w:t>
      </w:r>
      <w:bookmarkEnd w:id="345"/>
    </w:p>
    <w:p w14:paraId="7F82C7B5" w14:textId="77777777" w:rsidR="00AE2F99" w:rsidRDefault="00AE2F99" w:rsidP="00AE2F99">
      <w:r>
        <w:t xml:space="preserve">QoL is an outcome of interest listed in the PICO Confirmation for Application 1582. There were no QoL data meeting the inclusion criteria identified in the literature search, and therefore the outcome has not been included in the main clinical section of the report. However, a number of studies did report on health related QoL </w:t>
      </w:r>
      <w:r w:rsidR="00F44969">
        <w:t xml:space="preserve">(HRQoL) </w:t>
      </w:r>
      <w:r>
        <w:t>for NMOSD patients assessed using standardised questionnaires. The studies were cross-sectional and either non-comparative or compared data between NMOSD and MS patients or with a control population.</w:t>
      </w:r>
    </w:p>
    <w:p w14:paraId="57345E4B" w14:textId="77777777" w:rsidR="00AB0740" w:rsidRPr="00AE2F99" w:rsidRDefault="00AB0740" w:rsidP="00AB0740">
      <w:pPr>
        <w:pStyle w:val="Heading3"/>
      </w:pPr>
      <w:bookmarkStart w:id="346" w:name="_Toc39588340"/>
      <w:r w:rsidRPr="00AE2F99">
        <w:t>Health related Quality of Life</w:t>
      </w:r>
      <w:bookmarkEnd w:id="346"/>
    </w:p>
    <w:p w14:paraId="0F1240AF" w14:textId="77777777" w:rsidR="006836AA" w:rsidRPr="00AE2F99" w:rsidRDefault="006836AA" w:rsidP="00AB0740">
      <w:pPr>
        <w:pStyle w:val="Heading3"/>
      </w:pPr>
      <w:bookmarkStart w:id="347" w:name="_Toc39588341"/>
      <w:r w:rsidRPr="00AE2F99">
        <w:t xml:space="preserve">Risk of Bias Assessment for </w:t>
      </w:r>
      <w:r w:rsidR="006B4DCA">
        <w:t xml:space="preserve">Health-related </w:t>
      </w:r>
      <w:r w:rsidRPr="00AE2F99">
        <w:t>QoL studies</w:t>
      </w:r>
      <w:bookmarkEnd w:id="347"/>
    </w:p>
    <w:p w14:paraId="4A484075" w14:textId="466D50FC" w:rsidR="006836AA" w:rsidRPr="00AE2F99" w:rsidRDefault="006836AA" w:rsidP="005A0490">
      <w:r w:rsidRPr="00AE2F99">
        <w:t xml:space="preserve">Risk of bias was assessed with the SIGN checklist (SIGN 2014) for cohort studies. The risk of bias for each study is shown in </w:t>
      </w:r>
      <w:r w:rsidR="00C91B47">
        <w:fldChar w:fldCharType="begin"/>
      </w:r>
      <w:r w:rsidR="00C91B47">
        <w:instrText xml:space="preserve"> REF _Ref33095897 \h </w:instrText>
      </w:r>
      <w:r w:rsidR="00C91B47">
        <w:fldChar w:fldCharType="separate"/>
      </w:r>
      <w:r w:rsidR="003F364D" w:rsidRPr="00AE2F99">
        <w:t xml:space="preserve">Table </w:t>
      </w:r>
      <w:r w:rsidR="003F364D">
        <w:rPr>
          <w:noProof/>
        </w:rPr>
        <w:t>65</w:t>
      </w:r>
      <w:r w:rsidR="00C91B47">
        <w:fldChar w:fldCharType="end"/>
      </w:r>
      <w:r w:rsidRPr="00AE2F99">
        <w:t>.</w:t>
      </w:r>
    </w:p>
    <w:p w14:paraId="50DD9BE6" w14:textId="77777777" w:rsidR="006836AA" w:rsidRPr="00AE2F99" w:rsidRDefault="006836AA" w:rsidP="005A0490">
      <w:r w:rsidRPr="00AE2F99">
        <w:t>Cohort studies assessed with the SIGN checklist were considered of high quality when 70-100% of the questions were answered ‘yes’ (indicating little or no risk of bias). When 40-69% of questions were answered ‘yes’ it was considered acceptable quality, and less than 40% was considered low quality (relating to significant flaws in key aspects of study design</w:t>
      </w:r>
      <w:r w:rsidR="00A0762B">
        <w:t>)</w:t>
      </w:r>
      <w:r w:rsidRPr="00AE2F99">
        <w:t xml:space="preserve">. </w:t>
      </w:r>
    </w:p>
    <w:p w14:paraId="60B2A6C3" w14:textId="1ECA3BDB" w:rsidR="006836AA" w:rsidRPr="00976772" w:rsidRDefault="006836AA" w:rsidP="006836AA">
      <w:pPr>
        <w:pStyle w:val="Caption"/>
      </w:pPr>
      <w:bookmarkStart w:id="348" w:name="_Ref33095897"/>
      <w:bookmarkStart w:id="349" w:name="_Toc39580846"/>
      <w:r w:rsidRPr="00AE2F99">
        <w:t xml:space="preserve">Table </w:t>
      </w:r>
      <w:fldSimple w:instr=" SEQ Table \* ARABIC ">
        <w:r w:rsidR="00FA7BCD">
          <w:rPr>
            <w:noProof/>
          </w:rPr>
          <w:t>65</w:t>
        </w:r>
      </w:fldSimple>
      <w:bookmarkEnd w:id="348"/>
      <w:r w:rsidRPr="00AE2F99">
        <w:tab/>
        <w:t xml:space="preserve"> Studies that investigate the impact of NMOSD on </w:t>
      </w:r>
      <w:r w:rsidR="00F44969">
        <w:t>HR</w:t>
      </w:r>
      <w:r w:rsidRPr="00AE2F99">
        <w:t>QoL</w:t>
      </w:r>
      <w:bookmarkEnd w:id="349"/>
    </w:p>
    <w:tbl>
      <w:tblPr>
        <w:tblStyle w:val="TableGrid1"/>
        <w:tblW w:w="5000" w:type="pct"/>
        <w:tblCellMar>
          <w:left w:w="28" w:type="dxa"/>
          <w:right w:w="28" w:type="dxa"/>
        </w:tblCellMar>
        <w:tblLook w:val="04A0" w:firstRow="1" w:lastRow="0" w:firstColumn="1" w:lastColumn="0" w:noHBand="0" w:noVBand="1"/>
        <w:tblCaption w:val="Table 65  Studies that investigate the impact of NMOSD on HRQoL"/>
        <w:tblDescription w:val="A summary of study details for articles reporting on quality of life in NMOSD patients"/>
      </w:tblPr>
      <w:tblGrid>
        <w:gridCol w:w="1128"/>
        <w:gridCol w:w="994"/>
        <w:gridCol w:w="3684"/>
        <w:gridCol w:w="3210"/>
      </w:tblGrid>
      <w:tr w:rsidR="00AB0740" w:rsidRPr="00976772" w14:paraId="33CAEB28" w14:textId="77777777" w:rsidTr="00C91B47">
        <w:trPr>
          <w:cnfStyle w:val="100000000000" w:firstRow="1" w:lastRow="0" w:firstColumn="0" w:lastColumn="0" w:oddVBand="0" w:evenVBand="0" w:oddHBand="0" w:evenHBand="0" w:firstRowFirstColumn="0" w:firstRowLastColumn="0" w:lastRowFirstColumn="0" w:lastRowLastColumn="0"/>
          <w:tblHeader/>
        </w:trPr>
        <w:tc>
          <w:tcPr>
            <w:tcW w:w="626" w:type="pct"/>
            <w:shd w:val="clear" w:color="auto" w:fill="auto"/>
            <w:vAlign w:val="center"/>
          </w:tcPr>
          <w:p w14:paraId="40B4695F" w14:textId="77777777" w:rsidR="00AB0740" w:rsidRDefault="00AB0740" w:rsidP="00976772">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Trial/Study</w:t>
            </w:r>
          </w:p>
          <w:p w14:paraId="643B35E1" w14:textId="77777777" w:rsidR="00AB0740" w:rsidRPr="00976772" w:rsidRDefault="00AB0740" w:rsidP="00976772">
            <w:pPr>
              <w:keepNext/>
              <w:spacing w:after="0"/>
              <w:contextualSpacing/>
              <w:jc w:val="left"/>
              <w:rPr>
                <w:rFonts w:ascii="Arial Narrow" w:hAnsi="Arial Narrow"/>
                <w:b/>
                <w:snapToGrid w:val="0"/>
                <w:lang w:eastAsia="en-US"/>
              </w:rPr>
            </w:pPr>
            <w:r>
              <w:rPr>
                <w:rFonts w:ascii="Arial Narrow" w:hAnsi="Arial Narrow"/>
                <w:b/>
                <w:snapToGrid w:val="0"/>
                <w:lang w:eastAsia="en-US"/>
              </w:rPr>
              <w:t>N</w:t>
            </w:r>
          </w:p>
        </w:tc>
        <w:tc>
          <w:tcPr>
            <w:tcW w:w="551" w:type="pct"/>
            <w:shd w:val="clear" w:color="auto" w:fill="auto"/>
            <w:vAlign w:val="center"/>
          </w:tcPr>
          <w:p w14:paraId="4E8EE6CF" w14:textId="77777777" w:rsidR="00AB0740" w:rsidRDefault="00AB0740" w:rsidP="00976772">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Level of evidence</w:t>
            </w:r>
          </w:p>
          <w:p w14:paraId="5B396685" w14:textId="77777777" w:rsidR="00AB0740" w:rsidRPr="00976772" w:rsidRDefault="00AB0740" w:rsidP="00976772">
            <w:pPr>
              <w:keepNext/>
              <w:spacing w:after="0"/>
              <w:contextualSpacing/>
              <w:jc w:val="left"/>
              <w:rPr>
                <w:rFonts w:ascii="Arial Narrow" w:hAnsi="Arial Narrow"/>
                <w:b/>
                <w:snapToGrid w:val="0"/>
                <w:lang w:eastAsia="en-US"/>
              </w:rPr>
            </w:pPr>
            <w:r>
              <w:rPr>
                <w:rFonts w:ascii="Arial Narrow" w:hAnsi="Arial Narrow"/>
                <w:b/>
                <w:snapToGrid w:val="0"/>
                <w:lang w:eastAsia="en-US"/>
              </w:rPr>
              <w:t>Risk of bias</w:t>
            </w:r>
          </w:p>
        </w:tc>
        <w:tc>
          <w:tcPr>
            <w:tcW w:w="2043" w:type="pct"/>
            <w:shd w:val="clear" w:color="auto" w:fill="auto"/>
            <w:vAlign w:val="center"/>
          </w:tcPr>
          <w:p w14:paraId="441ED58E" w14:textId="77777777" w:rsidR="00AB0740" w:rsidRPr="00976772" w:rsidRDefault="00AB0740" w:rsidP="00976772">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Patient population</w:t>
            </w:r>
          </w:p>
        </w:tc>
        <w:tc>
          <w:tcPr>
            <w:tcW w:w="1780" w:type="pct"/>
            <w:shd w:val="clear" w:color="auto" w:fill="auto"/>
            <w:vAlign w:val="center"/>
          </w:tcPr>
          <w:p w14:paraId="6DF38F3C" w14:textId="77777777" w:rsidR="00AB0740" w:rsidRPr="00976772" w:rsidRDefault="00AB0740" w:rsidP="00976772">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Key outcome(s)</w:t>
            </w:r>
          </w:p>
        </w:tc>
      </w:tr>
      <w:tr w:rsidR="00AB0740" w:rsidRPr="00976772" w14:paraId="18A657A6" w14:textId="77777777" w:rsidTr="00C91B47">
        <w:tc>
          <w:tcPr>
            <w:tcW w:w="626" w:type="pct"/>
            <w:shd w:val="clear" w:color="auto" w:fill="auto"/>
          </w:tcPr>
          <w:p w14:paraId="0AAC28D6" w14:textId="77777777" w:rsidR="00AB0740" w:rsidRDefault="00AB0740" w:rsidP="00E56524">
            <w:pPr>
              <w:spacing w:after="0"/>
              <w:contextualSpacing/>
              <w:jc w:val="left"/>
              <w:rPr>
                <w:rFonts w:ascii="Arial Narrow" w:hAnsi="Arial Narrow"/>
                <w:snapToGrid w:val="0"/>
                <w:lang w:eastAsia="en-US"/>
              </w:rPr>
            </w:pPr>
            <w:r w:rsidRPr="00976772">
              <w:rPr>
                <w:rFonts w:ascii="Arial Narrow" w:hAnsi="Arial Narrow"/>
                <w:snapToGrid w:val="0"/>
                <w:lang w:eastAsia="en-US"/>
              </w:rPr>
              <w:t>Beekman et al. 2019</w:t>
            </w:r>
          </w:p>
          <w:p w14:paraId="09A76247" w14:textId="77777777" w:rsidR="00AB0740" w:rsidRPr="00976772"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N=193</w:t>
            </w:r>
          </w:p>
        </w:tc>
        <w:tc>
          <w:tcPr>
            <w:tcW w:w="551" w:type="pct"/>
            <w:shd w:val="clear" w:color="auto" w:fill="auto"/>
          </w:tcPr>
          <w:p w14:paraId="7571EAAC" w14:textId="77777777" w:rsidR="00AB0740"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III-3</w:t>
            </w:r>
          </w:p>
          <w:p w14:paraId="2E44C11F" w14:textId="77777777" w:rsidR="00AB0740" w:rsidRPr="00976772"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 xml:space="preserve">Moderate </w:t>
            </w:r>
          </w:p>
        </w:tc>
        <w:tc>
          <w:tcPr>
            <w:tcW w:w="2043" w:type="pct"/>
            <w:shd w:val="clear" w:color="auto" w:fill="auto"/>
          </w:tcPr>
          <w:p w14:paraId="1EB186D3"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Self-reported, diagnosis of NMO or NMOSD</w:t>
            </w:r>
          </w:p>
          <w:p w14:paraId="1B8E07D9"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 xml:space="preserve">Age range (years) 19-76 (mean 49.2±12.8). </w:t>
            </w:r>
          </w:p>
          <w:p w14:paraId="32CFD657"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 xml:space="preserve">158 NMO; 35 NMOSD </w:t>
            </w:r>
          </w:p>
          <w:p w14:paraId="6A5E9E85"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 xml:space="preserve">(118 +ve for AQP4-Ab; 41 –ve AQP4-Ab; 34 unknown) </w:t>
            </w:r>
          </w:p>
        </w:tc>
        <w:tc>
          <w:tcPr>
            <w:tcW w:w="1780" w:type="pct"/>
            <w:shd w:val="clear" w:color="auto" w:fill="auto"/>
          </w:tcPr>
          <w:p w14:paraId="4AF44921"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 xml:space="preserve">Impact of NMOSD on </w:t>
            </w:r>
            <w:r w:rsidR="00FE0B01">
              <w:rPr>
                <w:rFonts w:ascii="Arial Narrow" w:hAnsi="Arial Narrow"/>
                <w:snapToGrid w:val="0"/>
                <w:lang w:eastAsia="en-US"/>
              </w:rPr>
              <w:t>HR</w:t>
            </w:r>
            <w:r w:rsidRPr="00976772">
              <w:rPr>
                <w:rFonts w:ascii="Arial Narrow" w:hAnsi="Arial Narrow"/>
                <w:snapToGrid w:val="0"/>
                <w:lang w:eastAsia="en-US"/>
              </w:rPr>
              <w:t>QoL using SF-36</w:t>
            </w:r>
          </w:p>
        </w:tc>
      </w:tr>
      <w:tr w:rsidR="00AB0740" w:rsidRPr="00976772" w14:paraId="26CB262C" w14:textId="77777777" w:rsidTr="00C91B47">
        <w:tc>
          <w:tcPr>
            <w:tcW w:w="626" w:type="pct"/>
            <w:shd w:val="clear" w:color="auto" w:fill="auto"/>
          </w:tcPr>
          <w:p w14:paraId="407D3AEB" w14:textId="77777777" w:rsidR="00AB0740" w:rsidRDefault="00AB0740" w:rsidP="00E56524">
            <w:pPr>
              <w:spacing w:after="0"/>
              <w:contextualSpacing/>
              <w:jc w:val="left"/>
              <w:rPr>
                <w:rFonts w:ascii="Arial Narrow" w:hAnsi="Arial Narrow"/>
                <w:snapToGrid w:val="0"/>
                <w:lang w:eastAsia="en-US"/>
              </w:rPr>
            </w:pPr>
            <w:r w:rsidRPr="00976772">
              <w:rPr>
                <w:rFonts w:ascii="Arial Narrow" w:hAnsi="Arial Narrow"/>
                <w:snapToGrid w:val="0"/>
                <w:lang w:eastAsia="en-US"/>
              </w:rPr>
              <w:t>Chanson et al. 2011</w:t>
            </w:r>
          </w:p>
          <w:p w14:paraId="1F4A2B61" w14:textId="77777777" w:rsidR="00AB0740" w:rsidRPr="00976772" w:rsidRDefault="00AB0740" w:rsidP="00E56524">
            <w:pPr>
              <w:spacing w:after="0"/>
              <w:contextualSpacing/>
              <w:jc w:val="left"/>
              <w:rPr>
                <w:rFonts w:ascii="Arial Narrow" w:hAnsi="Arial Narrow"/>
                <w:snapToGrid w:val="0"/>
                <w:highlight w:val="cyan"/>
                <w:lang w:eastAsia="en-US"/>
              </w:rPr>
            </w:pPr>
            <w:r w:rsidRPr="0026276B">
              <w:rPr>
                <w:rFonts w:ascii="Arial Narrow" w:hAnsi="Arial Narrow"/>
                <w:snapToGrid w:val="0"/>
                <w:lang w:eastAsia="en-US"/>
              </w:rPr>
              <w:t>N=40</w:t>
            </w:r>
          </w:p>
        </w:tc>
        <w:tc>
          <w:tcPr>
            <w:tcW w:w="551" w:type="pct"/>
            <w:shd w:val="clear" w:color="auto" w:fill="auto"/>
          </w:tcPr>
          <w:p w14:paraId="7B6EF230" w14:textId="77777777" w:rsidR="00AB0740"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III-3</w:t>
            </w:r>
          </w:p>
          <w:p w14:paraId="6A4E265A" w14:textId="77777777" w:rsidR="00AB0740" w:rsidRPr="00976772"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 xml:space="preserve">Moderate </w:t>
            </w:r>
          </w:p>
        </w:tc>
        <w:tc>
          <w:tcPr>
            <w:tcW w:w="2043" w:type="pct"/>
            <w:shd w:val="clear" w:color="auto" w:fill="auto"/>
          </w:tcPr>
          <w:p w14:paraId="532241E8"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Consecutive patients with NMO</w:t>
            </w:r>
          </w:p>
          <w:p w14:paraId="64473ABE"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Mean age (years) 45.2 (± SD 9)</w:t>
            </w:r>
          </w:p>
          <w:p w14:paraId="1BA58695"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(16 +ve for AQP4-Ab)</w:t>
            </w:r>
          </w:p>
        </w:tc>
        <w:tc>
          <w:tcPr>
            <w:tcW w:w="1780" w:type="pct"/>
            <w:shd w:val="clear" w:color="auto" w:fill="auto"/>
          </w:tcPr>
          <w:p w14:paraId="3828C9C3" w14:textId="77777777" w:rsidR="00AB0740" w:rsidRPr="00A3449C" w:rsidRDefault="00AB0740" w:rsidP="009A554F">
            <w:pPr>
              <w:spacing w:after="0"/>
              <w:contextualSpacing/>
              <w:jc w:val="left"/>
              <w:rPr>
                <w:rFonts w:ascii="Arial Narrow" w:hAnsi="Arial Narrow"/>
                <w:snapToGrid w:val="0"/>
                <w:vertAlign w:val="superscript"/>
                <w:lang w:eastAsia="en-US"/>
              </w:rPr>
            </w:pPr>
            <w:r>
              <w:rPr>
                <w:rFonts w:ascii="Arial Narrow" w:hAnsi="Arial Narrow"/>
                <w:snapToGrid w:val="0"/>
                <w:lang w:eastAsia="en-US"/>
              </w:rPr>
              <w:t>H</w:t>
            </w:r>
            <w:r w:rsidR="00F44969">
              <w:rPr>
                <w:rFonts w:ascii="Arial Narrow" w:hAnsi="Arial Narrow"/>
                <w:snapToGrid w:val="0"/>
                <w:lang w:eastAsia="en-US"/>
              </w:rPr>
              <w:t>RQoL</w:t>
            </w:r>
            <w:r>
              <w:rPr>
                <w:rFonts w:ascii="Arial Narrow" w:hAnsi="Arial Narrow"/>
                <w:snapToGrid w:val="0"/>
                <w:lang w:eastAsia="en-US"/>
              </w:rPr>
              <w:t xml:space="preserve"> measured by SEP-59</w:t>
            </w:r>
            <w:r>
              <w:rPr>
                <w:rFonts w:ascii="Arial Narrow" w:hAnsi="Arial Narrow"/>
                <w:snapToGrid w:val="0"/>
                <w:vertAlign w:val="superscript"/>
                <w:lang w:eastAsia="en-US"/>
              </w:rPr>
              <w:t>a</w:t>
            </w:r>
          </w:p>
          <w:p w14:paraId="0FD10A32" w14:textId="77777777" w:rsidR="00AB0740" w:rsidRPr="00976772" w:rsidRDefault="00AB0740" w:rsidP="009A554F">
            <w:pPr>
              <w:spacing w:after="0"/>
              <w:contextualSpacing/>
              <w:jc w:val="left"/>
              <w:rPr>
                <w:rFonts w:ascii="Arial Narrow" w:hAnsi="Arial Narrow"/>
                <w:snapToGrid w:val="0"/>
                <w:vertAlign w:val="superscript"/>
                <w:lang w:eastAsia="en-US"/>
              </w:rPr>
            </w:pPr>
            <w:r w:rsidRPr="00976772">
              <w:rPr>
                <w:rFonts w:ascii="Arial Narrow" w:hAnsi="Arial Narrow"/>
                <w:snapToGrid w:val="0"/>
                <w:lang w:eastAsia="en-US"/>
              </w:rPr>
              <w:t>Fatigue assessed by EMIF-SEP</w:t>
            </w:r>
            <w:r w:rsidRPr="00A3449C">
              <w:rPr>
                <w:rFonts w:ascii="Arial Narrow" w:hAnsi="Arial Narrow"/>
                <w:snapToGrid w:val="0"/>
                <w:vertAlign w:val="superscript"/>
                <w:lang w:eastAsia="en-US"/>
              </w:rPr>
              <w:t>b</w:t>
            </w:r>
          </w:p>
          <w:p w14:paraId="6180D729" w14:textId="77777777" w:rsidR="00AB0740" w:rsidRPr="00976772" w:rsidRDefault="00AB0740" w:rsidP="00E56524">
            <w:pPr>
              <w:spacing w:after="0"/>
              <w:contextualSpacing/>
              <w:jc w:val="left"/>
              <w:rPr>
                <w:rFonts w:ascii="Arial Narrow" w:hAnsi="Arial Narrow"/>
                <w:snapToGrid w:val="0"/>
                <w:lang w:eastAsia="en-US"/>
              </w:rPr>
            </w:pPr>
            <w:r w:rsidRPr="00976772">
              <w:rPr>
                <w:rFonts w:ascii="Arial Narrow" w:hAnsi="Arial Narrow"/>
                <w:snapToGrid w:val="0"/>
                <w:lang w:eastAsia="en-US"/>
              </w:rPr>
              <w:t>Depression evaluated by the EHD</w:t>
            </w:r>
            <w:r>
              <w:rPr>
                <w:rFonts w:ascii="Arial Narrow" w:hAnsi="Arial Narrow"/>
                <w:snapToGrid w:val="0"/>
                <w:vertAlign w:val="superscript"/>
                <w:lang w:eastAsia="en-US"/>
              </w:rPr>
              <w:t>c</w:t>
            </w:r>
            <w:r w:rsidRPr="00976772">
              <w:rPr>
                <w:rFonts w:ascii="Arial Narrow" w:hAnsi="Arial Narrow"/>
                <w:snapToGrid w:val="0"/>
                <w:lang w:eastAsia="en-US"/>
              </w:rPr>
              <w:t xml:space="preserve"> questionnaire</w:t>
            </w:r>
          </w:p>
        </w:tc>
      </w:tr>
      <w:tr w:rsidR="00AB0740" w:rsidRPr="00976772" w14:paraId="5CF6B0C3" w14:textId="77777777" w:rsidTr="00C91B47">
        <w:tc>
          <w:tcPr>
            <w:tcW w:w="626" w:type="pct"/>
            <w:shd w:val="clear" w:color="auto" w:fill="auto"/>
          </w:tcPr>
          <w:p w14:paraId="5A843D80" w14:textId="77777777" w:rsidR="00AB0740" w:rsidRDefault="00AB0740" w:rsidP="00E56524">
            <w:pPr>
              <w:spacing w:after="0"/>
              <w:contextualSpacing/>
              <w:jc w:val="left"/>
              <w:rPr>
                <w:rFonts w:ascii="Arial Narrow" w:hAnsi="Arial Narrow"/>
                <w:snapToGrid w:val="0"/>
                <w:lang w:eastAsia="en-US"/>
              </w:rPr>
            </w:pPr>
            <w:r w:rsidRPr="00976772">
              <w:rPr>
                <w:rFonts w:ascii="Arial Narrow" w:hAnsi="Arial Narrow"/>
                <w:snapToGrid w:val="0"/>
                <w:lang w:eastAsia="en-US"/>
              </w:rPr>
              <w:t>Kanamori et al. 2011</w:t>
            </w:r>
          </w:p>
          <w:p w14:paraId="1E383756" w14:textId="77777777" w:rsidR="00AB0740" w:rsidRPr="00976772"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N=37</w:t>
            </w:r>
          </w:p>
        </w:tc>
        <w:tc>
          <w:tcPr>
            <w:tcW w:w="551" w:type="pct"/>
            <w:shd w:val="clear" w:color="auto" w:fill="auto"/>
          </w:tcPr>
          <w:p w14:paraId="6DAF9DEE" w14:textId="77777777" w:rsidR="00AB0740"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III-3</w:t>
            </w:r>
          </w:p>
          <w:p w14:paraId="054A9C70" w14:textId="77777777" w:rsidR="00AB0740" w:rsidRPr="00976772"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 xml:space="preserve">Moderate </w:t>
            </w:r>
          </w:p>
        </w:tc>
        <w:tc>
          <w:tcPr>
            <w:tcW w:w="2043" w:type="pct"/>
            <w:shd w:val="clear" w:color="auto" w:fill="auto"/>
          </w:tcPr>
          <w:p w14:paraId="1A603A99"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Consecutive outpatients with NMO or NMOSD</w:t>
            </w:r>
          </w:p>
          <w:p w14:paraId="78B4C51D"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Mean age (years) 50.8 (±SD 14.5)</w:t>
            </w:r>
          </w:p>
          <w:p w14:paraId="49FAD8F4"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(35 +ve for AQP4-Ab)</w:t>
            </w:r>
          </w:p>
        </w:tc>
        <w:tc>
          <w:tcPr>
            <w:tcW w:w="1780" w:type="pct"/>
            <w:shd w:val="clear" w:color="auto" w:fill="auto"/>
          </w:tcPr>
          <w:p w14:paraId="3761E660"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 xml:space="preserve">Impact of NMO/NMOSD on pain and </w:t>
            </w:r>
            <w:r w:rsidR="00385245">
              <w:rPr>
                <w:rFonts w:ascii="Arial Narrow" w:hAnsi="Arial Narrow"/>
                <w:snapToGrid w:val="0"/>
                <w:lang w:eastAsia="en-US"/>
              </w:rPr>
              <w:t>HR</w:t>
            </w:r>
            <w:r w:rsidRPr="00976772">
              <w:rPr>
                <w:rFonts w:ascii="Arial Narrow" w:hAnsi="Arial Narrow"/>
                <w:snapToGrid w:val="0"/>
                <w:lang w:eastAsia="en-US"/>
              </w:rPr>
              <w:t>QoL using SF-BPI</w:t>
            </w:r>
          </w:p>
          <w:p w14:paraId="41CFD3A1"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DSS</w:t>
            </w:r>
          </w:p>
        </w:tc>
      </w:tr>
      <w:tr w:rsidR="00AB0740" w:rsidRPr="00976772" w14:paraId="79E724A6" w14:textId="77777777" w:rsidTr="00C91B47">
        <w:tc>
          <w:tcPr>
            <w:tcW w:w="626" w:type="pct"/>
            <w:shd w:val="clear" w:color="auto" w:fill="auto"/>
          </w:tcPr>
          <w:p w14:paraId="7EE80A8B" w14:textId="77777777" w:rsidR="00AB0740" w:rsidRDefault="00AB0740" w:rsidP="00E56524">
            <w:pPr>
              <w:spacing w:after="0"/>
              <w:contextualSpacing/>
              <w:jc w:val="left"/>
              <w:rPr>
                <w:rFonts w:ascii="Arial Narrow" w:hAnsi="Arial Narrow"/>
                <w:snapToGrid w:val="0"/>
                <w:lang w:eastAsia="en-US"/>
              </w:rPr>
            </w:pPr>
            <w:r w:rsidRPr="00976772">
              <w:rPr>
                <w:rFonts w:ascii="Arial Narrow" w:hAnsi="Arial Narrow"/>
                <w:snapToGrid w:val="0"/>
                <w:lang w:eastAsia="en-US"/>
              </w:rPr>
              <w:t>Mutch et al. 2015</w:t>
            </w:r>
          </w:p>
          <w:p w14:paraId="26E9714E" w14:textId="77777777" w:rsidR="00AB0740" w:rsidRPr="00976772"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N=60</w:t>
            </w:r>
          </w:p>
        </w:tc>
        <w:tc>
          <w:tcPr>
            <w:tcW w:w="551" w:type="pct"/>
            <w:shd w:val="clear" w:color="auto" w:fill="auto"/>
          </w:tcPr>
          <w:p w14:paraId="64AC8C15" w14:textId="77777777" w:rsidR="00AB0740"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III-3</w:t>
            </w:r>
          </w:p>
          <w:p w14:paraId="4A86FE29" w14:textId="77777777" w:rsidR="00AB0740" w:rsidRPr="00976772" w:rsidRDefault="00AB0740" w:rsidP="00E56524">
            <w:pPr>
              <w:spacing w:after="0"/>
              <w:contextualSpacing/>
              <w:jc w:val="left"/>
              <w:rPr>
                <w:rFonts w:ascii="Arial Narrow" w:hAnsi="Arial Narrow"/>
                <w:snapToGrid w:val="0"/>
                <w:lang w:eastAsia="en-US"/>
              </w:rPr>
            </w:pPr>
            <w:r>
              <w:rPr>
                <w:rFonts w:ascii="Arial Narrow" w:hAnsi="Arial Narrow"/>
                <w:snapToGrid w:val="0"/>
                <w:lang w:eastAsia="en-US"/>
              </w:rPr>
              <w:t xml:space="preserve">Moderate </w:t>
            </w:r>
          </w:p>
        </w:tc>
        <w:tc>
          <w:tcPr>
            <w:tcW w:w="2043" w:type="pct"/>
            <w:shd w:val="clear" w:color="auto" w:fill="auto"/>
          </w:tcPr>
          <w:p w14:paraId="37D14063"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Patients with NMO/NMOSD and +ve for AQP4-Ab</w:t>
            </w:r>
          </w:p>
          <w:p w14:paraId="719FF978"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Median age 49 (range 18-81)</w:t>
            </w:r>
          </w:p>
          <w:p w14:paraId="213252D4" w14:textId="77777777" w:rsidR="00AB0740" w:rsidRPr="00976772" w:rsidRDefault="00AB0740" w:rsidP="009A554F">
            <w:pPr>
              <w:spacing w:after="0"/>
              <w:contextualSpacing/>
              <w:jc w:val="left"/>
              <w:rPr>
                <w:rFonts w:ascii="Arial Narrow" w:hAnsi="Arial Narrow"/>
                <w:snapToGrid w:val="0"/>
                <w:lang w:eastAsia="en-US"/>
              </w:rPr>
            </w:pPr>
            <w:r w:rsidRPr="00976772">
              <w:rPr>
                <w:rFonts w:ascii="Arial Narrow" w:hAnsi="Arial Narrow"/>
                <w:snapToGrid w:val="0"/>
                <w:lang w:eastAsia="en-US"/>
              </w:rPr>
              <w:t>47 NMO; 13 NMOSD</w:t>
            </w:r>
          </w:p>
        </w:tc>
        <w:tc>
          <w:tcPr>
            <w:tcW w:w="1780" w:type="pct"/>
            <w:shd w:val="clear" w:color="auto" w:fill="auto"/>
          </w:tcPr>
          <w:p w14:paraId="22A04797" w14:textId="77777777" w:rsidR="00AB0740" w:rsidRPr="00976772" w:rsidRDefault="00D23330" w:rsidP="009A554F">
            <w:pPr>
              <w:spacing w:after="0"/>
              <w:contextualSpacing/>
              <w:jc w:val="left"/>
              <w:rPr>
                <w:rFonts w:ascii="Arial Narrow" w:hAnsi="Arial Narrow"/>
                <w:snapToGrid w:val="0"/>
                <w:lang w:eastAsia="en-US"/>
              </w:rPr>
            </w:pPr>
            <w:r>
              <w:rPr>
                <w:rFonts w:ascii="Arial Narrow" w:hAnsi="Arial Narrow"/>
                <w:snapToGrid w:val="0"/>
                <w:lang w:eastAsia="en-US"/>
              </w:rPr>
              <w:t>HR</w:t>
            </w:r>
            <w:r w:rsidR="00AB0740" w:rsidRPr="00976772">
              <w:rPr>
                <w:rFonts w:ascii="Arial Narrow" w:hAnsi="Arial Narrow"/>
                <w:snapToGrid w:val="0"/>
                <w:lang w:eastAsia="en-US"/>
              </w:rPr>
              <w:t xml:space="preserve">QoL using SF-36 </w:t>
            </w:r>
          </w:p>
        </w:tc>
      </w:tr>
    </w:tbl>
    <w:p w14:paraId="3375E85F" w14:textId="77777777" w:rsidR="00976772" w:rsidRDefault="00976772" w:rsidP="00976772">
      <w:pPr>
        <w:widowControl w:val="0"/>
        <w:spacing w:after="120" w:line="240" w:lineRule="auto"/>
        <w:contextualSpacing/>
        <w:jc w:val="left"/>
        <w:rPr>
          <w:rFonts w:ascii="Arial Narrow" w:hAnsi="Arial Narrow" w:cs="Arial"/>
          <w:snapToGrid w:val="0"/>
          <w:sz w:val="18"/>
          <w:szCs w:val="20"/>
          <w:lang w:eastAsia="en-US"/>
        </w:rPr>
      </w:pPr>
      <w:r w:rsidRPr="00976772">
        <w:rPr>
          <w:rFonts w:ascii="Arial Narrow" w:hAnsi="Arial Narrow" w:cs="Arial"/>
          <w:snapToGrid w:val="0"/>
          <w:sz w:val="18"/>
          <w:szCs w:val="20"/>
          <w:lang w:eastAsia="en-US"/>
        </w:rPr>
        <w:t>AQP4-Ab = aquaporin 4 antibodies; DSS = Disability Status Scale; EHD = ‘Echelle d’Humeur D</w:t>
      </w:r>
      <w:r w:rsidRPr="00976772">
        <w:rPr>
          <w:rFonts w:ascii="Arial Narrow" w:hAnsi="Arial Narrow" w:cs="Calibri"/>
          <w:snapToGrid w:val="0"/>
          <w:sz w:val="18"/>
          <w:szCs w:val="20"/>
          <w:lang w:eastAsia="en-US"/>
        </w:rPr>
        <w:t>é</w:t>
      </w:r>
      <w:r w:rsidRPr="00976772">
        <w:rPr>
          <w:rFonts w:ascii="Arial Narrow" w:hAnsi="Arial Narrow" w:cs="Arial"/>
          <w:snapToGrid w:val="0"/>
          <w:sz w:val="18"/>
          <w:szCs w:val="20"/>
          <w:lang w:eastAsia="en-US"/>
        </w:rPr>
        <w:t xml:space="preserve">pressive; </w:t>
      </w:r>
      <w:r w:rsidR="00F44969">
        <w:rPr>
          <w:rFonts w:ascii="Arial Narrow" w:hAnsi="Arial Narrow" w:cs="Arial"/>
          <w:snapToGrid w:val="0"/>
          <w:sz w:val="18"/>
          <w:szCs w:val="20"/>
          <w:lang w:eastAsia="en-US"/>
        </w:rPr>
        <w:t xml:space="preserve">HRQoL = health-related quality of life; </w:t>
      </w:r>
      <w:r w:rsidRPr="00976772">
        <w:rPr>
          <w:rFonts w:ascii="Arial Narrow" w:hAnsi="Arial Narrow" w:cs="Arial"/>
          <w:snapToGrid w:val="0"/>
          <w:sz w:val="18"/>
          <w:szCs w:val="20"/>
          <w:lang w:eastAsia="en-US"/>
        </w:rPr>
        <w:t>NMO = neuromyelitis optica; NMOSD = neuromyelitis optica spectrum disorders; SF-36 = short form-36; SF-BPI = Short Form Brief Pain Inventory</w:t>
      </w:r>
    </w:p>
    <w:p w14:paraId="4D6045EC" w14:textId="77777777" w:rsidR="00A3449C" w:rsidRPr="00A3449C" w:rsidRDefault="00A3449C" w:rsidP="00976772">
      <w:pPr>
        <w:widowControl w:val="0"/>
        <w:spacing w:after="120" w:line="240" w:lineRule="auto"/>
        <w:contextualSpacing/>
        <w:jc w:val="left"/>
        <w:rPr>
          <w:rFonts w:ascii="Arial Narrow" w:hAnsi="Arial Narrow" w:cs="Arial"/>
          <w:snapToGrid w:val="0"/>
          <w:sz w:val="18"/>
          <w:szCs w:val="20"/>
          <w:vertAlign w:val="superscript"/>
          <w:lang w:eastAsia="en-US"/>
        </w:rPr>
      </w:pPr>
      <w:r>
        <w:rPr>
          <w:rFonts w:ascii="Arial Narrow" w:hAnsi="Arial Narrow" w:cs="Arial"/>
          <w:snapToGrid w:val="0"/>
          <w:sz w:val="18"/>
          <w:szCs w:val="20"/>
          <w:vertAlign w:val="superscript"/>
          <w:lang w:eastAsia="en-US"/>
        </w:rPr>
        <w:t xml:space="preserve">a </w:t>
      </w:r>
      <w:r w:rsidRPr="00A3449C">
        <w:rPr>
          <w:rFonts w:ascii="Arial Narrow" w:hAnsi="Arial Narrow" w:cs="Arial"/>
          <w:snapToGrid w:val="0"/>
          <w:sz w:val="18"/>
          <w:szCs w:val="20"/>
          <w:lang w:eastAsia="en-US"/>
        </w:rPr>
        <w:t>French ver</w:t>
      </w:r>
      <w:r>
        <w:rPr>
          <w:rFonts w:ascii="Arial Narrow" w:hAnsi="Arial Narrow" w:cs="Arial"/>
          <w:snapToGrid w:val="0"/>
          <w:sz w:val="18"/>
          <w:szCs w:val="20"/>
          <w:lang w:eastAsia="en-US"/>
        </w:rPr>
        <w:t>sion of Multiple Sclerosis QoL-54 Instrument</w:t>
      </w:r>
    </w:p>
    <w:p w14:paraId="01675E88" w14:textId="77777777" w:rsidR="00976772" w:rsidRDefault="00A3449C" w:rsidP="00976772">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b</w:t>
      </w:r>
      <w:r w:rsidR="00976772" w:rsidRPr="00976772">
        <w:rPr>
          <w:rFonts w:ascii="Arial Narrow" w:hAnsi="Arial Narrow" w:cs="Arial"/>
          <w:snapToGrid w:val="0"/>
          <w:sz w:val="18"/>
          <w:szCs w:val="20"/>
          <w:vertAlign w:val="superscript"/>
          <w:lang w:eastAsia="en-US"/>
        </w:rPr>
        <w:t xml:space="preserve"> </w:t>
      </w:r>
      <w:r w:rsidR="00976772" w:rsidRPr="00976772">
        <w:rPr>
          <w:rFonts w:ascii="Arial Narrow" w:hAnsi="Arial Narrow" w:cs="Arial"/>
          <w:snapToGrid w:val="0"/>
          <w:sz w:val="18"/>
          <w:szCs w:val="20"/>
          <w:lang w:eastAsia="en-US"/>
        </w:rPr>
        <w:t>French version of the Fatigue Impact Scale</w:t>
      </w:r>
    </w:p>
    <w:p w14:paraId="75A23B2E" w14:textId="77777777" w:rsidR="00E56524" w:rsidRPr="00E56524" w:rsidRDefault="00E56524" w:rsidP="00976772">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 xml:space="preserve">c </w:t>
      </w:r>
      <w:r w:rsidRPr="00430BAD">
        <w:rPr>
          <w:rStyle w:val="TablenotesChar0"/>
        </w:rPr>
        <w:t>Depressive Mood Scale</w:t>
      </w:r>
    </w:p>
    <w:p w14:paraId="6BC54141" w14:textId="77777777" w:rsidR="00976772" w:rsidRDefault="00976772" w:rsidP="00C91B47">
      <w:pPr>
        <w:rPr>
          <w:snapToGrid w:val="0"/>
          <w:lang w:eastAsia="en-US"/>
        </w:rPr>
      </w:pPr>
    </w:p>
    <w:p w14:paraId="0965556D" w14:textId="77777777" w:rsidR="00AB0740" w:rsidRPr="00976772" w:rsidRDefault="00C91B47" w:rsidP="00AB0740">
      <w:pPr>
        <w:pStyle w:val="Heading3"/>
      </w:pPr>
      <w:bookmarkStart w:id="350" w:name="_Toc39588342"/>
      <w:r>
        <w:t>Results</w:t>
      </w:r>
      <w:r w:rsidR="00AB0740">
        <w:t xml:space="preserve"> of the systematic literature review</w:t>
      </w:r>
      <w:bookmarkEnd w:id="350"/>
    </w:p>
    <w:p w14:paraId="0F8ADEFD" w14:textId="7160A273" w:rsidR="00AB0740" w:rsidRPr="00976772" w:rsidRDefault="00AB0740" w:rsidP="00AB0740">
      <w:r w:rsidRPr="00976772">
        <w:t xml:space="preserve">All included </w:t>
      </w:r>
      <w:r w:rsidR="00E74774">
        <w:t>HRQoL</w:t>
      </w:r>
      <w:r w:rsidRPr="00976772">
        <w:t xml:space="preserve"> studies were cross-sectional in design. Three of the studies </w:t>
      </w:r>
      <w:r w:rsidR="00156621">
        <w:fldChar w:fldCharType="begin">
          <w:fldData xml:space="preserve">PEVuZE5vdGU+PENpdGU+PEF1dGhvcj5CZWVrbWFuPC9BdXRob3I+PFllYXI+MjAxOTwvWWVhcj48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</w:fldData>
        </w:fldChar>
      </w:r>
      <w:r w:rsidR="00024910">
        <w:instrText xml:space="preserve"> ADDIN EN.CITE </w:instrText>
      </w:r>
      <w:r w:rsidR="00024910">
        <w:fldChar w:fldCharType="begin">
          <w:fldData xml:space="preserve">PEVuZE5vdGU+PENpdGU+PEF1dGhvcj5CZWVrbWFuPC9BdXRob3I+PFllYXI+MjAxOTwvWWVhcj48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</w:fldData>
        </w:fldChar>
      </w:r>
      <w:r w:rsidR="00024910">
        <w:instrText xml:space="preserve"> ADDIN EN.CITE.DATA </w:instrText>
      </w:r>
      <w:r w:rsidR="00024910">
        <w:fldChar w:fldCharType="end"/>
      </w:r>
      <w:r w:rsidR="00156621">
        <w:fldChar w:fldCharType="separate"/>
      </w:r>
      <w:r w:rsidR="00024910">
        <w:rPr>
          <w:noProof/>
        </w:rPr>
        <w:t>(Beekman et al. 2019; Kanamori et al. 2011; Mutch et al. 2015)</w:t>
      </w:r>
      <w:r w:rsidR="00156621">
        <w:fldChar w:fldCharType="end"/>
      </w:r>
      <w:r w:rsidRPr="00976772">
        <w:t xml:space="preserve"> assessed the impact of NMO/NMOSD on </w:t>
      </w:r>
      <w:r w:rsidR="0025298D">
        <w:t>HRQoL</w:t>
      </w:r>
      <w:r w:rsidRPr="00976772">
        <w:t xml:space="preserve"> in adults using the patient-reported short form-36 (SF-36) survey of patient health and daily function, while a further study </w:t>
      </w:r>
      <w:r w:rsidR="00156621">
        <w:fldChar w:fldCharType="begin">
          <w:fldData xml:space="preserve">PEVuZE5vdGU+PENpdGU+PEF1dGhvcj5DaGFuc29uPC9BdXRob3I+PFllYXI+MjAxMTwvWWVhcj48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</w:fldData>
        </w:fldChar>
      </w:r>
      <w:r w:rsidR="00D96694">
        <w:instrText xml:space="preserve"> ADDIN EN.CITE </w:instrText>
      </w:r>
      <w:r w:rsidR="00D96694">
        <w:fldChar w:fldCharType="begin">
          <w:fldData xml:space="preserve">PEVuZE5vdGU+PENpdGU+PEF1dGhvcj5DaGFuc29uPC9BdXRob3I+PFllYXI+MjAxMTwvWWVhcj48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</w:fldData>
        </w:fldChar>
      </w:r>
      <w:r w:rsidR="00D96694">
        <w:instrText xml:space="preserve"> ADDIN EN.CITE.DATA </w:instrText>
      </w:r>
      <w:r w:rsidR="00D96694">
        <w:fldChar w:fldCharType="end"/>
      </w:r>
      <w:r w:rsidR="00156621">
        <w:fldChar w:fldCharType="separate"/>
      </w:r>
      <w:r w:rsidR="00156621">
        <w:rPr>
          <w:noProof/>
        </w:rPr>
        <w:t>(Chanson et al. 2011)</w:t>
      </w:r>
      <w:r w:rsidR="00156621">
        <w:fldChar w:fldCharType="end"/>
      </w:r>
      <w:r w:rsidRPr="00976772">
        <w:t xml:space="preserve"> used a French health-related quality of life self-questionnaire SEP-</w:t>
      </w:r>
      <w:r w:rsidRPr="00976772">
        <w:lastRenderedPageBreak/>
        <w:t xml:space="preserve">59. One study </w:t>
      </w:r>
      <w:r w:rsidR="00156621">
        <w:fldChar w:fldCharType="begin">
          <w:fldData xml:space="preserve">PEVuZE5vdGU+PENpdGU+PEF1dGhvcj5LYW5hbW9yaTwvQXV0aG9yPjxZZWFyPjIwMTE8L1llYXI+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</w:fldData>
        </w:fldChar>
      </w:r>
      <w:r w:rsidR="00D96694">
        <w:instrText xml:space="preserve"> ADDIN EN.CITE </w:instrText>
      </w:r>
      <w:r w:rsidR="00D96694">
        <w:fldChar w:fldCharType="begin">
          <w:fldData xml:space="preserve">PEVuZE5vdGU+PENpdGU+PEF1dGhvcj5LYW5hbW9yaTwvQXV0aG9yPjxZZWFyPjIwMTE8L1llYXI+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</w:fldData>
        </w:fldChar>
      </w:r>
      <w:r w:rsidR="00D96694">
        <w:instrText xml:space="preserve"> ADDIN EN.CITE.DATA </w:instrText>
      </w:r>
      <w:r w:rsidR="00D96694">
        <w:fldChar w:fldCharType="end"/>
      </w:r>
      <w:r w:rsidR="00156621">
        <w:fldChar w:fldCharType="separate"/>
      </w:r>
      <w:r w:rsidR="00156621">
        <w:rPr>
          <w:noProof/>
        </w:rPr>
        <w:t>(Kanamori et al. 2011)</w:t>
      </w:r>
      <w:r w:rsidR="00156621">
        <w:fldChar w:fldCharType="end"/>
      </w:r>
      <w:r w:rsidRPr="00976772">
        <w:t xml:space="preserve"> analysed pain and its impact on daily and health related QoL </w:t>
      </w:r>
      <w:r w:rsidR="00A0762B">
        <w:t>i</w:t>
      </w:r>
      <w:r w:rsidRPr="00976772">
        <w:t xml:space="preserve">n NMO using the short form Brief Pain Inventory (BPI) and compared the data with those in MS. </w:t>
      </w:r>
    </w:p>
    <w:p w14:paraId="5D993FB7" w14:textId="77777777" w:rsidR="00AB0740" w:rsidRPr="00976772" w:rsidRDefault="00AB0740" w:rsidP="00AB0740">
      <w:r w:rsidRPr="00976772">
        <w:t>The SF-36 consists of 36 questions divided up into 8 domains: physical functioning, role</w:t>
      </w:r>
      <w:r w:rsidR="00A0762B">
        <w:t>-</w:t>
      </w:r>
      <w:r w:rsidRPr="00976772">
        <w:t>physical, bodily pain, general health, vitality, social functioning, role</w:t>
      </w:r>
      <w:r w:rsidR="00A0762B">
        <w:t>-</w:t>
      </w:r>
      <w:r w:rsidRPr="00976772">
        <w:t xml:space="preserve">emotional, and mental health. Each domain is scored on a 0 to 100 basis with a higher score indicating better QoL. </w:t>
      </w:r>
    </w:p>
    <w:p w14:paraId="5B2E24F9" w14:textId="4DBE78DE" w:rsidR="00AB0740" w:rsidRPr="00976772" w:rsidRDefault="00AB0740" w:rsidP="00AB0740">
      <w:r w:rsidRPr="00976772">
        <w:t xml:space="preserve">Beekman et al. </w:t>
      </w:r>
      <w:r w:rsidR="00156621">
        <w:fldChar w:fldCharType="begin">
          <w:fldData xml:space="preserve">PEVuZE5vdGU+PENpdGU+PEF1dGhvcj5CZWVrbWFuPC9BdXRob3I+PFllYXI+MjAxOTwvWWVhcj48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</w:fldData>
        </w:fldChar>
      </w:r>
      <w:r w:rsidR="00024910">
        <w:instrText xml:space="preserve"> ADDIN EN.CITE </w:instrText>
      </w:r>
      <w:r w:rsidR="00024910">
        <w:fldChar w:fldCharType="begin">
          <w:fldData xml:space="preserve">PEVuZE5vdGU+PENpdGU+PEF1dGhvcj5CZWVrbWFuPC9BdXRob3I+PFllYXI+MjAxOTwvWWVhcj48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</w:fldData>
        </w:fldChar>
      </w:r>
      <w:r w:rsidR="00024910">
        <w:instrText xml:space="preserve"> ADDIN EN.CITE.DATA </w:instrText>
      </w:r>
      <w:r w:rsidR="00024910">
        <w:fldChar w:fldCharType="end"/>
      </w:r>
      <w:r w:rsidR="00156621">
        <w:fldChar w:fldCharType="separate"/>
      </w:r>
      <w:r w:rsidR="00024910">
        <w:rPr>
          <w:noProof/>
        </w:rPr>
        <w:t>(Beekman et al. 2019)</w:t>
      </w:r>
      <w:r w:rsidR="00156621">
        <w:fldChar w:fldCharType="end"/>
      </w:r>
      <w:r w:rsidRPr="00976772">
        <w:t xml:space="preserve"> reported only the role-physical and role-emotional subscales of the SF-36, and Mutch et al. 2015 </w:t>
      </w:r>
      <w:r w:rsidR="00156621">
        <w:fldChar w:fldCharType="begin">
          <w:fldData xml:space="preserve">PEVuZE5vdGU+PENpdGU+PEF1dGhvcj5NdXRjaDwvQXV0aG9yPjxZZWFyPjIwMTU8L1llYXI+PFJl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</w:fldData>
        </w:fldChar>
      </w:r>
      <w:r w:rsidR="00D96694">
        <w:instrText xml:space="preserve"> ADDIN EN.CITE </w:instrText>
      </w:r>
      <w:r w:rsidR="00D96694">
        <w:fldChar w:fldCharType="begin">
          <w:fldData xml:space="preserve">PEVuZE5vdGU+PENpdGU+PEF1dGhvcj5NdXRjaDwvQXV0aG9yPjxZZWFyPjIwMTU8L1llYXI+PFJl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</w:fldData>
        </w:fldChar>
      </w:r>
      <w:r w:rsidR="00D96694">
        <w:instrText xml:space="preserve"> ADDIN EN.CITE.DATA </w:instrText>
      </w:r>
      <w:r w:rsidR="00D96694">
        <w:fldChar w:fldCharType="end"/>
      </w:r>
      <w:r w:rsidR="00156621">
        <w:fldChar w:fldCharType="separate"/>
      </w:r>
      <w:r w:rsidR="00156621">
        <w:rPr>
          <w:noProof/>
        </w:rPr>
        <w:t>(Mutch et al. 2015)</w:t>
      </w:r>
      <w:r w:rsidR="00156621">
        <w:fldChar w:fldCharType="end"/>
      </w:r>
      <w:r w:rsidRPr="00976772">
        <w:t xml:space="preserve"> provided Physical and Mental Component Summary Scores only. Kanamori et al. </w:t>
      </w:r>
      <w:r w:rsidR="00156621">
        <w:fldChar w:fldCharType="begin">
          <w:fldData xml:space="preserve">PEVuZE5vdGU+PENpdGU+PEF1dGhvcj5LYW5hbW9yaTwvQXV0aG9yPjxZZWFyPjIwMTE8L1llYXI+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</w:fldData>
        </w:fldChar>
      </w:r>
      <w:r w:rsidR="00D96694">
        <w:instrText xml:space="preserve"> ADDIN EN.CITE </w:instrText>
      </w:r>
      <w:r w:rsidR="00D96694">
        <w:fldChar w:fldCharType="begin">
          <w:fldData xml:space="preserve">PEVuZE5vdGU+PENpdGU+PEF1dGhvcj5LYW5hbW9yaTwvQXV0aG9yPjxZZWFyPjIwMTE8L1llYXI+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</w:fldData>
        </w:fldChar>
      </w:r>
      <w:r w:rsidR="00D96694">
        <w:instrText xml:space="preserve"> ADDIN EN.CITE.DATA </w:instrText>
      </w:r>
      <w:r w:rsidR="00D96694">
        <w:fldChar w:fldCharType="end"/>
      </w:r>
      <w:r w:rsidR="00156621">
        <w:fldChar w:fldCharType="separate"/>
      </w:r>
      <w:r w:rsidR="00156621">
        <w:rPr>
          <w:noProof/>
        </w:rPr>
        <w:t>(Kanamori et al. 2011)</w:t>
      </w:r>
      <w:r w:rsidR="00156621">
        <w:fldChar w:fldCharType="end"/>
      </w:r>
      <w:r w:rsidRPr="00976772">
        <w:t xml:space="preserve"> used </w:t>
      </w:r>
      <w:r w:rsidR="00E47377">
        <w:t>a</w:t>
      </w:r>
      <w:r w:rsidRPr="00976772">
        <w:t xml:space="preserve"> Japanese version of</w:t>
      </w:r>
      <w:r w:rsidR="00A0762B">
        <w:t xml:space="preserve"> the</w:t>
      </w:r>
      <w:r w:rsidRPr="00976772">
        <w:t xml:space="preserve"> SF-36 and compared the scores </w:t>
      </w:r>
      <w:r w:rsidR="00A0762B">
        <w:t>in</w:t>
      </w:r>
      <w:r w:rsidR="00A0762B" w:rsidRPr="00976772">
        <w:t xml:space="preserve"> </w:t>
      </w:r>
      <w:r w:rsidRPr="00976772">
        <w:t xml:space="preserve">NMO and MS with that of the Japanese norm. </w:t>
      </w:r>
    </w:p>
    <w:p w14:paraId="144D47F7" w14:textId="08D0D041" w:rsidR="00AB0740" w:rsidRDefault="00AB0740" w:rsidP="00AB0740">
      <w:r w:rsidRPr="00976772">
        <w:t xml:space="preserve">Two studies </w:t>
      </w:r>
      <w:r w:rsidR="00156621">
        <w:fldChar w:fldCharType="begin">
          <w:fldData xml:space="preserve">PEVuZE5vdGU+PENpdGU+PEF1dGhvcj5CZWVrbWFuPC9BdXRob3I+PFllYXI+MjAxOTwvWWVhcj48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</w:fldData>
        </w:fldChar>
      </w:r>
      <w:r w:rsidR="00024910">
        <w:instrText xml:space="preserve"> ADDIN EN.CITE </w:instrText>
      </w:r>
      <w:r w:rsidR="00024910">
        <w:fldChar w:fldCharType="begin">
          <w:fldData xml:space="preserve">PEVuZE5vdGU+PENpdGU+PEF1dGhvcj5CZWVrbWFuPC9BdXRob3I+PFllYXI+MjAxOTwvWWVhcj48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</w:fldData>
        </w:fldChar>
      </w:r>
      <w:r w:rsidR="00024910">
        <w:instrText xml:space="preserve"> ADDIN EN.CITE.DATA </w:instrText>
      </w:r>
      <w:r w:rsidR="00024910">
        <w:fldChar w:fldCharType="end"/>
      </w:r>
      <w:r w:rsidR="00156621">
        <w:fldChar w:fldCharType="separate"/>
      </w:r>
      <w:r w:rsidR="00024910">
        <w:rPr>
          <w:noProof/>
        </w:rPr>
        <w:t>(Beekman et al. 2019; Kanamori et al. 2011)</w:t>
      </w:r>
      <w:r w:rsidR="00156621">
        <w:fldChar w:fldCharType="end"/>
      </w:r>
      <w:r w:rsidRPr="00976772">
        <w:t xml:space="preserve"> normalised the scoring of each domain to individuals in the general population having a score of 50, while the remaining study</w:t>
      </w:r>
      <w:r w:rsidR="00D46380">
        <w:t xml:space="preserve"> </w:t>
      </w:r>
      <w:r w:rsidR="00156621">
        <w:fldChar w:fldCharType="begin">
          <w:fldData xml:space="preserve">PEVuZE5vdGU+PENpdGU+PEF1dGhvcj5NdXRjaDwvQXV0aG9yPjxZZWFyPjIwMTU8L1llYXI+PFJl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</w:fldData>
        </w:fldChar>
      </w:r>
      <w:r w:rsidR="00D96694">
        <w:instrText xml:space="preserve"> ADDIN EN.CITE </w:instrText>
      </w:r>
      <w:r w:rsidR="00D96694">
        <w:fldChar w:fldCharType="begin">
          <w:fldData xml:space="preserve">PEVuZE5vdGU+PENpdGU+PEF1dGhvcj5NdXRjaDwvQXV0aG9yPjxZZWFyPjIwMTU8L1llYXI+PFJl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</w:fldData>
        </w:fldChar>
      </w:r>
      <w:r w:rsidR="00D96694">
        <w:instrText xml:space="preserve"> ADDIN EN.CITE.DATA </w:instrText>
      </w:r>
      <w:r w:rsidR="00D96694">
        <w:fldChar w:fldCharType="end"/>
      </w:r>
      <w:r w:rsidR="00156621">
        <w:fldChar w:fldCharType="separate"/>
      </w:r>
      <w:r w:rsidR="00156621">
        <w:rPr>
          <w:noProof/>
        </w:rPr>
        <w:t>(Mutch et al. 2015)</w:t>
      </w:r>
      <w:r w:rsidR="00156621">
        <w:fldChar w:fldCharType="end"/>
      </w:r>
      <w:r w:rsidRPr="00976772">
        <w:t xml:space="preserve"> reported that SF-36 scores were transformed into the standard 0 to 100 scale using the RAND algorithm</w:t>
      </w:r>
      <w:r w:rsidR="00E8111E">
        <w:t>, but further information was lacking</w:t>
      </w:r>
      <w:r w:rsidRPr="00976772">
        <w:t xml:space="preserve">. </w:t>
      </w:r>
    </w:p>
    <w:p w14:paraId="73CE8A98" w14:textId="275E46D2" w:rsidR="00AB0740" w:rsidRPr="00976772" w:rsidRDefault="00AB0740" w:rsidP="00AB0740">
      <w:r w:rsidRPr="00976772">
        <w:t xml:space="preserve">Results of included studies </w:t>
      </w:r>
      <w:r w:rsidR="00D465C5">
        <w:t>were reported as either means or medians</w:t>
      </w:r>
      <w:r w:rsidR="00DB3FF7">
        <w:t xml:space="preserve">. </w:t>
      </w:r>
      <w:r w:rsidRPr="00976772">
        <w:t xml:space="preserve">NMO/NMOSD </w:t>
      </w:r>
      <w:r w:rsidR="00AA7C75">
        <w:t>appeared to have</w:t>
      </w:r>
      <w:r w:rsidRPr="00976772">
        <w:t xml:space="preserve"> a negative effect on physical functioning when compared to the general population, but wide standard deviations were reported, particularly for the study by Beekman et al. </w:t>
      </w:r>
      <w:r w:rsidR="00156621">
        <w:fldChar w:fldCharType="begin">
          <w:fldData xml:space="preserve">PEVuZE5vdGU+PENpdGU+PEF1dGhvcj5CZWVrbWFuPC9BdXRob3I+PFllYXI+MjAxOTwvWWVhcj48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</w:fldData>
        </w:fldChar>
      </w:r>
      <w:r w:rsidR="00024910">
        <w:instrText xml:space="preserve"> ADDIN EN.CITE </w:instrText>
      </w:r>
      <w:r w:rsidR="00024910">
        <w:fldChar w:fldCharType="begin">
          <w:fldData xml:space="preserve">PEVuZE5vdGU+PENpdGU+PEF1dGhvcj5CZWVrbWFuPC9BdXRob3I+PFllYXI+MjAxOTwvWWVhcj48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</w:fldData>
        </w:fldChar>
      </w:r>
      <w:r w:rsidR="00024910">
        <w:instrText xml:space="preserve"> ADDIN EN.CITE.DATA </w:instrText>
      </w:r>
      <w:r w:rsidR="00024910">
        <w:fldChar w:fldCharType="end"/>
      </w:r>
      <w:r w:rsidR="00156621">
        <w:fldChar w:fldCharType="separate"/>
      </w:r>
      <w:r w:rsidR="00024910">
        <w:rPr>
          <w:noProof/>
        </w:rPr>
        <w:t>(Beekman et al. 2019)</w:t>
      </w:r>
      <w:r w:rsidR="00156621">
        <w:fldChar w:fldCharType="end"/>
      </w:r>
      <w:r w:rsidRPr="00976772">
        <w:t xml:space="preserve"> suggesting a wide variation amongst results. The results of emotional health showed greater differences between studies, and only one study </w:t>
      </w:r>
      <w:r w:rsidR="00156621">
        <w:fldChar w:fldCharType="begin">
          <w:fldData xml:space="preserve">PEVuZE5vdGU+PENpdGU+PEF1dGhvcj5LYW5hbW9yaTwvQXV0aG9yPjxZZWFyPjIwMTE8L1llYXI+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</w:fldData>
        </w:fldChar>
      </w:r>
      <w:r w:rsidR="00D96694">
        <w:instrText xml:space="preserve"> ADDIN EN.CITE </w:instrText>
      </w:r>
      <w:r w:rsidR="00D96694">
        <w:fldChar w:fldCharType="begin">
          <w:fldData xml:space="preserve">PEVuZE5vdGU+PENpdGU+PEF1dGhvcj5LYW5hbW9yaTwvQXV0aG9yPjxZZWFyPjIwMTE8L1llYXI+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</w:fldData>
        </w:fldChar>
      </w:r>
      <w:r w:rsidR="00D96694">
        <w:instrText xml:space="preserve"> ADDIN EN.CITE.DATA </w:instrText>
      </w:r>
      <w:r w:rsidR="00D96694">
        <w:fldChar w:fldCharType="end"/>
      </w:r>
      <w:r w:rsidR="00156621">
        <w:fldChar w:fldCharType="separate"/>
      </w:r>
      <w:r w:rsidR="00156621">
        <w:rPr>
          <w:noProof/>
        </w:rPr>
        <w:t>(Kanamori et al. 2011)</w:t>
      </w:r>
      <w:r w:rsidR="00156621">
        <w:fldChar w:fldCharType="end"/>
      </w:r>
      <w:r w:rsidRPr="00976772">
        <w:t xml:space="preserve"> show</w:t>
      </w:r>
      <w:r w:rsidR="00A0762B">
        <w:t>ed</w:t>
      </w:r>
      <w:r w:rsidRPr="00976772">
        <w:t xml:space="preserve"> a negative effect on emotional health in those with NMO/NMOSD compared to the general population. Another study showed marginal impairment in emotional health </w:t>
      </w:r>
      <w:r w:rsidR="00156621">
        <w:fldChar w:fldCharType="begin">
          <w:fldData xml:space="preserve">PEVuZE5vdGU+PENpdGU+PEF1dGhvcj5NdXRjaDwvQXV0aG9yPjxZZWFyPjIwMTU8L1llYXI+PFJl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</w:fldData>
        </w:fldChar>
      </w:r>
      <w:r w:rsidR="00D96694">
        <w:instrText xml:space="preserve"> ADDIN EN.CITE </w:instrText>
      </w:r>
      <w:r w:rsidR="00D96694">
        <w:fldChar w:fldCharType="begin">
          <w:fldData xml:space="preserve">PEVuZE5vdGU+PENpdGU+PEF1dGhvcj5NdXRjaDwvQXV0aG9yPjxZZWFyPjIwMTU8L1llYXI+PFJl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</w:fldData>
        </w:fldChar>
      </w:r>
      <w:r w:rsidR="00D96694">
        <w:instrText xml:space="preserve"> ADDIN EN.CITE.DATA </w:instrText>
      </w:r>
      <w:r w:rsidR="00D96694">
        <w:fldChar w:fldCharType="end"/>
      </w:r>
      <w:r w:rsidR="00156621">
        <w:fldChar w:fldCharType="separate"/>
      </w:r>
      <w:r w:rsidR="00156621">
        <w:rPr>
          <w:noProof/>
        </w:rPr>
        <w:t>(Mutch et al. 2015)</w:t>
      </w:r>
      <w:r w:rsidR="00156621">
        <w:fldChar w:fldCharType="end"/>
      </w:r>
      <w:r w:rsidRPr="00976772">
        <w:t xml:space="preserve">, and one study </w:t>
      </w:r>
      <w:r w:rsidR="00156621">
        <w:fldChar w:fldCharType="begin">
          <w:fldData xml:space="preserve">PEVuZE5vdGU+PENpdGU+PEF1dGhvcj5CZWVrbWFuPC9BdXRob3I+PFllYXI+MjAxOTwvWWVhcj48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</w:fldData>
        </w:fldChar>
      </w:r>
      <w:r w:rsidR="00024910">
        <w:instrText xml:space="preserve"> ADDIN EN.CITE </w:instrText>
      </w:r>
      <w:r w:rsidR="00024910">
        <w:fldChar w:fldCharType="begin">
          <w:fldData xml:space="preserve">PEVuZE5vdGU+PENpdGU+PEF1dGhvcj5CZWVrbWFuPC9BdXRob3I+PFllYXI+MjAxOTwvWWVhcj48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</w:fldData>
        </w:fldChar>
      </w:r>
      <w:r w:rsidR="00024910">
        <w:instrText xml:space="preserve"> ADDIN EN.CITE.DATA </w:instrText>
      </w:r>
      <w:r w:rsidR="00024910">
        <w:fldChar w:fldCharType="end"/>
      </w:r>
      <w:r w:rsidR="00156621">
        <w:fldChar w:fldCharType="separate"/>
      </w:r>
      <w:r w:rsidR="00024910">
        <w:rPr>
          <w:noProof/>
        </w:rPr>
        <w:t>(Beekman et al. 2019)</w:t>
      </w:r>
      <w:r w:rsidR="00156621">
        <w:fldChar w:fldCharType="end"/>
      </w:r>
      <w:r w:rsidRPr="00976772">
        <w:t xml:space="preserve"> reported no impairment in emotional health. </w:t>
      </w:r>
    </w:p>
    <w:p w14:paraId="55A7EE71" w14:textId="2440DD2B" w:rsidR="00AB0740" w:rsidRPr="00976772" w:rsidRDefault="00AB0740" w:rsidP="00AB0740">
      <w:r w:rsidRPr="00976772">
        <w:fldChar w:fldCharType="begin"/>
      </w:r>
      <w:r w:rsidRPr="00976772">
        <w:instrText xml:space="preserve"> REF _Ref29902254 \h </w:instrText>
      </w:r>
      <w:r>
        <w:instrText xml:space="preserve"> \* MERGEFORMAT </w:instrText>
      </w:r>
      <w:r w:rsidRPr="00976772">
        <w:fldChar w:fldCharType="separate"/>
      </w:r>
      <w:r w:rsidR="003F364D" w:rsidRPr="003F364D">
        <w:t>Table 66</w:t>
      </w:r>
      <w:r w:rsidRPr="00976772">
        <w:fldChar w:fldCharType="end"/>
      </w:r>
      <w:r w:rsidRPr="00976772">
        <w:t xml:space="preserve"> provides a summary of the impact of </w:t>
      </w:r>
      <w:r w:rsidR="00D17910">
        <w:t>HR</w:t>
      </w:r>
      <w:r w:rsidRPr="00976772">
        <w:t>QoL in adults with NMO/NMOSD using the SF-36.</w:t>
      </w:r>
    </w:p>
    <w:p w14:paraId="26733D65" w14:textId="78A1FFC6" w:rsidR="00AB0740" w:rsidRPr="00976772" w:rsidRDefault="00AB0740" w:rsidP="00A87AE2">
      <w:pPr>
        <w:pStyle w:val="TableHeading"/>
        <w:rPr>
          <w:snapToGrid w:val="0"/>
          <w:vertAlign w:val="superscript"/>
        </w:rPr>
      </w:pPr>
      <w:bookmarkStart w:id="351" w:name="_Ref29902254"/>
      <w:bookmarkStart w:id="352" w:name="_Toc39580847"/>
      <w:r w:rsidRPr="00976772">
        <w:rPr>
          <w:snapToGrid w:val="0"/>
        </w:rPr>
        <w:t xml:space="preserve">Table </w:t>
      </w:r>
      <w:r w:rsidRPr="00976772">
        <w:rPr>
          <w:snapToGrid w:val="0"/>
        </w:rPr>
        <w:fldChar w:fldCharType="begin"/>
      </w:r>
      <w:r w:rsidRPr="00976772">
        <w:rPr>
          <w:snapToGrid w:val="0"/>
        </w:rPr>
        <w:instrText xml:space="preserve"> SEQ Table \* ARABIC </w:instrText>
      </w:r>
      <w:r w:rsidRPr="00976772">
        <w:rPr>
          <w:snapToGrid w:val="0"/>
        </w:rPr>
        <w:fldChar w:fldCharType="separate"/>
      </w:r>
      <w:r w:rsidR="00FA7BCD">
        <w:rPr>
          <w:noProof/>
          <w:snapToGrid w:val="0"/>
        </w:rPr>
        <w:t>66</w:t>
      </w:r>
      <w:r w:rsidRPr="00976772">
        <w:rPr>
          <w:noProof/>
          <w:snapToGrid w:val="0"/>
        </w:rPr>
        <w:fldChar w:fldCharType="end"/>
      </w:r>
      <w:bookmarkEnd w:id="351"/>
      <w:r w:rsidRPr="00976772">
        <w:rPr>
          <w:snapToGrid w:val="0"/>
        </w:rPr>
        <w:tab/>
        <w:t xml:space="preserve">Impact of </w:t>
      </w:r>
      <w:r w:rsidR="00D465C5">
        <w:rPr>
          <w:snapToGrid w:val="0"/>
        </w:rPr>
        <w:t>HR</w:t>
      </w:r>
      <w:r w:rsidRPr="00976772">
        <w:rPr>
          <w:snapToGrid w:val="0"/>
        </w:rPr>
        <w:t xml:space="preserve">QoL </w:t>
      </w:r>
      <w:r>
        <w:rPr>
          <w:snapToGrid w:val="0"/>
        </w:rPr>
        <w:t xml:space="preserve">(physical and emotional functioning) </w:t>
      </w:r>
      <w:r w:rsidRPr="00976772">
        <w:rPr>
          <w:snapToGrid w:val="0"/>
        </w:rPr>
        <w:t>in adults with NMO/NMOSD using Short-Form-36</w:t>
      </w:r>
      <w:bookmarkEnd w:id="352"/>
      <w:r w:rsidRPr="00976772">
        <w:rPr>
          <w:snapToGrid w:val="0"/>
        </w:rPr>
        <w:t xml:space="preserve"> </w:t>
      </w:r>
    </w:p>
    <w:tbl>
      <w:tblPr>
        <w:tblStyle w:val="TableGrid1"/>
        <w:tblW w:w="5000" w:type="pct"/>
        <w:tblCellMar>
          <w:left w:w="28" w:type="dxa"/>
          <w:right w:w="28" w:type="dxa"/>
        </w:tblCellMar>
        <w:tblLook w:val="04A0" w:firstRow="1" w:lastRow="0" w:firstColumn="1" w:lastColumn="0" w:noHBand="0" w:noVBand="1"/>
        <w:tblCaption w:val="Table 66 Impact of HRQoL (physical and emotional functioning) in adults with NMO/NMOSD using Short-Form-36 (SF-36)a"/>
        <w:tblDescription w:val="Data from the SF-36 from studies reporting on quality of life in NMOSD patients"/>
      </w:tblPr>
      <w:tblGrid>
        <w:gridCol w:w="1368"/>
        <w:gridCol w:w="1367"/>
        <w:gridCol w:w="1513"/>
        <w:gridCol w:w="1417"/>
        <w:gridCol w:w="1560"/>
        <w:gridCol w:w="1791"/>
      </w:tblGrid>
      <w:tr w:rsidR="00AB0740" w:rsidRPr="00976772" w14:paraId="49F78E61" w14:textId="77777777" w:rsidTr="00DF77BA">
        <w:trPr>
          <w:cnfStyle w:val="100000000000" w:firstRow="1" w:lastRow="0" w:firstColumn="0" w:lastColumn="0" w:oddVBand="0" w:evenVBand="0" w:oddHBand="0" w:evenHBand="0" w:firstRowFirstColumn="0" w:firstRowLastColumn="0" w:lastRowFirstColumn="0" w:lastRowLastColumn="0"/>
          <w:tblHeader/>
        </w:trPr>
        <w:tc>
          <w:tcPr>
            <w:tcW w:w="759" w:type="pct"/>
            <w:shd w:val="clear" w:color="auto" w:fill="auto"/>
          </w:tcPr>
          <w:p w14:paraId="2E070517" w14:textId="77777777" w:rsidR="00AB0740" w:rsidRPr="00976772" w:rsidRDefault="00AB0740" w:rsidP="00DF77BA">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Study</w:t>
            </w:r>
          </w:p>
        </w:tc>
        <w:tc>
          <w:tcPr>
            <w:tcW w:w="758" w:type="pct"/>
            <w:shd w:val="clear" w:color="auto" w:fill="auto"/>
          </w:tcPr>
          <w:p w14:paraId="5E5AFC13" w14:textId="77777777" w:rsidR="00AB0740" w:rsidRPr="00976772" w:rsidRDefault="00AB0740" w:rsidP="00DF77BA">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 xml:space="preserve">Setting </w:t>
            </w:r>
          </w:p>
          <w:p w14:paraId="638551FF" w14:textId="77777777" w:rsidR="00AB0740" w:rsidRPr="00976772" w:rsidRDefault="00AB0740" w:rsidP="00DF77BA">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Number (N) of patients</w:t>
            </w:r>
          </w:p>
        </w:tc>
        <w:tc>
          <w:tcPr>
            <w:tcW w:w="839" w:type="pct"/>
            <w:shd w:val="clear" w:color="auto" w:fill="auto"/>
          </w:tcPr>
          <w:p w14:paraId="0CA78F76" w14:textId="77777777" w:rsidR="00AB0740" w:rsidRPr="00976772" w:rsidRDefault="00AB0740" w:rsidP="00DF77BA">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Impact of NMOSD on QoL using SF-36</w:t>
            </w:r>
          </w:p>
        </w:tc>
        <w:tc>
          <w:tcPr>
            <w:tcW w:w="786" w:type="pct"/>
            <w:shd w:val="clear" w:color="auto" w:fill="auto"/>
            <w:vAlign w:val="center"/>
          </w:tcPr>
          <w:p w14:paraId="133763F5" w14:textId="77777777" w:rsidR="00AB0740" w:rsidRPr="00976772" w:rsidRDefault="00AB0740" w:rsidP="00DF77BA">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 xml:space="preserve">Results </w:t>
            </w:r>
          </w:p>
          <w:p w14:paraId="4F02696C" w14:textId="77777777" w:rsidR="00AB0740" w:rsidRPr="00976772" w:rsidRDefault="00AB0740" w:rsidP="00DF77BA">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 xml:space="preserve">Med or Mean (±SD) </w:t>
            </w:r>
          </w:p>
        </w:tc>
        <w:tc>
          <w:tcPr>
            <w:tcW w:w="865" w:type="pct"/>
            <w:shd w:val="clear" w:color="auto" w:fill="auto"/>
            <w:vAlign w:val="center"/>
          </w:tcPr>
          <w:p w14:paraId="2A932FA6" w14:textId="77777777" w:rsidR="00AB0740" w:rsidRPr="00976772" w:rsidRDefault="00AB0740" w:rsidP="00DF77BA">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Impact of NMOSD on QoL using SF-36</w:t>
            </w:r>
          </w:p>
        </w:tc>
        <w:tc>
          <w:tcPr>
            <w:tcW w:w="993" w:type="pct"/>
            <w:shd w:val="clear" w:color="auto" w:fill="auto"/>
            <w:vAlign w:val="center"/>
          </w:tcPr>
          <w:p w14:paraId="6B97BDDB" w14:textId="77777777" w:rsidR="00AB0740" w:rsidRPr="00976772" w:rsidRDefault="00AB0740" w:rsidP="00DF77BA">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 xml:space="preserve">Results </w:t>
            </w:r>
          </w:p>
          <w:p w14:paraId="375B707F" w14:textId="77777777" w:rsidR="00AB0740" w:rsidRPr="00976772" w:rsidRDefault="00AB0740" w:rsidP="00DF77BA">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Med or Mean (±SD)</w:t>
            </w:r>
          </w:p>
        </w:tc>
      </w:tr>
      <w:tr w:rsidR="00AB0740" w:rsidRPr="00976772" w14:paraId="7CB4B4EC" w14:textId="77777777" w:rsidTr="00DF77BA">
        <w:tc>
          <w:tcPr>
            <w:tcW w:w="759" w:type="pct"/>
            <w:shd w:val="clear" w:color="auto" w:fill="auto"/>
          </w:tcPr>
          <w:p w14:paraId="391DFBB3" w14:textId="77777777" w:rsidR="00AB0740" w:rsidRPr="00976772" w:rsidRDefault="00AB0740" w:rsidP="00DF77BA">
            <w:pPr>
              <w:keepNext/>
              <w:spacing w:after="0"/>
              <w:contextualSpacing/>
              <w:jc w:val="left"/>
              <w:rPr>
                <w:rFonts w:ascii="Arial Narrow" w:hAnsi="Arial Narrow"/>
                <w:b/>
                <w:snapToGrid w:val="0"/>
                <w:lang w:eastAsia="en-US"/>
              </w:rPr>
            </w:pPr>
            <w:r w:rsidRPr="00976772">
              <w:rPr>
                <w:rFonts w:ascii="Arial Narrow" w:hAnsi="Arial Narrow"/>
                <w:b/>
                <w:snapToGrid w:val="0"/>
                <w:lang w:eastAsia="en-US"/>
              </w:rPr>
              <w:t xml:space="preserve">Beekman et al. 2019 </w:t>
            </w:r>
          </w:p>
        </w:tc>
        <w:tc>
          <w:tcPr>
            <w:tcW w:w="758" w:type="pct"/>
            <w:shd w:val="clear" w:color="auto" w:fill="auto"/>
          </w:tcPr>
          <w:p w14:paraId="4E4DE169" w14:textId="77777777" w:rsidR="00AB0740" w:rsidRPr="008A6DE0" w:rsidRDefault="00AB0740" w:rsidP="00DF77BA">
            <w:pPr>
              <w:keepNext/>
              <w:spacing w:after="0"/>
              <w:contextualSpacing/>
              <w:jc w:val="left"/>
              <w:rPr>
                <w:rFonts w:ascii="Arial Narrow" w:hAnsi="Arial Narrow"/>
                <w:snapToGrid w:val="0"/>
                <w:lang w:eastAsia="en-US"/>
              </w:rPr>
            </w:pPr>
            <w:r w:rsidRPr="008A6DE0">
              <w:rPr>
                <w:rFonts w:ascii="Arial Narrow" w:hAnsi="Arial Narrow"/>
                <w:snapToGrid w:val="0"/>
                <w:lang w:eastAsia="en-US"/>
              </w:rPr>
              <w:t>United States</w:t>
            </w:r>
          </w:p>
          <w:p w14:paraId="1CCD5BC1"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N=193</w:t>
            </w:r>
          </w:p>
        </w:tc>
        <w:tc>
          <w:tcPr>
            <w:tcW w:w="839" w:type="pct"/>
            <w:shd w:val="clear" w:color="auto" w:fill="auto"/>
          </w:tcPr>
          <w:p w14:paraId="0D45B017"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Role physical health</w:t>
            </w:r>
            <w:r w:rsidRPr="00976772">
              <w:rPr>
                <w:rFonts w:ascii="Arial Narrow" w:hAnsi="Arial Narrow"/>
                <w:snapToGrid w:val="0"/>
                <w:vertAlign w:val="superscript"/>
                <w:lang w:eastAsia="en-US"/>
              </w:rPr>
              <w:t>b</w:t>
            </w:r>
            <w:r w:rsidRPr="00976772">
              <w:rPr>
                <w:rFonts w:ascii="Arial Narrow" w:hAnsi="Arial Narrow"/>
                <w:snapToGrid w:val="0"/>
                <w:lang w:eastAsia="en-US"/>
              </w:rPr>
              <w:t xml:space="preserve"> </w:t>
            </w:r>
          </w:p>
        </w:tc>
        <w:tc>
          <w:tcPr>
            <w:tcW w:w="786" w:type="pct"/>
            <w:shd w:val="clear" w:color="auto" w:fill="auto"/>
          </w:tcPr>
          <w:p w14:paraId="458125F1"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Med 27.1 (±39.1)</w:t>
            </w:r>
          </w:p>
          <w:p w14:paraId="06996240" w14:textId="77777777" w:rsidR="00AB0740" w:rsidRPr="00976772" w:rsidRDefault="00AB0740" w:rsidP="00DF77BA">
            <w:pPr>
              <w:spacing w:after="0"/>
              <w:contextualSpacing/>
              <w:jc w:val="left"/>
              <w:rPr>
                <w:rFonts w:ascii="Arial Narrow" w:hAnsi="Arial Narrow"/>
                <w:snapToGrid w:val="0"/>
                <w:lang w:eastAsia="en-US"/>
              </w:rPr>
            </w:pPr>
          </w:p>
        </w:tc>
        <w:tc>
          <w:tcPr>
            <w:tcW w:w="865" w:type="pct"/>
            <w:shd w:val="clear" w:color="auto" w:fill="auto"/>
          </w:tcPr>
          <w:p w14:paraId="455AE09B"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Role emotional health</w:t>
            </w:r>
            <w:r w:rsidRPr="00976772">
              <w:rPr>
                <w:rFonts w:ascii="Arial Narrow" w:hAnsi="Arial Narrow"/>
                <w:snapToGrid w:val="0"/>
                <w:vertAlign w:val="superscript"/>
                <w:lang w:eastAsia="en-US"/>
              </w:rPr>
              <w:t>b</w:t>
            </w:r>
            <w:r w:rsidRPr="00976772">
              <w:rPr>
                <w:rFonts w:ascii="Arial Narrow" w:hAnsi="Arial Narrow"/>
                <w:snapToGrid w:val="0"/>
                <w:lang w:eastAsia="en-US"/>
              </w:rPr>
              <w:t xml:space="preserve"> </w:t>
            </w:r>
          </w:p>
        </w:tc>
        <w:tc>
          <w:tcPr>
            <w:tcW w:w="993" w:type="pct"/>
            <w:shd w:val="clear" w:color="auto" w:fill="auto"/>
          </w:tcPr>
          <w:p w14:paraId="4A676C5B"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Med 54.0 (±44.9)</w:t>
            </w:r>
          </w:p>
        </w:tc>
      </w:tr>
      <w:tr w:rsidR="00AB0740" w:rsidRPr="00976772" w14:paraId="6CD09A25" w14:textId="77777777" w:rsidTr="00DF77BA">
        <w:tc>
          <w:tcPr>
            <w:tcW w:w="759" w:type="pct"/>
            <w:shd w:val="clear" w:color="auto" w:fill="auto"/>
          </w:tcPr>
          <w:p w14:paraId="3B8DC815"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b/>
                <w:snapToGrid w:val="0"/>
                <w:lang w:eastAsia="en-US"/>
              </w:rPr>
              <w:t>Kanamori et al. 2011</w:t>
            </w:r>
          </w:p>
        </w:tc>
        <w:tc>
          <w:tcPr>
            <w:tcW w:w="758" w:type="pct"/>
            <w:shd w:val="clear" w:color="auto" w:fill="auto"/>
          </w:tcPr>
          <w:p w14:paraId="49419B54"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Japan</w:t>
            </w:r>
          </w:p>
          <w:p w14:paraId="74F0CD37"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N = 37</w:t>
            </w:r>
          </w:p>
        </w:tc>
        <w:tc>
          <w:tcPr>
            <w:tcW w:w="839" w:type="pct"/>
            <w:shd w:val="clear" w:color="auto" w:fill="auto"/>
          </w:tcPr>
          <w:p w14:paraId="54FD9FCE"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Role physical health</w:t>
            </w:r>
            <w:r w:rsidRPr="00976772">
              <w:rPr>
                <w:rFonts w:ascii="Arial Narrow" w:hAnsi="Arial Narrow"/>
                <w:snapToGrid w:val="0"/>
                <w:vertAlign w:val="superscript"/>
                <w:lang w:eastAsia="en-US"/>
              </w:rPr>
              <w:t>c</w:t>
            </w:r>
            <w:r w:rsidRPr="00976772">
              <w:rPr>
                <w:rFonts w:ascii="Arial Narrow" w:hAnsi="Arial Narrow"/>
                <w:snapToGrid w:val="0"/>
                <w:lang w:eastAsia="en-US"/>
              </w:rPr>
              <w:t xml:space="preserve"> </w:t>
            </w:r>
          </w:p>
        </w:tc>
        <w:tc>
          <w:tcPr>
            <w:tcW w:w="786" w:type="pct"/>
            <w:shd w:val="clear" w:color="auto" w:fill="auto"/>
          </w:tcPr>
          <w:p w14:paraId="20E8802C"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Mean 33.4 (±19.0)</w:t>
            </w:r>
          </w:p>
        </w:tc>
        <w:tc>
          <w:tcPr>
            <w:tcW w:w="865" w:type="pct"/>
            <w:shd w:val="clear" w:color="auto" w:fill="auto"/>
          </w:tcPr>
          <w:p w14:paraId="1289E5C3" w14:textId="77777777" w:rsidR="00AB0740" w:rsidRPr="00976772" w:rsidRDefault="00AB0740" w:rsidP="00DF77BA">
            <w:pPr>
              <w:spacing w:after="0"/>
              <w:contextualSpacing/>
              <w:jc w:val="left"/>
              <w:rPr>
                <w:rFonts w:ascii="Arial Narrow" w:hAnsi="Arial Narrow"/>
                <w:snapToGrid w:val="0"/>
                <w:vertAlign w:val="superscript"/>
                <w:lang w:eastAsia="en-US"/>
              </w:rPr>
            </w:pPr>
            <w:r w:rsidRPr="00976772">
              <w:rPr>
                <w:rFonts w:ascii="Arial Narrow" w:hAnsi="Arial Narrow"/>
                <w:snapToGrid w:val="0"/>
                <w:lang w:eastAsia="en-US"/>
              </w:rPr>
              <w:t>Role emotional health</w:t>
            </w:r>
            <w:r w:rsidRPr="00976772">
              <w:rPr>
                <w:rFonts w:ascii="Arial Narrow" w:hAnsi="Arial Narrow"/>
                <w:snapToGrid w:val="0"/>
                <w:vertAlign w:val="superscript"/>
                <w:lang w:eastAsia="en-US"/>
              </w:rPr>
              <w:t>c</w:t>
            </w:r>
          </w:p>
        </w:tc>
        <w:tc>
          <w:tcPr>
            <w:tcW w:w="993" w:type="pct"/>
            <w:shd w:val="clear" w:color="auto" w:fill="auto"/>
          </w:tcPr>
          <w:p w14:paraId="4F403225"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Mean 37.6 (±17.4)</w:t>
            </w:r>
          </w:p>
        </w:tc>
      </w:tr>
      <w:tr w:rsidR="00AB0740" w:rsidRPr="00976772" w14:paraId="50AE0742" w14:textId="77777777" w:rsidTr="00DF77BA">
        <w:tc>
          <w:tcPr>
            <w:tcW w:w="759" w:type="pct"/>
            <w:shd w:val="clear" w:color="auto" w:fill="auto"/>
          </w:tcPr>
          <w:p w14:paraId="19B65C14" w14:textId="77777777" w:rsidR="00AB0740" w:rsidRPr="00976772" w:rsidRDefault="00AB0740" w:rsidP="00DF77BA">
            <w:pPr>
              <w:spacing w:after="0"/>
              <w:contextualSpacing/>
              <w:jc w:val="left"/>
              <w:rPr>
                <w:rFonts w:ascii="Arial Narrow" w:hAnsi="Arial Narrow"/>
                <w:b/>
                <w:snapToGrid w:val="0"/>
                <w:lang w:eastAsia="en-US"/>
              </w:rPr>
            </w:pPr>
            <w:r w:rsidRPr="00976772">
              <w:rPr>
                <w:rFonts w:ascii="Arial Narrow" w:hAnsi="Arial Narrow"/>
                <w:b/>
                <w:snapToGrid w:val="0"/>
                <w:lang w:eastAsia="en-US"/>
              </w:rPr>
              <w:t>Mutch et al. 2015</w:t>
            </w:r>
          </w:p>
          <w:p w14:paraId="03F72EA1" w14:textId="77777777" w:rsidR="00AB0740" w:rsidRPr="00976772" w:rsidRDefault="00AB0740" w:rsidP="00DF77BA">
            <w:pPr>
              <w:spacing w:after="0"/>
              <w:contextualSpacing/>
              <w:jc w:val="left"/>
              <w:rPr>
                <w:rFonts w:ascii="Arial Narrow" w:hAnsi="Arial Narrow"/>
                <w:snapToGrid w:val="0"/>
                <w:highlight w:val="cyan"/>
                <w:lang w:eastAsia="en-US"/>
              </w:rPr>
            </w:pPr>
          </w:p>
        </w:tc>
        <w:tc>
          <w:tcPr>
            <w:tcW w:w="758" w:type="pct"/>
            <w:shd w:val="clear" w:color="auto" w:fill="auto"/>
          </w:tcPr>
          <w:p w14:paraId="3CC49547"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United Kingdom</w:t>
            </w:r>
          </w:p>
          <w:p w14:paraId="5C9FA6DF"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N = 60</w:t>
            </w:r>
          </w:p>
        </w:tc>
        <w:tc>
          <w:tcPr>
            <w:tcW w:w="839" w:type="pct"/>
            <w:shd w:val="clear" w:color="auto" w:fill="auto"/>
          </w:tcPr>
          <w:p w14:paraId="73D1B04B"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Physical Component Summary Score</w:t>
            </w:r>
            <w:r w:rsidRPr="00976772">
              <w:rPr>
                <w:rFonts w:ascii="Arial Narrow" w:hAnsi="Arial Narrow"/>
                <w:snapToGrid w:val="0"/>
                <w:vertAlign w:val="superscript"/>
                <w:lang w:eastAsia="en-US"/>
              </w:rPr>
              <w:t>d</w:t>
            </w:r>
            <w:r w:rsidRPr="00976772">
              <w:rPr>
                <w:rFonts w:ascii="Arial Narrow" w:hAnsi="Arial Narrow"/>
                <w:snapToGrid w:val="0"/>
                <w:lang w:eastAsia="en-US"/>
              </w:rPr>
              <w:t xml:space="preserve">  </w:t>
            </w:r>
          </w:p>
        </w:tc>
        <w:tc>
          <w:tcPr>
            <w:tcW w:w="786" w:type="pct"/>
            <w:shd w:val="clear" w:color="auto" w:fill="auto"/>
          </w:tcPr>
          <w:p w14:paraId="4E65340B"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Mean 33.9 (±11.0)</w:t>
            </w:r>
          </w:p>
          <w:p w14:paraId="1B8A5B25" w14:textId="77777777" w:rsidR="00AB0740" w:rsidRPr="00976772" w:rsidRDefault="00AB0740" w:rsidP="00DF77BA">
            <w:pPr>
              <w:spacing w:after="0"/>
              <w:contextualSpacing/>
              <w:jc w:val="left"/>
              <w:rPr>
                <w:rFonts w:ascii="Arial Narrow" w:hAnsi="Arial Narrow"/>
                <w:snapToGrid w:val="0"/>
                <w:lang w:eastAsia="en-US"/>
              </w:rPr>
            </w:pPr>
          </w:p>
        </w:tc>
        <w:tc>
          <w:tcPr>
            <w:tcW w:w="865" w:type="pct"/>
            <w:shd w:val="clear" w:color="auto" w:fill="auto"/>
          </w:tcPr>
          <w:p w14:paraId="25D7696B" w14:textId="77777777" w:rsidR="00AB0740" w:rsidRPr="00976772" w:rsidRDefault="00AB0740" w:rsidP="00DF77BA">
            <w:pPr>
              <w:spacing w:after="0"/>
              <w:contextualSpacing/>
              <w:jc w:val="left"/>
              <w:rPr>
                <w:rFonts w:ascii="Arial Narrow" w:hAnsi="Arial Narrow"/>
                <w:snapToGrid w:val="0"/>
                <w:vertAlign w:val="superscript"/>
                <w:lang w:eastAsia="en-US"/>
              </w:rPr>
            </w:pPr>
            <w:r w:rsidRPr="00976772">
              <w:rPr>
                <w:rFonts w:ascii="Arial Narrow" w:hAnsi="Arial Narrow"/>
                <w:snapToGrid w:val="0"/>
                <w:lang w:eastAsia="en-US"/>
              </w:rPr>
              <w:t>Mental Component Summary Score</w:t>
            </w:r>
            <w:r w:rsidRPr="00976772">
              <w:rPr>
                <w:rFonts w:ascii="Arial Narrow" w:hAnsi="Arial Narrow"/>
                <w:snapToGrid w:val="0"/>
                <w:vertAlign w:val="superscript"/>
                <w:lang w:eastAsia="en-US"/>
              </w:rPr>
              <w:t>d</w:t>
            </w:r>
          </w:p>
        </w:tc>
        <w:tc>
          <w:tcPr>
            <w:tcW w:w="993" w:type="pct"/>
            <w:shd w:val="clear" w:color="auto" w:fill="auto"/>
          </w:tcPr>
          <w:p w14:paraId="53F3F294" w14:textId="77777777" w:rsidR="00AB0740" w:rsidRPr="00976772" w:rsidRDefault="00AB0740" w:rsidP="00DF77BA">
            <w:pPr>
              <w:spacing w:after="0"/>
              <w:contextualSpacing/>
              <w:jc w:val="left"/>
              <w:rPr>
                <w:rFonts w:ascii="Arial Narrow" w:hAnsi="Arial Narrow"/>
                <w:snapToGrid w:val="0"/>
                <w:lang w:eastAsia="en-US"/>
              </w:rPr>
            </w:pPr>
            <w:r w:rsidRPr="00976772">
              <w:rPr>
                <w:rFonts w:ascii="Arial Narrow" w:hAnsi="Arial Narrow"/>
                <w:snapToGrid w:val="0"/>
                <w:lang w:eastAsia="en-US"/>
              </w:rPr>
              <w:t>Mean 47.8 (±11.6)</w:t>
            </w:r>
          </w:p>
        </w:tc>
      </w:tr>
    </w:tbl>
    <w:p w14:paraId="3F59539B" w14:textId="77777777" w:rsidR="00AB0740" w:rsidRPr="00976772" w:rsidRDefault="00D465C5" w:rsidP="00AB0740">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lang w:eastAsia="en-US"/>
        </w:rPr>
        <w:t xml:space="preserve">HRQoL = health-related quality of life; </w:t>
      </w:r>
      <w:r w:rsidR="00AB0740" w:rsidRPr="00976772">
        <w:rPr>
          <w:rFonts w:ascii="Arial Narrow" w:hAnsi="Arial Narrow" w:cs="Arial"/>
          <w:snapToGrid w:val="0"/>
          <w:sz w:val="18"/>
          <w:szCs w:val="20"/>
          <w:lang w:eastAsia="en-US"/>
        </w:rPr>
        <w:t>Med = median; NMO = neuromyelitis optica; NMOSD = neuromyelitis optica spectrum disorders; SF-36 = short form-36</w:t>
      </w:r>
    </w:p>
    <w:p w14:paraId="60E938F9" w14:textId="77777777" w:rsidR="00AB0740" w:rsidRPr="00976772" w:rsidRDefault="00AB0740" w:rsidP="00AB0740">
      <w:pPr>
        <w:widowControl w:val="0"/>
        <w:spacing w:after="120" w:line="240" w:lineRule="auto"/>
        <w:contextualSpacing/>
        <w:jc w:val="left"/>
        <w:rPr>
          <w:rFonts w:ascii="Arial Narrow" w:hAnsi="Arial Narrow" w:cs="Arial"/>
          <w:snapToGrid w:val="0"/>
          <w:sz w:val="18"/>
          <w:szCs w:val="20"/>
          <w:lang w:eastAsia="en-US"/>
        </w:rPr>
      </w:pPr>
      <w:r w:rsidRPr="00976772">
        <w:rPr>
          <w:rFonts w:ascii="Arial Narrow" w:hAnsi="Arial Narrow" w:cs="Arial"/>
          <w:snapToGrid w:val="0"/>
          <w:sz w:val="18"/>
          <w:szCs w:val="20"/>
          <w:vertAlign w:val="superscript"/>
          <w:lang w:eastAsia="en-US"/>
        </w:rPr>
        <w:t xml:space="preserve">a </w:t>
      </w:r>
      <w:r w:rsidRPr="00976772">
        <w:rPr>
          <w:rFonts w:ascii="Arial Narrow" w:hAnsi="Arial Narrow" w:cs="Arial"/>
          <w:snapToGrid w:val="0"/>
          <w:sz w:val="18"/>
          <w:szCs w:val="20"/>
          <w:lang w:eastAsia="en-US"/>
        </w:rPr>
        <w:t xml:space="preserve">Scores on SF-36 ranging from 0 to 100 (100=highest functioning and better QoL and 0 = lowest functioning and worst QoL). </w:t>
      </w:r>
    </w:p>
    <w:p w14:paraId="6E3B9639" w14:textId="4C33EE69" w:rsidR="00AB0740" w:rsidRPr="00976772" w:rsidRDefault="00AB0740" w:rsidP="00AB0740">
      <w:pPr>
        <w:widowControl w:val="0"/>
        <w:spacing w:after="120" w:line="240" w:lineRule="auto"/>
        <w:contextualSpacing/>
        <w:jc w:val="left"/>
        <w:rPr>
          <w:rFonts w:ascii="Arial Narrow" w:hAnsi="Arial Narrow" w:cs="Arial"/>
          <w:snapToGrid w:val="0"/>
          <w:sz w:val="18"/>
          <w:szCs w:val="20"/>
          <w:lang w:eastAsia="en-US"/>
        </w:rPr>
      </w:pPr>
      <w:r w:rsidRPr="00976772">
        <w:rPr>
          <w:rFonts w:ascii="Arial Narrow" w:hAnsi="Arial Narrow" w:cs="Arial"/>
          <w:snapToGrid w:val="0"/>
          <w:sz w:val="18"/>
          <w:szCs w:val="20"/>
          <w:vertAlign w:val="superscript"/>
          <w:lang w:eastAsia="en-US"/>
        </w:rPr>
        <w:t>b</w:t>
      </w:r>
      <w:r w:rsidR="002500F3">
        <w:rPr>
          <w:rFonts w:ascii="Arial Narrow" w:hAnsi="Arial Narrow" w:cs="Arial"/>
          <w:snapToGrid w:val="0"/>
          <w:sz w:val="18"/>
          <w:szCs w:val="20"/>
          <w:vertAlign w:val="superscript"/>
          <w:lang w:eastAsia="en-US"/>
        </w:rPr>
        <w:t xml:space="preserve"> </w:t>
      </w:r>
      <w:r w:rsidRPr="00976772">
        <w:rPr>
          <w:rFonts w:ascii="Arial Narrow" w:hAnsi="Arial Narrow" w:cs="Arial"/>
          <w:snapToGrid w:val="0"/>
          <w:sz w:val="18"/>
          <w:szCs w:val="20"/>
          <w:lang w:eastAsia="en-US"/>
        </w:rPr>
        <w:t xml:space="preserve">The scale is normalised to average US individuals having a score of 50 </w:t>
      </w:r>
    </w:p>
    <w:p w14:paraId="7EFF0CE1" w14:textId="77777777" w:rsidR="00AB0740" w:rsidRPr="00976772" w:rsidRDefault="00AB0740" w:rsidP="00AB0740">
      <w:pPr>
        <w:widowControl w:val="0"/>
        <w:spacing w:after="120" w:line="240" w:lineRule="auto"/>
        <w:contextualSpacing/>
        <w:jc w:val="left"/>
        <w:rPr>
          <w:rFonts w:ascii="Arial Narrow" w:hAnsi="Arial Narrow" w:cs="Arial"/>
          <w:snapToGrid w:val="0"/>
          <w:sz w:val="18"/>
          <w:szCs w:val="20"/>
          <w:lang w:eastAsia="en-US"/>
        </w:rPr>
      </w:pPr>
      <w:r w:rsidRPr="00976772">
        <w:rPr>
          <w:rFonts w:ascii="Arial Narrow" w:hAnsi="Arial Narrow" w:cs="Arial"/>
          <w:snapToGrid w:val="0"/>
          <w:sz w:val="18"/>
          <w:szCs w:val="20"/>
          <w:vertAlign w:val="superscript"/>
          <w:lang w:eastAsia="en-US"/>
        </w:rPr>
        <w:t xml:space="preserve">c </w:t>
      </w:r>
      <w:r w:rsidRPr="00976772">
        <w:rPr>
          <w:rFonts w:ascii="Arial Narrow" w:hAnsi="Arial Narrow" w:cs="Arial"/>
          <w:snapToGrid w:val="0"/>
          <w:sz w:val="18"/>
          <w:szCs w:val="20"/>
          <w:lang w:eastAsia="en-US"/>
        </w:rPr>
        <w:t>Used Second Japanese Version of SF-36 and compared the scores of NMOSD with Japanese norm adjusted to having a score of 50</w:t>
      </w:r>
    </w:p>
    <w:p w14:paraId="199DFD77" w14:textId="77777777" w:rsidR="00AB0740" w:rsidRPr="00976772" w:rsidRDefault="00AB0740" w:rsidP="00AB0740">
      <w:pPr>
        <w:widowControl w:val="0"/>
        <w:spacing w:after="120" w:line="240" w:lineRule="auto"/>
        <w:contextualSpacing/>
        <w:jc w:val="left"/>
        <w:rPr>
          <w:rFonts w:ascii="Arial Narrow" w:hAnsi="Arial Narrow" w:cs="Arial"/>
          <w:snapToGrid w:val="0"/>
          <w:sz w:val="18"/>
          <w:szCs w:val="20"/>
          <w:lang w:eastAsia="en-US"/>
        </w:rPr>
      </w:pPr>
      <w:r w:rsidRPr="00976772">
        <w:rPr>
          <w:rFonts w:ascii="Arial Narrow" w:hAnsi="Arial Narrow" w:cs="Arial"/>
          <w:snapToGrid w:val="0"/>
          <w:sz w:val="18"/>
          <w:szCs w:val="20"/>
          <w:vertAlign w:val="superscript"/>
          <w:lang w:eastAsia="en-US"/>
        </w:rPr>
        <w:t xml:space="preserve">d </w:t>
      </w:r>
      <w:r w:rsidRPr="00976772">
        <w:rPr>
          <w:rFonts w:ascii="Arial Narrow" w:hAnsi="Arial Narrow" w:cs="Arial"/>
          <w:snapToGrid w:val="0"/>
          <w:sz w:val="18"/>
          <w:szCs w:val="20"/>
          <w:lang w:eastAsia="en-US"/>
        </w:rPr>
        <w:t>Scores were transformed into standard 0 to 100 scale using the RAND algorithm</w:t>
      </w:r>
    </w:p>
    <w:p w14:paraId="5D117D18" w14:textId="77777777" w:rsidR="00AB0740" w:rsidRPr="00976772" w:rsidRDefault="00AB0740" w:rsidP="003F364D">
      <w:pPr>
        <w:pStyle w:val="Tablenotes0"/>
      </w:pPr>
    </w:p>
    <w:p w14:paraId="02F8EAC6" w14:textId="12087B9F" w:rsidR="00AB0740" w:rsidRDefault="00AB0740" w:rsidP="00AB0740">
      <w:r>
        <w:t>The</w:t>
      </w:r>
      <w:r w:rsidRPr="00976772">
        <w:t xml:space="preserve"> study by Chanson et al. 2011</w:t>
      </w:r>
      <w:r w:rsidR="00D46380">
        <w:t xml:space="preserve"> </w:t>
      </w:r>
      <w:r w:rsidR="00156621">
        <w:fldChar w:fldCharType="begin">
          <w:fldData xml:space="preserve">PEVuZE5vdGU+PENpdGU+PEF1dGhvcj5DaGFuc29uPC9BdXRob3I+PFllYXI+MjAxMTwvWWVhcj48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</w:fldData>
        </w:fldChar>
      </w:r>
      <w:r w:rsidR="00D96694">
        <w:instrText xml:space="preserve"> ADDIN EN.CITE </w:instrText>
      </w:r>
      <w:r w:rsidR="00D96694">
        <w:fldChar w:fldCharType="begin">
          <w:fldData xml:space="preserve">PEVuZE5vdGU+PENpdGU+PEF1dGhvcj5DaGFuc29uPC9BdXRob3I+PFllYXI+MjAxMTwvWWVhcj48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</w:fldData>
        </w:fldChar>
      </w:r>
      <w:r w:rsidR="00D96694">
        <w:instrText xml:space="preserve"> ADDIN EN.CITE.DATA </w:instrText>
      </w:r>
      <w:r w:rsidR="00D96694">
        <w:fldChar w:fldCharType="end"/>
      </w:r>
      <w:r w:rsidR="00156621">
        <w:fldChar w:fldCharType="separate"/>
      </w:r>
      <w:r w:rsidR="00665317">
        <w:rPr>
          <w:noProof/>
        </w:rPr>
        <w:t>(</w:t>
      </w:r>
      <w:r w:rsidR="00156621">
        <w:rPr>
          <w:noProof/>
        </w:rPr>
        <w:t>2011)</w:t>
      </w:r>
      <w:r w:rsidR="00156621">
        <w:fldChar w:fldCharType="end"/>
      </w:r>
      <w:r w:rsidRPr="00976772">
        <w:t xml:space="preserve"> compared </w:t>
      </w:r>
      <w:r w:rsidR="003B5563">
        <w:t>HR</w:t>
      </w:r>
      <w:r w:rsidRPr="00976772">
        <w:t xml:space="preserve">QoL between patients with NMO </w:t>
      </w:r>
      <w:r>
        <w:t xml:space="preserve">(N=40) </w:t>
      </w:r>
      <w:r w:rsidRPr="00976772">
        <w:t>and MS</w:t>
      </w:r>
      <w:r>
        <w:t xml:space="preserve"> (N=431) and general population (N=1,007)</w:t>
      </w:r>
      <w:r w:rsidRPr="00976772">
        <w:t xml:space="preserve">, and used a French health-related quality of life self-questionnaire </w:t>
      </w:r>
      <w:r w:rsidR="00365E8A">
        <w:t>(</w:t>
      </w:r>
      <w:r w:rsidRPr="00976772">
        <w:t>SEP-59</w:t>
      </w:r>
      <w:r w:rsidR="00365E8A">
        <w:t>)</w:t>
      </w:r>
      <w:r w:rsidRPr="00976772">
        <w:t xml:space="preserve">, which contained 59 questions grouped into </w:t>
      </w:r>
      <w:r w:rsidR="00DC5DF5">
        <w:t>HR</w:t>
      </w:r>
      <w:r w:rsidRPr="00976772">
        <w:t>QoL subscales of physical and emotional functioning. The questionnaire contained both generic (derived from the SF-36 scale) and MS-specific QoL assessment, allowing comparisons in physical and emotional functioning, with the general population and patients with NMO and MS</w:t>
      </w:r>
      <w:r>
        <w:t>. Data from the two comparator groups were obtained from previously published papers.</w:t>
      </w:r>
      <w:r w:rsidRPr="00976772">
        <w:t xml:space="preserve"> </w:t>
      </w:r>
    </w:p>
    <w:p w14:paraId="6F5D8B3D" w14:textId="034B7EA2" w:rsidR="00AB0740" w:rsidRPr="00976772" w:rsidRDefault="00AB0740" w:rsidP="00340849">
      <w:r w:rsidRPr="00976772">
        <w:lastRenderedPageBreak/>
        <w:t>Graphical representation of the results showed that there was significant</w:t>
      </w:r>
      <w:r w:rsidR="00365E8A">
        <w:t>ly</w:t>
      </w:r>
      <w:r w:rsidRPr="00976772">
        <w:t xml:space="preserve"> worse </w:t>
      </w:r>
      <w:r w:rsidR="00F67072">
        <w:t>HR</w:t>
      </w:r>
      <w:r w:rsidRPr="00976772">
        <w:t>QoL in patients with NMO, compared to the general population</w:t>
      </w:r>
      <w:r w:rsidR="00365E8A">
        <w:t>,</w:t>
      </w:r>
      <w:r w:rsidRPr="00976772">
        <w:t xml:space="preserve"> for all domains of physical and emotional functioning. When </w:t>
      </w:r>
      <w:r w:rsidR="00F67072">
        <w:t>HR</w:t>
      </w:r>
      <w:r w:rsidRPr="00976772">
        <w:t xml:space="preserve">QoL was compared between NMO and MS, there </w:t>
      </w:r>
      <w:r w:rsidR="00365E8A">
        <w:t>was</w:t>
      </w:r>
      <w:r w:rsidRPr="00976772">
        <w:t xml:space="preserve"> worse QoL in MS compared to NMO related to cognitive function</w:t>
      </w:r>
      <w:r>
        <w:t xml:space="preserve"> (cognitive func)</w:t>
      </w:r>
      <w:r w:rsidRPr="00976772">
        <w:t xml:space="preserve">, but there </w:t>
      </w:r>
      <w:r w:rsidR="00365E8A">
        <w:t>was</w:t>
      </w:r>
      <w:r w:rsidRPr="00976772">
        <w:t xml:space="preserve"> worse QoL in NMO compared to MS related to bladder and bowel function</w:t>
      </w:r>
      <w:r>
        <w:t xml:space="preserve"> (BB func)</w:t>
      </w:r>
      <w:r w:rsidRPr="00976772">
        <w:t xml:space="preserve">. All other domains appeared to be relatively similar, including the physical health composite score </w:t>
      </w:r>
      <w:r>
        <w:t xml:space="preserve">(phys comp) </w:t>
      </w:r>
      <w:r w:rsidRPr="00976772">
        <w:t>and the mental health composite score</w:t>
      </w:r>
      <w:r>
        <w:t xml:space="preserve"> (mental comp)</w:t>
      </w:r>
      <w:r w:rsidR="00340849">
        <w:t>.</w:t>
      </w:r>
    </w:p>
    <w:p w14:paraId="72B3896F" w14:textId="3D192CBC" w:rsidR="00AB0740" w:rsidRDefault="00AB0740" w:rsidP="00AB0740">
      <w:r w:rsidRPr="00976772">
        <w:t xml:space="preserve">Kanamori et al </w:t>
      </w:r>
      <w:r w:rsidR="00156621">
        <w:fldChar w:fldCharType="begin">
          <w:fldData xml:space="preserve">PEVuZE5vdGU+PENpdGU+PEF1dGhvcj5LYW5hbW9yaTwvQXV0aG9yPjxZZWFyPjIwMTE8L1llYXI+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</w:fldData>
        </w:fldChar>
      </w:r>
      <w:r w:rsidR="00D96694">
        <w:instrText xml:space="preserve"> ADDIN EN.CITE </w:instrText>
      </w:r>
      <w:r w:rsidR="00D96694">
        <w:fldChar w:fldCharType="begin">
          <w:fldData xml:space="preserve">PEVuZE5vdGU+PENpdGU+PEF1dGhvcj5LYW5hbW9yaTwvQXV0aG9yPjxZZWFyPjIwMTE8L1llYXI+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</w:fldData>
        </w:fldChar>
      </w:r>
      <w:r w:rsidR="00D96694">
        <w:instrText xml:space="preserve"> ADDIN EN.CITE.DATA </w:instrText>
      </w:r>
      <w:r w:rsidR="00D96694">
        <w:fldChar w:fldCharType="end"/>
      </w:r>
      <w:r w:rsidR="00156621">
        <w:fldChar w:fldCharType="separate"/>
      </w:r>
      <w:r w:rsidR="00665317">
        <w:rPr>
          <w:noProof/>
        </w:rPr>
        <w:t>(</w:t>
      </w:r>
      <w:r w:rsidR="00156621">
        <w:rPr>
          <w:noProof/>
        </w:rPr>
        <w:t>2011)</w:t>
      </w:r>
      <w:r w:rsidR="00156621">
        <w:fldChar w:fldCharType="end"/>
      </w:r>
      <w:r w:rsidRPr="00976772">
        <w:t xml:space="preserve"> used a Japanese version of the short form BPI to investigate pain and its impact on daily life and </w:t>
      </w:r>
      <w:r w:rsidR="00B45839">
        <w:t>HR</w:t>
      </w:r>
      <w:r w:rsidRPr="00976772">
        <w:t>QoL in NMO</w:t>
      </w:r>
      <w:r w:rsidR="004C4CD0">
        <w:t>.</w:t>
      </w:r>
      <w:r w:rsidRPr="00976772">
        <w:t xml:space="preserve"> </w:t>
      </w:r>
      <w:r w:rsidR="00365E8A">
        <w:t>The measure</w:t>
      </w:r>
      <w:r w:rsidRPr="00976772">
        <w:t xml:space="preserve"> consisted of two categories: pain severity and pain-related interference in daily life. The pain severity ranged from 0 (no pain) to 10 (severest pain you can imagine), and </w:t>
      </w:r>
      <w:r w:rsidR="004C4CD0">
        <w:t xml:space="preserve">the patients rated pain severity in each question for 1) </w:t>
      </w:r>
      <w:r w:rsidRPr="00976772">
        <w:t xml:space="preserve">the present pain, </w:t>
      </w:r>
      <w:r w:rsidR="004C4CD0">
        <w:t xml:space="preserve">2) </w:t>
      </w:r>
      <w:r w:rsidRPr="00976772">
        <w:t xml:space="preserve">worst pain, </w:t>
      </w:r>
      <w:r w:rsidR="004C4CD0">
        <w:t xml:space="preserve">3) </w:t>
      </w:r>
      <w:r w:rsidRPr="00976772">
        <w:t xml:space="preserve">least pain and </w:t>
      </w:r>
      <w:r w:rsidR="004C4CD0">
        <w:t xml:space="preserve">4) </w:t>
      </w:r>
      <w:r w:rsidRPr="00976772">
        <w:t xml:space="preserve">average pain. </w:t>
      </w:r>
      <w:r w:rsidR="004C4CD0">
        <w:t xml:space="preserve">The average score of the four pains (1-4) for each patient obtained from the BPI, was analysed using the </w:t>
      </w:r>
      <w:r w:rsidRPr="00976772">
        <w:t>Pain Severity Index (PSI)</w:t>
      </w:r>
      <w:r w:rsidR="004C4CD0">
        <w:t>.</w:t>
      </w:r>
      <w:r w:rsidRPr="00976772">
        <w:t xml:space="preserve"> The pain-related inference scale consisted of </w:t>
      </w:r>
      <w:r w:rsidR="00365E8A">
        <w:t>seven</w:t>
      </w:r>
      <w:r w:rsidR="00365E8A" w:rsidRPr="00976772">
        <w:t xml:space="preserve"> </w:t>
      </w:r>
      <w:r w:rsidRPr="00976772">
        <w:t xml:space="preserve">domains: general activity, mood, walking ability, normal work, relations with other people, sleep and enjoyment of life. The patients rated the interferences in the range of 0 (no interference) to 10 (complete interference). Disability Status Scale (DSS) was also used to rate a patients’ physical disability (0-10) by their walking ability and need for assistance </w:t>
      </w:r>
      <w:r w:rsidR="00156621">
        <w:fldChar w:fldCharType="begin">
          <w:fldData xml:space="preserve">PEVuZE5vdGU+PENpdGU+PEF1dGhvcj5LYW5hbW9yaTwvQXV0aG9yPjxZZWFyPjIwMTE8L1llYXI+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</w:fldData>
        </w:fldChar>
      </w:r>
      <w:r w:rsidR="00D96694">
        <w:instrText xml:space="preserve"> ADDIN EN.CITE </w:instrText>
      </w:r>
      <w:r w:rsidR="00D96694">
        <w:fldChar w:fldCharType="begin">
          <w:fldData xml:space="preserve">PEVuZE5vdGU+PENpdGU+PEF1dGhvcj5LYW5hbW9yaTwvQXV0aG9yPjxZZWFyPjIwMTE8L1llYXI+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</w:fldData>
        </w:fldChar>
      </w:r>
      <w:r w:rsidR="00D96694">
        <w:instrText xml:space="preserve"> ADDIN EN.CITE.DATA </w:instrText>
      </w:r>
      <w:r w:rsidR="00D96694">
        <w:fldChar w:fldCharType="end"/>
      </w:r>
      <w:r w:rsidR="00156621">
        <w:fldChar w:fldCharType="separate"/>
      </w:r>
      <w:r w:rsidR="00156621">
        <w:rPr>
          <w:noProof/>
        </w:rPr>
        <w:t>(Kanamori et al. 2011)</w:t>
      </w:r>
      <w:r w:rsidR="00156621">
        <w:fldChar w:fldCharType="end"/>
      </w:r>
      <w:r w:rsidRPr="00976772">
        <w:t xml:space="preserve">. </w:t>
      </w:r>
      <w:r w:rsidR="00492489">
        <w:t xml:space="preserve">All scores were compared </w:t>
      </w:r>
      <w:r w:rsidR="00576003">
        <w:t>with</w:t>
      </w:r>
      <w:r w:rsidR="00492489">
        <w:t xml:space="preserve"> the scores of patients with MS.</w:t>
      </w:r>
    </w:p>
    <w:p w14:paraId="6CAC6547" w14:textId="77777777" w:rsidR="00AB0740" w:rsidRDefault="00205B19" w:rsidP="00AB0740">
      <w:r>
        <w:t>T</w:t>
      </w:r>
      <w:r w:rsidR="00AB0740" w:rsidRPr="00976772">
        <w:t>he PSI score was higher in those with NMO compared with MS (mean 3.6 vs 1.5, respectively), and in the categorised PSI rating, more patients with NMO reported mild, moderate and severe pain</w:t>
      </w:r>
      <w:r w:rsidR="00365E8A">
        <w:t>,</w:t>
      </w:r>
      <w:r w:rsidR="00AB0740" w:rsidRPr="00976772">
        <w:t xml:space="preserve"> but more patients with MS (52.9%) reported no pain compared to those with NMO (16.2%). The pain-related interference</w:t>
      </w:r>
      <w:r w:rsidR="00365E8A">
        <w:t xml:space="preserve"> score</w:t>
      </w:r>
      <w:r w:rsidR="00AB0740" w:rsidRPr="00976772">
        <w:t xml:space="preserve"> was higher in NMO than in MS in all domains, with significant differences in walking ability and enjoyment of life. </w:t>
      </w:r>
      <w:r w:rsidRPr="00976772">
        <w:t xml:space="preserve">The DSS was </w:t>
      </w:r>
      <w:r w:rsidR="00133ABB">
        <w:t xml:space="preserve">also </w:t>
      </w:r>
      <w:r w:rsidRPr="00976772">
        <w:t>higher in those with NMO compared to those with MS (4.0 vs 3.1). The percentage of patients who reported pain was higher in NMO (83.8%) than in MS (47.1%).</w:t>
      </w:r>
    </w:p>
    <w:p w14:paraId="2CB63BAC" w14:textId="5FD3D4B3" w:rsidR="00AB0740" w:rsidRDefault="00AB0740" w:rsidP="00B45839">
      <w:r w:rsidRPr="00B45839">
        <w:fldChar w:fldCharType="begin"/>
      </w:r>
      <w:r w:rsidRPr="00B45839">
        <w:instrText xml:space="preserve"> REF _Ref29976705 \h </w:instrText>
      </w:r>
      <w:r w:rsidR="00B45839" w:rsidRPr="00B45839">
        <w:instrText xml:space="preserve"> \* MERGEFORMAT </w:instrText>
      </w:r>
      <w:r w:rsidRPr="00B45839">
        <w:fldChar w:fldCharType="separate"/>
      </w:r>
      <w:r w:rsidR="009A0134" w:rsidRPr="00976772">
        <w:t xml:space="preserve">Table </w:t>
      </w:r>
      <w:r w:rsidR="009A0134">
        <w:t>67</w:t>
      </w:r>
      <w:r w:rsidRPr="00B45839">
        <w:fldChar w:fldCharType="end"/>
      </w:r>
      <w:r w:rsidRPr="00B45839">
        <w:t xml:space="preserve"> </w:t>
      </w:r>
      <w:r w:rsidRPr="00976772">
        <w:t>provides a summary of the results.</w:t>
      </w:r>
      <w:r>
        <w:t xml:space="preserve"> </w:t>
      </w:r>
    </w:p>
    <w:p w14:paraId="661BF818" w14:textId="470D6B88" w:rsidR="00AB0740" w:rsidRPr="00976772" w:rsidRDefault="00AB0740" w:rsidP="00665317">
      <w:pPr>
        <w:pStyle w:val="TableHeading"/>
        <w:ind w:left="720" w:hanging="720"/>
      </w:pPr>
      <w:bookmarkStart w:id="353" w:name="_Ref29976705"/>
      <w:bookmarkStart w:id="354" w:name="_Toc39580848"/>
      <w:r w:rsidRPr="00976772">
        <w:t xml:space="preserve">Table </w:t>
      </w:r>
      <w:r w:rsidRPr="00976772">
        <w:fldChar w:fldCharType="begin"/>
      </w:r>
      <w:r w:rsidRPr="00976772">
        <w:instrText xml:space="preserve"> SEQ Table \* ARABIC </w:instrText>
      </w:r>
      <w:r w:rsidRPr="00976772">
        <w:fldChar w:fldCharType="separate"/>
      </w:r>
      <w:r w:rsidR="00FA7BCD">
        <w:rPr>
          <w:noProof/>
        </w:rPr>
        <w:t>67</w:t>
      </w:r>
      <w:r w:rsidRPr="00976772">
        <w:rPr>
          <w:noProof/>
        </w:rPr>
        <w:fldChar w:fldCharType="end"/>
      </w:r>
      <w:bookmarkEnd w:id="353"/>
      <w:r w:rsidRPr="00976772">
        <w:tab/>
      </w:r>
      <w:r w:rsidR="009A0134">
        <w:t>P</w:t>
      </w:r>
      <w:r w:rsidRPr="00976772">
        <w:t>ain and impact on daily life and health related QoL in those with NMO/NMOSD and MS using SF-BPI</w:t>
      </w:r>
      <w:r w:rsidR="009A0134">
        <w:t xml:space="preserve"> </w:t>
      </w:r>
      <w:r w:rsidR="00B956DB">
        <w:fldChar w:fldCharType="begin">
          <w:fldData xml:space="preserve">PEVuZE5vdGU+PENpdGU+PEF1dGhvcj5LYW5hbW9yaTwvQXV0aG9yPjxZZWFyPjIwMTE8L1llYXI+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</w:fldData>
        </w:fldChar>
      </w:r>
      <w:r w:rsidR="00B956DB">
        <w:instrText xml:space="preserve"> ADDIN EN.CITE </w:instrText>
      </w:r>
      <w:r w:rsidR="00B956DB">
        <w:fldChar w:fldCharType="begin">
          <w:fldData xml:space="preserve">PEVuZE5vdGU+PENpdGU+PEF1dGhvcj5LYW5hbW9yaTwvQXV0aG9yPjxZZWFyPjIwMTE8L1llYXI+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</w:fldData>
        </w:fldChar>
      </w:r>
      <w:r w:rsidR="00B956DB">
        <w:instrText xml:space="preserve"> ADDIN EN.CITE.DATA </w:instrText>
      </w:r>
      <w:r w:rsidR="00B956DB">
        <w:fldChar w:fldCharType="end"/>
      </w:r>
      <w:r w:rsidR="00B956DB">
        <w:fldChar w:fldCharType="separate"/>
      </w:r>
      <w:r w:rsidR="00B956DB">
        <w:rPr>
          <w:noProof/>
        </w:rPr>
        <w:t>(Kanamori et al. 2011)</w:t>
      </w:r>
      <w:bookmarkEnd w:id="354"/>
      <w:r w:rsidR="00B956DB">
        <w:fldChar w:fldCharType="end"/>
      </w:r>
    </w:p>
    <w:tbl>
      <w:tblPr>
        <w:tblStyle w:val="TableGrid1"/>
        <w:tblW w:w="5000" w:type="pct"/>
        <w:tblCellMar>
          <w:left w:w="28" w:type="dxa"/>
          <w:right w:w="28" w:type="dxa"/>
        </w:tblCellMar>
        <w:tblLook w:val="04A0" w:firstRow="1" w:lastRow="0" w:firstColumn="1" w:lastColumn="0" w:noHBand="0" w:noVBand="1"/>
        <w:tblCaption w:val="Table 67 Pain and impact on daily life and health related QoL in those with NMO/NMOSD and MS using SF-BPI {Kanamori, 2011 #59}"/>
        <w:tblDescription w:val="Quality of life data in NMO/NMOSD and MS patients according to the SF-BPI"/>
      </w:tblPr>
      <w:tblGrid>
        <w:gridCol w:w="2252"/>
        <w:gridCol w:w="2252"/>
        <w:gridCol w:w="2256"/>
        <w:gridCol w:w="2256"/>
      </w:tblGrid>
      <w:tr w:rsidR="00400DC4" w:rsidRPr="00976772" w14:paraId="32FB2A4D" w14:textId="77777777" w:rsidTr="00400DC4">
        <w:trPr>
          <w:cnfStyle w:val="100000000000" w:firstRow="1" w:lastRow="0" w:firstColumn="0" w:lastColumn="0" w:oddVBand="0" w:evenVBand="0" w:oddHBand="0" w:evenHBand="0" w:firstRowFirstColumn="0" w:firstRowLastColumn="0" w:lastRowFirstColumn="0" w:lastRowLastColumn="0"/>
        </w:trPr>
        <w:tc>
          <w:tcPr>
            <w:tcW w:w="1249" w:type="pct"/>
            <w:shd w:val="clear" w:color="auto" w:fill="auto"/>
          </w:tcPr>
          <w:p w14:paraId="5A099CEA" w14:textId="77777777" w:rsidR="00400DC4" w:rsidRPr="00976772" w:rsidRDefault="00400DC4" w:rsidP="00A87AE2">
            <w:pPr>
              <w:pStyle w:val="TableHeading"/>
              <w:rPr>
                <w:snapToGrid w:val="0"/>
              </w:rPr>
            </w:pPr>
            <w:r w:rsidRPr="00976772">
              <w:rPr>
                <w:snapToGrid w:val="0"/>
              </w:rPr>
              <w:t>Outcome</w:t>
            </w:r>
          </w:p>
        </w:tc>
        <w:tc>
          <w:tcPr>
            <w:tcW w:w="1249" w:type="pct"/>
            <w:shd w:val="clear" w:color="auto" w:fill="auto"/>
          </w:tcPr>
          <w:p w14:paraId="3DD5A1F0" w14:textId="77777777" w:rsidR="001E6AF6" w:rsidRDefault="00400DC4" w:rsidP="00A87AE2">
            <w:pPr>
              <w:pStyle w:val="TableHeading"/>
              <w:rPr>
                <w:snapToGrid w:val="0"/>
              </w:rPr>
            </w:pPr>
            <w:r w:rsidRPr="00976772">
              <w:rPr>
                <w:snapToGrid w:val="0"/>
              </w:rPr>
              <w:t>Results NMO/NMOSD</w:t>
            </w:r>
            <w:r>
              <w:rPr>
                <w:snapToGrid w:val="0"/>
              </w:rPr>
              <w:t xml:space="preserve"> </w:t>
            </w:r>
          </w:p>
          <w:p w14:paraId="47B2415D" w14:textId="77777777" w:rsidR="00400DC4" w:rsidRPr="00976772" w:rsidRDefault="00400DC4" w:rsidP="00A87AE2">
            <w:pPr>
              <w:pStyle w:val="TableHeading"/>
              <w:rPr>
                <w:snapToGrid w:val="0"/>
              </w:rPr>
            </w:pPr>
            <w:r>
              <w:rPr>
                <w:snapToGrid w:val="0"/>
              </w:rPr>
              <w:t>N=37</w:t>
            </w:r>
          </w:p>
        </w:tc>
        <w:tc>
          <w:tcPr>
            <w:tcW w:w="1251" w:type="pct"/>
            <w:shd w:val="clear" w:color="auto" w:fill="auto"/>
          </w:tcPr>
          <w:p w14:paraId="1C826A13" w14:textId="77777777" w:rsidR="001E6AF6" w:rsidRDefault="00400DC4" w:rsidP="00A87AE2">
            <w:pPr>
              <w:pStyle w:val="TableHeading"/>
              <w:rPr>
                <w:snapToGrid w:val="0"/>
              </w:rPr>
            </w:pPr>
            <w:r w:rsidRPr="00976772">
              <w:rPr>
                <w:snapToGrid w:val="0"/>
              </w:rPr>
              <w:t>Results MS</w:t>
            </w:r>
            <w:r>
              <w:rPr>
                <w:snapToGrid w:val="0"/>
              </w:rPr>
              <w:t xml:space="preserve"> </w:t>
            </w:r>
          </w:p>
          <w:p w14:paraId="522C13D9" w14:textId="77777777" w:rsidR="00400DC4" w:rsidRPr="00976772" w:rsidRDefault="00400DC4" w:rsidP="00A87AE2">
            <w:pPr>
              <w:pStyle w:val="TableHeading"/>
              <w:rPr>
                <w:snapToGrid w:val="0"/>
              </w:rPr>
            </w:pPr>
            <w:r>
              <w:rPr>
                <w:snapToGrid w:val="0"/>
              </w:rPr>
              <w:t>N=51</w:t>
            </w:r>
          </w:p>
        </w:tc>
        <w:tc>
          <w:tcPr>
            <w:tcW w:w="1251" w:type="pct"/>
          </w:tcPr>
          <w:p w14:paraId="00024779" w14:textId="77777777" w:rsidR="001E6AF6" w:rsidRDefault="00400DC4" w:rsidP="00A87AE2">
            <w:pPr>
              <w:pStyle w:val="TableHeading"/>
              <w:rPr>
                <w:snapToGrid w:val="0"/>
              </w:rPr>
            </w:pPr>
            <w:r>
              <w:rPr>
                <w:snapToGrid w:val="0"/>
              </w:rPr>
              <w:t xml:space="preserve">Mean </w:t>
            </w:r>
            <w:r w:rsidR="001305CF">
              <w:rPr>
                <w:snapToGrid w:val="0"/>
              </w:rPr>
              <w:t xml:space="preserve">Difference </w:t>
            </w:r>
            <w:r w:rsidR="000349B2">
              <w:rPr>
                <w:snapToGrid w:val="0"/>
              </w:rPr>
              <w:t>(SE)</w:t>
            </w:r>
            <w:r w:rsidR="001E6AF6">
              <w:rPr>
                <w:snapToGrid w:val="0"/>
              </w:rPr>
              <w:t xml:space="preserve"> </w:t>
            </w:r>
          </w:p>
          <w:p w14:paraId="727CA60D" w14:textId="77777777" w:rsidR="00400DC4" w:rsidRPr="001E6AF6" w:rsidRDefault="00024B42" w:rsidP="00A87AE2">
            <w:pPr>
              <w:pStyle w:val="TableHeading"/>
              <w:rPr>
                <w:snapToGrid w:val="0"/>
                <w:vertAlign w:val="superscript"/>
              </w:rPr>
            </w:pPr>
            <w:r>
              <w:rPr>
                <w:snapToGrid w:val="0"/>
              </w:rPr>
              <w:t>(</w:t>
            </w:r>
            <w:r w:rsidR="00D955EB">
              <w:rPr>
                <w:snapToGrid w:val="0"/>
              </w:rPr>
              <w:t>95% CI</w:t>
            </w:r>
            <w:r w:rsidR="00586CB5">
              <w:rPr>
                <w:snapToGrid w:val="0"/>
              </w:rPr>
              <w:t>)</w:t>
            </w:r>
            <w:r w:rsidR="001E6AF6">
              <w:rPr>
                <w:snapToGrid w:val="0"/>
                <w:vertAlign w:val="superscript"/>
              </w:rPr>
              <w:t>a</w:t>
            </w:r>
            <w:r w:rsidR="001305CF">
              <w:rPr>
                <w:snapToGrid w:val="0"/>
                <w:vertAlign w:val="superscript"/>
              </w:rPr>
              <w:t>,c</w:t>
            </w:r>
          </w:p>
        </w:tc>
      </w:tr>
      <w:tr w:rsidR="00400DC4" w:rsidRPr="00976772" w14:paraId="4353D1EF" w14:textId="77777777" w:rsidTr="00400DC4">
        <w:tc>
          <w:tcPr>
            <w:tcW w:w="1249" w:type="pct"/>
            <w:shd w:val="clear" w:color="auto" w:fill="auto"/>
          </w:tcPr>
          <w:p w14:paraId="68928AAF" w14:textId="77777777" w:rsidR="00400DC4" w:rsidRPr="00976772" w:rsidRDefault="00400DC4" w:rsidP="004E5C57">
            <w:pPr>
              <w:pStyle w:val="TableText0"/>
              <w:rPr>
                <w:snapToGrid w:val="0"/>
              </w:rPr>
            </w:pPr>
            <w:r w:rsidRPr="00976772">
              <w:rPr>
                <w:snapToGrid w:val="0"/>
              </w:rPr>
              <w:t>DSS score Mean (SD)</w:t>
            </w:r>
          </w:p>
        </w:tc>
        <w:tc>
          <w:tcPr>
            <w:tcW w:w="1249" w:type="pct"/>
            <w:shd w:val="clear" w:color="auto" w:fill="auto"/>
          </w:tcPr>
          <w:p w14:paraId="58DF5D0D" w14:textId="77777777" w:rsidR="00400DC4" w:rsidRPr="00976772" w:rsidRDefault="00400DC4" w:rsidP="004E5C57">
            <w:pPr>
              <w:pStyle w:val="TableText0"/>
              <w:rPr>
                <w:snapToGrid w:val="0"/>
              </w:rPr>
            </w:pPr>
            <w:r w:rsidRPr="00976772">
              <w:rPr>
                <w:snapToGrid w:val="0"/>
              </w:rPr>
              <w:t>4.0 (2.1)</w:t>
            </w:r>
          </w:p>
        </w:tc>
        <w:tc>
          <w:tcPr>
            <w:tcW w:w="1251" w:type="pct"/>
            <w:shd w:val="clear" w:color="auto" w:fill="auto"/>
          </w:tcPr>
          <w:p w14:paraId="0C0190C5" w14:textId="77777777" w:rsidR="00400DC4" w:rsidRPr="00976772" w:rsidRDefault="00400DC4" w:rsidP="004E5C57">
            <w:pPr>
              <w:pStyle w:val="TableText0"/>
              <w:rPr>
                <w:snapToGrid w:val="0"/>
              </w:rPr>
            </w:pPr>
            <w:r w:rsidRPr="00976772">
              <w:rPr>
                <w:snapToGrid w:val="0"/>
              </w:rPr>
              <w:t>3.1 (1.9) p=0.03</w:t>
            </w:r>
          </w:p>
        </w:tc>
        <w:tc>
          <w:tcPr>
            <w:tcW w:w="1251" w:type="pct"/>
          </w:tcPr>
          <w:p w14:paraId="331B8F43" w14:textId="77777777" w:rsidR="00400DC4" w:rsidRPr="00976772" w:rsidRDefault="001305CF" w:rsidP="004E5C57">
            <w:pPr>
              <w:pStyle w:val="TableText0"/>
              <w:rPr>
                <w:snapToGrid w:val="0"/>
              </w:rPr>
            </w:pPr>
            <w:r>
              <w:rPr>
                <w:snapToGrid w:val="0"/>
              </w:rPr>
              <w:t>0.90 (0.43) (0.05,1.75)</w:t>
            </w:r>
          </w:p>
        </w:tc>
      </w:tr>
      <w:tr w:rsidR="00400DC4" w:rsidRPr="00976772" w14:paraId="6905735A" w14:textId="77777777" w:rsidTr="00400DC4">
        <w:tc>
          <w:tcPr>
            <w:tcW w:w="1249" w:type="pct"/>
            <w:shd w:val="clear" w:color="auto" w:fill="auto"/>
          </w:tcPr>
          <w:p w14:paraId="01A99A71" w14:textId="77777777" w:rsidR="00400DC4" w:rsidRPr="00976772" w:rsidRDefault="00400DC4" w:rsidP="004E5C57">
            <w:pPr>
              <w:pStyle w:val="TableText0"/>
              <w:rPr>
                <w:snapToGrid w:val="0"/>
              </w:rPr>
            </w:pPr>
            <w:r w:rsidRPr="00976772">
              <w:rPr>
                <w:snapToGrid w:val="0"/>
              </w:rPr>
              <w:t>PSI score Mean (SD)</w:t>
            </w:r>
          </w:p>
        </w:tc>
        <w:tc>
          <w:tcPr>
            <w:tcW w:w="1249" w:type="pct"/>
            <w:shd w:val="clear" w:color="auto" w:fill="auto"/>
          </w:tcPr>
          <w:p w14:paraId="629681A5" w14:textId="77777777" w:rsidR="00400DC4" w:rsidRPr="00976772" w:rsidRDefault="00400DC4" w:rsidP="004E5C57">
            <w:pPr>
              <w:pStyle w:val="TableText0"/>
              <w:rPr>
                <w:snapToGrid w:val="0"/>
              </w:rPr>
            </w:pPr>
            <w:r w:rsidRPr="00976772">
              <w:rPr>
                <w:snapToGrid w:val="0"/>
              </w:rPr>
              <w:t>3.6 (2.8)</w:t>
            </w:r>
          </w:p>
        </w:tc>
        <w:tc>
          <w:tcPr>
            <w:tcW w:w="1251" w:type="pct"/>
            <w:shd w:val="clear" w:color="auto" w:fill="auto"/>
          </w:tcPr>
          <w:p w14:paraId="42F8714E" w14:textId="77777777" w:rsidR="00400DC4" w:rsidRPr="00976772" w:rsidRDefault="00400DC4" w:rsidP="004E5C57">
            <w:pPr>
              <w:pStyle w:val="TableText0"/>
              <w:rPr>
                <w:snapToGrid w:val="0"/>
              </w:rPr>
            </w:pPr>
            <w:r w:rsidRPr="00976772">
              <w:rPr>
                <w:snapToGrid w:val="0"/>
              </w:rPr>
              <w:t>1.5 (2.1) p&lt;0.0001</w:t>
            </w:r>
          </w:p>
        </w:tc>
        <w:tc>
          <w:tcPr>
            <w:tcW w:w="1251" w:type="pct"/>
          </w:tcPr>
          <w:p w14:paraId="501FA4E3" w14:textId="77777777" w:rsidR="00400DC4" w:rsidRPr="00976772" w:rsidRDefault="001305CF" w:rsidP="004E5C57">
            <w:pPr>
              <w:pStyle w:val="TableText0"/>
              <w:rPr>
                <w:snapToGrid w:val="0"/>
              </w:rPr>
            </w:pPr>
            <w:r>
              <w:rPr>
                <w:snapToGrid w:val="0"/>
              </w:rPr>
              <w:t>2.10 (0.52) (1.06,3.14)</w:t>
            </w:r>
          </w:p>
        </w:tc>
      </w:tr>
      <w:tr w:rsidR="003F3E42" w:rsidRPr="00976772" w14:paraId="268AAC96" w14:textId="77777777" w:rsidTr="003F3E42">
        <w:tc>
          <w:tcPr>
            <w:tcW w:w="5000" w:type="pct"/>
            <w:gridSpan w:val="4"/>
            <w:shd w:val="clear" w:color="auto" w:fill="auto"/>
          </w:tcPr>
          <w:p w14:paraId="11272A33" w14:textId="77777777" w:rsidR="003F3E42" w:rsidRPr="00976772" w:rsidRDefault="003F3E42" w:rsidP="004E5C57">
            <w:pPr>
              <w:pStyle w:val="TableText0"/>
              <w:rPr>
                <w:snapToGrid w:val="0"/>
              </w:rPr>
            </w:pPr>
            <w:r w:rsidRPr="00976772">
              <w:rPr>
                <w:snapToGrid w:val="0"/>
              </w:rPr>
              <w:t xml:space="preserve">Pain-related Inference (0-10) </w:t>
            </w:r>
            <w:r>
              <w:rPr>
                <w:snapToGrid w:val="0"/>
              </w:rPr>
              <w:t xml:space="preserve">Mean </w:t>
            </w:r>
            <w:r w:rsidRPr="00976772">
              <w:rPr>
                <w:snapToGrid w:val="0"/>
              </w:rPr>
              <w:t>(SD)</w:t>
            </w:r>
          </w:p>
        </w:tc>
      </w:tr>
      <w:tr w:rsidR="003F3E42" w:rsidRPr="00976772" w14:paraId="658414BA" w14:textId="77777777" w:rsidTr="00400DC4">
        <w:tc>
          <w:tcPr>
            <w:tcW w:w="1249" w:type="pct"/>
            <w:shd w:val="clear" w:color="auto" w:fill="auto"/>
          </w:tcPr>
          <w:p w14:paraId="310BC9F7" w14:textId="77777777" w:rsidR="003F3E42" w:rsidRPr="00976772" w:rsidRDefault="003F3E42" w:rsidP="004E5C57">
            <w:pPr>
              <w:pStyle w:val="TableText0"/>
              <w:rPr>
                <w:snapToGrid w:val="0"/>
              </w:rPr>
            </w:pPr>
            <w:r w:rsidRPr="00976772">
              <w:rPr>
                <w:snapToGrid w:val="0"/>
              </w:rPr>
              <w:t>General activity</w:t>
            </w:r>
          </w:p>
        </w:tc>
        <w:tc>
          <w:tcPr>
            <w:tcW w:w="1249" w:type="pct"/>
            <w:shd w:val="clear" w:color="auto" w:fill="auto"/>
          </w:tcPr>
          <w:p w14:paraId="2C4FC98C" w14:textId="77777777" w:rsidR="003F3E42" w:rsidRPr="00976772" w:rsidRDefault="003F3E42" w:rsidP="004E5C57">
            <w:pPr>
              <w:pStyle w:val="TableText0"/>
              <w:rPr>
                <w:snapToGrid w:val="0"/>
              </w:rPr>
            </w:pPr>
            <w:r w:rsidRPr="00976772">
              <w:rPr>
                <w:snapToGrid w:val="0"/>
              </w:rPr>
              <w:t>3.3 (3.8)</w:t>
            </w:r>
          </w:p>
        </w:tc>
        <w:tc>
          <w:tcPr>
            <w:tcW w:w="1251" w:type="pct"/>
            <w:shd w:val="clear" w:color="auto" w:fill="auto"/>
          </w:tcPr>
          <w:p w14:paraId="0BF3B7E9" w14:textId="77777777" w:rsidR="003F3E42" w:rsidRPr="00976772" w:rsidRDefault="003F3E42" w:rsidP="004E5C57">
            <w:pPr>
              <w:pStyle w:val="TableText0"/>
              <w:rPr>
                <w:snapToGrid w:val="0"/>
              </w:rPr>
            </w:pPr>
            <w:r w:rsidRPr="00976772">
              <w:rPr>
                <w:snapToGrid w:val="0"/>
              </w:rPr>
              <w:t>2.0 (3.0)</w:t>
            </w:r>
          </w:p>
        </w:tc>
        <w:tc>
          <w:tcPr>
            <w:tcW w:w="1251" w:type="pct"/>
          </w:tcPr>
          <w:p w14:paraId="1FE31407" w14:textId="77777777" w:rsidR="003F3E42" w:rsidRPr="00976772" w:rsidRDefault="001305CF" w:rsidP="004E5C57">
            <w:pPr>
              <w:pStyle w:val="TableText0"/>
              <w:rPr>
                <w:snapToGrid w:val="0"/>
              </w:rPr>
            </w:pPr>
            <w:r>
              <w:rPr>
                <w:snapToGrid w:val="0"/>
              </w:rPr>
              <w:t>1.30 (0.73) (-0.14,2.74)</w:t>
            </w:r>
          </w:p>
        </w:tc>
      </w:tr>
      <w:tr w:rsidR="003F3E42" w:rsidRPr="00976772" w14:paraId="5D01A1C5" w14:textId="77777777" w:rsidTr="00400DC4">
        <w:tc>
          <w:tcPr>
            <w:tcW w:w="1249" w:type="pct"/>
            <w:shd w:val="clear" w:color="auto" w:fill="auto"/>
          </w:tcPr>
          <w:p w14:paraId="171C08A7" w14:textId="77777777" w:rsidR="003F3E42" w:rsidRPr="00976772" w:rsidRDefault="003F3E42" w:rsidP="004E5C57">
            <w:pPr>
              <w:pStyle w:val="TableText0"/>
              <w:rPr>
                <w:snapToGrid w:val="0"/>
              </w:rPr>
            </w:pPr>
            <w:r w:rsidRPr="00976772">
              <w:rPr>
                <w:snapToGrid w:val="0"/>
              </w:rPr>
              <w:t>Mood</w:t>
            </w:r>
          </w:p>
        </w:tc>
        <w:tc>
          <w:tcPr>
            <w:tcW w:w="1249" w:type="pct"/>
            <w:shd w:val="clear" w:color="auto" w:fill="auto"/>
          </w:tcPr>
          <w:p w14:paraId="2984A36B" w14:textId="77777777" w:rsidR="003F3E42" w:rsidRPr="00976772" w:rsidRDefault="003F3E42" w:rsidP="004E5C57">
            <w:pPr>
              <w:pStyle w:val="TableText0"/>
              <w:rPr>
                <w:snapToGrid w:val="0"/>
              </w:rPr>
            </w:pPr>
            <w:r w:rsidRPr="00976772">
              <w:rPr>
                <w:snapToGrid w:val="0"/>
              </w:rPr>
              <w:t>3.5 (3.3)</w:t>
            </w:r>
          </w:p>
        </w:tc>
        <w:tc>
          <w:tcPr>
            <w:tcW w:w="1251" w:type="pct"/>
            <w:shd w:val="clear" w:color="auto" w:fill="auto"/>
          </w:tcPr>
          <w:p w14:paraId="607E14EA" w14:textId="77777777" w:rsidR="003F3E42" w:rsidRPr="00976772" w:rsidRDefault="003F3E42" w:rsidP="004E5C57">
            <w:pPr>
              <w:pStyle w:val="TableText0"/>
              <w:rPr>
                <w:snapToGrid w:val="0"/>
              </w:rPr>
            </w:pPr>
            <w:r w:rsidRPr="00976772">
              <w:rPr>
                <w:snapToGrid w:val="0"/>
              </w:rPr>
              <w:t>2.4 (3.2)</w:t>
            </w:r>
          </w:p>
        </w:tc>
        <w:tc>
          <w:tcPr>
            <w:tcW w:w="1251" w:type="pct"/>
          </w:tcPr>
          <w:p w14:paraId="5FF53510" w14:textId="77777777" w:rsidR="003F3E42" w:rsidRPr="00976772" w:rsidRDefault="008A468E" w:rsidP="004E5C57">
            <w:pPr>
              <w:pStyle w:val="TableText0"/>
              <w:rPr>
                <w:snapToGrid w:val="0"/>
              </w:rPr>
            </w:pPr>
            <w:r>
              <w:rPr>
                <w:snapToGrid w:val="0"/>
              </w:rPr>
              <w:t>1.1 (0.70) (-0.29,2.50)</w:t>
            </w:r>
          </w:p>
        </w:tc>
      </w:tr>
      <w:tr w:rsidR="003F3E42" w:rsidRPr="00976772" w14:paraId="6B4C3841" w14:textId="77777777" w:rsidTr="00400DC4">
        <w:tc>
          <w:tcPr>
            <w:tcW w:w="1249" w:type="pct"/>
            <w:shd w:val="clear" w:color="auto" w:fill="auto"/>
          </w:tcPr>
          <w:p w14:paraId="22A7DF2E" w14:textId="77777777" w:rsidR="003F3E42" w:rsidRPr="00976772" w:rsidRDefault="003F3E42" w:rsidP="004E5C57">
            <w:pPr>
              <w:pStyle w:val="TableText0"/>
              <w:rPr>
                <w:snapToGrid w:val="0"/>
              </w:rPr>
            </w:pPr>
            <w:r w:rsidRPr="00976772">
              <w:rPr>
                <w:snapToGrid w:val="0"/>
              </w:rPr>
              <w:t>Walking ability</w:t>
            </w:r>
          </w:p>
        </w:tc>
        <w:tc>
          <w:tcPr>
            <w:tcW w:w="1249" w:type="pct"/>
            <w:shd w:val="clear" w:color="auto" w:fill="auto"/>
          </w:tcPr>
          <w:p w14:paraId="1D29AEAC" w14:textId="77777777" w:rsidR="003F3E42" w:rsidRPr="00976772" w:rsidRDefault="003F3E42" w:rsidP="004E5C57">
            <w:pPr>
              <w:pStyle w:val="TableText0"/>
              <w:rPr>
                <w:snapToGrid w:val="0"/>
              </w:rPr>
            </w:pPr>
            <w:r w:rsidRPr="00976772">
              <w:rPr>
                <w:snapToGrid w:val="0"/>
              </w:rPr>
              <w:t>3.2 (3.8)</w:t>
            </w:r>
          </w:p>
        </w:tc>
        <w:tc>
          <w:tcPr>
            <w:tcW w:w="1251" w:type="pct"/>
            <w:shd w:val="clear" w:color="auto" w:fill="auto"/>
          </w:tcPr>
          <w:p w14:paraId="631EB07C" w14:textId="77777777" w:rsidR="003F3E42" w:rsidRPr="00976772" w:rsidRDefault="003F3E42" w:rsidP="004E5C57">
            <w:pPr>
              <w:pStyle w:val="TableText0"/>
              <w:rPr>
                <w:snapToGrid w:val="0"/>
              </w:rPr>
            </w:pPr>
            <w:r w:rsidRPr="00976772">
              <w:rPr>
                <w:snapToGrid w:val="0"/>
              </w:rPr>
              <w:t>1.6 (2.6) p=0.02</w:t>
            </w:r>
          </w:p>
        </w:tc>
        <w:tc>
          <w:tcPr>
            <w:tcW w:w="1251" w:type="pct"/>
          </w:tcPr>
          <w:p w14:paraId="2B656123" w14:textId="77777777" w:rsidR="003F3E42" w:rsidRPr="00976772" w:rsidRDefault="008A468E" w:rsidP="004E5C57">
            <w:pPr>
              <w:pStyle w:val="TableText0"/>
              <w:rPr>
                <w:snapToGrid w:val="0"/>
              </w:rPr>
            </w:pPr>
            <w:r>
              <w:rPr>
                <w:snapToGrid w:val="0"/>
              </w:rPr>
              <w:t xml:space="preserve">1.60 (0.68) (0.24,2.96) </w:t>
            </w:r>
          </w:p>
        </w:tc>
      </w:tr>
      <w:tr w:rsidR="003F3E42" w:rsidRPr="00976772" w14:paraId="657B9140" w14:textId="77777777" w:rsidTr="00400DC4">
        <w:tc>
          <w:tcPr>
            <w:tcW w:w="1249" w:type="pct"/>
            <w:shd w:val="clear" w:color="auto" w:fill="auto"/>
          </w:tcPr>
          <w:p w14:paraId="66170CD2" w14:textId="77777777" w:rsidR="003F3E42" w:rsidRPr="00976772" w:rsidRDefault="003F3E42" w:rsidP="004E5C57">
            <w:pPr>
              <w:pStyle w:val="TableText0"/>
              <w:rPr>
                <w:snapToGrid w:val="0"/>
              </w:rPr>
            </w:pPr>
            <w:r w:rsidRPr="00976772">
              <w:rPr>
                <w:snapToGrid w:val="0"/>
              </w:rPr>
              <w:t>Normal work</w:t>
            </w:r>
          </w:p>
        </w:tc>
        <w:tc>
          <w:tcPr>
            <w:tcW w:w="1249" w:type="pct"/>
            <w:shd w:val="clear" w:color="auto" w:fill="auto"/>
          </w:tcPr>
          <w:p w14:paraId="1D53D432" w14:textId="77777777" w:rsidR="003F3E42" w:rsidRPr="00976772" w:rsidRDefault="003F3E42" w:rsidP="004E5C57">
            <w:pPr>
              <w:pStyle w:val="TableText0"/>
              <w:rPr>
                <w:snapToGrid w:val="0"/>
              </w:rPr>
            </w:pPr>
            <w:r w:rsidRPr="00976772">
              <w:rPr>
                <w:snapToGrid w:val="0"/>
              </w:rPr>
              <w:t>3.4 (3.8)</w:t>
            </w:r>
          </w:p>
        </w:tc>
        <w:tc>
          <w:tcPr>
            <w:tcW w:w="1251" w:type="pct"/>
            <w:shd w:val="clear" w:color="auto" w:fill="auto"/>
          </w:tcPr>
          <w:p w14:paraId="340037F7" w14:textId="77777777" w:rsidR="003F3E42" w:rsidRPr="00976772" w:rsidRDefault="003F3E42" w:rsidP="004E5C57">
            <w:pPr>
              <w:pStyle w:val="TableText0"/>
              <w:rPr>
                <w:snapToGrid w:val="0"/>
              </w:rPr>
            </w:pPr>
            <w:r w:rsidRPr="00976772">
              <w:rPr>
                <w:snapToGrid w:val="0"/>
              </w:rPr>
              <w:t>2.3 (3.4)</w:t>
            </w:r>
          </w:p>
        </w:tc>
        <w:tc>
          <w:tcPr>
            <w:tcW w:w="1251" w:type="pct"/>
          </w:tcPr>
          <w:p w14:paraId="076FC23F" w14:textId="77777777" w:rsidR="003F3E42" w:rsidRPr="00976772" w:rsidRDefault="008A468E" w:rsidP="004E5C57">
            <w:pPr>
              <w:pStyle w:val="TableText0"/>
              <w:rPr>
                <w:snapToGrid w:val="0"/>
              </w:rPr>
            </w:pPr>
            <w:r>
              <w:rPr>
                <w:snapToGrid w:val="0"/>
              </w:rPr>
              <w:t>1.10 (0.77) (-0.43,2.63)</w:t>
            </w:r>
          </w:p>
        </w:tc>
      </w:tr>
      <w:tr w:rsidR="003F3E42" w:rsidRPr="00976772" w14:paraId="5B682079" w14:textId="77777777" w:rsidTr="00400DC4">
        <w:tc>
          <w:tcPr>
            <w:tcW w:w="1249" w:type="pct"/>
            <w:shd w:val="clear" w:color="auto" w:fill="auto"/>
          </w:tcPr>
          <w:p w14:paraId="50801E17" w14:textId="77777777" w:rsidR="003F3E42" w:rsidRPr="00976772" w:rsidRDefault="003F3E42" w:rsidP="004E5C57">
            <w:pPr>
              <w:pStyle w:val="TableText0"/>
              <w:rPr>
                <w:snapToGrid w:val="0"/>
              </w:rPr>
            </w:pPr>
            <w:r w:rsidRPr="00976772">
              <w:rPr>
                <w:snapToGrid w:val="0"/>
              </w:rPr>
              <w:t>Relation with other people</w:t>
            </w:r>
          </w:p>
        </w:tc>
        <w:tc>
          <w:tcPr>
            <w:tcW w:w="1249" w:type="pct"/>
            <w:shd w:val="clear" w:color="auto" w:fill="auto"/>
          </w:tcPr>
          <w:p w14:paraId="5E0F2A07" w14:textId="77777777" w:rsidR="003F3E42" w:rsidRPr="00976772" w:rsidRDefault="003F3E42" w:rsidP="004E5C57">
            <w:pPr>
              <w:pStyle w:val="TableText0"/>
              <w:rPr>
                <w:snapToGrid w:val="0"/>
              </w:rPr>
            </w:pPr>
            <w:r w:rsidRPr="00976772">
              <w:rPr>
                <w:snapToGrid w:val="0"/>
              </w:rPr>
              <w:t>3.0 (3.7)</w:t>
            </w:r>
          </w:p>
        </w:tc>
        <w:tc>
          <w:tcPr>
            <w:tcW w:w="1251" w:type="pct"/>
            <w:shd w:val="clear" w:color="auto" w:fill="auto"/>
          </w:tcPr>
          <w:p w14:paraId="06CC27F0" w14:textId="77777777" w:rsidR="003F3E42" w:rsidRPr="00976772" w:rsidRDefault="003F3E42" w:rsidP="004E5C57">
            <w:pPr>
              <w:pStyle w:val="TableText0"/>
              <w:rPr>
                <w:snapToGrid w:val="0"/>
              </w:rPr>
            </w:pPr>
            <w:r w:rsidRPr="00976772">
              <w:rPr>
                <w:snapToGrid w:val="0"/>
              </w:rPr>
              <w:t>1.7 (2.9)</w:t>
            </w:r>
          </w:p>
        </w:tc>
        <w:tc>
          <w:tcPr>
            <w:tcW w:w="1251" w:type="pct"/>
          </w:tcPr>
          <w:p w14:paraId="6124CA0C" w14:textId="77777777" w:rsidR="003F3E42" w:rsidRPr="00976772" w:rsidRDefault="008A468E" w:rsidP="004E5C57">
            <w:pPr>
              <w:pStyle w:val="TableText0"/>
              <w:rPr>
                <w:snapToGrid w:val="0"/>
              </w:rPr>
            </w:pPr>
            <w:r>
              <w:rPr>
                <w:snapToGrid w:val="0"/>
              </w:rPr>
              <w:t>1.30 (0.70) (-0.10,2.70)</w:t>
            </w:r>
          </w:p>
        </w:tc>
      </w:tr>
      <w:tr w:rsidR="003F3E42" w:rsidRPr="00976772" w14:paraId="09C7ADE9" w14:textId="77777777" w:rsidTr="00400DC4">
        <w:tc>
          <w:tcPr>
            <w:tcW w:w="1249" w:type="pct"/>
            <w:shd w:val="clear" w:color="auto" w:fill="auto"/>
          </w:tcPr>
          <w:p w14:paraId="44B2B44C" w14:textId="77777777" w:rsidR="003F3E42" w:rsidRPr="00976772" w:rsidRDefault="003F3E42" w:rsidP="004E5C57">
            <w:pPr>
              <w:pStyle w:val="TableText0"/>
              <w:rPr>
                <w:snapToGrid w:val="0"/>
              </w:rPr>
            </w:pPr>
            <w:r w:rsidRPr="00976772">
              <w:rPr>
                <w:snapToGrid w:val="0"/>
              </w:rPr>
              <w:t>Sleep</w:t>
            </w:r>
          </w:p>
        </w:tc>
        <w:tc>
          <w:tcPr>
            <w:tcW w:w="1249" w:type="pct"/>
            <w:shd w:val="clear" w:color="auto" w:fill="auto"/>
          </w:tcPr>
          <w:p w14:paraId="16BBA87F" w14:textId="77777777" w:rsidR="003F3E42" w:rsidRPr="00976772" w:rsidRDefault="003F3E42" w:rsidP="004E5C57">
            <w:pPr>
              <w:pStyle w:val="TableText0"/>
              <w:rPr>
                <w:snapToGrid w:val="0"/>
              </w:rPr>
            </w:pPr>
            <w:r w:rsidRPr="00976772">
              <w:rPr>
                <w:snapToGrid w:val="0"/>
              </w:rPr>
              <w:t>3.5 (3.6)</w:t>
            </w:r>
          </w:p>
        </w:tc>
        <w:tc>
          <w:tcPr>
            <w:tcW w:w="1251" w:type="pct"/>
            <w:shd w:val="clear" w:color="auto" w:fill="auto"/>
          </w:tcPr>
          <w:p w14:paraId="383BBE4B" w14:textId="77777777" w:rsidR="003F3E42" w:rsidRPr="00976772" w:rsidRDefault="003F3E42" w:rsidP="004E5C57">
            <w:pPr>
              <w:pStyle w:val="TableText0"/>
              <w:rPr>
                <w:snapToGrid w:val="0"/>
              </w:rPr>
            </w:pPr>
            <w:r w:rsidRPr="00976772">
              <w:rPr>
                <w:snapToGrid w:val="0"/>
              </w:rPr>
              <w:t>2.2 (3.1)</w:t>
            </w:r>
          </w:p>
        </w:tc>
        <w:tc>
          <w:tcPr>
            <w:tcW w:w="1251" w:type="pct"/>
          </w:tcPr>
          <w:p w14:paraId="670018E3" w14:textId="77777777" w:rsidR="003F3E42" w:rsidRPr="00976772" w:rsidRDefault="008A468E" w:rsidP="004E5C57">
            <w:pPr>
              <w:pStyle w:val="TableText0"/>
              <w:rPr>
                <w:snapToGrid w:val="0"/>
              </w:rPr>
            </w:pPr>
            <w:r>
              <w:rPr>
                <w:snapToGrid w:val="0"/>
              </w:rPr>
              <w:t>1.30 (0.72) (-0.12,2.72)</w:t>
            </w:r>
          </w:p>
        </w:tc>
      </w:tr>
      <w:tr w:rsidR="003F3E42" w:rsidRPr="00976772" w14:paraId="0A5BB6BF" w14:textId="77777777" w:rsidTr="00400DC4">
        <w:tc>
          <w:tcPr>
            <w:tcW w:w="1249" w:type="pct"/>
            <w:shd w:val="clear" w:color="auto" w:fill="auto"/>
          </w:tcPr>
          <w:p w14:paraId="4C677745" w14:textId="77777777" w:rsidR="003F3E42" w:rsidRPr="00976772" w:rsidRDefault="003F3E42" w:rsidP="004E5C57">
            <w:pPr>
              <w:pStyle w:val="TableText0"/>
              <w:rPr>
                <w:snapToGrid w:val="0"/>
              </w:rPr>
            </w:pPr>
            <w:r w:rsidRPr="00976772">
              <w:rPr>
                <w:snapToGrid w:val="0"/>
              </w:rPr>
              <w:t>Enjoyment of life</w:t>
            </w:r>
          </w:p>
        </w:tc>
        <w:tc>
          <w:tcPr>
            <w:tcW w:w="1249" w:type="pct"/>
            <w:shd w:val="clear" w:color="auto" w:fill="auto"/>
          </w:tcPr>
          <w:p w14:paraId="385771AD" w14:textId="77777777" w:rsidR="003F3E42" w:rsidRPr="00976772" w:rsidRDefault="003F3E42" w:rsidP="004E5C57">
            <w:pPr>
              <w:pStyle w:val="TableText0"/>
              <w:rPr>
                <w:snapToGrid w:val="0"/>
              </w:rPr>
            </w:pPr>
            <w:r w:rsidRPr="00976772">
              <w:rPr>
                <w:snapToGrid w:val="0"/>
              </w:rPr>
              <w:t>3.7 (3.8)</w:t>
            </w:r>
          </w:p>
        </w:tc>
        <w:tc>
          <w:tcPr>
            <w:tcW w:w="1251" w:type="pct"/>
            <w:shd w:val="clear" w:color="auto" w:fill="auto"/>
          </w:tcPr>
          <w:p w14:paraId="0DB0CB00" w14:textId="77777777" w:rsidR="003F3E42" w:rsidRPr="00976772" w:rsidRDefault="003F3E42" w:rsidP="004E5C57">
            <w:pPr>
              <w:pStyle w:val="TableText0"/>
              <w:rPr>
                <w:snapToGrid w:val="0"/>
              </w:rPr>
            </w:pPr>
            <w:r w:rsidRPr="00976772">
              <w:rPr>
                <w:snapToGrid w:val="0"/>
              </w:rPr>
              <w:t>2.0 (3.0) p=0.02</w:t>
            </w:r>
          </w:p>
        </w:tc>
        <w:tc>
          <w:tcPr>
            <w:tcW w:w="1251" w:type="pct"/>
          </w:tcPr>
          <w:p w14:paraId="5268679C" w14:textId="77777777" w:rsidR="003F3E42" w:rsidRPr="00976772" w:rsidRDefault="008A468E" w:rsidP="004E5C57">
            <w:pPr>
              <w:pStyle w:val="TableText0"/>
              <w:rPr>
                <w:snapToGrid w:val="0"/>
              </w:rPr>
            </w:pPr>
            <w:r>
              <w:rPr>
                <w:snapToGrid w:val="0"/>
              </w:rPr>
              <w:t>1.70 (0.73 (0.26,3.14)</w:t>
            </w:r>
          </w:p>
        </w:tc>
      </w:tr>
      <w:tr w:rsidR="003F3E42" w:rsidRPr="00976772" w14:paraId="28CEDDDF" w14:textId="77777777" w:rsidTr="00400DC4">
        <w:tc>
          <w:tcPr>
            <w:tcW w:w="3749" w:type="pct"/>
            <w:gridSpan w:val="3"/>
            <w:shd w:val="clear" w:color="auto" w:fill="auto"/>
          </w:tcPr>
          <w:p w14:paraId="7B7E8683" w14:textId="77777777" w:rsidR="003F3E42" w:rsidRPr="00976772" w:rsidRDefault="003F3E42" w:rsidP="004E5C57">
            <w:pPr>
              <w:pStyle w:val="TableText0"/>
              <w:rPr>
                <w:snapToGrid w:val="0"/>
              </w:rPr>
            </w:pPr>
            <w:r w:rsidRPr="00976772">
              <w:rPr>
                <w:snapToGrid w:val="0"/>
              </w:rPr>
              <w:t>Categorised PSI rating n (%)</w:t>
            </w:r>
          </w:p>
        </w:tc>
        <w:tc>
          <w:tcPr>
            <w:tcW w:w="1251" w:type="pct"/>
          </w:tcPr>
          <w:p w14:paraId="3FFB5A95" w14:textId="77777777" w:rsidR="003F3E42" w:rsidRPr="00024B42" w:rsidRDefault="003F3E42" w:rsidP="004E5C57">
            <w:pPr>
              <w:pStyle w:val="TableText0"/>
              <w:rPr>
                <w:snapToGrid w:val="0"/>
              </w:rPr>
            </w:pPr>
            <w:r>
              <w:rPr>
                <w:snapToGrid w:val="0"/>
              </w:rPr>
              <w:t xml:space="preserve">Difference of </w:t>
            </w:r>
            <w:r w:rsidRPr="00887B20">
              <w:rPr>
                <w:snapToGrid w:val="0"/>
              </w:rPr>
              <w:t>proportions</w:t>
            </w:r>
            <w:r>
              <w:rPr>
                <w:snapToGrid w:val="0"/>
              </w:rPr>
              <w:t xml:space="preserve"> (%) </w:t>
            </w:r>
            <w:r w:rsidR="005258A5">
              <w:rPr>
                <w:snapToGrid w:val="0"/>
              </w:rPr>
              <w:t>(</w:t>
            </w:r>
            <w:r w:rsidR="00D955EB">
              <w:rPr>
                <w:snapToGrid w:val="0"/>
              </w:rPr>
              <w:t>95% CI</w:t>
            </w:r>
            <w:r w:rsidR="005258A5">
              <w:rPr>
                <w:snapToGrid w:val="0"/>
              </w:rPr>
              <w:t>)</w:t>
            </w:r>
            <w:r w:rsidR="00C56B79">
              <w:rPr>
                <w:snapToGrid w:val="0"/>
                <w:vertAlign w:val="superscript"/>
              </w:rPr>
              <w:t>b</w:t>
            </w:r>
            <w:r w:rsidR="00024B42">
              <w:rPr>
                <w:snapToGrid w:val="0"/>
                <w:vertAlign w:val="superscript"/>
              </w:rPr>
              <w:t>,</w:t>
            </w:r>
            <w:r w:rsidR="00024B42" w:rsidRPr="00024B42">
              <w:rPr>
                <w:snapToGrid w:val="0"/>
                <w:vertAlign w:val="superscript"/>
              </w:rPr>
              <w:t>c</w:t>
            </w:r>
          </w:p>
        </w:tc>
      </w:tr>
      <w:tr w:rsidR="003F3E42" w:rsidRPr="00976772" w14:paraId="58BC1C38" w14:textId="77777777" w:rsidTr="00400DC4">
        <w:tc>
          <w:tcPr>
            <w:tcW w:w="1249" w:type="pct"/>
            <w:shd w:val="clear" w:color="auto" w:fill="auto"/>
          </w:tcPr>
          <w:p w14:paraId="23228264" w14:textId="77777777" w:rsidR="003F3E42" w:rsidRPr="00976772" w:rsidRDefault="003F3E42" w:rsidP="004E5C57">
            <w:pPr>
              <w:pStyle w:val="TableText0"/>
              <w:rPr>
                <w:snapToGrid w:val="0"/>
              </w:rPr>
            </w:pPr>
            <w:r w:rsidRPr="00976772">
              <w:rPr>
                <w:snapToGrid w:val="0"/>
              </w:rPr>
              <w:t>None (0)</w:t>
            </w:r>
          </w:p>
        </w:tc>
        <w:tc>
          <w:tcPr>
            <w:tcW w:w="1249" w:type="pct"/>
            <w:shd w:val="clear" w:color="auto" w:fill="auto"/>
          </w:tcPr>
          <w:p w14:paraId="7DF0E9A7" w14:textId="77777777" w:rsidR="003F3E42" w:rsidRPr="00976772" w:rsidRDefault="003F3E42" w:rsidP="004E5C57">
            <w:pPr>
              <w:pStyle w:val="TableText0"/>
              <w:rPr>
                <w:snapToGrid w:val="0"/>
              </w:rPr>
            </w:pPr>
            <w:r w:rsidRPr="00976772">
              <w:rPr>
                <w:snapToGrid w:val="0"/>
              </w:rPr>
              <w:t>6 (16.2)</w:t>
            </w:r>
          </w:p>
        </w:tc>
        <w:tc>
          <w:tcPr>
            <w:tcW w:w="1251" w:type="pct"/>
            <w:shd w:val="clear" w:color="auto" w:fill="auto"/>
          </w:tcPr>
          <w:p w14:paraId="1E4095C5" w14:textId="77777777" w:rsidR="003F3E42" w:rsidRPr="00976772" w:rsidRDefault="003F3E42" w:rsidP="004E5C57">
            <w:pPr>
              <w:pStyle w:val="TableText0"/>
              <w:rPr>
                <w:snapToGrid w:val="0"/>
              </w:rPr>
            </w:pPr>
            <w:r w:rsidRPr="00976772">
              <w:rPr>
                <w:snapToGrid w:val="0"/>
              </w:rPr>
              <w:t>27 (52.9)</w:t>
            </w:r>
          </w:p>
        </w:tc>
        <w:tc>
          <w:tcPr>
            <w:tcW w:w="1251" w:type="pct"/>
          </w:tcPr>
          <w:p w14:paraId="2EBE61D6" w14:textId="77777777" w:rsidR="003F3E42" w:rsidRPr="00976772" w:rsidRDefault="00024B42" w:rsidP="004E5C57">
            <w:pPr>
              <w:pStyle w:val="TableText0"/>
              <w:rPr>
                <w:snapToGrid w:val="0"/>
              </w:rPr>
            </w:pPr>
            <w:r>
              <w:rPr>
                <w:snapToGrid w:val="0"/>
              </w:rPr>
              <w:t>-</w:t>
            </w:r>
            <w:r w:rsidR="003F3E42">
              <w:rPr>
                <w:snapToGrid w:val="0"/>
              </w:rPr>
              <w:t xml:space="preserve">36.7 </w:t>
            </w:r>
            <w:r w:rsidR="005258A5">
              <w:rPr>
                <w:snapToGrid w:val="0"/>
              </w:rPr>
              <w:t>(</w:t>
            </w:r>
            <w:r w:rsidR="00D955EB">
              <w:rPr>
                <w:snapToGrid w:val="0"/>
              </w:rPr>
              <w:t>16.6,52.3</w:t>
            </w:r>
            <w:r w:rsidR="005258A5">
              <w:rPr>
                <w:snapToGrid w:val="0"/>
              </w:rPr>
              <w:t>)</w:t>
            </w:r>
          </w:p>
        </w:tc>
      </w:tr>
      <w:tr w:rsidR="003F3E42" w:rsidRPr="00976772" w14:paraId="71B7D361" w14:textId="77777777" w:rsidTr="00400DC4">
        <w:tc>
          <w:tcPr>
            <w:tcW w:w="1249" w:type="pct"/>
            <w:shd w:val="clear" w:color="auto" w:fill="auto"/>
          </w:tcPr>
          <w:p w14:paraId="43936324" w14:textId="77777777" w:rsidR="003F3E42" w:rsidRPr="00976772" w:rsidRDefault="003F3E42" w:rsidP="004E5C57">
            <w:pPr>
              <w:pStyle w:val="TableText0"/>
              <w:rPr>
                <w:snapToGrid w:val="0"/>
              </w:rPr>
            </w:pPr>
            <w:r w:rsidRPr="00976772">
              <w:rPr>
                <w:snapToGrid w:val="0"/>
              </w:rPr>
              <w:t>Mild (1-3)</w:t>
            </w:r>
          </w:p>
        </w:tc>
        <w:tc>
          <w:tcPr>
            <w:tcW w:w="1249" w:type="pct"/>
            <w:shd w:val="clear" w:color="auto" w:fill="auto"/>
          </w:tcPr>
          <w:p w14:paraId="084F2AE8" w14:textId="77777777" w:rsidR="003F3E42" w:rsidRPr="00976772" w:rsidRDefault="003F3E42" w:rsidP="004E5C57">
            <w:pPr>
              <w:pStyle w:val="TableText0"/>
              <w:rPr>
                <w:snapToGrid w:val="0"/>
              </w:rPr>
            </w:pPr>
            <w:r w:rsidRPr="00976772">
              <w:rPr>
                <w:snapToGrid w:val="0"/>
              </w:rPr>
              <w:t>14 (37.8)</w:t>
            </w:r>
          </w:p>
        </w:tc>
        <w:tc>
          <w:tcPr>
            <w:tcW w:w="1251" w:type="pct"/>
            <w:shd w:val="clear" w:color="auto" w:fill="auto"/>
          </w:tcPr>
          <w:p w14:paraId="602DBD0D" w14:textId="77777777" w:rsidR="003F3E42" w:rsidRPr="00976772" w:rsidRDefault="003F3E42" w:rsidP="004E5C57">
            <w:pPr>
              <w:pStyle w:val="TableText0"/>
              <w:rPr>
                <w:snapToGrid w:val="0"/>
              </w:rPr>
            </w:pPr>
            <w:r w:rsidRPr="00976772">
              <w:rPr>
                <w:snapToGrid w:val="0"/>
              </w:rPr>
              <w:t>14 (27.5)</w:t>
            </w:r>
          </w:p>
        </w:tc>
        <w:tc>
          <w:tcPr>
            <w:tcW w:w="1251" w:type="pct"/>
          </w:tcPr>
          <w:p w14:paraId="55BA9375" w14:textId="77777777" w:rsidR="003F3E42" w:rsidRPr="00976772" w:rsidRDefault="00D955EB" w:rsidP="004E5C57">
            <w:pPr>
              <w:pStyle w:val="TableText0"/>
              <w:rPr>
                <w:snapToGrid w:val="0"/>
              </w:rPr>
            </w:pPr>
            <w:r>
              <w:rPr>
                <w:snapToGrid w:val="0"/>
              </w:rPr>
              <w:t>10.3 (-9.0,29.4)</w:t>
            </w:r>
          </w:p>
        </w:tc>
      </w:tr>
      <w:tr w:rsidR="003F3E42" w:rsidRPr="00976772" w14:paraId="33BAC0C1" w14:textId="77777777" w:rsidTr="00400DC4">
        <w:tc>
          <w:tcPr>
            <w:tcW w:w="1249" w:type="pct"/>
            <w:shd w:val="clear" w:color="auto" w:fill="auto"/>
          </w:tcPr>
          <w:p w14:paraId="34353550" w14:textId="77777777" w:rsidR="003F3E42" w:rsidRPr="00976772" w:rsidRDefault="003F3E42" w:rsidP="004E5C57">
            <w:pPr>
              <w:pStyle w:val="TableText0"/>
              <w:rPr>
                <w:snapToGrid w:val="0"/>
              </w:rPr>
            </w:pPr>
            <w:r w:rsidRPr="00976772">
              <w:rPr>
                <w:snapToGrid w:val="0"/>
              </w:rPr>
              <w:t>Moderate (4-6)</w:t>
            </w:r>
          </w:p>
        </w:tc>
        <w:tc>
          <w:tcPr>
            <w:tcW w:w="1249" w:type="pct"/>
            <w:shd w:val="clear" w:color="auto" w:fill="auto"/>
          </w:tcPr>
          <w:p w14:paraId="784B0850" w14:textId="77777777" w:rsidR="003F3E42" w:rsidRPr="00976772" w:rsidRDefault="003F3E42" w:rsidP="004E5C57">
            <w:pPr>
              <w:pStyle w:val="TableText0"/>
              <w:rPr>
                <w:snapToGrid w:val="0"/>
              </w:rPr>
            </w:pPr>
            <w:r w:rsidRPr="00976772">
              <w:rPr>
                <w:snapToGrid w:val="0"/>
              </w:rPr>
              <w:t>9 (24.3)</w:t>
            </w:r>
          </w:p>
        </w:tc>
        <w:tc>
          <w:tcPr>
            <w:tcW w:w="1251" w:type="pct"/>
            <w:shd w:val="clear" w:color="auto" w:fill="auto"/>
          </w:tcPr>
          <w:p w14:paraId="718AE57D" w14:textId="77777777" w:rsidR="003F3E42" w:rsidRPr="00976772" w:rsidRDefault="003F3E42" w:rsidP="004E5C57">
            <w:pPr>
              <w:pStyle w:val="TableText0"/>
              <w:rPr>
                <w:snapToGrid w:val="0"/>
              </w:rPr>
            </w:pPr>
            <w:r w:rsidRPr="00976772">
              <w:rPr>
                <w:snapToGrid w:val="0"/>
              </w:rPr>
              <w:t>8 (15.7)</w:t>
            </w:r>
          </w:p>
        </w:tc>
        <w:tc>
          <w:tcPr>
            <w:tcW w:w="1251" w:type="pct"/>
          </w:tcPr>
          <w:p w14:paraId="7892D322" w14:textId="77777777" w:rsidR="003F3E42" w:rsidRPr="00976772" w:rsidRDefault="00D955EB" w:rsidP="004E5C57">
            <w:pPr>
              <w:pStyle w:val="TableText0"/>
              <w:rPr>
                <w:snapToGrid w:val="0"/>
              </w:rPr>
            </w:pPr>
            <w:r>
              <w:rPr>
                <w:snapToGrid w:val="0"/>
              </w:rPr>
              <w:t>8.6 (-7.9,26.1)</w:t>
            </w:r>
          </w:p>
        </w:tc>
      </w:tr>
      <w:tr w:rsidR="003F3E42" w:rsidRPr="00976772" w14:paraId="33749957" w14:textId="77777777" w:rsidTr="00400DC4">
        <w:tc>
          <w:tcPr>
            <w:tcW w:w="1249" w:type="pct"/>
            <w:shd w:val="clear" w:color="auto" w:fill="auto"/>
          </w:tcPr>
          <w:p w14:paraId="1E817A44" w14:textId="77777777" w:rsidR="003F3E42" w:rsidRPr="00976772" w:rsidRDefault="003F3E42" w:rsidP="004E5C57">
            <w:pPr>
              <w:pStyle w:val="TableText0"/>
              <w:rPr>
                <w:snapToGrid w:val="0"/>
              </w:rPr>
            </w:pPr>
            <w:r w:rsidRPr="00976772">
              <w:rPr>
                <w:snapToGrid w:val="0"/>
              </w:rPr>
              <w:t>Severe (7-10)</w:t>
            </w:r>
          </w:p>
        </w:tc>
        <w:tc>
          <w:tcPr>
            <w:tcW w:w="1249" w:type="pct"/>
            <w:shd w:val="clear" w:color="auto" w:fill="auto"/>
          </w:tcPr>
          <w:p w14:paraId="683C477C" w14:textId="77777777" w:rsidR="003F3E42" w:rsidRPr="00976772" w:rsidRDefault="003F3E42" w:rsidP="004E5C57">
            <w:pPr>
              <w:pStyle w:val="TableText0"/>
              <w:rPr>
                <w:snapToGrid w:val="0"/>
              </w:rPr>
            </w:pPr>
            <w:r w:rsidRPr="00976772">
              <w:rPr>
                <w:snapToGrid w:val="0"/>
              </w:rPr>
              <w:t>8 (21.6)</w:t>
            </w:r>
          </w:p>
        </w:tc>
        <w:tc>
          <w:tcPr>
            <w:tcW w:w="1251" w:type="pct"/>
            <w:shd w:val="clear" w:color="auto" w:fill="auto"/>
          </w:tcPr>
          <w:p w14:paraId="6B8F5682" w14:textId="77777777" w:rsidR="003F3E42" w:rsidRPr="00976772" w:rsidRDefault="003F3E42" w:rsidP="004E5C57">
            <w:pPr>
              <w:pStyle w:val="TableText0"/>
              <w:rPr>
                <w:snapToGrid w:val="0"/>
              </w:rPr>
            </w:pPr>
            <w:r w:rsidRPr="00976772">
              <w:rPr>
                <w:snapToGrid w:val="0"/>
              </w:rPr>
              <w:t>2 (3.9)</w:t>
            </w:r>
          </w:p>
        </w:tc>
        <w:tc>
          <w:tcPr>
            <w:tcW w:w="1251" w:type="pct"/>
          </w:tcPr>
          <w:p w14:paraId="74F699BB" w14:textId="77777777" w:rsidR="003F3E42" w:rsidRPr="00976772" w:rsidRDefault="00D955EB" w:rsidP="004E5C57">
            <w:pPr>
              <w:pStyle w:val="TableText0"/>
              <w:rPr>
                <w:snapToGrid w:val="0"/>
              </w:rPr>
            </w:pPr>
            <w:r>
              <w:rPr>
                <w:snapToGrid w:val="0"/>
              </w:rPr>
              <w:t>17.7 (3.9,33.5)</w:t>
            </w:r>
          </w:p>
        </w:tc>
      </w:tr>
    </w:tbl>
    <w:p w14:paraId="1B2B6291" w14:textId="77777777" w:rsidR="00AB0740" w:rsidRDefault="00AB0740" w:rsidP="00AB0740">
      <w:pPr>
        <w:widowControl w:val="0"/>
        <w:spacing w:after="120" w:line="240" w:lineRule="auto"/>
        <w:contextualSpacing/>
        <w:jc w:val="left"/>
        <w:rPr>
          <w:rFonts w:ascii="Arial Narrow" w:hAnsi="Arial Narrow" w:cs="Arial"/>
          <w:snapToGrid w:val="0"/>
          <w:sz w:val="18"/>
          <w:szCs w:val="20"/>
          <w:lang w:eastAsia="en-US"/>
        </w:rPr>
      </w:pPr>
      <w:r w:rsidRPr="00976772">
        <w:rPr>
          <w:rFonts w:ascii="Arial Narrow" w:hAnsi="Arial Narrow" w:cs="Arial"/>
          <w:snapToGrid w:val="0"/>
          <w:sz w:val="18"/>
          <w:szCs w:val="20"/>
          <w:lang w:eastAsia="en-US"/>
        </w:rPr>
        <w:t xml:space="preserve">DSS = Disability Status Scale; NMO = neuromyelitis optica; NMOSD = neuromyelitis optica syndrome disorders; PSI = Pain Severity </w:t>
      </w:r>
      <w:r w:rsidRPr="00976772">
        <w:rPr>
          <w:rFonts w:ascii="Arial Narrow" w:hAnsi="Arial Narrow" w:cs="Arial"/>
          <w:snapToGrid w:val="0"/>
          <w:sz w:val="18"/>
          <w:szCs w:val="20"/>
          <w:lang w:eastAsia="en-US"/>
        </w:rPr>
        <w:lastRenderedPageBreak/>
        <w:t xml:space="preserve">Index; </w:t>
      </w:r>
      <w:r w:rsidR="000349B2">
        <w:rPr>
          <w:rFonts w:ascii="Arial Narrow" w:hAnsi="Arial Narrow" w:cs="Arial"/>
          <w:snapToGrid w:val="0"/>
          <w:sz w:val="18"/>
          <w:szCs w:val="20"/>
          <w:lang w:eastAsia="en-US"/>
        </w:rPr>
        <w:t xml:space="preserve">SE = standard error; </w:t>
      </w:r>
      <w:r w:rsidRPr="00976772">
        <w:rPr>
          <w:rFonts w:ascii="Arial Narrow" w:hAnsi="Arial Narrow" w:cs="Arial"/>
          <w:snapToGrid w:val="0"/>
          <w:sz w:val="18"/>
          <w:szCs w:val="20"/>
          <w:lang w:eastAsia="en-US"/>
        </w:rPr>
        <w:t>SF-BPI = Short Form Brief Pain Inventory</w:t>
      </w:r>
    </w:p>
    <w:p w14:paraId="6A7124D9" w14:textId="77777777" w:rsidR="001E6AF6" w:rsidRDefault="001E6AF6" w:rsidP="00AB0740">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 xml:space="preserve">a </w:t>
      </w:r>
      <w:r>
        <w:rPr>
          <w:rFonts w:ascii="Arial Narrow" w:hAnsi="Arial Narrow" w:cs="Arial"/>
          <w:snapToGrid w:val="0"/>
          <w:sz w:val="18"/>
          <w:szCs w:val="20"/>
          <w:lang w:eastAsia="en-US"/>
        </w:rPr>
        <w:t>Comparison of mean with a t-statistic. Values calculated using MedCalc</w:t>
      </w:r>
    </w:p>
    <w:p w14:paraId="119F8050" w14:textId="77777777" w:rsidR="00887B20" w:rsidRDefault="00887B20" w:rsidP="00AB0740">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 xml:space="preserve">b </w:t>
      </w:r>
      <w:r>
        <w:rPr>
          <w:rFonts w:ascii="Arial Narrow" w:hAnsi="Arial Narrow" w:cs="Arial"/>
          <w:snapToGrid w:val="0"/>
          <w:sz w:val="18"/>
          <w:szCs w:val="20"/>
          <w:lang w:eastAsia="en-US"/>
        </w:rPr>
        <w:t>Comparison of proportions with a Chi-squared test. Values calculated using MedCalc</w:t>
      </w:r>
    </w:p>
    <w:p w14:paraId="2F0A2A9F" w14:textId="77777777" w:rsidR="00024B42" w:rsidRPr="00024B42" w:rsidRDefault="00024B42" w:rsidP="00AB0740">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 xml:space="preserve">c </w:t>
      </w:r>
      <w:r w:rsidR="001305CF" w:rsidRPr="001305CF">
        <w:rPr>
          <w:rFonts w:ascii="Arial Narrow" w:hAnsi="Arial Narrow" w:cs="Arial"/>
          <w:snapToGrid w:val="0"/>
          <w:sz w:val="18"/>
          <w:szCs w:val="20"/>
          <w:lang w:eastAsia="en-US"/>
        </w:rPr>
        <w:t>Differences</w:t>
      </w:r>
      <w:r>
        <w:rPr>
          <w:rFonts w:ascii="Arial Narrow" w:hAnsi="Arial Narrow" w:cs="Arial"/>
          <w:snapToGrid w:val="0"/>
          <w:sz w:val="18"/>
          <w:szCs w:val="20"/>
          <w:lang w:eastAsia="en-US"/>
        </w:rPr>
        <w:t xml:space="preserve"> expressed as NMOSD compared to MS</w:t>
      </w:r>
    </w:p>
    <w:p w14:paraId="3411DA06" w14:textId="77777777" w:rsidR="00AB0740" w:rsidRPr="00976772" w:rsidRDefault="00AB0740" w:rsidP="009A0134">
      <w:pPr>
        <w:pStyle w:val="Tablenotes0"/>
      </w:pPr>
    </w:p>
    <w:p w14:paraId="2BE5DDDD" w14:textId="36401917" w:rsidR="00AB0740" w:rsidRPr="00976772" w:rsidRDefault="00AB0740" w:rsidP="00AB0740">
      <w:r w:rsidRPr="00976772">
        <w:t xml:space="preserve">The study by Chanson et al. </w:t>
      </w:r>
      <w:r w:rsidR="00156621">
        <w:fldChar w:fldCharType="begin">
          <w:fldData xml:space="preserve">PEVuZE5vdGU+PENpdGU+PEF1dGhvcj5DaGFuc29uPC9BdXRob3I+PFllYXI+MjAxMTwvWWVhcj48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</w:fldData>
        </w:fldChar>
      </w:r>
      <w:r w:rsidR="00D96694">
        <w:instrText xml:space="preserve"> ADDIN EN.CITE </w:instrText>
      </w:r>
      <w:r w:rsidR="00D96694">
        <w:fldChar w:fldCharType="begin">
          <w:fldData xml:space="preserve">PEVuZE5vdGU+PENpdGU+PEF1dGhvcj5DaGFuc29uPC9BdXRob3I+PFllYXI+MjAxMTwvWWVhcj48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</w:fldData>
        </w:fldChar>
      </w:r>
      <w:r w:rsidR="00D96694">
        <w:instrText xml:space="preserve"> ADDIN EN.CITE.DATA </w:instrText>
      </w:r>
      <w:r w:rsidR="00D96694">
        <w:fldChar w:fldCharType="end"/>
      </w:r>
      <w:r w:rsidR="00156621">
        <w:fldChar w:fldCharType="separate"/>
      </w:r>
      <w:r w:rsidR="00665317">
        <w:rPr>
          <w:noProof/>
        </w:rPr>
        <w:t>(</w:t>
      </w:r>
      <w:r w:rsidR="00156621">
        <w:rPr>
          <w:noProof/>
        </w:rPr>
        <w:t>2011)</w:t>
      </w:r>
      <w:r w:rsidR="00156621">
        <w:fldChar w:fldCharType="end"/>
      </w:r>
      <w:r w:rsidRPr="00976772">
        <w:t xml:space="preserve"> assessed fatigue using the EMIF-SEP, which is the French version of the Fatigue Impact Scale and provides an assessment of the physical, cognitive and social aspects of MS-related fatigue. Scores ranged from 0-100 with the higher values indicating higher fatigue. Depression was evaluated by the ‘Echelle d’Humeur D</w:t>
      </w:r>
      <w:r w:rsidRPr="00976772">
        <w:rPr>
          <w:rFonts w:cs="Calibri"/>
        </w:rPr>
        <w:t>é</w:t>
      </w:r>
      <w:r w:rsidRPr="00976772">
        <w:t xml:space="preserve">pressive or Depressive Mood Scale, and is designed to assess depression in MS, with one point = ‘no sign of depression’ to four points = </w:t>
      </w:r>
      <w:r w:rsidR="00365E8A">
        <w:t>‘</w:t>
      </w:r>
      <w:r w:rsidRPr="00976772">
        <w:t>severe mood disturbances</w:t>
      </w:r>
      <w:r w:rsidR="00365E8A">
        <w:t>’</w:t>
      </w:r>
      <w:r w:rsidRPr="00976772">
        <w:t xml:space="preserve">. </w:t>
      </w:r>
    </w:p>
    <w:p w14:paraId="2C7D3E47" w14:textId="13C7A02A" w:rsidR="00AB0740" w:rsidRPr="00976772" w:rsidRDefault="00AB0740" w:rsidP="00AB0740">
      <w:r w:rsidRPr="00976772">
        <w:t xml:space="preserve">Chanson et al 2001 </w:t>
      </w:r>
      <w:r w:rsidR="00156621">
        <w:fldChar w:fldCharType="begin">
          <w:fldData xml:space="preserve">PEVuZE5vdGU+PENpdGU+PEF1dGhvcj5DaGFuc29uPC9BdXRob3I+PFllYXI+MjAxMTwvWWVhcj48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</w:fldData>
        </w:fldChar>
      </w:r>
      <w:r w:rsidR="00D96694">
        <w:instrText xml:space="preserve"> ADDIN EN.CITE </w:instrText>
      </w:r>
      <w:r w:rsidR="00D96694">
        <w:fldChar w:fldCharType="begin">
          <w:fldData xml:space="preserve">PEVuZE5vdGU+PENpdGU+PEF1dGhvcj5DaGFuc29uPC9BdXRob3I+PFllYXI+MjAxMTwvWWVhcj48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</w:fldData>
        </w:fldChar>
      </w:r>
      <w:r w:rsidR="00D96694">
        <w:instrText xml:space="preserve"> ADDIN EN.CITE.DATA </w:instrText>
      </w:r>
      <w:r w:rsidR="00D96694">
        <w:fldChar w:fldCharType="end"/>
      </w:r>
      <w:r w:rsidR="00156621">
        <w:fldChar w:fldCharType="separate"/>
      </w:r>
      <w:r w:rsidR="00665317">
        <w:rPr>
          <w:noProof/>
        </w:rPr>
        <w:t>(</w:t>
      </w:r>
      <w:r w:rsidR="00156621">
        <w:rPr>
          <w:noProof/>
        </w:rPr>
        <w:t>2011)</w:t>
      </w:r>
      <w:r w:rsidR="00156621">
        <w:fldChar w:fldCharType="end"/>
      </w:r>
      <w:r w:rsidRPr="00976772">
        <w:t xml:space="preserve"> reported scores for all dimensions of fatigue were lower in NMO than in MS</w:t>
      </w:r>
      <w:r w:rsidR="00365E8A">
        <w:t>,</w:t>
      </w:r>
      <w:r w:rsidRPr="00976772">
        <w:t xml:space="preserve"> but this difference reached the level of statistical significance only for the psychological dimension. The intensity of depression was similar in patients with NMO and MS, but no further information was provided.</w:t>
      </w:r>
    </w:p>
    <w:p w14:paraId="5BCAFF36" w14:textId="77777777" w:rsidR="00AB0740" w:rsidRPr="00976772" w:rsidRDefault="00AB0740" w:rsidP="00AB0740">
      <w:r w:rsidRPr="00976772">
        <w:t xml:space="preserve">In conclusion, all studies investigating the effects of NMO/NMOSD on QoL showed that, for physical functioning, NMO/NMOSD had a negative effect on QoL, compared to the general population. The results were less clear for effects of NMO/NMOSD on emotional functioning QoL, with results showing </w:t>
      </w:r>
      <w:r w:rsidR="00E649AE">
        <w:t>some</w:t>
      </w:r>
      <w:r w:rsidRPr="00976772">
        <w:t xml:space="preserve">, marginal </w:t>
      </w:r>
      <w:r w:rsidR="00E649AE">
        <w:t>or</w:t>
      </w:r>
      <w:r w:rsidR="00E649AE" w:rsidRPr="00976772">
        <w:t xml:space="preserve"> </w:t>
      </w:r>
      <w:r w:rsidRPr="00976772">
        <w:t xml:space="preserve">no impairment in emotional QoL. </w:t>
      </w:r>
    </w:p>
    <w:p w14:paraId="15AD9728" w14:textId="77777777" w:rsidR="00AB0740" w:rsidRPr="00976772" w:rsidRDefault="00AB0740" w:rsidP="00AB0740">
      <w:pPr>
        <w:rPr>
          <w:snapToGrid w:val="0"/>
          <w:lang w:eastAsia="en-US"/>
        </w:rPr>
      </w:pPr>
      <w:r w:rsidRPr="00976772">
        <w:t>In comparison to MS, adults with NMO/NMOSD were more likely to report pain, and the pain was more severe and interfered with daily life, particularly walking ability and enjoyment of life</w:t>
      </w:r>
      <w:r w:rsidR="00E649AE">
        <w:t>.</w:t>
      </w:r>
      <w:r w:rsidR="00C15223">
        <w:t xml:space="preserve"> </w:t>
      </w:r>
      <w:r w:rsidR="00E649AE">
        <w:t>W</w:t>
      </w:r>
      <w:r w:rsidRPr="00976772">
        <w:t>hile there was some evidence that the effect of depression on QoL is the same in both NMO and MS, fatigue is lower in NMO compared to MS</w:t>
      </w:r>
      <w:r w:rsidR="00E649AE">
        <w:t>;</w:t>
      </w:r>
      <w:r w:rsidRPr="00976772">
        <w:t xml:space="preserve"> more research is warranted in this area. </w:t>
      </w:r>
    </w:p>
    <w:p w14:paraId="3F8C9985" w14:textId="77777777" w:rsidR="00ED65EE" w:rsidRDefault="00ED65EE" w:rsidP="00ED65EE">
      <w:pPr>
        <w:pStyle w:val="Heading1"/>
        <w:tabs>
          <w:tab w:val="left" w:pos="1134"/>
          <w:tab w:val="left" w:pos="1276"/>
        </w:tabs>
      </w:pPr>
      <w:bookmarkStart w:id="355" w:name="_Toc39588343"/>
      <w:r>
        <w:lastRenderedPageBreak/>
        <w:t>B8</w:t>
      </w:r>
      <w:r>
        <w:tab/>
        <w:t>Interpretation of the clinical evidence</w:t>
      </w:r>
      <w:bookmarkEnd w:id="355"/>
    </w:p>
    <w:p w14:paraId="0FEA61CE" w14:textId="77777777" w:rsidR="00ED65EE" w:rsidRPr="00DA6A48" w:rsidRDefault="00ED65EE" w:rsidP="00ED65EE">
      <w:r w:rsidRPr="002E2A40">
        <w:t xml:space="preserve">It is important to classify the therapeutic profile of </w:t>
      </w:r>
      <w:r w:rsidR="00833401">
        <w:t xml:space="preserve">diagnosis of NMOSD with </w:t>
      </w:r>
      <w:r w:rsidR="00833401" w:rsidRPr="00DA6A48">
        <w:t>antibody testing</w:t>
      </w:r>
      <w:r w:rsidRPr="00DA6A48">
        <w:t xml:space="preserve"> and associated </w:t>
      </w:r>
      <w:r w:rsidR="00833401" w:rsidRPr="00DA6A48">
        <w:t>treatments</w:t>
      </w:r>
      <w:r w:rsidRPr="00DA6A48">
        <w:t xml:space="preserve"> in relation to </w:t>
      </w:r>
      <w:r w:rsidR="00833401" w:rsidRPr="00DA6A48">
        <w:t>diagnosis based on clinical characteristics alone</w:t>
      </w:r>
      <w:r w:rsidRPr="00DA6A48">
        <w:t xml:space="preserve"> (i.e. whether it is therapeutically superior, inferior or equivalent to the comparator). </w:t>
      </w:r>
    </w:p>
    <w:p w14:paraId="2DB6D130" w14:textId="514121C2" w:rsidR="00ED65EE" w:rsidRDefault="00ED65EE" w:rsidP="00ED65EE">
      <w:pPr>
        <w:rPr>
          <w:b/>
        </w:rPr>
      </w:pPr>
      <w:r w:rsidRPr="00DA6A48">
        <w:t xml:space="preserve">On the basis of the evidence profile (summarised in </w:t>
      </w:r>
      <w:r w:rsidR="00833401" w:rsidRPr="00DA6A48">
        <w:fldChar w:fldCharType="begin"/>
      </w:r>
      <w:r w:rsidR="00833401" w:rsidRPr="00DA6A48">
        <w:instrText xml:space="preserve"> REF _Ref33002067 \h </w:instrText>
      </w:r>
      <w:r w:rsidR="00DA6A48">
        <w:instrText xml:space="preserve"> \* MERGEFORMAT </w:instrText>
      </w:r>
      <w:r w:rsidR="00833401" w:rsidRPr="00DA6A48">
        <w:fldChar w:fldCharType="separate"/>
      </w:r>
      <w:r w:rsidR="00480604" w:rsidRPr="00BA413E">
        <w:t xml:space="preserve">Table </w:t>
      </w:r>
      <w:r w:rsidR="00480604">
        <w:rPr>
          <w:noProof/>
        </w:rPr>
        <w:t>68</w:t>
      </w:r>
      <w:r w:rsidR="00833401" w:rsidRPr="00DA6A48">
        <w:fldChar w:fldCharType="end"/>
      </w:r>
      <w:r w:rsidR="00833401" w:rsidRPr="00DA6A48">
        <w:t xml:space="preserve"> </w:t>
      </w:r>
      <w:r w:rsidR="00022C69">
        <w:t>and</w:t>
      </w:r>
      <w:r w:rsidR="00833401" w:rsidRPr="00DA6A48">
        <w:t xml:space="preserve"> </w:t>
      </w:r>
      <w:r w:rsidR="00022C69">
        <w:fldChar w:fldCharType="begin"/>
      </w:r>
      <w:r w:rsidR="00022C69">
        <w:instrText xml:space="preserve"> REF _Ref33021356 \h </w:instrText>
      </w:r>
      <w:r w:rsidR="00022C69">
        <w:fldChar w:fldCharType="separate"/>
      </w:r>
      <w:r w:rsidR="00480604">
        <w:t xml:space="preserve">Table </w:t>
      </w:r>
      <w:r w:rsidR="00480604">
        <w:rPr>
          <w:noProof/>
        </w:rPr>
        <w:t>69</w:t>
      </w:r>
      <w:r w:rsidR="00022C69">
        <w:fldChar w:fldCharType="end"/>
      </w:r>
      <w:r w:rsidR="00833401" w:rsidRPr="00480604">
        <w:fldChar w:fldCharType="begin"/>
      </w:r>
      <w:r w:rsidR="00833401" w:rsidRPr="00480604">
        <w:instrText xml:space="preserve"> REF _Ref31205471 \h </w:instrText>
      </w:r>
      <w:r w:rsidR="00DA6A48" w:rsidRPr="00480604">
        <w:instrText xml:space="preserve"> \* MERGEFORMAT </w:instrText>
      </w:r>
      <w:r w:rsidR="00833401" w:rsidRPr="00480604">
        <w:fldChar w:fldCharType="separate"/>
      </w:r>
      <w:r w:rsidR="00480604" w:rsidRPr="00480604">
        <w:rPr>
          <w:bCs/>
          <w:lang w:val="en-US"/>
        </w:rPr>
        <w:t>)</w:t>
      </w:r>
      <w:r w:rsidR="00833401" w:rsidRPr="00480604">
        <w:fldChar w:fldCharType="end"/>
      </w:r>
      <w:r w:rsidRPr="00DA6A48">
        <w:t xml:space="preserve">, </w:t>
      </w:r>
      <w:r w:rsidRPr="00DA6A48">
        <w:rPr>
          <w:b/>
        </w:rPr>
        <w:t xml:space="preserve">it is suggested that, relative to </w:t>
      </w:r>
      <w:r w:rsidR="00833401" w:rsidRPr="00DA6A48">
        <w:rPr>
          <w:b/>
        </w:rPr>
        <w:t xml:space="preserve">diagnosis </w:t>
      </w:r>
      <w:r w:rsidR="00087CF7">
        <w:rPr>
          <w:b/>
        </w:rPr>
        <w:t xml:space="preserve">of NMOSD </w:t>
      </w:r>
      <w:r w:rsidR="00833401" w:rsidRPr="00DA6A48">
        <w:rPr>
          <w:b/>
        </w:rPr>
        <w:t>without AQP4-Ab testing</w:t>
      </w:r>
      <w:r w:rsidRPr="00DA6A48">
        <w:rPr>
          <w:b/>
        </w:rPr>
        <w:t xml:space="preserve">, </w:t>
      </w:r>
      <w:r w:rsidR="00833401" w:rsidRPr="00DA6A48">
        <w:rPr>
          <w:b/>
        </w:rPr>
        <w:t xml:space="preserve">diagnosis with testing </w:t>
      </w:r>
      <w:r w:rsidRPr="00DA6A48">
        <w:rPr>
          <w:b/>
        </w:rPr>
        <w:t xml:space="preserve">and associated </w:t>
      </w:r>
      <w:r w:rsidR="00833401" w:rsidRPr="00DA6A48">
        <w:rPr>
          <w:b/>
        </w:rPr>
        <w:t>treatments</w:t>
      </w:r>
      <w:r w:rsidRPr="00DA6A48">
        <w:rPr>
          <w:b/>
        </w:rPr>
        <w:t xml:space="preserve"> </w:t>
      </w:r>
      <w:r w:rsidRPr="00FC0F62">
        <w:rPr>
          <w:b/>
        </w:rPr>
        <w:t xml:space="preserve">has </w:t>
      </w:r>
      <w:r w:rsidR="00D752A7" w:rsidRPr="00FC0F62">
        <w:rPr>
          <w:b/>
        </w:rPr>
        <w:t xml:space="preserve">non-inferior </w:t>
      </w:r>
      <w:r w:rsidRPr="00FC0F62">
        <w:rPr>
          <w:b/>
        </w:rPr>
        <w:t>safety and</w:t>
      </w:r>
      <w:r w:rsidRPr="00DA6A48">
        <w:rPr>
          <w:b/>
        </w:rPr>
        <w:t xml:space="preserve"> superior effectiveness.</w:t>
      </w:r>
    </w:p>
    <w:p w14:paraId="5983DE80" w14:textId="3147C6D0" w:rsidR="00087CF7" w:rsidRDefault="009E4632" w:rsidP="00ED65EE">
      <w:pPr>
        <w:rPr>
          <w:b/>
        </w:rPr>
      </w:pPr>
      <w:r w:rsidRPr="009E4632">
        <w:t>Due to limited evidence</w:t>
      </w:r>
      <w:r>
        <w:rPr>
          <w:b/>
        </w:rPr>
        <w:t>, it is suggested that,</w:t>
      </w:r>
      <w:r w:rsidR="00087CF7">
        <w:rPr>
          <w:b/>
        </w:rPr>
        <w:t xml:space="preserve"> diagnosis of NMOSD with MOG-Ab testing</w:t>
      </w:r>
      <w:r>
        <w:rPr>
          <w:b/>
        </w:rPr>
        <w:t>, relative to diagnosis of NMOSD without MOG-Ab testing,</w:t>
      </w:r>
      <w:r w:rsidR="00087CF7">
        <w:rPr>
          <w:b/>
        </w:rPr>
        <w:t xml:space="preserve"> has </w:t>
      </w:r>
      <w:r>
        <w:rPr>
          <w:b/>
        </w:rPr>
        <w:t>uncertain</w:t>
      </w:r>
      <w:r w:rsidR="00087CF7">
        <w:rPr>
          <w:b/>
        </w:rPr>
        <w:t xml:space="preserve"> safety </w:t>
      </w:r>
      <w:r>
        <w:rPr>
          <w:b/>
        </w:rPr>
        <w:t>and uncertain</w:t>
      </w:r>
      <w:r w:rsidR="00087CF7">
        <w:rPr>
          <w:b/>
        </w:rPr>
        <w:t xml:space="preserve"> </w:t>
      </w:r>
      <w:r>
        <w:rPr>
          <w:b/>
        </w:rPr>
        <w:t>effectiveness</w:t>
      </w:r>
      <w:r w:rsidR="00843D5B">
        <w:rPr>
          <w:b/>
        </w:rPr>
        <w:t>.</w:t>
      </w:r>
    </w:p>
    <w:p w14:paraId="32FBB9F4" w14:textId="77777777" w:rsidR="00AF7660" w:rsidRDefault="00AF7660" w:rsidP="00AF7660">
      <w:pPr>
        <w:rPr>
          <w:b/>
          <w:lang w:eastAsia="en-US"/>
        </w:rPr>
      </w:pPr>
      <w:r w:rsidRPr="00F47F8F">
        <w:rPr>
          <w:lang w:eastAsia="en-US"/>
        </w:rPr>
        <w:t>Due to limited evidence</w:t>
      </w:r>
      <w:r w:rsidRPr="00F47F8F">
        <w:rPr>
          <w:b/>
          <w:lang w:eastAsia="en-US"/>
        </w:rPr>
        <w:t xml:space="preserve">, it is suggested that, </w:t>
      </w:r>
      <w:r>
        <w:rPr>
          <w:b/>
          <w:lang w:eastAsia="en-US"/>
        </w:rPr>
        <w:t>retesting or monitoring</w:t>
      </w:r>
      <w:r w:rsidRPr="00F47F8F">
        <w:rPr>
          <w:b/>
          <w:lang w:eastAsia="en-US"/>
        </w:rPr>
        <w:t xml:space="preserve"> of NMOSD with </w:t>
      </w:r>
      <w:r>
        <w:rPr>
          <w:b/>
          <w:lang w:eastAsia="en-US"/>
        </w:rPr>
        <w:t xml:space="preserve">AQP4-AB or </w:t>
      </w:r>
      <w:r w:rsidRPr="00F47F8F">
        <w:rPr>
          <w:b/>
          <w:lang w:eastAsia="en-US"/>
        </w:rPr>
        <w:t xml:space="preserve">MOG-Ab testing, relative to </w:t>
      </w:r>
      <w:r>
        <w:rPr>
          <w:b/>
          <w:lang w:eastAsia="en-US"/>
        </w:rPr>
        <w:t>retesting or monitoring</w:t>
      </w:r>
      <w:r w:rsidRPr="00F47F8F">
        <w:rPr>
          <w:b/>
          <w:lang w:eastAsia="en-US"/>
        </w:rPr>
        <w:t xml:space="preserve"> of NMOSD without </w:t>
      </w:r>
      <w:r>
        <w:rPr>
          <w:b/>
          <w:lang w:eastAsia="en-US"/>
        </w:rPr>
        <w:t xml:space="preserve">AQP4-Ab or </w:t>
      </w:r>
      <w:r w:rsidRPr="00F47F8F">
        <w:rPr>
          <w:b/>
          <w:lang w:eastAsia="en-US"/>
        </w:rPr>
        <w:t>MOG-Ab testing, has uncertain safety and uncertain effectiveness</w:t>
      </w:r>
      <w:r>
        <w:rPr>
          <w:b/>
          <w:lang w:eastAsia="en-US"/>
        </w:rPr>
        <w:t>.</w:t>
      </w:r>
    </w:p>
    <w:p w14:paraId="7E199D3A" w14:textId="77777777" w:rsidR="00AF7660" w:rsidRPr="00214F43" w:rsidRDefault="00AF7660" w:rsidP="00ED65EE"/>
    <w:p w14:paraId="37B1C73C" w14:textId="77777777" w:rsidR="00AD0BAA" w:rsidRDefault="00AD0BAA" w:rsidP="00AD0BAA">
      <w:pPr>
        <w:pStyle w:val="Heading3"/>
      </w:pPr>
      <w:bookmarkStart w:id="356" w:name="_Toc39588344"/>
      <w:r>
        <w:t>Diagnosis and treatment of NMOSD with AQP4-Ab testing compared to no testing</w:t>
      </w:r>
      <w:bookmarkEnd w:id="356"/>
    </w:p>
    <w:p w14:paraId="3A352ABB" w14:textId="77777777" w:rsidR="006800EE" w:rsidRDefault="00EF4E92" w:rsidP="00ED65EE">
      <w:r>
        <w:t>The</w:t>
      </w:r>
      <w:r w:rsidR="006800EE">
        <w:t xml:space="preserve"> critical </w:t>
      </w:r>
      <w:r>
        <w:t xml:space="preserve">clinical </w:t>
      </w:r>
      <w:r w:rsidR="006800EE">
        <w:t xml:space="preserve">outcomes </w:t>
      </w:r>
      <w:r>
        <w:t xml:space="preserve">of the assessment are summarised in this section and interpreted </w:t>
      </w:r>
      <w:r w:rsidR="00312227">
        <w:t>for the</w:t>
      </w:r>
      <w:r>
        <w:t xml:space="preserve"> Australian clinical setting. </w:t>
      </w:r>
    </w:p>
    <w:p w14:paraId="24B50AEC" w14:textId="77777777" w:rsidR="00833401" w:rsidRDefault="00BA413E" w:rsidP="00ED65EE">
      <w:r>
        <w:t>In</w:t>
      </w:r>
      <w:r w:rsidR="00872C8E">
        <w:t xml:space="preserve"> the absence of relevant diagnostic accuracy data from </w:t>
      </w:r>
      <w:r w:rsidR="00EF4E92">
        <w:t>a</w:t>
      </w:r>
      <w:r w:rsidR="00872C8E">
        <w:t xml:space="preserve"> clinical setting, prognostic data indicated that </w:t>
      </w:r>
      <w:r w:rsidR="003B6407">
        <w:t xml:space="preserve">the presence of </w:t>
      </w:r>
      <w:r w:rsidR="00872C8E">
        <w:t>AQP4</w:t>
      </w:r>
      <w:r w:rsidR="003B6407">
        <w:t xml:space="preserve"> antibodies</w:t>
      </w:r>
      <w:r w:rsidR="00872C8E">
        <w:t xml:space="preserve"> identif</w:t>
      </w:r>
      <w:r w:rsidR="003B6407">
        <w:t>ies</w:t>
      </w:r>
      <w:r w:rsidR="00872C8E">
        <w:t xml:space="preserve"> a group of patients at risk of clinically significant</w:t>
      </w:r>
      <w:r w:rsidR="009B0BF5">
        <w:t>ly</w:t>
      </w:r>
      <w:r w:rsidR="00872C8E">
        <w:t xml:space="preserve"> worse outcomes amongst those suspected of NMOSD</w:t>
      </w:r>
      <w:r w:rsidR="00EA096D">
        <w:t xml:space="preserve">. </w:t>
      </w:r>
      <w:r w:rsidR="00906758">
        <w:t>The populations tested in the literature appeared to be more narrowly selected for testing than those who are tested in the Australian setting</w:t>
      </w:r>
      <w:r w:rsidR="009B0BF5">
        <w:t>, based on feedback from clinical experts for this assessment</w:t>
      </w:r>
      <w:r w:rsidR="00D730B1">
        <w:t>, and articles reporting clinical yield data in Australia</w:t>
      </w:r>
      <w:r w:rsidR="00906758">
        <w:t xml:space="preserve">. However, this difference </w:t>
      </w:r>
      <w:r w:rsidR="009C59D1">
        <w:t xml:space="preserve">is not likely to reduce the prognostic information provided by AQP4-Ab testing. </w:t>
      </w:r>
      <w:r w:rsidR="00281515">
        <w:t xml:space="preserve">A similar trend for worse outcomes in AQP4-Ab positive compared with negative patients was seen in patients diagnosed with NMO or NMOSD. </w:t>
      </w:r>
      <w:r w:rsidR="00EF4E92">
        <w:t>(</w:t>
      </w:r>
      <w:r w:rsidR="00EA096D">
        <w:t xml:space="preserve">Diagnostic accuracy evidence profiles can be found in </w:t>
      </w:r>
      <w:r w:rsidR="00EA096D">
        <w:fldChar w:fldCharType="begin"/>
      </w:r>
      <w:r w:rsidR="00EA096D">
        <w:instrText xml:space="preserve"> REF _Ref421016257 \h </w:instrText>
      </w:r>
      <w:r w:rsidR="00EA096D">
        <w:fldChar w:fldCharType="separate"/>
      </w:r>
      <w:r w:rsidR="0014371E" w:rsidRPr="00706BE3">
        <w:t xml:space="preserve">Table </w:t>
      </w:r>
      <w:r w:rsidR="0014371E">
        <w:rPr>
          <w:noProof/>
        </w:rPr>
        <w:t>79</w:t>
      </w:r>
      <w:r w:rsidR="00EA096D">
        <w:fldChar w:fldCharType="end"/>
      </w:r>
      <w:r w:rsidR="00EA096D">
        <w:t xml:space="preserve">. Prognostic evidence profiles can be found in </w:t>
      </w:r>
      <w:r w:rsidR="00EA096D">
        <w:fldChar w:fldCharType="begin"/>
      </w:r>
      <w:r w:rsidR="00EA096D">
        <w:instrText xml:space="preserve"> REF _Ref33021040 \h </w:instrText>
      </w:r>
      <w:r w:rsidR="00EA096D">
        <w:fldChar w:fldCharType="separate"/>
      </w:r>
      <w:r w:rsidR="0014371E">
        <w:t xml:space="preserve">Table </w:t>
      </w:r>
      <w:r w:rsidR="0014371E">
        <w:rPr>
          <w:noProof/>
        </w:rPr>
        <w:t>81</w:t>
      </w:r>
      <w:r w:rsidR="00EA096D">
        <w:fldChar w:fldCharType="end"/>
      </w:r>
      <w:r w:rsidR="00EA096D">
        <w:t xml:space="preserve"> </w:t>
      </w:r>
      <w:r w:rsidR="00906758">
        <w:t xml:space="preserve">and </w:t>
      </w:r>
      <w:r w:rsidR="00EA096D">
        <w:fldChar w:fldCharType="begin"/>
      </w:r>
      <w:r w:rsidR="00EA096D">
        <w:instrText xml:space="preserve"> REF _Ref30684897 \h </w:instrText>
      </w:r>
      <w:r w:rsidR="00EA096D">
        <w:fldChar w:fldCharType="separate"/>
      </w:r>
      <w:r w:rsidR="0014371E">
        <w:t xml:space="preserve">Table </w:t>
      </w:r>
      <w:r w:rsidR="0014371E">
        <w:rPr>
          <w:noProof/>
        </w:rPr>
        <w:t>82</w:t>
      </w:r>
      <w:r w:rsidR="00EA096D">
        <w:fldChar w:fldCharType="end"/>
      </w:r>
      <w:r w:rsidR="00872C8E">
        <w:t>.</w:t>
      </w:r>
      <w:r w:rsidR="00EF4E92">
        <w:t>)</w:t>
      </w:r>
      <w:r w:rsidR="00872C8E">
        <w:t xml:space="preserve"> </w:t>
      </w:r>
      <w:r w:rsidR="0010199F">
        <w:t xml:space="preserve">(GRADE: VERY LOW </w:t>
      </w:r>
      <w:r w:rsidR="0010199F">
        <w:rPr>
          <w:rFonts w:ascii="Cambria Math" w:hAnsi="Cambria Math"/>
          <w:color w:val="00B050"/>
        </w:rPr>
        <w:t>⨁</w:t>
      </w:r>
      <w:r w:rsidR="0010199F" w:rsidRPr="00D4733A">
        <w:rPr>
          <w:rFonts w:ascii="Cambria Math" w:hAnsi="Cambria Math" w:cs="Cambria Math"/>
          <w:color w:val="C00000"/>
        </w:rPr>
        <w:t>⨀⨀⨀</w:t>
      </w:r>
      <w:r w:rsidR="0010199F">
        <w:t xml:space="preserve"> to HIGH </w:t>
      </w:r>
      <w:r w:rsidR="0010199F" w:rsidRPr="00D4733A">
        <w:rPr>
          <w:rFonts w:ascii="Cambria Math" w:hAnsi="Cambria Math"/>
          <w:color w:val="00B050"/>
        </w:rPr>
        <w:t>⨁⨁⨁⨁</w:t>
      </w:r>
      <w:r w:rsidR="0010199F">
        <w:t>)</w:t>
      </w:r>
    </w:p>
    <w:p w14:paraId="5070C20C" w14:textId="77777777" w:rsidR="00DA6A48" w:rsidRDefault="009E4632" w:rsidP="00ED65EE">
      <w:r>
        <w:t xml:space="preserve">There was evidence to show that patients are diagnosed </w:t>
      </w:r>
      <w:r w:rsidRPr="002335E0">
        <w:rPr>
          <w:i/>
        </w:rPr>
        <w:t xml:space="preserve">earlier </w:t>
      </w:r>
      <w:r>
        <w:t xml:space="preserve">when </w:t>
      </w:r>
      <w:r w:rsidR="00E503FF">
        <w:t>the 2015</w:t>
      </w:r>
      <w:r w:rsidR="00A75FB5">
        <w:t xml:space="preserve"> IPND</w:t>
      </w:r>
      <w:r w:rsidR="00E503FF">
        <w:t xml:space="preserve"> diagnostic criteria are used compare to when the 2006 criteria are used. This may reflect the impact of increased emphasis of AQP4-Ab test usage in the 2015 criteria</w:t>
      </w:r>
      <w:r w:rsidR="006800EE">
        <w:t xml:space="preserve"> (</w:t>
      </w:r>
      <w:r w:rsidR="006800EE">
        <w:fldChar w:fldCharType="begin"/>
      </w:r>
      <w:r w:rsidR="006800EE">
        <w:instrText xml:space="preserve"> REF _Ref33002067 \h </w:instrText>
      </w:r>
      <w:r w:rsidR="006800EE">
        <w:fldChar w:fldCharType="separate"/>
      </w:r>
      <w:r w:rsidR="0014371E" w:rsidRPr="00BA413E">
        <w:t xml:space="preserve">Table </w:t>
      </w:r>
      <w:r w:rsidR="0014371E">
        <w:rPr>
          <w:noProof/>
        </w:rPr>
        <w:t>65</w:t>
      </w:r>
      <w:r w:rsidR="006800EE">
        <w:fldChar w:fldCharType="end"/>
      </w:r>
      <w:r w:rsidR="006800EE">
        <w:t>)</w:t>
      </w:r>
      <w:r>
        <w:t xml:space="preserve">. </w:t>
      </w:r>
      <w:r w:rsidR="000F3B75">
        <w:t xml:space="preserve">This was supported by evidence showing that </w:t>
      </w:r>
      <w:r w:rsidR="00DE5976" w:rsidRPr="002335E0">
        <w:rPr>
          <w:i/>
        </w:rPr>
        <w:t>more</w:t>
      </w:r>
      <w:r w:rsidR="00DE5976">
        <w:t xml:space="preserve"> </w:t>
      </w:r>
      <w:r w:rsidR="000F3B75">
        <w:t xml:space="preserve">patients are diagnosed based on the 2015 IPND criteria than when diagnosis is based on the 2006 criteria. </w:t>
      </w:r>
      <w:r>
        <w:t>The association between testing and earlier diagnosis was strong</w:t>
      </w:r>
      <w:r w:rsidR="000F3B75">
        <w:t>, but the confidence in the results was reduced by the risk of bias in the retrospective observational study design</w:t>
      </w:r>
      <w:r w:rsidR="00461C1F">
        <w:t>s</w:t>
      </w:r>
      <w:r w:rsidR="006800EE">
        <w:t>. (GRADE</w:t>
      </w:r>
      <w:r w:rsidR="00EF4E92">
        <w:t>:</w:t>
      </w:r>
      <w:r w:rsidR="006800EE">
        <w:t xml:space="preserve"> LOW </w:t>
      </w:r>
      <w:r w:rsidR="006800EE">
        <w:rPr>
          <w:rFonts w:ascii="Cambria Math" w:hAnsi="Cambria Math"/>
          <w:color w:val="00B050"/>
        </w:rPr>
        <w:t>⨁⨁</w:t>
      </w:r>
      <w:r w:rsidR="006800EE" w:rsidRPr="00D4733A">
        <w:rPr>
          <w:rFonts w:ascii="Cambria Math" w:hAnsi="Cambria Math" w:cs="Cambria Math"/>
          <w:color w:val="C00000"/>
        </w:rPr>
        <w:t>⨀⨀</w:t>
      </w:r>
      <w:r w:rsidR="006800EE">
        <w:t>)</w:t>
      </w:r>
    </w:p>
    <w:p w14:paraId="10D116B0" w14:textId="77777777" w:rsidR="000F3B75" w:rsidRDefault="000F3B75" w:rsidP="00ED65EE">
      <w:r>
        <w:t xml:space="preserve">There was a strong to very strong association between early treatment </w:t>
      </w:r>
      <w:r w:rsidR="003B6407">
        <w:t xml:space="preserve">(PLEX, AZA or IVMP) </w:t>
      </w:r>
      <w:r>
        <w:t>for NMOSD patients</w:t>
      </w:r>
      <w:r w:rsidR="009B0BF5">
        <w:t>,</w:t>
      </w:r>
      <w:r>
        <w:t xml:space="preserve"> and </w:t>
      </w:r>
      <w:r w:rsidR="00872C8E">
        <w:t xml:space="preserve">better </w:t>
      </w:r>
      <w:r>
        <w:t>treatment effectiveness</w:t>
      </w:r>
      <w:r w:rsidR="009B0BF5">
        <w:t>,</w:t>
      </w:r>
      <w:r>
        <w:t xml:space="preserve"> when compared to late treatment</w:t>
      </w:r>
      <w:r w:rsidR="006800EE">
        <w:t xml:space="preserve"> (</w:t>
      </w:r>
      <w:r w:rsidR="006800EE">
        <w:fldChar w:fldCharType="begin"/>
      </w:r>
      <w:r w:rsidR="006800EE">
        <w:instrText xml:space="preserve"> REF _Ref33021356 \h </w:instrText>
      </w:r>
      <w:r w:rsidR="006800EE">
        <w:fldChar w:fldCharType="separate"/>
      </w:r>
      <w:r w:rsidR="0014371E">
        <w:t xml:space="preserve">Table </w:t>
      </w:r>
      <w:r w:rsidR="0014371E">
        <w:rPr>
          <w:noProof/>
        </w:rPr>
        <w:t>66</w:t>
      </w:r>
      <w:r w:rsidR="006800EE">
        <w:fldChar w:fldCharType="end"/>
      </w:r>
      <w:r w:rsidR="006800EE">
        <w:t>)</w:t>
      </w:r>
      <w:r>
        <w:t xml:space="preserve">. </w:t>
      </w:r>
      <w:r w:rsidR="00872C8E">
        <w:t xml:space="preserve">Delay of treatment led to worse </w:t>
      </w:r>
      <w:r w:rsidR="00E707B7">
        <w:t>clinical outcomes</w:t>
      </w:r>
      <w:r w:rsidR="009B0BF5" w:rsidRPr="009B0BF5">
        <w:t xml:space="preserve"> </w:t>
      </w:r>
      <w:r w:rsidR="009B0BF5">
        <w:t>in all three studies contributing to this outcome</w:t>
      </w:r>
      <w:r w:rsidR="00872C8E">
        <w:t xml:space="preserve">. </w:t>
      </w:r>
      <w:r w:rsidR="00EA096D">
        <w:t>For example, i</w:t>
      </w:r>
      <w:r w:rsidR="00872C8E">
        <w:t xml:space="preserve">n the study of NMOSD patients with ON, delay of </w:t>
      </w:r>
      <w:r w:rsidR="00EA096D">
        <w:t xml:space="preserve">IVMP </w:t>
      </w:r>
      <w:r w:rsidR="00872C8E">
        <w:t>treatment beyond as little as 4 days after an ON attac</w:t>
      </w:r>
      <w:r w:rsidR="00E707B7">
        <w:t xml:space="preserve">k led to </w:t>
      </w:r>
      <w:r w:rsidR="009B0BF5">
        <w:t xml:space="preserve">more </w:t>
      </w:r>
      <w:r w:rsidR="00E707B7">
        <w:t>visual deterioration</w:t>
      </w:r>
      <w:r w:rsidR="00872C8E">
        <w:t xml:space="preserve">. </w:t>
      </w:r>
      <w:r w:rsidR="00461C1F">
        <w:t xml:space="preserve">Although confidence in the association was moderate when assessed by GRADE, it </w:t>
      </w:r>
      <w:r w:rsidR="009B0BF5">
        <w:t>was</w:t>
      </w:r>
      <w:r w:rsidR="00461C1F">
        <w:t xml:space="preserve"> reduced by the risk of bias in the retrospective observational study designs.</w:t>
      </w:r>
      <w:r w:rsidR="006800EE">
        <w:t xml:space="preserve"> (GRADE</w:t>
      </w:r>
      <w:r w:rsidR="00EF4E92">
        <w:t>:</w:t>
      </w:r>
      <w:r w:rsidR="006800EE">
        <w:t xml:space="preserve"> LOW </w:t>
      </w:r>
      <w:r w:rsidR="006800EE">
        <w:rPr>
          <w:rFonts w:ascii="Cambria Math" w:hAnsi="Cambria Math"/>
          <w:color w:val="00B050"/>
        </w:rPr>
        <w:t>⨁⨁</w:t>
      </w:r>
      <w:r w:rsidR="006800EE" w:rsidRPr="00D4733A">
        <w:rPr>
          <w:rFonts w:ascii="Cambria Math" w:hAnsi="Cambria Math" w:cs="Cambria Math"/>
          <w:color w:val="C00000"/>
        </w:rPr>
        <w:t>⨀⨀</w:t>
      </w:r>
      <w:r w:rsidR="006800EE">
        <w:t xml:space="preserve"> to MODERATE </w:t>
      </w:r>
      <w:r w:rsidR="006800EE" w:rsidRPr="00D4733A">
        <w:rPr>
          <w:rFonts w:ascii="Cambria Math" w:hAnsi="Cambria Math"/>
          <w:color w:val="00B050"/>
        </w:rPr>
        <w:t>⨁⨁⨁</w:t>
      </w:r>
      <w:r w:rsidR="006800EE" w:rsidRPr="00D4733A">
        <w:rPr>
          <w:rFonts w:ascii="Cambria Math" w:hAnsi="Cambria Math" w:cs="Cambria Math"/>
          <w:color w:val="C00000"/>
        </w:rPr>
        <w:t>⨀</w:t>
      </w:r>
      <w:r w:rsidR="006800EE">
        <w:t>)</w:t>
      </w:r>
    </w:p>
    <w:p w14:paraId="406006A0" w14:textId="77777777" w:rsidR="00461C1F" w:rsidRDefault="005B0E41" w:rsidP="00ED65EE">
      <w:r>
        <w:lastRenderedPageBreak/>
        <w:t>Specific t</w:t>
      </w:r>
      <w:r w:rsidR="00AB63E2">
        <w:t>herapies</w:t>
      </w:r>
      <w:r w:rsidR="00461C1F">
        <w:t xml:space="preserve"> for NMOSD (PLEX, RTX, AZA and ECZ) were more effective </w:t>
      </w:r>
      <w:r w:rsidR="0070180B">
        <w:t xml:space="preserve">overall </w:t>
      </w:r>
      <w:r w:rsidR="00461C1F">
        <w:t xml:space="preserve">than placebo, </w:t>
      </w:r>
      <w:r w:rsidR="004226B6">
        <w:t xml:space="preserve">standard </w:t>
      </w:r>
      <w:r w:rsidRPr="005B0E41">
        <w:t>immunosuppressant therapy (IVMP, glucocorticoids) alone</w:t>
      </w:r>
      <w:r w:rsidRPr="005B0E41">
        <w:rPr>
          <w:b/>
        </w:rPr>
        <w:t xml:space="preserve"> </w:t>
      </w:r>
      <w:r w:rsidR="00461C1F">
        <w:t>or MS treatment (interferon beta)</w:t>
      </w:r>
      <w:r w:rsidR="003B6407">
        <w:t>.</w:t>
      </w:r>
      <w:r w:rsidR="00461C1F">
        <w:t xml:space="preserve"> </w:t>
      </w:r>
      <w:r w:rsidR="00383B0A">
        <w:t>In the vast majority of studies, t</w:t>
      </w:r>
      <w:r w:rsidR="00461C1F">
        <w:t xml:space="preserve">he association </w:t>
      </w:r>
      <w:r w:rsidR="00AD0BAA">
        <w:t>was</w:t>
      </w:r>
      <w:r w:rsidR="00461C1F">
        <w:t xml:space="preserve"> strong</w:t>
      </w:r>
      <w:r w:rsidR="00AD0BAA">
        <w:t xml:space="preserve"> and t</w:t>
      </w:r>
      <w:r w:rsidR="00461C1F">
        <w:t>here was moderate confidence in this outcome when assessed by GRADE.</w:t>
      </w:r>
      <w:r w:rsidR="00AD0BAA">
        <w:t xml:space="preserve"> </w:t>
      </w:r>
      <w:r w:rsidR="006800EE">
        <w:t>(GRADE</w:t>
      </w:r>
      <w:r w:rsidR="00EF4E92">
        <w:t>:</w:t>
      </w:r>
      <w:r w:rsidR="006800EE">
        <w:t xml:space="preserve"> LOW </w:t>
      </w:r>
      <w:r w:rsidR="006800EE">
        <w:rPr>
          <w:rFonts w:ascii="Cambria Math" w:hAnsi="Cambria Math"/>
          <w:color w:val="00B050"/>
        </w:rPr>
        <w:t>⨁⨁</w:t>
      </w:r>
      <w:r w:rsidR="006800EE" w:rsidRPr="00D4733A">
        <w:rPr>
          <w:rFonts w:ascii="Cambria Math" w:hAnsi="Cambria Math" w:cs="Cambria Math"/>
          <w:color w:val="C00000"/>
        </w:rPr>
        <w:t>⨀⨀</w:t>
      </w:r>
      <w:r w:rsidR="006800EE">
        <w:t xml:space="preserve"> to HIGH </w:t>
      </w:r>
      <w:r w:rsidR="00EF4E92" w:rsidRPr="00D4733A">
        <w:rPr>
          <w:rFonts w:ascii="Cambria Math" w:hAnsi="Cambria Math"/>
          <w:color w:val="00B050"/>
        </w:rPr>
        <w:t>⨁⨁⨁⨁</w:t>
      </w:r>
      <w:r w:rsidR="006800EE">
        <w:t>)</w:t>
      </w:r>
    </w:p>
    <w:p w14:paraId="3EEAF3CE" w14:textId="77777777" w:rsidR="00AB63E2" w:rsidRDefault="00AB63E2" w:rsidP="00ED65EE">
      <w:r>
        <w:t xml:space="preserve">There are side effects associated with NMOSD therapies, including some serious adverse events. However, because of the possibility of </w:t>
      </w:r>
      <w:r w:rsidR="0070180B">
        <w:t>serious</w:t>
      </w:r>
      <w:r>
        <w:t xml:space="preserve"> clinical impact associated with </w:t>
      </w:r>
      <w:r w:rsidR="002F4646">
        <w:t xml:space="preserve">NMOSD </w:t>
      </w:r>
      <w:r>
        <w:t>relapse symptoms or attacks, side effects of the therapies are likely to be considered preferable.</w:t>
      </w:r>
      <w:r w:rsidR="002F4646">
        <w:t xml:space="preserve"> Likely outcomes of AQP4-Ab testing for true positives, true negative, false positive and false negative patients are described in</w:t>
      </w:r>
      <w:r w:rsidR="00DE6BD7">
        <w:t xml:space="preserve"> </w:t>
      </w:r>
      <w:r w:rsidR="00DE6BD7">
        <w:fldChar w:fldCharType="begin"/>
      </w:r>
      <w:r w:rsidR="00DE6BD7">
        <w:instrText xml:space="preserve"> REF _Ref33442890 \h </w:instrText>
      </w:r>
      <w:r w:rsidR="00DE6BD7">
        <w:fldChar w:fldCharType="separate"/>
      </w:r>
      <w:r w:rsidR="0014371E" w:rsidRPr="005B7611">
        <w:t xml:space="preserve">Table </w:t>
      </w:r>
      <w:r w:rsidR="0014371E">
        <w:rPr>
          <w:noProof/>
        </w:rPr>
        <w:t>4</w:t>
      </w:r>
      <w:r w:rsidR="00DE6BD7">
        <w:fldChar w:fldCharType="end"/>
      </w:r>
      <w:r w:rsidR="00BA413E">
        <w:t>.</w:t>
      </w:r>
    </w:p>
    <w:p w14:paraId="5697EAD8" w14:textId="77777777" w:rsidR="00AD0BAA" w:rsidRDefault="00AD0BAA" w:rsidP="00AD0BAA">
      <w:pPr>
        <w:pStyle w:val="Heading3"/>
      </w:pPr>
      <w:bookmarkStart w:id="357" w:name="_Toc39588345"/>
      <w:r>
        <w:t>Diagnosis and treatment of NMSOD with MOG-testing compared to no testing</w:t>
      </w:r>
      <w:bookmarkEnd w:id="357"/>
    </w:p>
    <w:p w14:paraId="1D194579" w14:textId="77777777" w:rsidR="00AD0BAA" w:rsidRPr="00AD0BAA" w:rsidRDefault="00AD0BAA" w:rsidP="00AD0BAA">
      <w:r>
        <w:t>There was insufficient evidence meeting the inclusion criteria to make any conclusions regarding MOG testing for diagnosis of NMOSD.</w:t>
      </w:r>
    </w:p>
    <w:p w14:paraId="6D8B0719" w14:textId="77777777" w:rsidR="00DA6A48" w:rsidRDefault="00DA6A48" w:rsidP="00ED65EE"/>
    <w:p w14:paraId="099C499D" w14:textId="77777777" w:rsidR="00ED65EE" w:rsidRDefault="00ED65EE" w:rsidP="00ED65EE">
      <w:pPr>
        <w:sectPr w:rsidR="00ED65EE" w:rsidSect="001229D7">
          <w:footerReference w:type="even" r:id="rId36"/>
          <w:type w:val="oddPage"/>
          <w:pgSz w:w="11906" w:h="16838"/>
          <w:pgMar w:top="1440" w:right="1440" w:bottom="1440" w:left="1440" w:header="720" w:footer="720" w:gutter="0"/>
          <w:paperSrc w:first="7" w:other="7"/>
          <w:cols w:space="720"/>
        </w:sectPr>
      </w:pPr>
    </w:p>
    <w:p w14:paraId="4BC0C581" w14:textId="2595927C" w:rsidR="00ED65EE" w:rsidRPr="00183E4D" w:rsidRDefault="00ED65EE" w:rsidP="00ED65EE">
      <w:pPr>
        <w:pStyle w:val="Caption"/>
        <w:rPr>
          <w:rFonts w:cs="Arial"/>
          <w:snapToGrid w:val="0"/>
          <w:szCs w:val="16"/>
          <w:lang w:eastAsia="en-US"/>
        </w:rPr>
      </w:pPr>
      <w:bookmarkStart w:id="358" w:name="_Ref33002067"/>
      <w:bookmarkStart w:id="359" w:name="_Ref33002058"/>
      <w:bookmarkStart w:id="360" w:name="_Toc39580849"/>
      <w:r w:rsidRPr="00BA413E">
        <w:lastRenderedPageBreak/>
        <w:t xml:space="preserve">Table </w:t>
      </w:r>
      <w:fldSimple w:instr=" SEQ Table \* ARABIC ">
        <w:r w:rsidR="00FA7BCD">
          <w:rPr>
            <w:noProof/>
          </w:rPr>
          <w:t>68</w:t>
        </w:r>
      </w:fldSimple>
      <w:bookmarkEnd w:id="358"/>
      <w:r w:rsidRPr="00BA413E">
        <w:tab/>
      </w:r>
      <w:r w:rsidR="00087CF7" w:rsidRPr="00BA413E">
        <w:rPr>
          <w:rFonts w:cs="Arial"/>
          <w:snapToGrid w:val="0"/>
          <w:szCs w:val="16"/>
          <w:lang w:eastAsia="en-US"/>
        </w:rPr>
        <w:t>Summary</w:t>
      </w:r>
      <w:r w:rsidR="00087CF7">
        <w:rPr>
          <w:rFonts w:cs="Arial"/>
          <w:snapToGrid w:val="0"/>
          <w:szCs w:val="16"/>
          <w:lang w:eastAsia="en-US"/>
        </w:rPr>
        <w:t xml:space="preserve"> of findings</w:t>
      </w:r>
      <w:r w:rsidR="002F4646">
        <w:rPr>
          <w:rFonts w:cs="Arial"/>
          <w:snapToGrid w:val="0"/>
          <w:szCs w:val="16"/>
          <w:lang w:eastAsia="en-US"/>
        </w:rPr>
        <w:t xml:space="preserve"> of the relevant </w:t>
      </w:r>
      <w:r w:rsidR="002F4646" w:rsidRPr="002F4646">
        <w:rPr>
          <w:rFonts w:cs="Arial"/>
          <w:snapToGrid w:val="0"/>
          <w:szCs w:val="16"/>
          <w:u w:val="single"/>
          <w:lang w:eastAsia="en-US"/>
        </w:rPr>
        <w:t>critical</w:t>
      </w:r>
      <w:r w:rsidR="002F4646">
        <w:rPr>
          <w:rFonts w:cs="Arial"/>
          <w:snapToGrid w:val="0"/>
          <w:szCs w:val="16"/>
          <w:lang w:eastAsia="en-US"/>
        </w:rPr>
        <w:t xml:space="preserve"> patient outcomes</w:t>
      </w:r>
      <w:r w:rsidR="00087CF7">
        <w:rPr>
          <w:rFonts w:cs="Arial"/>
          <w:snapToGrid w:val="0"/>
          <w:szCs w:val="16"/>
          <w:lang w:eastAsia="en-US"/>
        </w:rPr>
        <w:t xml:space="preserve"> </w:t>
      </w:r>
      <w:r w:rsidR="002F4646">
        <w:rPr>
          <w:rFonts w:cs="Arial"/>
          <w:snapToGrid w:val="0"/>
          <w:szCs w:val="16"/>
          <w:lang w:eastAsia="en-US"/>
        </w:rPr>
        <w:t>for change in management</w:t>
      </w:r>
      <w:r w:rsidR="00FA4E0A">
        <w:rPr>
          <w:rFonts w:cs="Arial"/>
          <w:snapToGrid w:val="0"/>
          <w:szCs w:val="16"/>
          <w:lang w:eastAsia="en-US"/>
        </w:rPr>
        <w:t xml:space="preserve"> with AQP4-Ab testing</w:t>
      </w:r>
      <w:r>
        <w:rPr>
          <w:rFonts w:cs="Arial"/>
          <w:snapToGrid w:val="0"/>
          <w:szCs w:val="16"/>
          <w:lang w:eastAsia="en-US"/>
        </w:rPr>
        <w:t xml:space="preserve">, relative to </w:t>
      </w:r>
      <w:r w:rsidR="002F4646">
        <w:rPr>
          <w:rFonts w:cs="Arial"/>
          <w:snapToGrid w:val="0"/>
          <w:szCs w:val="16"/>
          <w:lang w:eastAsia="en-US"/>
        </w:rPr>
        <w:t>no</w:t>
      </w:r>
      <w:r w:rsidR="00FA4E0A">
        <w:rPr>
          <w:rFonts w:cs="Arial"/>
          <w:snapToGrid w:val="0"/>
          <w:szCs w:val="16"/>
          <w:lang w:eastAsia="en-US"/>
        </w:rPr>
        <w:t xml:space="preserve"> testing</w:t>
      </w:r>
      <w:bookmarkEnd w:id="359"/>
      <w:bookmarkEnd w:id="360"/>
    </w:p>
    <w:tbl>
      <w:tblPr>
        <w:tblStyle w:val="TableGrid1"/>
        <w:tblW w:w="4776" w:type="pct"/>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75" w:type="dxa"/>
          <w:left w:w="75" w:type="dxa"/>
          <w:bottom w:w="75" w:type="dxa"/>
          <w:right w:w="75" w:type="dxa"/>
        </w:tblCellMar>
        <w:tblLook w:val="04A0" w:firstRow="1" w:lastRow="0" w:firstColumn="1" w:lastColumn="0" w:noHBand="0" w:noVBand="1"/>
        <w:tblCaption w:val="Table 68 Summary of findings of the relevant critical patient outcomes for change in management with AQP4-Ab testing, relative to no testing"/>
        <w:tblDescription w:val="A summary of the findings acoording to the GRADE system"/>
      </w:tblPr>
      <w:tblGrid>
        <w:gridCol w:w="1815"/>
        <w:gridCol w:w="1873"/>
        <w:gridCol w:w="1276"/>
        <w:gridCol w:w="1559"/>
        <w:gridCol w:w="6800"/>
      </w:tblGrid>
      <w:tr w:rsidR="004F1D54" w:rsidRPr="00B81E45" w14:paraId="2B85C3E4" w14:textId="77777777" w:rsidTr="00087CF7">
        <w:trPr>
          <w:cnfStyle w:val="100000000000" w:firstRow="1" w:lastRow="0" w:firstColumn="0" w:lastColumn="0" w:oddVBand="0" w:evenVBand="0" w:oddHBand="0" w:evenHBand="0" w:firstRowFirstColumn="0" w:firstRowLastColumn="0" w:lastRowFirstColumn="0" w:lastRowLastColumn="0"/>
          <w:cantSplit/>
          <w:trHeight w:val="358"/>
          <w:tblHeader/>
        </w:trPr>
        <w:tc>
          <w:tcPr>
            <w:tcW w:w="681" w:type="pct"/>
            <w:vMerge w:val="restart"/>
            <w:shd w:val="clear" w:color="auto" w:fill="D0CECE" w:themeFill="background2" w:themeFillShade="E6"/>
            <w:vAlign w:val="center"/>
          </w:tcPr>
          <w:p w14:paraId="3D65CBEB" w14:textId="77777777" w:rsidR="004F1D54" w:rsidRDefault="004F1D54" w:rsidP="00B907C3">
            <w:pPr>
              <w:keepNext/>
              <w:keepLines/>
              <w:jc w:val="center"/>
              <w:rPr>
                <w:rFonts w:ascii="Arial Narrow" w:hAnsi="Arial Narrow"/>
                <w:b/>
                <w:bCs/>
                <w:sz w:val="16"/>
                <w:szCs w:val="16"/>
              </w:rPr>
            </w:pPr>
            <w:r>
              <w:rPr>
                <w:rFonts w:ascii="Arial Narrow" w:hAnsi="Arial Narrow"/>
                <w:b/>
                <w:bCs/>
                <w:sz w:val="16"/>
                <w:szCs w:val="16"/>
              </w:rPr>
              <w:t>Outcome</w:t>
            </w:r>
          </w:p>
        </w:tc>
        <w:tc>
          <w:tcPr>
            <w:tcW w:w="703" w:type="pct"/>
            <w:vMerge w:val="restart"/>
            <w:shd w:val="clear" w:color="auto" w:fill="D0CECE" w:themeFill="background2" w:themeFillShade="E6"/>
            <w:vAlign w:val="center"/>
          </w:tcPr>
          <w:p w14:paraId="054CB8FC" w14:textId="77777777" w:rsidR="004F1D54" w:rsidRDefault="004F1D54" w:rsidP="00B907C3">
            <w:pPr>
              <w:keepNext/>
              <w:keepLines/>
              <w:jc w:val="center"/>
              <w:rPr>
                <w:rFonts w:ascii="Arial Narrow" w:hAnsi="Arial Narrow"/>
                <w:b/>
                <w:bCs/>
                <w:sz w:val="16"/>
                <w:szCs w:val="16"/>
              </w:rPr>
            </w:pPr>
            <w:r>
              <w:rPr>
                <w:rFonts w:ascii="Arial Narrow" w:hAnsi="Arial Narrow"/>
                <w:b/>
                <w:bCs/>
                <w:sz w:val="16"/>
                <w:szCs w:val="16"/>
              </w:rPr>
              <w:t>Number of studies (K)</w:t>
            </w:r>
          </w:p>
          <w:p w14:paraId="6B616161" w14:textId="77777777" w:rsidR="004F1D54" w:rsidRDefault="004F1D54" w:rsidP="00B907C3">
            <w:pPr>
              <w:keepNext/>
              <w:keepLines/>
              <w:jc w:val="center"/>
              <w:rPr>
                <w:rFonts w:ascii="Arial Narrow" w:hAnsi="Arial Narrow"/>
                <w:b/>
                <w:bCs/>
                <w:sz w:val="16"/>
                <w:szCs w:val="16"/>
              </w:rPr>
            </w:pPr>
            <w:r>
              <w:rPr>
                <w:rFonts w:ascii="Arial Narrow" w:hAnsi="Arial Narrow"/>
                <w:b/>
                <w:bCs/>
                <w:sz w:val="16"/>
                <w:szCs w:val="16"/>
              </w:rPr>
              <w:t>Number of Participants (n)</w:t>
            </w:r>
          </w:p>
        </w:tc>
        <w:tc>
          <w:tcPr>
            <w:tcW w:w="479" w:type="pct"/>
            <w:vMerge w:val="restart"/>
            <w:shd w:val="clear" w:color="auto" w:fill="D0CECE" w:themeFill="background2" w:themeFillShade="E6"/>
            <w:vAlign w:val="center"/>
            <w:hideMark/>
          </w:tcPr>
          <w:p w14:paraId="11E1AB2B" w14:textId="77777777" w:rsidR="004F1D54" w:rsidRPr="00B81E45" w:rsidRDefault="004F1D54" w:rsidP="0091148E">
            <w:pPr>
              <w:keepNext/>
              <w:keepLines/>
              <w:jc w:val="left"/>
              <w:rPr>
                <w:rFonts w:ascii="Arial Narrow" w:hAnsi="Arial Narrow"/>
                <w:b/>
                <w:bCs/>
                <w:sz w:val="16"/>
                <w:szCs w:val="16"/>
              </w:rPr>
            </w:pPr>
            <w:r w:rsidRPr="00B81E45">
              <w:rPr>
                <w:rFonts w:ascii="Arial Narrow" w:hAnsi="Arial Narrow"/>
                <w:b/>
                <w:bCs/>
                <w:sz w:val="16"/>
                <w:szCs w:val="16"/>
              </w:rPr>
              <w:t>Relative</w:t>
            </w:r>
            <w:r>
              <w:rPr>
                <w:rFonts w:ascii="Arial Narrow" w:hAnsi="Arial Narrow"/>
                <w:b/>
                <w:bCs/>
                <w:sz w:val="16"/>
                <w:szCs w:val="16"/>
              </w:rPr>
              <w:t xml:space="preserve"> effect</w:t>
            </w:r>
            <w:r w:rsidRPr="00B81E45">
              <w:rPr>
                <w:rFonts w:ascii="Arial Narrow" w:hAnsi="Arial Narrow"/>
                <w:b/>
                <w:bCs/>
                <w:sz w:val="16"/>
                <w:szCs w:val="16"/>
              </w:rPr>
              <w:br/>
              <w:t>(95% CI)</w:t>
            </w:r>
          </w:p>
        </w:tc>
        <w:tc>
          <w:tcPr>
            <w:tcW w:w="585" w:type="pct"/>
            <w:vMerge w:val="restart"/>
            <w:shd w:val="clear" w:color="auto" w:fill="D0CECE" w:themeFill="background2" w:themeFillShade="E6"/>
            <w:vAlign w:val="center"/>
            <w:hideMark/>
          </w:tcPr>
          <w:p w14:paraId="19705DE0" w14:textId="77777777" w:rsidR="004F1D54" w:rsidRPr="00B81E45" w:rsidRDefault="004F1D54" w:rsidP="00576648">
            <w:pPr>
              <w:keepNext/>
              <w:keepLines/>
              <w:rPr>
                <w:rFonts w:ascii="Arial Narrow" w:hAnsi="Arial Narrow"/>
                <w:b/>
                <w:bCs/>
                <w:sz w:val="16"/>
                <w:szCs w:val="16"/>
              </w:rPr>
            </w:pPr>
            <w:r w:rsidRPr="00B81E45">
              <w:rPr>
                <w:rFonts w:ascii="Arial Narrow" w:hAnsi="Arial Narrow"/>
                <w:b/>
                <w:bCs/>
                <w:sz w:val="16"/>
                <w:szCs w:val="16"/>
              </w:rPr>
              <w:t>Certainty</w:t>
            </w:r>
          </w:p>
        </w:tc>
        <w:tc>
          <w:tcPr>
            <w:tcW w:w="2553" w:type="pct"/>
            <w:vMerge w:val="restart"/>
            <w:shd w:val="clear" w:color="auto" w:fill="D0CECE" w:themeFill="background2" w:themeFillShade="E6"/>
            <w:vAlign w:val="center"/>
          </w:tcPr>
          <w:p w14:paraId="06CE1845" w14:textId="77777777" w:rsidR="004F1D54" w:rsidRPr="00B81E45" w:rsidRDefault="004F1D54" w:rsidP="00E75E18">
            <w:pPr>
              <w:keepNext/>
              <w:keepLines/>
              <w:jc w:val="center"/>
              <w:rPr>
                <w:rFonts w:ascii="Arial Narrow" w:hAnsi="Arial Narrow"/>
                <w:b/>
                <w:bCs/>
                <w:sz w:val="16"/>
                <w:szCs w:val="16"/>
              </w:rPr>
            </w:pPr>
            <w:r>
              <w:rPr>
                <w:rFonts w:ascii="Arial Narrow" w:hAnsi="Arial Narrow"/>
                <w:b/>
                <w:bCs/>
                <w:sz w:val="16"/>
                <w:szCs w:val="16"/>
              </w:rPr>
              <w:t>Comments</w:t>
            </w:r>
          </w:p>
        </w:tc>
      </w:tr>
      <w:tr w:rsidR="004F1D54" w:rsidRPr="00B81E45" w14:paraId="17A07A9A" w14:textId="77777777" w:rsidTr="00087CF7">
        <w:trPr>
          <w:cnfStyle w:val="100000000000" w:firstRow="1" w:lastRow="0" w:firstColumn="0" w:lastColumn="0" w:oddVBand="0" w:evenVBand="0" w:oddHBand="0" w:evenHBand="0" w:firstRowFirstColumn="0" w:firstRowLastColumn="0" w:lastRowFirstColumn="0" w:lastRowLastColumn="0"/>
          <w:cantSplit/>
          <w:trHeight w:val="480"/>
          <w:tblHeader/>
        </w:trPr>
        <w:tc>
          <w:tcPr>
            <w:tcW w:w="681" w:type="pct"/>
            <w:vMerge/>
            <w:shd w:val="clear" w:color="auto" w:fill="D0CECE" w:themeFill="background2" w:themeFillShade="E6"/>
          </w:tcPr>
          <w:p w14:paraId="45B8DDD7" w14:textId="77777777" w:rsidR="004F1D54" w:rsidRPr="00B81E45" w:rsidRDefault="004F1D54" w:rsidP="00576648">
            <w:pPr>
              <w:keepNext/>
              <w:keepLines/>
              <w:jc w:val="left"/>
              <w:rPr>
                <w:rFonts w:ascii="Arial Narrow" w:hAnsi="Arial Narrow"/>
                <w:b/>
                <w:bCs/>
                <w:sz w:val="16"/>
                <w:szCs w:val="16"/>
              </w:rPr>
            </w:pPr>
          </w:p>
        </w:tc>
        <w:tc>
          <w:tcPr>
            <w:tcW w:w="703" w:type="pct"/>
            <w:vMerge/>
            <w:shd w:val="clear" w:color="auto" w:fill="D0CECE" w:themeFill="background2" w:themeFillShade="E6"/>
          </w:tcPr>
          <w:p w14:paraId="60235D0A" w14:textId="77777777" w:rsidR="004F1D54" w:rsidRPr="00B81E45" w:rsidRDefault="004F1D54" w:rsidP="00576648">
            <w:pPr>
              <w:keepNext/>
              <w:keepLines/>
              <w:jc w:val="left"/>
              <w:rPr>
                <w:rFonts w:ascii="Arial Narrow" w:hAnsi="Arial Narrow"/>
                <w:b/>
                <w:bCs/>
                <w:sz w:val="16"/>
                <w:szCs w:val="16"/>
              </w:rPr>
            </w:pPr>
          </w:p>
        </w:tc>
        <w:tc>
          <w:tcPr>
            <w:tcW w:w="479" w:type="pct"/>
            <w:vMerge/>
            <w:shd w:val="clear" w:color="auto" w:fill="D0CECE" w:themeFill="background2" w:themeFillShade="E6"/>
            <w:vAlign w:val="center"/>
            <w:hideMark/>
          </w:tcPr>
          <w:p w14:paraId="47B543F7" w14:textId="77777777" w:rsidR="004F1D54" w:rsidRPr="00B81E45" w:rsidRDefault="004F1D54" w:rsidP="00576648">
            <w:pPr>
              <w:keepNext/>
              <w:keepLines/>
              <w:rPr>
                <w:rFonts w:ascii="Arial Narrow" w:hAnsi="Arial Narrow"/>
                <w:b/>
                <w:bCs/>
                <w:sz w:val="16"/>
                <w:szCs w:val="16"/>
              </w:rPr>
            </w:pPr>
          </w:p>
        </w:tc>
        <w:tc>
          <w:tcPr>
            <w:tcW w:w="585" w:type="pct"/>
            <w:vMerge/>
            <w:shd w:val="clear" w:color="auto" w:fill="D0CECE" w:themeFill="background2" w:themeFillShade="E6"/>
            <w:vAlign w:val="center"/>
            <w:hideMark/>
          </w:tcPr>
          <w:p w14:paraId="0FFD33D3" w14:textId="77777777" w:rsidR="004F1D54" w:rsidRPr="00B81E45" w:rsidRDefault="004F1D54" w:rsidP="00576648">
            <w:pPr>
              <w:keepNext/>
              <w:keepLines/>
              <w:rPr>
                <w:rFonts w:ascii="Arial Narrow" w:hAnsi="Arial Narrow"/>
                <w:b/>
                <w:bCs/>
                <w:sz w:val="16"/>
                <w:szCs w:val="16"/>
              </w:rPr>
            </w:pPr>
          </w:p>
        </w:tc>
        <w:tc>
          <w:tcPr>
            <w:tcW w:w="2553" w:type="pct"/>
            <w:vMerge/>
            <w:shd w:val="clear" w:color="auto" w:fill="D0CECE" w:themeFill="background2" w:themeFillShade="E6"/>
          </w:tcPr>
          <w:p w14:paraId="7FB9D800" w14:textId="77777777" w:rsidR="004F1D54" w:rsidRPr="00B81E45" w:rsidRDefault="004F1D54" w:rsidP="00576648">
            <w:pPr>
              <w:keepNext/>
              <w:keepLines/>
              <w:rPr>
                <w:rFonts w:ascii="Arial Narrow" w:hAnsi="Arial Narrow"/>
                <w:b/>
                <w:bCs/>
                <w:sz w:val="16"/>
                <w:szCs w:val="16"/>
              </w:rPr>
            </w:pPr>
          </w:p>
        </w:tc>
      </w:tr>
      <w:tr w:rsidR="004F1D54" w:rsidRPr="00165145" w14:paraId="0EC0A19E" w14:textId="77777777" w:rsidTr="00087CF7">
        <w:trPr>
          <w:cantSplit/>
        </w:trPr>
        <w:tc>
          <w:tcPr>
            <w:tcW w:w="681" w:type="pct"/>
          </w:tcPr>
          <w:p w14:paraId="028C3081" w14:textId="77777777" w:rsidR="004F1D54" w:rsidRPr="00165145" w:rsidRDefault="004F1D54" w:rsidP="004B488D">
            <w:pPr>
              <w:keepNext/>
              <w:keepLines/>
              <w:jc w:val="left"/>
              <w:rPr>
                <w:rFonts w:ascii="Arial Narrow" w:hAnsi="Arial Narrow"/>
                <w:bCs/>
                <w:sz w:val="16"/>
                <w:szCs w:val="16"/>
              </w:rPr>
            </w:pPr>
            <w:r>
              <w:rPr>
                <w:rFonts w:ascii="Arial Narrow" w:hAnsi="Arial Narrow"/>
                <w:bCs/>
                <w:sz w:val="16"/>
                <w:szCs w:val="16"/>
              </w:rPr>
              <w:t>Time to diagnosis (months; mean follow-up 9.2 y)</w:t>
            </w:r>
          </w:p>
        </w:tc>
        <w:tc>
          <w:tcPr>
            <w:tcW w:w="703" w:type="pct"/>
          </w:tcPr>
          <w:p w14:paraId="572D6E13" w14:textId="77777777" w:rsidR="004F1D54" w:rsidRDefault="004F1D54" w:rsidP="00576648">
            <w:pPr>
              <w:keepNext/>
              <w:keepLines/>
              <w:rPr>
                <w:rFonts w:ascii="Arial Narrow" w:hAnsi="Arial Narrow"/>
                <w:bCs/>
                <w:sz w:val="16"/>
                <w:szCs w:val="16"/>
              </w:rPr>
            </w:pPr>
            <w:r>
              <w:rPr>
                <w:rFonts w:ascii="Arial Narrow" w:hAnsi="Arial Narrow"/>
                <w:bCs/>
                <w:sz w:val="16"/>
                <w:szCs w:val="16"/>
              </w:rPr>
              <w:t>K=1 observational study</w:t>
            </w:r>
          </w:p>
          <w:p w14:paraId="04E4A500" w14:textId="77777777" w:rsidR="004F1D54" w:rsidRPr="00165145" w:rsidRDefault="004F1D54" w:rsidP="00BB7633">
            <w:pPr>
              <w:keepNext/>
              <w:keepLines/>
              <w:rPr>
                <w:rFonts w:ascii="Arial Narrow" w:hAnsi="Arial Narrow"/>
                <w:bCs/>
                <w:sz w:val="16"/>
                <w:szCs w:val="16"/>
              </w:rPr>
            </w:pPr>
            <w:r>
              <w:rPr>
                <w:rFonts w:ascii="Arial Narrow" w:hAnsi="Arial Narrow"/>
                <w:bCs/>
                <w:sz w:val="16"/>
                <w:szCs w:val="16"/>
              </w:rPr>
              <w:t>N=</w:t>
            </w:r>
            <w:r w:rsidR="00D730B1">
              <w:rPr>
                <w:rFonts w:ascii="Arial Narrow" w:hAnsi="Arial Narrow"/>
                <w:bCs/>
                <w:sz w:val="16"/>
                <w:szCs w:val="16"/>
              </w:rPr>
              <w:t xml:space="preserve">252 </w:t>
            </w:r>
          </w:p>
        </w:tc>
        <w:tc>
          <w:tcPr>
            <w:tcW w:w="479" w:type="pct"/>
          </w:tcPr>
          <w:p w14:paraId="529AB02A" w14:textId="77777777" w:rsidR="004F1D54" w:rsidRPr="00165145" w:rsidRDefault="004F1D54" w:rsidP="00576648">
            <w:pPr>
              <w:keepNext/>
              <w:keepLines/>
              <w:rPr>
                <w:rFonts w:ascii="Arial Narrow" w:hAnsi="Arial Narrow"/>
                <w:bCs/>
                <w:sz w:val="16"/>
                <w:szCs w:val="16"/>
              </w:rPr>
            </w:pPr>
            <w:r w:rsidRPr="00165145">
              <w:rPr>
                <w:rFonts w:ascii="Arial Narrow" w:hAnsi="Arial Narrow"/>
                <w:bCs/>
                <w:sz w:val="16"/>
                <w:szCs w:val="16"/>
              </w:rPr>
              <w:t xml:space="preserve">P&lt;0.001 </w:t>
            </w:r>
            <w:r>
              <w:rPr>
                <w:rFonts w:ascii="Arial Narrow" w:hAnsi="Arial Narrow"/>
                <w:bCs/>
                <w:sz w:val="16"/>
                <w:szCs w:val="16"/>
              </w:rPr>
              <w:br/>
            </w:r>
            <w:r w:rsidRPr="00165145">
              <w:rPr>
                <w:rFonts w:ascii="Arial Narrow" w:hAnsi="Arial Narrow"/>
                <w:bCs/>
                <w:sz w:val="16"/>
                <w:szCs w:val="16"/>
              </w:rPr>
              <w:t>(log rank test)</w:t>
            </w:r>
          </w:p>
        </w:tc>
        <w:tc>
          <w:tcPr>
            <w:tcW w:w="585" w:type="pct"/>
            <w:hideMark/>
          </w:tcPr>
          <w:p w14:paraId="136519D2" w14:textId="77777777" w:rsidR="004F1D54" w:rsidRPr="00395FC5" w:rsidRDefault="004F1D54" w:rsidP="00576648">
            <w:pPr>
              <w:keepNext/>
              <w:keepLines/>
              <w:rPr>
                <w:rFonts w:ascii="Arial Narrow" w:hAnsi="Arial Narrow"/>
                <w:bCs/>
                <w:sz w:val="16"/>
                <w:szCs w:val="16"/>
                <w:vertAlign w:val="superscript"/>
              </w:rPr>
            </w:pPr>
            <w:r w:rsidRPr="00D4733A">
              <w:rPr>
                <w:rFonts w:ascii="Cambria Math" w:hAnsi="Cambria Math"/>
                <w:color w:val="00B050"/>
              </w:rPr>
              <w:t>⨁⨁⨁</w:t>
            </w:r>
            <w:r w:rsidRPr="00D4733A">
              <w:rPr>
                <w:rFonts w:ascii="Cambria Math" w:hAnsi="Cambria Math" w:cs="Cambria Math"/>
                <w:color w:val="C00000"/>
              </w:rPr>
              <w:t>⨀</w:t>
            </w:r>
            <w:r>
              <w:rPr>
                <w:rFonts w:ascii="Arial Narrow" w:hAnsi="Arial Narrow"/>
                <w:bCs/>
                <w:sz w:val="16"/>
                <w:szCs w:val="16"/>
              </w:rPr>
              <w:br/>
              <w:t>MODERATE</w:t>
            </w:r>
            <w:r>
              <w:rPr>
                <w:rFonts w:ascii="Arial Narrow" w:hAnsi="Arial Narrow"/>
                <w:bCs/>
                <w:sz w:val="16"/>
                <w:szCs w:val="16"/>
                <w:vertAlign w:val="superscript"/>
              </w:rPr>
              <w:t>a</w:t>
            </w:r>
          </w:p>
        </w:tc>
        <w:tc>
          <w:tcPr>
            <w:tcW w:w="2553" w:type="pct"/>
          </w:tcPr>
          <w:p w14:paraId="289C499C" w14:textId="77777777" w:rsidR="004F1D54" w:rsidRPr="00165145" w:rsidRDefault="004F1D54" w:rsidP="00D730B1">
            <w:pPr>
              <w:keepNext/>
              <w:keepLines/>
              <w:rPr>
                <w:rFonts w:ascii="Arial Narrow" w:hAnsi="Arial Narrow"/>
                <w:bCs/>
                <w:sz w:val="16"/>
                <w:szCs w:val="16"/>
              </w:rPr>
            </w:pPr>
            <w:r>
              <w:rPr>
                <w:rFonts w:ascii="Arial Narrow" w:hAnsi="Arial Narrow"/>
                <w:bCs/>
                <w:sz w:val="16"/>
                <w:szCs w:val="16"/>
              </w:rPr>
              <w:t xml:space="preserve">There was a statistically significant difference in time to diagnosis between those diagnosed </w:t>
            </w:r>
            <w:r w:rsidR="00D730B1">
              <w:rPr>
                <w:rFonts w:ascii="Arial Narrow" w:hAnsi="Arial Narrow"/>
                <w:bCs/>
                <w:sz w:val="16"/>
                <w:szCs w:val="16"/>
              </w:rPr>
              <w:t xml:space="preserve">based on the 2015 criteria (which has stronger emphasis on </w:t>
            </w:r>
            <w:r>
              <w:rPr>
                <w:rFonts w:ascii="Arial Narrow" w:hAnsi="Arial Narrow"/>
                <w:bCs/>
                <w:sz w:val="16"/>
                <w:szCs w:val="16"/>
              </w:rPr>
              <w:t>testing</w:t>
            </w:r>
            <w:r w:rsidR="00D730B1">
              <w:rPr>
                <w:rFonts w:ascii="Arial Narrow" w:hAnsi="Arial Narrow"/>
                <w:bCs/>
                <w:sz w:val="16"/>
                <w:szCs w:val="16"/>
              </w:rPr>
              <w:t>)</w:t>
            </w:r>
            <w:r>
              <w:rPr>
                <w:rFonts w:ascii="Arial Narrow" w:hAnsi="Arial Narrow"/>
                <w:bCs/>
                <w:sz w:val="16"/>
                <w:szCs w:val="16"/>
              </w:rPr>
              <w:t xml:space="preserve"> (11 months) compared those diagnosed </w:t>
            </w:r>
            <w:r w:rsidR="00D730B1">
              <w:rPr>
                <w:rFonts w:ascii="Arial Narrow" w:hAnsi="Arial Narrow"/>
                <w:bCs/>
                <w:sz w:val="16"/>
                <w:szCs w:val="16"/>
              </w:rPr>
              <w:t>by the 2006 criteria</w:t>
            </w:r>
            <w:r>
              <w:rPr>
                <w:rFonts w:ascii="Arial Narrow" w:hAnsi="Arial Narrow"/>
                <w:bCs/>
                <w:sz w:val="16"/>
                <w:szCs w:val="16"/>
              </w:rPr>
              <w:t xml:space="preserve"> (53 months). The effect was very large, and there is moderate confidence that the effect is true.</w:t>
            </w:r>
          </w:p>
        </w:tc>
      </w:tr>
      <w:tr w:rsidR="004F1D54" w:rsidRPr="00165145" w14:paraId="49EACBD5" w14:textId="77777777" w:rsidTr="00087CF7">
        <w:trPr>
          <w:cantSplit/>
        </w:trPr>
        <w:tc>
          <w:tcPr>
            <w:tcW w:w="681" w:type="pct"/>
          </w:tcPr>
          <w:p w14:paraId="0F04E9DE" w14:textId="77777777" w:rsidR="004F1D54" w:rsidRPr="00165145" w:rsidRDefault="004F1D54" w:rsidP="00E75E18">
            <w:pPr>
              <w:jc w:val="left"/>
              <w:rPr>
                <w:rFonts w:ascii="Arial Narrow" w:hAnsi="Arial Narrow"/>
                <w:bCs/>
                <w:sz w:val="16"/>
                <w:szCs w:val="16"/>
              </w:rPr>
            </w:pPr>
            <w:r>
              <w:rPr>
                <w:rFonts w:ascii="Arial Narrow" w:hAnsi="Arial Narrow"/>
                <w:bCs/>
                <w:sz w:val="16"/>
                <w:szCs w:val="16"/>
              </w:rPr>
              <w:t>Number of NMOSD diagnoses based on 2015 compared with 2006 criteria</w:t>
            </w:r>
          </w:p>
        </w:tc>
        <w:tc>
          <w:tcPr>
            <w:tcW w:w="703" w:type="pct"/>
          </w:tcPr>
          <w:p w14:paraId="4A8C975B" w14:textId="77777777" w:rsidR="004F1D54" w:rsidRDefault="004F1D54" w:rsidP="00576648">
            <w:pPr>
              <w:rPr>
                <w:rFonts w:ascii="Arial Narrow" w:hAnsi="Arial Narrow"/>
                <w:bCs/>
                <w:sz w:val="16"/>
                <w:szCs w:val="16"/>
              </w:rPr>
            </w:pPr>
            <w:r>
              <w:rPr>
                <w:rFonts w:ascii="Arial Narrow" w:hAnsi="Arial Narrow"/>
                <w:bCs/>
                <w:sz w:val="16"/>
                <w:szCs w:val="16"/>
              </w:rPr>
              <w:t>K=2 observational studies</w:t>
            </w:r>
          </w:p>
          <w:p w14:paraId="0E975042" w14:textId="77777777" w:rsidR="004F1D54" w:rsidRPr="00165145" w:rsidRDefault="004F1D54" w:rsidP="00576648">
            <w:pPr>
              <w:rPr>
                <w:rFonts w:ascii="Arial Narrow" w:hAnsi="Arial Narrow"/>
                <w:bCs/>
                <w:sz w:val="16"/>
                <w:szCs w:val="16"/>
              </w:rPr>
            </w:pPr>
            <w:r>
              <w:rPr>
                <w:rFonts w:ascii="Arial Narrow" w:hAnsi="Arial Narrow"/>
                <w:bCs/>
                <w:sz w:val="16"/>
                <w:szCs w:val="16"/>
              </w:rPr>
              <w:t>N=1418</w:t>
            </w:r>
          </w:p>
        </w:tc>
        <w:tc>
          <w:tcPr>
            <w:tcW w:w="479" w:type="pct"/>
            <w:hideMark/>
          </w:tcPr>
          <w:p w14:paraId="5DEEB16B" w14:textId="77777777" w:rsidR="004F1D54" w:rsidRPr="00165145" w:rsidRDefault="004F1D54" w:rsidP="0091148E">
            <w:pPr>
              <w:jc w:val="left"/>
              <w:rPr>
                <w:rFonts w:ascii="Arial Narrow" w:hAnsi="Arial Narrow"/>
                <w:bCs/>
                <w:sz w:val="16"/>
                <w:szCs w:val="16"/>
              </w:rPr>
            </w:pPr>
            <w:r w:rsidRPr="00165145">
              <w:rPr>
                <w:rFonts w:ascii="Arial Narrow" w:hAnsi="Arial Narrow"/>
                <w:bCs/>
                <w:sz w:val="16"/>
                <w:szCs w:val="16"/>
              </w:rPr>
              <w:t xml:space="preserve">OR range </w:t>
            </w:r>
            <w:r w:rsidRPr="00165145">
              <w:rPr>
                <w:rFonts w:ascii="Arial Narrow" w:hAnsi="Arial Narrow"/>
                <w:bCs/>
                <w:sz w:val="16"/>
                <w:szCs w:val="16"/>
              </w:rPr>
              <w:br/>
              <w:t xml:space="preserve">1.76 to 2.48 </w:t>
            </w:r>
          </w:p>
        </w:tc>
        <w:tc>
          <w:tcPr>
            <w:tcW w:w="585" w:type="pct"/>
            <w:hideMark/>
          </w:tcPr>
          <w:p w14:paraId="29192D9D" w14:textId="77777777" w:rsidR="004F1D54" w:rsidRPr="00395FC5" w:rsidRDefault="004F1D54" w:rsidP="00576648">
            <w:pPr>
              <w:rPr>
                <w:rFonts w:ascii="Arial Narrow" w:hAnsi="Arial Narrow"/>
                <w:bCs/>
                <w:sz w:val="16"/>
                <w:szCs w:val="16"/>
                <w:vertAlign w:val="superscript"/>
              </w:rPr>
            </w:pPr>
            <w:r>
              <w:rPr>
                <w:rFonts w:ascii="Cambria Math" w:hAnsi="Cambria Math"/>
                <w:color w:val="00B050"/>
              </w:rPr>
              <w:t>⨁⨁</w:t>
            </w:r>
            <w:r w:rsidRPr="00D4733A">
              <w:rPr>
                <w:rFonts w:ascii="Cambria Math" w:hAnsi="Cambria Math" w:cs="Cambria Math"/>
                <w:color w:val="C00000"/>
              </w:rPr>
              <w:t>⨀⨀</w:t>
            </w:r>
            <w:r>
              <w:rPr>
                <w:rFonts w:ascii="Arial Narrow" w:hAnsi="Arial Narrow"/>
                <w:bCs/>
                <w:sz w:val="16"/>
                <w:szCs w:val="16"/>
              </w:rPr>
              <w:br/>
              <w:t>LOW</w:t>
            </w:r>
            <w:r>
              <w:rPr>
                <w:rFonts w:ascii="Arial Narrow" w:hAnsi="Arial Narrow"/>
                <w:bCs/>
                <w:sz w:val="16"/>
                <w:szCs w:val="16"/>
                <w:vertAlign w:val="superscript"/>
              </w:rPr>
              <w:t>a</w:t>
            </w:r>
          </w:p>
        </w:tc>
        <w:tc>
          <w:tcPr>
            <w:tcW w:w="2553" w:type="pct"/>
          </w:tcPr>
          <w:p w14:paraId="45F7AE69" w14:textId="77777777" w:rsidR="004F1D54" w:rsidRPr="00165145" w:rsidRDefault="004F1D54" w:rsidP="007B5878">
            <w:pPr>
              <w:rPr>
                <w:rFonts w:ascii="Arial Narrow" w:hAnsi="Arial Narrow"/>
                <w:bCs/>
                <w:sz w:val="16"/>
                <w:szCs w:val="16"/>
              </w:rPr>
            </w:pPr>
            <w:r>
              <w:rPr>
                <w:rFonts w:ascii="Arial Narrow" w:hAnsi="Arial Narrow"/>
                <w:bCs/>
                <w:sz w:val="16"/>
                <w:szCs w:val="16"/>
              </w:rPr>
              <w:t xml:space="preserve">The odds of receiving a NMOSD diagnosis based on the 2015 IPND criteria were higher than when diagnosed with the 2006 </w:t>
            </w:r>
            <w:r w:rsidR="00F24C82">
              <w:rPr>
                <w:rFonts w:ascii="Arial Narrow" w:hAnsi="Arial Narrow"/>
                <w:bCs/>
                <w:sz w:val="16"/>
                <w:szCs w:val="16"/>
              </w:rPr>
              <w:t>criteria</w:t>
            </w:r>
            <w:r>
              <w:rPr>
                <w:rFonts w:ascii="Arial Narrow" w:hAnsi="Arial Narrow"/>
                <w:bCs/>
                <w:sz w:val="16"/>
                <w:szCs w:val="16"/>
              </w:rPr>
              <w:t xml:space="preserve">. The </w:t>
            </w:r>
            <w:r w:rsidR="007B5878">
              <w:rPr>
                <w:rFonts w:ascii="Arial Narrow" w:hAnsi="Arial Narrow"/>
                <w:bCs/>
                <w:sz w:val="16"/>
                <w:szCs w:val="16"/>
              </w:rPr>
              <w:t>2015</w:t>
            </w:r>
            <w:r>
              <w:rPr>
                <w:rFonts w:ascii="Arial Narrow" w:hAnsi="Arial Narrow"/>
                <w:bCs/>
                <w:sz w:val="16"/>
                <w:szCs w:val="16"/>
              </w:rPr>
              <w:t xml:space="preserve"> criteria emphasise AQP4-Ab testing for diagnosis whereas the 2006 criteria do not. The effect was large but due to risk of bias, ther</w:t>
            </w:r>
            <w:r w:rsidR="00F24C82">
              <w:rPr>
                <w:rFonts w:ascii="Arial Narrow" w:hAnsi="Arial Narrow"/>
                <w:bCs/>
                <w:sz w:val="16"/>
                <w:szCs w:val="16"/>
              </w:rPr>
              <w:t>e is low confidence that this i</w:t>
            </w:r>
            <w:r>
              <w:rPr>
                <w:rFonts w:ascii="Arial Narrow" w:hAnsi="Arial Narrow"/>
                <w:bCs/>
                <w:sz w:val="16"/>
                <w:szCs w:val="16"/>
              </w:rPr>
              <w:t>s the true effect.</w:t>
            </w:r>
          </w:p>
        </w:tc>
      </w:tr>
    </w:tbl>
    <w:p w14:paraId="4F9A947A" w14:textId="77777777" w:rsidR="00395FC5" w:rsidRPr="00395FC5" w:rsidRDefault="00395FC5" w:rsidP="00FA4E0A">
      <w:pPr>
        <w:spacing w:after="80"/>
        <w:rPr>
          <w:rFonts w:ascii="Arial Narrow" w:hAnsi="Arial Narrow"/>
          <w:bCs/>
          <w:sz w:val="18"/>
          <w:szCs w:val="18"/>
          <w:lang w:val="en"/>
        </w:rPr>
      </w:pPr>
      <w:r w:rsidRPr="00395FC5">
        <w:rPr>
          <w:rFonts w:ascii="Arial Narrow" w:hAnsi="Arial Narrow"/>
          <w:bCs/>
          <w:sz w:val="18"/>
          <w:szCs w:val="18"/>
          <w:lang w:val="en"/>
        </w:rPr>
        <w:t>AQP4-Ab = aquaporin 4 antibodies; Ci = confidence interval; NMOSD = neuromyelitis optica spectrum disorder</w:t>
      </w:r>
      <w:r w:rsidR="005356F5">
        <w:rPr>
          <w:rFonts w:ascii="Arial Narrow" w:hAnsi="Arial Narrow"/>
          <w:bCs/>
          <w:sz w:val="18"/>
          <w:szCs w:val="18"/>
          <w:lang w:val="en"/>
        </w:rPr>
        <w:t>s;</w:t>
      </w:r>
      <w:r w:rsidRPr="00395FC5">
        <w:rPr>
          <w:rFonts w:ascii="Arial Narrow" w:hAnsi="Arial Narrow"/>
          <w:bCs/>
          <w:sz w:val="18"/>
          <w:szCs w:val="18"/>
          <w:lang w:val="en"/>
        </w:rPr>
        <w:t xml:space="preserve"> OR = odds ratio</w:t>
      </w:r>
    </w:p>
    <w:p w14:paraId="783EEDF3" w14:textId="77777777" w:rsidR="006B1781" w:rsidRPr="004B488D" w:rsidRDefault="006B1781" w:rsidP="00FA4E0A">
      <w:pPr>
        <w:spacing w:after="80"/>
        <w:rPr>
          <w:rFonts w:ascii="Arial Narrow" w:hAnsi="Arial Narrow"/>
          <w:b/>
          <w:bCs/>
          <w:sz w:val="18"/>
          <w:szCs w:val="18"/>
          <w:lang w:val="en"/>
        </w:rPr>
      </w:pPr>
      <w:r w:rsidRPr="004B488D">
        <w:rPr>
          <w:rFonts w:ascii="Arial Narrow" w:hAnsi="Arial Narrow"/>
          <w:b/>
          <w:bCs/>
          <w:sz w:val="18"/>
          <w:szCs w:val="18"/>
          <w:lang w:val="en"/>
        </w:rPr>
        <w:t>Explanations</w:t>
      </w:r>
    </w:p>
    <w:p w14:paraId="213B771E" w14:textId="77777777" w:rsidR="006B1781" w:rsidRPr="004B488D" w:rsidRDefault="006B1781" w:rsidP="00FA4E0A">
      <w:pPr>
        <w:spacing w:after="80"/>
        <w:rPr>
          <w:rFonts w:ascii="Arial Narrow" w:hAnsi="Arial Narrow"/>
          <w:sz w:val="18"/>
          <w:szCs w:val="18"/>
          <w:lang w:val="en"/>
        </w:rPr>
      </w:pPr>
      <w:r w:rsidRPr="004B488D">
        <w:rPr>
          <w:rFonts w:ascii="Arial Narrow" w:hAnsi="Arial Narrow"/>
          <w:sz w:val="18"/>
          <w:szCs w:val="18"/>
          <w:lang w:val="en"/>
        </w:rPr>
        <w:t xml:space="preserve">a. Retrospective study design at risk of selection bias </w:t>
      </w:r>
    </w:p>
    <w:p w14:paraId="4A09173B" w14:textId="7ACFCD24" w:rsidR="004B488D" w:rsidRPr="00A15B1A" w:rsidRDefault="00FA4E0A" w:rsidP="00A15B1A">
      <w:pPr>
        <w:pStyle w:val="Tablenotes0"/>
        <w:rPr>
          <w:szCs w:val="18"/>
        </w:rPr>
      </w:pPr>
      <w:r w:rsidRPr="00FA4E0A">
        <w:rPr>
          <w:b/>
          <w:szCs w:val="18"/>
        </w:rPr>
        <w:t>GRADE Working Group grades of evidence (Guyatt et al., 2013)</w:t>
      </w:r>
      <w:r w:rsidRPr="00FA4E0A">
        <w:rPr>
          <w:b/>
          <w:szCs w:val="18"/>
        </w:rPr>
        <w:br/>
      </w:r>
      <w:r w:rsidRPr="00D4733A">
        <w:rPr>
          <w:rFonts w:ascii="Cambria Math" w:hAnsi="Cambria Math"/>
          <w:color w:val="00B050"/>
        </w:rPr>
        <w:t>⨁⨁⨁⨁</w:t>
      </w:r>
      <w:r>
        <w:rPr>
          <w:rFonts w:ascii="Cambria Math" w:hAnsi="Cambria Math"/>
          <w:color w:val="00B050"/>
        </w:rPr>
        <w:t xml:space="preserve"> </w:t>
      </w:r>
      <w:r w:rsidRPr="00E10B76">
        <w:rPr>
          <w:b/>
          <w:bCs/>
          <w:szCs w:val="18"/>
        </w:rPr>
        <w:t>High quality:</w:t>
      </w:r>
      <w:r w:rsidRPr="00E10B76">
        <w:rPr>
          <w:szCs w:val="18"/>
        </w:rPr>
        <w:t xml:space="preserve"> </w:t>
      </w:r>
      <w:r>
        <w:rPr>
          <w:szCs w:val="18"/>
        </w:rPr>
        <w:t>We are very confident that the true effect lies close to that of the estimate of effect.</w:t>
      </w:r>
      <w:r w:rsidRPr="00E10B76">
        <w:rPr>
          <w:szCs w:val="18"/>
        </w:rPr>
        <w:t xml:space="preserve"> </w:t>
      </w:r>
      <w:r w:rsidRPr="00E10B76">
        <w:rPr>
          <w:szCs w:val="18"/>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Moderate quality:</w:t>
      </w:r>
      <w:r w:rsidRPr="00E10B76">
        <w:rPr>
          <w:szCs w:val="18"/>
        </w:rPr>
        <w:t xml:space="preserve"> </w:t>
      </w:r>
      <w:r>
        <w:rPr>
          <w:szCs w:val="18"/>
        </w:rPr>
        <w:t xml:space="preserve">We are moderately confident in the effect estimate: The true effect is likely to be close to the estimate of the effect, but there is a possibility that it is substantially different.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Low quality:</w:t>
      </w:r>
      <w:r w:rsidRPr="00E10B76">
        <w:rPr>
          <w:szCs w:val="18"/>
        </w:rPr>
        <w:t xml:space="preserve"> </w:t>
      </w:r>
      <w:r>
        <w:rPr>
          <w:szCs w:val="18"/>
        </w:rPr>
        <w:t>Our confidence in the effect estimate is limited: The true effect may be substantially different from the estimate of the effect.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p>
    <w:p w14:paraId="59CD0754" w14:textId="27225A6F" w:rsidR="00D128E3" w:rsidRPr="000470F1" w:rsidRDefault="00D128E3" w:rsidP="00D128E3">
      <w:pPr>
        <w:pStyle w:val="Caption"/>
        <w:keepLines/>
      </w:pPr>
      <w:bookmarkStart w:id="361" w:name="_Ref33021356"/>
      <w:bookmarkStart w:id="362" w:name="_Toc39580850"/>
      <w:r>
        <w:lastRenderedPageBreak/>
        <w:t xml:space="preserve">Table </w:t>
      </w:r>
      <w:r>
        <w:rPr>
          <w:noProof/>
        </w:rPr>
        <w:fldChar w:fldCharType="begin"/>
      </w:r>
      <w:r>
        <w:rPr>
          <w:noProof/>
        </w:rPr>
        <w:instrText xml:space="preserve"> SEQ Table \* ARABIC </w:instrText>
      </w:r>
      <w:r>
        <w:rPr>
          <w:noProof/>
        </w:rPr>
        <w:fldChar w:fldCharType="separate"/>
      </w:r>
      <w:r w:rsidR="00FA7BCD">
        <w:rPr>
          <w:noProof/>
        </w:rPr>
        <w:t>69</w:t>
      </w:r>
      <w:r>
        <w:rPr>
          <w:noProof/>
        </w:rPr>
        <w:fldChar w:fldCharType="end"/>
      </w:r>
      <w:bookmarkEnd w:id="361"/>
      <w:r>
        <w:tab/>
      </w:r>
      <w:r w:rsidR="00576648">
        <w:t>Summary of findings</w:t>
      </w:r>
      <w:r>
        <w:t xml:space="preserve"> table for</w:t>
      </w:r>
      <w:r w:rsidR="002F4646">
        <w:t xml:space="preserve"> relevant</w:t>
      </w:r>
      <w:r w:rsidR="009347F6">
        <w:t xml:space="preserve"> </w:t>
      </w:r>
      <w:r w:rsidR="009347F6" w:rsidRPr="009347F6">
        <w:rPr>
          <w:u w:val="single"/>
        </w:rPr>
        <w:t>critical</w:t>
      </w:r>
      <w:r w:rsidR="009347F6">
        <w:t xml:space="preserve"> </w:t>
      </w:r>
      <w:r w:rsidR="002F4646">
        <w:t xml:space="preserve">patient </w:t>
      </w:r>
      <w:r w:rsidR="009347F6">
        <w:t>outcomes on</w:t>
      </w:r>
      <w:r>
        <w:t xml:space="preserve"> the impact of change in management due to </w:t>
      </w:r>
      <w:r w:rsidR="00022C69">
        <w:t>AQP4-Ab</w:t>
      </w:r>
      <w:r w:rsidR="00576648">
        <w:t xml:space="preserve"> testing for </w:t>
      </w:r>
      <w:r>
        <w:t>NMSDO</w:t>
      </w:r>
      <w:bookmarkEnd w:id="362"/>
      <w:r>
        <w:t xml:space="preserve"> </w:t>
      </w:r>
    </w:p>
    <w:tbl>
      <w:tblPr>
        <w:tblW w:w="4979" w:type="pct"/>
        <w:tblInd w:w="-3"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75" w:type="dxa"/>
          <w:left w:w="75" w:type="dxa"/>
          <w:bottom w:w="75" w:type="dxa"/>
          <w:right w:w="75" w:type="dxa"/>
        </w:tblCellMar>
        <w:tblLook w:val="04A0" w:firstRow="1" w:lastRow="0" w:firstColumn="1" w:lastColumn="0" w:noHBand="0" w:noVBand="1"/>
        <w:tblCaption w:val="Table 69 Summary of findings table for relevant critical patient outcomes on the impact of change in management due to AQP4-Ab testing for NMSDO "/>
        <w:tblDescription w:val="A summary of findings according to the GRADE system."/>
      </w:tblPr>
      <w:tblGrid>
        <w:gridCol w:w="1550"/>
        <w:gridCol w:w="147"/>
        <w:gridCol w:w="1703"/>
        <w:gridCol w:w="1561"/>
        <w:gridCol w:w="1278"/>
        <w:gridCol w:w="1133"/>
        <w:gridCol w:w="6517"/>
      </w:tblGrid>
      <w:tr w:rsidR="0015072B" w:rsidRPr="00EA5BA8" w14:paraId="05012F75" w14:textId="77777777" w:rsidTr="006800EE">
        <w:trPr>
          <w:cantSplit/>
          <w:trHeight w:val="876"/>
          <w:tblHeader/>
        </w:trPr>
        <w:tc>
          <w:tcPr>
            <w:tcW w:w="611" w:type="pct"/>
            <w:gridSpan w:val="2"/>
            <w:shd w:val="clear" w:color="auto" w:fill="D0CECE" w:themeFill="background2" w:themeFillShade="E6"/>
            <w:vAlign w:val="center"/>
          </w:tcPr>
          <w:p w14:paraId="299EFF1A" w14:textId="77777777" w:rsidR="0015072B" w:rsidRPr="00EA5BA8" w:rsidRDefault="0015072B" w:rsidP="0015072B">
            <w:pPr>
              <w:keepNext/>
              <w:keepLines/>
              <w:jc w:val="center"/>
              <w:rPr>
                <w:rFonts w:ascii="Arial Narrow" w:hAnsi="Arial Narrow"/>
                <w:b/>
                <w:bCs/>
                <w:sz w:val="16"/>
                <w:szCs w:val="16"/>
              </w:rPr>
            </w:pPr>
            <w:r>
              <w:rPr>
                <w:rFonts w:ascii="Arial Narrow" w:hAnsi="Arial Narrow"/>
                <w:b/>
                <w:bCs/>
                <w:sz w:val="16"/>
                <w:szCs w:val="16"/>
              </w:rPr>
              <w:t>Outcome</w:t>
            </w:r>
          </w:p>
        </w:tc>
        <w:tc>
          <w:tcPr>
            <w:tcW w:w="612" w:type="pct"/>
            <w:shd w:val="clear" w:color="auto" w:fill="D0CECE" w:themeFill="background2" w:themeFillShade="E6"/>
            <w:vAlign w:val="center"/>
          </w:tcPr>
          <w:p w14:paraId="53AD5D43" w14:textId="77777777" w:rsidR="0015072B" w:rsidRDefault="0015072B" w:rsidP="0015072B">
            <w:pPr>
              <w:keepNext/>
              <w:keepLines/>
              <w:jc w:val="center"/>
              <w:rPr>
                <w:rFonts w:ascii="Arial Narrow" w:hAnsi="Arial Narrow"/>
                <w:b/>
                <w:bCs/>
                <w:sz w:val="16"/>
                <w:szCs w:val="16"/>
              </w:rPr>
            </w:pPr>
            <w:r>
              <w:rPr>
                <w:rFonts w:ascii="Arial Narrow" w:hAnsi="Arial Narrow"/>
                <w:b/>
                <w:bCs/>
                <w:sz w:val="16"/>
                <w:szCs w:val="16"/>
              </w:rPr>
              <w:t>K studies</w:t>
            </w:r>
          </w:p>
          <w:p w14:paraId="3CDFC4DB" w14:textId="77777777" w:rsidR="0015072B" w:rsidRPr="00EA5BA8" w:rsidRDefault="0015072B" w:rsidP="0015072B">
            <w:pPr>
              <w:keepNext/>
              <w:keepLines/>
              <w:jc w:val="center"/>
              <w:rPr>
                <w:rFonts w:ascii="Arial Narrow" w:hAnsi="Arial Narrow"/>
                <w:b/>
                <w:bCs/>
                <w:sz w:val="16"/>
                <w:szCs w:val="16"/>
              </w:rPr>
            </w:pPr>
            <w:r>
              <w:rPr>
                <w:rFonts w:ascii="Arial Narrow" w:hAnsi="Arial Narrow"/>
                <w:b/>
                <w:bCs/>
                <w:sz w:val="16"/>
                <w:szCs w:val="16"/>
              </w:rPr>
              <w:t>N participants</w:t>
            </w:r>
          </w:p>
        </w:tc>
        <w:tc>
          <w:tcPr>
            <w:tcW w:w="562" w:type="pct"/>
            <w:shd w:val="clear" w:color="auto" w:fill="D0CECE" w:themeFill="background2" w:themeFillShade="E6"/>
            <w:vAlign w:val="center"/>
          </w:tcPr>
          <w:p w14:paraId="6F8FE683" w14:textId="77777777" w:rsidR="0015072B" w:rsidRPr="00EA5BA8" w:rsidRDefault="0015072B" w:rsidP="0015072B">
            <w:pPr>
              <w:keepNext/>
              <w:keepLines/>
              <w:jc w:val="center"/>
              <w:rPr>
                <w:rFonts w:ascii="Arial Narrow" w:hAnsi="Arial Narrow"/>
                <w:b/>
                <w:bCs/>
                <w:sz w:val="16"/>
                <w:szCs w:val="16"/>
              </w:rPr>
            </w:pPr>
            <w:r>
              <w:rPr>
                <w:rFonts w:ascii="Arial Narrow" w:hAnsi="Arial Narrow"/>
                <w:b/>
                <w:bCs/>
                <w:sz w:val="16"/>
                <w:szCs w:val="16"/>
              </w:rPr>
              <w:t xml:space="preserve">Relative </w:t>
            </w:r>
            <w:r w:rsidRPr="00EA5BA8">
              <w:rPr>
                <w:rFonts w:ascii="Arial Narrow" w:hAnsi="Arial Narrow"/>
                <w:b/>
                <w:bCs/>
                <w:sz w:val="16"/>
                <w:szCs w:val="16"/>
              </w:rPr>
              <w:t>Effect</w:t>
            </w:r>
          </w:p>
          <w:p w14:paraId="7E8B3170" w14:textId="77777777" w:rsidR="0015072B" w:rsidRDefault="0015072B" w:rsidP="0015072B">
            <w:pPr>
              <w:keepNext/>
              <w:keepLines/>
              <w:jc w:val="center"/>
              <w:rPr>
                <w:rFonts w:ascii="Arial Narrow" w:hAnsi="Arial Narrow"/>
                <w:b/>
                <w:bCs/>
                <w:sz w:val="16"/>
                <w:szCs w:val="16"/>
              </w:rPr>
            </w:pPr>
            <w:r w:rsidRPr="00EA5BA8">
              <w:rPr>
                <w:rFonts w:ascii="Arial Narrow" w:hAnsi="Arial Narrow"/>
                <w:b/>
                <w:bCs/>
                <w:sz w:val="16"/>
                <w:szCs w:val="16"/>
              </w:rPr>
              <w:t>(95% CI)</w:t>
            </w:r>
          </w:p>
        </w:tc>
        <w:tc>
          <w:tcPr>
            <w:tcW w:w="460" w:type="pct"/>
            <w:shd w:val="clear" w:color="auto" w:fill="D0CECE" w:themeFill="background2" w:themeFillShade="E6"/>
            <w:vAlign w:val="center"/>
            <w:hideMark/>
          </w:tcPr>
          <w:p w14:paraId="3CF48DA6" w14:textId="77777777" w:rsidR="0015072B" w:rsidRDefault="0015072B" w:rsidP="0015072B">
            <w:pPr>
              <w:keepNext/>
              <w:keepLines/>
              <w:jc w:val="center"/>
              <w:rPr>
                <w:rFonts w:ascii="Arial Narrow" w:hAnsi="Arial Narrow"/>
                <w:b/>
                <w:bCs/>
                <w:sz w:val="16"/>
                <w:szCs w:val="16"/>
              </w:rPr>
            </w:pPr>
            <w:r>
              <w:rPr>
                <w:rFonts w:ascii="Arial Narrow" w:hAnsi="Arial Narrow"/>
                <w:b/>
                <w:bCs/>
                <w:sz w:val="16"/>
                <w:szCs w:val="16"/>
              </w:rPr>
              <w:t>Absolute Effect</w:t>
            </w:r>
          </w:p>
          <w:p w14:paraId="0CEAEBCE" w14:textId="77777777" w:rsidR="0015072B" w:rsidRPr="00EA5BA8" w:rsidRDefault="0015072B" w:rsidP="0015072B">
            <w:pPr>
              <w:keepNext/>
              <w:keepLines/>
              <w:jc w:val="center"/>
              <w:rPr>
                <w:rFonts w:ascii="Arial Narrow" w:hAnsi="Arial Narrow"/>
                <w:b/>
                <w:bCs/>
                <w:sz w:val="16"/>
                <w:szCs w:val="16"/>
              </w:rPr>
            </w:pPr>
            <w:r>
              <w:rPr>
                <w:rFonts w:ascii="Arial Narrow" w:hAnsi="Arial Narrow"/>
                <w:b/>
                <w:bCs/>
                <w:sz w:val="16"/>
                <w:szCs w:val="16"/>
              </w:rPr>
              <w:t>(95% CI)</w:t>
            </w:r>
          </w:p>
        </w:tc>
        <w:tc>
          <w:tcPr>
            <w:tcW w:w="408" w:type="pct"/>
            <w:shd w:val="clear" w:color="auto" w:fill="D0CECE" w:themeFill="background2" w:themeFillShade="E6"/>
            <w:vAlign w:val="center"/>
            <w:hideMark/>
          </w:tcPr>
          <w:p w14:paraId="2B64F0CA" w14:textId="77777777" w:rsidR="0015072B" w:rsidRPr="00EA5BA8" w:rsidRDefault="0015072B" w:rsidP="0015072B">
            <w:pPr>
              <w:keepNext/>
              <w:keepLines/>
              <w:jc w:val="center"/>
              <w:rPr>
                <w:rFonts w:ascii="Arial Narrow" w:hAnsi="Arial Narrow"/>
                <w:b/>
                <w:bCs/>
                <w:sz w:val="16"/>
                <w:szCs w:val="16"/>
              </w:rPr>
            </w:pPr>
            <w:r w:rsidRPr="00EA5BA8">
              <w:rPr>
                <w:rFonts w:ascii="Arial Narrow" w:hAnsi="Arial Narrow"/>
                <w:b/>
                <w:bCs/>
                <w:sz w:val="16"/>
                <w:szCs w:val="16"/>
              </w:rPr>
              <w:t>Certainty</w:t>
            </w:r>
          </w:p>
        </w:tc>
        <w:tc>
          <w:tcPr>
            <w:tcW w:w="2347" w:type="pct"/>
            <w:shd w:val="clear" w:color="auto" w:fill="D0CECE" w:themeFill="background2" w:themeFillShade="E6"/>
            <w:vAlign w:val="center"/>
            <w:hideMark/>
          </w:tcPr>
          <w:p w14:paraId="5A763CA3" w14:textId="77777777" w:rsidR="0015072B" w:rsidRPr="00EA5BA8" w:rsidRDefault="0015072B" w:rsidP="0015072B">
            <w:pPr>
              <w:keepNext/>
              <w:keepLines/>
              <w:jc w:val="center"/>
              <w:rPr>
                <w:rFonts w:ascii="Arial Narrow" w:hAnsi="Arial Narrow"/>
                <w:b/>
                <w:bCs/>
                <w:sz w:val="16"/>
                <w:szCs w:val="16"/>
              </w:rPr>
            </w:pPr>
            <w:r>
              <w:rPr>
                <w:rFonts w:ascii="Arial Narrow" w:hAnsi="Arial Narrow"/>
                <w:b/>
                <w:bCs/>
                <w:sz w:val="16"/>
                <w:szCs w:val="16"/>
              </w:rPr>
              <w:t>Comments</w:t>
            </w:r>
          </w:p>
        </w:tc>
      </w:tr>
      <w:tr w:rsidR="00576648" w:rsidRPr="00EA5BA8" w14:paraId="4E6E9D6D" w14:textId="77777777" w:rsidTr="006800EE">
        <w:trPr>
          <w:cantSplit/>
        </w:trPr>
        <w:tc>
          <w:tcPr>
            <w:tcW w:w="5000" w:type="pct"/>
            <w:gridSpan w:val="7"/>
          </w:tcPr>
          <w:p w14:paraId="198640BF" w14:textId="77777777" w:rsidR="00576648" w:rsidRDefault="00576648" w:rsidP="00576648">
            <w:pPr>
              <w:keepNext/>
              <w:keepLines/>
              <w:rPr>
                <w:rFonts w:ascii="Arial Narrow" w:hAnsi="Arial Narrow"/>
                <w:sz w:val="16"/>
                <w:szCs w:val="16"/>
              </w:rPr>
            </w:pPr>
            <w:r w:rsidRPr="005B189A">
              <w:rPr>
                <w:rFonts w:ascii="Arial Narrow" w:hAnsi="Arial Narrow"/>
                <w:b/>
                <w:sz w:val="16"/>
                <w:szCs w:val="16"/>
                <w:lang w:val="en"/>
              </w:rPr>
              <w:t>Early treatment compared to late treatment for NMOSD patients</w:t>
            </w:r>
          </w:p>
        </w:tc>
      </w:tr>
      <w:tr w:rsidR="0015072B" w:rsidRPr="005801A9" w14:paraId="4A84EAA6" w14:textId="77777777" w:rsidTr="006800EE">
        <w:trPr>
          <w:cantSplit/>
        </w:trPr>
        <w:tc>
          <w:tcPr>
            <w:tcW w:w="611" w:type="pct"/>
            <w:gridSpan w:val="2"/>
          </w:tcPr>
          <w:p w14:paraId="049A47BA" w14:textId="77777777" w:rsidR="0015072B" w:rsidRDefault="0015072B" w:rsidP="00576648">
            <w:pPr>
              <w:keepNext/>
              <w:keepLines/>
              <w:jc w:val="left"/>
              <w:rPr>
                <w:rFonts w:ascii="Arial Narrow" w:hAnsi="Arial Narrow"/>
                <w:sz w:val="16"/>
                <w:szCs w:val="16"/>
              </w:rPr>
            </w:pPr>
            <w:r>
              <w:rPr>
                <w:rFonts w:ascii="Arial Narrow" w:hAnsi="Arial Narrow"/>
                <w:sz w:val="16"/>
                <w:szCs w:val="16"/>
              </w:rPr>
              <w:t>Probability of complete improvement (PLEX received day 0-1 or after day 20)</w:t>
            </w:r>
          </w:p>
        </w:tc>
        <w:tc>
          <w:tcPr>
            <w:tcW w:w="612" w:type="pct"/>
          </w:tcPr>
          <w:p w14:paraId="2DBE57FA" w14:textId="77777777" w:rsidR="0015072B" w:rsidRDefault="0015072B" w:rsidP="00576648">
            <w:pPr>
              <w:keepNext/>
              <w:keepLines/>
              <w:rPr>
                <w:rFonts w:ascii="Arial Narrow" w:hAnsi="Arial Narrow"/>
                <w:sz w:val="16"/>
                <w:szCs w:val="16"/>
              </w:rPr>
            </w:pPr>
            <w:r>
              <w:rPr>
                <w:rFonts w:ascii="Arial Narrow" w:hAnsi="Arial Narrow"/>
                <w:sz w:val="16"/>
                <w:szCs w:val="16"/>
              </w:rPr>
              <w:t>K=1 observational study</w:t>
            </w:r>
          </w:p>
          <w:p w14:paraId="7A41EE81" w14:textId="77777777" w:rsidR="0015072B" w:rsidRDefault="0015072B" w:rsidP="00576648">
            <w:pPr>
              <w:keepNext/>
              <w:keepLines/>
              <w:rPr>
                <w:rFonts w:ascii="Arial Narrow" w:hAnsi="Arial Narrow"/>
                <w:sz w:val="16"/>
                <w:szCs w:val="16"/>
              </w:rPr>
            </w:pPr>
            <w:r>
              <w:rPr>
                <w:rFonts w:ascii="Arial Narrow" w:hAnsi="Arial Narrow"/>
                <w:sz w:val="16"/>
                <w:szCs w:val="16"/>
              </w:rPr>
              <w:t>N=60</w:t>
            </w:r>
          </w:p>
        </w:tc>
        <w:tc>
          <w:tcPr>
            <w:tcW w:w="562" w:type="pct"/>
            <w:hideMark/>
          </w:tcPr>
          <w:p w14:paraId="4E67BF27" w14:textId="77777777" w:rsidR="0015072B" w:rsidRPr="005801A9" w:rsidRDefault="0015072B" w:rsidP="00576648">
            <w:pPr>
              <w:keepNext/>
              <w:keepLines/>
              <w:rPr>
                <w:rFonts w:ascii="Arial Narrow" w:hAnsi="Arial Narrow"/>
                <w:sz w:val="16"/>
                <w:szCs w:val="16"/>
              </w:rPr>
            </w:pPr>
            <w:r>
              <w:rPr>
                <w:rFonts w:ascii="Arial Narrow" w:hAnsi="Arial Narrow"/>
                <w:sz w:val="16"/>
                <w:szCs w:val="16"/>
              </w:rPr>
              <w:t>P=0.02</w:t>
            </w:r>
          </w:p>
        </w:tc>
        <w:tc>
          <w:tcPr>
            <w:tcW w:w="460" w:type="pct"/>
            <w:hideMark/>
          </w:tcPr>
          <w:p w14:paraId="7D1D1168" w14:textId="77777777" w:rsidR="0015072B" w:rsidRPr="005801A9" w:rsidRDefault="0015072B" w:rsidP="00576648">
            <w:pPr>
              <w:keepNext/>
              <w:keepLines/>
              <w:rPr>
                <w:rFonts w:ascii="Arial Narrow" w:hAnsi="Arial Narrow"/>
                <w:sz w:val="16"/>
                <w:szCs w:val="16"/>
              </w:rPr>
            </w:pPr>
            <w:r>
              <w:rPr>
                <w:rFonts w:ascii="Arial Narrow" w:hAnsi="Arial Narrow"/>
                <w:sz w:val="16"/>
                <w:szCs w:val="16"/>
              </w:rPr>
              <w:t>NA</w:t>
            </w:r>
          </w:p>
        </w:tc>
        <w:tc>
          <w:tcPr>
            <w:tcW w:w="408" w:type="pct"/>
            <w:hideMark/>
          </w:tcPr>
          <w:p w14:paraId="5F31C59B" w14:textId="77777777" w:rsidR="0015072B" w:rsidRPr="005801A9" w:rsidRDefault="0015072B" w:rsidP="00576648">
            <w:pPr>
              <w:keepNext/>
              <w:keepLines/>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Pr="005801A9">
              <w:rPr>
                <w:rFonts w:ascii="Arial Narrow" w:hAnsi="Arial Narrow"/>
                <w:sz w:val="16"/>
                <w:szCs w:val="16"/>
              </w:rPr>
              <w:br/>
              <w:t xml:space="preserve">LOW </w:t>
            </w:r>
          </w:p>
        </w:tc>
        <w:tc>
          <w:tcPr>
            <w:tcW w:w="2347" w:type="pct"/>
          </w:tcPr>
          <w:p w14:paraId="1376AAD8" w14:textId="77777777" w:rsidR="0015072B" w:rsidRDefault="0015072B" w:rsidP="006764A1">
            <w:pPr>
              <w:keepNext/>
              <w:keepLines/>
              <w:rPr>
                <w:rFonts w:ascii="Arial Narrow" w:hAnsi="Arial Narrow"/>
                <w:sz w:val="16"/>
                <w:szCs w:val="16"/>
              </w:rPr>
            </w:pPr>
            <w:r>
              <w:rPr>
                <w:rFonts w:ascii="Arial Narrow" w:hAnsi="Arial Narrow"/>
                <w:sz w:val="16"/>
                <w:szCs w:val="16"/>
              </w:rPr>
              <w:t>The probability of complete improvement was much higher in the group treated early (50%) compared with those treated late (5%). There was a strong association between early treatment and better outcome. Due to risk of bias, there is low confidence in the effect.</w:t>
            </w:r>
          </w:p>
        </w:tc>
      </w:tr>
      <w:tr w:rsidR="0015072B" w:rsidRPr="005801A9" w14:paraId="664DA75E" w14:textId="77777777" w:rsidTr="006800EE">
        <w:trPr>
          <w:cantSplit/>
        </w:trPr>
        <w:tc>
          <w:tcPr>
            <w:tcW w:w="611" w:type="pct"/>
            <w:gridSpan w:val="2"/>
          </w:tcPr>
          <w:p w14:paraId="682AB566" w14:textId="77777777" w:rsidR="0015072B" w:rsidRPr="005801A9" w:rsidRDefault="0015072B" w:rsidP="00576648">
            <w:pPr>
              <w:rPr>
                <w:rFonts w:ascii="Arial Narrow" w:hAnsi="Arial Narrow"/>
                <w:sz w:val="16"/>
                <w:szCs w:val="16"/>
              </w:rPr>
            </w:pPr>
            <w:r>
              <w:rPr>
                <w:rFonts w:ascii="Arial Narrow" w:hAnsi="Arial Narrow"/>
                <w:sz w:val="16"/>
                <w:szCs w:val="16"/>
              </w:rPr>
              <w:t>Time to next relapse on AZA (months)</w:t>
            </w:r>
          </w:p>
        </w:tc>
        <w:tc>
          <w:tcPr>
            <w:tcW w:w="612" w:type="pct"/>
          </w:tcPr>
          <w:p w14:paraId="497DF4C1" w14:textId="77777777" w:rsidR="0015072B" w:rsidRDefault="0015072B" w:rsidP="00576648">
            <w:pPr>
              <w:rPr>
                <w:rFonts w:ascii="Arial Narrow" w:hAnsi="Arial Narrow"/>
                <w:sz w:val="16"/>
                <w:szCs w:val="16"/>
              </w:rPr>
            </w:pPr>
            <w:r>
              <w:rPr>
                <w:rFonts w:ascii="Arial Narrow" w:hAnsi="Arial Narrow"/>
                <w:sz w:val="16"/>
                <w:szCs w:val="16"/>
              </w:rPr>
              <w:t>K=1 observational study</w:t>
            </w:r>
          </w:p>
          <w:p w14:paraId="00235CC5" w14:textId="77777777" w:rsidR="0015072B" w:rsidRPr="005801A9" w:rsidRDefault="0015072B" w:rsidP="00576648">
            <w:pPr>
              <w:rPr>
                <w:rFonts w:ascii="Arial Narrow" w:hAnsi="Arial Narrow"/>
                <w:sz w:val="16"/>
                <w:szCs w:val="16"/>
              </w:rPr>
            </w:pPr>
            <w:r>
              <w:rPr>
                <w:rFonts w:ascii="Arial Narrow" w:hAnsi="Arial Narrow"/>
                <w:sz w:val="16"/>
                <w:szCs w:val="16"/>
              </w:rPr>
              <w:t>N=38</w:t>
            </w:r>
          </w:p>
        </w:tc>
        <w:tc>
          <w:tcPr>
            <w:tcW w:w="562" w:type="pct"/>
          </w:tcPr>
          <w:p w14:paraId="67AA9E12" w14:textId="77777777" w:rsidR="0015072B" w:rsidRPr="005801A9" w:rsidRDefault="0015072B" w:rsidP="00576648">
            <w:pPr>
              <w:rPr>
                <w:rFonts w:ascii="Arial Narrow" w:hAnsi="Arial Narrow"/>
                <w:sz w:val="16"/>
                <w:szCs w:val="16"/>
              </w:rPr>
            </w:pPr>
            <w:r w:rsidRPr="005801A9">
              <w:rPr>
                <w:rFonts w:ascii="Arial Narrow" w:hAnsi="Arial Narrow"/>
                <w:sz w:val="16"/>
                <w:szCs w:val="16"/>
              </w:rPr>
              <w:t>p=0.025</w:t>
            </w:r>
          </w:p>
        </w:tc>
        <w:tc>
          <w:tcPr>
            <w:tcW w:w="460" w:type="pct"/>
          </w:tcPr>
          <w:p w14:paraId="177F14B3" w14:textId="77777777" w:rsidR="0015072B" w:rsidRPr="005801A9" w:rsidRDefault="0015072B" w:rsidP="00576648">
            <w:pPr>
              <w:rPr>
                <w:rFonts w:ascii="Arial Narrow" w:hAnsi="Arial Narrow"/>
                <w:sz w:val="16"/>
                <w:szCs w:val="16"/>
              </w:rPr>
            </w:pPr>
            <w:r>
              <w:rPr>
                <w:rFonts w:ascii="Arial Narrow" w:hAnsi="Arial Narrow"/>
                <w:sz w:val="16"/>
                <w:szCs w:val="16"/>
              </w:rPr>
              <w:t>NA</w:t>
            </w:r>
          </w:p>
        </w:tc>
        <w:tc>
          <w:tcPr>
            <w:tcW w:w="408" w:type="pct"/>
            <w:hideMark/>
          </w:tcPr>
          <w:p w14:paraId="0149D812" w14:textId="77777777" w:rsidR="0015072B" w:rsidRPr="005801A9" w:rsidRDefault="0015072B" w:rsidP="00576648">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Pr="005801A9">
              <w:rPr>
                <w:rFonts w:ascii="Arial Narrow" w:hAnsi="Arial Narrow"/>
                <w:sz w:val="16"/>
                <w:szCs w:val="16"/>
              </w:rPr>
              <w:br/>
              <w:t xml:space="preserve">LOW </w:t>
            </w:r>
          </w:p>
        </w:tc>
        <w:tc>
          <w:tcPr>
            <w:tcW w:w="2347" w:type="pct"/>
          </w:tcPr>
          <w:p w14:paraId="08F2D121" w14:textId="77777777" w:rsidR="0015072B" w:rsidRDefault="0015072B" w:rsidP="006764A1">
            <w:pPr>
              <w:rPr>
                <w:rFonts w:ascii="Arial Narrow" w:hAnsi="Arial Narrow"/>
                <w:sz w:val="16"/>
                <w:szCs w:val="16"/>
              </w:rPr>
            </w:pPr>
            <w:r>
              <w:rPr>
                <w:rFonts w:ascii="Arial Narrow" w:hAnsi="Arial Narrow"/>
                <w:sz w:val="16"/>
                <w:szCs w:val="16"/>
              </w:rPr>
              <w:t>The time to next relapse on AZA was nearly twice as long in the late (32.74 months) compared to the early treated group (17.17 months). There was a strong association between early treatment and better outcome. Due to risk of bias, there is low confidence in the effect.</w:t>
            </w:r>
          </w:p>
        </w:tc>
      </w:tr>
      <w:tr w:rsidR="0015072B" w:rsidRPr="005801A9" w14:paraId="53E87C5E" w14:textId="77777777" w:rsidTr="006800EE">
        <w:trPr>
          <w:cantSplit/>
        </w:trPr>
        <w:tc>
          <w:tcPr>
            <w:tcW w:w="611" w:type="pct"/>
            <w:gridSpan w:val="2"/>
          </w:tcPr>
          <w:p w14:paraId="4C1AB852" w14:textId="77777777" w:rsidR="0015072B" w:rsidRDefault="0015072B" w:rsidP="00576648">
            <w:pPr>
              <w:rPr>
                <w:rFonts w:ascii="Arial Narrow" w:hAnsi="Arial Narrow"/>
                <w:sz w:val="16"/>
                <w:szCs w:val="16"/>
              </w:rPr>
            </w:pPr>
            <w:r>
              <w:rPr>
                <w:rFonts w:ascii="Arial Narrow" w:hAnsi="Arial Narrow"/>
                <w:sz w:val="16"/>
                <w:szCs w:val="16"/>
              </w:rPr>
              <w:t>Duration of remission on AZA (&lt;7 days or &gt;7 days)</w:t>
            </w:r>
          </w:p>
        </w:tc>
        <w:tc>
          <w:tcPr>
            <w:tcW w:w="612" w:type="pct"/>
          </w:tcPr>
          <w:p w14:paraId="381E0AFD" w14:textId="77777777" w:rsidR="0015072B" w:rsidRDefault="0015072B" w:rsidP="00576648">
            <w:pPr>
              <w:rPr>
                <w:rFonts w:ascii="Arial Narrow" w:hAnsi="Arial Narrow"/>
                <w:sz w:val="16"/>
                <w:szCs w:val="16"/>
              </w:rPr>
            </w:pPr>
            <w:r>
              <w:rPr>
                <w:rFonts w:ascii="Arial Narrow" w:hAnsi="Arial Narrow"/>
                <w:sz w:val="16"/>
                <w:szCs w:val="16"/>
              </w:rPr>
              <w:t>K=1 observational study</w:t>
            </w:r>
          </w:p>
          <w:p w14:paraId="739866A5" w14:textId="77777777" w:rsidR="0015072B" w:rsidRDefault="0015072B" w:rsidP="00576648">
            <w:pPr>
              <w:rPr>
                <w:rFonts w:ascii="Arial Narrow" w:hAnsi="Arial Narrow"/>
                <w:sz w:val="16"/>
                <w:szCs w:val="16"/>
              </w:rPr>
            </w:pPr>
            <w:r>
              <w:rPr>
                <w:rFonts w:ascii="Arial Narrow" w:hAnsi="Arial Narrow"/>
                <w:sz w:val="16"/>
                <w:szCs w:val="16"/>
              </w:rPr>
              <w:t>N=38</w:t>
            </w:r>
          </w:p>
        </w:tc>
        <w:tc>
          <w:tcPr>
            <w:tcW w:w="562" w:type="pct"/>
          </w:tcPr>
          <w:p w14:paraId="38A6C6DF" w14:textId="77777777" w:rsidR="0015072B" w:rsidRDefault="0015072B" w:rsidP="00576648">
            <w:pPr>
              <w:jc w:val="left"/>
              <w:rPr>
                <w:rFonts w:ascii="Arial Narrow" w:hAnsi="Arial Narrow"/>
                <w:sz w:val="16"/>
                <w:szCs w:val="16"/>
              </w:rPr>
            </w:pPr>
            <w:r w:rsidRPr="005801A9">
              <w:rPr>
                <w:rFonts w:ascii="Arial Narrow" w:hAnsi="Arial Narrow"/>
                <w:sz w:val="16"/>
                <w:szCs w:val="16"/>
              </w:rPr>
              <w:t xml:space="preserve">HR 0.250 </w:t>
            </w:r>
            <w:r>
              <w:rPr>
                <w:rFonts w:ascii="Arial Narrow" w:hAnsi="Arial Narrow"/>
                <w:sz w:val="16"/>
                <w:szCs w:val="16"/>
              </w:rPr>
              <w:br/>
            </w:r>
            <w:r w:rsidRPr="005801A9">
              <w:rPr>
                <w:rFonts w:ascii="Arial Narrow" w:hAnsi="Arial Narrow"/>
                <w:sz w:val="16"/>
                <w:szCs w:val="16"/>
              </w:rPr>
              <w:t>(</w:t>
            </w:r>
            <w:r w:rsidRPr="0006002E">
              <w:rPr>
                <w:rFonts w:ascii="Arial Narrow" w:hAnsi="Arial Narrow"/>
                <w:sz w:val="16"/>
                <w:szCs w:val="16"/>
              </w:rPr>
              <w:t>0.072, 0.867</w:t>
            </w:r>
            <w:r w:rsidRPr="005801A9">
              <w:rPr>
                <w:rFonts w:ascii="Arial Narrow" w:hAnsi="Arial Narrow"/>
                <w:sz w:val="16"/>
                <w:szCs w:val="16"/>
              </w:rPr>
              <w:t>)</w:t>
            </w:r>
          </w:p>
          <w:p w14:paraId="71282775" w14:textId="77777777" w:rsidR="0015072B" w:rsidRDefault="0015072B" w:rsidP="00576648">
            <w:pPr>
              <w:jc w:val="left"/>
              <w:rPr>
                <w:rFonts w:ascii="Arial Narrow" w:hAnsi="Arial Narrow"/>
                <w:sz w:val="16"/>
                <w:szCs w:val="16"/>
              </w:rPr>
            </w:pPr>
            <w:r>
              <w:rPr>
                <w:rFonts w:ascii="Arial Narrow" w:hAnsi="Arial Narrow"/>
                <w:sz w:val="16"/>
                <w:szCs w:val="16"/>
              </w:rPr>
              <w:t>P=0.029</w:t>
            </w:r>
          </w:p>
        </w:tc>
        <w:tc>
          <w:tcPr>
            <w:tcW w:w="460" w:type="pct"/>
          </w:tcPr>
          <w:p w14:paraId="2C7EBA87" w14:textId="77777777" w:rsidR="0015072B" w:rsidRPr="005801A9" w:rsidRDefault="0015072B" w:rsidP="00576648">
            <w:pPr>
              <w:rPr>
                <w:rFonts w:ascii="Arial Narrow" w:hAnsi="Arial Narrow"/>
                <w:sz w:val="16"/>
                <w:szCs w:val="16"/>
              </w:rPr>
            </w:pPr>
            <w:r>
              <w:rPr>
                <w:rFonts w:ascii="Arial Narrow" w:hAnsi="Arial Narrow"/>
                <w:sz w:val="16"/>
                <w:szCs w:val="16"/>
              </w:rPr>
              <w:t>NA</w:t>
            </w:r>
          </w:p>
        </w:tc>
        <w:tc>
          <w:tcPr>
            <w:tcW w:w="408" w:type="pct"/>
            <w:hideMark/>
          </w:tcPr>
          <w:p w14:paraId="14C68CCF" w14:textId="77777777" w:rsidR="0015072B" w:rsidRPr="005801A9" w:rsidRDefault="0015072B" w:rsidP="00576648">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Pr="005801A9">
              <w:rPr>
                <w:rFonts w:ascii="Arial Narrow" w:hAnsi="Arial Narrow"/>
                <w:sz w:val="16"/>
                <w:szCs w:val="16"/>
              </w:rPr>
              <w:br/>
              <w:t xml:space="preserve">LOW </w:t>
            </w:r>
          </w:p>
        </w:tc>
        <w:tc>
          <w:tcPr>
            <w:tcW w:w="2347" w:type="pct"/>
          </w:tcPr>
          <w:p w14:paraId="2014AAC8" w14:textId="77777777" w:rsidR="0015072B" w:rsidRDefault="0015072B" w:rsidP="006764A1">
            <w:pPr>
              <w:rPr>
                <w:rFonts w:ascii="Arial Narrow" w:hAnsi="Arial Narrow"/>
                <w:sz w:val="16"/>
                <w:szCs w:val="16"/>
              </w:rPr>
            </w:pPr>
            <w:r>
              <w:rPr>
                <w:rFonts w:ascii="Arial Narrow" w:hAnsi="Arial Narrow"/>
                <w:sz w:val="16"/>
                <w:szCs w:val="16"/>
              </w:rPr>
              <w:t>The duration of remission for those who received AZA &lt;7 days from attack was longer compared to those who received AZA &gt;7 days from attack. There was a strong association between early treatment and better outcome. Due to risk of bias, there is low confidence in the effect.</w:t>
            </w:r>
          </w:p>
        </w:tc>
      </w:tr>
      <w:tr w:rsidR="0015072B" w:rsidRPr="005801A9" w14:paraId="2B2AFD4F" w14:textId="77777777" w:rsidTr="006800EE">
        <w:trPr>
          <w:cantSplit/>
        </w:trPr>
        <w:tc>
          <w:tcPr>
            <w:tcW w:w="611" w:type="pct"/>
            <w:gridSpan w:val="2"/>
          </w:tcPr>
          <w:p w14:paraId="18F80774" w14:textId="77777777" w:rsidR="0015072B" w:rsidRDefault="0015072B" w:rsidP="00576648">
            <w:pPr>
              <w:jc w:val="left"/>
              <w:rPr>
                <w:rFonts w:ascii="Arial Narrow" w:hAnsi="Arial Narrow"/>
                <w:sz w:val="16"/>
                <w:szCs w:val="16"/>
              </w:rPr>
            </w:pPr>
            <w:r>
              <w:rPr>
                <w:rFonts w:ascii="Arial Narrow" w:hAnsi="Arial Narrow"/>
                <w:sz w:val="16"/>
                <w:szCs w:val="16"/>
              </w:rPr>
              <w:t>Failure to regain 20/30 vision on IVMP (&lt;7 days or &gt;7 days)</w:t>
            </w:r>
          </w:p>
        </w:tc>
        <w:tc>
          <w:tcPr>
            <w:tcW w:w="612" w:type="pct"/>
          </w:tcPr>
          <w:p w14:paraId="7E42B6CB" w14:textId="77777777" w:rsidR="0015072B" w:rsidRDefault="0015072B" w:rsidP="00576648">
            <w:pPr>
              <w:jc w:val="left"/>
              <w:rPr>
                <w:rFonts w:ascii="Arial Narrow" w:hAnsi="Arial Narrow"/>
                <w:sz w:val="16"/>
                <w:szCs w:val="16"/>
              </w:rPr>
            </w:pPr>
            <w:r>
              <w:rPr>
                <w:rFonts w:ascii="Arial Narrow" w:hAnsi="Arial Narrow"/>
                <w:sz w:val="16"/>
                <w:szCs w:val="16"/>
              </w:rPr>
              <w:t>K=1 observational study</w:t>
            </w:r>
          </w:p>
          <w:p w14:paraId="606B78CA" w14:textId="77777777" w:rsidR="0015072B" w:rsidRDefault="0015072B" w:rsidP="00576648">
            <w:pPr>
              <w:jc w:val="left"/>
              <w:rPr>
                <w:rFonts w:ascii="Arial Narrow" w:hAnsi="Arial Narrow"/>
                <w:sz w:val="16"/>
                <w:szCs w:val="16"/>
              </w:rPr>
            </w:pPr>
            <w:r>
              <w:rPr>
                <w:rFonts w:ascii="Arial Narrow" w:hAnsi="Arial Narrow"/>
                <w:sz w:val="16"/>
                <w:szCs w:val="16"/>
              </w:rPr>
              <w:t>N=36</w:t>
            </w:r>
          </w:p>
        </w:tc>
        <w:tc>
          <w:tcPr>
            <w:tcW w:w="562" w:type="pct"/>
          </w:tcPr>
          <w:p w14:paraId="1605BEB8" w14:textId="77777777" w:rsidR="0015072B" w:rsidRDefault="0015072B" w:rsidP="00576648">
            <w:pPr>
              <w:jc w:val="left"/>
              <w:rPr>
                <w:rFonts w:ascii="Arial Narrow" w:hAnsi="Arial Narrow"/>
                <w:sz w:val="16"/>
                <w:szCs w:val="16"/>
              </w:rPr>
            </w:pPr>
            <w:r w:rsidRPr="005801A9">
              <w:rPr>
                <w:rFonts w:ascii="Arial Narrow" w:hAnsi="Arial Narrow"/>
                <w:sz w:val="16"/>
                <w:szCs w:val="16"/>
              </w:rPr>
              <w:t xml:space="preserve">OR 10.0 </w:t>
            </w:r>
            <w:r>
              <w:rPr>
                <w:rFonts w:ascii="Arial Narrow" w:hAnsi="Arial Narrow"/>
                <w:sz w:val="16"/>
                <w:szCs w:val="16"/>
              </w:rPr>
              <w:br/>
            </w:r>
            <w:r w:rsidRPr="005801A9">
              <w:rPr>
                <w:rFonts w:ascii="Arial Narrow" w:hAnsi="Arial Narrow"/>
                <w:sz w:val="16"/>
                <w:szCs w:val="16"/>
              </w:rPr>
              <w:t>(1.39, 71.86)</w:t>
            </w:r>
          </w:p>
          <w:p w14:paraId="75724A71" w14:textId="77777777" w:rsidR="0015072B" w:rsidRPr="005801A9" w:rsidRDefault="0015072B" w:rsidP="00576648">
            <w:pPr>
              <w:jc w:val="left"/>
              <w:rPr>
                <w:rFonts w:ascii="Arial Narrow" w:hAnsi="Arial Narrow"/>
                <w:sz w:val="16"/>
                <w:szCs w:val="16"/>
              </w:rPr>
            </w:pPr>
            <w:r w:rsidRPr="005801A9">
              <w:rPr>
                <w:rFonts w:ascii="Arial Narrow" w:hAnsi="Arial Narrow"/>
                <w:sz w:val="16"/>
                <w:szCs w:val="16"/>
              </w:rPr>
              <w:t>p=0.01</w:t>
            </w:r>
          </w:p>
        </w:tc>
        <w:tc>
          <w:tcPr>
            <w:tcW w:w="460" w:type="pct"/>
          </w:tcPr>
          <w:p w14:paraId="3C9EDAB2" w14:textId="77777777" w:rsidR="0015072B" w:rsidRPr="005801A9" w:rsidRDefault="0015072B" w:rsidP="00576648">
            <w:pPr>
              <w:jc w:val="left"/>
              <w:rPr>
                <w:rFonts w:ascii="Arial Narrow" w:hAnsi="Arial Narrow"/>
                <w:sz w:val="16"/>
                <w:szCs w:val="16"/>
              </w:rPr>
            </w:pPr>
            <w:r>
              <w:rPr>
                <w:rFonts w:ascii="Arial Narrow" w:hAnsi="Arial Narrow"/>
                <w:sz w:val="16"/>
                <w:szCs w:val="16"/>
              </w:rPr>
              <w:t>NA</w:t>
            </w:r>
          </w:p>
        </w:tc>
        <w:tc>
          <w:tcPr>
            <w:tcW w:w="408" w:type="pct"/>
            <w:hideMark/>
          </w:tcPr>
          <w:p w14:paraId="3538AC11" w14:textId="77777777" w:rsidR="0015072B" w:rsidRPr="005801A9" w:rsidRDefault="0015072B" w:rsidP="00576648">
            <w:pPr>
              <w:jc w:val="left"/>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Pr="005801A9">
              <w:rPr>
                <w:rFonts w:ascii="Arial Narrow" w:hAnsi="Arial Narrow"/>
                <w:sz w:val="16"/>
                <w:szCs w:val="16"/>
              </w:rPr>
              <w:br/>
              <w:t xml:space="preserve">MODERATE </w:t>
            </w:r>
          </w:p>
        </w:tc>
        <w:tc>
          <w:tcPr>
            <w:tcW w:w="2347" w:type="pct"/>
          </w:tcPr>
          <w:p w14:paraId="5A2DD400" w14:textId="77777777" w:rsidR="0015072B" w:rsidRDefault="0015072B" w:rsidP="007B5878">
            <w:pPr>
              <w:jc w:val="left"/>
              <w:rPr>
                <w:rFonts w:ascii="Arial Narrow" w:hAnsi="Arial Narrow"/>
                <w:sz w:val="16"/>
                <w:szCs w:val="16"/>
              </w:rPr>
            </w:pPr>
            <w:r>
              <w:rPr>
                <w:rFonts w:ascii="Arial Narrow" w:hAnsi="Arial Narrow"/>
                <w:sz w:val="16"/>
                <w:szCs w:val="16"/>
              </w:rPr>
              <w:t>The odds of failing to regain 20/30 vision for NMOSD patients with ON were much higher in those who received IVMP &gt;7 days from attack compared to &lt;7 days from attack. There was a very strong association between early treatment and better visual outcome.</w:t>
            </w:r>
            <w:r>
              <w:rPr>
                <w:rFonts w:ascii="Arial Narrow" w:hAnsi="Arial Narrow"/>
                <w:bCs/>
                <w:sz w:val="16"/>
                <w:szCs w:val="16"/>
              </w:rPr>
              <w:t xml:space="preserve"> There is moderate confidence that the effect is true.</w:t>
            </w:r>
          </w:p>
        </w:tc>
      </w:tr>
      <w:tr w:rsidR="0015072B" w:rsidRPr="005801A9" w14:paraId="52612AFA" w14:textId="77777777" w:rsidTr="006800EE">
        <w:trPr>
          <w:cantSplit/>
        </w:trPr>
        <w:tc>
          <w:tcPr>
            <w:tcW w:w="611" w:type="pct"/>
            <w:gridSpan w:val="2"/>
          </w:tcPr>
          <w:p w14:paraId="2B449C76" w14:textId="77777777" w:rsidR="0015072B" w:rsidRDefault="0015072B" w:rsidP="00576648">
            <w:pPr>
              <w:jc w:val="left"/>
              <w:rPr>
                <w:rFonts w:ascii="Arial Narrow" w:hAnsi="Arial Narrow"/>
                <w:sz w:val="16"/>
                <w:szCs w:val="16"/>
              </w:rPr>
            </w:pPr>
            <w:r>
              <w:rPr>
                <w:rFonts w:ascii="Arial Narrow" w:hAnsi="Arial Narrow"/>
                <w:sz w:val="16"/>
                <w:szCs w:val="16"/>
              </w:rPr>
              <w:t>Likelihood of failure to regain 20/20 vision on IVMP (&lt;4 days or &gt;4 days)</w:t>
            </w:r>
          </w:p>
        </w:tc>
        <w:tc>
          <w:tcPr>
            <w:tcW w:w="612" w:type="pct"/>
          </w:tcPr>
          <w:p w14:paraId="02332FC4" w14:textId="77777777" w:rsidR="0015072B" w:rsidRDefault="0015072B" w:rsidP="00576648">
            <w:pPr>
              <w:jc w:val="left"/>
              <w:rPr>
                <w:rFonts w:ascii="Arial Narrow" w:hAnsi="Arial Narrow"/>
                <w:sz w:val="16"/>
                <w:szCs w:val="16"/>
              </w:rPr>
            </w:pPr>
            <w:r>
              <w:rPr>
                <w:rFonts w:ascii="Arial Narrow" w:hAnsi="Arial Narrow"/>
                <w:sz w:val="16"/>
                <w:szCs w:val="16"/>
              </w:rPr>
              <w:t>K=1 observational study</w:t>
            </w:r>
          </w:p>
          <w:p w14:paraId="00BC1DF7" w14:textId="77777777" w:rsidR="0015072B" w:rsidRDefault="0015072B" w:rsidP="00576648">
            <w:pPr>
              <w:jc w:val="left"/>
              <w:rPr>
                <w:rFonts w:ascii="Arial Narrow" w:hAnsi="Arial Narrow"/>
                <w:sz w:val="16"/>
                <w:szCs w:val="16"/>
              </w:rPr>
            </w:pPr>
            <w:r>
              <w:rPr>
                <w:rFonts w:ascii="Arial Narrow" w:hAnsi="Arial Narrow"/>
                <w:sz w:val="16"/>
                <w:szCs w:val="16"/>
              </w:rPr>
              <w:t>N=36</w:t>
            </w:r>
          </w:p>
        </w:tc>
        <w:tc>
          <w:tcPr>
            <w:tcW w:w="562" w:type="pct"/>
          </w:tcPr>
          <w:p w14:paraId="4BD64335" w14:textId="77777777" w:rsidR="0015072B" w:rsidRDefault="0015072B" w:rsidP="00576648">
            <w:pPr>
              <w:jc w:val="left"/>
              <w:rPr>
                <w:rFonts w:ascii="Arial Narrow" w:hAnsi="Arial Narrow"/>
                <w:sz w:val="16"/>
                <w:szCs w:val="16"/>
              </w:rPr>
            </w:pPr>
            <w:r w:rsidRPr="005801A9">
              <w:rPr>
                <w:rFonts w:ascii="Arial Narrow" w:hAnsi="Arial Narrow"/>
                <w:sz w:val="16"/>
                <w:szCs w:val="16"/>
              </w:rPr>
              <w:t xml:space="preserve">OR 8.33 </w:t>
            </w:r>
            <w:r>
              <w:rPr>
                <w:rFonts w:ascii="Arial Narrow" w:hAnsi="Arial Narrow"/>
                <w:sz w:val="16"/>
                <w:szCs w:val="16"/>
              </w:rPr>
              <w:br/>
            </w:r>
            <w:r w:rsidRPr="005801A9">
              <w:rPr>
                <w:rFonts w:ascii="Arial Narrow" w:hAnsi="Arial Narrow"/>
                <w:sz w:val="16"/>
                <w:szCs w:val="16"/>
              </w:rPr>
              <w:t>(1.47, 47.22)</w:t>
            </w:r>
          </w:p>
          <w:p w14:paraId="75DD14BF" w14:textId="77777777" w:rsidR="0015072B" w:rsidRDefault="0015072B" w:rsidP="00576648">
            <w:pPr>
              <w:jc w:val="left"/>
              <w:rPr>
                <w:rFonts w:ascii="Arial Narrow" w:hAnsi="Arial Narrow"/>
                <w:sz w:val="16"/>
                <w:szCs w:val="16"/>
              </w:rPr>
            </w:pPr>
            <w:r w:rsidRPr="005801A9">
              <w:rPr>
                <w:rFonts w:ascii="Arial Narrow" w:hAnsi="Arial Narrow"/>
                <w:sz w:val="16"/>
                <w:szCs w:val="16"/>
              </w:rPr>
              <w:t>p=0.01</w:t>
            </w:r>
          </w:p>
        </w:tc>
        <w:tc>
          <w:tcPr>
            <w:tcW w:w="460" w:type="pct"/>
          </w:tcPr>
          <w:p w14:paraId="3D71E1F1" w14:textId="77777777" w:rsidR="0015072B" w:rsidRPr="005801A9" w:rsidRDefault="0015072B" w:rsidP="00576648">
            <w:pPr>
              <w:jc w:val="left"/>
              <w:rPr>
                <w:rFonts w:ascii="Arial Narrow" w:hAnsi="Arial Narrow"/>
                <w:sz w:val="16"/>
                <w:szCs w:val="16"/>
              </w:rPr>
            </w:pPr>
            <w:r>
              <w:rPr>
                <w:rFonts w:ascii="Arial Narrow" w:hAnsi="Arial Narrow"/>
                <w:sz w:val="16"/>
                <w:szCs w:val="16"/>
              </w:rPr>
              <w:t>NA</w:t>
            </w:r>
          </w:p>
        </w:tc>
        <w:tc>
          <w:tcPr>
            <w:tcW w:w="408" w:type="pct"/>
            <w:hideMark/>
          </w:tcPr>
          <w:p w14:paraId="54F5AC72" w14:textId="77777777" w:rsidR="0015072B" w:rsidRPr="005801A9" w:rsidRDefault="0015072B" w:rsidP="00576648">
            <w:pPr>
              <w:jc w:val="left"/>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Pr="005801A9">
              <w:rPr>
                <w:rFonts w:ascii="Arial Narrow" w:hAnsi="Arial Narrow"/>
                <w:sz w:val="16"/>
                <w:szCs w:val="16"/>
              </w:rPr>
              <w:br/>
              <w:t xml:space="preserve">MODERATE </w:t>
            </w:r>
          </w:p>
        </w:tc>
        <w:tc>
          <w:tcPr>
            <w:tcW w:w="2347" w:type="pct"/>
          </w:tcPr>
          <w:p w14:paraId="6FE57FB5" w14:textId="77777777" w:rsidR="0015072B" w:rsidRDefault="0015072B" w:rsidP="007B5878">
            <w:pPr>
              <w:jc w:val="left"/>
              <w:rPr>
                <w:rFonts w:ascii="Arial Narrow" w:hAnsi="Arial Narrow"/>
                <w:sz w:val="16"/>
                <w:szCs w:val="16"/>
              </w:rPr>
            </w:pPr>
            <w:r>
              <w:rPr>
                <w:rFonts w:ascii="Arial Narrow" w:hAnsi="Arial Narrow"/>
                <w:sz w:val="16"/>
                <w:szCs w:val="16"/>
              </w:rPr>
              <w:t>The likelihood of failing to regain 20/20 vision for NMOSD patients with ON was much higher in those who received IVMP &gt;4 days from attack compared to &lt;4 days from attack. There was a very strong association between early treatment and better visual outcome.</w:t>
            </w:r>
            <w:r>
              <w:rPr>
                <w:rFonts w:ascii="Arial Narrow" w:hAnsi="Arial Narrow"/>
                <w:bCs/>
                <w:sz w:val="16"/>
                <w:szCs w:val="16"/>
              </w:rPr>
              <w:t xml:space="preserve"> There is moderate confidence that the effect is true.</w:t>
            </w:r>
          </w:p>
        </w:tc>
      </w:tr>
      <w:tr w:rsidR="0015072B" w:rsidRPr="005801A9" w14:paraId="086B4C49" w14:textId="77777777" w:rsidTr="006800EE">
        <w:trPr>
          <w:cantSplit/>
        </w:trPr>
        <w:tc>
          <w:tcPr>
            <w:tcW w:w="611" w:type="pct"/>
            <w:gridSpan w:val="2"/>
          </w:tcPr>
          <w:p w14:paraId="74BAAC22" w14:textId="77777777" w:rsidR="0015072B" w:rsidRDefault="0015072B" w:rsidP="00576648">
            <w:pPr>
              <w:jc w:val="left"/>
              <w:rPr>
                <w:rFonts w:ascii="Arial Narrow" w:hAnsi="Arial Narrow"/>
                <w:sz w:val="16"/>
                <w:szCs w:val="16"/>
              </w:rPr>
            </w:pPr>
            <w:r>
              <w:rPr>
                <w:rFonts w:ascii="Arial Narrow" w:hAnsi="Arial Narrow"/>
                <w:sz w:val="16"/>
                <w:szCs w:val="16"/>
              </w:rPr>
              <w:t>Impact of early diagnosis on disability in patients on any treatment (EDSS)</w:t>
            </w:r>
          </w:p>
        </w:tc>
        <w:tc>
          <w:tcPr>
            <w:tcW w:w="612" w:type="pct"/>
          </w:tcPr>
          <w:p w14:paraId="386A8319" w14:textId="77777777" w:rsidR="0015072B" w:rsidRDefault="0015072B" w:rsidP="00576648">
            <w:pPr>
              <w:jc w:val="left"/>
              <w:rPr>
                <w:rFonts w:ascii="Arial Narrow" w:hAnsi="Arial Narrow"/>
                <w:sz w:val="16"/>
                <w:szCs w:val="16"/>
              </w:rPr>
            </w:pPr>
            <w:r>
              <w:rPr>
                <w:rFonts w:ascii="Arial Narrow" w:hAnsi="Arial Narrow"/>
                <w:sz w:val="16"/>
                <w:szCs w:val="16"/>
              </w:rPr>
              <w:t>K=1 observational study</w:t>
            </w:r>
          </w:p>
          <w:p w14:paraId="69341B8A" w14:textId="77777777" w:rsidR="0015072B" w:rsidRDefault="0015072B" w:rsidP="00576648">
            <w:pPr>
              <w:jc w:val="left"/>
              <w:rPr>
                <w:rFonts w:ascii="Arial Narrow" w:hAnsi="Arial Narrow"/>
                <w:sz w:val="16"/>
                <w:szCs w:val="16"/>
              </w:rPr>
            </w:pPr>
            <w:r>
              <w:rPr>
                <w:rFonts w:ascii="Arial Narrow" w:hAnsi="Arial Narrow"/>
                <w:sz w:val="16"/>
                <w:szCs w:val="16"/>
              </w:rPr>
              <w:t>N=182</w:t>
            </w:r>
          </w:p>
        </w:tc>
        <w:tc>
          <w:tcPr>
            <w:tcW w:w="562" w:type="pct"/>
          </w:tcPr>
          <w:p w14:paraId="0F116596" w14:textId="77777777" w:rsidR="0015072B" w:rsidRPr="005801A9" w:rsidRDefault="0015072B" w:rsidP="00576648">
            <w:pPr>
              <w:jc w:val="left"/>
              <w:rPr>
                <w:rFonts w:ascii="Arial Narrow" w:hAnsi="Arial Narrow"/>
                <w:sz w:val="16"/>
                <w:szCs w:val="16"/>
              </w:rPr>
            </w:pPr>
            <w:r>
              <w:rPr>
                <w:rFonts w:ascii="Arial Narrow" w:hAnsi="Arial Narrow"/>
                <w:sz w:val="16"/>
                <w:szCs w:val="16"/>
              </w:rPr>
              <w:t>NA</w:t>
            </w:r>
          </w:p>
        </w:tc>
        <w:tc>
          <w:tcPr>
            <w:tcW w:w="460" w:type="pct"/>
          </w:tcPr>
          <w:p w14:paraId="2972E6E9" w14:textId="77777777" w:rsidR="0015072B" w:rsidRDefault="0015072B" w:rsidP="00576648">
            <w:pPr>
              <w:jc w:val="left"/>
              <w:rPr>
                <w:rFonts w:ascii="Arial Narrow" w:hAnsi="Arial Narrow"/>
                <w:sz w:val="16"/>
                <w:szCs w:val="16"/>
              </w:rPr>
            </w:pPr>
            <w:r>
              <w:rPr>
                <w:rFonts w:ascii="Arial Narrow" w:hAnsi="Arial Narrow"/>
                <w:sz w:val="16"/>
                <w:szCs w:val="16"/>
              </w:rPr>
              <w:t>(0.02, 0.15)</w:t>
            </w:r>
          </w:p>
          <w:p w14:paraId="3811540F" w14:textId="77777777" w:rsidR="0015072B" w:rsidRDefault="0015072B" w:rsidP="00576648">
            <w:pPr>
              <w:jc w:val="left"/>
              <w:rPr>
                <w:rFonts w:ascii="Arial Narrow" w:hAnsi="Arial Narrow"/>
                <w:sz w:val="16"/>
                <w:szCs w:val="16"/>
              </w:rPr>
            </w:pPr>
            <w:r>
              <w:rPr>
                <w:rFonts w:ascii="Arial Narrow" w:hAnsi="Arial Narrow"/>
                <w:sz w:val="16"/>
                <w:szCs w:val="16"/>
              </w:rPr>
              <w:t>P=0.006</w:t>
            </w:r>
          </w:p>
        </w:tc>
        <w:tc>
          <w:tcPr>
            <w:tcW w:w="408" w:type="pct"/>
          </w:tcPr>
          <w:p w14:paraId="0BD28E02" w14:textId="77777777" w:rsidR="0015072B" w:rsidRPr="00D4733A" w:rsidRDefault="0015072B" w:rsidP="00576648">
            <w:pPr>
              <w:jc w:val="left"/>
              <w:rPr>
                <w:rFonts w:ascii="Cambria Math" w:hAnsi="Cambria Math"/>
                <w:color w:val="00B050"/>
              </w:rPr>
            </w:pPr>
            <w:r>
              <w:rPr>
                <w:rFonts w:ascii="Cambria Math" w:hAnsi="Cambria Math"/>
                <w:color w:val="00B050"/>
              </w:rPr>
              <w:t>⨁⨁</w:t>
            </w:r>
            <w:r w:rsidRPr="00D4733A">
              <w:rPr>
                <w:rFonts w:ascii="Cambria Math" w:hAnsi="Cambria Math" w:cs="Cambria Math"/>
                <w:color w:val="C00000"/>
              </w:rPr>
              <w:t>⨀⨀</w:t>
            </w:r>
            <w:r w:rsidRPr="005801A9">
              <w:rPr>
                <w:rFonts w:ascii="Arial Narrow" w:hAnsi="Arial Narrow"/>
                <w:sz w:val="16"/>
                <w:szCs w:val="16"/>
              </w:rPr>
              <w:br/>
              <w:t>LOW</w:t>
            </w:r>
          </w:p>
        </w:tc>
        <w:tc>
          <w:tcPr>
            <w:tcW w:w="2347" w:type="pct"/>
          </w:tcPr>
          <w:p w14:paraId="279E8BF0" w14:textId="794786A0" w:rsidR="0015072B" w:rsidRDefault="0015072B" w:rsidP="007A799E">
            <w:pPr>
              <w:jc w:val="left"/>
              <w:rPr>
                <w:rFonts w:ascii="Arial Narrow" w:hAnsi="Arial Narrow"/>
                <w:sz w:val="16"/>
                <w:szCs w:val="16"/>
              </w:rPr>
            </w:pPr>
            <w:r>
              <w:rPr>
                <w:rFonts w:ascii="Arial Narrow" w:hAnsi="Arial Narrow"/>
                <w:sz w:val="16"/>
                <w:szCs w:val="16"/>
              </w:rPr>
              <w:t xml:space="preserve">There was less disability at follow-up in patients with early </w:t>
            </w:r>
            <w:r w:rsidR="00843D5B">
              <w:rPr>
                <w:rFonts w:ascii="Arial Narrow" w:hAnsi="Arial Narrow"/>
                <w:sz w:val="16"/>
                <w:szCs w:val="16"/>
              </w:rPr>
              <w:t xml:space="preserve">diagnosis </w:t>
            </w:r>
            <w:r>
              <w:rPr>
                <w:rFonts w:ascii="Arial Narrow" w:hAnsi="Arial Narrow"/>
                <w:sz w:val="16"/>
                <w:szCs w:val="16"/>
              </w:rPr>
              <w:t>compared with late diagnosis when measured with EDSS. There was a strong association between early diagnosis and better outcome. Due to risk of bias, there is low confidence in the effect.</w:t>
            </w:r>
          </w:p>
        </w:tc>
      </w:tr>
      <w:tr w:rsidR="00576648" w:rsidRPr="00576648" w14:paraId="7AA3DED5" w14:textId="77777777" w:rsidTr="006800EE">
        <w:trPr>
          <w:cantSplit/>
        </w:trPr>
        <w:tc>
          <w:tcPr>
            <w:tcW w:w="5000" w:type="pct"/>
            <w:gridSpan w:val="7"/>
          </w:tcPr>
          <w:p w14:paraId="175A34AF" w14:textId="77777777" w:rsidR="00576648" w:rsidRPr="00576648" w:rsidRDefault="00576648" w:rsidP="00576648">
            <w:pPr>
              <w:keepNext/>
              <w:keepLines/>
              <w:rPr>
                <w:rFonts w:ascii="Arial Narrow" w:hAnsi="Arial Narrow"/>
                <w:b/>
                <w:sz w:val="16"/>
                <w:szCs w:val="16"/>
                <w:lang w:val="en"/>
              </w:rPr>
            </w:pPr>
            <w:r w:rsidRPr="00576648">
              <w:rPr>
                <w:rFonts w:ascii="Arial Narrow" w:hAnsi="Arial Narrow"/>
                <w:b/>
                <w:sz w:val="16"/>
                <w:szCs w:val="16"/>
                <w:lang w:val="en"/>
              </w:rPr>
              <w:lastRenderedPageBreak/>
              <w:t>NMSDO specific treatment compared to MS treatments for NMOSD patients</w:t>
            </w:r>
          </w:p>
        </w:tc>
      </w:tr>
      <w:tr w:rsidR="0015072B" w:rsidRPr="00EA5BA8" w14:paraId="62FAE03C" w14:textId="77777777" w:rsidTr="006800EE">
        <w:trPr>
          <w:cantSplit/>
        </w:trPr>
        <w:tc>
          <w:tcPr>
            <w:tcW w:w="611" w:type="pct"/>
            <w:gridSpan w:val="2"/>
          </w:tcPr>
          <w:p w14:paraId="7BA89998" w14:textId="77777777" w:rsidR="0015072B" w:rsidRDefault="0015072B" w:rsidP="00030238">
            <w:pPr>
              <w:keepNext/>
              <w:keepLines/>
              <w:jc w:val="left"/>
              <w:rPr>
                <w:rFonts w:ascii="Arial Narrow" w:hAnsi="Arial Narrow"/>
                <w:sz w:val="16"/>
                <w:szCs w:val="16"/>
              </w:rPr>
            </w:pPr>
            <w:r>
              <w:rPr>
                <w:rFonts w:ascii="Arial Narrow" w:hAnsi="Arial Narrow"/>
                <w:sz w:val="16"/>
                <w:szCs w:val="16"/>
              </w:rPr>
              <w:t>Likelihood of attack (RTX or interferon beta)</w:t>
            </w:r>
          </w:p>
        </w:tc>
        <w:tc>
          <w:tcPr>
            <w:tcW w:w="612" w:type="pct"/>
          </w:tcPr>
          <w:p w14:paraId="0E19651E" w14:textId="77777777" w:rsidR="0015072B" w:rsidRDefault="0015072B" w:rsidP="00576648">
            <w:pPr>
              <w:keepNext/>
              <w:keepLines/>
              <w:rPr>
                <w:rFonts w:ascii="Arial Narrow" w:hAnsi="Arial Narrow"/>
                <w:sz w:val="16"/>
                <w:szCs w:val="16"/>
              </w:rPr>
            </w:pPr>
            <w:r>
              <w:rPr>
                <w:rFonts w:ascii="Arial Narrow" w:hAnsi="Arial Narrow"/>
                <w:sz w:val="16"/>
                <w:szCs w:val="16"/>
              </w:rPr>
              <w:t>K=1 observational study</w:t>
            </w:r>
          </w:p>
          <w:p w14:paraId="7F48DDFA" w14:textId="77777777" w:rsidR="0015072B" w:rsidRDefault="0015072B" w:rsidP="009B5B1C">
            <w:pPr>
              <w:keepNext/>
              <w:keepLines/>
              <w:rPr>
                <w:rFonts w:ascii="Arial Narrow" w:hAnsi="Arial Narrow"/>
                <w:sz w:val="16"/>
                <w:szCs w:val="16"/>
              </w:rPr>
            </w:pPr>
            <w:r>
              <w:rPr>
                <w:rFonts w:ascii="Arial Narrow" w:hAnsi="Arial Narrow"/>
                <w:sz w:val="16"/>
                <w:szCs w:val="16"/>
              </w:rPr>
              <w:t>N=95</w:t>
            </w:r>
          </w:p>
        </w:tc>
        <w:tc>
          <w:tcPr>
            <w:tcW w:w="562" w:type="pct"/>
          </w:tcPr>
          <w:p w14:paraId="2978B4DC" w14:textId="77777777" w:rsidR="0015072B" w:rsidRPr="00576648" w:rsidRDefault="0015072B" w:rsidP="00576648">
            <w:pPr>
              <w:keepNext/>
              <w:keepLines/>
              <w:jc w:val="left"/>
              <w:rPr>
                <w:rFonts w:ascii="Arial Narrow" w:hAnsi="Arial Narrow"/>
                <w:sz w:val="16"/>
                <w:szCs w:val="16"/>
              </w:rPr>
            </w:pPr>
            <w:r w:rsidRPr="00576648">
              <w:rPr>
                <w:rFonts w:ascii="Arial Narrow" w:hAnsi="Arial Narrow"/>
                <w:sz w:val="16"/>
                <w:szCs w:val="16"/>
              </w:rPr>
              <w:t>HR 0.6 (0.4, 1)</w:t>
            </w:r>
          </w:p>
          <w:p w14:paraId="16BF2B46" w14:textId="77777777" w:rsidR="0015072B" w:rsidRPr="00EA5BA8" w:rsidRDefault="0015072B" w:rsidP="00576648">
            <w:pPr>
              <w:keepNext/>
              <w:keepLines/>
              <w:jc w:val="left"/>
              <w:rPr>
                <w:rFonts w:ascii="Arial Narrow" w:hAnsi="Arial Narrow"/>
                <w:sz w:val="16"/>
                <w:szCs w:val="16"/>
              </w:rPr>
            </w:pPr>
            <w:r w:rsidRPr="00576648">
              <w:rPr>
                <w:rFonts w:ascii="Arial Narrow" w:hAnsi="Arial Narrow"/>
                <w:sz w:val="16"/>
                <w:szCs w:val="16"/>
              </w:rPr>
              <w:t>p=0.034</w:t>
            </w:r>
          </w:p>
        </w:tc>
        <w:tc>
          <w:tcPr>
            <w:tcW w:w="460" w:type="pct"/>
          </w:tcPr>
          <w:p w14:paraId="3EEBDD9E" w14:textId="77777777" w:rsidR="0015072B" w:rsidRPr="00EA5BA8" w:rsidRDefault="0015072B" w:rsidP="00576648">
            <w:pPr>
              <w:keepNext/>
              <w:keepLines/>
              <w:jc w:val="left"/>
              <w:rPr>
                <w:rFonts w:ascii="Arial Narrow" w:hAnsi="Arial Narrow"/>
                <w:sz w:val="16"/>
                <w:szCs w:val="16"/>
              </w:rPr>
            </w:pPr>
            <w:r>
              <w:rPr>
                <w:rFonts w:ascii="Arial Narrow" w:hAnsi="Arial Narrow"/>
                <w:sz w:val="16"/>
                <w:szCs w:val="16"/>
              </w:rPr>
              <w:t>NA</w:t>
            </w:r>
          </w:p>
        </w:tc>
        <w:tc>
          <w:tcPr>
            <w:tcW w:w="408" w:type="pct"/>
            <w:hideMark/>
          </w:tcPr>
          <w:p w14:paraId="79A1D149" w14:textId="77777777" w:rsidR="0015072B" w:rsidRPr="00EA5BA8" w:rsidRDefault="0015072B" w:rsidP="00576648">
            <w:pPr>
              <w:keepNext/>
              <w:keepLines/>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Pr="00EA5BA8">
              <w:rPr>
                <w:rFonts w:ascii="Arial Narrow" w:hAnsi="Arial Narrow"/>
                <w:sz w:val="16"/>
                <w:szCs w:val="16"/>
              </w:rPr>
              <w:br/>
              <w:t xml:space="preserve">LOW </w:t>
            </w:r>
          </w:p>
        </w:tc>
        <w:tc>
          <w:tcPr>
            <w:tcW w:w="2347" w:type="pct"/>
          </w:tcPr>
          <w:p w14:paraId="4FE6C405" w14:textId="77777777" w:rsidR="0015072B" w:rsidRDefault="0015072B" w:rsidP="00030238">
            <w:pPr>
              <w:keepNext/>
              <w:keepLines/>
              <w:rPr>
                <w:rFonts w:ascii="Arial Narrow" w:hAnsi="Arial Narrow"/>
                <w:sz w:val="16"/>
                <w:szCs w:val="16"/>
              </w:rPr>
            </w:pPr>
            <w:r>
              <w:rPr>
                <w:rFonts w:ascii="Arial Narrow" w:hAnsi="Arial Narrow"/>
                <w:sz w:val="16"/>
                <w:szCs w:val="16"/>
              </w:rPr>
              <w:t xml:space="preserve">The likelihood of attack was lower in NMOSD patients who received RTX compared to those who received standard MS treatment (interferon beta). There was a strong association between RTX therapy and better outcome. Due to risk of bias, there is low confidence in the effect. </w:t>
            </w:r>
          </w:p>
        </w:tc>
      </w:tr>
      <w:tr w:rsidR="0015072B" w:rsidRPr="00EA5BA8" w14:paraId="25D6959C" w14:textId="77777777" w:rsidTr="006800EE">
        <w:trPr>
          <w:cantSplit/>
        </w:trPr>
        <w:tc>
          <w:tcPr>
            <w:tcW w:w="611" w:type="pct"/>
            <w:gridSpan w:val="2"/>
          </w:tcPr>
          <w:p w14:paraId="4D7957A1" w14:textId="77777777" w:rsidR="0015072B" w:rsidRDefault="0015072B" w:rsidP="00030238">
            <w:pPr>
              <w:jc w:val="left"/>
              <w:rPr>
                <w:rFonts w:ascii="Arial Narrow" w:hAnsi="Arial Narrow"/>
                <w:sz w:val="16"/>
                <w:szCs w:val="16"/>
              </w:rPr>
            </w:pPr>
            <w:r>
              <w:rPr>
                <w:rFonts w:ascii="Arial Narrow" w:hAnsi="Arial Narrow"/>
                <w:sz w:val="16"/>
                <w:szCs w:val="16"/>
              </w:rPr>
              <w:t>Likelihood of attack (AZA or interferon beta)</w:t>
            </w:r>
          </w:p>
        </w:tc>
        <w:tc>
          <w:tcPr>
            <w:tcW w:w="612" w:type="pct"/>
          </w:tcPr>
          <w:p w14:paraId="4323A2AA" w14:textId="77777777" w:rsidR="0015072B" w:rsidRDefault="0015072B" w:rsidP="00576648">
            <w:pPr>
              <w:rPr>
                <w:rFonts w:ascii="Arial Narrow" w:hAnsi="Arial Narrow"/>
                <w:sz w:val="16"/>
                <w:szCs w:val="16"/>
              </w:rPr>
            </w:pPr>
            <w:r>
              <w:rPr>
                <w:rFonts w:ascii="Arial Narrow" w:hAnsi="Arial Narrow"/>
                <w:sz w:val="16"/>
                <w:szCs w:val="16"/>
              </w:rPr>
              <w:t>K=1 observational study</w:t>
            </w:r>
          </w:p>
          <w:p w14:paraId="4924322B" w14:textId="77777777" w:rsidR="0015072B" w:rsidRDefault="0015072B" w:rsidP="009B5B1C">
            <w:pPr>
              <w:rPr>
                <w:rFonts w:ascii="Arial Narrow" w:hAnsi="Arial Narrow"/>
                <w:sz w:val="16"/>
                <w:szCs w:val="16"/>
              </w:rPr>
            </w:pPr>
            <w:r>
              <w:rPr>
                <w:rFonts w:ascii="Arial Narrow" w:hAnsi="Arial Narrow"/>
                <w:sz w:val="16"/>
                <w:szCs w:val="16"/>
              </w:rPr>
              <w:t>N=76</w:t>
            </w:r>
          </w:p>
        </w:tc>
        <w:tc>
          <w:tcPr>
            <w:tcW w:w="562" w:type="pct"/>
          </w:tcPr>
          <w:p w14:paraId="0CA5705E" w14:textId="77777777" w:rsidR="0015072B" w:rsidRDefault="0015072B" w:rsidP="00576648">
            <w:pPr>
              <w:jc w:val="left"/>
              <w:rPr>
                <w:rFonts w:ascii="Arial Narrow" w:hAnsi="Arial Narrow"/>
                <w:sz w:val="16"/>
                <w:szCs w:val="16"/>
              </w:rPr>
            </w:pPr>
            <w:r>
              <w:rPr>
                <w:rFonts w:ascii="Arial Narrow" w:hAnsi="Arial Narrow"/>
                <w:sz w:val="16"/>
                <w:szCs w:val="16"/>
              </w:rPr>
              <w:t>HR 0.4 (</w:t>
            </w:r>
            <w:r w:rsidRPr="00EA5BA8">
              <w:rPr>
                <w:rFonts w:ascii="Arial Narrow" w:hAnsi="Arial Narrow"/>
                <w:sz w:val="16"/>
                <w:szCs w:val="16"/>
              </w:rPr>
              <w:t>0.3, 0.7)</w:t>
            </w:r>
          </w:p>
          <w:p w14:paraId="41D48A55" w14:textId="77777777" w:rsidR="0015072B" w:rsidRDefault="0015072B" w:rsidP="00576648">
            <w:pPr>
              <w:jc w:val="left"/>
              <w:rPr>
                <w:rFonts w:ascii="Arial Narrow" w:hAnsi="Arial Narrow"/>
                <w:sz w:val="16"/>
                <w:szCs w:val="16"/>
              </w:rPr>
            </w:pPr>
            <w:r w:rsidRPr="00EA5BA8">
              <w:rPr>
                <w:rFonts w:ascii="Arial Narrow" w:hAnsi="Arial Narrow"/>
                <w:sz w:val="16"/>
                <w:szCs w:val="16"/>
              </w:rPr>
              <w:t>p=0.001</w:t>
            </w:r>
          </w:p>
        </w:tc>
        <w:tc>
          <w:tcPr>
            <w:tcW w:w="460" w:type="pct"/>
          </w:tcPr>
          <w:p w14:paraId="11CBC3F6" w14:textId="77777777" w:rsidR="0015072B" w:rsidRPr="00EA5BA8" w:rsidRDefault="0015072B" w:rsidP="00576648">
            <w:pPr>
              <w:jc w:val="left"/>
              <w:rPr>
                <w:rFonts w:ascii="Arial Narrow" w:hAnsi="Arial Narrow"/>
                <w:sz w:val="16"/>
                <w:szCs w:val="16"/>
              </w:rPr>
            </w:pPr>
            <w:r>
              <w:rPr>
                <w:rFonts w:ascii="Arial Narrow" w:hAnsi="Arial Narrow"/>
                <w:sz w:val="16"/>
                <w:szCs w:val="16"/>
              </w:rPr>
              <w:t>NA</w:t>
            </w:r>
          </w:p>
        </w:tc>
        <w:tc>
          <w:tcPr>
            <w:tcW w:w="408" w:type="pct"/>
            <w:hideMark/>
          </w:tcPr>
          <w:p w14:paraId="5129691E" w14:textId="77777777" w:rsidR="0015072B" w:rsidRPr="00EA5BA8" w:rsidRDefault="0015072B" w:rsidP="00576648">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Pr="00EA5BA8">
              <w:rPr>
                <w:rFonts w:ascii="Arial Narrow" w:hAnsi="Arial Narrow"/>
                <w:sz w:val="16"/>
                <w:szCs w:val="16"/>
              </w:rPr>
              <w:br/>
              <w:t xml:space="preserve">LOW </w:t>
            </w:r>
          </w:p>
        </w:tc>
        <w:tc>
          <w:tcPr>
            <w:tcW w:w="2347" w:type="pct"/>
          </w:tcPr>
          <w:p w14:paraId="3CB278F1" w14:textId="77777777" w:rsidR="0015072B" w:rsidRDefault="0015072B" w:rsidP="00030238">
            <w:pPr>
              <w:rPr>
                <w:rFonts w:ascii="Arial Narrow" w:hAnsi="Arial Narrow"/>
                <w:sz w:val="16"/>
                <w:szCs w:val="16"/>
              </w:rPr>
            </w:pPr>
            <w:r>
              <w:rPr>
                <w:rFonts w:ascii="Arial Narrow" w:hAnsi="Arial Narrow"/>
                <w:sz w:val="16"/>
                <w:szCs w:val="16"/>
              </w:rPr>
              <w:t>The likelihood of attack was lower in NMOSD patients who received AZA compared to those who received standard MS treatment (interferon beta). There was a strong association between RTX therapy and better outcome. Due to risk of bias, there is low confidence in the effect.</w:t>
            </w:r>
          </w:p>
        </w:tc>
      </w:tr>
      <w:tr w:rsidR="00576648" w:rsidRPr="00EA5BA8" w14:paraId="23984B51" w14:textId="77777777" w:rsidTr="006800EE">
        <w:trPr>
          <w:cantSplit/>
        </w:trPr>
        <w:tc>
          <w:tcPr>
            <w:tcW w:w="5000" w:type="pct"/>
            <w:gridSpan w:val="7"/>
          </w:tcPr>
          <w:p w14:paraId="34365644" w14:textId="77777777" w:rsidR="00576648" w:rsidRDefault="00576648" w:rsidP="00576648">
            <w:pPr>
              <w:rPr>
                <w:rFonts w:ascii="Arial Narrow" w:hAnsi="Arial Narrow"/>
                <w:sz w:val="16"/>
                <w:szCs w:val="16"/>
              </w:rPr>
            </w:pPr>
            <w:r w:rsidRPr="001E36E9">
              <w:rPr>
                <w:rFonts w:ascii="Arial Narrow" w:hAnsi="Arial Narrow" w:cs="Times New Roman"/>
                <w:b/>
                <w:color w:val="000000"/>
                <w:sz w:val="16"/>
                <w:szCs w:val="16"/>
                <w:lang w:val="en"/>
              </w:rPr>
              <w:t>Effectiveness of treatment on NMOSD patients</w:t>
            </w:r>
          </w:p>
        </w:tc>
      </w:tr>
      <w:tr w:rsidR="0015072B" w:rsidRPr="000E65B7" w14:paraId="6766B9BB" w14:textId="77777777" w:rsidTr="006800EE">
        <w:trPr>
          <w:cantSplit/>
        </w:trPr>
        <w:tc>
          <w:tcPr>
            <w:tcW w:w="558" w:type="pct"/>
          </w:tcPr>
          <w:p w14:paraId="248E2963" w14:textId="77777777" w:rsidR="0015072B" w:rsidRDefault="0015072B" w:rsidP="00576648">
            <w:pPr>
              <w:jc w:val="left"/>
              <w:rPr>
                <w:rFonts w:ascii="Arial Narrow" w:hAnsi="Arial Narrow" w:cs="Times New Roman"/>
                <w:sz w:val="16"/>
                <w:szCs w:val="16"/>
              </w:rPr>
            </w:pPr>
            <w:r>
              <w:rPr>
                <w:rFonts w:ascii="Arial Narrow" w:hAnsi="Arial Narrow" w:cs="Times New Roman"/>
                <w:sz w:val="16"/>
                <w:szCs w:val="16"/>
              </w:rPr>
              <w:t>PLEX compared with no PLEX (change in EDSS)</w:t>
            </w:r>
          </w:p>
        </w:tc>
        <w:tc>
          <w:tcPr>
            <w:tcW w:w="666" w:type="pct"/>
            <w:gridSpan w:val="2"/>
          </w:tcPr>
          <w:p w14:paraId="7CD66EF6" w14:textId="77777777" w:rsidR="0015072B" w:rsidRDefault="0015072B" w:rsidP="00576648">
            <w:pPr>
              <w:jc w:val="left"/>
              <w:rPr>
                <w:rFonts w:ascii="Arial Narrow" w:hAnsi="Arial Narrow" w:cs="Times New Roman"/>
                <w:sz w:val="16"/>
                <w:szCs w:val="16"/>
              </w:rPr>
            </w:pPr>
            <w:r>
              <w:rPr>
                <w:rFonts w:ascii="Arial Narrow" w:hAnsi="Arial Narrow" w:cs="Times New Roman"/>
                <w:sz w:val="16"/>
                <w:szCs w:val="16"/>
              </w:rPr>
              <w:t>K=1 observational study</w:t>
            </w:r>
          </w:p>
          <w:p w14:paraId="496BD5D1" w14:textId="77777777" w:rsidR="0015072B" w:rsidRPr="000E65B7" w:rsidRDefault="0015072B" w:rsidP="00576648">
            <w:pPr>
              <w:jc w:val="left"/>
              <w:rPr>
                <w:rFonts w:ascii="Arial Narrow" w:hAnsi="Arial Narrow" w:cs="Times New Roman"/>
                <w:sz w:val="16"/>
                <w:szCs w:val="16"/>
              </w:rPr>
            </w:pPr>
            <w:r>
              <w:rPr>
                <w:rFonts w:ascii="Arial Narrow" w:hAnsi="Arial Narrow" w:cs="Times New Roman"/>
                <w:sz w:val="16"/>
                <w:szCs w:val="16"/>
              </w:rPr>
              <w:t>N=96</w:t>
            </w:r>
          </w:p>
        </w:tc>
        <w:tc>
          <w:tcPr>
            <w:tcW w:w="562" w:type="pct"/>
          </w:tcPr>
          <w:p w14:paraId="48F695E8" w14:textId="77777777" w:rsidR="0015072B" w:rsidRPr="000E65B7" w:rsidRDefault="0015072B" w:rsidP="00576648">
            <w:pPr>
              <w:jc w:val="left"/>
              <w:rPr>
                <w:rFonts w:ascii="Arial Narrow" w:hAnsi="Arial Narrow" w:cs="Times New Roman"/>
                <w:sz w:val="16"/>
                <w:szCs w:val="16"/>
              </w:rPr>
            </w:pPr>
            <w:r>
              <w:rPr>
                <w:rFonts w:ascii="Arial Narrow" w:hAnsi="Arial Narrow" w:cs="Times New Roman"/>
                <w:sz w:val="16"/>
                <w:szCs w:val="16"/>
              </w:rPr>
              <w:t>NA</w:t>
            </w:r>
          </w:p>
        </w:tc>
        <w:tc>
          <w:tcPr>
            <w:tcW w:w="460" w:type="pct"/>
          </w:tcPr>
          <w:p w14:paraId="36E1BD19" w14:textId="77777777" w:rsidR="0015072B" w:rsidRPr="000E65B7" w:rsidRDefault="0015072B" w:rsidP="00576648">
            <w:pPr>
              <w:jc w:val="left"/>
              <w:rPr>
                <w:rFonts w:ascii="Arial Narrow" w:hAnsi="Arial Narrow" w:cs="Times New Roman"/>
                <w:sz w:val="16"/>
                <w:szCs w:val="16"/>
              </w:rPr>
            </w:pPr>
            <w:r>
              <w:rPr>
                <w:rFonts w:ascii="Arial Narrow" w:hAnsi="Arial Narrow" w:cs="Times New Roman"/>
                <w:sz w:val="16"/>
                <w:szCs w:val="16"/>
              </w:rPr>
              <w:t>P&lt;0.01</w:t>
            </w:r>
          </w:p>
        </w:tc>
        <w:tc>
          <w:tcPr>
            <w:tcW w:w="408" w:type="pct"/>
            <w:hideMark/>
          </w:tcPr>
          <w:p w14:paraId="0D203D6E" w14:textId="77777777" w:rsidR="0015072B" w:rsidRPr="000E65B7" w:rsidRDefault="0015072B" w:rsidP="00576648">
            <w:pPr>
              <w:jc w:val="left"/>
              <w:rPr>
                <w:rFonts w:ascii="Arial Narrow" w:hAnsi="Arial Narrow" w:cs="Times New Roman"/>
                <w:sz w:val="16"/>
                <w:szCs w:val="16"/>
              </w:rPr>
            </w:pPr>
            <w:r>
              <w:rPr>
                <w:rFonts w:ascii="Cambria Math" w:hAnsi="Cambria Math"/>
                <w:color w:val="00B050"/>
              </w:rPr>
              <w:t>⨁⨁</w:t>
            </w:r>
            <w:r w:rsidRPr="00D4733A">
              <w:rPr>
                <w:rFonts w:ascii="Cambria Math" w:hAnsi="Cambria Math" w:cs="Cambria Math"/>
                <w:color w:val="C00000"/>
              </w:rPr>
              <w:t>⨀⨀</w:t>
            </w:r>
            <w:r w:rsidRPr="000E65B7">
              <w:rPr>
                <w:rFonts w:ascii="Arial Narrow" w:hAnsi="Arial Narrow" w:cs="Times New Roman"/>
                <w:sz w:val="16"/>
                <w:szCs w:val="16"/>
              </w:rPr>
              <w:br/>
              <w:t xml:space="preserve">LOW </w:t>
            </w:r>
          </w:p>
        </w:tc>
        <w:tc>
          <w:tcPr>
            <w:tcW w:w="2347" w:type="pct"/>
          </w:tcPr>
          <w:p w14:paraId="28E1542B" w14:textId="77777777" w:rsidR="0015072B" w:rsidRDefault="0015072B" w:rsidP="00561A38">
            <w:pPr>
              <w:jc w:val="left"/>
              <w:rPr>
                <w:rFonts w:ascii="Arial Narrow" w:hAnsi="Arial Narrow" w:cs="Times New Roman"/>
                <w:sz w:val="16"/>
                <w:szCs w:val="16"/>
              </w:rPr>
            </w:pPr>
            <w:r>
              <w:rPr>
                <w:rFonts w:ascii="Arial Narrow" w:hAnsi="Arial Narrow" w:cs="Times New Roman"/>
                <w:sz w:val="16"/>
                <w:szCs w:val="16"/>
              </w:rPr>
              <w:t>NMOSD patients who received PLEX had less deterioration (measured by change in EDSS; 1.22±1.6) than those who received standard therapies alone (2.6±2.4).</w:t>
            </w:r>
            <w:r>
              <w:rPr>
                <w:rFonts w:ascii="Arial Narrow" w:hAnsi="Arial Narrow"/>
                <w:sz w:val="16"/>
                <w:szCs w:val="16"/>
              </w:rPr>
              <w:t xml:space="preserve"> There was a strong association between PLEX therapy and better outcome. Due to risk of bias, there is low confidence in the effect.</w:t>
            </w:r>
            <w:r>
              <w:rPr>
                <w:rFonts w:ascii="Arial Narrow" w:hAnsi="Arial Narrow" w:cs="Times New Roman"/>
                <w:sz w:val="16"/>
                <w:szCs w:val="16"/>
              </w:rPr>
              <w:t xml:space="preserve"> </w:t>
            </w:r>
          </w:p>
        </w:tc>
      </w:tr>
      <w:tr w:rsidR="0015072B" w:rsidRPr="000E65B7" w14:paraId="44F75219" w14:textId="77777777" w:rsidTr="006800EE">
        <w:trPr>
          <w:cantSplit/>
        </w:trPr>
        <w:tc>
          <w:tcPr>
            <w:tcW w:w="558" w:type="pct"/>
          </w:tcPr>
          <w:p w14:paraId="6AF0190B" w14:textId="77777777" w:rsidR="0015072B" w:rsidRDefault="0015072B" w:rsidP="00576648">
            <w:pPr>
              <w:jc w:val="left"/>
              <w:rPr>
                <w:rFonts w:ascii="Arial Narrow" w:hAnsi="Arial Narrow"/>
                <w:sz w:val="16"/>
                <w:szCs w:val="16"/>
              </w:rPr>
            </w:pPr>
            <w:r>
              <w:rPr>
                <w:rFonts w:ascii="Arial Narrow" w:hAnsi="Arial Narrow"/>
                <w:sz w:val="16"/>
                <w:szCs w:val="16"/>
              </w:rPr>
              <w:t>RTX compared with no RTX (weighted mean difference in EDSS)</w:t>
            </w:r>
          </w:p>
        </w:tc>
        <w:tc>
          <w:tcPr>
            <w:tcW w:w="666" w:type="pct"/>
            <w:gridSpan w:val="2"/>
          </w:tcPr>
          <w:p w14:paraId="17FD9A3C" w14:textId="77777777" w:rsidR="0015072B" w:rsidRDefault="0015072B" w:rsidP="00576648">
            <w:pPr>
              <w:jc w:val="left"/>
              <w:rPr>
                <w:rFonts w:ascii="Arial Narrow" w:hAnsi="Arial Narrow"/>
                <w:sz w:val="16"/>
                <w:szCs w:val="16"/>
              </w:rPr>
            </w:pPr>
            <w:r>
              <w:rPr>
                <w:rFonts w:ascii="Arial Narrow" w:hAnsi="Arial Narrow"/>
                <w:sz w:val="16"/>
                <w:szCs w:val="16"/>
              </w:rPr>
              <w:t>K=1 SR (22 observational studies)</w:t>
            </w:r>
          </w:p>
          <w:p w14:paraId="77129E2D" w14:textId="77777777" w:rsidR="0015072B" w:rsidRDefault="0015072B" w:rsidP="00576648">
            <w:pPr>
              <w:jc w:val="left"/>
              <w:rPr>
                <w:rFonts w:ascii="Arial Narrow" w:hAnsi="Arial Narrow"/>
                <w:sz w:val="16"/>
                <w:szCs w:val="16"/>
              </w:rPr>
            </w:pPr>
            <w:r>
              <w:rPr>
                <w:rFonts w:ascii="Arial Narrow" w:hAnsi="Arial Narrow"/>
                <w:sz w:val="16"/>
                <w:szCs w:val="16"/>
              </w:rPr>
              <w:t>N=NR</w:t>
            </w:r>
          </w:p>
        </w:tc>
        <w:tc>
          <w:tcPr>
            <w:tcW w:w="562" w:type="pct"/>
          </w:tcPr>
          <w:p w14:paraId="204B0EE6" w14:textId="77777777" w:rsidR="0015072B" w:rsidRPr="000E65B7" w:rsidRDefault="0015072B" w:rsidP="00576648">
            <w:pPr>
              <w:rPr>
                <w:rFonts w:ascii="Arial Narrow" w:hAnsi="Arial Narrow"/>
                <w:sz w:val="16"/>
                <w:szCs w:val="16"/>
              </w:rPr>
            </w:pPr>
            <w:r>
              <w:rPr>
                <w:rFonts w:ascii="Arial Narrow" w:hAnsi="Arial Narrow"/>
                <w:sz w:val="16"/>
                <w:szCs w:val="16"/>
              </w:rPr>
              <w:t>NA</w:t>
            </w:r>
          </w:p>
        </w:tc>
        <w:tc>
          <w:tcPr>
            <w:tcW w:w="460" w:type="pct"/>
          </w:tcPr>
          <w:p w14:paraId="7A874C6B" w14:textId="77777777" w:rsidR="0015072B" w:rsidRDefault="0015072B" w:rsidP="00576648">
            <w:pPr>
              <w:jc w:val="left"/>
              <w:rPr>
                <w:rFonts w:ascii="Arial Narrow" w:hAnsi="Arial Narrow"/>
                <w:sz w:val="16"/>
                <w:szCs w:val="16"/>
              </w:rPr>
            </w:pPr>
            <w:r>
              <w:rPr>
                <w:rFonts w:ascii="Arial Narrow" w:hAnsi="Arial Narrow"/>
                <w:sz w:val="16"/>
                <w:szCs w:val="16"/>
              </w:rPr>
              <w:t xml:space="preserve">-1.16 </w:t>
            </w:r>
            <w:r>
              <w:rPr>
                <w:rFonts w:ascii="Arial Narrow" w:hAnsi="Arial Narrow"/>
                <w:sz w:val="16"/>
                <w:szCs w:val="16"/>
              </w:rPr>
              <w:br/>
              <w:t>(</w:t>
            </w:r>
            <w:r w:rsidRPr="000E65B7">
              <w:rPr>
                <w:rFonts w:ascii="Arial Narrow" w:hAnsi="Arial Narrow"/>
                <w:sz w:val="16"/>
                <w:szCs w:val="16"/>
              </w:rPr>
              <w:t>1.36, 0.96)</w:t>
            </w:r>
          </w:p>
          <w:p w14:paraId="338B8DEC" w14:textId="77777777" w:rsidR="0015072B" w:rsidRPr="000E65B7" w:rsidRDefault="0015072B" w:rsidP="00576648">
            <w:pPr>
              <w:jc w:val="left"/>
              <w:rPr>
                <w:rFonts w:ascii="Arial Narrow" w:hAnsi="Arial Narrow"/>
                <w:sz w:val="16"/>
                <w:szCs w:val="16"/>
              </w:rPr>
            </w:pPr>
            <w:r w:rsidRPr="000E65B7">
              <w:rPr>
                <w:rFonts w:ascii="Arial Narrow" w:hAnsi="Arial Narrow"/>
                <w:sz w:val="16"/>
                <w:szCs w:val="16"/>
              </w:rPr>
              <w:t>p&lt;0.0001</w:t>
            </w:r>
          </w:p>
        </w:tc>
        <w:tc>
          <w:tcPr>
            <w:tcW w:w="408" w:type="pct"/>
            <w:hideMark/>
          </w:tcPr>
          <w:p w14:paraId="0BD063B0" w14:textId="77777777" w:rsidR="0015072B" w:rsidRPr="000E65B7" w:rsidRDefault="0015072B" w:rsidP="00576648">
            <w:pPr>
              <w:jc w:val="left"/>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Pr="000E65B7">
              <w:rPr>
                <w:rFonts w:ascii="Arial Narrow" w:hAnsi="Arial Narrow"/>
                <w:sz w:val="16"/>
                <w:szCs w:val="16"/>
              </w:rPr>
              <w:br/>
            </w:r>
            <w:r w:rsidRPr="000E65B7">
              <w:rPr>
                <w:rStyle w:val="quality-text"/>
                <w:rFonts w:ascii="Arial Narrow" w:hAnsi="Arial Narrow"/>
                <w:sz w:val="16"/>
                <w:szCs w:val="16"/>
              </w:rPr>
              <w:t>MODERATE</w:t>
            </w:r>
            <w:r w:rsidRPr="000E65B7">
              <w:rPr>
                <w:rFonts w:ascii="Arial Narrow" w:hAnsi="Arial Narrow"/>
                <w:sz w:val="16"/>
                <w:szCs w:val="16"/>
              </w:rPr>
              <w:t xml:space="preserve"> </w:t>
            </w:r>
          </w:p>
        </w:tc>
        <w:tc>
          <w:tcPr>
            <w:tcW w:w="2347" w:type="pct"/>
          </w:tcPr>
          <w:p w14:paraId="548D1F51" w14:textId="77777777" w:rsidR="0015072B" w:rsidRDefault="0015072B" w:rsidP="00561A38">
            <w:pPr>
              <w:jc w:val="left"/>
              <w:rPr>
                <w:rFonts w:ascii="Arial Narrow" w:hAnsi="Arial Narrow"/>
                <w:sz w:val="16"/>
                <w:szCs w:val="16"/>
              </w:rPr>
            </w:pPr>
            <w:r>
              <w:rPr>
                <w:rFonts w:ascii="Arial Narrow" w:hAnsi="Arial Narrow" w:cs="Times New Roman"/>
                <w:sz w:val="16"/>
                <w:szCs w:val="16"/>
              </w:rPr>
              <w:t>NMOSD patients who received RTX had a better improvement (measured by weighted mean difference in EDSS) than those who received standard therapies alone.</w:t>
            </w:r>
            <w:r>
              <w:rPr>
                <w:rFonts w:ascii="Arial Narrow" w:hAnsi="Arial Narrow"/>
                <w:sz w:val="16"/>
                <w:szCs w:val="16"/>
              </w:rPr>
              <w:t xml:space="preserve"> There was a strong association between RTX therapy and better outcome, and moderate confidence that this is the true effect.</w:t>
            </w:r>
          </w:p>
        </w:tc>
      </w:tr>
      <w:tr w:rsidR="0015072B" w:rsidRPr="000E65B7" w14:paraId="19452F08" w14:textId="77777777" w:rsidTr="006800EE">
        <w:trPr>
          <w:cantSplit/>
        </w:trPr>
        <w:tc>
          <w:tcPr>
            <w:tcW w:w="558" w:type="pct"/>
          </w:tcPr>
          <w:p w14:paraId="5F156398" w14:textId="77777777" w:rsidR="0015072B" w:rsidRDefault="0015072B" w:rsidP="00576648">
            <w:pPr>
              <w:jc w:val="left"/>
              <w:rPr>
                <w:rFonts w:ascii="Arial Narrow" w:hAnsi="Arial Narrow"/>
                <w:sz w:val="16"/>
                <w:szCs w:val="16"/>
              </w:rPr>
            </w:pPr>
            <w:r>
              <w:rPr>
                <w:rFonts w:ascii="Arial Narrow" w:hAnsi="Arial Narrow"/>
                <w:sz w:val="16"/>
                <w:szCs w:val="16"/>
              </w:rPr>
              <w:t>RTX compared with no RTX (weighted mean difference in ARR)</w:t>
            </w:r>
          </w:p>
        </w:tc>
        <w:tc>
          <w:tcPr>
            <w:tcW w:w="666" w:type="pct"/>
            <w:gridSpan w:val="2"/>
          </w:tcPr>
          <w:p w14:paraId="529AA83E" w14:textId="77777777" w:rsidR="0015072B" w:rsidRDefault="0015072B" w:rsidP="00576648">
            <w:pPr>
              <w:jc w:val="left"/>
              <w:rPr>
                <w:rFonts w:ascii="Arial Narrow" w:hAnsi="Arial Narrow"/>
                <w:sz w:val="16"/>
                <w:szCs w:val="16"/>
              </w:rPr>
            </w:pPr>
            <w:r>
              <w:rPr>
                <w:rFonts w:ascii="Arial Narrow" w:hAnsi="Arial Narrow"/>
                <w:sz w:val="16"/>
                <w:szCs w:val="16"/>
              </w:rPr>
              <w:t>K=1 SR (18 observational studies)</w:t>
            </w:r>
          </w:p>
          <w:p w14:paraId="12352D31" w14:textId="77777777" w:rsidR="0015072B" w:rsidRDefault="0015072B" w:rsidP="00576648">
            <w:pPr>
              <w:jc w:val="left"/>
              <w:rPr>
                <w:rFonts w:ascii="Arial Narrow" w:hAnsi="Arial Narrow"/>
                <w:sz w:val="16"/>
                <w:szCs w:val="16"/>
              </w:rPr>
            </w:pPr>
            <w:r>
              <w:rPr>
                <w:rFonts w:ascii="Arial Narrow" w:hAnsi="Arial Narrow"/>
                <w:sz w:val="16"/>
                <w:szCs w:val="16"/>
              </w:rPr>
              <w:t>N=NR</w:t>
            </w:r>
          </w:p>
        </w:tc>
        <w:tc>
          <w:tcPr>
            <w:tcW w:w="562" w:type="pct"/>
          </w:tcPr>
          <w:p w14:paraId="1D135C09" w14:textId="77777777" w:rsidR="0015072B" w:rsidRPr="000E65B7" w:rsidRDefault="0015072B" w:rsidP="00576648">
            <w:pPr>
              <w:rPr>
                <w:rFonts w:ascii="Arial Narrow" w:hAnsi="Arial Narrow"/>
                <w:sz w:val="16"/>
                <w:szCs w:val="16"/>
              </w:rPr>
            </w:pPr>
            <w:r>
              <w:rPr>
                <w:rFonts w:ascii="Arial Narrow" w:hAnsi="Arial Narrow"/>
                <w:sz w:val="16"/>
                <w:szCs w:val="16"/>
              </w:rPr>
              <w:t>NA</w:t>
            </w:r>
          </w:p>
        </w:tc>
        <w:tc>
          <w:tcPr>
            <w:tcW w:w="460" w:type="pct"/>
          </w:tcPr>
          <w:p w14:paraId="0ABE97B2" w14:textId="77777777" w:rsidR="0015072B" w:rsidRDefault="0015072B" w:rsidP="00576648">
            <w:pPr>
              <w:jc w:val="left"/>
              <w:rPr>
                <w:rFonts w:ascii="Arial Narrow" w:hAnsi="Arial Narrow"/>
                <w:sz w:val="16"/>
                <w:szCs w:val="16"/>
              </w:rPr>
            </w:pPr>
            <w:r>
              <w:rPr>
                <w:rFonts w:ascii="Arial Narrow" w:hAnsi="Arial Narrow"/>
                <w:sz w:val="16"/>
                <w:szCs w:val="16"/>
              </w:rPr>
              <w:t xml:space="preserve">-1.56  </w:t>
            </w:r>
            <w:r>
              <w:rPr>
                <w:rFonts w:ascii="Arial Narrow" w:hAnsi="Arial Narrow"/>
                <w:sz w:val="16"/>
                <w:szCs w:val="16"/>
              </w:rPr>
              <w:br/>
              <w:t>(</w:t>
            </w:r>
            <w:r w:rsidRPr="000E65B7">
              <w:rPr>
                <w:rFonts w:ascii="Arial Narrow" w:hAnsi="Arial Narrow"/>
                <w:sz w:val="16"/>
                <w:szCs w:val="16"/>
              </w:rPr>
              <w:t>-1.82, -1.29)</w:t>
            </w:r>
          </w:p>
          <w:p w14:paraId="4CCE33A6" w14:textId="77777777" w:rsidR="0015072B" w:rsidRPr="000E65B7" w:rsidRDefault="0015072B" w:rsidP="00576648">
            <w:pPr>
              <w:jc w:val="left"/>
              <w:rPr>
                <w:rFonts w:ascii="Arial Narrow" w:hAnsi="Arial Narrow"/>
                <w:sz w:val="16"/>
                <w:szCs w:val="16"/>
              </w:rPr>
            </w:pPr>
            <w:r>
              <w:rPr>
                <w:rFonts w:ascii="Arial Narrow" w:hAnsi="Arial Narrow"/>
                <w:sz w:val="16"/>
                <w:szCs w:val="16"/>
              </w:rPr>
              <w:t>P=0.000</w:t>
            </w:r>
          </w:p>
        </w:tc>
        <w:tc>
          <w:tcPr>
            <w:tcW w:w="408" w:type="pct"/>
            <w:hideMark/>
          </w:tcPr>
          <w:p w14:paraId="1DA032AF" w14:textId="77777777" w:rsidR="0015072B" w:rsidRPr="000E65B7" w:rsidRDefault="0015072B" w:rsidP="00576648">
            <w:pPr>
              <w:jc w:val="left"/>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Pr="000E65B7">
              <w:rPr>
                <w:rFonts w:ascii="Arial Narrow" w:hAnsi="Arial Narrow"/>
                <w:sz w:val="16"/>
                <w:szCs w:val="16"/>
              </w:rPr>
              <w:br/>
            </w:r>
            <w:r w:rsidRPr="000E65B7">
              <w:rPr>
                <w:rStyle w:val="quality-text"/>
                <w:rFonts w:ascii="Arial Narrow" w:hAnsi="Arial Narrow"/>
                <w:sz w:val="16"/>
                <w:szCs w:val="16"/>
              </w:rPr>
              <w:t>MODERATE</w:t>
            </w:r>
            <w:r w:rsidRPr="000E65B7">
              <w:rPr>
                <w:rFonts w:ascii="Arial Narrow" w:hAnsi="Arial Narrow"/>
                <w:sz w:val="16"/>
                <w:szCs w:val="16"/>
              </w:rPr>
              <w:t xml:space="preserve"> </w:t>
            </w:r>
          </w:p>
        </w:tc>
        <w:tc>
          <w:tcPr>
            <w:tcW w:w="2347" w:type="pct"/>
          </w:tcPr>
          <w:p w14:paraId="25C53313" w14:textId="77777777" w:rsidR="0015072B" w:rsidRDefault="0015072B" w:rsidP="00561A38">
            <w:pPr>
              <w:jc w:val="left"/>
              <w:rPr>
                <w:rFonts w:ascii="Arial Narrow" w:hAnsi="Arial Narrow"/>
                <w:sz w:val="16"/>
                <w:szCs w:val="16"/>
              </w:rPr>
            </w:pPr>
            <w:r>
              <w:rPr>
                <w:rFonts w:ascii="Arial Narrow" w:hAnsi="Arial Narrow" w:cs="Times New Roman"/>
                <w:sz w:val="16"/>
                <w:szCs w:val="16"/>
              </w:rPr>
              <w:t>NMOSD patients who received RTX had a better improvement (measured by weighted mean difference in ARR) than those who received standard therapies alone.</w:t>
            </w:r>
            <w:r>
              <w:rPr>
                <w:rFonts w:ascii="Arial Narrow" w:hAnsi="Arial Narrow"/>
                <w:sz w:val="16"/>
                <w:szCs w:val="16"/>
              </w:rPr>
              <w:t xml:space="preserve"> There was a strong association between RTX therapy and better outcome, and moderate confidence that this is the true effect.</w:t>
            </w:r>
          </w:p>
        </w:tc>
      </w:tr>
      <w:tr w:rsidR="0015072B" w:rsidRPr="000E65B7" w14:paraId="7783211C" w14:textId="77777777" w:rsidTr="006800EE">
        <w:trPr>
          <w:cantSplit/>
          <w:trHeight w:val="798"/>
        </w:trPr>
        <w:tc>
          <w:tcPr>
            <w:tcW w:w="558" w:type="pct"/>
          </w:tcPr>
          <w:p w14:paraId="0E29F231" w14:textId="77777777" w:rsidR="0015072B" w:rsidRDefault="0015072B" w:rsidP="00576648">
            <w:pPr>
              <w:jc w:val="left"/>
              <w:rPr>
                <w:rFonts w:ascii="Arial Narrow" w:hAnsi="Arial Narrow"/>
                <w:sz w:val="16"/>
                <w:szCs w:val="16"/>
              </w:rPr>
            </w:pPr>
            <w:r>
              <w:rPr>
                <w:rFonts w:ascii="Arial Narrow" w:hAnsi="Arial Narrow"/>
                <w:sz w:val="16"/>
                <w:szCs w:val="16"/>
              </w:rPr>
              <w:t>ECZ compared with no ECZ (EDSS at follow-up)</w:t>
            </w:r>
          </w:p>
        </w:tc>
        <w:tc>
          <w:tcPr>
            <w:tcW w:w="666" w:type="pct"/>
            <w:gridSpan w:val="2"/>
          </w:tcPr>
          <w:p w14:paraId="7A3D02AF" w14:textId="77777777" w:rsidR="0015072B" w:rsidRDefault="0015072B" w:rsidP="00576648">
            <w:pPr>
              <w:jc w:val="left"/>
              <w:rPr>
                <w:rFonts w:ascii="Arial Narrow" w:hAnsi="Arial Narrow"/>
                <w:sz w:val="16"/>
                <w:szCs w:val="16"/>
              </w:rPr>
            </w:pPr>
            <w:r>
              <w:rPr>
                <w:rFonts w:ascii="Arial Narrow" w:hAnsi="Arial Narrow"/>
                <w:sz w:val="16"/>
                <w:szCs w:val="16"/>
              </w:rPr>
              <w:t>K=1 randomised controlled trial</w:t>
            </w:r>
          </w:p>
          <w:p w14:paraId="119CFF52" w14:textId="77777777" w:rsidR="0015072B" w:rsidRPr="000E65B7" w:rsidRDefault="0015072B" w:rsidP="00576648">
            <w:pPr>
              <w:jc w:val="left"/>
              <w:rPr>
                <w:rFonts w:ascii="Arial Narrow" w:hAnsi="Arial Narrow"/>
                <w:sz w:val="16"/>
                <w:szCs w:val="16"/>
              </w:rPr>
            </w:pPr>
            <w:r>
              <w:rPr>
                <w:rFonts w:ascii="Arial Narrow" w:hAnsi="Arial Narrow"/>
                <w:sz w:val="16"/>
                <w:szCs w:val="16"/>
              </w:rPr>
              <w:t>N=143</w:t>
            </w:r>
          </w:p>
        </w:tc>
        <w:tc>
          <w:tcPr>
            <w:tcW w:w="562" w:type="pct"/>
          </w:tcPr>
          <w:p w14:paraId="4EFB971F" w14:textId="77777777" w:rsidR="0015072B" w:rsidRDefault="0015072B" w:rsidP="00576648">
            <w:pPr>
              <w:jc w:val="left"/>
              <w:rPr>
                <w:rFonts w:ascii="Arial Narrow" w:hAnsi="Arial Narrow"/>
                <w:sz w:val="16"/>
                <w:szCs w:val="16"/>
              </w:rPr>
            </w:pPr>
            <w:r w:rsidRPr="000E65B7">
              <w:rPr>
                <w:rFonts w:ascii="Arial Narrow" w:hAnsi="Arial Narrow"/>
                <w:sz w:val="16"/>
                <w:szCs w:val="16"/>
              </w:rPr>
              <w:t xml:space="preserve">HR -0.29 </w:t>
            </w:r>
            <w:r>
              <w:rPr>
                <w:rFonts w:ascii="Arial Narrow" w:hAnsi="Arial Narrow"/>
                <w:sz w:val="16"/>
                <w:szCs w:val="16"/>
              </w:rPr>
              <w:br/>
            </w:r>
            <w:r w:rsidRPr="000E65B7">
              <w:rPr>
                <w:rFonts w:ascii="Arial Narrow" w:hAnsi="Arial Narrow"/>
                <w:sz w:val="16"/>
                <w:szCs w:val="16"/>
              </w:rPr>
              <w:t>(-0.59, 0.01)</w:t>
            </w:r>
          </w:p>
          <w:p w14:paraId="24E17228" w14:textId="77777777" w:rsidR="0015072B" w:rsidRPr="000E65B7" w:rsidRDefault="0015072B" w:rsidP="00576648">
            <w:pPr>
              <w:jc w:val="left"/>
              <w:rPr>
                <w:rFonts w:ascii="Arial Narrow" w:hAnsi="Arial Narrow"/>
                <w:sz w:val="16"/>
                <w:szCs w:val="16"/>
              </w:rPr>
            </w:pPr>
            <w:r>
              <w:rPr>
                <w:rFonts w:ascii="Arial Narrow" w:hAnsi="Arial Narrow"/>
                <w:sz w:val="16"/>
                <w:szCs w:val="16"/>
              </w:rPr>
              <w:t>P not significant</w:t>
            </w:r>
          </w:p>
        </w:tc>
        <w:tc>
          <w:tcPr>
            <w:tcW w:w="460" w:type="pct"/>
          </w:tcPr>
          <w:p w14:paraId="77E51F9A" w14:textId="77777777" w:rsidR="0015072B" w:rsidRPr="000E65B7" w:rsidRDefault="0015072B" w:rsidP="00576648">
            <w:pPr>
              <w:rPr>
                <w:rFonts w:ascii="Arial Narrow" w:hAnsi="Arial Narrow"/>
                <w:sz w:val="16"/>
                <w:szCs w:val="16"/>
              </w:rPr>
            </w:pPr>
            <w:r>
              <w:rPr>
                <w:rFonts w:ascii="Arial Narrow" w:hAnsi="Arial Narrow"/>
                <w:sz w:val="16"/>
                <w:szCs w:val="16"/>
              </w:rPr>
              <w:t>NA</w:t>
            </w:r>
          </w:p>
        </w:tc>
        <w:tc>
          <w:tcPr>
            <w:tcW w:w="408" w:type="pct"/>
            <w:hideMark/>
          </w:tcPr>
          <w:p w14:paraId="2BFA4431" w14:textId="77777777" w:rsidR="0015072B" w:rsidRPr="000E65B7" w:rsidRDefault="0015072B" w:rsidP="00576648">
            <w:pPr>
              <w:jc w:val="left"/>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Pr="000E65B7">
              <w:rPr>
                <w:rFonts w:ascii="Arial Narrow" w:hAnsi="Arial Narrow"/>
                <w:sz w:val="16"/>
                <w:szCs w:val="16"/>
              </w:rPr>
              <w:br/>
            </w:r>
            <w:r w:rsidRPr="000E65B7">
              <w:rPr>
                <w:rStyle w:val="quality-text"/>
                <w:rFonts w:ascii="Arial Narrow" w:hAnsi="Arial Narrow"/>
                <w:sz w:val="16"/>
                <w:szCs w:val="16"/>
              </w:rPr>
              <w:t>MODERATE</w:t>
            </w:r>
          </w:p>
        </w:tc>
        <w:tc>
          <w:tcPr>
            <w:tcW w:w="2347" w:type="pct"/>
          </w:tcPr>
          <w:p w14:paraId="3B16DF59" w14:textId="77777777" w:rsidR="0015072B" w:rsidRDefault="0015072B" w:rsidP="00561A38">
            <w:pPr>
              <w:jc w:val="left"/>
              <w:rPr>
                <w:rFonts w:ascii="Arial Narrow" w:hAnsi="Arial Narrow"/>
                <w:sz w:val="16"/>
                <w:szCs w:val="16"/>
              </w:rPr>
            </w:pPr>
            <w:r>
              <w:rPr>
                <w:rFonts w:ascii="Arial Narrow" w:hAnsi="Arial Narrow"/>
                <w:sz w:val="16"/>
                <w:szCs w:val="16"/>
              </w:rPr>
              <w:t>There was a reduction in EDSS in those randomised to both the ECZ and placebo (standard therapies alone) groups. There was no significant difference in the EDSS between groups at follow-up. This result was against the trend of other treatment effects. There was moderate confidence that this is the true effect</w:t>
            </w:r>
          </w:p>
        </w:tc>
      </w:tr>
      <w:tr w:rsidR="0015072B" w:rsidRPr="000E65B7" w14:paraId="53AD5FAA" w14:textId="77777777" w:rsidTr="006800EE">
        <w:trPr>
          <w:cantSplit/>
          <w:trHeight w:val="919"/>
        </w:trPr>
        <w:tc>
          <w:tcPr>
            <w:tcW w:w="558" w:type="pct"/>
          </w:tcPr>
          <w:p w14:paraId="7C9A2FD2" w14:textId="77777777" w:rsidR="0015072B" w:rsidRDefault="0015072B" w:rsidP="00576648">
            <w:pPr>
              <w:jc w:val="left"/>
              <w:rPr>
                <w:rFonts w:ascii="Arial Narrow" w:hAnsi="Arial Narrow"/>
                <w:sz w:val="16"/>
                <w:szCs w:val="16"/>
              </w:rPr>
            </w:pPr>
            <w:r>
              <w:rPr>
                <w:rFonts w:ascii="Arial Narrow" w:hAnsi="Arial Narrow"/>
                <w:sz w:val="16"/>
                <w:szCs w:val="16"/>
              </w:rPr>
              <w:lastRenderedPageBreak/>
              <w:t>ECZ compared with no ECZ (ARR at follow-up)</w:t>
            </w:r>
          </w:p>
        </w:tc>
        <w:tc>
          <w:tcPr>
            <w:tcW w:w="666" w:type="pct"/>
            <w:gridSpan w:val="2"/>
          </w:tcPr>
          <w:p w14:paraId="422986D9" w14:textId="77777777" w:rsidR="0015072B" w:rsidRDefault="0015072B" w:rsidP="00576648">
            <w:pPr>
              <w:jc w:val="left"/>
              <w:rPr>
                <w:rFonts w:ascii="Arial Narrow" w:hAnsi="Arial Narrow"/>
                <w:sz w:val="16"/>
                <w:szCs w:val="16"/>
              </w:rPr>
            </w:pPr>
            <w:r>
              <w:rPr>
                <w:rFonts w:ascii="Arial Narrow" w:hAnsi="Arial Narrow"/>
                <w:sz w:val="16"/>
                <w:szCs w:val="16"/>
              </w:rPr>
              <w:t>K=1 randomised controlled trial</w:t>
            </w:r>
          </w:p>
          <w:p w14:paraId="4E26FA8A" w14:textId="77777777" w:rsidR="0015072B" w:rsidRPr="000E65B7" w:rsidRDefault="0015072B" w:rsidP="00576648">
            <w:pPr>
              <w:jc w:val="left"/>
              <w:rPr>
                <w:rFonts w:ascii="Arial Narrow" w:hAnsi="Arial Narrow"/>
                <w:sz w:val="16"/>
                <w:szCs w:val="16"/>
              </w:rPr>
            </w:pPr>
            <w:r>
              <w:rPr>
                <w:rFonts w:ascii="Arial Narrow" w:hAnsi="Arial Narrow"/>
                <w:sz w:val="16"/>
                <w:szCs w:val="16"/>
              </w:rPr>
              <w:t>N=143</w:t>
            </w:r>
          </w:p>
        </w:tc>
        <w:tc>
          <w:tcPr>
            <w:tcW w:w="562" w:type="pct"/>
          </w:tcPr>
          <w:p w14:paraId="48665374" w14:textId="77777777" w:rsidR="0015072B" w:rsidRDefault="0015072B" w:rsidP="00576648">
            <w:pPr>
              <w:jc w:val="left"/>
              <w:rPr>
                <w:rFonts w:ascii="Arial Narrow" w:hAnsi="Arial Narrow"/>
                <w:sz w:val="16"/>
                <w:szCs w:val="16"/>
              </w:rPr>
            </w:pPr>
            <w:r w:rsidRPr="000E65B7">
              <w:rPr>
                <w:rFonts w:ascii="Arial Narrow" w:hAnsi="Arial Narrow"/>
                <w:sz w:val="16"/>
                <w:szCs w:val="16"/>
              </w:rPr>
              <w:t xml:space="preserve">HR 0.04 </w:t>
            </w:r>
            <w:r>
              <w:rPr>
                <w:rFonts w:ascii="Arial Narrow" w:hAnsi="Arial Narrow"/>
                <w:sz w:val="16"/>
                <w:szCs w:val="16"/>
              </w:rPr>
              <w:br/>
            </w:r>
            <w:r w:rsidRPr="000E65B7">
              <w:rPr>
                <w:rFonts w:ascii="Arial Narrow" w:hAnsi="Arial Narrow"/>
                <w:sz w:val="16"/>
                <w:szCs w:val="16"/>
              </w:rPr>
              <w:t>(0.01, 0.015)</w:t>
            </w:r>
          </w:p>
          <w:p w14:paraId="189C6262" w14:textId="77777777" w:rsidR="0015072B" w:rsidRPr="000E65B7" w:rsidRDefault="0015072B" w:rsidP="00576648">
            <w:pPr>
              <w:jc w:val="left"/>
              <w:rPr>
                <w:rFonts w:ascii="Arial Narrow" w:hAnsi="Arial Narrow"/>
                <w:sz w:val="16"/>
                <w:szCs w:val="16"/>
              </w:rPr>
            </w:pPr>
            <w:r>
              <w:rPr>
                <w:rFonts w:ascii="Arial Narrow" w:hAnsi="Arial Narrow"/>
                <w:sz w:val="16"/>
                <w:szCs w:val="16"/>
              </w:rPr>
              <w:t>P&lt;0.001</w:t>
            </w:r>
          </w:p>
        </w:tc>
        <w:tc>
          <w:tcPr>
            <w:tcW w:w="460" w:type="pct"/>
          </w:tcPr>
          <w:p w14:paraId="427709E4" w14:textId="77777777" w:rsidR="0015072B" w:rsidRPr="000E65B7" w:rsidRDefault="0015072B" w:rsidP="00576648">
            <w:pPr>
              <w:rPr>
                <w:rFonts w:ascii="Arial Narrow" w:hAnsi="Arial Narrow"/>
                <w:sz w:val="16"/>
                <w:szCs w:val="16"/>
              </w:rPr>
            </w:pPr>
            <w:r>
              <w:rPr>
                <w:rFonts w:ascii="Arial Narrow" w:hAnsi="Arial Narrow"/>
                <w:sz w:val="16"/>
                <w:szCs w:val="16"/>
              </w:rPr>
              <w:t>NA</w:t>
            </w:r>
          </w:p>
        </w:tc>
        <w:tc>
          <w:tcPr>
            <w:tcW w:w="408" w:type="pct"/>
            <w:hideMark/>
          </w:tcPr>
          <w:p w14:paraId="6BC343D2" w14:textId="77777777" w:rsidR="0015072B" w:rsidRPr="000E65B7" w:rsidRDefault="0015072B" w:rsidP="00576648">
            <w:pPr>
              <w:jc w:val="left"/>
              <w:rPr>
                <w:rFonts w:ascii="Arial Narrow" w:hAnsi="Arial Narrow"/>
                <w:sz w:val="16"/>
                <w:szCs w:val="16"/>
              </w:rPr>
            </w:pPr>
            <w:r w:rsidRPr="00D4733A">
              <w:rPr>
                <w:rFonts w:ascii="Cambria Math" w:hAnsi="Cambria Math"/>
                <w:color w:val="00B050"/>
              </w:rPr>
              <w:t>⨁⨁⨁⨁</w:t>
            </w:r>
            <w:r w:rsidRPr="000E65B7">
              <w:rPr>
                <w:rFonts w:ascii="Arial Narrow" w:hAnsi="Arial Narrow"/>
                <w:sz w:val="16"/>
                <w:szCs w:val="16"/>
              </w:rPr>
              <w:br/>
            </w:r>
            <w:r w:rsidRPr="000E65B7">
              <w:rPr>
                <w:rStyle w:val="quality-text"/>
                <w:rFonts w:ascii="Arial Narrow" w:hAnsi="Arial Narrow"/>
                <w:sz w:val="16"/>
                <w:szCs w:val="16"/>
              </w:rPr>
              <w:t>HIGH</w:t>
            </w:r>
            <w:r w:rsidRPr="000E65B7">
              <w:rPr>
                <w:rFonts w:ascii="Arial Narrow" w:hAnsi="Arial Narrow"/>
                <w:sz w:val="16"/>
                <w:szCs w:val="16"/>
              </w:rPr>
              <w:t xml:space="preserve"> </w:t>
            </w:r>
          </w:p>
        </w:tc>
        <w:tc>
          <w:tcPr>
            <w:tcW w:w="2347" w:type="pct"/>
            <w:hideMark/>
          </w:tcPr>
          <w:p w14:paraId="3D0DC0E1" w14:textId="77777777" w:rsidR="0015072B" w:rsidRDefault="0015072B" w:rsidP="00561A38">
            <w:pPr>
              <w:jc w:val="left"/>
              <w:rPr>
                <w:rFonts w:ascii="Arial Narrow" w:hAnsi="Arial Narrow"/>
                <w:sz w:val="16"/>
                <w:szCs w:val="16"/>
              </w:rPr>
            </w:pPr>
            <w:r>
              <w:rPr>
                <w:rFonts w:ascii="Arial Narrow" w:hAnsi="Arial Narrow" w:cs="Times New Roman"/>
                <w:sz w:val="16"/>
                <w:szCs w:val="16"/>
              </w:rPr>
              <w:t>NMOSD patients who were randomised to ECZ had a better outcome (measured by ARR at follow-up) than those randomised to placebo (standard therapies alone).</w:t>
            </w:r>
            <w:r>
              <w:rPr>
                <w:rFonts w:ascii="Arial Narrow" w:hAnsi="Arial Narrow"/>
                <w:sz w:val="16"/>
                <w:szCs w:val="16"/>
              </w:rPr>
              <w:t xml:space="preserve"> There was a very strong association between ECZ therapy and better outcome, and high confidence that this is the true effect</w:t>
            </w:r>
          </w:p>
        </w:tc>
      </w:tr>
    </w:tbl>
    <w:p w14:paraId="3D3BD420" w14:textId="77777777" w:rsidR="0015042F" w:rsidRPr="005801A9" w:rsidRDefault="0015042F" w:rsidP="0015042F">
      <w:pPr>
        <w:spacing w:after="80"/>
        <w:rPr>
          <w:rFonts w:ascii="Arial Narrow" w:hAnsi="Arial Narrow"/>
          <w:sz w:val="16"/>
          <w:szCs w:val="16"/>
          <w:lang w:val="en"/>
        </w:rPr>
      </w:pPr>
      <w:r w:rsidRPr="00EA5BA8">
        <w:rPr>
          <w:rFonts w:ascii="Arial Narrow" w:hAnsi="Arial Narrow"/>
          <w:bCs/>
          <w:sz w:val="16"/>
          <w:szCs w:val="16"/>
          <w:lang w:val="en"/>
        </w:rPr>
        <w:t>AZA= azathioprine therapy</w:t>
      </w:r>
      <w:r>
        <w:rPr>
          <w:rFonts w:ascii="Arial Narrow" w:hAnsi="Arial Narrow"/>
          <w:b/>
          <w:bCs/>
          <w:sz w:val="16"/>
          <w:szCs w:val="16"/>
          <w:lang w:val="en"/>
        </w:rPr>
        <w:t xml:space="preserve">; </w:t>
      </w:r>
      <w:r w:rsidRPr="00035B16">
        <w:rPr>
          <w:rFonts w:ascii="Arial Narrow" w:hAnsi="Arial Narrow"/>
          <w:bCs/>
          <w:sz w:val="16"/>
          <w:szCs w:val="16"/>
          <w:lang w:val="en"/>
        </w:rPr>
        <w:t>CI:</w:t>
      </w:r>
      <w:r w:rsidRPr="005801A9">
        <w:rPr>
          <w:rFonts w:ascii="Arial Narrow" w:hAnsi="Arial Narrow"/>
          <w:sz w:val="16"/>
          <w:szCs w:val="16"/>
          <w:lang w:val="en"/>
        </w:rPr>
        <w:t xml:space="preserve"> Confidence interval</w:t>
      </w:r>
      <w:r>
        <w:rPr>
          <w:rFonts w:ascii="Arial Narrow" w:hAnsi="Arial Narrow"/>
          <w:sz w:val="16"/>
          <w:szCs w:val="16"/>
          <w:lang w:val="en"/>
        </w:rPr>
        <w:t>; EDSS = expended disability severity score; HR = hazard ration; IVMP</w:t>
      </w:r>
      <w:r w:rsidRPr="00EA5BA8">
        <w:rPr>
          <w:rFonts w:ascii="Arial Narrow" w:hAnsi="Arial Narrow"/>
          <w:sz w:val="16"/>
          <w:szCs w:val="16"/>
          <w:lang w:val="en"/>
        </w:rPr>
        <w:t xml:space="preserve"> =</w:t>
      </w:r>
      <w:r>
        <w:t xml:space="preserve"> </w:t>
      </w:r>
      <w:r w:rsidRPr="007B6C02">
        <w:rPr>
          <w:rFonts w:ascii="Arial Narrow" w:hAnsi="Arial Narrow"/>
          <w:sz w:val="16"/>
          <w:szCs w:val="16"/>
          <w:lang w:val="en"/>
        </w:rPr>
        <w:t>intra venous</w:t>
      </w:r>
      <w:r>
        <w:t xml:space="preserve"> </w:t>
      </w:r>
      <w:r w:rsidRPr="005F034B">
        <w:rPr>
          <w:rFonts w:ascii="Arial Narrow" w:hAnsi="Arial Narrow"/>
          <w:sz w:val="16"/>
          <w:szCs w:val="16"/>
          <w:lang w:val="en"/>
        </w:rPr>
        <w:t>methyl prednisolone</w:t>
      </w:r>
      <w:r>
        <w:rPr>
          <w:rFonts w:ascii="Arial Narrow" w:hAnsi="Arial Narrow"/>
          <w:sz w:val="16"/>
          <w:szCs w:val="16"/>
          <w:lang w:val="en"/>
        </w:rPr>
        <w:t xml:space="preserve"> therapy;</w:t>
      </w:r>
      <w:r w:rsidRPr="005F034B">
        <w:rPr>
          <w:rFonts w:ascii="Arial Narrow" w:hAnsi="Arial Narrow"/>
          <w:sz w:val="16"/>
          <w:szCs w:val="16"/>
          <w:lang w:val="en"/>
        </w:rPr>
        <w:t xml:space="preserve"> </w:t>
      </w:r>
      <w:r>
        <w:rPr>
          <w:rFonts w:ascii="Arial Narrow" w:hAnsi="Arial Narrow"/>
          <w:sz w:val="16"/>
          <w:szCs w:val="16"/>
          <w:lang w:val="en"/>
        </w:rPr>
        <w:t xml:space="preserve">NA = not available; </w:t>
      </w:r>
      <w:r w:rsidR="00035B16">
        <w:rPr>
          <w:rFonts w:ascii="Arial Narrow" w:hAnsi="Arial Narrow"/>
          <w:sz w:val="16"/>
          <w:szCs w:val="16"/>
          <w:lang w:val="en"/>
        </w:rPr>
        <w:t xml:space="preserve">NR = not reported; </w:t>
      </w:r>
      <w:r>
        <w:rPr>
          <w:rFonts w:ascii="Arial Narrow" w:hAnsi="Arial Narrow"/>
          <w:sz w:val="16"/>
          <w:szCs w:val="16"/>
          <w:lang w:val="en"/>
        </w:rPr>
        <w:t>OR = odds ratio</w:t>
      </w:r>
      <w:r w:rsidR="00035B16">
        <w:rPr>
          <w:rFonts w:ascii="Arial Narrow" w:hAnsi="Arial Narrow"/>
          <w:sz w:val="16"/>
          <w:szCs w:val="16"/>
          <w:lang w:val="en"/>
        </w:rPr>
        <w:t>; SR = systematic review</w:t>
      </w:r>
    </w:p>
    <w:p w14:paraId="3B45A186" w14:textId="77777777" w:rsidR="0015042F" w:rsidRPr="005801A9" w:rsidRDefault="0015042F" w:rsidP="0015042F">
      <w:pPr>
        <w:spacing w:after="80"/>
        <w:rPr>
          <w:rFonts w:ascii="Arial Narrow" w:hAnsi="Arial Narrow"/>
          <w:b/>
          <w:bCs/>
          <w:sz w:val="16"/>
          <w:szCs w:val="16"/>
          <w:lang w:val="en"/>
        </w:rPr>
      </w:pPr>
      <w:r w:rsidRPr="005801A9">
        <w:rPr>
          <w:rFonts w:ascii="Arial Narrow" w:hAnsi="Arial Narrow"/>
          <w:b/>
          <w:bCs/>
          <w:sz w:val="16"/>
          <w:szCs w:val="16"/>
          <w:lang w:val="en"/>
        </w:rPr>
        <w:t>Explanations</w:t>
      </w:r>
    </w:p>
    <w:p w14:paraId="7952599C" w14:textId="77777777" w:rsidR="0015042F" w:rsidRPr="005801A9" w:rsidRDefault="0015042F" w:rsidP="0015042F">
      <w:pPr>
        <w:rPr>
          <w:rFonts w:ascii="Arial Narrow" w:hAnsi="Arial Narrow"/>
          <w:sz w:val="16"/>
          <w:szCs w:val="16"/>
          <w:lang w:val="en"/>
        </w:rPr>
      </w:pPr>
      <w:r w:rsidRPr="005801A9">
        <w:rPr>
          <w:rFonts w:ascii="Arial Narrow" w:hAnsi="Arial Narrow"/>
          <w:sz w:val="16"/>
          <w:szCs w:val="16"/>
          <w:lang w:val="en"/>
        </w:rPr>
        <w:t xml:space="preserve">a. Retrospective study design at risk of selection bias </w:t>
      </w:r>
    </w:p>
    <w:p w14:paraId="4E6A4D81" w14:textId="4DC11A8D" w:rsidR="00ED65EE" w:rsidRPr="00A15B1A" w:rsidRDefault="0015042F" w:rsidP="00ED65EE">
      <w:pPr>
        <w:pStyle w:val="Tablenotes0"/>
        <w:rPr>
          <w:szCs w:val="18"/>
        </w:rPr>
      </w:pPr>
      <w:r w:rsidRPr="005B189A">
        <w:rPr>
          <w:b/>
          <w:szCs w:val="18"/>
        </w:rPr>
        <w:t>GRADE Working Group grades of evidence (Guyatt et al., 2013)</w:t>
      </w:r>
      <w:r w:rsidRPr="005B189A">
        <w:rPr>
          <w:b/>
          <w:szCs w:val="18"/>
        </w:rPr>
        <w:br/>
      </w:r>
      <w:r w:rsidRPr="00D4733A">
        <w:rPr>
          <w:rFonts w:ascii="Cambria Math" w:hAnsi="Cambria Math"/>
          <w:color w:val="00B050"/>
        </w:rPr>
        <w:t>⨁⨁⨁⨁</w:t>
      </w:r>
      <w:r>
        <w:rPr>
          <w:rFonts w:ascii="Cambria Math" w:hAnsi="Cambria Math"/>
          <w:color w:val="00B050"/>
        </w:rPr>
        <w:t xml:space="preserve"> </w:t>
      </w:r>
      <w:r w:rsidRPr="00E10B76">
        <w:rPr>
          <w:b/>
          <w:bCs/>
          <w:szCs w:val="18"/>
        </w:rPr>
        <w:t>High quality:</w:t>
      </w:r>
      <w:r w:rsidRPr="00E10B76">
        <w:rPr>
          <w:szCs w:val="18"/>
        </w:rPr>
        <w:t xml:space="preserve"> </w:t>
      </w:r>
      <w:r>
        <w:rPr>
          <w:szCs w:val="18"/>
        </w:rPr>
        <w:t>We are very confident that the true effect lies close to that of the estimate of effect.</w:t>
      </w:r>
      <w:r w:rsidRPr="00E10B76">
        <w:rPr>
          <w:szCs w:val="18"/>
        </w:rPr>
        <w:t xml:space="preserve"> </w:t>
      </w:r>
      <w:r w:rsidRPr="00E10B76">
        <w:rPr>
          <w:szCs w:val="18"/>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Moderate quality:</w:t>
      </w:r>
      <w:r w:rsidRPr="00E10B76">
        <w:rPr>
          <w:szCs w:val="18"/>
        </w:rPr>
        <w:t xml:space="preserve"> </w:t>
      </w:r>
      <w:r>
        <w:rPr>
          <w:szCs w:val="18"/>
        </w:rPr>
        <w:t xml:space="preserve">We are moderately confident in the effect estimate: The true effect is likely to be close to the estimate of the effect, but there is a possibility that it is substantially different.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Low quality:</w:t>
      </w:r>
      <w:r w:rsidRPr="00E10B76">
        <w:rPr>
          <w:szCs w:val="18"/>
        </w:rPr>
        <w:t xml:space="preserve"> </w:t>
      </w:r>
      <w:r>
        <w:rPr>
          <w:szCs w:val="18"/>
        </w:rPr>
        <w:t>Our confidence in the effect estimate is limited: The true effect may be substantially different from the estimate of the effect.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p>
    <w:p w14:paraId="5F2C3C9B" w14:textId="77777777" w:rsidR="00ED65EE" w:rsidRDefault="00ED65EE" w:rsidP="00ED65EE">
      <w:pPr>
        <w:sectPr w:rsidR="00ED65EE" w:rsidSect="001229D7">
          <w:headerReference w:type="default" r:id="rId37"/>
          <w:pgSz w:w="16838" w:h="11906" w:orient="landscape"/>
          <w:pgMar w:top="1440" w:right="1440" w:bottom="1440" w:left="1440" w:header="720" w:footer="720" w:gutter="0"/>
          <w:paperSrc w:first="7" w:other="7"/>
          <w:cols w:space="720"/>
          <w:docGrid w:linePitch="299"/>
        </w:sectPr>
      </w:pPr>
    </w:p>
    <w:p w14:paraId="3F1DF1FB" w14:textId="77777777" w:rsidR="00ED65EE" w:rsidRPr="00183E4D" w:rsidRDefault="00ED65EE" w:rsidP="00ED65EE">
      <w:pPr>
        <w:pStyle w:val="Heading1"/>
        <w:jc w:val="both"/>
      </w:pPr>
      <w:bookmarkStart w:id="363" w:name="_Toc39588346"/>
      <w:r w:rsidRPr="00183E4D">
        <w:lastRenderedPageBreak/>
        <w:t>Section C</w:t>
      </w:r>
      <w:r w:rsidRPr="00183E4D">
        <w:tab/>
        <w:t>Translation Issues</w:t>
      </w:r>
      <w:bookmarkEnd w:id="363"/>
    </w:p>
    <w:p w14:paraId="7AD904B2" w14:textId="1CD755A9" w:rsidR="00720F38" w:rsidRPr="00B35E47" w:rsidRDefault="00720F38" w:rsidP="00720F38">
      <w:bookmarkStart w:id="364" w:name="_Toc379118086"/>
      <w:bookmarkStart w:id="365" w:name="_Toc381796473"/>
      <w:r w:rsidRPr="00B35E47">
        <w:t xml:space="preserve">A cost-effectiveness and </w:t>
      </w:r>
      <w:r w:rsidR="00843D5B" w:rsidRPr="00B35E47">
        <w:t>cost-utility analyses</w:t>
      </w:r>
      <w:r w:rsidRPr="00B35E47">
        <w:t xml:space="preserve"> would be undertaken for the economic evaluation based on the clinical claim of superior effectiveness and non-inferior safety.</w:t>
      </w:r>
    </w:p>
    <w:p w14:paraId="72960AAF" w14:textId="77777777" w:rsidR="00720F38" w:rsidRPr="00B35E47" w:rsidRDefault="00720F38" w:rsidP="00720F38">
      <w:pPr>
        <w:pStyle w:val="Heading2"/>
      </w:pPr>
      <w:bookmarkStart w:id="366" w:name="_Toc34212306"/>
      <w:bookmarkStart w:id="367" w:name="_Toc38031942"/>
      <w:bookmarkStart w:id="368" w:name="_Toc39588347"/>
      <w:r>
        <w:t>C1</w:t>
      </w:r>
      <w:r>
        <w:tab/>
      </w:r>
      <w:r w:rsidRPr="00B35E47">
        <w:t>Overview</w:t>
      </w:r>
      <w:bookmarkEnd w:id="366"/>
      <w:bookmarkEnd w:id="367"/>
      <w:bookmarkEnd w:id="368"/>
      <w:r w:rsidRPr="00B35E47">
        <w:t xml:space="preserve"> </w:t>
      </w:r>
    </w:p>
    <w:p w14:paraId="0124DCAE" w14:textId="77777777" w:rsidR="00720F38" w:rsidRPr="00B35E47" w:rsidRDefault="00720F38" w:rsidP="00720F38">
      <w:r w:rsidRPr="00B35E47">
        <w:t xml:space="preserve">Multiple forms and sources of evidence are presented in Section B. When considering which aspects of this evidence should be incorporated into an economic model, the following translation considerations have been identified. </w:t>
      </w:r>
    </w:p>
    <w:p w14:paraId="7E32B17C" w14:textId="77777777" w:rsidR="00720F38" w:rsidRPr="00B35E47" w:rsidRDefault="00720F38" w:rsidP="00720F38">
      <w:r w:rsidRPr="00B35E47">
        <w:t>Potential applicability issues are:</w:t>
      </w:r>
    </w:p>
    <w:p w14:paraId="79CFDDAD" w14:textId="3023BB3A" w:rsidR="00720F38" w:rsidRPr="00B35E47" w:rsidRDefault="00720F38" w:rsidP="003816F6">
      <w:pPr>
        <w:numPr>
          <w:ilvl w:val="0"/>
          <w:numId w:val="49"/>
        </w:numPr>
      </w:pPr>
      <w:r w:rsidRPr="00B35E47">
        <w:t>Are the diagnostic measures</w:t>
      </w:r>
      <w:r>
        <w:t xml:space="preserve">, specifically diagnostic </w:t>
      </w:r>
      <w:r w:rsidR="00843D5B">
        <w:t xml:space="preserve">yield </w:t>
      </w:r>
      <w:r w:rsidR="00843D5B" w:rsidRPr="00B35E47">
        <w:t>associated</w:t>
      </w:r>
      <w:r w:rsidRPr="00B35E47">
        <w:t xml:space="preserve"> with NMOSD-Ab testing </w:t>
      </w:r>
      <w:r>
        <w:t xml:space="preserve">in the literature </w:t>
      </w:r>
      <w:r w:rsidRPr="00B35E47">
        <w:t>applicable to the proposed Australian population?</w:t>
      </w:r>
    </w:p>
    <w:p w14:paraId="3678365A" w14:textId="77777777" w:rsidR="00720F38" w:rsidRPr="00B35E47" w:rsidRDefault="00720F38" w:rsidP="003816F6">
      <w:pPr>
        <w:numPr>
          <w:ilvl w:val="0"/>
          <w:numId w:val="49"/>
        </w:numPr>
      </w:pPr>
      <w:r w:rsidRPr="00B35E47">
        <w:t>Are the treatment patterns and outcomes associated with NMOSD therapies applicable to Australian practice?</w:t>
      </w:r>
    </w:p>
    <w:p w14:paraId="3CC9E1F4" w14:textId="77777777" w:rsidR="00720F38" w:rsidRPr="00B35E47" w:rsidRDefault="00720F38" w:rsidP="00720F38">
      <w:r w:rsidRPr="00B35E47">
        <w:t xml:space="preserve">The economic analysis also needs to consider that </w:t>
      </w:r>
      <w:r>
        <w:t xml:space="preserve">the condition and </w:t>
      </w:r>
      <w:r w:rsidRPr="00B35E47">
        <w:t>maintenance treatments are ongoing, therefore a relevant extrapolation issue is;</w:t>
      </w:r>
    </w:p>
    <w:p w14:paraId="27EE1D84" w14:textId="77777777" w:rsidR="00720F38" w:rsidRPr="00B35E47" w:rsidRDefault="00720F38" w:rsidP="003816F6">
      <w:pPr>
        <w:numPr>
          <w:ilvl w:val="0"/>
          <w:numId w:val="51"/>
        </w:numPr>
      </w:pPr>
      <w:r w:rsidRPr="00B35E47">
        <w:t xml:space="preserve">How are health resources </w:t>
      </w:r>
      <w:r>
        <w:t xml:space="preserve">over time, </w:t>
      </w:r>
      <w:r w:rsidRPr="00B35E47">
        <w:t>for long-term maintenance and in treating the attacks?</w:t>
      </w:r>
    </w:p>
    <w:p w14:paraId="74EF1C8E" w14:textId="7297DF39" w:rsidR="00720F38" w:rsidRPr="00B35E47" w:rsidRDefault="00720F38" w:rsidP="00720F38">
      <w:r w:rsidRPr="00B35E47">
        <w:t xml:space="preserve">Conducting the economic analysis as a cost-utility analysis </w:t>
      </w:r>
      <w:r>
        <w:t xml:space="preserve">requires </w:t>
      </w:r>
      <w:r w:rsidRPr="00B35E47">
        <w:t xml:space="preserve">the measure of incremental health outcomes in quality-adjusted life years (QALYs)), </w:t>
      </w:r>
      <w:r>
        <w:t xml:space="preserve">whereas </w:t>
      </w:r>
      <w:r w:rsidRPr="00B35E47">
        <w:t xml:space="preserve">in Section B treatment efficacy </w:t>
      </w:r>
      <w:r>
        <w:t xml:space="preserve">is reported </w:t>
      </w:r>
      <w:r w:rsidRPr="00B35E47">
        <w:t>in</w:t>
      </w:r>
      <w:r>
        <w:t xml:space="preserve"> terms of</w:t>
      </w:r>
      <w:r w:rsidRPr="00B35E47">
        <w:t xml:space="preserve"> reducing the number and severity of relapses. In </w:t>
      </w:r>
      <w:r>
        <w:t xml:space="preserve">the </w:t>
      </w:r>
      <w:r w:rsidRPr="00B35E47">
        <w:t xml:space="preserve">clinical studies the disease severity and subsequent disability accumulation in NMOSD patients is generally measured on </w:t>
      </w:r>
      <w:r>
        <w:t xml:space="preserve">the </w:t>
      </w:r>
      <w:r w:rsidRPr="00B35E47">
        <w:t xml:space="preserve">Expanded Disability Status Scale (EDSS) with scores varying from 0 (no disability) – 10 (death). </w:t>
      </w:r>
      <w:r w:rsidR="00843D5B" w:rsidRPr="00B35E47">
        <w:t>The transformation</w:t>
      </w:r>
      <w:r w:rsidRPr="00B35E47">
        <w:t xml:space="preserve"> issue is:</w:t>
      </w:r>
    </w:p>
    <w:p w14:paraId="142757FE" w14:textId="77777777" w:rsidR="00720F38" w:rsidRPr="00B35E47" w:rsidRDefault="00720F38" w:rsidP="003816F6">
      <w:pPr>
        <w:numPr>
          <w:ilvl w:val="0"/>
          <w:numId w:val="50"/>
        </w:numPr>
      </w:pPr>
      <w:r w:rsidRPr="00B35E47">
        <w:t xml:space="preserve">What are the health state utility values for patients in the different </w:t>
      </w:r>
      <w:r>
        <w:t xml:space="preserve">NMOSD </w:t>
      </w:r>
      <w:r w:rsidRPr="00B35E47">
        <w:t>health states</w:t>
      </w:r>
      <w:r>
        <w:t>? i</w:t>
      </w:r>
      <w:r w:rsidRPr="00B35E47">
        <w:t>.e. how are these EDSS scores mapped to health utility index</w:t>
      </w:r>
      <w:r>
        <w:t xml:space="preserve">, so that time spent in </w:t>
      </w:r>
      <w:r w:rsidRPr="00B35E47">
        <w:t>health state</w:t>
      </w:r>
      <w:r>
        <w:t xml:space="preserve">s can be translated into </w:t>
      </w:r>
      <w:r w:rsidRPr="00B35E47">
        <w:t xml:space="preserve">QALYs? </w:t>
      </w:r>
    </w:p>
    <w:p w14:paraId="44676E09" w14:textId="77777777" w:rsidR="00720F38" w:rsidRPr="00B35E47" w:rsidRDefault="00720F38" w:rsidP="00720F38">
      <w:pPr>
        <w:pStyle w:val="Heading2"/>
      </w:pPr>
      <w:bookmarkStart w:id="369" w:name="_Toc34212307"/>
      <w:bookmarkStart w:id="370" w:name="_Toc38031943"/>
      <w:bookmarkStart w:id="371" w:name="_Toc39588348"/>
      <w:r>
        <w:t>C2</w:t>
      </w:r>
      <w:r>
        <w:tab/>
      </w:r>
      <w:r w:rsidRPr="00B35E47">
        <w:t>Applicability translation issues</w:t>
      </w:r>
      <w:bookmarkEnd w:id="369"/>
      <w:bookmarkEnd w:id="370"/>
      <w:bookmarkEnd w:id="371"/>
    </w:p>
    <w:p w14:paraId="4EF5230A" w14:textId="77777777" w:rsidR="00720F38" w:rsidRPr="00B35E47" w:rsidRDefault="00720F38" w:rsidP="00720F38">
      <w:pPr>
        <w:pStyle w:val="Heading3"/>
      </w:pPr>
      <w:bookmarkStart w:id="372" w:name="_Toc38031944"/>
      <w:bookmarkStart w:id="373" w:name="_Toc39588349"/>
      <w:r w:rsidRPr="00B35E47">
        <w:t>C2.1</w:t>
      </w:r>
      <w:r w:rsidRPr="00B35E47">
        <w:tab/>
        <w:t>Diagnostic yield in the target population</w:t>
      </w:r>
      <w:bookmarkEnd w:id="372"/>
      <w:bookmarkEnd w:id="373"/>
    </w:p>
    <w:p w14:paraId="2D4E1352" w14:textId="77777777" w:rsidR="00720F38" w:rsidRPr="00B35E47" w:rsidRDefault="00720F38" w:rsidP="00720F38">
      <w:r w:rsidRPr="00B35E47">
        <w:t>The economic model will require an estimate of the diagnostic yield of AQP4-Ab and MOG-Ab testing. Section B4.1.5 analysed data on diagnostic yield from serum AQP4-Ab and MOG-Ab testing in adults and children with inflammatory conditions or demyelination syndromes, ON or LETM, or patients diagnosed or suspected of having NMO or NMOSD.</w:t>
      </w:r>
    </w:p>
    <w:p w14:paraId="2747FEB7" w14:textId="77777777" w:rsidR="00720F38" w:rsidRPr="00B35E47" w:rsidRDefault="00720F38" w:rsidP="00720F38">
      <w:r w:rsidRPr="00B35E47">
        <w:t xml:space="preserve">In </w:t>
      </w:r>
      <w:r w:rsidRPr="00B35E47">
        <w:fldChar w:fldCharType="begin"/>
      </w:r>
      <w:r w:rsidRPr="00B35E47">
        <w:instrText xml:space="preserve"> REF _Ref27743451 \h  \* MERGEFORMAT </w:instrText>
      </w:r>
      <w:r w:rsidRPr="00B35E47">
        <w:fldChar w:fldCharType="separate"/>
      </w:r>
      <w:r w:rsidR="006E2BA9" w:rsidRPr="005B13BC">
        <w:t xml:space="preserve">Table </w:t>
      </w:r>
      <w:r w:rsidR="006E2BA9">
        <w:t>22</w:t>
      </w:r>
      <w:r w:rsidRPr="00B35E47">
        <w:fldChar w:fldCharType="end"/>
      </w:r>
      <w:r w:rsidRPr="00B35E47">
        <w:t>, 23 and 24 (section B4.1.5) the diagnostic yields for positive AQP4-Ab and positive MOG-Ab ranged from 6.8% to 89%, and from 0% and 29%, respectively. The diagnostic yield for positive AQP4-Ab testing varied widely depending on the inclusion criteria of the study, and which Wingerchuk NMO/NMOSD diagnostic criteria was used. While the data on diagnostic yield for MOG-Ab testing were limited, in those studies that reported MOG-Ab status, it was evident that some (but not all) individuals who tested negative for AQP4-Ab, were found to test positive for MOG-Ab.</w:t>
      </w:r>
    </w:p>
    <w:p w14:paraId="100388BA" w14:textId="77777777" w:rsidR="00720F38" w:rsidRPr="00B35E47" w:rsidRDefault="00720F38" w:rsidP="00720F38">
      <w:r>
        <w:lastRenderedPageBreak/>
        <w:t>Given the</w:t>
      </w:r>
      <w:r w:rsidRPr="00B35E47">
        <w:t xml:space="preserve"> broad range of diagnostic yield results in the </w:t>
      </w:r>
      <w:r>
        <w:t xml:space="preserve">published </w:t>
      </w:r>
      <w:r w:rsidRPr="00B35E47">
        <w:t>studies</w:t>
      </w:r>
      <w:r>
        <w:t>, these</w:t>
      </w:r>
      <w:r w:rsidRPr="00B35E47">
        <w:t xml:space="preserve"> do not provide a reliable estimate for the </w:t>
      </w:r>
      <w:r>
        <w:t xml:space="preserve">Australian economic </w:t>
      </w:r>
      <w:r w:rsidRPr="00B35E47">
        <w:t xml:space="preserve">model. A more applicable and reliable estimate of diagnostic yield in the Australian tested population could be determined using recent Australian laboratory data. The applicant surveyed Australian clinical laboratories to provide current utilisation of AQP4 testing and associated test results in Australia. Out of the four data providers, only two (Pathology Queensland and PathWest Laboratory) provided information regarding number of positive tests in the diagnostic cohort suspected of NMOSD. </w:t>
      </w:r>
      <w:r w:rsidRPr="008A79B9">
        <w:fldChar w:fldCharType="begin"/>
      </w:r>
      <w:r w:rsidRPr="008A79B9">
        <w:instrText xml:space="preserve"> REF _Ref34223109 \h  \* MERGEFORMAT </w:instrText>
      </w:r>
      <w:r w:rsidRPr="008A79B9">
        <w:fldChar w:fldCharType="separate"/>
      </w:r>
      <w:r w:rsidR="006E2BA9" w:rsidRPr="00082C1A">
        <w:t xml:space="preserve">Table </w:t>
      </w:r>
      <w:r w:rsidR="006E2BA9">
        <w:t>70</w:t>
      </w:r>
      <w:r w:rsidRPr="008A79B9">
        <w:fldChar w:fldCharType="end"/>
      </w:r>
      <w:r w:rsidRPr="008A79B9">
        <w:t xml:space="preserve"> and </w:t>
      </w:r>
      <w:r w:rsidRPr="008A79B9">
        <w:fldChar w:fldCharType="begin"/>
      </w:r>
      <w:r w:rsidRPr="008A79B9">
        <w:instrText xml:space="preserve"> REF _Ref34223120 \h  \* MERGEFORMAT </w:instrText>
      </w:r>
      <w:r w:rsidRPr="008A79B9">
        <w:fldChar w:fldCharType="separate"/>
      </w:r>
      <w:r w:rsidR="006E2BA9" w:rsidRPr="00B35E47">
        <w:t xml:space="preserve">Table </w:t>
      </w:r>
      <w:r w:rsidR="006E2BA9">
        <w:t>71</w:t>
      </w:r>
      <w:r w:rsidRPr="008A79B9">
        <w:fldChar w:fldCharType="end"/>
      </w:r>
      <w:r w:rsidRPr="00B35E47">
        <w:t xml:space="preserve"> summarise this information.</w:t>
      </w:r>
    </w:p>
    <w:p w14:paraId="72A0FDAA" w14:textId="68866E8C" w:rsidR="00720F38" w:rsidRPr="00082C1A" w:rsidRDefault="00720F38" w:rsidP="00720F38">
      <w:pPr>
        <w:pStyle w:val="Caption"/>
      </w:pPr>
      <w:bookmarkStart w:id="374" w:name="_Ref34223109"/>
      <w:bookmarkStart w:id="375" w:name="_Toc36054848"/>
      <w:bookmarkStart w:id="376" w:name="_Toc39580851"/>
      <w:r w:rsidRPr="00082C1A">
        <w:t xml:space="preserve">Table </w:t>
      </w:r>
      <w:fldSimple w:instr=" SEQ Table \* ARABIC ">
        <w:r w:rsidR="00FA7BCD">
          <w:rPr>
            <w:noProof/>
          </w:rPr>
          <w:t>70</w:t>
        </w:r>
      </w:fldSimple>
      <w:bookmarkEnd w:id="374"/>
      <w:r w:rsidRPr="00082C1A">
        <w:tab/>
        <w:t>AQP4-Ab test utilisation data provided by Pathology Queensland</w:t>
      </w:r>
      <w:bookmarkEnd w:id="375"/>
      <w:bookmarkEnd w:id="376"/>
    </w:p>
    <w:tbl>
      <w:tblPr>
        <w:tblStyle w:val="TableGrid21"/>
        <w:tblW w:w="5000" w:type="pct"/>
        <w:tblLook w:val="04A0" w:firstRow="1" w:lastRow="0" w:firstColumn="1" w:lastColumn="0" w:noHBand="0" w:noVBand="1"/>
        <w:tblCaption w:val="Table 70 AQP4-Ab test utilisation data provided by Pathology Queensland"/>
      </w:tblPr>
      <w:tblGrid>
        <w:gridCol w:w="2780"/>
        <w:gridCol w:w="1091"/>
        <w:gridCol w:w="1028"/>
        <w:gridCol w:w="1028"/>
        <w:gridCol w:w="1028"/>
        <w:gridCol w:w="1028"/>
        <w:gridCol w:w="1033"/>
      </w:tblGrid>
      <w:tr w:rsidR="00720F38" w:rsidRPr="00B35E47" w14:paraId="640EF20D" w14:textId="77777777" w:rsidTr="00720F38">
        <w:trPr>
          <w:cnfStyle w:val="100000000000" w:firstRow="1" w:lastRow="0" w:firstColumn="0" w:lastColumn="0" w:oddVBand="0" w:evenVBand="0" w:oddHBand="0" w:evenHBand="0" w:firstRowFirstColumn="0" w:firstRowLastColumn="0" w:lastRowFirstColumn="0" w:lastRowLastColumn="0"/>
          <w:trHeight w:val="315"/>
        </w:trPr>
        <w:tc>
          <w:tcPr>
            <w:tcW w:w="1542" w:type="pct"/>
            <w:noWrap/>
            <w:hideMark/>
          </w:tcPr>
          <w:p w14:paraId="25306882" w14:textId="77777777" w:rsidR="00720F38" w:rsidRPr="00B35E47" w:rsidRDefault="00720F38" w:rsidP="00720F38">
            <w:pPr>
              <w:keepNext/>
              <w:rPr>
                <w:rFonts w:ascii="Arial Narrow" w:hAnsi="Arial Narrow"/>
                <w:b/>
                <w:lang w:eastAsia="en-US"/>
              </w:rPr>
            </w:pPr>
            <w:r w:rsidRPr="00B35E47">
              <w:rPr>
                <w:rFonts w:ascii="Arial Narrow" w:hAnsi="Arial Narrow"/>
                <w:b/>
                <w:lang w:eastAsia="en-US"/>
              </w:rPr>
              <w:t> </w:t>
            </w:r>
          </w:p>
        </w:tc>
        <w:tc>
          <w:tcPr>
            <w:tcW w:w="605" w:type="pct"/>
            <w:noWrap/>
            <w:hideMark/>
          </w:tcPr>
          <w:p w14:paraId="4D25FF8B" w14:textId="77777777" w:rsidR="00720F38" w:rsidRPr="00B35E47" w:rsidRDefault="00720F38" w:rsidP="00720F38">
            <w:pPr>
              <w:keepNext/>
              <w:jc w:val="center"/>
              <w:rPr>
                <w:rFonts w:ascii="Arial Narrow" w:hAnsi="Arial Narrow"/>
                <w:b/>
                <w:lang w:eastAsia="en-US"/>
              </w:rPr>
            </w:pPr>
            <w:r w:rsidRPr="00B35E47">
              <w:rPr>
                <w:rFonts w:ascii="Arial Narrow" w:hAnsi="Arial Narrow"/>
                <w:b/>
                <w:lang w:eastAsia="en-US"/>
              </w:rPr>
              <w:t>2015</w:t>
            </w:r>
          </w:p>
        </w:tc>
        <w:tc>
          <w:tcPr>
            <w:tcW w:w="570" w:type="pct"/>
            <w:noWrap/>
            <w:hideMark/>
          </w:tcPr>
          <w:p w14:paraId="45C959CD" w14:textId="77777777" w:rsidR="00720F38" w:rsidRPr="00B35E47" w:rsidRDefault="00720F38" w:rsidP="00720F38">
            <w:pPr>
              <w:keepNext/>
              <w:jc w:val="center"/>
              <w:rPr>
                <w:rFonts w:ascii="Arial Narrow" w:hAnsi="Arial Narrow"/>
                <w:b/>
                <w:lang w:eastAsia="en-US"/>
              </w:rPr>
            </w:pPr>
            <w:r w:rsidRPr="00B35E47">
              <w:rPr>
                <w:rFonts w:ascii="Arial Narrow" w:hAnsi="Arial Narrow"/>
                <w:b/>
                <w:lang w:eastAsia="en-US"/>
              </w:rPr>
              <w:t>2016</w:t>
            </w:r>
          </w:p>
        </w:tc>
        <w:tc>
          <w:tcPr>
            <w:tcW w:w="570" w:type="pct"/>
            <w:noWrap/>
            <w:hideMark/>
          </w:tcPr>
          <w:p w14:paraId="5886F34D" w14:textId="77777777" w:rsidR="00720F38" w:rsidRPr="00B35E47" w:rsidRDefault="00720F38" w:rsidP="00720F38">
            <w:pPr>
              <w:keepNext/>
              <w:jc w:val="center"/>
              <w:rPr>
                <w:rFonts w:ascii="Arial Narrow" w:hAnsi="Arial Narrow"/>
                <w:b/>
                <w:lang w:eastAsia="en-US"/>
              </w:rPr>
            </w:pPr>
            <w:r w:rsidRPr="00B35E47">
              <w:rPr>
                <w:rFonts w:ascii="Arial Narrow" w:hAnsi="Arial Narrow"/>
                <w:b/>
                <w:lang w:eastAsia="en-US"/>
              </w:rPr>
              <w:t>2017</w:t>
            </w:r>
          </w:p>
        </w:tc>
        <w:tc>
          <w:tcPr>
            <w:tcW w:w="570" w:type="pct"/>
            <w:noWrap/>
            <w:hideMark/>
          </w:tcPr>
          <w:p w14:paraId="4C30A50B" w14:textId="77777777" w:rsidR="00720F38" w:rsidRPr="00B35E47" w:rsidRDefault="00720F38" w:rsidP="00720F38">
            <w:pPr>
              <w:keepNext/>
              <w:jc w:val="center"/>
              <w:rPr>
                <w:rFonts w:ascii="Arial Narrow" w:hAnsi="Arial Narrow"/>
                <w:b/>
                <w:lang w:eastAsia="en-US"/>
              </w:rPr>
            </w:pPr>
            <w:r w:rsidRPr="00B35E47">
              <w:rPr>
                <w:rFonts w:ascii="Arial Narrow" w:hAnsi="Arial Narrow"/>
                <w:b/>
                <w:lang w:eastAsia="en-US"/>
              </w:rPr>
              <w:t>2018</w:t>
            </w:r>
          </w:p>
        </w:tc>
        <w:tc>
          <w:tcPr>
            <w:tcW w:w="570" w:type="pct"/>
            <w:noWrap/>
            <w:hideMark/>
          </w:tcPr>
          <w:p w14:paraId="01386932" w14:textId="77777777" w:rsidR="00720F38" w:rsidRPr="00B35E47" w:rsidRDefault="00720F38" w:rsidP="00720F38">
            <w:pPr>
              <w:keepNext/>
              <w:jc w:val="center"/>
              <w:rPr>
                <w:rFonts w:ascii="Arial Narrow" w:hAnsi="Arial Narrow"/>
                <w:b/>
                <w:lang w:eastAsia="en-US"/>
              </w:rPr>
            </w:pPr>
            <w:r w:rsidRPr="00B35E47">
              <w:rPr>
                <w:rFonts w:ascii="Arial Narrow" w:hAnsi="Arial Narrow"/>
                <w:b/>
                <w:lang w:eastAsia="en-US"/>
              </w:rPr>
              <w:t>2019</w:t>
            </w:r>
          </w:p>
        </w:tc>
        <w:tc>
          <w:tcPr>
            <w:tcW w:w="574" w:type="pct"/>
            <w:noWrap/>
            <w:hideMark/>
          </w:tcPr>
          <w:p w14:paraId="6C28609A" w14:textId="77777777" w:rsidR="00720F38" w:rsidRPr="00B35E47" w:rsidRDefault="00720F38" w:rsidP="00720F38">
            <w:pPr>
              <w:keepNext/>
              <w:jc w:val="center"/>
              <w:rPr>
                <w:rFonts w:ascii="Arial Narrow" w:hAnsi="Arial Narrow"/>
                <w:b/>
                <w:lang w:eastAsia="en-US"/>
              </w:rPr>
            </w:pPr>
            <w:r w:rsidRPr="00B35E47">
              <w:rPr>
                <w:rFonts w:ascii="Arial Narrow" w:hAnsi="Arial Narrow"/>
                <w:b/>
                <w:lang w:eastAsia="en-US"/>
              </w:rPr>
              <w:t>Average</w:t>
            </w:r>
          </w:p>
        </w:tc>
      </w:tr>
      <w:tr w:rsidR="00720F38" w:rsidRPr="00B35E47" w14:paraId="3CFCF111" w14:textId="77777777" w:rsidTr="00720F38">
        <w:trPr>
          <w:trHeight w:val="300"/>
        </w:trPr>
        <w:tc>
          <w:tcPr>
            <w:tcW w:w="1542" w:type="pct"/>
            <w:noWrap/>
            <w:hideMark/>
          </w:tcPr>
          <w:p w14:paraId="2C68B6B7" w14:textId="77777777" w:rsidR="00720F38" w:rsidRPr="00B35E47" w:rsidRDefault="00720F38" w:rsidP="00720F38">
            <w:pPr>
              <w:contextualSpacing/>
              <w:jc w:val="left"/>
              <w:rPr>
                <w:rFonts w:ascii="Arial Narrow" w:hAnsi="Arial Narrow"/>
                <w:b/>
                <w:lang w:eastAsia="en-US"/>
              </w:rPr>
            </w:pPr>
            <w:r w:rsidRPr="00B35E47">
              <w:rPr>
                <w:rFonts w:ascii="Arial Narrow" w:hAnsi="Arial Narrow"/>
                <w:b/>
                <w:lang w:eastAsia="en-US"/>
              </w:rPr>
              <w:t>Total AQP4 requests</w:t>
            </w:r>
          </w:p>
        </w:tc>
        <w:tc>
          <w:tcPr>
            <w:tcW w:w="605" w:type="pct"/>
            <w:noWrap/>
            <w:hideMark/>
          </w:tcPr>
          <w:p w14:paraId="483643BA"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1578</w:t>
            </w:r>
          </w:p>
        </w:tc>
        <w:tc>
          <w:tcPr>
            <w:tcW w:w="570" w:type="pct"/>
            <w:noWrap/>
            <w:hideMark/>
          </w:tcPr>
          <w:p w14:paraId="64D107B7"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1414</w:t>
            </w:r>
          </w:p>
        </w:tc>
        <w:tc>
          <w:tcPr>
            <w:tcW w:w="570" w:type="pct"/>
            <w:noWrap/>
            <w:hideMark/>
          </w:tcPr>
          <w:p w14:paraId="4221ECD2"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1439</w:t>
            </w:r>
          </w:p>
        </w:tc>
        <w:tc>
          <w:tcPr>
            <w:tcW w:w="570" w:type="pct"/>
            <w:noWrap/>
            <w:hideMark/>
          </w:tcPr>
          <w:p w14:paraId="2A86F900"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1575</w:t>
            </w:r>
          </w:p>
        </w:tc>
        <w:tc>
          <w:tcPr>
            <w:tcW w:w="570" w:type="pct"/>
            <w:noWrap/>
            <w:hideMark/>
          </w:tcPr>
          <w:p w14:paraId="170B3E22"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1973</w:t>
            </w:r>
          </w:p>
        </w:tc>
        <w:tc>
          <w:tcPr>
            <w:tcW w:w="574" w:type="pct"/>
            <w:noWrap/>
            <w:hideMark/>
          </w:tcPr>
          <w:p w14:paraId="255B5C9E"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1596</w:t>
            </w:r>
          </w:p>
        </w:tc>
      </w:tr>
      <w:tr w:rsidR="00720F38" w:rsidRPr="00B35E47" w14:paraId="670A2DA6" w14:textId="77777777" w:rsidTr="00720F38">
        <w:trPr>
          <w:trHeight w:val="300"/>
        </w:trPr>
        <w:tc>
          <w:tcPr>
            <w:tcW w:w="1542" w:type="pct"/>
            <w:noWrap/>
            <w:hideMark/>
          </w:tcPr>
          <w:p w14:paraId="4EB8E095"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Serum</w:t>
            </w:r>
          </w:p>
        </w:tc>
        <w:tc>
          <w:tcPr>
            <w:tcW w:w="605" w:type="pct"/>
            <w:noWrap/>
            <w:hideMark/>
          </w:tcPr>
          <w:p w14:paraId="258C91F1"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1408</w:t>
            </w:r>
          </w:p>
        </w:tc>
        <w:tc>
          <w:tcPr>
            <w:tcW w:w="570" w:type="pct"/>
            <w:noWrap/>
            <w:hideMark/>
          </w:tcPr>
          <w:p w14:paraId="1CC78DEA"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1200</w:t>
            </w:r>
          </w:p>
        </w:tc>
        <w:tc>
          <w:tcPr>
            <w:tcW w:w="570" w:type="pct"/>
            <w:noWrap/>
            <w:hideMark/>
          </w:tcPr>
          <w:p w14:paraId="2E9C08CD"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1235</w:t>
            </w:r>
          </w:p>
        </w:tc>
        <w:tc>
          <w:tcPr>
            <w:tcW w:w="570" w:type="pct"/>
            <w:noWrap/>
            <w:hideMark/>
          </w:tcPr>
          <w:p w14:paraId="330A5C31"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1347</w:t>
            </w:r>
          </w:p>
        </w:tc>
        <w:tc>
          <w:tcPr>
            <w:tcW w:w="570" w:type="pct"/>
            <w:noWrap/>
            <w:hideMark/>
          </w:tcPr>
          <w:p w14:paraId="2F7F94BA"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1696</w:t>
            </w:r>
          </w:p>
        </w:tc>
        <w:tc>
          <w:tcPr>
            <w:tcW w:w="574" w:type="pct"/>
            <w:noWrap/>
            <w:hideMark/>
          </w:tcPr>
          <w:p w14:paraId="4C795DA4"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1377</w:t>
            </w:r>
          </w:p>
        </w:tc>
      </w:tr>
      <w:tr w:rsidR="00720F38" w:rsidRPr="00B35E47" w14:paraId="171F3F60" w14:textId="77777777" w:rsidTr="00720F38">
        <w:trPr>
          <w:trHeight w:val="315"/>
        </w:trPr>
        <w:tc>
          <w:tcPr>
            <w:tcW w:w="1542" w:type="pct"/>
            <w:noWrap/>
            <w:hideMark/>
          </w:tcPr>
          <w:p w14:paraId="0C8627AD"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CSF</w:t>
            </w:r>
          </w:p>
        </w:tc>
        <w:tc>
          <w:tcPr>
            <w:tcW w:w="605" w:type="pct"/>
            <w:noWrap/>
            <w:hideMark/>
          </w:tcPr>
          <w:p w14:paraId="11ACE0AE"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170</w:t>
            </w:r>
          </w:p>
        </w:tc>
        <w:tc>
          <w:tcPr>
            <w:tcW w:w="570" w:type="pct"/>
            <w:noWrap/>
            <w:hideMark/>
          </w:tcPr>
          <w:p w14:paraId="30343BF8"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214</w:t>
            </w:r>
          </w:p>
        </w:tc>
        <w:tc>
          <w:tcPr>
            <w:tcW w:w="570" w:type="pct"/>
            <w:noWrap/>
            <w:hideMark/>
          </w:tcPr>
          <w:p w14:paraId="5EED5AE1"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204</w:t>
            </w:r>
          </w:p>
        </w:tc>
        <w:tc>
          <w:tcPr>
            <w:tcW w:w="570" w:type="pct"/>
            <w:noWrap/>
            <w:hideMark/>
          </w:tcPr>
          <w:p w14:paraId="52C45602"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228</w:t>
            </w:r>
          </w:p>
        </w:tc>
        <w:tc>
          <w:tcPr>
            <w:tcW w:w="570" w:type="pct"/>
            <w:noWrap/>
            <w:hideMark/>
          </w:tcPr>
          <w:p w14:paraId="5124769F"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277</w:t>
            </w:r>
          </w:p>
        </w:tc>
        <w:tc>
          <w:tcPr>
            <w:tcW w:w="574" w:type="pct"/>
            <w:noWrap/>
            <w:hideMark/>
          </w:tcPr>
          <w:p w14:paraId="7EE7A12D"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219</w:t>
            </w:r>
          </w:p>
        </w:tc>
      </w:tr>
      <w:tr w:rsidR="00720F38" w:rsidRPr="00B35E47" w14:paraId="0A9A1161" w14:textId="77777777" w:rsidTr="00720F38">
        <w:trPr>
          <w:trHeight w:val="300"/>
        </w:trPr>
        <w:tc>
          <w:tcPr>
            <w:tcW w:w="1542" w:type="pct"/>
            <w:noWrap/>
            <w:hideMark/>
          </w:tcPr>
          <w:p w14:paraId="24CEFB73"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Positive Serum</w:t>
            </w:r>
          </w:p>
        </w:tc>
        <w:tc>
          <w:tcPr>
            <w:tcW w:w="605" w:type="pct"/>
            <w:noWrap/>
            <w:hideMark/>
          </w:tcPr>
          <w:p w14:paraId="33913FBF"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48</w:t>
            </w:r>
          </w:p>
        </w:tc>
        <w:tc>
          <w:tcPr>
            <w:tcW w:w="570" w:type="pct"/>
            <w:noWrap/>
            <w:hideMark/>
          </w:tcPr>
          <w:p w14:paraId="66475B79"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31</w:t>
            </w:r>
          </w:p>
        </w:tc>
        <w:tc>
          <w:tcPr>
            <w:tcW w:w="570" w:type="pct"/>
            <w:noWrap/>
            <w:hideMark/>
          </w:tcPr>
          <w:p w14:paraId="5A8D3009"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34</w:t>
            </w:r>
          </w:p>
        </w:tc>
        <w:tc>
          <w:tcPr>
            <w:tcW w:w="570" w:type="pct"/>
            <w:noWrap/>
            <w:hideMark/>
          </w:tcPr>
          <w:p w14:paraId="7578A581"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36</w:t>
            </w:r>
          </w:p>
        </w:tc>
        <w:tc>
          <w:tcPr>
            <w:tcW w:w="570" w:type="pct"/>
            <w:noWrap/>
            <w:hideMark/>
          </w:tcPr>
          <w:p w14:paraId="307236B5"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63</w:t>
            </w:r>
          </w:p>
        </w:tc>
        <w:tc>
          <w:tcPr>
            <w:tcW w:w="574" w:type="pct"/>
            <w:noWrap/>
            <w:hideMark/>
          </w:tcPr>
          <w:p w14:paraId="28A98683"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42</w:t>
            </w:r>
          </w:p>
        </w:tc>
      </w:tr>
      <w:tr w:rsidR="00720F38" w:rsidRPr="00B35E47" w14:paraId="58B57D80" w14:textId="77777777" w:rsidTr="00720F38">
        <w:trPr>
          <w:trHeight w:val="315"/>
        </w:trPr>
        <w:tc>
          <w:tcPr>
            <w:tcW w:w="1542" w:type="pct"/>
            <w:noWrap/>
            <w:hideMark/>
          </w:tcPr>
          <w:p w14:paraId="53997C25"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Positive CSF</w:t>
            </w:r>
          </w:p>
        </w:tc>
        <w:tc>
          <w:tcPr>
            <w:tcW w:w="605" w:type="pct"/>
            <w:noWrap/>
            <w:hideMark/>
          </w:tcPr>
          <w:p w14:paraId="423C8357"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3</w:t>
            </w:r>
          </w:p>
        </w:tc>
        <w:tc>
          <w:tcPr>
            <w:tcW w:w="570" w:type="pct"/>
            <w:noWrap/>
            <w:hideMark/>
          </w:tcPr>
          <w:p w14:paraId="268769AA"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4</w:t>
            </w:r>
          </w:p>
        </w:tc>
        <w:tc>
          <w:tcPr>
            <w:tcW w:w="570" w:type="pct"/>
            <w:noWrap/>
            <w:hideMark/>
          </w:tcPr>
          <w:p w14:paraId="33ED560E"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5</w:t>
            </w:r>
          </w:p>
        </w:tc>
        <w:tc>
          <w:tcPr>
            <w:tcW w:w="570" w:type="pct"/>
            <w:noWrap/>
            <w:hideMark/>
          </w:tcPr>
          <w:p w14:paraId="330B32E0"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4</w:t>
            </w:r>
          </w:p>
        </w:tc>
        <w:tc>
          <w:tcPr>
            <w:tcW w:w="570" w:type="pct"/>
            <w:noWrap/>
            <w:hideMark/>
          </w:tcPr>
          <w:p w14:paraId="4FAB8268"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7</w:t>
            </w:r>
          </w:p>
        </w:tc>
        <w:tc>
          <w:tcPr>
            <w:tcW w:w="574" w:type="pct"/>
            <w:noWrap/>
            <w:hideMark/>
          </w:tcPr>
          <w:p w14:paraId="01B6B11E"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5</w:t>
            </w:r>
          </w:p>
        </w:tc>
      </w:tr>
      <w:tr w:rsidR="00720F38" w:rsidRPr="00B35E47" w14:paraId="7CD8DE45" w14:textId="77777777" w:rsidTr="00720F38">
        <w:trPr>
          <w:trHeight w:val="300"/>
        </w:trPr>
        <w:tc>
          <w:tcPr>
            <w:tcW w:w="1542" w:type="pct"/>
            <w:noWrap/>
            <w:hideMark/>
          </w:tcPr>
          <w:p w14:paraId="459C7AC8"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Yield, serum only</w:t>
            </w:r>
          </w:p>
        </w:tc>
        <w:tc>
          <w:tcPr>
            <w:tcW w:w="605" w:type="pct"/>
            <w:noWrap/>
            <w:hideMark/>
          </w:tcPr>
          <w:p w14:paraId="1F1F2EFD"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3.4%</w:t>
            </w:r>
          </w:p>
        </w:tc>
        <w:tc>
          <w:tcPr>
            <w:tcW w:w="570" w:type="pct"/>
            <w:noWrap/>
            <w:hideMark/>
          </w:tcPr>
          <w:p w14:paraId="0A5A5BB5"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2.6%</w:t>
            </w:r>
          </w:p>
        </w:tc>
        <w:tc>
          <w:tcPr>
            <w:tcW w:w="570" w:type="pct"/>
            <w:noWrap/>
            <w:hideMark/>
          </w:tcPr>
          <w:p w14:paraId="477CE048"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2.8%</w:t>
            </w:r>
          </w:p>
        </w:tc>
        <w:tc>
          <w:tcPr>
            <w:tcW w:w="570" w:type="pct"/>
            <w:noWrap/>
            <w:hideMark/>
          </w:tcPr>
          <w:p w14:paraId="1CB50678"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2.7%</w:t>
            </w:r>
          </w:p>
        </w:tc>
        <w:tc>
          <w:tcPr>
            <w:tcW w:w="570" w:type="pct"/>
            <w:noWrap/>
            <w:hideMark/>
          </w:tcPr>
          <w:p w14:paraId="67C5FB0A"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3.7%</w:t>
            </w:r>
          </w:p>
        </w:tc>
        <w:tc>
          <w:tcPr>
            <w:tcW w:w="574" w:type="pct"/>
            <w:noWrap/>
            <w:hideMark/>
          </w:tcPr>
          <w:p w14:paraId="313C997B"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3.0%</w:t>
            </w:r>
          </w:p>
        </w:tc>
      </w:tr>
      <w:tr w:rsidR="00720F38" w:rsidRPr="00B35E47" w14:paraId="1E8E1FAE" w14:textId="77777777" w:rsidTr="00720F38">
        <w:trPr>
          <w:trHeight w:val="300"/>
        </w:trPr>
        <w:tc>
          <w:tcPr>
            <w:tcW w:w="1542" w:type="pct"/>
            <w:noWrap/>
            <w:hideMark/>
          </w:tcPr>
          <w:p w14:paraId="26D3EE0F" w14:textId="77777777" w:rsidR="00720F38" w:rsidRPr="00B35E47" w:rsidRDefault="00720F38" w:rsidP="00720F38">
            <w:pPr>
              <w:contextualSpacing/>
              <w:jc w:val="left"/>
              <w:rPr>
                <w:rFonts w:ascii="Arial Narrow" w:hAnsi="Arial Narrow"/>
                <w:b/>
                <w:lang w:eastAsia="en-US"/>
              </w:rPr>
            </w:pPr>
            <w:r w:rsidRPr="00B35E47">
              <w:rPr>
                <w:rFonts w:ascii="Arial Narrow" w:hAnsi="Arial Narrow"/>
                <w:b/>
                <w:lang w:eastAsia="en-US"/>
              </w:rPr>
              <w:t>Yield, both serum and CSF</w:t>
            </w:r>
          </w:p>
        </w:tc>
        <w:tc>
          <w:tcPr>
            <w:tcW w:w="605" w:type="pct"/>
            <w:noWrap/>
            <w:hideMark/>
          </w:tcPr>
          <w:p w14:paraId="2B608BFE"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3.2%</w:t>
            </w:r>
          </w:p>
        </w:tc>
        <w:tc>
          <w:tcPr>
            <w:tcW w:w="570" w:type="pct"/>
            <w:noWrap/>
            <w:hideMark/>
          </w:tcPr>
          <w:p w14:paraId="31E7613F"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2.5%</w:t>
            </w:r>
          </w:p>
        </w:tc>
        <w:tc>
          <w:tcPr>
            <w:tcW w:w="570" w:type="pct"/>
            <w:noWrap/>
            <w:hideMark/>
          </w:tcPr>
          <w:p w14:paraId="148A7CCA"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2.7%</w:t>
            </w:r>
          </w:p>
        </w:tc>
        <w:tc>
          <w:tcPr>
            <w:tcW w:w="570" w:type="pct"/>
            <w:noWrap/>
            <w:hideMark/>
          </w:tcPr>
          <w:p w14:paraId="1FE20F20"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2.5%</w:t>
            </w:r>
          </w:p>
        </w:tc>
        <w:tc>
          <w:tcPr>
            <w:tcW w:w="570" w:type="pct"/>
            <w:noWrap/>
            <w:hideMark/>
          </w:tcPr>
          <w:p w14:paraId="3E6B0BE0"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3.5%</w:t>
            </w:r>
          </w:p>
        </w:tc>
        <w:tc>
          <w:tcPr>
            <w:tcW w:w="574" w:type="pct"/>
            <w:noWrap/>
            <w:hideMark/>
          </w:tcPr>
          <w:p w14:paraId="2BB374A1" w14:textId="77777777" w:rsidR="00720F38" w:rsidRPr="00B35E47" w:rsidRDefault="00720F38" w:rsidP="00720F38">
            <w:pPr>
              <w:contextualSpacing/>
              <w:jc w:val="center"/>
              <w:rPr>
                <w:rFonts w:ascii="Arial Narrow" w:hAnsi="Arial Narrow"/>
                <w:b/>
                <w:lang w:eastAsia="en-US"/>
              </w:rPr>
            </w:pPr>
            <w:r w:rsidRPr="00B35E47">
              <w:rPr>
                <w:rFonts w:ascii="Arial Narrow" w:hAnsi="Arial Narrow"/>
                <w:b/>
                <w:lang w:eastAsia="en-US"/>
              </w:rPr>
              <w:t>2.9%</w:t>
            </w:r>
          </w:p>
        </w:tc>
      </w:tr>
    </w:tbl>
    <w:p w14:paraId="4D620BDC" w14:textId="77777777" w:rsidR="00720F38" w:rsidRPr="00B35E47" w:rsidRDefault="00720F38" w:rsidP="00720F3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Source: Pathology Queensland (also includes tests referred by SA Pathology). Data provided by Dr Greg Bryson through personal communication on 4</w:t>
      </w:r>
      <w:r w:rsidRPr="00B35E47">
        <w:rPr>
          <w:rFonts w:ascii="Arial Narrow" w:hAnsi="Arial Narrow" w:cs="Arial"/>
          <w:snapToGrid w:val="0"/>
          <w:sz w:val="18"/>
          <w:szCs w:val="20"/>
          <w:vertAlign w:val="superscript"/>
          <w:lang w:eastAsia="en-US"/>
        </w:rPr>
        <w:t>th</w:t>
      </w:r>
      <w:r w:rsidRPr="00B35E47">
        <w:rPr>
          <w:rFonts w:ascii="Arial Narrow" w:hAnsi="Arial Narrow" w:cs="Arial"/>
          <w:snapToGrid w:val="0"/>
          <w:sz w:val="18"/>
          <w:szCs w:val="20"/>
          <w:lang w:eastAsia="en-US"/>
        </w:rPr>
        <w:t xml:space="preserve"> February 2020.</w:t>
      </w:r>
    </w:p>
    <w:p w14:paraId="456DD2DC" w14:textId="77777777" w:rsidR="00720F38" w:rsidRPr="00B35E47" w:rsidRDefault="00720F38" w:rsidP="00720F3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AQP4-Ab = aquaporin 4 antibodies; CSF = cerebrospinal fluid</w:t>
      </w:r>
    </w:p>
    <w:p w14:paraId="213F16E5" w14:textId="0E533685" w:rsidR="00720F38" w:rsidRPr="00B35E47" w:rsidRDefault="00720F38" w:rsidP="00720F38">
      <w:pPr>
        <w:pStyle w:val="Caption"/>
      </w:pPr>
      <w:bookmarkStart w:id="377" w:name="_Ref34223120"/>
      <w:bookmarkStart w:id="378" w:name="_Toc36054849"/>
      <w:bookmarkStart w:id="379" w:name="_Toc39580852"/>
      <w:r w:rsidRPr="00B35E47">
        <w:t xml:space="preserve">Table </w:t>
      </w:r>
      <w:fldSimple w:instr=" SEQ Table \* ARABIC ">
        <w:r w:rsidR="00FA7BCD">
          <w:rPr>
            <w:noProof/>
          </w:rPr>
          <w:t>71</w:t>
        </w:r>
      </w:fldSimple>
      <w:bookmarkEnd w:id="377"/>
      <w:r w:rsidRPr="00B35E47">
        <w:tab/>
        <w:t>Number of AQP4-Ab or MOG-Ab tests referred to PathWest Laboratories in 2019</w:t>
      </w:r>
      <w:bookmarkEnd w:id="378"/>
      <w:bookmarkEnd w:id="379"/>
    </w:p>
    <w:tbl>
      <w:tblPr>
        <w:tblStyle w:val="TableGrid21"/>
        <w:tblW w:w="5000" w:type="pct"/>
        <w:tblLook w:val="04A0" w:firstRow="1" w:lastRow="0" w:firstColumn="1" w:lastColumn="0" w:noHBand="0" w:noVBand="1"/>
        <w:tblCaption w:val="Table 71 Number of AQP4-Ab or MOG-Ab tests referred to PathWest Laboratories in 2019"/>
      </w:tblPr>
      <w:tblGrid>
        <w:gridCol w:w="4204"/>
        <w:gridCol w:w="2675"/>
        <w:gridCol w:w="2137"/>
      </w:tblGrid>
      <w:tr w:rsidR="00720F38" w:rsidRPr="00B35E47" w14:paraId="1C0EBEEA" w14:textId="77777777" w:rsidTr="00720F38">
        <w:trPr>
          <w:cnfStyle w:val="100000000000" w:firstRow="1" w:lastRow="0" w:firstColumn="0" w:lastColumn="0" w:oddVBand="0" w:evenVBand="0" w:oddHBand="0" w:evenHBand="0" w:firstRowFirstColumn="0" w:firstRowLastColumn="0" w:lastRowFirstColumn="0" w:lastRowLastColumn="0"/>
          <w:trHeight w:val="300"/>
        </w:trPr>
        <w:tc>
          <w:tcPr>
            <w:tcW w:w="2331" w:type="pct"/>
            <w:noWrap/>
            <w:vAlign w:val="center"/>
            <w:hideMark/>
          </w:tcPr>
          <w:p w14:paraId="0C5E01EC" w14:textId="77777777" w:rsidR="00720F38" w:rsidRPr="00B35E47" w:rsidRDefault="00720F38" w:rsidP="00720F38">
            <w:pPr>
              <w:keepNext/>
              <w:jc w:val="left"/>
              <w:rPr>
                <w:rFonts w:ascii="Arial Narrow" w:hAnsi="Arial Narrow"/>
                <w:b/>
                <w:lang w:eastAsia="en-US"/>
              </w:rPr>
            </w:pPr>
            <w:r w:rsidRPr="00B35E47">
              <w:rPr>
                <w:rFonts w:ascii="Arial Narrow" w:hAnsi="Arial Narrow"/>
                <w:b/>
                <w:lang w:eastAsia="en-US"/>
              </w:rPr>
              <w:t>Description</w:t>
            </w:r>
          </w:p>
        </w:tc>
        <w:tc>
          <w:tcPr>
            <w:tcW w:w="1483" w:type="pct"/>
            <w:noWrap/>
            <w:vAlign w:val="center"/>
            <w:hideMark/>
          </w:tcPr>
          <w:p w14:paraId="0D7C6D17" w14:textId="77777777" w:rsidR="00720F38" w:rsidRPr="00B35E47" w:rsidRDefault="00720F38" w:rsidP="00720F38">
            <w:pPr>
              <w:keepNext/>
              <w:jc w:val="center"/>
              <w:rPr>
                <w:rFonts w:ascii="Arial Narrow" w:hAnsi="Arial Narrow"/>
                <w:b/>
                <w:lang w:eastAsia="en-US"/>
              </w:rPr>
            </w:pPr>
            <w:r w:rsidRPr="00B35E47">
              <w:rPr>
                <w:rFonts w:ascii="Arial Narrow" w:hAnsi="Arial Narrow"/>
                <w:b/>
                <w:lang w:eastAsia="en-US"/>
              </w:rPr>
              <w:t>AQP4</w:t>
            </w:r>
          </w:p>
        </w:tc>
        <w:tc>
          <w:tcPr>
            <w:tcW w:w="1185" w:type="pct"/>
            <w:vAlign w:val="center"/>
          </w:tcPr>
          <w:p w14:paraId="7971C13A" w14:textId="77777777" w:rsidR="00720F38" w:rsidRPr="00B35E47" w:rsidRDefault="00720F38" w:rsidP="00720F38">
            <w:pPr>
              <w:keepNext/>
              <w:jc w:val="center"/>
              <w:rPr>
                <w:rFonts w:ascii="Arial Narrow" w:hAnsi="Arial Narrow"/>
                <w:b/>
                <w:lang w:eastAsia="en-US"/>
              </w:rPr>
            </w:pPr>
            <w:r w:rsidRPr="00B35E47">
              <w:rPr>
                <w:rFonts w:ascii="Arial Narrow" w:hAnsi="Arial Narrow"/>
                <w:b/>
                <w:lang w:eastAsia="en-US"/>
              </w:rPr>
              <w:t>MOG-Ab</w:t>
            </w:r>
          </w:p>
        </w:tc>
      </w:tr>
      <w:tr w:rsidR="00720F38" w:rsidRPr="00B35E47" w14:paraId="30FAC95A" w14:textId="77777777" w:rsidTr="00720F38">
        <w:trPr>
          <w:trHeight w:val="300"/>
        </w:trPr>
        <w:tc>
          <w:tcPr>
            <w:tcW w:w="2331" w:type="pct"/>
            <w:noWrap/>
            <w:vAlign w:val="center"/>
            <w:hideMark/>
          </w:tcPr>
          <w:p w14:paraId="7CBEDFC3"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No of patients tested</w:t>
            </w:r>
          </w:p>
        </w:tc>
        <w:tc>
          <w:tcPr>
            <w:tcW w:w="1483" w:type="pct"/>
            <w:noWrap/>
            <w:vAlign w:val="center"/>
            <w:hideMark/>
          </w:tcPr>
          <w:p w14:paraId="419B23FE"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240</w:t>
            </w:r>
          </w:p>
        </w:tc>
        <w:tc>
          <w:tcPr>
            <w:tcW w:w="1185" w:type="pct"/>
            <w:vAlign w:val="center"/>
          </w:tcPr>
          <w:p w14:paraId="77C08D54"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132</w:t>
            </w:r>
          </w:p>
        </w:tc>
      </w:tr>
      <w:tr w:rsidR="00720F38" w:rsidRPr="00B35E47" w14:paraId="6CDC0A08" w14:textId="77777777" w:rsidTr="00720F38">
        <w:trPr>
          <w:trHeight w:val="300"/>
        </w:trPr>
        <w:tc>
          <w:tcPr>
            <w:tcW w:w="2331" w:type="pct"/>
            <w:noWrap/>
            <w:vAlign w:val="center"/>
            <w:hideMark/>
          </w:tcPr>
          <w:p w14:paraId="200B42A9"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No of positives</w:t>
            </w:r>
          </w:p>
        </w:tc>
        <w:tc>
          <w:tcPr>
            <w:tcW w:w="1483" w:type="pct"/>
            <w:noWrap/>
            <w:vAlign w:val="center"/>
            <w:hideMark/>
          </w:tcPr>
          <w:p w14:paraId="6B091360"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13</w:t>
            </w:r>
          </w:p>
        </w:tc>
        <w:tc>
          <w:tcPr>
            <w:tcW w:w="1185" w:type="pct"/>
            <w:vAlign w:val="center"/>
          </w:tcPr>
          <w:p w14:paraId="56393CBD"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21</w:t>
            </w:r>
          </w:p>
        </w:tc>
      </w:tr>
      <w:tr w:rsidR="00720F38" w:rsidRPr="00B35E47" w14:paraId="5FEA8B8B" w14:textId="77777777" w:rsidTr="00720F38">
        <w:trPr>
          <w:trHeight w:val="300"/>
        </w:trPr>
        <w:tc>
          <w:tcPr>
            <w:tcW w:w="2331" w:type="pct"/>
            <w:noWrap/>
            <w:vAlign w:val="center"/>
            <w:hideMark/>
          </w:tcPr>
          <w:p w14:paraId="5079B9E9"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Proportion of patients tested positive</w:t>
            </w:r>
          </w:p>
        </w:tc>
        <w:tc>
          <w:tcPr>
            <w:tcW w:w="1483" w:type="pct"/>
            <w:noWrap/>
            <w:vAlign w:val="center"/>
            <w:hideMark/>
          </w:tcPr>
          <w:p w14:paraId="68DDF3C9"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5.4%</w:t>
            </w:r>
          </w:p>
        </w:tc>
        <w:tc>
          <w:tcPr>
            <w:tcW w:w="1185" w:type="pct"/>
            <w:vAlign w:val="center"/>
          </w:tcPr>
          <w:p w14:paraId="25DE658D"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15.9%</w:t>
            </w:r>
          </w:p>
        </w:tc>
      </w:tr>
      <w:tr w:rsidR="00720F38" w:rsidRPr="00B35E47" w14:paraId="2778199E" w14:textId="77777777" w:rsidTr="00720F38">
        <w:trPr>
          <w:trHeight w:val="300"/>
        </w:trPr>
        <w:tc>
          <w:tcPr>
            <w:tcW w:w="2331" w:type="pct"/>
            <w:noWrap/>
            <w:vAlign w:val="center"/>
            <w:hideMark/>
          </w:tcPr>
          <w:p w14:paraId="43F82B9D"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Repeat testing – number of patients</w:t>
            </w:r>
          </w:p>
        </w:tc>
        <w:tc>
          <w:tcPr>
            <w:tcW w:w="1483" w:type="pct"/>
            <w:noWrap/>
            <w:vAlign w:val="center"/>
            <w:hideMark/>
          </w:tcPr>
          <w:p w14:paraId="22ADF0E4"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27</w:t>
            </w:r>
          </w:p>
        </w:tc>
        <w:tc>
          <w:tcPr>
            <w:tcW w:w="1185" w:type="pct"/>
            <w:vAlign w:val="center"/>
          </w:tcPr>
          <w:p w14:paraId="05FF1FEA"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21</w:t>
            </w:r>
          </w:p>
        </w:tc>
      </w:tr>
      <w:tr w:rsidR="00720F38" w:rsidRPr="00B35E47" w14:paraId="35E0E63B" w14:textId="77777777" w:rsidTr="00720F38">
        <w:trPr>
          <w:trHeight w:val="300"/>
        </w:trPr>
        <w:tc>
          <w:tcPr>
            <w:tcW w:w="2331" w:type="pct"/>
            <w:noWrap/>
            <w:vAlign w:val="center"/>
            <w:hideMark/>
          </w:tcPr>
          <w:p w14:paraId="457B926C"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Tested once</w:t>
            </w:r>
          </w:p>
        </w:tc>
        <w:tc>
          <w:tcPr>
            <w:tcW w:w="1483" w:type="pct"/>
            <w:noWrap/>
            <w:vAlign w:val="center"/>
            <w:hideMark/>
          </w:tcPr>
          <w:p w14:paraId="30AD12C6"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213</w:t>
            </w:r>
          </w:p>
        </w:tc>
        <w:tc>
          <w:tcPr>
            <w:tcW w:w="1185" w:type="pct"/>
            <w:vAlign w:val="center"/>
          </w:tcPr>
          <w:p w14:paraId="7AB61217"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111</w:t>
            </w:r>
          </w:p>
        </w:tc>
      </w:tr>
      <w:tr w:rsidR="00720F38" w:rsidRPr="00B35E47" w14:paraId="3011A4B0" w14:textId="77777777" w:rsidTr="00720F38">
        <w:trPr>
          <w:trHeight w:val="300"/>
        </w:trPr>
        <w:tc>
          <w:tcPr>
            <w:tcW w:w="2331" w:type="pct"/>
            <w:noWrap/>
            <w:vAlign w:val="center"/>
            <w:hideMark/>
          </w:tcPr>
          <w:p w14:paraId="0FED323D"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Tested twice</w:t>
            </w:r>
          </w:p>
        </w:tc>
        <w:tc>
          <w:tcPr>
            <w:tcW w:w="1483" w:type="pct"/>
            <w:noWrap/>
            <w:vAlign w:val="center"/>
            <w:hideMark/>
          </w:tcPr>
          <w:p w14:paraId="19AD089B"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19</w:t>
            </w:r>
          </w:p>
        </w:tc>
        <w:tc>
          <w:tcPr>
            <w:tcW w:w="1185" w:type="pct"/>
            <w:vAlign w:val="center"/>
          </w:tcPr>
          <w:p w14:paraId="1E2FEFDD"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18</w:t>
            </w:r>
          </w:p>
        </w:tc>
      </w:tr>
      <w:tr w:rsidR="00720F38" w:rsidRPr="00B35E47" w14:paraId="33456F87" w14:textId="77777777" w:rsidTr="00720F38">
        <w:trPr>
          <w:trHeight w:val="300"/>
        </w:trPr>
        <w:tc>
          <w:tcPr>
            <w:tcW w:w="2331" w:type="pct"/>
            <w:noWrap/>
            <w:vAlign w:val="center"/>
            <w:hideMark/>
          </w:tcPr>
          <w:p w14:paraId="2FE7BEA4"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Tested thrice</w:t>
            </w:r>
          </w:p>
        </w:tc>
        <w:tc>
          <w:tcPr>
            <w:tcW w:w="1483" w:type="pct"/>
            <w:noWrap/>
            <w:vAlign w:val="center"/>
            <w:hideMark/>
          </w:tcPr>
          <w:p w14:paraId="68897716"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8</w:t>
            </w:r>
          </w:p>
        </w:tc>
        <w:tc>
          <w:tcPr>
            <w:tcW w:w="1185" w:type="pct"/>
            <w:vAlign w:val="center"/>
          </w:tcPr>
          <w:p w14:paraId="7CAA7B34"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w:t>
            </w:r>
          </w:p>
        </w:tc>
      </w:tr>
      <w:tr w:rsidR="00720F38" w:rsidRPr="00B35E47" w14:paraId="5F2EA5AB" w14:textId="77777777" w:rsidTr="00720F38">
        <w:trPr>
          <w:trHeight w:val="300"/>
        </w:trPr>
        <w:tc>
          <w:tcPr>
            <w:tcW w:w="2331" w:type="pct"/>
            <w:noWrap/>
            <w:vAlign w:val="center"/>
            <w:hideMark/>
          </w:tcPr>
          <w:p w14:paraId="09D46EC7"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Tested four times</w:t>
            </w:r>
          </w:p>
        </w:tc>
        <w:tc>
          <w:tcPr>
            <w:tcW w:w="1483" w:type="pct"/>
            <w:noWrap/>
            <w:vAlign w:val="center"/>
            <w:hideMark/>
          </w:tcPr>
          <w:p w14:paraId="35AA8EE0"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w:t>
            </w:r>
          </w:p>
        </w:tc>
        <w:tc>
          <w:tcPr>
            <w:tcW w:w="1185" w:type="pct"/>
            <w:vAlign w:val="center"/>
          </w:tcPr>
          <w:p w14:paraId="6B380542"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w:t>
            </w:r>
          </w:p>
        </w:tc>
      </w:tr>
      <w:tr w:rsidR="00720F38" w:rsidRPr="00B35E47" w14:paraId="510D95F2" w14:textId="77777777" w:rsidTr="00720F38">
        <w:trPr>
          <w:trHeight w:val="300"/>
        </w:trPr>
        <w:tc>
          <w:tcPr>
            <w:tcW w:w="2331" w:type="pct"/>
            <w:noWrap/>
            <w:vAlign w:val="center"/>
            <w:hideMark/>
          </w:tcPr>
          <w:p w14:paraId="1B967228"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Total number of NMOSD-Ab tests</w:t>
            </w:r>
          </w:p>
        </w:tc>
        <w:tc>
          <w:tcPr>
            <w:tcW w:w="1483" w:type="pct"/>
            <w:noWrap/>
            <w:vAlign w:val="center"/>
            <w:hideMark/>
          </w:tcPr>
          <w:p w14:paraId="75A6249F"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275</w:t>
            </w:r>
          </w:p>
        </w:tc>
        <w:tc>
          <w:tcPr>
            <w:tcW w:w="1185" w:type="pct"/>
            <w:vAlign w:val="center"/>
          </w:tcPr>
          <w:p w14:paraId="01D7DB88"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157</w:t>
            </w:r>
          </w:p>
        </w:tc>
      </w:tr>
      <w:tr w:rsidR="00720F38" w:rsidRPr="00B35E47" w14:paraId="543B8A01" w14:textId="77777777" w:rsidTr="00720F38">
        <w:trPr>
          <w:trHeight w:val="300"/>
        </w:trPr>
        <w:tc>
          <w:tcPr>
            <w:tcW w:w="2331" w:type="pct"/>
            <w:noWrap/>
            <w:vAlign w:val="center"/>
            <w:hideMark/>
          </w:tcPr>
          <w:p w14:paraId="113E3ED5"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Proportion of tests repeated</w:t>
            </w:r>
          </w:p>
        </w:tc>
        <w:tc>
          <w:tcPr>
            <w:tcW w:w="1483" w:type="pct"/>
            <w:noWrap/>
            <w:vAlign w:val="center"/>
            <w:hideMark/>
          </w:tcPr>
          <w:p w14:paraId="1BFD3AA9"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12.7%</w:t>
            </w:r>
          </w:p>
        </w:tc>
        <w:tc>
          <w:tcPr>
            <w:tcW w:w="1185" w:type="pct"/>
            <w:vAlign w:val="center"/>
          </w:tcPr>
          <w:p w14:paraId="5CC03198"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15.9%</w:t>
            </w:r>
          </w:p>
        </w:tc>
      </w:tr>
      <w:tr w:rsidR="00720F38" w:rsidRPr="00B35E47" w14:paraId="27DAFEA8" w14:textId="77777777" w:rsidTr="00720F38">
        <w:trPr>
          <w:trHeight w:val="300"/>
        </w:trPr>
        <w:tc>
          <w:tcPr>
            <w:tcW w:w="2331" w:type="pct"/>
            <w:noWrap/>
            <w:vAlign w:val="center"/>
          </w:tcPr>
          <w:p w14:paraId="0B2A36E3"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Proportion of tests positive</w:t>
            </w:r>
          </w:p>
        </w:tc>
        <w:tc>
          <w:tcPr>
            <w:tcW w:w="1483" w:type="pct"/>
            <w:noWrap/>
            <w:vAlign w:val="center"/>
          </w:tcPr>
          <w:p w14:paraId="6D8852DE"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4.7%</w:t>
            </w:r>
          </w:p>
        </w:tc>
        <w:tc>
          <w:tcPr>
            <w:tcW w:w="1185" w:type="pct"/>
            <w:vAlign w:val="center"/>
          </w:tcPr>
          <w:p w14:paraId="21DFF587" w14:textId="77777777" w:rsidR="00720F38" w:rsidRPr="00B35E47" w:rsidRDefault="00720F38" w:rsidP="00720F38">
            <w:pPr>
              <w:contextualSpacing/>
              <w:jc w:val="center"/>
              <w:rPr>
                <w:rFonts w:ascii="Arial Narrow" w:hAnsi="Arial Narrow"/>
                <w:lang w:eastAsia="en-US"/>
              </w:rPr>
            </w:pPr>
            <w:r w:rsidRPr="00B35E47">
              <w:rPr>
                <w:rFonts w:ascii="Arial Narrow" w:hAnsi="Arial Narrow"/>
                <w:lang w:eastAsia="en-US"/>
              </w:rPr>
              <w:t>13.4%</w:t>
            </w:r>
          </w:p>
        </w:tc>
      </w:tr>
    </w:tbl>
    <w:p w14:paraId="176838DE" w14:textId="77777777" w:rsidR="00720F38" w:rsidRPr="00B35E47" w:rsidRDefault="00720F38" w:rsidP="00720F3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Source: Data provided by Dr Andrew McLean-Tooke, PathWest Laboratories through personal communication on 11/02/2020.</w:t>
      </w:r>
    </w:p>
    <w:p w14:paraId="145A5B37" w14:textId="77777777" w:rsidR="00720F38" w:rsidRDefault="00720F38" w:rsidP="00720F3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AQP4-Ab = aquaporin 4 antibodies; MOG-Ab = Myelin Oligodendrocyte Glycoprotein antibodies; NMOSD = neuromyelitis optica spectrum disorders</w:t>
      </w:r>
    </w:p>
    <w:p w14:paraId="696A1A28" w14:textId="77777777" w:rsidR="00720F38" w:rsidRPr="00B35E47" w:rsidRDefault="00720F38" w:rsidP="00720F38">
      <w:pPr>
        <w:widowControl w:val="0"/>
        <w:spacing w:after="120" w:line="240" w:lineRule="auto"/>
        <w:contextualSpacing/>
        <w:jc w:val="left"/>
        <w:rPr>
          <w:rFonts w:ascii="Arial Narrow" w:hAnsi="Arial Narrow" w:cs="Arial"/>
          <w:snapToGrid w:val="0"/>
          <w:sz w:val="18"/>
          <w:szCs w:val="20"/>
          <w:lang w:eastAsia="en-US"/>
        </w:rPr>
      </w:pPr>
    </w:p>
    <w:p w14:paraId="267A4DD2" w14:textId="77777777" w:rsidR="00720F38" w:rsidRPr="00B35E47" w:rsidRDefault="00720F38" w:rsidP="00720F38">
      <w:pPr>
        <w:spacing w:before="120"/>
      </w:pPr>
      <w:r>
        <w:t>The d</w:t>
      </w:r>
      <w:r w:rsidRPr="00B35E47">
        <w:t xml:space="preserve">iagnostic yield of AQP4-Ab seropositivity reported in the literature is contrasted by the </w:t>
      </w:r>
      <w:r>
        <w:t xml:space="preserve">lower </w:t>
      </w:r>
      <w:r w:rsidRPr="00B35E47">
        <w:t>diagnostic yield</w:t>
      </w:r>
      <w:r>
        <w:t>s</w:t>
      </w:r>
      <w:r w:rsidRPr="00B35E47">
        <w:t xml:space="preserve"> determined from Australian clinical laboratory data. From the laboratory data, diagnostic yield was found to be 2.9% in Queensland (including tests sent from South Australia) and 5.4% in Western Australia</w:t>
      </w:r>
      <w:r>
        <w:t xml:space="preserve">. This suggests that possibly in Australia </w:t>
      </w:r>
      <w:r w:rsidRPr="00B35E47">
        <w:t xml:space="preserve">a broader population </w:t>
      </w:r>
      <w:r>
        <w:t xml:space="preserve">is receiving </w:t>
      </w:r>
      <w:r w:rsidRPr="00B35E47">
        <w:t xml:space="preserve">testing than </w:t>
      </w:r>
      <w:r>
        <w:t xml:space="preserve">occurs </w:t>
      </w:r>
      <w:r w:rsidRPr="00B35E47">
        <w:t xml:space="preserve">in the </w:t>
      </w:r>
      <w:r>
        <w:t>identified studies</w:t>
      </w:r>
      <w:r w:rsidRPr="00B35E47">
        <w:t xml:space="preserve">. Another </w:t>
      </w:r>
      <w:r>
        <w:t>explanation for</w:t>
      </w:r>
      <w:r w:rsidRPr="00B35E47">
        <w:t xml:space="preserve"> </w:t>
      </w:r>
      <w:r>
        <w:t xml:space="preserve">the high </w:t>
      </w:r>
      <w:r w:rsidRPr="00B35E47">
        <w:t>diagnostic yields in the literature is th</w:t>
      </w:r>
      <w:r>
        <w:t>at</w:t>
      </w:r>
      <w:r w:rsidRPr="00B35E47">
        <w:t xml:space="preserve"> retrospective study designs </w:t>
      </w:r>
      <w:r>
        <w:t xml:space="preserve">are </w:t>
      </w:r>
      <w:r w:rsidRPr="00B35E47">
        <w:t>used</w:t>
      </w:r>
      <w:r>
        <w:t>: t</w:t>
      </w:r>
      <w:r w:rsidRPr="00B35E47">
        <w:t xml:space="preserve">he populations in this type of study design tend to be highly selected and may therefore overestimate the diagnostic yield of NMOSD or AQP4-Ab positivity. </w:t>
      </w:r>
    </w:p>
    <w:p w14:paraId="3D082A3C" w14:textId="2D32ABFA" w:rsidR="00720F38" w:rsidRPr="00B35E47" w:rsidRDefault="00720F38" w:rsidP="00720F38">
      <w:r w:rsidRPr="00B35E47">
        <w:t>MOG-Ab testing data were only available from PathWest laboratory. 13.4% of the tests (15.9% of the patients) were positive for MOG-Ab (</w:t>
      </w:r>
      <w:r w:rsidRPr="00082C1A">
        <w:fldChar w:fldCharType="begin"/>
      </w:r>
      <w:r w:rsidRPr="00082C1A">
        <w:instrText xml:space="preserve"> REF _Ref34223120 \h </w:instrText>
      </w:r>
      <w:r>
        <w:instrText xml:space="preserve"> \* MERGEFORMAT </w:instrText>
      </w:r>
      <w:r w:rsidRPr="00082C1A">
        <w:fldChar w:fldCharType="separate"/>
      </w:r>
      <w:r w:rsidR="006E2BA9" w:rsidRPr="00B35E47">
        <w:t xml:space="preserve">Table </w:t>
      </w:r>
      <w:r w:rsidR="006E2BA9">
        <w:t>71</w:t>
      </w:r>
      <w:r w:rsidRPr="00082C1A">
        <w:fldChar w:fldCharType="end"/>
      </w:r>
      <w:r w:rsidRPr="00B35E47">
        <w:t xml:space="preserve">). Dahan et al had reported that 10/67 (14.9%) children </w:t>
      </w:r>
      <w:r w:rsidRPr="00B35E47">
        <w:lastRenderedPageBreak/>
        <w:t xml:space="preserve">in their study were positive for MOG-Ab </w:t>
      </w:r>
      <w:r>
        <w:fldChar w:fldCharType="begin">
          <w:fldData xml:space="preserve">PEVuZE5vdGU+PENpdGU+PEF1dGhvcj5EYWhhbjwvQXV0aG9yPjxZZWFyPjIwMjA8L1llYXI+PFJl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</w:fldData>
        </w:fldChar>
      </w:r>
      <w:r w:rsidR="000E2F1B">
        <w:instrText xml:space="preserve"> ADDIN EN.CITE </w:instrText>
      </w:r>
      <w:r w:rsidR="000E2F1B">
        <w:fldChar w:fldCharType="begin">
          <w:fldData xml:space="preserve">PEVuZE5vdGU+PENpdGU+PEF1dGhvcj5EYWhhbjwvQXV0aG9yPjxZZWFyPjIwMjA8L1llYXI+PFJl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</w:fldData>
        </w:fldChar>
      </w:r>
      <w:r w:rsidR="000E2F1B">
        <w:instrText xml:space="preserve"> ADDIN EN.CITE.DATA </w:instrText>
      </w:r>
      <w:r w:rsidR="000E2F1B">
        <w:fldChar w:fldCharType="end"/>
      </w:r>
      <w:r>
        <w:fldChar w:fldCharType="separate"/>
      </w:r>
      <w:r w:rsidR="000E2F1B">
        <w:rPr>
          <w:noProof/>
        </w:rPr>
        <w:t>(Dahan et al. 2020)</w:t>
      </w:r>
      <w:r>
        <w:fldChar w:fldCharType="end"/>
      </w:r>
      <w:r w:rsidRPr="00B35E47">
        <w:t>. However, this study only tested 12 children for the detection of MOG-Ab. The demographics (clinical profile and age) of the patients referred to PathWest Laboratory for MOG-Ab testing is not available, and therefore conclusion regarding the diagnostic yield of MOG-Ab in Australian patients suspected of NMOSD cannot be made with confidence. Of note, the diagnostic yield of MOG-Ab reported above is higher compared with the diagnostic yield of AQP4-Ab, but consistent with the clinical expert advice</w:t>
      </w:r>
      <w:r w:rsidRPr="00B35E47">
        <w:rPr>
          <w:vertAlign w:val="superscript"/>
        </w:rPr>
        <w:footnoteReference w:id="11"/>
      </w:r>
      <w:r w:rsidRPr="00B35E47">
        <w:t xml:space="preserve"> that the prevalence of MOG-Ab is two-three times the prevalence of AQP4-Ab. This may be attributed to the fact that the presence of MOG-Ab is not proprietary to AQP4-Ab–negative NMOSD, and may be representative of other disorders classified under the MOG antibody-related demyelination (MARD). MOG-Ab positive NMOSD forms only a subgroup of the total MARD population </w:t>
      </w:r>
      <w:r>
        <w:fldChar w:fldCharType="begin"/>
      </w:r>
      <w:r w:rsidR="00A24B34">
        <w:instrText xml:space="preserve"> ADDIN EN.CITE &lt;EndNote&gt;&lt;Cite&gt;&lt;Author&gt;Misu&lt;/Author&gt;&lt;Year&gt;2018&lt;/Year&gt;&lt;RecNum&gt;83&lt;/RecNum&gt;&lt;IDText&gt;9-17&lt;/IDText&gt;&lt;DisplayText&gt;(Misu &amp;amp; Fujihara 2018)&lt;/DisplayText&gt;&lt;record&gt;&lt;rec-number&gt;83&lt;/rec-number&gt;&lt;foreign-keys&gt;&lt;key app="EN" db-id="r25zptaswpdzade29ws5pf9gx55ztppatt20" timestamp="1581912631"&gt;83&lt;/key&gt;&lt;key app="ENWeb" db-id=""&gt;0&lt;/key&gt;&lt;/foreign-keys&gt;&lt;ref-type name="Journal Article"&gt;17&lt;/ref-type&gt;&lt;contributors&gt;&lt;authors&gt;&lt;author&gt;Misu, T.&lt;/author&gt;&lt;author&gt;Fujihara, K.&lt;/author&gt;&lt;/authors&gt;&lt;/contributors&gt;&lt;titles&gt;&lt;title&gt;Neuromyelitis optica spectrum and myelin oligodendrocyte glycoprotein antibody-related disseminated encephalomyelitis&lt;/title&gt;&lt;secondary-title&gt;Clnical and experimental Neuroimmunology&lt;/secondary-title&gt;&lt;/titles&gt;&lt;periodical&gt;&lt;full-title&gt;Clnical and experimental Neuroimmunology&lt;/full-title&gt;&lt;/periodical&gt;&lt;pages&gt;9-17&lt;/pages&gt;&lt;number&gt;10&lt;/number&gt;&lt;dates&gt;&lt;year&gt;2018&lt;/year&gt;&lt;/dates&gt;&lt;urls&gt;&lt;/urls&gt;&lt;/record&gt;&lt;/Cite&gt;&lt;/EndNote&gt;</w:instrText>
      </w:r>
      <w:r>
        <w:fldChar w:fldCharType="separate"/>
      </w:r>
      <w:r w:rsidR="00A24B34">
        <w:rPr>
          <w:noProof/>
        </w:rPr>
        <w:t>(Misu &amp; Fujihara 2018)</w:t>
      </w:r>
      <w:r>
        <w:fldChar w:fldCharType="end"/>
      </w:r>
      <w:r w:rsidRPr="00B35E47">
        <w:t xml:space="preserve">. Although, it is proposed that only those patients suspected of having NMOSD will be eligible for AQP4-Ab or MOG-Ab testing, a large number of patients with other disorders with symptoms overlapping with NMOSD (such as MARD) may be eligible for testing under the proposed service. </w:t>
      </w:r>
    </w:p>
    <w:p w14:paraId="7D491B6E" w14:textId="6F8617F9" w:rsidR="00720F38" w:rsidRPr="00B35E47" w:rsidRDefault="00720F38" w:rsidP="00720F38">
      <w:r w:rsidRPr="00B35E47">
        <w:t xml:space="preserve">Given the variation reported across studies, and incomplete Australian data, the true diagnostic yield for testing in the proposed Australian population is quite uncertain, however the yield based directly on the available Australian pathology laboratory data </w:t>
      </w:r>
      <w:r w:rsidR="008F2AFA">
        <w:t>are</w:t>
      </w:r>
      <w:r w:rsidRPr="00B35E47">
        <w:t xml:space="preserve"> likely the most applicable estimate for the base case economic analysis. That is; an average diagnostic yield of 4.2% for AQP4-Ab positive NMOSD, and alternative values from literature are assessed in sensitivity analyses (2.5% to 89%, lowest and highest values indicated by laboratory data and Section B4.1.5 respectively).</w:t>
      </w:r>
    </w:p>
    <w:p w14:paraId="78AE50C8" w14:textId="77777777" w:rsidR="00720F38" w:rsidRPr="00B35E47" w:rsidRDefault="00720F38" w:rsidP="00720F38">
      <w:r w:rsidRPr="00B35E47">
        <w:t>In the absence of any conclusive evidence for MOG-Ab diagnostic yield, it is assumed that one-third of the MOG-Ab positives have NMOSD, that is 5.3% (one-third of 15.9%</w:t>
      </w:r>
      <w:r>
        <w:t xml:space="preserve"> diagnostic yield calculated from the PathWest data</w:t>
      </w:r>
      <w:r w:rsidRPr="00B35E47">
        <w:t>) of the suspected NMOSD patients (</w:t>
      </w:r>
      <w:r>
        <w:t xml:space="preserve">or </w:t>
      </w:r>
      <w:r w:rsidRPr="00B35E47">
        <w:t>5.5% of the AQP4-Ab negative cases) will be positive for MOG-Ab. Sensitivity analysis varies the diagnostic yield of MOG-Ab from 2% – </w:t>
      </w:r>
      <w:r>
        <w:t>29</w:t>
      </w:r>
      <w:r w:rsidRPr="00B35E47">
        <w:t>%.</w:t>
      </w:r>
    </w:p>
    <w:p w14:paraId="525DF261" w14:textId="77777777" w:rsidR="00720F38" w:rsidRPr="00EB4886" w:rsidRDefault="00720F38" w:rsidP="00720F38">
      <w:pPr>
        <w:pStyle w:val="Heading3"/>
      </w:pPr>
      <w:bookmarkStart w:id="380" w:name="_Toc38031945"/>
      <w:bookmarkStart w:id="381" w:name="_Toc39588350"/>
      <w:r w:rsidRPr="00EB4886">
        <w:t>C2.2</w:t>
      </w:r>
      <w:r w:rsidRPr="00EB4886">
        <w:tab/>
        <w:t>Treatment patterns</w:t>
      </w:r>
      <w:bookmarkEnd w:id="380"/>
      <w:bookmarkEnd w:id="381"/>
    </w:p>
    <w:p w14:paraId="79285877" w14:textId="08522F7B" w:rsidR="00720F38" w:rsidRDefault="00720F38" w:rsidP="00720F38">
      <w:r w:rsidRPr="00B35E47">
        <w:t xml:space="preserve">Because treatments will vary between whether a patient is diagnosed or not, determination of treatment </w:t>
      </w:r>
      <w:r w:rsidR="00843D5B" w:rsidRPr="00B35E47">
        <w:t>patterns</w:t>
      </w:r>
      <w:r w:rsidRPr="00B35E47">
        <w:t xml:space="preserve"> relevant to Australia to enable costing is required for the economic model. Treatment options in patients with NMOSD are described in Section A6</w:t>
      </w:r>
      <w:r>
        <w:t>. N</w:t>
      </w:r>
      <w:r w:rsidRPr="00B35E47">
        <w:t xml:space="preserve">one of the drugs used or recommended </w:t>
      </w:r>
      <w:r>
        <w:t xml:space="preserve">first-line </w:t>
      </w:r>
      <w:r w:rsidRPr="00B35E47">
        <w:t>for NMOSD treatment (relapse or prevention) are currently TGA/PBS</w:t>
      </w:r>
      <w:r>
        <w:rPr>
          <w:rStyle w:val="FootnoteReference"/>
        </w:rPr>
        <w:footnoteReference w:id="12"/>
      </w:r>
      <w:r w:rsidRPr="00B35E47">
        <w:t xml:space="preserve"> indicated specifically for NMOSD in Australia</w:t>
      </w:r>
      <w:r>
        <w:t>.</w:t>
      </w:r>
    </w:p>
    <w:p w14:paraId="1BD6B648" w14:textId="516626D6" w:rsidR="00720F38" w:rsidRDefault="00720F38" w:rsidP="00720F38">
      <w:pPr>
        <w:rPr>
          <w:rFonts w:eastAsiaTheme="minorHAnsi"/>
          <w:lang w:eastAsia="en-US"/>
        </w:rPr>
      </w:pPr>
      <w:r>
        <w:t>With respect to acute relapse management, a</w:t>
      </w:r>
      <w:r w:rsidRPr="00B35E47">
        <w:t xml:space="preserve"> clinical survey of NMOSD across Australia and New Zealand</w:t>
      </w:r>
      <w:r w:rsidRPr="00B35E47">
        <w:rPr>
          <w:rFonts w:eastAsiaTheme="minorHAnsi"/>
        </w:rPr>
        <w:t xml:space="preserve"> reported that 329 attacks occurred in a subgroup of 75 NMOSD patients. Intravenous methyl prednisolone (IVMP) was given in </w:t>
      </w:r>
      <w:r w:rsidRPr="00B35E47">
        <w:rPr>
          <w:rFonts w:eastAsiaTheme="minorHAnsi"/>
          <w:lang w:eastAsia="en-US"/>
        </w:rPr>
        <w:t xml:space="preserve">59% of these attacks and 13% were treated with plasma exchange </w:t>
      </w:r>
      <w:r>
        <w:rPr>
          <w:rFonts w:eastAsiaTheme="minorHAnsi"/>
          <w:lang w:eastAsia="en-US"/>
        </w:rPr>
        <w:fldChar w:fldCharType="begin">
          <w:fldData xml:space="preserve">PEVuZE5vdGU+PENpdGU+PEF1dGhvcj5CdWtoYXJpPC9BdXRob3I+PFllYXI+MjAyMDwvWWVhcj48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</w:fldData>
        </w:fldChar>
      </w:r>
      <w:r w:rsidR="00D96694">
        <w:rPr>
          <w:rFonts w:eastAsiaTheme="minorHAnsi"/>
          <w:lang w:eastAsia="en-US"/>
        </w:rPr>
        <w:instrText xml:space="preserve"> ADDIN EN.CITE </w:instrText>
      </w:r>
      <w:r w:rsidR="00D96694">
        <w:rPr>
          <w:rFonts w:eastAsiaTheme="minorHAnsi"/>
          <w:lang w:eastAsia="en-US"/>
        </w:rPr>
        <w:fldChar w:fldCharType="begin">
          <w:fldData xml:space="preserve">PEVuZE5vdGU+PENpdGU+PEF1dGhvcj5CdWtoYXJpPC9BdXRob3I+PFllYXI+MjAyMDwvWWVhcj48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</w:fldData>
        </w:fldChar>
      </w:r>
      <w:r w:rsidR="00D96694">
        <w:rPr>
          <w:rFonts w:eastAsiaTheme="minorHAnsi"/>
          <w:lang w:eastAsia="en-US"/>
        </w:rPr>
        <w:instrText xml:space="preserve"> ADDIN EN.CITE.DATA </w:instrText>
      </w:r>
      <w:r w:rsidR="00D96694">
        <w:rPr>
          <w:rFonts w:eastAsiaTheme="minorHAnsi"/>
          <w:lang w:eastAsia="en-US"/>
        </w:rPr>
      </w:r>
      <w:r w:rsidR="00D96694">
        <w:rPr>
          <w:rFonts w:eastAsiaTheme="minorHAnsi"/>
          <w:lang w:eastAsia="en-US"/>
        </w:rPr>
        <w:fldChar w:fldCharType="end"/>
      </w:r>
      <w:r>
        <w:rPr>
          <w:rFonts w:eastAsiaTheme="minorHAnsi"/>
          <w:lang w:eastAsia="en-US"/>
        </w:rPr>
      </w:r>
      <w:r>
        <w:rPr>
          <w:rFonts w:eastAsiaTheme="minorHAnsi"/>
          <w:lang w:eastAsia="en-US"/>
        </w:rPr>
        <w:fldChar w:fldCharType="separate"/>
      </w:r>
      <w:r>
        <w:rPr>
          <w:rFonts w:eastAsiaTheme="minorHAnsi"/>
          <w:noProof/>
          <w:lang w:eastAsia="en-US"/>
        </w:rPr>
        <w:t>(Bukhari et al. 2020)</w:t>
      </w:r>
      <w:r>
        <w:rPr>
          <w:rFonts w:eastAsiaTheme="minorHAnsi"/>
          <w:lang w:eastAsia="en-US"/>
        </w:rPr>
        <w:fldChar w:fldCharType="end"/>
      </w:r>
      <w:r w:rsidRPr="00B35E47">
        <w:rPr>
          <w:rFonts w:eastAsiaTheme="minorHAnsi"/>
          <w:lang w:eastAsia="en-US"/>
        </w:rPr>
        <w:t>. This study also indicated that the plasma exchange appears to be more effective treatment for acute attacks.</w:t>
      </w:r>
    </w:p>
    <w:p w14:paraId="171BB51C" w14:textId="77777777" w:rsidR="00720F38" w:rsidRPr="00B35E47" w:rsidRDefault="00720F38" w:rsidP="00720F38">
      <w:pPr>
        <w:rPr>
          <w:rFonts w:eastAsiaTheme="minorHAnsi"/>
          <w:lang w:eastAsia="en-US"/>
        </w:rPr>
      </w:pPr>
      <w:r w:rsidRPr="00B35E47">
        <w:rPr>
          <w:rFonts w:asciiTheme="minorHAnsi" w:eastAsiaTheme="minorHAnsi" w:hAnsiTheme="minorHAnsi" w:cstheme="minorHAnsi"/>
          <w:lang w:eastAsia="en-US"/>
        </w:rPr>
        <w:t xml:space="preserve">The National report on the issue and use of IVIG reported that 40 NMOSD patients were treated with IVIG in year 2017–18 </w:t>
      </w:r>
      <w:r>
        <w:rPr>
          <w:rFonts w:asciiTheme="minorHAnsi" w:eastAsiaTheme="minorHAnsi" w:hAnsiTheme="minorHAnsi" w:cstheme="minorHAnsi"/>
          <w:lang w:eastAsia="en-US"/>
        </w:rPr>
        <w:fldChar w:fldCharType="begin"/>
      </w:r>
      <w:r>
        <w:rPr>
          <w:rFonts w:asciiTheme="minorHAnsi" w:eastAsiaTheme="minorHAnsi" w:hAnsiTheme="minorHAnsi" w:cstheme="minorHAnsi"/>
          <w:lang w:eastAsia="en-US"/>
        </w:rPr>
        <w:instrText xml:space="preserve"> ADDIN EN.CITE &lt;EndNote&gt;&lt;Cite&gt;&lt;Author&gt;National Blood Authority&lt;/Author&gt;&lt;Year&gt;2018&lt;/Year&gt;&lt;RecNum&gt;2839&lt;/RecNum&gt;&lt;DisplayText&gt;(National Blood Authority 2018)&lt;/DisplayText&gt;&lt;record&gt;&lt;rec-number&gt;2839&lt;/rec-number&gt;&lt;foreign-keys&gt;&lt;key app="EN" db-id="r9zwwf2zmrrvxfespp15vtvjapza9v2fz5s5" timestamp="1584312594"&gt;2839&lt;/key&gt;&lt;/foreign-keys&gt;&lt;ref-type name="Report"&gt;27&lt;/ref-type&gt;&lt;contributors&gt;&lt;authors&gt;&lt;author&gt;National Blood Authority,&lt;/author&gt;&lt;/authors&gt;&lt;/contributors&gt;&lt;titles&gt;&lt;title&gt;NATIONAL REPORT ON THE ISSUE AND USE OF INTRAVENOUS IMMUNOGLOBULIN (IVIg) 2017-18&lt;/title&gt;&lt;/titles&gt;&lt;dates&gt;&lt;year&gt;2018&lt;/year&gt;&lt;/dates&gt;&lt;pub-location&gt;Canberra, Australia&lt;/pub-location&gt;&lt;publisher&gt;National Blood Authority&lt;/publisher&gt;&lt;urls&gt;&lt;related-urls&gt;&lt;url&gt;https://www.blood.gov.au/data-analysis-reporting&lt;/url&gt;&lt;/related-urls&gt;&lt;/urls&gt;&lt;/record&gt;&lt;/Cite&gt;&lt;/EndNote&gt;</w:instrText>
      </w:r>
      <w:r>
        <w:rPr>
          <w:rFonts w:asciiTheme="minorHAnsi" w:eastAsiaTheme="minorHAnsi" w:hAnsiTheme="minorHAnsi" w:cstheme="minorHAnsi"/>
          <w:lang w:eastAsia="en-US"/>
        </w:rPr>
        <w:fldChar w:fldCharType="separate"/>
      </w:r>
      <w:r>
        <w:rPr>
          <w:rFonts w:asciiTheme="minorHAnsi" w:eastAsiaTheme="minorHAnsi" w:hAnsiTheme="minorHAnsi" w:cstheme="minorHAnsi"/>
          <w:noProof/>
          <w:lang w:eastAsia="en-US"/>
        </w:rPr>
        <w:t>(National Blood Authority 2018)</w:t>
      </w:r>
      <w:r>
        <w:rPr>
          <w:rFonts w:asciiTheme="minorHAnsi" w:eastAsiaTheme="minorHAnsi" w:hAnsiTheme="minorHAnsi" w:cstheme="minorHAnsi"/>
          <w:lang w:eastAsia="en-US"/>
        </w:rPr>
        <w:fldChar w:fldCharType="end"/>
      </w:r>
      <w:r w:rsidRPr="00B35E47">
        <w:rPr>
          <w:rFonts w:asciiTheme="minorHAnsi" w:eastAsiaTheme="minorHAnsi" w:hAnsiTheme="minorHAnsi" w:cstheme="minorHAnsi"/>
          <w:lang w:eastAsia="en-US"/>
        </w:rPr>
        <w:t>. If the prevalence of NMOSD is assumed to be 550 patients in Australia that will equate to 7.2% of NMOSD patients receiving IVIG treatment.</w:t>
      </w:r>
    </w:p>
    <w:p w14:paraId="1CFFBB8E" w14:textId="26680C85" w:rsidR="00720F38" w:rsidRPr="00B35E47" w:rsidRDefault="00720F38" w:rsidP="00720F38">
      <w:pPr>
        <w:rPr>
          <w:rFonts w:eastAsiaTheme="minorHAnsi"/>
          <w:lang w:eastAsia="en-US"/>
        </w:rPr>
      </w:pPr>
      <w:r>
        <w:t xml:space="preserve">With respect to maintenance therapy; </w:t>
      </w:r>
      <w:r w:rsidRPr="00B35E47">
        <w:rPr>
          <w:rFonts w:eastAsiaTheme="minorHAnsi"/>
          <w:lang w:eastAsia="en-US"/>
        </w:rPr>
        <w:t xml:space="preserve">a study aimed to determine the frequency of AQP4-Ab seropositivity in an Australian cohort of children with </w:t>
      </w:r>
      <w:r>
        <w:rPr>
          <w:rFonts w:eastAsiaTheme="minorHAnsi"/>
          <w:lang w:eastAsia="en-US"/>
        </w:rPr>
        <w:t>central nervous system</w:t>
      </w:r>
      <w:r w:rsidRPr="00B35E47">
        <w:rPr>
          <w:rFonts w:eastAsiaTheme="minorHAnsi"/>
          <w:lang w:eastAsia="en-US"/>
        </w:rPr>
        <w:t xml:space="preserve"> demyelination, five children were identified with NMOSD. </w:t>
      </w:r>
      <w:r>
        <w:rPr>
          <w:rFonts w:eastAsiaTheme="minorHAnsi"/>
          <w:lang w:eastAsia="en-US"/>
        </w:rPr>
        <w:t xml:space="preserve">Rituximab </w:t>
      </w:r>
      <w:r w:rsidRPr="00B35E47">
        <w:rPr>
          <w:rFonts w:eastAsiaTheme="minorHAnsi"/>
          <w:lang w:eastAsia="en-US"/>
        </w:rPr>
        <w:t xml:space="preserve">and </w:t>
      </w:r>
      <w:r>
        <w:rPr>
          <w:rFonts w:eastAsiaTheme="minorHAnsi"/>
          <w:lang w:eastAsia="en-US"/>
        </w:rPr>
        <w:t>azathioprine</w:t>
      </w:r>
      <w:r w:rsidRPr="00B35E47">
        <w:rPr>
          <w:rFonts w:eastAsiaTheme="minorHAnsi"/>
          <w:lang w:eastAsia="en-US"/>
        </w:rPr>
        <w:t xml:space="preserve"> were used as </w:t>
      </w:r>
      <w:r>
        <w:rPr>
          <w:rFonts w:eastAsiaTheme="minorHAnsi"/>
          <w:lang w:eastAsia="en-US"/>
        </w:rPr>
        <w:t xml:space="preserve">maintenance </w:t>
      </w:r>
      <w:r w:rsidRPr="00B35E47">
        <w:rPr>
          <w:rFonts w:eastAsiaTheme="minorHAnsi"/>
          <w:lang w:eastAsia="en-US"/>
        </w:rPr>
        <w:lastRenderedPageBreak/>
        <w:t>immunosuppression</w:t>
      </w:r>
      <w:r>
        <w:rPr>
          <w:rFonts w:eastAsiaTheme="minorHAnsi"/>
          <w:lang w:eastAsia="en-US"/>
        </w:rPr>
        <w:t xml:space="preserve"> (</w:t>
      </w:r>
      <w:r w:rsidRPr="00B35E47">
        <w:rPr>
          <w:rFonts w:eastAsiaTheme="minorHAnsi"/>
          <w:lang w:eastAsia="en-US"/>
        </w:rPr>
        <w:t>and corticosteroids and plasma exchange for treating relapses</w:t>
      </w:r>
      <w:r>
        <w:rPr>
          <w:rFonts w:eastAsiaTheme="minorHAnsi"/>
          <w:lang w:eastAsia="en-US"/>
        </w:rPr>
        <w:t>)</w:t>
      </w:r>
      <w:r w:rsidR="000E2F1B">
        <w:rPr>
          <w:rFonts w:eastAsiaTheme="minorHAnsi"/>
          <w:lang w:eastAsia="en-US"/>
        </w:rPr>
        <w:t xml:space="preserve"> </w:t>
      </w:r>
      <w:r w:rsidR="000E2F1B">
        <w:rPr>
          <w:rFonts w:eastAsiaTheme="minorHAnsi"/>
          <w:lang w:eastAsia="en-US"/>
        </w:rPr>
        <w:fldChar w:fldCharType="begin">
          <w:fldData xml:space="preserve">PEVuZE5vdGU+PENpdGU+PEF1dGhvcj5EYWhhbjwvQXV0aG9yPjxZZWFyPjIwMjA8L1llYXI+PFJl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</w:fldData>
        </w:fldChar>
      </w:r>
      <w:r w:rsidR="000E2F1B">
        <w:rPr>
          <w:rFonts w:eastAsiaTheme="minorHAnsi"/>
          <w:lang w:eastAsia="en-US"/>
        </w:rPr>
        <w:instrText xml:space="preserve"> ADDIN EN.CITE </w:instrText>
      </w:r>
      <w:r w:rsidR="000E2F1B">
        <w:rPr>
          <w:rFonts w:eastAsiaTheme="minorHAnsi"/>
          <w:lang w:eastAsia="en-US"/>
        </w:rPr>
        <w:fldChar w:fldCharType="begin">
          <w:fldData xml:space="preserve">PEVuZE5vdGU+PENpdGU+PEF1dGhvcj5EYWhhbjwvQXV0aG9yPjxZZWFyPjIwMjA8L1llYXI+PFJl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</w:fldData>
        </w:fldChar>
      </w:r>
      <w:r w:rsidR="000E2F1B">
        <w:rPr>
          <w:rFonts w:eastAsiaTheme="minorHAnsi"/>
          <w:lang w:eastAsia="en-US"/>
        </w:rPr>
        <w:instrText xml:space="preserve"> ADDIN EN.CITE.DATA </w:instrText>
      </w:r>
      <w:r w:rsidR="000E2F1B">
        <w:rPr>
          <w:rFonts w:eastAsiaTheme="minorHAnsi"/>
          <w:lang w:eastAsia="en-US"/>
        </w:rPr>
      </w:r>
      <w:r w:rsidR="000E2F1B">
        <w:rPr>
          <w:rFonts w:eastAsiaTheme="minorHAnsi"/>
          <w:lang w:eastAsia="en-US"/>
        </w:rPr>
        <w:fldChar w:fldCharType="end"/>
      </w:r>
      <w:r w:rsidR="000E2F1B">
        <w:rPr>
          <w:rFonts w:eastAsiaTheme="minorHAnsi"/>
          <w:lang w:eastAsia="en-US"/>
        </w:rPr>
      </w:r>
      <w:r w:rsidR="000E2F1B">
        <w:rPr>
          <w:rFonts w:eastAsiaTheme="minorHAnsi"/>
          <w:lang w:eastAsia="en-US"/>
        </w:rPr>
        <w:fldChar w:fldCharType="separate"/>
      </w:r>
      <w:r w:rsidR="000E2F1B">
        <w:rPr>
          <w:rFonts w:eastAsiaTheme="minorHAnsi"/>
          <w:noProof/>
          <w:lang w:eastAsia="en-US"/>
        </w:rPr>
        <w:t>(Dahan et al. 2020)</w:t>
      </w:r>
      <w:r w:rsidR="000E2F1B">
        <w:rPr>
          <w:rFonts w:eastAsiaTheme="minorHAnsi"/>
          <w:lang w:eastAsia="en-US"/>
        </w:rPr>
        <w:fldChar w:fldCharType="end"/>
      </w:r>
      <w:r w:rsidRPr="00B35E47">
        <w:rPr>
          <w:rFonts w:eastAsiaTheme="minorHAnsi"/>
          <w:lang w:eastAsia="en-US"/>
        </w:rPr>
        <w:t xml:space="preserve">. </w:t>
      </w:r>
      <w:r>
        <w:t>A</w:t>
      </w:r>
      <w:r w:rsidRPr="00BB5276">
        <w:t xml:space="preserve">zathioprine </w:t>
      </w:r>
      <w:r>
        <w:t xml:space="preserve">is listed on the PBS General Schedule </w:t>
      </w:r>
      <w:r w:rsidRPr="00B35E47">
        <w:t xml:space="preserve">as </w:t>
      </w:r>
      <w:r>
        <w:t xml:space="preserve">an </w:t>
      </w:r>
      <w:r w:rsidRPr="00B35E47">
        <w:t>immunosuppress</w:t>
      </w:r>
      <w:r>
        <w:t xml:space="preserve">ant, and there are additional references identifying ‘off-label’ rituximab for NMO being used by Australian public hospitals </w:t>
      </w:r>
      <w:r w:rsidR="00AC01FD">
        <w:fldChar w:fldCharType="begin">
          <w:fldData xml:space="preserve">PEVuZE5vdGU+PENpdGU+PEF1dGhvcj5Ob3NhZGluaTwvQXV0aG9yPjxZZWFyPjIwMTY8L1llYXI+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</w:fldData>
        </w:fldChar>
      </w:r>
      <w:r w:rsidR="00AC01FD">
        <w:instrText xml:space="preserve"> ADDIN EN.CITE </w:instrText>
      </w:r>
      <w:r w:rsidR="00AC01FD">
        <w:fldChar w:fldCharType="begin">
          <w:fldData xml:space="preserve">PEVuZE5vdGU+PENpdGU+PEF1dGhvcj5Ob3NhZGluaTwvQXV0aG9yPjxZZWFyPjIwMTY8L1llYXI+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</w:fldData>
        </w:fldChar>
      </w:r>
      <w:r w:rsidR="00AC01FD">
        <w:instrText xml:space="preserve"> ADDIN EN.CITE.DATA </w:instrText>
      </w:r>
      <w:r w:rsidR="00AC01FD">
        <w:fldChar w:fldCharType="end"/>
      </w:r>
      <w:r w:rsidR="00AC01FD">
        <w:fldChar w:fldCharType="separate"/>
      </w:r>
      <w:r w:rsidR="00AC01FD">
        <w:rPr>
          <w:noProof/>
        </w:rPr>
        <w:t>(Nosadini et al. 2016; O'Connor &amp; Liddle 2013; Wongseelashote, Tayal &amp; Bourke 2018)</w:t>
      </w:r>
      <w:r w:rsidR="00AC01FD">
        <w:fldChar w:fldCharType="end"/>
      </w:r>
      <w:r>
        <w:t>. Therefore inclusion of these agents in the model is appropriate for the Australian context.</w:t>
      </w:r>
    </w:p>
    <w:p w14:paraId="19CAFBE6" w14:textId="77777777" w:rsidR="00720F38" w:rsidRDefault="00720F38" w:rsidP="00720F38">
      <w:r w:rsidRPr="00B35E47">
        <w:t xml:space="preserve">Although </w:t>
      </w:r>
      <w:r>
        <w:t>there is some uncertainty</w:t>
      </w:r>
      <w:r w:rsidRPr="00B35E47">
        <w:t>, the treatment pattern in the</w:t>
      </w:r>
      <w:r>
        <w:t xml:space="preserve"> references above </w:t>
      </w:r>
      <w:r w:rsidRPr="00B35E47">
        <w:t>indicate that the treatment of NMOSD in Australian practice is broadly consistent with the treatment patterns described in other studies.</w:t>
      </w:r>
      <w:r w:rsidRPr="00906412">
        <w:t xml:space="preserve"> </w:t>
      </w:r>
    </w:p>
    <w:p w14:paraId="1B2E5AB5" w14:textId="77777777" w:rsidR="00720F38" w:rsidRPr="00B35E47" w:rsidRDefault="00720F38" w:rsidP="00720F38">
      <w:pPr>
        <w:pStyle w:val="Heading2"/>
      </w:pPr>
      <w:bookmarkStart w:id="382" w:name="_Toc395200789"/>
      <w:bookmarkStart w:id="383" w:name="_Toc34212308"/>
      <w:bookmarkStart w:id="384" w:name="_Toc38031946"/>
      <w:bookmarkStart w:id="385" w:name="_Toc39588351"/>
      <w:r>
        <w:t>C3</w:t>
      </w:r>
      <w:r>
        <w:tab/>
      </w:r>
      <w:r w:rsidRPr="00B35E47">
        <w:t>Extrapolation translation issues</w:t>
      </w:r>
      <w:bookmarkEnd w:id="382"/>
      <w:bookmarkEnd w:id="383"/>
      <w:bookmarkEnd w:id="384"/>
      <w:bookmarkEnd w:id="385"/>
    </w:p>
    <w:p w14:paraId="5C5A956A" w14:textId="77777777" w:rsidR="00720F38" w:rsidRPr="00EB4886" w:rsidRDefault="00720F38" w:rsidP="00720F38">
      <w:pPr>
        <w:pStyle w:val="Heading3"/>
      </w:pPr>
      <w:bookmarkStart w:id="386" w:name="_Toc38031947"/>
      <w:bookmarkStart w:id="387" w:name="_Toc39588352"/>
      <w:r w:rsidRPr="00EB4886">
        <w:t>C3.1</w:t>
      </w:r>
      <w:r w:rsidRPr="00EB4886">
        <w:tab/>
        <w:t>Recurring health resource use</w:t>
      </w:r>
      <w:bookmarkEnd w:id="386"/>
      <w:bookmarkEnd w:id="387"/>
    </w:p>
    <w:p w14:paraId="1A22DE2C" w14:textId="3DB221F6" w:rsidR="00720F38" w:rsidRPr="00B35E47" w:rsidRDefault="00720F38" w:rsidP="00720F38">
      <w:r w:rsidRPr="00B35E47">
        <w:t xml:space="preserve">As NMOSD takes a relapsing course in most cases, with often incomplete recovery and rapid accumulation of neurological deficits, </w:t>
      </w:r>
      <w:r>
        <w:t xml:space="preserve">both short-term management of relapses and </w:t>
      </w:r>
      <w:r w:rsidRPr="00B35E47">
        <w:t xml:space="preserve">long-term immunosuppressive treatment (potentially ongoing over </w:t>
      </w:r>
      <w:r>
        <w:t>the</w:t>
      </w:r>
      <w:r w:rsidRPr="00B35E47">
        <w:t xml:space="preserve"> patient</w:t>
      </w:r>
      <w:r>
        <w:t>’s</w:t>
      </w:r>
      <w:r w:rsidRPr="00B35E47">
        <w:t xml:space="preserve"> lifetime) is recommended once the diagnosis has been confirmed </w:t>
      </w:r>
      <w:r w:rsidR="00BA6D1B">
        <w:fldChar w:fldCharType="begin"/>
      </w:r>
      <w:r w:rsidR="0087595F">
        <w:instrText xml:space="preserve"> ADDIN EN.CITE &lt;EndNote&gt;&lt;Cite&gt;&lt;Author&gt;Trebst&lt;/Author&gt;&lt;Year&gt;2014&lt;/Year&gt;&lt;RecNum&gt;30&lt;/RecNum&gt;&lt;DisplayText&gt;(Trebst et al. 2014)&lt;/DisplayText&gt;&lt;record&gt;&lt;rec-number&gt;30&lt;/rec-number&gt;&lt;foreign-keys&gt;&lt;key app="EN" db-id="r25zptaswpdzade29ws5pf9gx55ztppatt20" timestamp="1576104081"&gt;30&lt;/key&gt;&lt;/foreign-keys&gt;&lt;ref-type name="Journal Article"&gt;17&lt;/ref-type&gt;&lt;contributors&gt;&lt;authors&gt;&lt;author&gt;Trebst, C&lt;/author&gt;&lt;author&gt;Jarius, Sven&lt;/author&gt;&lt;author&gt;Berthele, Achim&lt;/author&gt;&lt;author&gt;Paul, Friedemann&lt;/author&gt;&lt;author&gt;Schippling, Sven&lt;/author&gt;&lt;author&gt;Wildemann, Brigitte&lt;/author&gt;&lt;author&gt;Borisow, Nadja&lt;/author&gt;&lt;author&gt;Kleiter, Ingo&lt;/author&gt;&lt;author&gt;Aktas, Orhan&lt;/author&gt;&lt;author&gt;Kümpfel, Tania&lt;/author&gt;&lt;author&gt;Neuromyelitis Optica Study, Group&lt;/author&gt;&lt;/authors&gt;&lt;/contributors&gt;&lt;titles&gt;&lt;title&gt;Update on the diagnosis and treatment of neuromyelitis optica: recommendations of the Neuromyelitis Optica Study Group (NEMOS)&lt;/title&gt;&lt;secondary-title&gt;Journal of neurology&lt;/secondary-title&gt;&lt;alt-title&gt;J Neurol&lt;/alt-title&gt;&lt;/titles&gt;&lt;periodical&gt;&lt;full-title&gt;Journal of neurology&lt;/full-title&gt;&lt;abbr-1&gt;J Neurol&lt;/abbr-1&gt;&lt;/periodical&gt;&lt;alt-periodical&gt;&lt;full-title&gt;J Neurol&lt;/full-title&gt;&lt;/alt-periodical&gt;&lt;pages&gt;1-16&lt;/pages&gt;&lt;volume&gt;261&lt;/volume&gt;&lt;number&gt;1&lt;/number&gt;&lt;edition&gt;11/23&lt;/edition&gt;&lt;keywords&gt;&lt;keyword&gt;Diagnosis-Related Groups/*standards&lt;/keyword&gt;&lt;keyword&gt;Humans&lt;/keyword&gt;&lt;keyword&gt;Medication Reconciliation/*standards/trends&lt;/keyword&gt;&lt;keyword&gt;Neuromyelitis Optica/*diagnosis/*therapy&lt;/keyword&gt;&lt;/keywords&gt;&lt;dates&gt;&lt;year&gt;2014&lt;/year&gt;&lt;/dates&gt;&lt;publisher&gt;Springer Berlin Heidelberg&lt;/publisher&gt;&lt;isbn&gt;1432-1459&amp;#xD;0340-5354&lt;/isbn&gt;&lt;accession-num&gt;24272588&lt;/accession-num&gt;&lt;urls&gt;&lt;related-urls&gt;&lt;url&gt;https://www.ncbi.nlm.nih.gov/pubmed/24272588&lt;/url&gt;&lt;url&gt;https://www.ncbi.nlm.nih.gov/pmc/articles/PMC3895189/&lt;/url&gt;&lt;/related-urls&gt;&lt;/urls&gt;&lt;electronic-resource-num&gt;10.1007/s00415-013-7169-7&lt;/electronic-resource-num&gt;&lt;remote-database-name&gt;PubMed&lt;/remote-database-name&gt;&lt;language&gt;eng&lt;/language&gt;&lt;/record&gt;&lt;/Cite&gt;&lt;/EndNote&gt;</w:instrText>
      </w:r>
      <w:r w:rsidR="00BA6D1B">
        <w:fldChar w:fldCharType="separate"/>
      </w:r>
      <w:r w:rsidR="00126162">
        <w:rPr>
          <w:noProof/>
        </w:rPr>
        <w:t>(Trebst et al. 2014)</w:t>
      </w:r>
      <w:r w:rsidR="00BA6D1B">
        <w:fldChar w:fldCharType="end"/>
      </w:r>
      <w:r w:rsidR="00BA6D1B">
        <w:t>.</w:t>
      </w:r>
    </w:p>
    <w:p w14:paraId="46B20F95" w14:textId="77777777" w:rsidR="00720F38" w:rsidRPr="00B35E47" w:rsidRDefault="00720F38" w:rsidP="00720F38">
      <w:r w:rsidRPr="00B35E47">
        <w:t>The pattern of the various treatments used in NMOSD</w:t>
      </w:r>
      <w:r>
        <w:t xml:space="preserve"> and hospitalisations</w:t>
      </w:r>
      <w:r w:rsidRPr="00B35E47">
        <w:t xml:space="preserve"> are investigated following.</w:t>
      </w:r>
    </w:p>
    <w:p w14:paraId="380C998D" w14:textId="77777777" w:rsidR="00720F38" w:rsidRPr="00B35E47" w:rsidRDefault="00720F38" w:rsidP="00720F38">
      <w:pPr>
        <w:pStyle w:val="Heading4"/>
      </w:pPr>
      <w:r w:rsidRPr="00B35E47">
        <w:t>Preventive treatment</w:t>
      </w:r>
      <w:r>
        <w:t xml:space="preserve"> (long-term maintenance)</w:t>
      </w:r>
    </w:p>
    <w:p w14:paraId="566B8891" w14:textId="597AA457" w:rsidR="00720F38" w:rsidRPr="00B35E47" w:rsidRDefault="00720F38" w:rsidP="00720F38">
      <w:r w:rsidRPr="00B35E47">
        <w:t xml:space="preserve">Although there is consensus that patients with relapsing NMOSD need long-term immunosuppression, the best treatment choice for each individual remains uncertain, and the comparison between these drugs have not yielded a specific superiority of one over another </w:t>
      </w:r>
      <w:r>
        <w:fldChar w:fldCharType="begin">
          <w:fldData xml:space="preserve">PEVuZE5vdGU+PENpdGU+PEF1dGhvcj5CaWNodWV0dGk8L0F1dGhvcj48WWVhcj4yMDE5PC9ZZWFy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==
</w:fldData>
        </w:fldChar>
      </w:r>
      <w:r w:rsidR="00D96694">
        <w:instrText xml:space="preserve"> ADDIN EN.CITE </w:instrText>
      </w:r>
      <w:r w:rsidR="00D96694">
        <w:fldChar w:fldCharType="begin">
          <w:fldData xml:space="preserve">PEVuZE5vdGU+PENpdGU+PEF1dGhvcj5CaWNodWV0dGk8L0F1dGhvcj48WWVhcj4yMDE5PC9ZZWFy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==
</w:fldData>
        </w:fldChar>
      </w:r>
      <w:r w:rsidR="00D96694">
        <w:instrText xml:space="preserve"> ADDIN EN.CITE.DATA </w:instrText>
      </w:r>
      <w:r w:rsidR="00D96694">
        <w:fldChar w:fldCharType="end"/>
      </w:r>
      <w:r>
        <w:fldChar w:fldCharType="separate"/>
      </w:r>
      <w:r>
        <w:rPr>
          <w:noProof/>
        </w:rPr>
        <w:t>(Bichuetti et al. 2019)</w:t>
      </w:r>
      <w:r>
        <w:fldChar w:fldCharType="end"/>
      </w:r>
      <w:r w:rsidRPr="00B35E47">
        <w:t xml:space="preserve">. Data on the long-term immunosuppressive treatment (more than 5 years) of NMOSD are sparse, all are retrospective, and mainly concern azathioprine </w:t>
      </w:r>
      <w:r w:rsidRPr="00B35E47">
        <w:rPr>
          <w:rFonts w:cs="Calibri"/>
        </w:rPr>
        <w:t>±</w:t>
      </w:r>
      <w:r w:rsidRPr="00B35E47">
        <w:t xml:space="preserve"> prednisolone and rituximab.</w:t>
      </w:r>
    </w:p>
    <w:p w14:paraId="7663146A" w14:textId="2CBC0F8B" w:rsidR="00720F38" w:rsidRPr="00B35E47" w:rsidRDefault="00720F38" w:rsidP="00720F38">
      <w:r w:rsidRPr="00B35E47">
        <w:t xml:space="preserve">As </w:t>
      </w:r>
      <w:r>
        <w:t xml:space="preserve">azathioprine </w:t>
      </w:r>
      <w:r w:rsidRPr="00B35E47">
        <w:t xml:space="preserve">and </w:t>
      </w:r>
      <w:r>
        <w:t>rituximab</w:t>
      </w:r>
      <w:r w:rsidRPr="00B35E47">
        <w:t xml:space="preserve"> are currently the most widely used preventive and first-line maintenance therapies in NMOSD</w:t>
      </w:r>
      <w:r w:rsidR="00BA6D1B">
        <w:t xml:space="preserve"> </w:t>
      </w:r>
      <w:r w:rsidR="00BA6D1B">
        <w:fldChar w:fldCharType="begin"/>
      </w:r>
      <w:r w:rsidR="0087595F">
        <w:instrText xml:space="preserve"> ADDIN EN.CITE &lt;EndNote&gt;&lt;Cite&gt;&lt;Author&gt;Trebst&lt;/Author&gt;&lt;Year&gt;2014&lt;/Year&gt;&lt;RecNum&gt;30&lt;/RecNum&gt;&lt;DisplayText&gt;(Trebst et al. 2014)&lt;/DisplayText&gt;&lt;record&gt;&lt;rec-number&gt;30&lt;/rec-number&gt;&lt;foreign-keys&gt;&lt;key app="EN" db-id="r25zptaswpdzade29ws5pf9gx55ztppatt20" timestamp="1576104081"&gt;30&lt;/key&gt;&lt;/foreign-keys&gt;&lt;ref-type name="Journal Article"&gt;17&lt;/ref-type&gt;&lt;contributors&gt;&lt;authors&gt;&lt;author&gt;Trebst, C&lt;/author&gt;&lt;author&gt;Jarius, Sven&lt;/author&gt;&lt;author&gt;Berthele, Achim&lt;/author&gt;&lt;author&gt;Paul, Friedemann&lt;/author&gt;&lt;author&gt;Schippling, Sven&lt;/author&gt;&lt;author&gt;Wildemann, Brigitte&lt;/author&gt;&lt;author&gt;Borisow, Nadja&lt;/author&gt;&lt;author&gt;Kleiter, Ingo&lt;/author&gt;&lt;author&gt;Aktas, Orhan&lt;/author&gt;&lt;author&gt;Kümpfel, Tania&lt;/author&gt;&lt;author&gt;Neuromyelitis Optica Study, Group&lt;/author&gt;&lt;/authors&gt;&lt;/contributors&gt;&lt;titles&gt;&lt;title&gt;Update on the diagnosis and treatment of neuromyelitis optica: recommendations of the Neuromyelitis Optica Study Group (NEMOS)&lt;/title&gt;&lt;secondary-title&gt;Journal of neurology&lt;/secondary-title&gt;&lt;alt-title&gt;J Neurol&lt;/alt-title&gt;&lt;/titles&gt;&lt;periodical&gt;&lt;full-title&gt;Journal of neurology&lt;/full-title&gt;&lt;abbr-1&gt;J Neurol&lt;/abbr-1&gt;&lt;/periodical&gt;&lt;alt-periodical&gt;&lt;full-title&gt;J Neurol&lt;/full-title&gt;&lt;/alt-periodical&gt;&lt;pages&gt;1-16&lt;/pages&gt;&lt;volume&gt;261&lt;/volume&gt;&lt;number&gt;1&lt;/number&gt;&lt;edition&gt;11/23&lt;/edition&gt;&lt;keywords&gt;&lt;keyword&gt;Diagnosis-Related Groups/*standards&lt;/keyword&gt;&lt;keyword&gt;Humans&lt;/keyword&gt;&lt;keyword&gt;Medication Reconciliation/*standards/trends&lt;/keyword&gt;&lt;keyword&gt;Neuromyelitis Optica/*diagnosis/*therapy&lt;/keyword&gt;&lt;/keywords&gt;&lt;dates&gt;&lt;year&gt;2014&lt;/year&gt;&lt;/dates&gt;&lt;publisher&gt;Springer Berlin Heidelberg&lt;/publisher&gt;&lt;isbn&gt;1432-1459&amp;#xD;0340-5354&lt;/isbn&gt;&lt;accession-num&gt;24272588&lt;/accession-num&gt;&lt;urls&gt;&lt;related-urls&gt;&lt;url&gt;https://www.ncbi.nlm.nih.gov/pubmed/24272588&lt;/url&gt;&lt;url&gt;https://www.ncbi.nlm.nih.gov/pmc/articles/PMC3895189/&lt;/url&gt;&lt;/related-urls&gt;&lt;/urls&gt;&lt;electronic-resource-num&gt;10.1007/s00415-013-7169-7&lt;/electronic-resource-num&gt;&lt;remote-database-name&gt;PubMed&lt;/remote-database-name&gt;&lt;language&gt;eng&lt;/language&gt;&lt;/record&gt;&lt;/Cite&gt;&lt;/EndNote&gt;</w:instrText>
      </w:r>
      <w:r w:rsidR="00BA6D1B">
        <w:fldChar w:fldCharType="separate"/>
      </w:r>
      <w:r w:rsidR="00126162">
        <w:rPr>
          <w:noProof/>
        </w:rPr>
        <w:t>(Trebst et al. 2014)</w:t>
      </w:r>
      <w:r w:rsidR="00BA6D1B">
        <w:fldChar w:fldCharType="end"/>
      </w:r>
      <w:r w:rsidRPr="00B35E47">
        <w:t xml:space="preserve">, it is assumed that patients will be treated with either </w:t>
      </w:r>
      <w:r>
        <w:t>azathioprine</w:t>
      </w:r>
      <w:r w:rsidRPr="00B35E47">
        <w:t xml:space="preserve"> </w:t>
      </w:r>
      <w:r w:rsidRPr="00B35E47">
        <w:rPr>
          <w:rFonts w:cs="Calibri"/>
        </w:rPr>
        <w:t>±</w:t>
      </w:r>
      <w:r w:rsidRPr="00B35E47">
        <w:t xml:space="preserve"> prednisone or </w:t>
      </w:r>
      <w:r>
        <w:t>rituximab</w:t>
      </w:r>
      <w:r w:rsidRPr="00B35E47">
        <w:t xml:space="preserve"> for maintenance whether in relapse-free state or relapsed. </w:t>
      </w:r>
    </w:p>
    <w:p w14:paraId="52131C5F" w14:textId="37C5A4AC" w:rsidR="00720F38" w:rsidRPr="00B35E47" w:rsidRDefault="00720F38" w:rsidP="00720F38">
      <w:r w:rsidRPr="00B35E47">
        <w:t xml:space="preserve">Relevant studies were sought to identify the proportional use of these drugs used for in immunosuppression in NMOSD. In a retrospective multicentre review of 603 AQP4-Ab NMOSD patients (during 2006–2017) with median disease duration at last follow-up of 8 years, Kim et al reported that 98% of the patients with documented treatment history received immunosuppressive therapy. The first-line treatment was </w:t>
      </w:r>
      <w:r>
        <w:t>azathioprine</w:t>
      </w:r>
      <w:r w:rsidRPr="00B35E47">
        <w:t xml:space="preserve">, </w:t>
      </w:r>
      <w:r>
        <w:t>rituximab</w:t>
      </w:r>
      <w:r w:rsidRPr="00B35E47">
        <w:t xml:space="preserve">, mycophenolate mofetil or others in 46%, 20%, 20% and 14% respectively. A retrospective cohort study conducted in Germany collected data on 144 patients from 21 regional and university hospitals </w:t>
      </w:r>
      <w:r>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instrText xml:space="preserve"> ADDIN EN.CITE </w:instrText>
      </w:r>
      <w:r w:rsidR="00D96694">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instrText xml:space="preserve"> ADDIN EN.CITE.DATA </w:instrText>
      </w:r>
      <w:r w:rsidR="00D96694">
        <w:fldChar w:fldCharType="end"/>
      </w:r>
      <w:r>
        <w:fldChar w:fldCharType="separate"/>
      </w:r>
      <w:r>
        <w:rPr>
          <w:noProof/>
        </w:rPr>
        <w:t>(Stellmann et al. 2017)</w:t>
      </w:r>
      <w:r>
        <w:fldChar w:fldCharType="end"/>
      </w:r>
      <w:r w:rsidRPr="00B35E47">
        <w:t xml:space="preserve">. Eligible patients had been treated for NMO (2006 criteria) or AQP4-Ab positive or negative NMOSD. The study identified that 15 different immunotherapy drugs were used to treat patients, of which </w:t>
      </w:r>
      <w:r>
        <w:t>azathioprine</w:t>
      </w:r>
      <w:r w:rsidRPr="00B35E47">
        <w:t xml:space="preserve">, </w:t>
      </w:r>
      <w:r>
        <w:t>rituximab</w:t>
      </w:r>
      <w:r w:rsidRPr="00B35E47">
        <w:t xml:space="preserve"> and mycophenolate mofetil were the most commonly prescribed</w:t>
      </w:r>
      <w:r>
        <w:t xml:space="preserve"> immunosuppressants</w:t>
      </w:r>
      <w:r w:rsidRPr="00B35E47">
        <w:t xml:space="preserve">. Study indicated that prescription patterns changed over time with </w:t>
      </w:r>
      <w:r>
        <w:t>rituximab</w:t>
      </w:r>
      <w:r w:rsidRPr="00B35E47">
        <w:t xml:space="preserve"> showing an increase from 24% to 43% of all prescriptions from its first use in 2005 to the cut-off of 2011. This increased use of </w:t>
      </w:r>
      <w:r>
        <w:t>rituximab</w:t>
      </w:r>
      <w:r w:rsidRPr="00B35E47">
        <w:t xml:space="preserve"> may be attributed to better efficacy of </w:t>
      </w:r>
      <w:r>
        <w:t>rituximab</w:t>
      </w:r>
      <w:r w:rsidRPr="00B35E47">
        <w:t xml:space="preserve"> compared with </w:t>
      </w:r>
      <w:r>
        <w:t>azathioprine</w:t>
      </w:r>
      <w:r w:rsidRPr="00B35E47">
        <w:t xml:space="preserve"> </w:t>
      </w:r>
      <w:r>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instrText xml:space="preserve"> ADDIN EN.CITE </w:instrText>
      </w:r>
      <w:r w:rsidR="00D96694">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instrText xml:space="preserve"> ADDIN EN.CITE.DATA </w:instrText>
      </w:r>
      <w:r w:rsidR="00D96694">
        <w:fldChar w:fldCharType="end"/>
      </w:r>
      <w:r>
        <w:fldChar w:fldCharType="separate"/>
      </w:r>
      <w:r>
        <w:rPr>
          <w:noProof/>
        </w:rPr>
        <w:t>(Stellmann et al. 2017)</w:t>
      </w:r>
      <w:r>
        <w:fldChar w:fldCharType="end"/>
      </w:r>
      <w:r w:rsidRPr="00B35E47">
        <w:t xml:space="preserve">. </w:t>
      </w:r>
    </w:p>
    <w:p w14:paraId="423437B6" w14:textId="654DDDE1" w:rsidR="00720F38" w:rsidRPr="00B35E47" w:rsidRDefault="00720F38" w:rsidP="00720F38">
      <w:r w:rsidRPr="00B35E47">
        <w:t xml:space="preserve">In a cohort of 206 AQP4-Ab NMOSD patients enrolled in </w:t>
      </w:r>
      <w:r w:rsidR="00843D5B">
        <w:t>MS</w:t>
      </w:r>
      <w:r w:rsidR="00843D5B" w:rsidRPr="00B35E47">
        <w:t>Base</w:t>
      </w:r>
      <w:r w:rsidRPr="00B35E47">
        <w:t xml:space="preserve"> registry (includes patients from Australia), Kunchok et al reported </w:t>
      </w:r>
      <w:r>
        <w:t>azathioprine and</w:t>
      </w:r>
      <w:r w:rsidRPr="00B35E47">
        <w:t xml:space="preserve"> </w:t>
      </w:r>
      <w:r>
        <w:t>rituximab</w:t>
      </w:r>
      <w:r w:rsidRPr="00B35E47">
        <w:t xml:space="preserve"> as the standard immunosuppressive </w:t>
      </w:r>
      <w:r w:rsidRPr="00B35E47">
        <w:lastRenderedPageBreak/>
        <w:t xml:space="preserve">therapies, with approximately 59% and 41% patients treated with </w:t>
      </w:r>
      <w:r>
        <w:t>azathioprine and</w:t>
      </w:r>
      <w:r w:rsidRPr="00B35E47">
        <w:t xml:space="preserve"> </w:t>
      </w:r>
      <w:r w:rsidR="00843D5B">
        <w:t>rituximab</w:t>
      </w:r>
      <w:r w:rsidR="00843D5B" w:rsidRPr="00B35E47">
        <w:t xml:space="preserve"> respectively</w:t>
      </w:r>
      <w:r w:rsidRPr="00B35E47">
        <w:t xml:space="preserve">. Since this study includes Australian patients, these data are used in costing resource use of </w:t>
      </w:r>
      <w:r>
        <w:t>azathioprine and</w:t>
      </w:r>
      <w:r w:rsidRPr="00B35E47">
        <w:t xml:space="preserve"> </w:t>
      </w:r>
      <w:r>
        <w:t>rituximab</w:t>
      </w:r>
      <w:r w:rsidRPr="00B35E47">
        <w:t xml:space="preserve">. </w:t>
      </w:r>
      <w:r>
        <w:t>Higher proportionate use of rituximab (60% and 80%) is assessed in the sensitivity analysis.</w:t>
      </w:r>
    </w:p>
    <w:p w14:paraId="684A1ABB" w14:textId="4E7591B5" w:rsidR="00720F38" w:rsidRPr="00B35E47" w:rsidRDefault="00720F38" w:rsidP="00720F38">
      <w:r w:rsidRPr="00B35E47">
        <w:t xml:space="preserve">Initially, </w:t>
      </w:r>
      <w:r>
        <w:t>azathioprine</w:t>
      </w:r>
      <w:r w:rsidRPr="00B35E47">
        <w:t xml:space="preserve"> treatment should be combined with prednisone for three to six months until its maximal therapeutic effect can be reached. One study assessing the long-term efficacy of </w:t>
      </w:r>
      <w:r>
        <w:t>azathioprine</w:t>
      </w:r>
      <w:r w:rsidRPr="00B35E47">
        <w:t xml:space="preserve"> reported that 63% patients receiving </w:t>
      </w:r>
      <w:r>
        <w:t>azathioprine</w:t>
      </w:r>
      <w:r w:rsidRPr="00B35E47">
        <w:t xml:space="preserve"> were on concomitant prednisone (either a tapering dose or low maintenance dose following acute treatment). Concomitant prednisone use was similar in those with and without relapses </w:t>
      </w:r>
      <w:r>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 </w:instrText>
      </w:r>
      <w:r w:rsidR="00D96694">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EN.CITE.DATA </w:instrText>
      </w:r>
      <w:r w:rsidR="00D96694">
        <w:fldChar w:fldCharType="end"/>
      </w:r>
      <w:r>
        <w:fldChar w:fldCharType="separate"/>
      </w:r>
      <w:r>
        <w:rPr>
          <w:noProof/>
        </w:rPr>
        <w:t>(Elsone et al. 2014)</w:t>
      </w:r>
      <w:r>
        <w:fldChar w:fldCharType="end"/>
      </w:r>
      <w:r w:rsidRPr="00B35E47">
        <w:t xml:space="preserve">. Therefore, </w:t>
      </w:r>
      <w:r>
        <w:t xml:space="preserve">the </w:t>
      </w:r>
      <w:r w:rsidRPr="00B35E47">
        <w:t xml:space="preserve">cost of prednisone is added for 63% of the patients treated with </w:t>
      </w:r>
      <w:r>
        <w:t>azathioprine</w:t>
      </w:r>
      <w:r w:rsidRPr="00B35E47">
        <w:t>.</w:t>
      </w:r>
    </w:p>
    <w:p w14:paraId="7DF05B0F" w14:textId="77777777" w:rsidR="00720F38" w:rsidRPr="00B35E47" w:rsidRDefault="00720F38" w:rsidP="00720F38">
      <w:r>
        <w:t>The b</w:t>
      </w:r>
      <w:r w:rsidRPr="00B35E47">
        <w:t xml:space="preserve">ase-case analysis </w:t>
      </w:r>
      <w:r>
        <w:t xml:space="preserve">in the economic model will </w:t>
      </w:r>
      <w:r w:rsidRPr="00B35E47">
        <w:t xml:space="preserve">assume that all patients in remission/relapse state will have immunosuppressant therapy irrespective of the disease duration. Treatment compliance and discontinuation </w:t>
      </w:r>
      <w:r>
        <w:t xml:space="preserve">will </w:t>
      </w:r>
      <w:r w:rsidRPr="00B35E47">
        <w:t xml:space="preserve">not </w:t>
      </w:r>
      <w:r>
        <w:t xml:space="preserve">be specifically </w:t>
      </w:r>
      <w:r w:rsidRPr="00B35E47">
        <w:t>modelled</w:t>
      </w:r>
      <w:r>
        <w:t>, h</w:t>
      </w:r>
      <w:r w:rsidRPr="00B35E47">
        <w:t xml:space="preserve">owever, these are assumed to be </w:t>
      </w:r>
      <w:r>
        <w:t xml:space="preserve">implicitly </w:t>
      </w:r>
      <w:r w:rsidRPr="00B35E47">
        <w:t xml:space="preserve">captured in the mean treatment doses. </w:t>
      </w:r>
    </w:p>
    <w:p w14:paraId="08E25A92" w14:textId="77777777" w:rsidR="00720F38" w:rsidRPr="00B35E47" w:rsidRDefault="00720F38" w:rsidP="00720F38">
      <w:pPr>
        <w:pStyle w:val="Heading4"/>
      </w:pPr>
      <w:r w:rsidRPr="00B35E47">
        <w:t>Treatment for relapse/attack</w:t>
      </w:r>
    </w:p>
    <w:p w14:paraId="6EB939ED" w14:textId="1B9845EB" w:rsidR="00720F38" w:rsidRPr="00B35E47" w:rsidRDefault="00720F38" w:rsidP="00720F38">
      <w:r w:rsidRPr="00B35E47">
        <w:t xml:space="preserve">Kleiter et al analyzed the frequency, sequence, and efficacy of therapies used for 871 NMO attacks in 185 patients registered in Neuromyelitis Optica Study Group (NEMOS) </w:t>
      </w:r>
      <w:r>
        <w:fldChar w:fldCharType="begin">
          <w:fldData xml:space="preserve">PEVuZE5vdGU+PENpdGU+PEF1dGhvcj5LbGVpdGVyPC9BdXRob3I+PFllYXI+MjAxNjwvWWVhcj48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==
</w:fldData>
        </w:fldChar>
      </w:r>
      <w:r>
        <w:instrText xml:space="preserve"> ADDIN EN.CITE </w:instrText>
      </w:r>
      <w:r>
        <w:fldChar w:fldCharType="begin">
          <w:fldData xml:space="preserve">PEVuZE5vdGU+PENpdGU+PEF1dGhvcj5LbGVpdGVyPC9BdXRob3I+PFllYXI+MjAxNjwvWWVhcj48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==
</w:fldData>
        </w:fldChar>
      </w:r>
      <w:r>
        <w:instrText xml:space="preserve"> ADDIN EN.CITE.DATA </w:instrText>
      </w:r>
      <w:r>
        <w:fldChar w:fldCharType="end"/>
      </w:r>
      <w:r>
        <w:fldChar w:fldCharType="separate"/>
      </w:r>
      <w:r>
        <w:rPr>
          <w:noProof/>
        </w:rPr>
        <w:t>(Kleiter et al. 2016)</w:t>
      </w:r>
      <w:r>
        <w:fldChar w:fldCharType="end"/>
      </w:r>
      <w:r w:rsidRPr="00B35E47">
        <w:t xml:space="preserve">. Of the 1,153 treatment courses administered, high-dose intravenous steroids (HD-S) comprised of 70.3% of the treatment courses (n = 810) and apheresis (such as </w:t>
      </w:r>
      <w:r w:rsidR="00843D5B">
        <w:t>plasma</w:t>
      </w:r>
      <w:r>
        <w:t xml:space="preserve"> exchange</w:t>
      </w:r>
      <w:r w:rsidRPr="00B35E47">
        <w:t xml:space="preserve">) were used in 20% of all treatment courses. Other therapies included intrathecal steroids, IVIG and various others. The frequency of attacks treated with a second, third, fourth, and fifth treatment course was 28.2%, 7.1%, 1.4%, and 0.5%, respectively. On an </w:t>
      </w:r>
      <w:r w:rsidR="00843D5B" w:rsidRPr="00B35E47">
        <w:t>average,</w:t>
      </w:r>
      <w:r w:rsidRPr="00B35E47">
        <w:t xml:space="preserve"> there were approximately 1.3 treatment courses per attack. Although HD-S was used as first treatment course in 83.6% (median dosage 3g) of all treatments; and was given in 44.7% (median dosage = 6g) of second treatment courses, apheresis (median number of exchanges = 5) were used preferentially at later stages of escalation (75%, and 100% of fourth and fifth treatment courses). The study identified 54 combinations of therapeutic strategies, among which HD-S alone (57.4%), one course of HD-S followed by apheresis (10.1%) and two courses of HD-S alone (7.1%) and </w:t>
      </w:r>
      <w:r>
        <w:t>plasma exchange</w:t>
      </w:r>
      <w:r w:rsidRPr="00B35E47">
        <w:t xml:space="preserve"> alone (6%) were the most common therapeutic strategies. Patients treated with apheresis tend to </w:t>
      </w:r>
      <w:r>
        <w:t xml:space="preserve">have </w:t>
      </w:r>
      <w:r w:rsidRPr="00B35E47">
        <w:t xml:space="preserve">had higher EDSS (indicating more sever attacks) and </w:t>
      </w:r>
      <w:r>
        <w:t xml:space="preserve">a </w:t>
      </w:r>
      <w:r w:rsidRPr="00B35E47">
        <w:t>higher number of preceding attacks at start of the therapy compared with patients receiving other first treatment courses.</w:t>
      </w:r>
    </w:p>
    <w:p w14:paraId="52F01D5A" w14:textId="098DEA8E" w:rsidR="00720F38" w:rsidRPr="00B35E47" w:rsidRDefault="00720F38" w:rsidP="00720F38">
      <w:r>
        <w:t xml:space="preserve">An </w:t>
      </w:r>
      <w:r w:rsidRPr="00B35E47">
        <w:t xml:space="preserve">MSBase registry study of 206 AQP4-Ab NMOSD patients reported that most relapses were treated with corticosteroids (76%), and </w:t>
      </w:r>
      <w:r>
        <w:t>plasma exchange</w:t>
      </w:r>
      <w:r w:rsidRPr="00B35E47">
        <w:t xml:space="preserve"> (14%), cyclophosphamide (5%) and IVIG (5%) </w:t>
      </w:r>
      <w:r>
        <w:fldChar w:fldCharType="begin">
          <w:fldData xml:space="preserve">PEVuZE5vdGU+PENpdGU+PEF1dGhvcj5LdW5jaG9rPC9BdXRob3I+PFllYXI+MjAxOTwvWWVhcj48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</w:fldData>
        </w:fldChar>
      </w:r>
      <w:r w:rsidR="00D96694">
        <w:instrText xml:space="preserve"> ADDIN EN.CITE </w:instrText>
      </w:r>
      <w:r w:rsidR="00D96694">
        <w:fldChar w:fldCharType="begin">
          <w:fldData xml:space="preserve">PEVuZE5vdGU+PENpdGU+PEF1dGhvcj5LdW5jaG9rPC9BdXRob3I+PFllYXI+MjAxOTwvWWVhcj48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</w:fldData>
        </w:fldChar>
      </w:r>
      <w:r w:rsidR="00D96694">
        <w:instrText xml:space="preserve"> ADDIN EN.CITE.DATA </w:instrText>
      </w:r>
      <w:r w:rsidR="00D96694">
        <w:fldChar w:fldCharType="end"/>
      </w:r>
      <w:r>
        <w:fldChar w:fldCharType="separate"/>
      </w:r>
      <w:r>
        <w:rPr>
          <w:noProof/>
        </w:rPr>
        <w:t>(Kunchok et al. 2019)</w:t>
      </w:r>
      <w:r>
        <w:fldChar w:fldCharType="end"/>
      </w:r>
      <w:r w:rsidRPr="00B35E47">
        <w:t>. Cyclophosphamide use was found to decline over the study time period.</w:t>
      </w:r>
    </w:p>
    <w:p w14:paraId="60A2E108" w14:textId="1ACAE0BD" w:rsidR="00720F38" w:rsidRPr="00B35E47" w:rsidRDefault="00720F38" w:rsidP="00720F38">
      <w:pPr>
        <w:rPr>
          <w:rFonts w:eastAsiaTheme="minorHAnsi"/>
          <w:lang w:eastAsia="en-US"/>
        </w:rPr>
      </w:pPr>
      <w:r w:rsidRPr="00B35E47">
        <w:t>A clinical survey of NMOSD across Australia and New Zealand</w:t>
      </w:r>
      <w:r w:rsidRPr="00B35E47">
        <w:rPr>
          <w:rFonts w:eastAsiaTheme="minorHAnsi"/>
        </w:rPr>
        <w:t xml:space="preserve"> reported that 329 attacks occurred in a subgroup of 75 NMOSD patients. </w:t>
      </w:r>
      <w:r w:rsidRPr="00B35E47">
        <w:t>Corticosteroid</w:t>
      </w:r>
      <w:r w:rsidRPr="00B35E47">
        <w:rPr>
          <w:rFonts w:eastAsiaTheme="minorHAnsi"/>
        </w:rPr>
        <w:t xml:space="preserve"> (IVMP) was given in </w:t>
      </w:r>
      <w:r w:rsidRPr="00B35E47">
        <w:rPr>
          <w:rFonts w:eastAsiaTheme="minorHAnsi"/>
          <w:lang w:eastAsia="en-US"/>
        </w:rPr>
        <w:t>59% of these attacks and 13% were treated with plasma exchange. Recovery data w</w:t>
      </w:r>
      <w:r w:rsidR="008F2AFA">
        <w:rPr>
          <w:rFonts w:eastAsiaTheme="minorHAnsi"/>
          <w:lang w:eastAsia="en-US"/>
        </w:rPr>
        <w:t>ere</w:t>
      </w:r>
      <w:r w:rsidRPr="00B35E47">
        <w:rPr>
          <w:rFonts w:eastAsiaTheme="minorHAnsi"/>
          <w:lang w:eastAsia="en-US"/>
        </w:rPr>
        <w:t xml:space="preserve"> available for 271 attacks and was full in 30%, partial in 62% and none in 9% </w:t>
      </w:r>
      <w:r>
        <w:rPr>
          <w:rFonts w:eastAsiaTheme="minorHAnsi"/>
          <w:lang w:eastAsia="en-US"/>
        </w:rPr>
        <w:fldChar w:fldCharType="begin">
          <w:fldData xml:space="preserve">PEVuZE5vdGU+PENpdGU+PEF1dGhvcj5Ccm9hZGxleTwvQXV0aG9yPjxZZWFyPjIwMTc8L1llYXI+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</w:fldData>
        </w:fldChar>
      </w:r>
      <w:r w:rsidR="00D96694">
        <w:rPr>
          <w:rFonts w:eastAsiaTheme="minorHAnsi"/>
          <w:lang w:eastAsia="en-US"/>
        </w:rPr>
        <w:instrText xml:space="preserve"> ADDIN EN.CITE </w:instrText>
      </w:r>
      <w:r w:rsidR="00D96694">
        <w:rPr>
          <w:rFonts w:eastAsiaTheme="minorHAnsi"/>
          <w:lang w:eastAsia="en-US"/>
        </w:rPr>
        <w:fldChar w:fldCharType="begin">
          <w:fldData xml:space="preserve">PEVuZE5vdGU+PENpdGU+PEF1dGhvcj5Ccm9hZGxleTwvQXV0aG9yPjxZZWFyPjIwMTc8L1llYXI+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</w:fldData>
        </w:fldChar>
      </w:r>
      <w:r w:rsidR="00D96694">
        <w:rPr>
          <w:rFonts w:eastAsiaTheme="minorHAnsi"/>
          <w:lang w:eastAsia="en-US"/>
        </w:rPr>
        <w:instrText xml:space="preserve"> ADDIN EN.CITE.DATA </w:instrText>
      </w:r>
      <w:r w:rsidR="00D96694">
        <w:rPr>
          <w:rFonts w:eastAsiaTheme="minorHAnsi"/>
          <w:lang w:eastAsia="en-US"/>
        </w:rPr>
      </w:r>
      <w:r w:rsidR="00D96694">
        <w:rPr>
          <w:rFonts w:eastAsiaTheme="minorHAnsi"/>
          <w:lang w:eastAsia="en-US"/>
        </w:rPr>
        <w:fldChar w:fldCharType="end"/>
      </w:r>
      <w:r>
        <w:rPr>
          <w:rFonts w:eastAsiaTheme="minorHAnsi"/>
          <w:lang w:eastAsia="en-US"/>
        </w:rPr>
      </w:r>
      <w:r>
        <w:rPr>
          <w:rFonts w:eastAsiaTheme="minorHAnsi"/>
          <w:lang w:eastAsia="en-US"/>
        </w:rPr>
        <w:fldChar w:fldCharType="separate"/>
      </w:r>
      <w:r>
        <w:rPr>
          <w:rFonts w:eastAsiaTheme="minorHAnsi"/>
          <w:noProof/>
          <w:lang w:eastAsia="en-US"/>
        </w:rPr>
        <w:t>(Broadley 2017; Bukhari et al. 2020)</w:t>
      </w:r>
      <w:r>
        <w:rPr>
          <w:rFonts w:eastAsiaTheme="minorHAnsi"/>
          <w:lang w:eastAsia="en-US"/>
        </w:rPr>
        <w:fldChar w:fldCharType="end"/>
      </w:r>
      <w:r w:rsidRPr="00B35E47">
        <w:rPr>
          <w:rFonts w:eastAsiaTheme="minorHAnsi"/>
          <w:lang w:eastAsia="en-US"/>
        </w:rPr>
        <w:t>. This study also indicated that the plasma exchange appears to be more effective treatment for acute attacks.</w:t>
      </w:r>
    </w:p>
    <w:p w14:paraId="639FD9DA" w14:textId="77777777" w:rsidR="00720F38" w:rsidRDefault="00720F38" w:rsidP="00720F38">
      <w:r w:rsidRPr="00B35E47">
        <w:t>These studies indicate that intravenous corticosteroids are the first-line treatment for most of the attacks fol</w:t>
      </w:r>
      <w:r>
        <w:t>lowed by PLEX, IVIG and others. It is assumed that mild attacks would be treated with IVMP (84%) and plasma exchange (16%). Severe attacks are assumed to have 1.3 treatments per attack comprising plasma exchange (75%), IVMP (45%) and IVIG (10%). Sensitivity analysis</w:t>
      </w:r>
      <w:r w:rsidRPr="004A00D2">
        <w:t xml:space="preserve"> </w:t>
      </w:r>
      <w:r>
        <w:t xml:space="preserve">assumes similar </w:t>
      </w:r>
      <w:r>
        <w:lastRenderedPageBreak/>
        <w:t>treatment (1.3 treatments/attack) for mild and severe attacks in the ratio as reported in Kunchok et al (</w:t>
      </w:r>
      <w:r w:rsidRPr="00B35E47">
        <w:t xml:space="preserve">76% </w:t>
      </w:r>
      <w:r>
        <w:t>corticosteroids, 14% plasma exchange and 10</w:t>
      </w:r>
      <w:r w:rsidRPr="00B35E47">
        <w:t>%</w:t>
      </w:r>
      <w:r>
        <w:t xml:space="preserve"> IVIG).</w:t>
      </w:r>
    </w:p>
    <w:p w14:paraId="06757A42" w14:textId="77777777" w:rsidR="00720F38" w:rsidRDefault="00720F38" w:rsidP="00720F38">
      <w:pPr>
        <w:pStyle w:val="Heading4"/>
      </w:pPr>
      <w:r>
        <w:t>Hospitalisations</w:t>
      </w:r>
    </w:p>
    <w:p w14:paraId="63DFE554" w14:textId="77777777" w:rsidR="00720F38" w:rsidRPr="00B35E47" w:rsidRDefault="00720F38" w:rsidP="00720F38">
      <w:r>
        <w:t xml:space="preserve">One study was identified that evaluated comorbidities and health care resource use among patients with highly active NMO (at least two relapses in the last 12-months) compared with other NMO patients and matched non-NMO controls </w:t>
      </w:r>
      <w:r w:rsidR="00AC01FD">
        <w:fldChar w:fldCharType="begin">
          <w:fldData xml:space="preserve">PEVuZE5vdGU+PENpdGU+PEF1dGhvcj5Bam1lcmE8L0F1dGhvcj48WWVhcj4yMDE4PC9ZZWFyPjxS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</w:fldData>
        </w:fldChar>
      </w:r>
      <w:r w:rsidR="00AC01FD">
        <w:instrText xml:space="preserve"> ADDIN EN.CITE </w:instrText>
      </w:r>
      <w:r w:rsidR="00AC01FD">
        <w:fldChar w:fldCharType="begin">
          <w:fldData xml:space="preserve">PEVuZE5vdGU+PENpdGU+PEF1dGhvcj5Bam1lcmE8L0F1dGhvcj48WWVhcj4yMDE4PC9ZZWFyPjxS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</w:fldData>
        </w:fldChar>
      </w:r>
      <w:r w:rsidR="00AC01FD">
        <w:instrText xml:space="preserve"> ADDIN EN.CITE.DATA </w:instrText>
      </w:r>
      <w:r w:rsidR="00AC01FD">
        <w:fldChar w:fldCharType="end"/>
      </w:r>
      <w:r w:rsidR="00AC01FD">
        <w:fldChar w:fldCharType="separate"/>
      </w:r>
      <w:r w:rsidR="00AC01FD">
        <w:rPr>
          <w:noProof/>
        </w:rPr>
        <w:t>(Ajmera et al. 2018)</w:t>
      </w:r>
      <w:r w:rsidR="00AC01FD">
        <w:fldChar w:fldCharType="end"/>
      </w:r>
      <w:r>
        <w:t xml:space="preserve"> over a 12-month period. The study reported that nearly 53.7% of</w:t>
      </w:r>
      <w:r w:rsidRPr="00CF5966">
        <w:t xml:space="preserve"> patients with highly active NMO had at least one inpatient stay in the 12-month follow-up period, compared with 22.4% of all patients with NMO</w:t>
      </w:r>
      <w:r>
        <w:t xml:space="preserve">. </w:t>
      </w:r>
      <w:r w:rsidRPr="00FD6FF9">
        <w:t>The average number of emergency department visits during the follow-up period was 5.2 for patients with highly active NMO versus 2.8 for all patients with NMO</w:t>
      </w:r>
      <w:r>
        <w:t>.</w:t>
      </w:r>
    </w:p>
    <w:p w14:paraId="1F6DBFED" w14:textId="77777777" w:rsidR="00720F38" w:rsidRPr="00B35E47" w:rsidRDefault="00720F38" w:rsidP="00720F38">
      <w:pPr>
        <w:pStyle w:val="Heading2"/>
      </w:pPr>
      <w:bookmarkStart w:id="388" w:name="_Toc395200790"/>
      <w:bookmarkStart w:id="389" w:name="_Toc34212309"/>
      <w:bookmarkStart w:id="390" w:name="_Toc38031948"/>
      <w:bookmarkStart w:id="391" w:name="_Toc39588353"/>
      <w:r>
        <w:t>C4</w:t>
      </w:r>
      <w:r>
        <w:tab/>
      </w:r>
      <w:r w:rsidRPr="00B35E47">
        <w:t>Transformation issues</w:t>
      </w:r>
      <w:bookmarkEnd w:id="388"/>
      <w:bookmarkEnd w:id="389"/>
      <w:bookmarkEnd w:id="390"/>
      <w:bookmarkEnd w:id="391"/>
    </w:p>
    <w:p w14:paraId="5068BCF7" w14:textId="77777777" w:rsidR="00720F38" w:rsidRPr="00B35E47" w:rsidRDefault="00720F38" w:rsidP="00720F38">
      <w:pPr>
        <w:pStyle w:val="Heading3"/>
      </w:pPr>
      <w:bookmarkStart w:id="392" w:name="_Toc38031949"/>
      <w:bookmarkStart w:id="393" w:name="_Toc39588354"/>
      <w:r w:rsidRPr="00B35E47">
        <w:t>C4.1</w:t>
      </w:r>
      <w:r w:rsidRPr="00B35E47">
        <w:tab/>
        <w:t>Health state utility values</w:t>
      </w:r>
      <w:bookmarkEnd w:id="392"/>
      <w:bookmarkEnd w:id="393"/>
    </w:p>
    <w:p w14:paraId="5D262FB6" w14:textId="77777777" w:rsidR="00720F38" w:rsidRPr="00B35E47" w:rsidRDefault="00720F38" w:rsidP="00720F38">
      <w:r w:rsidRPr="00B35E47">
        <w:t xml:space="preserve">The impact of NMOSD on health related quality of life (QoL) is discussed in Section B.7. In summary studies investigating the effects of NMOSD on QoL showed that, for physical functioning, NMOSD had a negative effect on QoL, compared to the general population. In comparison to MS, adults with NMOSD were more likely to report pain, and the pain was more severe and interfered with daily life. MS patients scored worse on scale for cognitive function compared with NMOSD, whereas NMO patients scored worse for bladder and bowel function. (Chanson et al 2011). All other domains appeared to be relatively similar across MS and NMOSD, including the composite scores for physical and mental health. </w:t>
      </w:r>
    </w:p>
    <w:p w14:paraId="1D014D1C" w14:textId="77777777" w:rsidR="00720F38" w:rsidRPr="00B35E47" w:rsidRDefault="00720F38" w:rsidP="00720F38">
      <w:r w:rsidRPr="00B35E47">
        <w:t xml:space="preserve">All these outcomes were reported using SF-36 or other health-related questionnaires that cannot be transformed to health state utility values (HSUVs) needed to inform the economic model to measure health outcomes in quality-adjusted life years (QALYs). </w:t>
      </w:r>
    </w:p>
    <w:p w14:paraId="55F7E58A" w14:textId="77777777" w:rsidR="00720F38" w:rsidRPr="00B35E47" w:rsidRDefault="00720F38" w:rsidP="00720F38">
      <w:bookmarkStart w:id="394" w:name="_Hlk37957118"/>
      <w:r w:rsidRPr="00B35E47">
        <w:t xml:space="preserve">One study reported utility of patients with MS or NMOSD in Thailand using </w:t>
      </w:r>
      <w:r>
        <w:t xml:space="preserve">the </w:t>
      </w:r>
      <w:r w:rsidRPr="00B35E47">
        <w:t xml:space="preserve">Thai version of EuroQoL Five Dimension with three levels (EQ-5D-3L) instrument. The mean health utility score was reported as 0.41 for both groups. No significant difference was identified between MS and NMOSD in terms of health utility score. This study also reported HSUVs for MS and NMOSD mapped to the patients’ scores on Expanded Disability Status Scale (EDSS) </w:t>
      </w:r>
      <w:r>
        <w:fldChar w:fldCharType="begin">
          <w:fldData xml:space="preserve">PEVuZE5vdGU+PENpdGU+PEF1dGhvcj5TaXJpdGhvPC9BdXRob3I+PFllYXI+MjAxODwvWWVhcj48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</w:fldData>
        </w:fldChar>
      </w:r>
      <w:r>
        <w:instrText xml:space="preserve"> ADDIN EN.CITE </w:instrText>
      </w:r>
      <w:r>
        <w:fldChar w:fldCharType="begin">
          <w:fldData xml:space="preserve">PEVuZE5vdGU+PENpdGU+PEF1dGhvcj5TaXJpdGhvPC9BdXRob3I+PFllYXI+MjAxODwvWWVhcj48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</w:fldData>
        </w:fldChar>
      </w:r>
      <w:r>
        <w:instrText xml:space="preserve"> ADDIN EN.CITE.DATA </w:instrText>
      </w:r>
      <w:r>
        <w:fldChar w:fldCharType="end"/>
      </w:r>
      <w:r>
        <w:fldChar w:fldCharType="separate"/>
      </w:r>
      <w:r>
        <w:rPr>
          <w:noProof/>
        </w:rPr>
        <w:t>(Siritho et al. 2018)</w:t>
      </w:r>
      <w:r>
        <w:fldChar w:fldCharType="end"/>
      </w:r>
      <w:bookmarkEnd w:id="394"/>
      <w:r w:rsidRPr="00B35E47">
        <w:t xml:space="preserve">. The disutilities associated with severe and mild relapses were reported as 0.29 and 0.07 respectively </w:t>
      </w:r>
      <w:r>
        <w:fldChar w:fldCharType="begin"/>
      </w:r>
      <w:r>
        <w:instrText xml:space="preserve"> ADDIN EN.CITE &lt;EndNote&gt;&lt;Cite&gt;&lt;Author&gt;Aungsumart&lt;/Author&gt;&lt;Year&gt;2020&lt;/Year&gt;&lt;RecNum&gt;2832&lt;/RecNum&gt;&lt;DisplayText&gt;(Aungsumart &amp;amp; Apiwattanakul 2020)&lt;/DisplayText&gt;&lt;record&gt;&lt;rec-number&gt;2832&lt;/rec-number&gt;&lt;foreign-keys&gt;&lt;key app="EN" db-id="r9zwwf2zmrrvxfespp15vtvjapza9v2fz5s5" timestamp="1581642811"&gt;2832&lt;/key&gt;&lt;/foreign-keys&gt;&lt;ref-type name="Journal Article"&gt;17&lt;/ref-type&gt;&lt;contributors&gt;&lt;authors&gt;&lt;author&gt;Aungsumart, S.&lt;/author&gt;&lt;author&gt;Apiwattanakul, M.&lt;/author&gt;&lt;/authors&gt;&lt;/contributors&gt;&lt;auth-address&gt;Neuroimmunology Unit, Department of Neurology, Prasat Neurological Institute, Bangkok, Thailand.&lt;/auth-address&gt;&lt;titles&gt;&lt;title&gt;Cost effectiveness of rituximab and mycophenolate mofetil for neuromyelitis optica spectrum disorder in Thailand: Economic evaluation and budget impact analysis&lt;/title&gt;&lt;secondary-title&gt;PLoS One&lt;/secondary-title&gt;&lt;/titles&gt;&lt;periodical&gt;&lt;full-title&gt;PLoS ONE&lt;/full-title&gt;&lt;/periodical&gt;&lt;pages&gt;e0229028&lt;/pages&gt;&lt;volume&gt;15&lt;/volume&gt;&lt;number&gt;2&lt;/number&gt;&lt;edition&gt;2020/02/13&lt;/edition&gt;&lt;dates&gt;&lt;year&gt;2020&lt;/year&gt;&lt;/dates&gt;&lt;isbn&gt;1932-6203 (Electronic)&amp;#xD;1932-6203 (Linking)&lt;/isbn&gt;&lt;accession-num&gt;32050011&lt;/accession-num&gt;&lt;urls&gt;&lt;related-urls&gt;&lt;url&gt;https://www.ncbi.nlm.nih.gov/pubmed/32050011&lt;/url&gt;&lt;url&gt;https://journals.plos.org/plosone/article/file?id=10.1371/journal.pone.0229028&amp;amp;type=printable&lt;/url&gt;&lt;/related-urls&gt;&lt;/urls&gt;&lt;electronic-resource-num&gt;10.1371/journal.pone.0229028&lt;/electronic-resource-num&gt;&lt;/record&gt;&lt;/Cite&gt;&lt;/EndNote&gt;</w:instrText>
      </w:r>
      <w:r>
        <w:fldChar w:fldCharType="separate"/>
      </w:r>
      <w:r>
        <w:rPr>
          <w:noProof/>
        </w:rPr>
        <w:t>(Aungsumart &amp; Apiwattanakul 2020)</w:t>
      </w:r>
      <w:r>
        <w:fldChar w:fldCharType="end"/>
      </w:r>
      <w:r w:rsidRPr="00B35E47">
        <w:t xml:space="preserve">. </w:t>
      </w:r>
    </w:p>
    <w:p w14:paraId="222DCC15" w14:textId="1DEC59DE" w:rsidR="00720F38" w:rsidRPr="00B35E47" w:rsidRDefault="00720F38" w:rsidP="00720F38">
      <w:pPr>
        <w:pStyle w:val="Caption"/>
      </w:pPr>
      <w:bookmarkStart w:id="395" w:name="_Ref38032059"/>
      <w:bookmarkStart w:id="396" w:name="_Toc36054850"/>
      <w:bookmarkStart w:id="397" w:name="_Toc39580853"/>
      <w:r w:rsidRPr="00B35E47">
        <w:t xml:space="preserve">Table </w:t>
      </w:r>
      <w:fldSimple w:instr=" SEQ Table \* ARABIC ">
        <w:r w:rsidR="00FA7BCD">
          <w:rPr>
            <w:noProof/>
          </w:rPr>
          <w:t>72</w:t>
        </w:r>
      </w:fldSimple>
      <w:bookmarkEnd w:id="395"/>
      <w:r w:rsidRPr="00B35E47">
        <w:tab/>
        <w:t>Health state utility values mapped with EDSS score for MS and NMOSD</w:t>
      </w:r>
      <w:bookmarkEnd w:id="396"/>
      <w:bookmarkEnd w:id="397"/>
    </w:p>
    <w:tbl>
      <w:tblPr>
        <w:tblStyle w:val="TableGrid5"/>
        <w:tblW w:w="0" w:type="auto"/>
        <w:tblLook w:val="04A0" w:firstRow="1" w:lastRow="0" w:firstColumn="1" w:lastColumn="0" w:noHBand="0" w:noVBand="1"/>
        <w:tblCaption w:val="Health state utility values mapped with EDSS score for MS and NMOSD"/>
        <w:tblDescription w:val="Health state utility values mapped with EDSS score for MS and NMOSD"/>
      </w:tblPr>
      <w:tblGrid>
        <w:gridCol w:w="2254"/>
        <w:gridCol w:w="2254"/>
        <w:gridCol w:w="2254"/>
        <w:gridCol w:w="2254"/>
      </w:tblGrid>
      <w:tr w:rsidR="00720F38" w:rsidRPr="00B35E47" w14:paraId="25A1B4AB" w14:textId="77777777" w:rsidTr="00720F38">
        <w:tc>
          <w:tcPr>
            <w:tcW w:w="2254" w:type="dxa"/>
          </w:tcPr>
          <w:p w14:paraId="51FAF926" w14:textId="1B795E81" w:rsidR="00720F38" w:rsidRPr="00B35E47" w:rsidRDefault="00720F38" w:rsidP="00A87AE2">
            <w:pPr>
              <w:pStyle w:val="TableHeading"/>
            </w:pPr>
          </w:p>
        </w:tc>
        <w:tc>
          <w:tcPr>
            <w:tcW w:w="2254" w:type="dxa"/>
            <w:tcBorders>
              <w:right w:val="nil"/>
            </w:tcBorders>
          </w:tcPr>
          <w:p w14:paraId="24351780" w14:textId="77777777" w:rsidR="00720F38" w:rsidRPr="00B35E47" w:rsidRDefault="00720F38" w:rsidP="00A87AE2">
            <w:pPr>
              <w:pStyle w:val="TableHeading"/>
              <w:rPr>
                <w:vertAlign w:val="superscript"/>
              </w:rPr>
            </w:pPr>
            <w:r w:rsidRPr="00B35E47">
              <w:t>Thai study</w:t>
            </w:r>
            <w:r w:rsidRPr="00B35E47">
              <w:rPr>
                <w:vertAlign w:val="superscript"/>
              </w:rPr>
              <w:t>1</w:t>
            </w:r>
          </w:p>
        </w:tc>
        <w:tc>
          <w:tcPr>
            <w:tcW w:w="2254" w:type="dxa"/>
            <w:tcBorders>
              <w:left w:val="nil"/>
            </w:tcBorders>
          </w:tcPr>
          <w:p w14:paraId="23D3442C" w14:textId="77777777" w:rsidR="00720F38" w:rsidRPr="00B35E47" w:rsidRDefault="00720F38" w:rsidP="00A87AE2">
            <w:pPr>
              <w:pStyle w:val="TableHeading"/>
            </w:pPr>
          </w:p>
        </w:tc>
        <w:tc>
          <w:tcPr>
            <w:tcW w:w="2254" w:type="dxa"/>
          </w:tcPr>
          <w:p w14:paraId="7AEB0813" w14:textId="77777777" w:rsidR="00720F38" w:rsidRPr="00B35E47" w:rsidRDefault="00720F38" w:rsidP="00A87AE2">
            <w:pPr>
              <w:pStyle w:val="TableHeading"/>
            </w:pPr>
            <w:r w:rsidRPr="00B35E47">
              <w:t>AMSLS</w:t>
            </w:r>
            <w:r w:rsidRPr="00B35E47">
              <w:rPr>
                <w:vertAlign w:val="superscript"/>
              </w:rPr>
              <w:t>2</w:t>
            </w:r>
            <w:r w:rsidRPr="00B35E47">
              <w:t xml:space="preserve"> </w:t>
            </w:r>
          </w:p>
        </w:tc>
      </w:tr>
      <w:tr w:rsidR="00720F38" w:rsidRPr="00B35E47" w14:paraId="2D9703E7" w14:textId="77777777" w:rsidTr="00720F38">
        <w:tc>
          <w:tcPr>
            <w:tcW w:w="2254" w:type="dxa"/>
          </w:tcPr>
          <w:p w14:paraId="479CD006" w14:textId="77777777" w:rsidR="00720F38" w:rsidRPr="00B35E47" w:rsidRDefault="00720F38" w:rsidP="00720F38">
            <w:pPr>
              <w:keepNext/>
              <w:spacing w:before="40" w:after="40"/>
              <w:ind w:left="0"/>
              <w:jc w:val="left"/>
              <w:rPr>
                <w:rFonts w:ascii="Arial Narrow" w:hAnsi="Arial Narrow"/>
                <w:b/>
                <w:lang w:eastAsia="en-US"/>
              </w:rPr>
            </w:pPr>
            <w:r w:rsidRPr="00B35E47">
              <w:rPr>
                <w:rFonts w:ascii="Arial Narrow" w:hAnsi="Arial Narrow"/>
                <w:b/>
                <w:lang w:eastAsia="en-US"/>
              </w:rPr>
              <w:t>EDSS</w:t>
            </w:r>
          </w:p>
        </w:tc>
        <w:tc>
          <w:tcPr>
            <w:tcW w:w="2254" w:type="dxa"/>
          </w:tcPr>
          <w:p w14:paraId="65E55017" w14:textId="77777777" w:rsidR="00720F38" w:rsidRPr="00B35E47" w:rsidRDefault="00720F38" w:rsidP="00720F38">
            <w:pPr>
              <w:keepNext/>
              <w:spacing w:before="40" w:after="40"/>
              <w:ind w:left="0"/>
              <w:jc w:val="left"/>
              <w:rPr>
                <w:rFonts w:ascii="Arial Narrow" w:hAnsi="Arial Narrow"/>
                <w:b/>
                <w:lang w:eastAsia="en-US"/>
              </w:rPr>
            </w:pPr>
            <w:r w:rsidRPr="00B35E47">
              <w:rPr>
                <w:rFonts w:ascii="Arial Narrow" w:hAnsi="Arial Narrow"/>
                <w:b/>
                <w:lang w:eastAsia="en-US"/>
              </w:rPr>
              <w:t>NMOSD</w:t>
            </w:r>
          </w:p>
        </w:tc>
        <w:tc>
          <w:tcPr>
            <w:tcW w:w="2254" w:type="dxa"/>
          </w:tcPr>
          <w:p w14:paraId="293E815C" w14:textId="77777777" w:rsidR="00720F38" w:rsidRPr="00B35E47" w:rsidRDefault="00720F38" w:rsidP="00720F38">
            <w:pPr>
              <w:keepNext/>
              <w:spacing w:before="40" w:after="40"/>
              <w:ind w:left="0"/>
              <w:jc w:val="left"/>
              <w:rPr>
                <w:rFonts w:ascii="Arial Narrow" w:hAnsi="Arial Narrow"/>
                <w:b/>
                <w:lang w:eastAsia="en-US"/>
              </w:rPr>
            </w:pPr>
            <w:r w:rsidRPr="00B35E47">
              <w:rPr>
                <w:rFonts w:ascii="Arial Narrow" w:hAnsi="Arial Narrow"/>
                <w:b/>
                <w:lang w:eastAsia="en-US"/>
              </w:rPr>
              <w:t>MS</w:t>
            </w:r>
          </w:p>
        </w:tc>
        <w:tc>
          <w:tcPr>
            <w:tcW w:w="2254" w:type="dxa"/>
          </w:tcPr>
          <w:p w14:paraId="5DF57BB0" w14:textId="77777777" w:rsidR="00720F38" w:rsidRPr="00B35E47" w:rsidRDefault="00720F38" w:rsidP="00720F38">
            <w:pPr>
              <w:keepNext/>
              <w:spacing w:before="40" w:after="40"/>
              <w:ind w:left="0"/>
              <w:jc w:val="left"/>
              <w:rPr>
                <w:rFonts w:ascii="Arial Narrow" w:hAnsi="Arial Narrow"/>
                <w:b/>
                <w:lang w:eastAsia="en-US"/>
              </w:rPr>
            </w:pPr>
            <w:r w:rsidRPr="00B35E47">
              <w:rPr>
                <w:rFonts w:ascii="Arial Narrow" w:hAnsi="Arial Narrow"/>
                <w:b/>
                <w:lang w:eastAsia="en-US"/>
              </w:rPr>
              <w:t>MS, mean (SD)</w:t>
            </w:r>
          </w:p>
        </w:tc>
      </w:tr>
      <w:tr w:rsidR="00720F38" w:rsidRPr="00B35E47" w14:paraId="03E03572" w14:textId="77777777" w:rsidTr="00720F38">
        <w:tc>
          <w:tcPr>
            <w:tcW w:w="2254" w:type="dxa"/>
          </w:tcPr>
          <w:p w14:paraId="157D7D27" w14:textId="77777777" w:rsidR="00720F38" w:rsidRPr="00B35E47" w:rsidRDefault="00720F38" w:rsidP="00720F38">
            <w:pPr>
              <w:spacing w:before="40" w:after="40"/>
              <w:ind w:left="0"/>
              <w:contextualSpacing/>
              <w:jc w:val="left"/>
              <w:rPr>
                <w:rFonts w:ascii="Arial Narrow" w:hAnsi="Arial Narrow"/>
                <w:lang w:eastAsia="en-US"/>
              </w:rPr>
            </w:pPr>
            <w:r w:rsidRPr="00B35E47">
              <w:rPr>
                <w:rFonts w:ascii="Arial Narrow" w:hAnsi="Arial Narrow"/>
                <w:lang w:eastAsia="en-US"/>
              </w:rPr>
              <w:t>0.0 – 2.5</w:t>
            </w:r>
          </w:p>
        </w:tc>
        <w:tc>
          <w:tcPr>
            <w:tcW w:w="2254" w:type="dxa"/>
          </w:tcPr>
          <w:p w14:paraId="0A36F88B" w14:textId="77777777" w:rsidR="00720F38" w:rsidRPr="00B35E47" w:rsidRDefault="00720F38" w:rsidP="00720F38">
            <w:pPr>
              <w:spacing w:before="40" w:after="40"/>
              <w:ind w:left="0"/>
              <w:contextualSpacing/>
              <w:jc w:val="center"/>
              <w:rPr>
                <w:rFonts w:ascii="Arial Narrow" w:hAnsi="Arial Narrow"/>
                <w:lang w:eastAsia="en-US"/>
              </w:rPr>
            </w:pPr>
            <w:r w:rsidRPr="00B35E47">
              <w:rPr>
                <w:rFonts w:ascii="Arial Narrow" w:hAnsi="Arial Narrow"/>
                <w:lang w:eastAsia="en-US"/>
              </w:rPr>
              <w:t>0.56(0.51,0.61)</w:t>
            </w:r>
          </w:p>
        </w:tc>
        <w:tc>
          <w:tcPr>
            <w:tcW w:w="2254" w:type="dxa"/>
          </w:tcPr>
          <w:p w14:paraId="79E9A8E3" w14:textId="77777777" w:rsidR="00720F38" w:rsidRPr="00B35E47" w:rsidRDefault="00720F38" w:rsidP="00720F38">
            <w:pPr>
              <w:spacing w:before="40" w:after="40"/>
              <w:ind w:left="0"/>
              <w:contextualSpacing/>
              <w:jc w:val="center"/>
              <w:rPr>
                <w:rFonts w:ascii="Arial Narrow" w:hAnsi="Arial Narrow"/>
                <w:lang w:eastAsia="en-US"/>
              </w:rPr>
            </w:pPr>
            <w:r w:rsidRPr="00B35E47">
              <w:rPr>
                <w:rFonts w:ascii="Arial Narrow" w:hAnsi="Arial Narrow"/>
                <w:lang w:eastAsia="en-US"/>
              </w:rPr>
              <w:t>0.63(0.58,0.67)</w:t>
            </w:r>
          </w:p>
        </w:tc>
        <w:tc>
          <w:tcPr>
            <w:tcW w:w="2254" w:type="dxa"/>
          </w:tcPr>
          <w:p w14:paraId="1400F5BE" w14:textId="77777777" w:rsidR="00720F38" w:rsidRPr="00B35E47" w:rsidRDefault="00720F38" w:rsidP="00720F38">
            <w:pPr>
              <w:spacing w:before="40" w:after="40"/>
              <w:ind w:left="0"/>
              <w:contextualSpacing/>
              <w:jc w:val="center"/>
              <w:rPr>
                <w:rFonts w:ascii="Arial Narrow" w:hAnsi="Arial Narrow"/>
                <w:lang w:eastAsia="en-US"/>
              </w:rPr>
            </w:pPr>
            <w:r w:rsidRPr="00B35E47">
              <w:rPr>
                <w:rFonts w:ascii="Arial Narrow" w:hAnsi="Arial Narrow"/>
                <w:lang w:eastAsia="en-US"/>
              </w:rPr>
              <w:t>0.72 (0.20)</w:t>
            </w:r>
          </w:p>
        </w:tc>
      </w:tr>
      <w:tr w:rsidR="00720F38" w:rsidRPr="00B35E47" w14:paraId="7CAD8866" w14:textId="77777777" w:rsidTr="00720F38">
        <w:tc>
          <w:tcPr>
            <w:tcW w:w="2254" w:type="dxa"/>
          </w:tcPr>
          <w:p w14:paraId="4B6F0B77" w14:textId="77777777" w:rsidR="00720F38" w:rsidRPr="00B35E47" w:rsidRDefault="00720F38" w:rsidP="00720F38">
            <w:pPr>
              <w:spacing w:before="40" w:after="40"/>
              <w:ind w:left="0"/>
              <w:contextualSpacing/>
              <w:jc w:val="left"/>
              <w:rPr>
                <w:rFonts w:ascii="Arial Narrow" w:hAnsi="Arial Narrow"/>
                <w:lang w:eastAsia="en-US"/>
              </w:rPr>
            </w:pPr>
            <w:r w:rsidRPr="00B35E47">
              <w:rPr>
                <w:rFonts w:ascii="Arial Narrow" w:hAnsi="Arial Narrow"/>
                <w:lang w:eastAsia="en-US"/>
              </w:rPr>
              <w:t>3.0 – 5.5</w:t>
            </w:r>
          </w:p>
        </w:tc>
        <w:tc>
          <w:tcPr>
            <w:tcW w:w="2254" w:type="dxa"/>
          </w:tcPr>
          <w:p w14:paraId="7E179EC8" w14:textId="77777777" w:rsidR="00720F38" w:rsidRPr="00B35E47" w:rsidRDefault="00720F38" w:rsidP="00720F38">
            <w:pPr>
              <w:spacing w:before="40" w:after="40"/>
              <w:ind w:left="0"/>
              <w:contextualSpacing/>
              <w:jc w:val="center"/>
              <w:rPr>
                <w:rFonts w:ascii="Arial Narrow" w:hAnsi="Arial Narrow"/>
                <w:lang w:eastAsia="en-US"/>
              </w:rPr>
            </w:pPr>
            <w:r w:rsidRPr="00B35E47">
              <w:rPr>
                <w:rFonts w:ascii="Arial Narrow" w:hAnsi="Arial Narrow"/>
                <w:lang w:eastAsia="en-US"/>
              </w:rPr>
              <w:t>0.47(0.41,0.53)</w:t>
            </w:r>
          </w:p>
        </w:tc>
        <w:tc>
          <w:tcPr>
            <w:tcW w:w="2254" w:type="dxa"/>
          </w:tcPr>
          <w:p w14:paraId="6B335497" w14:textId="77777777" w:rsidR="00720F38" w:rsidRPr="00B35E47" w:rsidRDefault="00720F38" w:rsidP="00720F38">
            <w:pPr>
              <w:spacing w:before="40" w:after="40"/>
              <w:ind w:left="0"/>
              <w:contextualSpacing/>
              <w:jc w:val="center"/>
              <w:rPr>
                <w:rFonts w:ascii="Arial Narrow" w:hAnsi="Arial Narrow"/>
                <w:lang w:eastAsia="en-US"/>
              </w:rPr>
            </w:pPr>
            <w:r w:rsidRPr="00B35E47">
              <w:rPr>
                <w:rFonts w:ascii="Arial Narrow" w:hAnsi="Arial Narrow"/>
                <w:lang w:eastAsia="en-US"/>
              </w:rPr>
              <w:t>0.49(0.40,0.59)</w:t>
            </w:r>
          </w:p>
        </w:tc>
        <w:tc>
          <w:tcPr>
            <w:tcW w:w="2254" w:type="dxa"/>
            <w:tcBorders>
              <w:bottom w:val="single" w:sz="4" w:space="0" w:color="auto"/>
            </w:tcBorders>
          </w:tcPr>
          <w:p w14:paraId="2B412176" w14:textId="77777777" w:rsidR="00720F38" w:rsidRPr="00B35E47" w:rsidRDefault="00720F38" w:rsidP="00720F38">
            <w:pPr>
              <w:spacing w:before="40" w:after="40"/>
              <w:ind w:left="0"/>
              <w:contextualSpacing/>
              <w:jc w:val="center"/>
              <w:rPr>
                <w:rFonts w:ascii="Arial Narrow" w:hAnsi="Arial Narrow"/>
                <w:lang w:eastAsia="en-US"/>
              </w:rPr>
            </w:pPr>
            <w:r w:rsidRPr="00B35E47">
              <w:rPr>
                <w:rFonts w:ascii="Arial Narrow" w:hAnsi="Arial Narrow"/>
                <w:lang w:eastAsia="en-US"/>
              </w:rPr>
              <w:t>0.54 (0.19)</w:t>
            </w:r>
          </w:p>
        </w:tc>
      </w:tr>
      <w:tr w:rsidR="00720F38" w:rsidRPr="00B35E47" w14:paraId="4331B2AF" w14:textId="77777777" w:rsidTr="00A87AE2">
        <w:tc>
          <w:tcPr>
            <w:tcW w:w="2254" w:type="dxa"/>
          </w:tcPr>
          <w:p w14:paraId="2856BDC6" w14:textId="77777777" w:rsidR="00720F38" w:rsidRPr="00B35E47" w:rsidRDefault="00720F38" w:rsidP="00720F38">
            <w:pPr>
              <w:spacing w:before="40" w:after="40"/>
              <w:ind w:left="0"/>
              <w:contextualSpacing/>
              <w:jc w:val="left"/>
              <w:rPr>
                <w:rFonts w:ascii="Arial Narrow" w:hAnsi="Arial Narrow"/>
                <w:lang w:eastAsia="en-US"/>
              </w:rPr>
            </w:pPr>
            <w:r w:rsidRPr="00B35E47">
              <w:rPr>
                <w:rFonts w:ascii="Arial Narrow" w:hAnsi="Arial Narrow"/>
                <w:lang w:eastAsia="en-US"/>
              </w:rPr>
              <w:t>6.0 – 7.5</w:t>
            </w:r>
          </w:p>
        </w:tc>
        <w:tc>
          <w:tcPr>
            <w:tcW w:w="2254" w:type="dxa"/>
          </w:tcPr>
          <w:p w14:paraId="22BB0D34" w14:textId="77777777" w:rsidR="00720F38" w:rsidRPr="00B35E47" w:rsidRDefault="00720F38" w:rsidP="00720F38">
            <w:pPr>
              <w:spacing w:before="40" w:after="40"/>
              <w:ind w:left="0"/>
              <w:contextualSpacing/>
              <w:jc w:val="center"/>
              <w:rPr>
                <w:rFonts w:ascii="Arial Narrow" w:hAnsi="Arial Narrow"/>
                <w:lang w:eastAsia="en-US"/>
              </w:rPr>
            </w:pPr>
            <w:r w:rsidRPr="00B35E47">
              <w:rPr>
                <w:rFonts w:ascii="Arial Narrow" w:hAnsi="Arial Narrow"/>
                <w:lang w:eastAsia="en-US"/>
              </w:rPr>
              <w:t>0.18(0.05,0.31)</w:t>
            </w:r>
          </w:p>
        </w:tc>
        <w:tc>
          <w:tcPr>
            <w:tcW w:w="2254" w:type="dxa"/>
          </w:tcPr>
          <w:p w14:paraId="7CF6472C" w14:textId="77777777" w:rsidR="00720F38" w:rsidRPr="00B35E47" w:rsidRDefault="00720F38" w:rsidP="00720F38">
            <w:pPr>
              <w:spacing w:before="40" w:after="40"/>
              <w:ind w:left="0"/>
              <w:contextualSpacing/>
              <w:jc w:val="center"/>
              <w:rPr>
                <w:rFonts w:ascii="Arial Narrow" w:hAnsi="Arial Narrow"/>
                <w:lang w:eastAsia="en-US"/>
              </w:rPr>
            </w:pPr>
            <w:r w:rsidRPr="00B35E47">
              <w:rPr>
                <w:rFonts w:ascii="Arial Narrow" w:hAnsi="Arial Narrow"/>
                <w:lang w:eastAsia="en-US"/>
              </w:rPr>
              <w:t>0.17(0.03,0.31)</w:t>
            </w:r>
          </w:p>
        </w:tc>
        <w:tc>
          <w:tcPr>
            <w:tcW w:w="2254" w:type="dxa"/>
            <w:tcBorders>
              <w:bottom w:val="nil"/>
            </w:tcBorders>
            <w:vAlign w:val="bottom"/>
          </w:tcPr>
          <w:p w14:paraId="0F156789" w14:textId="77777777" w:rsidR="00720F38" w:rsidRPr="00B35E47" w:rsidRDefault="00720F38" w:rsidP="00A87AE2">
            <w:pPr>
              <w:spacing w:before="40" w:after="40"/>
              <w:ind w:left="0"/>
              <w:contextualSpacing/>
              <w:jc w:val="center"/>
              <w:rPr>
                <w:rFonts w:ascii="Arial Narrow" w:hAnsi="Arial Narrow"/>
                <w:lang w:eastAsia="en-US"/>
              </w:rPr>
            </w:pPr>
            <w:r w:rsidRPr="00B35E47">
              <w:rPr>
                <w:rFonts w:ascii="Arial Narrow" w:hAnsi="Arial Narrow"/>
                <w:lang w:eastAsia="en-US"/>
              </w:rPr>
              <w:t>0.48 (0.19)</w:t>
            </w:r>
          </w:p>
        </w:tc>
      </w:tr>
      <w:tr w:rsidR="00720F38" w:rsidRPr="00B35E47" w14:paraId="788A83CB" w14:textId="77777777" w:rsidTr="00720F38">
        <w:tc>
          <w:tcPr>
            <w:tcW w:w="2254" w:type="dxa"/>
          </w:tcPr>
          <w:p w14:paraId="64A0BB17" w14:textId="77777777" w:rsidR="00720F38" w:rsidRPr="00B35E47" w:rsidRDefault="00720F38" w:rsidP="00720F38">
            <w:pPr>
              <w:spacing w:before="40" w:after="40"/>
              <w:ind w:left="0"/>
              <w:contextualSpacing/>
              <w:jc w:val="left"/>
              <w:rPr>
                <w:rFonts w:ascii="Arial Narrow" w:hAnsi="Arial Narrow"/>
                <w:lang w:eastAsia="en-US"/>
              </w:rPr>
            </w:pPr>
            <w:r w:rsidRPr="00B35E47">
              <w:rPr>
                <w:rFonts w:ascii="Arial Narrow" w:hAnsi="Arial Narrow"/>
                <w:lang w:eastAsia="en-US"/>
              </w:rPr>
              <w:t>8.0 – 9.5</w:t>
            </w:r>
          </w:p>
        </w:tc>
        <w:tc>
          <w:tcPr>
            <w:tcW w:w="2254" w:type="dxa"/>
          </w:tcPr>
          <w:p w14:paraId="05364131" w14:textId="77777777" w:rsidR="00720F38" w:rsidRPr="00B35E47" w:rsidRDefault="00720F38" w:rsidP="00720F38">
            <w:pPr>
              <w:spacing w:before="40" w:after="40"/>
              <w:ind w:left="0"/>
              <w:contextualSpacing/>
              <w:jc w:val="center"/>
              <w:rPr>
                <w:rFonts w:ascii="Arial Narrow" w:hAnsi="Arial Narrow"/>
                <w:lang w:eastAsia="en-US"/>
              </w:rPr>
            </w:pPr>
            <w:r w:rsidRPr="00B35E47">
              <w:rPr>
                <w:rFonts w:ascii="Arial Narrow" w:hAnsi="Arial Narrow"/>
                <w:lang w:eastAsia="en-US"/>
              </w:rPr>
              <w:t>−0.15(−0.28,−0.02)</w:t>
            </w:r>
          </w:p>
        </w:tc>
        <w:tc>
          <w:tcPr>
            <w:tcW w:w="2254" w:type="dxa"/>
          </w:tcPr>
          <w:p w14:paraId="0D6FB47E" w14:textId="77777777" w:rsidR="00720F38" w:rsidRPr="00B35E47" w:rsidRDefault="00720F38" w:rsidP="00720F38">
            <w:pPr>
              <w:spacing w:before="40" w:after="40"/>
              <w:ind w:left="0"/>
              <w:contextualSpacing/>
              <w:jc w:val="center"/>
              <w:rPr>
                <w:rFonts w:ascii="Arial Narrow" w:hAnsi="Arial Narrow"/>
                <w:lang w:eastAsia="en-US"/>
              </w:rPr>
            </w:pPr>
            <w:r w:rsidRPr="00B35E47">
              <w:rPr>
                <w:rFonts w:ascii="Arial Narrow" w:hAnsi="Arial Narrow"/>
                <w:lang w:eastAsia="en-US"/>
              </w:rPr>
              <w:t>−0.30(−0.46,−0.13)</w:t>
            </w:r>
          </w:p>
        </w:tc>
        <w:tc>
          <w:tcPr>
            <w:tcW w:w="2254" w:type="dxa"/>
            <w:tcBorders>
              <w:top w:val="nil"/>
            </w:tcBorders>
          </w:tcPr>
          <w:p w14:paraId="116C0863" w14:textId="77777777" w:rsidR="00720F38" w:rsidRPr="00B35E47" w:rsidRDefault="00720F38" w:rsidP="00720F38">
            <w:pPr>
              <w:spacing w:before="40" w:after="40"/>
              <w:ind w:left="0"/>
              <w:contextualSpacing/>
              <w:jc w:val="center"/>
              <w:rPr>
                <w:rFonts w:ascii="Arial Narrow" w:hAnsi="Arial Narrow"/>
                <w:lang w:eastAsia="en-US"/>
              </w:rPr>
            </w:pPr>
          </w:p>
        </w:tc>
      </w:tr>
    </w:tbl>
    <w:p w14:paraId="74EF0E09" w14:textId="77777777" w:rsidR="00720F38" w:rsidRPr="00B35E47" w:rsidRDefault="00720F38" w:rsidP="00720F38">
      <w:pPr>
        <w:widowControl w:val="0"/>
        <w:spacing w:after="120" w:line="240" w:lineRule="auto"/>
        <w:contextualSpacing/>
        <w:jc w:val="left"/>
        <w:rPr>
          <w:rFonts w:ascii="Arial Narrow" w:hAnsi="Arial Narrow" w:cs="Arial"/>
          <w:snapToGrid w:val="0"/>
          <w:sz w:val="18"/>
          <w:szCs w:val="20"/>
          <w:lang w:eastAsia="en-US"/>
        </w:rPr>
      </w:pPr>
      <w:r w:rsidRPr="00435864">
        <w:rPr>
          <w:rFonts w:ascii="Arial Narrow" w:hAnsi="Arial Narrow" w:cs="Arial"/>
          <w:snapToGrid w:val="0"/>
          <w:sz w:val="18"/>
          <w:szCs w:val="20"/>
          <w:vertAlign w:val="superscript"/>
          <w:lang w:eastAsia="en-US"/>
        </w:rPr>
        <w:t>1</w:t>
      </w:r>
      <w:r w:rsidRPr="00B35E47">
        <w:rPr>
          <w:rFonts w:ascii="Arial Narrow" w:hAnsi="Arial Narrow" w:cs="Arial"/>
          <w:snapToGrid w:val="0"/>
          <w:sz w:val="18"/>
          <w:szCs w:val="20"/>
          <w:lang w:eastAsia="en-US"/>
        </w:rPr>
        <w:t xml:space="preserve"> Source: </w:t>
      </w:r>
      <w:r>
        <w:rPr>
          <w:rFonts w:ascii="Arial Narrow" w:hAnsi="Arial Narrow" w:cs="Arial"/>
          <w:snapToGrid w:val="0"/>
          <w:sz w:val="18"/>
          <w:szCs w:val="20"/>
          <w:lang w:eastAsia="en-US"/>
        </w:rPr>
        <w:fldChar w:fldCharType="begin"/>
      </w:r>
      <w:r>
        <w:rPr>
          <w:rFonts w:ascii="Arial Narrow" w:hAnsi="Arial Narrow" w:cs="Arial"/>
          <w:snapToGrid w:val="0"/>
          <w:sz w:val="18"/>
          <w:szCs w:val="20"/>
          <w:lang w:eastAsia="en-US"/>
        </w:rPr>
        <w:instrText xml:space="preserve"> ADDIN EN.CITE &lt;EndNote&gt;&lt;Cite&gt;&lt;Author&gt;Aungsumart&lt;/Author&gt;&lt;Year&gt;2020&lt;/Year&gt;&lt;RecNum&gt;2832&lt;/RecNum&gt;&lt;DisplayText&gt;(Aungsumart &amp;amp; Apiwattanakul 2020)&lt;/DisplayText&gt;&lt;record&gt;&lt;rec-number&gt;2832&lt;/rec-number&gt;&lt;foreign-keys&gt;&lt;key app="EN" db-id="r9zwwf2zmrrvxfespp15vtvjapza9v2fz5s5" timestamp="1581642811"&gt;2832&lt;/key&gt;&lt;/foreign-keys&gt;&lt;ref-type name="Journal Article"&gt;17&lt;/ref-type&gt;&lt;contributors&gt;&lt;authors&gt;&lt;author&gt;Aungsumart, S.&lt;/author&gt;&lt;author&gt;Apiwattanakul, M.&lt;/author&gt;&lt;/authors&gt;&lt;/contributors&gt;&lt;auth-address&gt;Neuroimmunology Unit, Department of Neurology, Prasat Neurological Institute, Bangkok, Thailand.&lt;/auth-address&gt;&lt;titles&gt;&lt;title&gt;Cost effectiveness of rituximab and mycophenolate mofetil for neuromyelitis optica spectrum disorder in Thailand: Economic evaluation and budget impact analysis&lt;/title&gt;&lt;secondary-title&gt;PLoS One&lt;/secondary-title&gt;&lt;/titles&gt;&lt;periodical&gt;&lt;full-title&gt;PLoS ONE&lt;/full-title&gt;&lt;/periodical&gt;&lt;pages&gt;e0229028&lt;/pages&gt;&lt;volume&gt;15&lt;/volume&gt;&lt;number&gt;2&lt;/number&gt;&lt;edition&gt;2020/02/13&lt;/edition&gt;&lt;dates&gt;&lt;year&gt;2020&lt;/year&gt;&lt;/dates&gt;&lt;isbn&gt;1932-6203 (Electronic)&amp;#xD;1932-6203 (Linking)&lt;/isbn&gt;&lt;accession-num&gt;32050011&lt;/accession-num&gt;&lt;urls&gt;&lt;related-urls&gt;&lt;url&gt;https://www.ncbi.nlm.nih.gov/pubmed/32050011&lt;/url&gt;&lt;url&gt;https://journals.plos.org/plosone/article/file?id=10.1371/journal.pone.0229028&amp;amp;type=printable&lt;/url&gt;&lt;/related-urls&gt;&lt;/urls&gt;&lt;electronic-resource-num&gt;10.1371/journal.pone.0229028&lt;/electronic-resource-num&gt;&lt;/record&gt;&lt;/Cite&gt;&lt;/EndNote&gt;</w:instrText>
      </w:r>
      <w:r>
        <w:rPr>
          <w:rFonts w:ascii="Arial Narrow" w:hAnsi="Arial Narrow" w:cs="Arial"/>
          <w:snapToGrid w:val="0"/>
          <w:sz w:val="18"/>
          <w:szCs w:val="20"/>
          <w:lang w:eastAsia="en-US"/>
        </w:rPr>
        <w:fldChar w:fldCharType="separate"/>
      </w:r>
      <w:r>
        <w:rPr>
          <w:rFonts w:ascii="Arial Narrow" w:hAnsi="Arial Narrow" w:cs="Arial"/>
          <w:noProof/>
          <w:snapToGrid w:val="0"/>
          <w:sz w:val="18"/>
          <w:szCs w:val="20"/>
          <w:lang w:eastAsia="en-US"/>
        </w:rPr>
        <w:t>(Aungsumart &amp; Apiwattanakul 2020)</w:t>
      </w:r>
      <w:r>
        <w:rPr>
          <w:rFonts w:ascii="Arial Narrow" w:hAnsi="Arial Narrow" w:cs="Arial"/>
          <w:snapToGrid w:val="0"/>
          <w:sz w:val="18"/>
          <w:szCs w:val="20"/>
          <w:lang w:eastAsia="en-US"/>
        </w:rPr>
        <w:fldChar w:fldCharType="end"/>
      </w:r>
    </w:p>
    <w:p w14:paraId="11FA62E3" w14:textId="77777777" w:rsidR="00720F38" w:rsidRPr="00B35E47" w:rsidRDefault="00720F38" w:rsidP="00720F38">
      <w:pPr>
        <w:widowControl w:val="0"/>
        <w:spacing w:after="120" w:line="240" w:lineRule="auto"/>
        <w:contextualSpacing/>
        <w:jc w:val="left"/>
        <w:rPr>
          <w:rFonts w:ascii="Arial Narrow" w:hAnsi="Arial Narrow" w:cs="Arial"/>
          <w:snapToGrid w:val="0"/>
          <w:sz w:val="18"/>
          <w:szCs w:val="20"/>
          <w:lang w:eastAsia="en-US"/>
        </w:rPr>
      </w:pPr>
      <w:r w:rsidRPr="00435864">
        <w:rPr>
          <w:rFonts w:ascii="Arial Narrow" w:hAnsi="Arial Narrow" w:cs="Arial"/>
          <w:snapToGrid w:val="0"/>
          <w:sz w:val="18"/>
          <w:szCs w:val="20"/>
          <w:vertAlign w:val="superscript"/>
          <w:lang w:eastAsia="en-US"/>
        </w:rPr>
        <w:t>2</w:t>
      </w:r>
      <w:r w:rsidRPr="00B35E47">
        <w:rPr>
          <w:rFonts w:ascii="Arial Narrow" w:hAnsi="Arial Narrow" w:cs="Arial"/>
          <w:snapToGrid w:val="0"/>
          <w:sz w:val="18"/>
          <w:szCs w:val="20"/>
          <w:lang w:eastAsia="en-US"/>
        </w:rPr>
        <w:t xml:space="preserve"> Source: </w:t>
      </w:r>
      <w:r>
        <w:rPr>
          <w:rFonts w:ascii="Arial Narrow" w:hAnsi="Arial Narrow" w:cs="Arial"/>
          <w:snapToGrid w:val="0"/>
          <w:sz w:val="18"/>
          <w:szCs w:val="20"/>
          <w:lang w:eastAsia="en-US"/>
        </w:rPr>
        <w:fldChar w:fldCharType="begin"/>
      </w:r>
      <w:r>
        <w:rPr>
          <w:rFonts w:ascii="Arial Narrow" w:hAnsi="Arial Narrow" w:cs="Arial"/>
          <w:snapToGrid w:val="0"/>
          <w:sz w:val="18"/>
          <w:szCs w:val="20"/>
          <w:lang w:eastAsia="en-US"/>
        </w:rPr>
        <w:instrText xml:space="preserve"> ADDIN EN.CITE &lt;EndNote&gt;&lt;Cite&gt;&lt;Author&gt;Ahmad&lt;/Author&gt;&lt;Year&gt;2018&lt;/Year&gt;&lt;RecNum&gt;2837&lt;/RecNum&gt;&lt;DisplayText&gt;(Ahmad et al. 2018)&lt;/DisplayText&gt;&lt;record&gt;&lt;rec-number&gt;2837&lt;/rec-number&gt;&lt;foreign-keys&gt;&lt;key app="EN" db-id="r9zwwf2zmrrvxfespp15vtvjapza9v2fz5s5" timestamp="1583893890"&gt;2837&lt;/key&gt;&lt;/foreign-keys&gt;&lt;ref-type name="Report"&gt;27&lt;/ref-type&gt;&lt;contributors&gt;&lt;authors&gt;&lt;author&gt;Hasnat Ahmad&lt;/author&gt;&lt;author&gt;Andrew J Palmer&lt;/author&gt;&lt;author&gt;Julie A Campbell&lt;/author&gt;&lt;author&gt;Ingrid van der Mei&lt;/author&gt;&lt;author&gt;Bruce Taylor&lt;/author&gt;&lt;/authors&gt;&lt;tertiary-authors&gt;&lt;author&gt;MS Research Australia&lt;/author&gt;&lt;/tertiary-authors&gt;&lt;subsidiary-authors&gt;&lt;author&gt;Menzies Institute for Medical Research&lt;/author&gt;&lt;/subsidiary-authors&gt;&lt;/contributors&gt;&lt;titles&gt;&lt;title&gt;Health Economic Impact of Multiple Sclerosis in Australia in 2017: An analysis of MS Research Australia’s platform – the Australian MS Longitudinal Study (AMSLS)&lt;/title&gt;&lt;/titles&gt;&lt;dates&gt;&lt;year&gt;2018&lt;/year&gt;&lt;pub-dates&gt;&lt;date&gt;August 2018&lt;/date&gt;&lt;/pub-dates&gt;&lt;/dates&gt;&lt;publisher&gt;Menzies Institute for Medical Research, University of Tasmania&lt;/publisher&gt;&lt;urls&gt;&lt;/urls&gt;&lt;/record&gt;&lt;/Cite&gt;&lt;/EndNote&gt;</w:instrText>
      </w:r>
      <w:r>
        <w:rPr>
          <w:rFonts w:ascii="Arial Narrow" w:hAnsi="Arial Narrow" w:cs="Arial"/>
          <w:snapToGrid w:val="0"/>
          <w:sz w:val="18"/>
          <w:szCs w:val="20"/>
          <w:lang w:eastAsia="en-US"/>
        </w:rPr>
        <w:fldChar w:fldCharType="separate"/>
      </w:r>
      <w:r>
        <w:rPr>
          <w:rFonts w:ascii="Arial Narrow" w:hAnsi="Arial Narrow" w:cs="Arial"/>
          <w:noProof/>
          <w:snapToGrid w:val="0"/>
          <w:sz w:val="18"/>
          <w:szCs w:val="20"/>
          <w:lang w:eastAsia="en-US"/>
        </w:rPr>
        <w:t>(Ahmad et al. 2018)</w:t>
      </w:r>
      <w:r>
        <w:rPr>
          <w:rFonts w:ascii="Arial Narrow" w:hAnsi="Arial Narrow" w:cs="Arial"/>
          <w:snapToGrid w:val="0"/>
          <w:sz w:val="18"/>
          <w:szCs w:val="20"/>
          <w:lang w:eastAsia="en-US"/>
        </w:rPr>
        <w:fldChar w:fldCharType="end"/>
      </w:r>
      <w:r w:rsidRPr="00B35E47">
        <w:rPr>
          <w:rFonts w:ascii="Arial Narrow" w:hAnsi="Arial Narrow" w:cs="Arial"/>
          <w:snapToGrid w:val="0"/>
          <w:sz w:val="18"/>
          <w:szCs w:val="20"/>
          <w:lang w:eastAsia="en-US"/>
        </w:rPr>
        <w:t>. Disease severity was estimated based on the EDSS scores where no disability includes EDSS level 0, mild includes EDSS levels 1 – 3.5, no/mild includes EDSS levels 0-3, moderate includes 4 – 6, and severe includes levels 6.5 – 9.5.</w:t>
      </w:r>
    </w:p>
    <w:p w14:paraId="4DB05C6E" w14:textId="77777777" w:rsidR="00720F38" w:rsidRDefault="00720F38" w:rsidP="00720F3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AMSLS = Australian MS Longitudinal Study; HSUV = health state utility value (0=dead, 1= perfect health); EDSS = Expanded Disability Status Scale; MS = multiple sclerosis; NMOSD = neuromyelitis optica spectrum disorder</w:t>
      </w:r>
    </w:p>
    <w:p w14:paraId="01D6CA1F" w14:textId="77777777" w:rsidR="00720F38" w:rsidRPr="00B35E47" w:rsidRDefault="00720F38" w:rsidP="00720F38">
      <w:pPr>
        <w:widowControl w:val="0"/>
        <w:spacing w:after="120" w:line="240" w:lineRule="auto"/>
        <w:contextualSpacing/>
        <w:jc w:val="left"/>
        <w:rPr>
          <w:rFonts w:ascii="Arial Narrow" w:hAnsi="Arial Narrow" w:cs="Arial"/>
          <w:snapToGrid w:val="0"/>
          <w:sz w:val="18"/>
          <w:szCs w:val="20"/>
          <w:lang w:eastAsia="en-US"/>
        </w:rPr>
      </w:pPr>
    </w:p>
    <w:p w14:paraId="2814B8CB" w14:textId="02B5506C" w:rsidR="00720F38" w:rsidRPr="00B35E47" w:rsidRDefault="00720F38" w:rsidP="00720F38">
      <w:r w:rsidRPr="00B35E47">
        <w:t xml:space="preserve">The mean HSUV reported in Thai study appears to be lower than reported in other studies for both MS </w:t>
      </w:r>
      <w:r>
        <w:fldChar w:fldCharType="begin"/>
      </w:r>
      <w:r>
        <w:instrText xml:space="preserve"> ADDIN EN.CITE &lt;EndNote&gt;&lt;Cite&gt;&lt;Author&gt;Ahmad&lt;/Author&gt;&lt;Year&gt;2018&lt;/Year&gt;&lt;RecNum&gt;2837&lt;/RecNum&gt;&lt;DisplayText&gt;(Ahmad et al. 2018)&lt;/DisplayText&gt;&lt;record&gt;&lt;rec-number&gt;2837&lt;/rec-number&gt;&lt;foreign-keys&gt;&lt;key app="EN" db-id="r9zwwf2zmrrvxfespp15vtvjapza9v2fz5s5" timestamp="1583893890"&gt;2837&lt;/key&gt;&lt;/foreign-keys&gt;&lt;ref-type name="Report"&gt;27&lt;/ref-type&gt;&lt;contributors&gt;&lt;authors&gt;&lt;author&gt;Hasnat Ahmad&lt;/author&gt;&lt;author&gt;Andrew J Palmer&lt;/author&gt;&lt;author&gt;Julie A Campbell&lt;/author&gt;&lt;author&gt;Ingrid van der Mei&lt;/author&gt;&lt;author&gt;Bruce Taylor&lt;/author&gt;&lt;/authors&gt;&lt;tertiary-authors&gt;&lt;author&gt;MS Research Australia&lt;/author&gt;&lt;/tertiary-authors&gt;&lt;subsidiary-authors&gt;&lt;author&gt;Menzies Institute for Medical Research&lt;/author&gt;&lt;/subsidiary-authors&gt;&lt;/contributors&gt;&lt;titles&gt;&lt;title&gt;Health Economic Impact of Multiple Sclerosis in Australia in 2017: An analysis of MS Research Australia’s platform – the Australian MS Longitudinal Study (AMSLS)&lt;/title&gt;&lt;/titles&gt;&lt;dates&gt;&lt;year&gt;2018&lt;/year&gt;&lt;pub-dates&gt;&lt;date&gt;August 2018&lt;/date&gt;&lt;/pub-dates&gt;&lt;/dates&gt;&lt;publisher&gt;Menzies Institute for Medical Research, University of Tasmania&lt;/publisher&gt;&lt;urls&gt;&lt;/urls&gt;&lt;/record&gt;&lt;/Cite&gt;&lt;/EndNote&gt;</w:instrText>
      </w:r>
      <w:r>
        <w:fldChar w:fldCharType="separate"/>
      </w:r>
      <w:r>
        <w:rPr>
          <w:noProof/>
        </w:rPr>
        <w:t>(Ahmad et al. 2018)</w:t>
      </w:r>
      <w:r>
        <w:fldChar w:fldCharType="end"/>
      </w:r>
      <w:r w:rsidRPr="00B35E47">
        <w:t xml:space="preserve"> and NMOSD </w:t>
      </w:r>
      <w:r>
        <w:fldChar w:fldCharType="begin"/>
      </w:r>
      <w:r w:rsidR="000967CF">
        <w:instrText xml:space="preserve"> ADDIN EN.CITE &lt;EndNote&gt;&lt;Cite&gt;&lt;Author&gt;Mealy&lt;/Author&gt;&lt;Year&gt;2019&lt;/Year&gt;&lt;RecNum&gt;2801&lt;/RecNum&gt;&lt;DisplayText&gt;(Mealy, MA et al. 2019)&lt;/DisplayText&gt;&lt;record&gt;&lt;rec-number&gt;2801&lt;/rec-number&gt;&lt;foreign-keys&gt;&lt;key app="EN" db-id="r9zwwf2zmrrvxfespp15vtvjapza9v2fz5s5" timestamp="1578279822"&gt;2801&lt;/key&gt;&lt;/foreign-keys&gt;&lt;ref-type name="Journal Article"&gt;17&lt;/ref-type&gt;&lt;contributors&gt;&lt;authors&gt;&lt;author&gt;Mealy, M. A.&lt;/author&gt;&lt;author&gt;Boscoe, A.&lt;/author&gt;&lt;author&gt;Caro, J.&lt;/author&gt;&lt;author&gt;Levy, M.&lt;/author&gt;&lt;/authors&gt;&lt;/contributors&gt;&lt;titles&gt;&lt;title&gt;Assessment of Patients with Neuromyelitis Optica Spectrum Disorder Using the EQ-5D&lt;/title&gt;&lt;secondary-title&gt;Int J MS Care&lt;/secondary-title&gt;&lt;/titles&gt;&lt;periodical&gt;&lt;full-title&gt;Int J MS Care&lt;/full-title&gt;&lt;/periodical&gt;&lt;pages&gt;129-134&lt;/pages&gt;&lt;volume&gt;21&lt;/volume&gt;&lt;number&gt;3&lt;/number&gt;&lt;edition&gt;2019/06/14&lt;/edition&gt;&lt;keywords&gt;&lt;keyword&gt;Eq-5d&lt;/keyword&gt;&lt;keyword&gt;Multiple sclerosis (MS)&lt;/keyword&gt;&lt;keyword&gt;Neuromyelitis optica spectrum disorder&lt;/keyword&gt;&lt;keyword&gt;Pain&lt;/keyword&gt;&lt;keyword&gt;Quality of life&lt;/keyword&gt;&lt;keyword&gt;research support from the National Institutes of Health, Maryland Technology&lt;/keyword&gt;&lt;keyword&gt;Development Corporation, Sanofi, Genzyme, Alexion, Alnylam, Shire, Acorda, and&lt;/keyword&gt;&lt;keyword&gt;Apopharma&lt;/keyword&gt;&lt;keyword&gt;has received personal compensation for consultation from Alexion,&lt;/keyword&gt;&lt;keyword&gt;Acorda, and Genzyme&lt;/keyword&gt;&lt;keyword&gt;and serves on the scientific advisory boards for Alexion,&lt;/keyword&gt;&lt;keyword&gt;Acorda, and Quest Diagnostics. The other authors declare no conflicts of&lt;/keyword&gt;&lt;keyword&gt;interest.&lt;/keyword&gt;&lt;/keywords&gt;&lt;dates&gt;&lt;year&gt;2019&lt;/year&gt;&lt;pub-dates&gt;&lt;date&gt;May-Jun&lt;/date&gt;&lt;/pub-dates&gt;&lt;/dates&gt;&lt;isbn&gt;1537-2073 (Print)&amp;#xD;1537-2073 (Linking)&lt;/isbn&gt;&lt;accession-num&gt;31191178&lt;/accession-num&gt;&lt;urls&gt;&lt;related-urls&gt;&lt;url&gt;https://www.ncbi.nlm.nih.gov/pmc/articles/PMC6552992/pdf/i1537-2073-21-3-129.pdf&lt;/url&gt;&lt;/related-urls&gt;&lt;/urls&gt;&lt;custom2&gt;PMC6552992&lt;/custom2&gt;&lt;electronic-resource-num&gt;10.7224/1537-2073.2017-076&lt;/electronic-resource-num&gt;&lt;remote-database-provider&gt;NLM&lt;/remote-database-provider&gt;&lt;language&gt;eng&lt;/language&gt;&lt;/record&gt;&lt;/Cite&gt;&lt;/EndNote&gt;</w:instrText>
      </w:r>
      <w:r>
        <w:fldChar w:fldCharType="separate"/>
      </w:r>
      <w:r w:rsidR="000967CF">
        <w:rPr>
          <w:noProof/>
        </w:rPr>
        <w:t>(Mealy, MA et al. 2019)</w:t>
      </w:r>
      <w:r>
        <w:fldChar w:fldCharType="end"/>
      </w:r>
      <w:r w:rsidRPr="00B35E47">
        <w:t>. Mealy et al reported a mean (SD) EQ-</w:t>
      </w:r>
      <w:r w:rsidRPr="00B35E47">
        <w:lastRenderedPageBreak/>
        <w:t xml:space="preserve">5D-5L score of 0.74 (0.16) for adult patients with NMOSD treated at a US academic neurology clinic. The study found that the EQ-5D scores were better in the NMOSD cohort compared with national MS scores, however NMOSD relapses were likely to be more severe and damaging resulting in higher neurologic disability </w:t>
      </w:r>
      <w:r>
        <w:fldChar w:fldCharType="begin"/>
      </w:r>
      <w:r w:rsidR="000967CF">
        <w:instrText xml:space="preserve"> ADDIN EN.CITE &lt;EndNote&gt;&lt;Cite&gt;&lt;Author&gt;Mealy&lt;/Author&gt;&lt;Year&gt;2019&lt;/Year&gt;&lt;RecNum&gt;2801&lt;/RecNum&gt;&lt;DisplayText&gt;(Mealy, MA et al. 2019)&lt;/DisplayText&gt;&lt;record&gt;&lt;rec-number&gt;2801&lt;/rec-number&gt;&lt;foreign-keys&gt;&lt;key app="EN" db-id="r9zwwf2zmrrvxfespp15vtvjapza9v2fz5s5" timestamp="1578279822"&gt;2801&lt;/key&gt;&lt;/foreign-keys&gt;&lt;ref-type name="Journal Article"&gt;17&lt;/ref-type&gt;&lt;contributors&gt;&lt;authors&gt;&lt;author&gt;Mealy, M. A.&lt;/author&gt;&lt;author&gt;Boscoe, A.&lt;/author&gt;&lt;author&gt;Caro, J.&lt;/author&gt;&lt;author&gt;Levy, M.&lt;/author&gt;&lt;/authors&gt;&lt;/contributors&gt;&lt;titles&gt;&lt;title&gt;Assessment of Patients with Neuromyelitis Optica Spectrum Disorder Using the EQ-5D&lt;/title&gt;&lt;secondary-title&gt;Int J MS Care&lt;/secondary-title&gt;&lt;/titles&gt;&lt;periodical&gt;&lt;full-title&gt;Int J MS Care&lt;/full-title&gt;&lt;/periodical&gt;&lt;pages&gt;129-134&lt;/pages&gt;&lt;volume&gt;21&lt;/volume&gt;&lt;number&gt;3&lt;/number&gt;&lt;edition&gt;2019/06/14&lt;/edition&gt;&lt;keywords&gt;&lt;keyword&gt;Eq-5d&lt;/keyword&gt;&lt;keyword&gt;Multiple sclerosis (MS)&lt;/keyword&gt;&lt;keyword&gt;Neuromyelitis optica spectrum disorder&lt;/keyword&gt;&lt;keyword&gt;Pain&lt;/keyword&gt;&lt;keyword&gt;Quality of life&lt;/keyword&gt;&lt;keyword&gt;research support from the National Institutes of Health, Maryland Technology&lt;/keyword&gt;&lt;keyword&gt;Development Corporation, Sanofi, Genzyme, Alexion, Alnylam, Shire, Acorda, and&lt;/keyword&gt;&lt;keyword&gt;Apopharma&lt;/keyword&gt;&lt;keyword&gt;has received personal compensation for consultation from Alexion,&lt;/keyword&gt;&lt;keyword&gt;Acorda, and Genzyme&lt;/keyword&gt;&lt;keyword&gt;and serves on the scientific advisory boards for Alexion,&lt;/keyword&gt;&lt;keyword&gt;Acorda, and Quest Diagnostics. The other authors declare no conflicts of&lt;/keyword&gt;&lt;keyword&gt;interest.&lt;/keyword&gt;&lt;/keywords&gt;&lt;dates&gt;&lt;year&gt;2019&lt;/year&gt;&lt;pub-dates&gt;&lt;date&gt;May-Jun&lt;/date&gt;&lt;/pub-dates&gt;&lt;/dates&gt;&lt;isbn&gt;1537-2073 (Print)&amp;#xD;1537-2073 (Linking)&lt;/isbn&gt;&lt;accession-num&gt;31191178&lt;/accession-num&gt;&lt;urls&gt;&lt;related-urls&gt;&lt;url&gt;https://www.ncbi.nlm.nih.gov/pmc/articles/PMC6552992/pdf/i1537-2073-21-3-129.pdf&lt;/url&gt;&lt;/related-urls&gt;&lt;/urls&gt;&lt;custom2&gt;PMC6552992&lt;/custom2&gt;&lt;electronic-resource-num&gt;10.7224/1537-2073.2017-076&lt;/electronic-resource-num&gt;&lt;remote-database-provider&gt;NLM&lt;/remote-database-provider&gt;&lt;language&gt;eng&lt;/language&gt;&lt;/record&gt;&lt;/Cite&gt;&lt;/EndNote&gt;</w:instrText>
      </w:r>
      <w:r>
        <w:fldChar w:fldCharType="separate"/>
      </w:r>
      <w:r w:rsidR="000967CF">
        <w:rPr>
          <w:noProof/>
        </w:rPr>
        <w:t>(Mealy, MA et al. 2019)</w:t>
      </w:r>
      <w:r>
        <w:fldChar w:fldCharType="end"/>
      </w:r>
      <w:r w:rsidRPr="00B35E47">
        <w:t>.</w:t>
      </w:r>
    </w:p>
    <w:p w14:paraId="3E01F9B2" w14:textId="77777777" w:rsidR="00720F38" w:rsidRPr="00B35E47" w:rsidRDefault="00720F38" w:rsidP="00720F38">
      <w:r w:rsidRPr="00B35E47">
        <w:t xml:space="preserve">The 2017 health economic impact of MS report employed the Assessment of Quality of Life 8 (AQoL-8D) multi-attribute utility instrument to assess quality of life for Australian people with MS who participated in the Australian MS Longitudinal Study (AMSLS) </w:t>
      </w:r>
      <w:r>
        <w:fldChar w:fldCharType="begin"/>
      </w:r>
      <w:r>
        <w:instrText xml:space="preserve"> ADDIN EN.CITE &lt;EndNote&gt;&lt;Cite&gt;&lt;Author&gt;Ahmad&lt;/Author&gt;&lt;Year&gt;2018&lt;/Year&gt;&lt;RecNum&gt;2837&lt;/RecNum&gt;&lt;DisplayText&gt;(Ahmad et al. 2018)&lt;/DisplayText&gt;&lt;record&gt;&lt;rec-number&gt;2837&lt;/rec-number&gt;&lt;foreign-keys&gt;&lt;key app="EN" db-id="r9zwwf2zmrrvxfespp15vtvjapza9v2fz5s5" timestamp="1583893890"&gt;2837&lt;/key&gt;&lt;/foreign-keys&gt;&lt;ref-type name="Report"&gt;27&lt;/ref-type&gt;&lt;contributors&gt;&lt;authors&gt;&lt;author&gt;Hasnat Ahmad&lt;/author&gt;&lt;author&gt;Andrew J Palmer&lt;/author&gt;&lt;author&gt;Julie A Campbell&lt;/author&gt;&lt;author&gt;Ingrid van der Mei&lt;/author&gt;&lt;author&gt;Bruce Taylor&lt;/author&gt;&lt;/authors&gt;&lt;tertiary-authors&gt;&lt;author&gt;MS Research Australia&lt;/author&gt;&lt;/tertiary-authors&gt;&lt;subsidiary-authors&gt;&lt;author&gt;Menzies Institute for Medical Research&lt;/author&gt;&lt;/subsidiary-authors&gt;&lt;/contributors&gt;&lt;titles&gt;&lt;title&gt;Health Economic Impact of Multiple Sclerosis in Australia in 2017: An analysis of MS Research Australia’s platform – the Australian MS Longitudinal Study (AMSLS)&lt;/title&gt;&lt;/titles&gt;&lt;dates&gt;&lt;year&gt;2018&lt;/year&gt;&lt;pub-dates&gt;&lt;date&gt;August 2018&lt;/date&gt;&lt;/pub-dates&gt;&lt;/dates&gt;&lt;publisher&gt;Menzies Institute for Medical Research, University of Tasmania&lt;/publisher&gt;&lt;urls&gt;&lt;/urls&gt;&lt;/record&gt;&lt;/Cite&gt;&lt;/EndNote&gt;</w:instrText>
      </w:r>
      <w:r>
        <w:fldChar w:fldCharType="separate"/>
      </w:r>
      <w:r>
        <w:rPr>
          <w:noProof/>
        </w:rPr>
        <w:t>(Ahmad et al. 2018)</w:t>
      </w:r>
      <w:r>
        <w:fldChar w:fldCharType="end"/>
      </w:r>
      <w:r w:rsidRPr="00B35E47">
        <w:t xml:space="preserve">. The overall mean (SD) HSUV in 2016 for people with MS was 0.61 (0.22) compared with the Australian general population with a HSUV of 0.80 (0.19). There was a substantial fall in HSUV between no disability and mild disability for MS patients from mean (SD) 0.81 (0.16) to 0.65 (0.19). HSUVs substantially reduced further for people with moderate (0.54 [0.19]) and severe disability (0.48 [0.19]). HSUV was 0.72 (0.20) when no disability and mild disability groups were combined. Disease severity was estimated based on the EDSS scores where no disability includes EDSS level 0, mild includes EDSS levels 1 – 3.5, no/mild includes EDSS levels 0-3, moderate includes 4 – 6, and severe includes levels 6.5 – 9.5. </w:t>
      </w:r>
    </w:p>
    <w:p w14:paraId="6CD50A1D" w14:textId="398560C0" w:rsidR="00720F38" w:rsidRPr="00B35E47" w:rsidRDefault="00720F38" w:rsidP="00720F38">
      <w:bookmarkStart w:id="398" w:name="_Hlk37957241"/>
      <w:r w:rsidRPr="00B35E47">
        <w:t xml:space="preserve">Several studies have reported that there is no significant difference in terms of health utility scores between MS and NMOSD </w:t>
      </w:r>
      <w:r>
        <w:fldChar w:fldCharType="begin">
          <w:fldData xml:space="preserve">PEVuZE5vdGU+PENpdGU+PEF1dGhvcj5TaXJpdGhvPC9BdXRob3I+PFllYXI+MjAxODwvWWVhcj48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</w:fldData>
        </w:fldChar>
      </w:r>
      <w:r w:rsidR="00024910">
        <w:instrText xml:space="preserve"> ADDIN EN.CITE </w:instrText>
      </w:r>
      <w:r w:rsidR="00024910">
        <w:fldChar w:fldCharType="begin">
          <w:fldData xml:space="preserve">PEVuZE5vdGU+PENpdGU+PEF1dGhvcj5TaXJpdGhvPC9BdXRob3I+PFllYXI+MjAxODwvWWVhcj48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</w:fldData>
        </w:fldChar>
      </w:r>
      <w:r w:rsidR="00024910">
        <w:instrText xml:space="preserve"> ADDIN EN.CITE.DATA </w:instrText>
      </w:r>
      <w:r w:rsidR="00024910">
        <w:fldChar w:fldCharType="end"/>
      </w:r>
      <w:r>
        <w:fldChar w:fldCharType="separate"/>
      </w:r>
      <w:r w:rsidR="00024910">
        <w:rPr>
          <w:noProof/>
        </w:rPr>
        <w:t>(Beekman et al. 2019; Chanson et al. 2011; Siritho et al. 2018)</w:t>
      </w:r>
      <w:r>
        <w:fldChar w:fldCharType="end"/>
      </w:r>
      <w:r w:rsidRPr="00B35E47">
        <w:t xml:space="preserve">. Therefore, HSUVs published in Australian study for MS are used for modelled health states no/mild disability and severe disability in the base-case analysis. </w:t>
      </w:r>
      <w:bookmarkEnd w:id="398"/>
      <w:r w:rsidRPr="00B35E47">
        <w:t>HSUVs published in Thai study are assessed in sensitivity analysis</w:t>
      </w:r>
      <w:r>
        <w:t xml:space="preserve"> (</w:t>
      </w:r>
      <w:r w:rsidRPr="00EB4886">
        <w:fldChar w:fldCharType="begin"/>
      </w:r>
      <w:r w:rsidRPr="00EB4886">
        <w:instrText xml:space="preserve"> REF _Ref38032059 \h </w:instrText>
      </w:r>
      <w:r>
        <w:instrText xml:space="preserve"> \* MERGEFORMAT </w:instrText>
      </w:r>
      <w:r w:rsidRPr="00EB4886">
        <w:fldChar w:fldCharType="separate"/>
      </w:r>
      <w:r w:rsidR="006E2BA9" w:rsidRPr="00B35E47">
        <w:t xml:space="preserve">Table </w:t>
      </w:r>
      <w:r w:rsidR="006E2BA9">
        <w:t>72</w:t>
      </w:r>
      <w:r w:rsidRPr="00EB4886">
        <w:fldChar w:fldCharType="end"/>
      </w:r>
      <w:r>
        <w:t>)</w:t>
      </w:r>
      <w:r w:rsidRPr="00B35E47">
        <w:t>.</w:t>
      </w:r>
    </w:p>
    <w:p w14:paraId="43F1DC51" w14:textId="77777777" w:rsidR="00720F38" w:rsidRDefault="00720F38" w:rsidP="00720F38">
      <w:bookmarkStart w:id="399" w:name="_Toc34212311"/>
      <w:r>
        <w:br w:type="page"/>
      </w:r>
    </w:p>
    <w:p w14:paraId="309DEAEA" w14:textId="77777777" w:rsidR="00720F38" w:rsidRDefault="00720F38" w:rsidP="00720F38">
      <w:pPr>
        <w:pStyle w:val="Heading2"/>
      </w:pPr>
      <w:bookmarkStart w:id="400" w:name="_Toc38031950"/>
      <w:bookmarkStart w:id="401" w:name="_Toc39588355"/>
      <w:r>
        <w:lastRenderedPageBreak/>
        <w:t>C5</w:t>
      </w:r>
      <w:r>
        <w:tab/>
      </w:r>
      <w:r w:rsidRPr="00B35E47">
        <w:t>Relationship of each Pre-Modelling Study to the Economic Evaluation</w:t>
      </w:r>
      <w:bookmarkEnd w:id="399"/>
      <w:bookmarkEnd w:id="400"/>
      <w:bookmarkEnd w:id="401"/>
    </w:p>
    <w:p w14:paraId="3549E488" w14:textId="77777777" w:rsidR="00720F38" w:rsidRPr="003A4929" w:rsidRDefault="00720F38" w:rsidP="00720F38">
      <w:pPr>
        <w:rPr>
          <w:rFonts w:asciiTheme="minorHAnsi" w:hAnsiTheme="minorHAnsi" w:cstheme="minorHAnsi"/>
        </w:rPr>
      </w:pPr>
      <w:r w:rsidRPr="003A4929">
        <w:rPr>
          <w:rFonts w:asciiTheme="minorHAnsi" w:hAnsiTheme="minorHAnsi" w:cstheme="minorHAnsi"/>
        </w:rPr>
        <w:fldChar w:fldCharType="begin"/>
      </w:r>
      <w:r w:rsidRPr="003A4929">
        <w:rPr>
          <w:rFonts w:asciiTheme="minorHAnsi" w:hAnsiTheme="minorHAnsi" w:cstheme="minorHAnsi"/>
        </w:rPr>
        <w:instrText xml:space="preserve"> REF _Ref421019304 \h  \* MERGEFORMAT </w:instrText>
      </w:r>
      <w:r w:rsidRPr="003A4929">
        <w:rPr>
          <w:rFonts w:asciiTheme="minorHAnsi" w:hAnsiTheme="minorHAnsi" w:cstheme="minorHAnsi"/>
        </w:rPr>
      </w:r>
      <w:r w:rsidRPr="003A4929">
        <w:rPr>
          <w:rFonts w:asciiTheme="minorHAnsi" w:hAnsiTheme="minorHAnsi" w:cstheme="minorHAnsi"/>
        </w:rPr>
        <w:fldChar w:fldCharType="separate"/>
      </w:r>
      <w:r w:rsidR="006E2BA9" w:rsidRPr="006E2BA9">
        <w:rPr>
          <w:rFonts w:asciiTheme="minorHAnsi" w:hAnsiTheme="minorHAnsi" w:cstheme="minorHAnsi"/>
          <w:bCs/>
        </w:rPr>
        <w:t xml:space="preserve">Table </w:t>
      </w:r>
      <w:r w:rsidR="006E2BA9" w:rsidRPr="006E2BA9">
        <w:rPr>
          <w:rFonts w:asciiTheme="minorHAnsi" w:hAnsiTheme="minorHAnsi" w:cstheme="minorHAnsi"/>
          <w:bCs/>
          <w:noProof/>
        </w:rPr>
        <w:t>73</w:t>
      </w:r>
      <w:r w:rsidRPr="003A4929">
        <w:rPr>
          <w:rFonts w:asciiTheme="minorHAnsi" w:hAnsiTheme="minorHAnsi" w:cstheme="minorHAnsi"/>
        </w:rPr>
        <w:fldChar w:fldCharType="end"/>
      </w:r>
      <w:r w:rsidRPr="003A4929">
        <w:rPr>
          <w:rFonts w:asciiTheme="minorHAnsi" w:hAnsiTheme="minorHAnsi" w:cstheme="minorHAnsi"/>
        </w:rPr>
        <w:t xml:space="preserve"> </w:t>
      </w:r>
      <w:r>
        <w:rPr>
          <w:rFonts w:asciiTheme="minorHAnsi" w:hAnsiTheme="minorHAnsi" w:cstheme="minorHAnsi"/>
        </w:rPr>
        <w:t>summarises the results of pre-modelling studies and their uses in the economic evaluation.</w:t>
      </w:r>
    </w:p>
    <w:p w14:paraId="6ED100DB" w14:textId="1A245F4B" w:rsidR="00720F38" w:rsidRPr="00B35E47" w:rsidRDefault="00720F38" w:rsidP="00720F38">
      <w:pPr>
        <w:pStyle w:val="Caption"/>
      </w:pPr>
      <w:bookmarkStart w:id="402" w:name="_Ref421019304"/>
      <w:bookmarkStart w:id="403" w:name="_Toc399251137"/>
      <w:bookmarkStart w:id="404" w:name="_Toc34212162"/>
      <w:bookmarkStart w:id="405" w:name="_Toc36054851"/>
      <w:bookmarkStart w:id="406" w:name="_Toc39580854"/>
      <w:bookmarkStart w:id="407" w:name="_Toc153967310"/>
      <w:bookmarkStart w:id="408" w:name="_Toc341796370"/>
      <w:r w:rsidRPr="00B35E47">
        <w:t xml:space="preserve">Table </w:t>
      </w:r>
      <w:fldSimple w:instr=" SEQ Table \* ARABIC ">
        <w:r w:rsidR="00FA7BCD">
          <w:rPr>
            <w:noProof/>
          </w:rPr>
          <w:t>73</w:t>
        </w:r>
      </w:fldSimple>
      <w:bookmarkEnd w:id="402"/>
      <w:r w:rsidRPr="00B35E47">
        <w:tab/>
        <w:t>Summary of results of pre-modelling studies and their uses in the economic evaluation</w:t>
      </w:r>
      <w:bookmarkEnd w:id="403"/>
      <w:bookmarkEnd w:id="404"/>
      <w:bookmarkEnd w:id="405"/>
      <w:bookmarkEnd w:id="406"/>
    </w:p>
    <w:tbl>
      <w:tblPr>
        <w:tblStyle w:val="TableGrid1"/>
        <w:tblW w:w="5000" w:type="pct"/>
        <w:tblCellMar>
          <w:left w:w="115" w:type="dxa"/>
          <w:right w:w="115" w:type="dxa"/>
        </w:tblCellMar>
        <w:tblLook w:val="01E0" w:firstRow="1" w:lastRow="1" w:firstColumn="1" w:lastColumn="1" w:noHBand="0" w:noVBand="0"/>
        <w:tblCaption w:val="Summary of results of pre-modelling studies and their uses in the economic evaluation"/>
        <w:tblDescription w:val="The table summarises how different evidence was used to address the translation issues identified with the clinical evidence base, including by referring to how this addition evidence is used in the economic evaluation."/>
      </w:tblPr>
      <w:tblGrid>
        <w:gridCol w:w="1333"/>
        <w:gridCol w:w="2918"/>
        <w:gridCol w:w="2349"/>
        <w:gridCol w:w="2416"/>
      </w:tblGrid>
      <w:tr w:rsidR="00720F38" w:rsidRPr="00B35E47" w14:paraId="11D1C8B3" w14:textId="77777777" w:rsidTr="00720F38">
        <w:trPr>
          <w:cnfStyle w:val="100000000000" w:firstRow="1" w:lastRow="0" w:firstColumn="0" w:lastColumn="0" w:oddVBand="0" w:evenVBand="0" w:oddHBand="0" w:evenHBand="0" w:firstRowFirstColumn="0" w:firstRowLastColumn="0" w:lastRowFirstColumn="0" w:lastRowLastColumn="0"/>
          <w:cantSplit/>
          <w:tblHeader/>
        </w:trPr>
        <w:tc>
          <w:tcPr>
            <w:tcW w:w="705" w:type="pct"/>
            <w:tcBorders>
              <w:bottom w:val="single" w:sz="4" w:space="0" w:color="auto"/>
            </w:tcBorders>
            <w:vAlign w:val="center"/>
          </w:tcPr>
          <w:p w14:paraId="631ACE63" w14:textId="77777777" w:rsidR="00720F38" w:rsidRPr="00B35E47" w:rsidRDefault="00720F38" w:rsidP="00720F38">
            <w:pPr>
              <w:keepNext/>
              <w:jc w:val="left"/>
              <w:rPr>
                <w:rFonts w:ascii="Arial Narrow" w:hAnsi="Arial Narrow"/>
                <w:b/>
                <w:lang w:eastAsia="en-US"/>
              </w:rPr>
            </w:pPr>
            <w:r w:rsidRPr="00B35E47">
              <w:rPr>
                <w:rFonts w:ascii="Arial Narrow" w:hAnsi="Arial Narrow"/>
                <w:b/>
                <w:lang w:eastAsia="en-US"/>
              </w:rPr>
              <w:t>Section</w:t>
            </w:r>
          </w:p>
        </w:tc>
        <w:tc>
          <w:tcPr>
            <w:tcW w:w="1630" w:type="pct"/>
            <w:tcBorders>
              <w:bottom w:val="single" w:sz="4" w:space="0" w:color="auto"/>
            </w:tcBorders>
            <w:vAlign w:val="center"/>
          </w:tcPr>
          <w:p w14:paraId="166C9D7C" w14:textId="77777777" w:rsidR="00720F38" w:rsidRPr="00B35E47" w:rsidRDefault="00720F38" w:rsidP="00720F38">
            <w:pPr>
              <w:keepNext/>
              <w:jc w:val="left"/>
              <w:rPr>
                <w:rFonts w:ascii="Arial Narrow" w:hAnsi="Arial Narrow"/>
                <w:b/>
                <w:lang w:eastAsia="en-US"/>
              </w:rPr>
            </w:pPr>
            <w:r w:rsidRPr="00B35E47">
              <w:rPr>
                <w:rFonts w:ascii="Arial Narrow" w:hAnsi="Arial Narrow"/>
                <w:b/>
                <w:lang w:eastAsia="en-US"/>
              </w:rPr>
              <w:t>Pre-modelling study</w:t>
            </w:r>
          </w:p>
        </w:tc>
        <w:tc>
          <w:tcPr>
            <w:tcW w:w="1314" w:type="pct"/>
            <w:tcBorders>
              <w:bottom w:val="single" w:sz="4" w:space="0" w:color="auto"/>
            </w:tcBorders>
            <w:vAlign w:val="center"/>
          </w:tcPr>
          <w:p w14:paraId="5FE258A4" w14:textId="77777777" w:rsidR="00720F38" w:rsidRPr="00B35E47" w:rsidRDefault="00720F38" w:rsidP="00720F38">
            <w:pPr>
              <w:keepNext/>
              <w:jc w:val="left"/>
              <w:rPr>
                <w:rFonts w:ascii="Arial Narrow" w:hAnsi="Arial Narrow"/>
                <w:b/>
                <w:lang w:eastAsia="en-US"/>
              </w:rPr>
            </w:pPr>
            <w:r w:rsidRPr="00B35E47">
              <w:rPr>
                <w:rFonts w:ascii="Arial Narrow" w:hAnsi="Arial Narrow"/>
                <w:b/>
                <w:lang w:eastAsia="en-US"/>
              </w:rPr>
              <w:t>Results used in Section D</w:t>
            </w:r>
          </w:p>
        </w:tc>
        <w:tc>
          <w:tcPr>
            <w:tcW w:w="1351" w:type="pct"/>
            <w:tcBorders>
              <w:bottom w:val="single" w:sz="4" w:space="0" w:color="auto"/>
            </w:tcBorders>
            <w:vAlign w:val="center"/>
          </w:tcPr>
          <w:p w14:paraId="096F6712" w14:textId="77777777" w:rsidR="00720F38" w:rsidRPr="00B35E47" w:rsidRDefault="00720F38" w:rsidP="00720F38">
            <w:pPr>
              <w:keepNext/>
              <w:jc w:val="left"/>
              <w:rPr>
                <w:rFonts w:ascii="Arial Narrow" w:hAnsi="Arial Narrow"/>
                <w:b/>
                <w:lang w:eastAsia="en-US"/>
              </w:rPr>
            </w:pPr>
            <w:r w:rsidRPr="00B35E47">
              <w:rPr>
                <w:rFonts w:ascii="Arial Narrow" w:hAnsi="Arial Narrow"/>
                <w:b/>
                <w:lang w:eastAsia="en-US"/>
              </w:rPr>
              <w:t>Results used in Subsection D.6</w:t>
            </w:r>
          </w:p>
        </w:tc>
      </w:tr>
      <w:tr w:rsidR="00720F38" w:rsidRPr="00B35E47" w14:paraId="227D42F7" w14:textId="77777777" w:rsidTr="00720F38">
        <w:trPr>
          <w:cantSplit/>
        </w:trPr>
        <w:tc>
          <w:tcPr>
            <w:tcW w:w="705" w:type="pct"/>
            <w:tcBorders>
              <w:right w:val="nil"/>
            </w:tcBorders>
          </w:tcPr>
          <w:p w14:paraId="380D467B"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 xml:space="preserve">Applicability </w:t>
            </w:r>
          </w:p>
        </w:tc>
        <w:tc>
          <w:tcPr>
            <w:tcW w:w="1630" w:type="pct"/>
            <w:tcBorders>
              <w:left w:val="nil"/>
              <w:right w:val="nil"/>
            </w:tcBorders>
          </w:tcPr>
          <w:p w14:paraId="7055B326" w14:textId="77777777" w:rsidR="00720F38" w:rsidRPr="00B35E47" w:rsidRDefault="00720F38" w:rsidP="00720F38">
            <w:pPr>
              <w:contextualSpacing/>
              <w:jc w:val="left"/>
              <w:rPr>
                <w:rFonts w:ascii="Arial Narrow" w:hAnsi="Arial Narrow"/>
                <w:lang w:eastAsia="en-US"/>
              </w:rPr>
            </w:pPr>
          </w:p>
        </w:tc>
        <w:tc>
          <w:tcPr>
            <w:tcW w:w="1314" w:type="pct"/>
            <w:tcBorders>
              <w:left w:val="nil"/>
              <w:right w:val="nil"/>
            </w:tcBorders>
          </w:tcPr>
          <w:p w14:paraId="22C6AA2C" w14:textId="77777777" w:rsidR="00720F38" w:rsidRPr="00B35E47" w:rsidRDefault="00720F38" w:rsidP="00720F38">
            <w:pPr>
              <w:contextualSpacing/>
              <w:jc w:val="left"/>
              <w:rPr>
                <w:rFonts w:ascii="Arial Narrow" w:hAnsi="Arial Narrow"/>
                <w:lang w:eastAsia="en-US"/>
              </w:rPr>
            </w:pPr>
          </w:p>
        </w:tc>
        <w:tc>
          <w:tcPr>
            <w:tcW w:w="1351" w:type="pct"/>
            <w:tcBorders>
              <w:left w:val="nil"/>
            </w:tcBorders>
          </w:tcPr>
          <w:p w14:paraId="3A7B2D15" w14:textId="77777777" w:rsidR="00720F38" w:rsidRPr="00B35E47" w:rsidRDefault="00720F38" w:rsidP="00720F38">
            <w:pPr>
              <w:contextualSpacing/>
              <w:jc w:val="left"/>
              <w:rPr>
                <w:rFonts w:ascii="Arial Narrow" w:hAnsi="Arial Narrow"/>
                <w:lang w:eastAsia="en-US"/>
              </w:rPr>
            </w:pPr>
          </w:p>
        </w:tc>
      </w:tr>
      <w:tr w:rsidR="00720F38" w:rsidRPr="00B35E47" w14:paraId="29F29A52" w14:textId="77777777" w:rsidTr="00720F38">
        <w:trPr>
          <w:cantSplit/>
        </w:trPr>
        <w:tc>
          <w:tcPr>
            <w:tcW w:w="705" w:type="pct"/>
          </w:tcPr>
          <w:p w14:paraId="3A7ECA62" w14:textId="77777777" w:rsidR="00720F38" w:rsidRPr="00B35E47" w:rsidRDefault="00720F38" w:rsidP="00720F38">
            <w:pPr>
              <w:contextualSpacing/>
              <w:jc w:val="left"/>
              <w:rPr>
                <w:rFonts w:ascii="Arial Narrow" w:hAnsi="Arial Narrow"/>
                <w:lang w:eastAsia="en-US"/>
              </w:rPr>
            </w:pPr>
          </w:p>
        </w:tc>
        <w:tc>
          <w:tcPr>
            <w:tcW w:w="1630" w:type="pct"/>
          </w:tcPr>
          <w:p w14:paraId="2D26E479" w14:textId="77777777" w:rsidR="00720F38" w:rsidRPr="00B35E47" w:rsidRDefault="00720F38" w:rsidP="00720F38">
            <w:pPr>
              <w:contextualSpacing/>
              <w:jc w:val="left"/>
              <w:rPr>
                <w:rFonts w:ascii="Arial Narrow" w:hAnsi="Arial Narrow"/>
                <w:lang w:eastAsia="en-US"/>
              </w:rPr>
            </w:pPr>
            <w:r>
              <w:rPr>
                <w:rFonts w:ascii="Arial Narrow" w:hAnsi="Arial Narrow"/>
                <w:lang w:eastAsia="en-US"/>
              </w:rPr>
              <w:t>Identifying an accurate estimate of d</w:t>
            </w:r>
            <w:r w:rsidRPr="00B35E47">
              <w:rPr>
                <w:rFonts w:ascii="Arial Narrow" w:hAnsi="Arial Narrow"/>
                <w:lang w:eastAsia="en-US"/>
              </w:rPr>
              <w:t>iagnostic yield</w:t>
            </w:r>
          </w:p>
        </w:tc>
        <w:tc>
          <w:tcPr>
            <w:tcW w:w="1314" w:type="pct"/>
          </w:tcPr>
          <w:p w14:paraId="4817CBC0" w14:textId="751B0FFC"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AQP4-Ab</w:t>
            </w:r>
            <w:r>
              <w:rPr>
                <w:rFonts w:ascii="Arial Narrow" w:hAnsi="Arial Narrow"/>
                <w:lang w:eastAsia="en-US"/>
              </w:rPr>
              <w:t xml:space="preserve">: </w:t>
            </w:r>
            <w:r w:rsidRPr="00B35E47">
              <w:rPr>
                <w:rFonts w:ascii="Arial Narrow" w:hAnsi="Arial Narrow"/>
                <w:lang w:eastAsia="en-US"/>
              </w:rPr>
              <w:t>4.2%</w:t>
            </w:r>
          </w:p>
          <w:p w14:paraId="53F05DC4"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MOG-Ab</w:t>
            </w:r>
            <w:r>
              <w:rPr>
                <w:rFonts w:ascii="Arial Narrow" w:hAnsi="Arial Narrow"/>
                <w:lang w:eastAsia="en-US"/>
              </w:rPr>
              <w:t>:</w:t>
            </w:r>
            <w:r w:rsidRPr="00B35E47">
              <w:rPr>
                <w:rFonts w:ascii="Arial Narrow" w:hAnsi="Arial Narrow"/>
                <w:lang w:eastAsia="en-US"/>
              </w:rPr>
              <w:t xml:space="preserve"> 5.3%</w:t>
            </w:r>
          </w:p>
        </w:tc>
        <w:tc>
          <w:tcPr>
            <w:tcW w:w="1351" w:type="pct"/>
          </w:tcPr>
          <w:p w14:paraId="4749F9F3" w14:textId="65074455"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2.5% – </w:t>
            </w:r>
            <w:r>
              <w:rPr>
                <w:rFonts w:ascii="Arial Narrow" w:hAnsi="Arial Narrow"/>
                <w:lang w:eastAsia="en-US"/>
              </w:rPr>
              <w:t>89</w:t>
            </w:r>
            <w:r w:rsidRPr="00B35E47">
              <w:rPr>
                <w:rFonts w:ascii="Arial Narrow" w:hAnsi="Arial Narrow"/>
                <w:lang w:eastAsia="en-US"/>
              </w:rPr>
              <w:t>%</w:t>
            </w:r>
          </w:p>
          <w:p w14:paraId="7C06BFA2" w14:textId="77777777" w:rsidR="00720F38" w:rsidRPr="00B35E47" w:rsidRDefault="00720F38" w:rsidP="00720F38">
            <w:pPr>
              <w:contextualSpacing/>
              <w:jc w:val="left"/>
              <w:rPr>
                <w:rFonts w:ascii="Arial Narrow" w:hAnsi="Arial Narrow"/>
                <w:lang w:eastAsia="en-US"/>
              </w:rPr>
            </w:pPr>
            <w:r>
              <w:rPr>
                <w:rFonts w:ascii="Arial Narrow" w:hAnsi="Arial Narrow"/>
                <w:lang w:eastAsia="en-US"/>
              </w:rPr>
              <w:t>2.0% – 29</w:t>
            </w:r>
            <w:r w:rsidRPr="00B35E47">
              <w:rPr>
                <w:rFonts w:ascii="Arial Narrow" w:hAnsi="Arial Narrow"/>
                <w:lang w:eastAsia="en-US"/>
              </w:rPr>
              <w:t>%</w:t>
            </w:r>
          </w:p>
        </w:tc>
      </w:tr>
      <w:tr w:rsidR="00720F38" w:rsidRPr="00B35E47" w14:paraId="63BCD779" w14:textId="77777777" w:rsidTr="00720F38">
        <w:trPr>
          <w:cantSplit/>
        </w:trPr>
        <w:tc>
          <w:tcPr>
            <w:tcW w:w="705" w:type="pct"/>
            <w:tcBorders>
              <w:bottom w:val="single" w:sz="4" w:space="0" w:color="auto"/>
            </w:tcBorders>
          </w:tcPr>
          <w:p w14:paraId="5B1707FD" w14:textId="77777777" w:rsidR="00720F38" w:rsidRPr="00B35E47" w:rsidRDefault="00720F38" w:rsidP="00720F38">
            <w:pPr>
              <w:contextualSpacing/>
              <w:jc w:val="left"/>
              <w:rPr>
                <w:rFonts w:ascii="Arial Narrow" w:hAnsi="Arial Narrow"/>
                <w:lang w:eastAsia="en-US"/>
              </w:rPr>
            </w:pPr>
          </w:p>
        </w:tc>
        <w:tc>
          <w:tcPr>
            <w:tcW w:w="1630" w:type="pct"/>
            <w:tcBorders>
              <w:bottom w:val="single" w:sz="4" w:space="0" w:color="auto"/>
            </w:tcBorders>
          </w:tcPr>
          <w:p w14:paraId="1D9A6AB3" w14:textId="77777777" w:rsidR="00720F38" w:rsidRPr="00B35E47" w:rsidRDefault="00720F38" w:rsidP="00720F38">
            <w:pPr>
              <w:contextualSpacing/>
              <w:jc w:val="left"/>
              <w:rPr>
                <w:rFonts w:ascii="Arial Narrow" w:hAnsi="Arial Narrow"/>
                <w:lang w:eastAsia="en-US"/>
              </w:rPr>
            </w:pPr>
            <w:r>
              <w:rPr>
                <w:rFonts w:ascii="Arial Narrow" w:hAnsi="Arial Narrow"/>
                <w:lang w:eastAsia="en-US"/>
              </w:rPr>
              <w:t>Identifying t</w:t>
            </w:r>
            <w:r w:rsidRPr="00B35E47">
              <w:rPr>
                <w:rFonts w:ascii="Arial Narrow" w:hAnsi="Arial Narrow"/>
                <w:lang w:eastAsia="en-US"/>
              </w:rPr>
              <w:t>reatment patterns</w:t>
            </w:r>
          </w:p>
          <w:p w14:paraId="47FC1D2F"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Drugs used for maintenance</w:t>
            </w:r>
          </w:p>
          <w:p w14:paraId="2DF86AD8"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Drugs used for treating relapse</w:t>
            </w:r>
          </w:p>
        </w:tc>
        <w:tc>
          <w:tcPr>
            <w:tcW w:w="1314" w:type="pct"/>
            <w:tcBorders>
              <w:bottom w:val="single" w:sz="4" w:space="0" w:color="auto"/>
            </w:tcBorders>
          </w:tcPr>
          <w:p w14:paraId="2E27A0FC" w14:textId="77777777" w:rsidR="00720F38" w:rsidRPr="00B35E47" w:rsidRDefault="00720F38" w:rsidP="00720F38">
            <w:pPr>
              <w:contextualSpacing/>
              <w:jc w:val="left"/>
              <w:rPr>
                <w:rFonts w:ascii="Arial Narrow" w:hAnsi="Arial Narrow"/>
                <w:lang w:eastAsia="en-US"/>
              </w:rPr>
            </w:pPr>
          </w:p>
          <w:p w14:paraId="4157A615"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AZA, RTX, prednisolone</w:t>
            </w:r>
          </w:p>
          <w:p w14:paraId="5A8B58DB" w14:textId="77777777" w:rsidR="00720F38" w:rsidRPr="00B35E47" w:rsidRDefault="00720F38" w:rsidP="00720F38">
            <w:pPr>
              <w:contextualSpacing/>
              <w:jc w:val="left"/>
              <w:rPr>
                <w:rFonts w:ascii="Arial Narrow" w:hAnsi="Arial Narrow"/>
                <w:lang w:eastAsia="en-US"/>
              </w:rPr>
            </w:pPr>
            <w:r w:rsidRPr="00B35E47">
              <w:rPr>
                <w:rFonts w:ascii="Arial Narrow" w:eastAsiaTheme="minorHAnsi" w:hAnsi="Arial Narrow"/>
                <w:lang w:eastAsia="en-US"/>
              </w:rPr>
              <w:t>Corticosteroids, PLEX and IVIG</w:t>
            </w:r>
          </w:p>
        </w:tc>
        <w:tc>
          <w:tcPr>
            <w:tcW w:w="1351" w:type="pct"/>
            <w:tcBorders>
              <w:bottom w:val="single" w:sz="4" w:space="0" w:color="auto"/>
            </w:tcBorders>
          </w:tcPr>
          <w:p w14:paraId="2EDCB29C" w14:textId="77777777" w:rsidR="00720F38" w:rsidRPr="00B35E47" w:rsidRDefault="00720F38" w:rsidP="00720F38">
            <w:pPr>
              <w:contextualSpacing/>
              <w:jc w:val="left"/>
              <w:rPr>
                <w:rFonts w:ascii="Arial Narrow" w:hAnsi="Arial Narrow"/>
                <w:lang w:eastAsia="en-US"/>
              </w:rPr>
            </w:pPr>
            <w:r>
              <w:rPr>
                <w:rFonts w:ascii="Arial Narrow" w:hAnsi="Arial Narrow"/>
                <w:lang w:eastAsia="en-US"/>
              </w:rPr>
              <w:t>-</w:t>
            </w:r>
          </w:p>
        </w:tc>
      </w:tr>
      <w:tr w:rsidR="00720F38" w:rsidRPr="00B35E47" w14:paraId="49943C90" w14:textId="77777777" w:rsidTr="00720F38">
        <w:trPr>
          <w:cantSplit/>
        </w:trPr>
        <w:tc>
          <w:tcPr>
            <w:tcW w:w="705" w:type="pct"/>
            <w:tcBorders>
              <w:right w:val="nil"/>
            </w:tcBorders>
          </w:tcPr>
          <w:p w14:paraId="5EA31DC3"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Extrapolation</w:t>
            </w:r>
          </w:p>
        </w:tc>
        <w:tc>
          <w:tcPr>
            <w:tcW w:w="1630" w:type="pct"/>
            <w:tcBorders>
              <w:left w:val="nil"/>
              <w:right w:val="nil"/>
            </w:tcBorders>
          </w:tcPr>
          <w:p w14:paraId="32B9B5C1" w14:textId="77777777" w:rsidR="00720F38" w:rsidRPr="00B35E47" w:rsidRDefault="00720F38" w:rsidP="00720F38">
            <w:pPr>
              <w:contextualSpacing/>
              <w:jc w:val="left"/>
              <w:rPr>
                <w:rFonts w:ascii="Arial Narrow" w:hAnsi="Arial Narrow"/>
                <w:lang w:eastAsia="en-US"/>
              </w:rPr>
            </w:pPr>
          </w:p>
        </w:tc>
        <w:tc>
          <w:tcPr>
            <w:tcW w:w="1314" w:type="pct"/>
            <w:tcBorders>
              <w:left w:val="nil"/>
              <w:right w:val="nil"/>
            </w:tcBorders>
          </w:tcPr>
          <w:p w14:paraId="197E86E1" w14:textId="77777777" w:rsidR="00720F38" w:rsidRPr="00B35E47" w:rsidRDefault="00720F38" w:rsidP="00720F38">
            <w:pPr>
              <w:contextualSpacing/>
              <w:jc w:val="left"/>
              <w:rPr>
                <w:rFonts w:ascii="Arial Narrow" w:hAnsi="Arial Narrow"/>
                <w:lang w:eastAsia="en-US"/>
              </w:rPr>
            </w:pPr>
          </w:p>
        </w:tc>
        <w:tc>
          <w:tcPr>
            <w:tcW w:w="1351" w:type="pct"/>
            <w:tcBorders>
              <w:left w:val="nil"/>
            </w:tcBorders>
          </w:tcPr>
          <w:p w14:paraId="26093072" w14:textId="77777777" w:rsidR="00720F38" w:rsidRPr="00B35E47" w:rsidRDefault="00720F38" w:rsidP="00720F38">
            <w:pPr>
              <w:contextualSpacing/>
              <w:jc w:val="left"/>
              <w:rPr>
                <w:rFonts w:ascii="Arial Narrow" w:hAnsi="Arial Narrow"/>
                <w:lang w:eastAsia="en-US"/>
              </w:rPr>
            </w:pPr>
          </w:p>
        </w:tc>
      </w:tr>
      <w:tr w:rsidR="00720F38" w:rsidRPr="00B35E47" w14:paraId="74A74D57" w14:textId="77777777" w:rsidTr="00720F38">
        <w:trPr>
          <w:cantSplit/>
        </w:trPr>
        <w:tc>
          <w:tcPr>
            <w:tcW w:w="705" w:type="pct"/>
            <w:tcBorders>
              <w:bottom w:val="single" w:sz="4" w:space="0" w:color="auto"/>
            </w:tcBorders>
          </w:tcPr>
          <w:p w14:paraId="56E42E29" w14:textId="77777777" w:rsidR="00720F38" w:rsidRPr="00B35E47" w:rsidRDefault="00720F38" w:rsidP="00720F38">
            <w:pPr>
              <w:contextualSpacing/>
              <w:jc w:val="left"/>
              <w:rPr>
                <w:rFonts w:ascii="Arial Narrow" w:hAnsi="Arial Narrow"/>
                <w:lang w:eastAsia="en-US"/>
              </w:rPr>
            </w:pPr>
          </w:p>
        </w:tc>
        <w:tc>
          <w:tcPr>
            <w:tcW w:w="1630" w:type="pct"/>
            <w:tcBorders>
              <w:bottom w:val="single" w:sz="4" w:space="0" w:color="auto"/>
            </w:tcBorders>
          </w:tcPr>
          <w:p w14:paraId="0ACBD089" w14:textId="77777777" w:rsidR="00720F38" w:rsidRPr="00B35E47" w:rsidRDefault="00720F38" w:rsidP="00720F38">
            <w:pPr>
              <w:contextualSpacing/>
              <w:jc w:val="left"/>
              <w:rPr>
                <w:rFonts w:ascii="Arial Narrow" w:hAnsi="Arial Narrow"/>
                <w:lang w:eastAsia="en-US"/>
              </w:rPr>
            </w:pPr>
            <w:r>
              <w:rPr>
                <w:rFonts w:ascii="Arial Narrow" w:hAnsi="Arial Narrow"/>
                <w:lang w:eastAsia="en-US"/>
              </w:rPr>
              <w:t>Identifying the r</w:t>
            </w:r>
            <w:r w:rsidRPr="00B35E47">
              <w:rPr>
                <w:rFonts w:ascii="Arial Narrow" w:hAnsi="Arial Narrow"/>
                <w:lang w:eastAsia="en-US"/>
              </w:rPr>
              <w:t>ecurring health resource use for maintenance therapy:</w:t>
            </w:r>
          </w:p>
        </w:tc>
        <w:tc>
          <w:tcPr>
            <w:tcW w:w="1314" w:type="pct"/>
            <w:tcBorders>
              <w:bottom w:val="single" w:sz="4" w:space="0" w:color="auto"/>
            </w:tcBorders>
          </w:tcPr>
          <w:p w14:paraId="480BD1FD"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AZA: 59%</w:t>
            </w:r>
          </w:p>
          <w:p w14:paraId="0883B5EC"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Prednisolone: 63% of AZA</w:t>
            </w:r>
          </w:p>
          <w:p w14:paraId="3FE6DE80"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RTX: 41%</w:t>
            </w:r>
          </w:p>
        </w:tc>
        <w:tc>
          <w:tcPr>
            <w:tcW w:w="1351" w:type="pct"/>
            <w:tcBorders>
              <w:bottom w:val="single" w:sz="4" w:space="0" w:color="auto"/>
            </w:tcBorders>
          </w:tcPr>
          <w:p w14:paraId="16F29E15" w14:textId="77777777" w:rsidR="00720F38" w:rsidRPr="00B35E47" w:rsidRDefault="00720F38" w:rsidP="00720F38">
            <w:pPr>
              <w:contextualSpacing/>
              <w:jc w:val="left"/>
              <w:rPr>
                <w:rFonts w:ascii="Arial Narrow" w:hAnsi="Arial Narrow"/>
                <w:lang w:eastAsia="en-US"/>
              </w:rPr>
            </w:pPr>
            <w:r>
              <w:rPr>
                <w:rFonts w:ascii="Arial Narrow" w:hAnsi="Arial Narrow"/>
                <w:lang w:eastAsia="en-US"/>
              </w:rPr>
              <w:t>RTX use: 60% and 80%</w:t>
            </w:r>
          </w:p>
        </w:tc>
      </w:tr>
      <w:tr w:rsidR="00720F38" w:rsidRPr="00B35E47" w14:paraId="52064835" w14:textId="77777777" w:rsidTr="00720F38">
        <w:trPr>
          <w:cantSplit/>
        </w:trPr>
        <w:tc>
          <w:tcPr>
            <w:tcW w:w="705" w:type="pct"/>
            <w:tcBorders>
              <w:bottom w:val="single" w:sz="4" w:space="0" w:color="auto"/>
            </w:tcBorders>
          </w:tcPr>
          <w:p w14:paraId="514EE7E8" w14:textId="77777777" w:rsidR="00720F38" w:rsidRPr="00B35E47" w:rsidRDefault="00720F38" w:rsidP="00720F38">
            <w:pPr>
              <w:contextualSpacing/>
              <w:jc w:val="left"/>
              <w:rPr>
                <w:rFonts w:ascii="Arial Narrow" w:hAnsi="Arial Narrow"/>
                <w:lang w:eastAsia="en-US"/>
              </w:rPr>
            </w:pPr>
          </w:p>
        </w:tc>
        <w:tc>
          <w:tcPr>
            <w:tcW w:w="1630" w:type="pct"/>
            <w:tcBorders>
              <w:bottom w:val="single" w:sz="4" w:space="0" w:color="auto"/>
            </w:tcBorders>
          </w:tcPr>
          <w:p w14:paraId="5B239F4C" w14:textId="77777777" w:rsidR="00720F38" w:rsidRDefault="00720F38" w:rsidP="00720F38">
            <w:pPr>
              <w:contextualSpacing/>
              <w:jc w:val="left"/>
              <w:rPr>
                <w:rFonts w:ascii="Arial Narrow" w:hAnsi="Arial Narrow"/>
                <w:lang w:eastAsia="en-US"/>
              </w:rPr>
            </w:pPr>
            <w:r>
              <w:rPr>
                <w:rFonts w:ascii="Arial Narrow" w:hAnsi="Arial Narrow"/>
                <w:lang w:eastAsia="en-US"/>
              </w:rPr>
              <w:t>Identifying the health resource use for treating future attacks;</w:t>
            </w:r>
            <w:r>
              <w:rPr>
                <w:rFonts w:ascii="Arial Narrow" w:hAnsi="Arial Narrow"/>
                <w:lang w:eastAsia="en-US"/>
              </w:rPr>
              <w:br/>
              <w:t>Mild attack:</w:t>
            </w:r>
          </w:p>
          <w:p w14:paraId="00A315A8" w14:textId="77777777" w:rsidR="00720F38" w:rsidRPr="00B35E47" w:rsidRDefault="00720F38" w:rsidP="00720F38">
            <w:pPr>
              <w:contextualSpacing/>
              <w:jc w:val="left"/>
              <w:rPr>
                <w:rFonts w:ascii="Arial Narrow" w:hAnsi="Arial Narrow"/>
                <w:lang w:eastAsia="en-US"/>
              </w:rPr>
            </w:pPr>
            <w:r>
              <w:rPr>
                <w:rFonts w:ascii="Arial Narrow" w:hAnsi="Arial Narrow"/>
                <w:lang w:eastAsia="en-US"/>
              </w:rPr>
              <w:t>Severe attack:</w:t>
            </w:r>
          </w:p>
        </w:tc>
        <w:tc>
          <w:tcPr>
            <w:tcW w:w="1314" w:type="pct"/>
            <w:tcBorders>
              <w:bottom w:val="single" w:sz="4" w:space="0" w:color="auto"/>
            </w:tcBorders>
          </w:tcPr>
          <w:p w14:paraId="0B8288DA" w14:textId="77777777" w:rsidR="00720F38" w:rsidRDefault="00720F38" w:rsidP="00720F38">
            <w:pPr>
              <w:contextualSpacing/>
              <w:jc w:val="left"/>
              <w:rPr>
                <w:rFonts w:ascii="Arial Narrow" w:hAnsi="Arial Narrow"/>
                <w:lang w:eastAsia="en-US"/>
              </w:rPr>
            </w:pPr>
            <w:r>
              <w:rPr>
                <w:rFonts w:ascii="Arial Narrow" w:hAnsi="Arial Narrow"/>
                <w:lang w:eastAsia="en-US"/>
              </w:rPr>
              <w:t>Maintenance therapy +</w:t>
            </w:r>
          </w:p>
          <w:p w14:paraId="29C8DD3A" w14:textId="77777777" w:rsidR="00720F38" w:rsidRPr="008E36E0" w:rsidRDefault="00720F38" w:rsidP="00720F38">
            <w:pPr>
              <w:contextualSpacing/>
              <w:jc w:val="left"/>
              <w:rPr>
                <w:rFonts w:ascii="Arial Narrow" w:hAnsi="Arial Narrow"/>
                <w:lang w:eastAsia="en-US"/>
              </w:rPr>
            </w:pPr>
            <w:r>
              <w:rPr>
                <w:rFonts w:ascii="Arial Narrow" w:hAnsi="Arial Narrow"/>
                <w:lang w:eastAsia="en-US"/>
              </w:rPr>
              <w:t xml:space="preserve">IVMP </w:t>
            </w:r>
            <w:r w:rsidRPr="008E36E0">
              <w:rPr>
                <w:rFonts w:ascii="Arial Narrow" w:hAnsi="Arial Narrow"/>
                <w:lang w:eastAsia="en-US"/>
              </w:rPr>
              <w:t>(</w:t>
            </w:r>
            <w:r>
              <w:rPr>
                <w:rFonts w:ascii="Arial Narrow" w:hAnsi="Arial Narrow"/>
                <w:lang w:eastAsia="en-US"/>
              </w:rPr>
              <w:t>84</w:t>
            </w:r>
            <w:r w:rsidRPr="008E36E0">
              <w:rPr>
                <w:rFonts w:ascii="Arial Narrow" w:hAnsi="Arial Narrow"/>
                <w:lang w:eastAsia="en-US"/>
              </w:rPr>
              <w:t>%)</w:t>
            </w:r>
            <w:r>
              <w:rPr>
                <w:rFonts w:ascii="Arial Narrow" w:hAnsi="Arial Narrow"/>
                <w:lang w:eastAsia="en-US"/>
              </w:rPr>
              <w:t>, PLEX (16%)</w:t>
            </w:r>
            <w:r w:rsidRPr="008E36E0">
              <w:rPr>
                <w:rFonts w:ascii="Arial Narrow" w:hAnsi="Arial Narrow"/>
                <w:lang w:eastAsia="en-US"/>
              </w:rPr>
              <w:t xml:space="preserve"> </w:t>
            </w:r>
          </w:p>
          <w:p w14:paraId="19DBCABC" w14:textId="77777777" w:rsidR="00720F38" w:rsidRPr="008E36E0" w:rsidRDefault="00720F38" w:rsidP="00720F38">
            <w:pPr>
              <w:contextualSpacing/>
              <w:jc w:val="left"/>
              <w:rPr>
                <w:rFonts w:ascii="Arial Narrow" w:hAnsi="Arial Narrow"/>
                <w:lang w:eastAsia="en-US"/>
              </w:rPr>
            </w:pPr>
            <w:r w:rsidRPr="008E36E0">
              <w:rPr>
                <w:rFonts w:ascii="Arial Narrow" w:hAnsi="Arial Narrow"/>
                <w:lang w:eastAsia="en-US"/>
              </w:rPr>
              <w:t>PLEX</w:t>
            </w:r>
            <w:r>
              <w:rPr>
                <w:rFonts w:ascii="Arial Narrow" w:hAnsi="Arial Narrow"/>
                <w:lang w:eastAsia="en-US"/>
              </w:rPr>
              <w:t xml:space="preserve"> (75%)</w:t>
            </w:r>
            <w:r w:rsidRPr="008E36E0">
              <w:rPr>
                <w:rFonts w:ascii="Arial Narrow" w:hAnsi="Arial Narrow"/>
                <w:lang w:eastAsia="en-US"/>
              </w:rPr>
              <w:t>, IVMP</w:t>
            </w:r>
            <w:r>
              <w:rPr>
                <w:rFonts w:ascii="Arial Narrow" w:hAnsi="Arial Narrow"/>
                <w:lang w:eastAsia="en-US"/>
              </w:rPr>
              <w:t xml:space="preserve"> (45%)</w:t>
            </w:r>
            <w:r w:rsidRPr="008E36E0">
              <w:rPr>
                <w:rFonts w:ascii="Arial Narrow" w:hAnsi="Arial Narrow"/>
                <w:lang w:eastAsia="en-US"/>
              </w:rPr>
              <w:t>, IVIG</w:t>
            </w:r>
            <w:r>
              <w:rPr>
                <w:rFonts w:ascii="Arial Narrow" w:hAnsi="Arial Narrow"/>
                <w:lang w:eastAsia="en-US"/>
              </w:rPr>
              <w:t xml:space="preserve"> (10%)</w:t>
            </w:r>
          </w:p>
        </w:tc>
        <w:tc>
          <w:tcPr>
            <w:tcW w:w="1351" w:type="pct"/>
            <w:tcBorders>
              <w:bottom w:val="single" w:sz="4" w:space="0" w:color="auto"/>
            </w:tcBorders>
          </w:tcPr>
          <w:p w14:paraId="1FFD4329" w14:textId="77777777" w:rsidR="00720F38" w:rsidRPr="005950CA" w:rsidRDefault="00720F38" w:rsidP="00720F38">
            <w:pPr>
              <w:contextualSpacing/>
              <w:jc w:val="left"/>
              <w:rPr>
                <w:rFonts w:ascii="Arial Narrow" w:hAnsi="Arial Narrow"/>
                <w:vertAlign w:val="superscript"/>
                <w:lang w:eastAsia="en-US"/>
              </w:rPr>
            </w:pPr>
            <w:r>
              <w:rPr>
                <w:rFonts w:ascii="Arial Narrow" w:hAnsi="Arial Narrow"/>
                <w:lang w:eastAsia="en-US"/>
              </w:rPr>
              <w:t>Same treatment (1.3 treatments/attack) for severe and mild attacks: IVMP (76%), PLEX(14%) and IVIG (10%)</w:t>
            </w:r>
            <w:r>
              <w:rPr>
                <w:rFonts w:ascii="Arial Narrow" w:hAnsi="Arial Narrow"/>
                <w:vertAlign w:val="superscript"/>
                <w:lang w:eastAsia="en-US"/>
              </w:rPr>
              <w:t>a</w:t>
            </w:r>
          </w:p>
        </w:tc>
      </w:tr>
      <w:tr w:rsidR="00720F38" w:rsidRPr="00B35E47" w14:paraId="28370F57" w14:textId="77777777" w:rsidTr="00720F38">
        <w:trPr>
          <w:cantSplit/>
        </w:trPr>
        <w:tc>
          <w:tcPr>
            <w:tcW w:w="705" w:type="pct"/>
            <w:tcBorders>
              <w:right w:val="nil"/>
            </w:tcBorders>
          </w:tcPr>
          <w:p w14:paraId="560D0650"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Transformation</w:t>
            </w:r>
          </w:p>
        </w:tc>
        <w:tc>
          <w:tcPr>
            <w:tcW w:w="1630" w:type="pct"/>
            <w:tcBorders>
              <w:left w:val="nil"/>
              <w:right w:val="nil"/>
            </w:tcBorders>
          </w:tcPr>
          <w:p w14:paraId="4CB8002E" w14:textId="77777777" w:rsidR="00720F38" w:rsidRPr="00B35E47" w:rsidRDefault="00720F38" w:rsidP="00720F38">
            <w:pPr>
              <w:contextualSpacing/>
              <w:jc w:val="left"/>
              <w:rPr>
                <w:rFonts w:ascii="Arial Narrow" w:hAnsi="Arial Narrow"/>
                <w:lang w:eastAsia="en-US"/>
              </w:rPr>
            </w:pPr>
          </w:p>
        </w:tc>
        <w:tc>
          <w:tcPr>
            <w:tcW w:w="1314" w:type="pct"/>
            <w:tcBorders>
              <w:left w:val="nil"/>
              <w:right w:val="nil"/>
            </w:tcBorders>
          </w:tcPr>
          <w:p w14:paraId="49EBCBBD" w14:textId="77777777" w:rsidR="00720F38" w:rsidRPr="00B35E47" w:rsidRDefault="00720F38" w:rsidP="00720F38">
            <w:pPr>
              <w:contextualSpacing/>
              <w:jc w:val="left"/>
              <w:rPr>
                <w:rFonts w:ascii="Arial Narrow" w:hAnsi="Arial Narrow"/>
                <w:lang w:eastAsia="en-US"/>
              </w:rPr>
            </w:pPr>
          </w:p>
        </w:tc>
        <w:tc>
          <w:tcPr>
            <w:tcW w:w="1351" w:type="pct"/>
            <w:tcBorders>
              <w:left w:val="nil"/>
            </w:tcBorders>
          </w:tcPr>
          <w:p w14:paraId="75F3E221" w14:textId="77777777" w:rsidR="00720F38" w:rsidRPr="00B35E47" w:rsidRDefault="00720F38" w:rsidP="00720F38">
            <w:pPr>
              <w:contextualSpacing/>
              <w:jc w:val="left"/>
              <w:rPr>
                <w:rFonts w:ascii="Arial Narrow" w:hAnsi="Arial Narrow"/>
                <w:lang w:eastAsia="en-US"/>
              </w:rPr>
            </w:pPr>
          </w:p>
        </w:tc>
      </w:tr>
      <w:tr w:rsidR="00720F38" w:rsidRPr="00B35E47" w14:paraId="0E704FBA" w14:textId="77777777" w:rsidTr="00720F38">
        <w:trPr>
          <w:cantSplit/>
        </w:trPr>
        <w:tc>
          <w:tcPr>
            <w:tcW w:w="705" w:type="pct"/>
          </w:tcPr>
          <w:p w14:paraId="6354401D" w14:textId="77777777" w:rsidR="00720F38" w:rsidRPr="00B35E47" w:rsidRDefault="00720F38" w:rsidP="00720F38">
            <w:pPr>
              <w:contextualSpacing/>
              <w:jc w:val="left"/>
              <w:rPr>
                <w:rFonts w:ascii="Arial Narrow" w:hAnsi="Arial Narrow"/>
                <w:lang w:eastAsia="en-US"/>
              </w:rPr>
            </w:pPr>
          </w:p>
        </w:tc>
        <w:tc>
          <w:tcPr>
            <w:tcW w:w="1630" w:type="pct"/>
          </w:tcPr>
          <w:p w14:paraId="322C8BA0" w14:textId="77777777" w:rsidR="00720F38" w:rsidRPr="00B35E47" w:rsidRDefault="00720F38" w:rsidP="00720F38">
            <w:pPr>
              <w:contextualSpacing/>
              <w:jc w:val="left"/>
              <w:rPr>
                <w:rFonts w:ascii="Arial Narrow" w:hAnsi="Arial Narrow"/>
                <w:lang w:eastAsia="en-US"/>
              </w:rPr>
            </w:pPr>
            <w:r>
              <w:rPr>
                <w:rFonts w:ascii="Arial Narrow" w:hAnsi="Arial Narrow"/>
                <w:lang w:eastAsia="en-US"/>
              </w:rPr>
              <w:t>Identifying appropriate h</w:t>
            </w:r>
            <w:r w:rsidRPr="00B35E47">
              <w:rPr>
                <w:rFonts w:ascii="Arial Narrow" w:hAnsi="Arial Narrow"/>
                <w:lang w:eastAsia="en-US"/>
              </w:rPr>
              <w:t>ealth state utility values</w:t>
            </w:r>
          </w:p>
          <w:p w14:paraId="71F552F6"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Disease with no/mild disability</w:t>
            </w:r>
          </w:p>
          <w:p w14:paraId="6B7C9F66"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Disease with moderate–severe disability</w:t>
            </w:r>
          </w:p>
          <w:p w14:paraId="26FC0BF6"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Death</w:t>
            </w:r>
          </w:p>
        </w:tc>
        <w:tc>
          <w:tcPr>
            <w:tcW w:w="1314" w:type="pct"/>
          </w:tcPr>
          <w:p w14:paraId="2E63923E" w14:textId="77777777" w:rsidR="00720F38" w:rsidRDefault="00720F38" w:rsidP="00720F38">
            <w:pPr>
              <w:contextualSpacing/>
              <w:jc w:val="left"/>
              <w:rPr>
                <w:rFonts w:ascii="Arial Narrow" w:hAnsi="Arial Narrow"/>
                <w:lang w:eastAsia="en-US"/>
              </w:rPr>
            </w:pPr>
          </w:p>
          <w:p w14:paraId="3CEE1F01" w14:textId="77777777" w:rsidR="00720F38" w:rsidRPr="00B35E47" w:rsidRDefault="00720F38" w:rsidP="00720F38">
            <w:pPr>
              <w:contextualSpacing/>
              <w:jc w:val="left"/>
              <w:rPr>
                <w:rFonts w:ascii="Arial Narrow" w:hAnsi="Arial Narrow"/>
                <w:lang w:eastAsia="en-US"/>
              </w:rPr>
            </w:pPr>
          </w:p>
          <w:p w14:paraId="162831F9"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0.72</w:t>
            </w:r>
          </w:p>
          <w:p w14:paraId="1F11D14F"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0.48</w:t>
            </w:r>
          </w:p>
          <w:p w14:paraId="099791DA" w14:textId="77777777" w:rsidR="00720F38" w:rsidRPr="00B35E47" w:rsidRDefault="00720F38" w:rsidP="00720F38">
            <w:pPr>
              <w:contextualSpacing/>
              <w:jc w:val="left"/>
              <w:rPr>
                <w:rFonts w:ascii="Arial Narrow" w:hAnsi="Arial Narrow"/>
                <w:lang w:eastAsia="en-US"/>
              </w:rPr>
            </w:pPr>
          </w:p>
          <w:p w14:paraId="16C31CFB"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0</w:t>
            </w:r>
          </w:p>
        </w:tc>
        <w:tc>
          <w:tcPr>
            <w:tcW w:w="1351" w:type="pct"/>
          </w:tcPr>
          <w:p w14:paraId="563B9948" w14:textId="77777777" w:rsidR="00720F38" w:rsidRPr="00B35E47" w:rsidRDefault="00720F38" w:rsidP="00720F38">
            <w:pPr>
              <w:contextualSpacing/>
              <w:jc w:val="left"/>
              <w:rPr>
                <w:rFonts w:ascii="Arial Narrow" w:hAnsi="Arial Narrow"/>
                <w:lang w:eastAsia="en-US"/>
              </w:rPr>
            </w:pPr>
          </w:p>
          <w:p w14:paraId="47743FAA"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0.</w:t>
            </w:r>
            <w:r>
              <w:rPr>
                <w:rFonts w:ascii="Arial Narrow" w:hAnsi="Arial Narrow"/>
                <w:lang w:eastAsia="en-US"/>
              </w:rPr>
              <w:t>47</w:t>
            </w:r>
          </w:p>
          <w:p w14:paraId="51BB34CC"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0.18</w:t>
            </w:r>
          </w:p>
          <w:p w14:paraId="15E5605C" w14:textId="77777777" w:rsidR="00720F38" w:rsidRPr="00B35E47" w:rsidRDefault="00720F38" w:rsidP="00720F38">
            <w:pPr>
              <w:contextualSpacing/>
              <w:jc w:val="left"/>
              <w:rPr>
                <w:rFonts w:ascii="Arial Narrow" w:hAnsi="Arial Narrow"/>
                <w:lang w:eastAsia="en-US"/>
              </w:rPr>
            </w:pPr>
          </w:p>
          <w:p w14:paraId="1BAE72A1"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0</w:t>
            </w:r>
          </w:p>
        </w:tc>
      </w:tr>
      <w:tr w:rsidR="00720F38" w:rsidRPr="00B35E47" w14:paraId="6C91D708" w14:textId="77777777" w:rsidTr="00720F38">
        <w:trPr>
          <w:cantSplit/>
        </w:trPr>
        <w:tc>
          <w:tcPr>
            <w:tcW w:w="705" w:type="pct"/>
          </w:tcPr>
          <w:p w14:paraId="05AF3FC2" w14:textId="77777777" w:rsidR="00720F38" w:rsidRPr="00B35E47" w:rsidRDefault="00720F38" w:rsidP="00720F38">
            <w:pPr>
              <w:contextualSpacing/>
              <w:jc w:val="left"/>
              <w:rPr>
                <w:rFonts w:ascii="Arial Narrow" w:hAnsi="Arial Narrow"/>
                <w:lang w:eastAsia="en-US"/>
              </w:rPr>
            </w:pPr>
          </w:p>
        </w:tc>
        <w:tc>
          <w:tcPr>
            <w:tcW w:w="1630" w:type="pct"/>
          </w:tcPr>
          <w:p w14:paraId="2F2D96E5" w14:textId="77777777" w:rsidR="00720F38" w:rsidRPr="00B35E47" w:rsidRDefault="00720F38" w:rsidP="00720F38">
            <w:pPr>
              <w:contextualSpacing/>
              <w:jc w:val="left"/>
              <w:rPr>
                <w:rFonts w:ascii="Arial Narrow" w:hAnsi="Arial Narrow"/>
                <w:lang w:eastAsia="en-US"/>
              </w:rPr>
            </w:pPr>
            <w:r>
              <w:rPr>
                <w:rFonts w:ascii="Arial Narrow" w:hAnsi="Arial Narrow"/>
                <w:lang w:eastAsia="en-US"/>
              </w:rPr>
              <w:t xml:space="preserve">Identifying </w:t>
            </w:r>
            <w:r w:rsidRPr="00B35E47">
              <w:rPr>
                <w:rFonts w:ascii="Arial Narrow" w:hAnsi="Arial Narrow"/>
                <w:lang w:eastAsia="en-US"/>
              </w:rPr>
              <w:t>Disutility</w:t>
            </w:r>
            <w:r>
              <w:rPr>
                <w:rFonts w:ascii="Arial Narrow" w:hAnsi="Arial Narrow"/>
                <w:lang w:eastAsia="en-US"/>
              </w:rPr>
              <w:t xml:space="preserve"> associated with relapses:</w:t>
            </w:r>
          </w:p>
          <w:p w14:paraId="0302A97C"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Mild relapse</w:t>
            </w:r>
          </w:p>
          <w:p w14:paraId="182CA8CE"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Severe relapse</w:t>
            </w:r>
          </w:p>
        </w:tc>
        <w:tc>
          <w:tcPr>
            <w:tcW w:w="1314" w:type="pct"/>
          </w:tcPr>
          <w:p w14:paraId="0454A781" w14:textId="77777777" w:rsidR="00720F38" w:rsidRDefault="00720F38" w:rsidP="00720F38">
            <w:pPr>
              <w:contextualSpacing/>
              <w:jc w:val="left"/>
              <w:rPr>
                <w:rFonts w:ascii="Arial Narrow" w:hAnsi="Arial Narrow"/>
                <w:lang w:eastAsia="en-US"/>
              </w:rPr>
            </w:pPr>
          </w:p>
          <w:p w14:paraId="3EAAC0FA" w14:textId="77777777" w:rsidR="00720F38" w:rsidRPr="00B35E47" w:rsidRDefault="00720F38" w:rsidP="00720F38">
            <w:pPr>
              <w:contextualSpacing/>
              <w:jc w:val="left"/>
              <w:rPr>
                <w:rFonts w:ascii="Arial Narrow" w:hAnsi="Arial Narrow"/>
                <w:lang w:eastAsia="en-US"/>
              </w:rPr>
            </w:pPr>
          </w:p>
          <w:p w14:paraId="37BA0ABE"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0.07</w:t>
            </w:r>
          </w:p>
          <w:p w14:paraId="773ADF48" w14:textId="77777777" w:rsidR="00720F38" w:rsidRPr="00B35E47" w:rsidRDefault="00720F38" w:rsidP="00720F38">
            <w:pPr>
              <w:contextualSpacing/>
              <w:jc w:val="left"/>
              <w:rPr>
                <w:rFonts w:ascii="Arial Narrow" w:hAnsi="Arial Narrow"/>
                <w:lang w:eastAsia="en-US"/>
              </w:rPr>
            </w:pPr>
            <w:r w:rsidRPr="00B35E47">
              <w:rPr>
                <w:rFonts w:ascii="Arial Narrow" w:hAnsi="Arial Narrow"/>
                <w:lang w:eastAsia="en-US"/>
              </w:rPr>
              <w:t>0.29</w:t>
            </w:r>
          </w:p>
        </w:tc>
        <w:tc>
          <w:tcPr>
            <w:tcW w:w="1351" w:type="pct"/>
          </w:tcPr>
          <w:p w14:paraId="2894B934" w14:textId="77777777" w:rsidR="00720F38" w:rsidRPr="00B35E47" w:rsidRDefault="00720F38" w:rsidP="00720F38">
            <w:pPr>
              <w:contextualSpacing/>
              <w:jc w:val="left"/>
              <w:rPr>
                <w:rFonts w:ascii="Arial Narrow" w:hAnsi="Arial Narrow"/>
                <w:lang w:eastAsia="en-US"/>
              </w:rPr>
            </w:pPr>
            <w:r>
              <w:rPr>
                <w:rFonts w:ascii="Arial Narrow" w:hAnsi="Arial Narrow"/>
                <w:lang w:eastAsia="en-US"/>
              </w:rPr>
              <w:t>-</w:t>
            </w:r>
          </w:p>
        </w:tc>
      </w:tr>
    </w:tbl>
    <w:bookmarkEnd w:id="407"/>
    <w:bookmarkEnd w:id="408"/>
    <w:p w14:paraId="31F33143" w14:textId="77777777" w:rsidR="00720F38" w:rsidRDefault="00720F38" w:rsidP="00720F38">
      <w:pPr>
        <w:widowControl w:val="0"/>
        <w:spacing w:after="120" w:line="240" w:lineRule="auto"/>
        <w:contextualSpacing/>
        <w:jc w:val="left"/>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 xml:space="preserve">a </w:t>
      </w:r>
      <w:r>
        <w:rPr>
          <w:rFonts w:ascii="Arial Narrow" w:hAnsi="Arial Narrow" w:cs="Arial"/>
          <w:snapToGrid w:val="0"/>
          <w:sz w:val="18"/>
          <w:szCs w:val="20"/>
          <w:lang w:eastAsia="en-US"/>
        </w:rPr>
        <w:t xml:space="preserve">Source: </w:t>
      </w:r>
      <w:r w:rsidRPr="005950CA">
        <w:rPr>
          <w:rFonts w:ascii="Arial Narrow" w:hAnsi="Arial Narrow" w:cs="Arial"/>
          <w:snapToGrid w:val="0"/>
          <w:sz w:val="18"/>
          <w:szCs w:val="20"/>
          <w:lang w:eastAsia="en-US"/>
        </w:rPr>
        <w:t>(Kunchok et al. 2019)</w:t>
      </w:r>
    </w:p>
    <w:p w14:paraId="298C0CB2" w14:textId="2A41AD94" w:rsidR="00720F38" w:rsidRPr="00B35E47" w:rsidRDefault="00720F38" w:rsidP="00720F3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 xml:space="preserve">Ab = antibody; AQP4 = aquaporin 4; ARR = annualised relapse rate; AZA = Azathioprine; EDSS = expanded disability status scale; IVMP = intravenous methylprednisolone; IVIG = intravenous </w:t>
      </w:r>
      <w:r>
        <w:rPr>
          <w:rFonts w:ascii="Arial Narrow" w:hAnsi="Arial Narrow" w:cs="Arial"/>
          <w:snapToGrid w:val="0"/>
          <w:sz w:val="18"/>
          <w:szCs w:val="20"/>
          <w:lang w:eastAsia="en-US"/>
        </w:rPr>
        <w:t>immunoglobulin</w:t>
      </w:r>
      <w:r w:rsidRPr="00B35E47">
        <w:rPr>
          <w:rFonts w:ascii="Arial Narrow" w:hAnsi="Arial Narrow" w:cs="Arial"/>
          <w:snapToGrid w:val="0"/>
          <w:sz w:val="18"/>
          <w:szCs w:val="20"/>
          <w:lang w:eastAsia="en-US"/>
        </w:rPr>
        <w:t>; MOG = Myelin oligodendrocyte glycoprotein; NMOSD = neuromyelitis optica spectrum disorder; PLEX = pl</w:t>
      </w:r>
      <w:r>
        <w:rPr>
          <w:rFonts w:ascii="Arial Narrow" w:hAnsi="Arial Narrow" w:cs="Arial"/>
          <w:snapToGrid w:val="0"/>
          <w:sz w:val="18"/>
          <w:szCs w:val="20"/>
          <w:lang w:eastAsia="en-US"/>
        </w:rPr>
        <w:t>asma exchange; RTX = Rituximab</w:t>
      </w:r>
    </w:p>
    <w:p w14:paraId="7CCFD7DC" w14:textId="77777777" w:rsidR="00ED65EE" w:rsidRPr="00183E4D" w:rsidRDefault="00ED65EE" w:rsidP="00ED65EE">
      <w:pPr>
        <w:pStyle w:val="Heading1"/>
        <w:jc w:val="both"/>
      </w:pPr>
      <w:bookmarkStart w:id="409" w:name="_Toc39588356"/>
      <w:r w:rsidRPr="00183E4D">
        <w:lastRenderedPageBreak/>
        <w:t>Section D</w:t>
      </w:r>
      <w:r w:rsidRPr="00183E4D">
        <w:tab/>
        <w:t>Economic Evaluation</w:t>
      </w:r>
      <w:bookmarkEnd w:id="364"/>
      <w:bookmarkEnd w:id="365"/>
      <w:bookmarkEnd w:id="409"/>
    </w:p>
    <w:p w14:paraId="4C9912E6" w14:textId="77777777" w:rsidR="00B35E47" w:rsidRPr="00B35E47" w:rsidRDefault="00CB6CE1" w:rsidP="00CB6CE1">
      <w:pPr>
        <w:pStyle w:val="Heading2"/>
      </w:pPr>
      <w:bookmarkStart w:id="410" w:name="_Toc381796475"/>
      <w:bookmarkStart w:id="411" w:name="_Toc34212313"/>
      <w:bookmarkStart w:id="412" w:name="_Toc39588357"/>
      <w:bookmarkStart w:id="413" w:name="_Ref378945269"/>
      <w:r>
        <w:t>D1</w:t>
      </w:r>
      <w:r>
        <w:tab/>
      </w:r>
      <w:r w:rsidR="00B35E47" w:rsidRPr="00B35E47">
        <w:t>Overview</w:t>
      </w:r>
      <w:bookmarkEnd w:id="410"/>
      <w:bookmarkEnd w:id="411"/>
      <w:bookmarkEnd w:id="412"/>
    </w:p>
    <w:p w14:paraId="2776E4B0" w14:textId="77777777" w:rsidR="00CB6CE1" w:rsidRPr="00B35E47" w:rsidRDefault="00CB6CE1" w:rsidP="00CB6CE1">
      <w:r w:rsidRPr="00B35E47">
        <w:fldChar w:fldCharType="begin"/>
      </w:r>
      <w:r w:rsidRPr="00B35E47">
        <w:instrText xml:space="preserve"> REF _Ref395195344 \h  \* MERGEFORMAT </w:instrText>
      </w:r>
      <w:r w:rsidRPr="00B35E47">
        <w:fldChar w:fldCharType="separate"/>
      </w:r>
      <w:r w:rsidR="006E2BA9" w:rsidRPr="00CB6CE1">
        <w:t xml:space="preserve">Table </w:t>
      </w:r>
      <w:r w:rsidR="006E2BA9">
        <w:rPr>
          <w:noProof/>
        </w:rPr>
        <w:t>74</w:t>
      </w:r>
      <w:r w:rsidRPr="00B35E47">
        <w:fldChar w:fldCharType="end"/>
      </w:r>
      <w:r w:rsidRPr="00B35E47">
        <w:t xml:space="preserve"> sets out the framework that was used to classify the clinical evidence in Section B so that a decision could be made about the type of economic analysis to undertake in this Section. The clinical evaluation suggested that, relative to the no antibody testing, the AQP4-Ab testing has non-inferior safety and superior effectiveness based on the evidence profile given in </w:t>
      </w:r>
      <w:r w:rsidRPr="00B35E47">
        <w:fldChar w:fldCharType="begin"/>
      </w:r>
      <w:r w:rsidRPr="00B35E47">
        <w:instrText xml:space="preserve"> REF _Ref395195344 \h  \* MERGEFORMAT </w:instrText>
      </w:r>
      <w:r w:rsidRPr="00B35E47">
        <w:fldChar w:fldCharType="separate"/>
      </w:r>
      <w:r w:rsidR="006E2BA9" w:rsidRPr="00CB6CE1">
        <w:t xml:space="preserve">Table </w:t>
      </w:r>
      <w:r w:rsidR="006E2BA9">
        <w:rPr>
          <w:noProof/>
        </w:rPr>
        <w:t>74</w:t>
      </w:r>
      <w:r w:rsidRPr="00B35E47">
        <w:fldChar w:fldCharType="end"/>
      </w:r>
      <w:r w:rsidRPr="00B35E47">
        <w:t xml:space="preserve">. </w:t>
      </w:r>
    </w:p>
    <w:p w14:paraId="172FF354" w14:textId="77777777" w:rsidR="00CB6CE1" w:rsidRPr="00B35E47" w:rsidRDefault="00CB6CE1" w:rsidP="00CB6CE1">
      <w:r w:rsidRPr="00B35E47">
        <w:t>It was therefore decided that a cost-utility analyses would be undertaken for the economic evaluation.</w:t>
      </w:r>
    </w:p>
    <w:p w14:paraId="2596AA9E" w14:textId="644CEA7F" w:rsidR="00CB6CE1" w:rsidRPr="00CB6CE1" w:rsidRDefault="00CB6CE1" w:rsidP="00665317">
      <w:pPr>
        <w:pStyle w:val="Caption"/>
        <w:ind w:left="720" w:hanging="720"/>
      </w:pPr>
      <w:bookmarkStart w:id="414" w:name="_Ref395195344"/>
      <w:bookmarkStart w:id="415" w:name="_Toc432677300"/>
      <w:bookmarkStart w:id="416" w:name="_Toc36054852"/>
      <w:bookmarkStart w:id="417" w:name="_Toc39580855"/>
      <w:r w:rsidRPr="00CB6CE1">
        <w:t xml:space="preserve">Table </w:t>
      </w:r>
      <w:fldSimple w:instr=" SEQ Table \* ARABIC ">
        <w:r w:rsidR="00FA7BCD">
          <w:rPr>
            <w:noProof/>
          </w:rPr>
          <w:t>74</w:t>
        </w:r>
      </w:fldSimple>
      <w:bookmarkEnd w:id="414"/>
      <w:r w:rsidRPr="00CB6CE1">
        <w:tab/>
        <w:t>Classification of the comparative effectiveness and safety of the proposed therapeutic medical service compared with its main comparator and guide to the suitable type of economic evaluation</w:t>
      </w:r>
      <w:bookmarkEnd w:id="415"/>
      <w:bookmarkEnd w:id="416"/>
      <w:bookmarkEnd w:id="417"/>
    </w:p>
    <w:tbl>
      <w:tblPr>
        <w:tblStyle w:val="TableGrid1"/>
        <w:tblW w:w="5000" w:type="pct"/>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1945"/>
        <w:gridCol w:w="1843"/>
        <w:gridCol w:w="2151"/>
        <w:gridCol w:w="1690"/>
        <w:gridCol w:w="1387"/>
      </w:tblGrid>
      <w:tr w:rsidR="00CB6CE1" w:rsidRPr="00B35E47" w14:paraId="339119A8" w14:textId="77777777" w:rsidTr="00CB6CE1">
        <w:trPr>
          <w:cnfStyle w:val="100000000000" w:firstRow="1" w:lastRow="0" w:firstColumn="0" w:lastColumn="0" w:oddVBand="0" w:evenVBand="0" w:oddHBand="0" w:evenHBand="0" w:firstRowFirstColumn="0" w:firstRowLastColumn="0" w:lastRowFirstColumn="0" w:lastRowLastColumn="0"/>
          <w:cantSplit/>
        </w:trPr>
        <w:tc>
          <w:tcPr>
            <w:tcW w:w="1079" w:type="pct"/>
            <w:tcBorders>
              <w:top w:val="single" w:sz="4" w:space="0" w:color="auto"/>
              <w:left w:val="single" w:sz="4" w:space="0" w:color="auto"/>
              <w:right w:val="single" w:sz="4" w:space="0" w:color="auto"/>
            </w:tcBorders>
          </w:tcPr>
          <w:p w14:paraId="201C45B8" w14:textId="77777777" w:rsidR="00CB6CE1" w:rsidRPr="00B35E47" w:rsidRDefault="00CB6CE1" w:rsidP="00CB6CE1">
            <w:pPr>
              <w:keepNext/>
              <w:jc w:val="center"/>
              <w:rPr>
                <w:rFonts w:ascii="Arial Narrow" w:hAnsi="Arial Narrow"/>
                <w:b/>
                <w:lang w:eastAsia="en-US"/>
              </w:rPr>
            </w:pPr>
            <w:r w:rsidRPr="00B35E47">
              <w:rPr>
                <w:rFonts w:ascii="Arial Narrow" w:hAnsi="Arial Narrow"/>
                <w:b/>
                <w:lang w:eastAsia="en-US"/>
              </w:rPr>
              <w:t>Comparative safety</w:t>
            </w:r>
          </w:p>
        </w:tc>
        <w:tc>
          <w:tcPr>
            <w:tcW w:w="1022" w:type="pct"/>
            <w:tcBorders>
              <w:top w:val="single" w:sz="4" w:space="0" w:color="auto"/>
              <w:left w:val="single" w:sz="4" w:space="0" w:color="auto"/>
              <w:bottom w:val="single" w:sz="4" w:space="0" w:color="auto"/>
              <w:right w:val="nil"/>
            </w:tcBorders>
          </w:tcPr>
          <w:p w14:paraId="77AB60E8" w14:textId="77777777" w:rsidR="00CB6CE1" w:rsidRPr="00B35E47" w:rsidRDefault="00CB6CE1" w:rsidP="00CB6CE1">
            <w:pPr>
              <w:keepNext/>
              <w:jc w:val="center"/>
              <w:rPr>
                <w:rFonts w:ascii="Arial Narrow" w:hAnsi="Arial Narrow"/>
                <w:b/>
                <w:lang w:eastAsia="en-US"/>
              </w:rPr>
            </w:pPr>
          </w:p>
        </w:tc>
        <w:tc>
          <w:tcPr>
            <w:tcW w:w="1193" w:type="pct"/>
            <w:tcBorders>
              <w:top w:val="single" w:sz="4" w:space="0" w:color="auto"/>
              <w:left w:val="nil"/>
              <w:bottom w:val="single" w:sz="4" w:space="0" w:color="auto"/>
            </w:tcBorders>
          </w:tcPr>
          <w:p w14:paraId="04B1A5E9" w14:textId="77777777" w:rsidR="00CB6CE1" w:rsidRPr="00B35E47" w:rsidRDefault="00CB6CE1" w:rsidP="00CB6CE1">
            <w:pPr>
              <w:keepNext/>
              <w:jc w:val="center"/>
              <w:rPr>
                <w:rFonts w:ascii="Arial Narrow" w:hAnsi="Arial Narrow"/>
                <w:b/>
                <w:lang w:eastAsia="en-US"/>
              </w:rPr>
            </w:pPr>
            <w:r w:rsidRPr="00B35E47">
              <w:rPr>
                <w:rFonts w:ascii="Arial Narrow" w:hAnsi="Arial Narrow"/>
                <w:b/>
                <w:lang w:eastAsia="en-US"/>
              </w:rPr>
              <w:t>Comparative effectiveness</w:t>
            </w:r>
          </w:p>
        </w:tc>
        <w:tc>
          <w:tcPr>
            <w:tcW w:w="937" w:type="pct"/>
            <w:tcBorders>
              <w:top w:val="single" w:sz="4" w:space="0" w:color="auto"/>
              <w:left w:val="nil"/>
              <w:bottom w:val="single" w:sz="4" w:space="0" w:color="auto"/>
            </w:tcBorders>
          </w:tcPr>
          <w:p w14:paraId="2E36986A" w14:textId="77777777" w:rsidR="00CB6CE1" w:rsidRPr="00B35E47" w:rsidRDefault="00CB6CE1" w:rsidP="00CB6CE1">
            <w:pPr>
              <w:keepNext/>
              <w:jc w:val="center"/>
              <w:rPr>
                <w:rFonts w:ascii="Arial Narrow" w:hAnsi="Arial Narrow"/>
                <w:b/>
                <w:lang w:eastAsia="en-US"/>
              </w:rPr>
            </w:pPr>
          </w:p>
        </w:tc>
        <w:tc>
          <w:tcPr>
            <w:tcW w:w="769" w:type="pct"/>
            <w:tcBorders>
              <w:top w:val="single" w:sz="4" w:space="0" w:color="auto"/>
              <w:left w:val="nil"/>
              <w:bottom w:val="single" w:sz="4" w:space="0" w:color="auto"/>
              <w:right w:val="single" w:sz="4" w:space="0" w:color="auto"/>
            </w:tcBorders>
          </w:tcPr>
          <w:p w14:paraId="7F81D9E5" w14:textId="77777777" w:rsidR="00CB6CE1" w:rsidRPr="00B35E47" w:rsidRDefault="00CB6CE1" w:rsidP="00CB6CE1">
            <w:pPr>
              <w:keepNext/>
              <w:jc w:val="center"/>
              <w:rPr>
                <w:rFonts w:ascii="Arial Narrow" w:hAnsi="Arial Narrow"/>
                <w:b/>
                <w:lang w:eastAsia="en-US"/>
              </w:rPr>
            </w:pPr>
          </w:p>
        </w:tc>
      </w:tr>
      <w:tr w:rsidR="00CB6CE1" w:rsidRPr="00B35E47" w14:paraId="1F4980C3" w14:textId="77777777" w:rsidTr="00CB6CE1">
        <w:trPr>
          <w:cantSplit/>
        </w:trPr>
        <w:tc>
          <w:tcPr>
            <w:tcW w:w="1079" w:type="pct"/>
            <w:tcBorders>
              <w:left w:val="single" w:sz="4" w:space="0" w:color="auto"/>
              <w:bottom w:val="single" w:sz="4" w:space="0" w:color="auto"/>
              <w:right w:val="single" w:sz="4" w:space="0" w:color="auto"/>
            </w:tcBorders>
          </w:tcPr>
          <w:p w14:paraId="6092186C" w14:textId="77777777" w:rsidR="00CB6CE1" w:rsidRPr="00B35E47" w:rsidRDefault="00CB6CE1" w:rsidP="00CB6CE1">
            <w:pPr>
              <w:keepNext/>
              <w:jc w:val="center"/>
              <w:rPr>
                <w:rFonts w:ascii="Arial Narrow" w:hAnsi="Arial Narrow"/>
                <w:b/>
                <w:lang w:eastAsia="en-US"/>
              </w:rPr>
            </w:pPr>
            <w:r w:rsidRPr="00B35E47">
              <w:rPr>
                <w:rFonts w:ascii="Arial Narrow" w:hAnsi="Arial Narrow"/>
                <w:b/>
                <w:lang w:eastAsia="en-US"/>
              </w:rPr>
              <w:t>-</w:t>
            </w:r>
          </w:p>
        </w:tc>
        <w:tc>
          <w:tcPr>
            <w:tcW w:w="1022" w:type="pct"/>
            <w:tcBorders>
              <w:left w:val="single" w:sz="4" w:space="0" w:color="auto"/>
              <w:bottom w:val="single" w:sz="4" w:space="0" w:color="auto"/>
              <w:right w:val="single" w:sz="4" w:space="0" w:color="auto"/>
            </w:tcBorders>
          </w:tcPr>
          <w:p w14:paraId="5FBFD1A2" w14:textId="77777777" w:rsidR="00CB6CE1" w:rsidRPr="00B35E47" w:rsidRDefault="00CB6CE1" w:rsidP="00CB6CE1">
            <w:pPr>
              <w:keepNext/>
              <w:jc w:val="center"/>
              <w:rPr>
                <w:rFonts w:ascii="Arial Narrow" w:hAnsi="Arial Narrow"/>
                <w:b/>
                <w:lang w:eastAsia="en-US"/>
              </w:rPr>
            </w:pPr>
            <w:r w:rsidRPr="00B35E47">
              <w:rPr>
                <w:rFonts w:ascii="Arial Narrow" w:hAnsi="Arial Narrow"/>
                <w:b/>
                <w:lang w:eastAsia="en-US"/>
              </w:rPr>
              <w:t>Inferior</w:t>
            </w:r>
          </w:p>
        </w:tc>
        <w:tc>
          <w:tcPr>
            <w:tcW w:w="1193" w:type="pct"/>
            <w:tcBorders>
              <w:top w:val="single" w:sz="4" w:space="0" w:color="auto"/>
              <w:left w:val="single" w:sz="4" w:space="0" w:color="auto"/>
              <w:bottom w:val="single" w:sz="4" w:space="0" w:color="auto"/>
              <w:right w:val="single" w:sz="4" w:space="0" w:color="auto"/>
            </w:tcBorders>
          </w:tcPr>
          <w:p w14:paraId="5CDA0AFE" w14:textId="77777777" w:rsidR="00CB6CE1" w:rsidRPr="00B35E47" w:rsidRDefault="00CB6CE1" w:rsidP="00CB6CE1">
            <w:pPr>
              <w:keepNext/>
              <w:jc w:val="center"/>
              <w:rPr>
                <w:rFonts w:ascii="Arial Narrow" w:hAnsi="Arial Narrow"/>
                <w:b/>
                <w:lang w:eastAsia="en-US"/>
              </w:rPr>
            </w:pPr>
            <w:r w:rsidRPr="00B35E47">
              <w:rPr>
                <w:rFonts w:ascii="Arial Narrow" w:hAnsi="Arial Narrow"/>
                <w:b/>
                <w:lang w:eastAsia="en-US"/>
              </w:rPr>
              <w:t>Uncertain</w:t>
            </w:r>
            <w:r w:rsidRPr="00B35E47">
              <w:rPr>
                <w:rFonts w:ascii="Arial Narrow" w:hAnsi="Arial Narrow"/>
                <w:b/>
                <w:vertAlign w:val="superscript"/>
                <w:lang w:eastAsia="en-US"/>
              </w:rPr>
              <w:t>a</w:t>
            </w:r>
          </w:p>
        </w:tc>
        <w:tc>
          <w:tcPr>
            <w:tcW w:w="937" w:type="pct"/>
            <w:tcBorders>
              <w:top w:val="single" w:sz="4" w:space="0" w:color="auto"/>
              <w:left w:val="single" w:sz="4" w:space="0" w:color="auto"/>
              <w:bottom w:val="single" w:sz="4" w:space="0" w:color="auto"/>
              <w:right w:val="single" w:sz="4" w:space="0" w:color="auto"/>
            </w:tcBorders>
          </w:tcPr>
          <w:p w14:paraId="33E495A1" w14:textId="77777777" w:rsidR="00CB6CE1" w:rsidRPr="00B35E47" w:rsidRDefault="00CB6CE1" w:rsidP="00CB6CE1">
            <w:pPr>
              <w:keepNext/>
              <w:jc w:val="center"/>
              <w:rPr>
                <w:rFonts w:ascii="Arial Narrow" w:hAnsi="Arial Narrow"/>
                <w:b/>
                <w:lang w:eastAsia="en-US"/>
              </w:rPr>
            </w:pPr>
            <w:r w:rsidRPr="00B35E47">
              <w:rPr>
                <w:rFonts w:ascii="Arial Narrow" w:hAnsi="Arial Narrow"/>
                <w:b/>
                <w:lang w:eastAsia="en-US"/>
              </w:rPr>
              <w:t>Non-inferior</w:t>
            </w:r>
            <w:r w:rsidRPr="00B35E47">
              <w:rPr>
                <w:rFonts w:ascii="Arial Narrow" w:hAnsi="Arial Narrow"/>
                <w:b/>
                <w:vertAlign w:val="superscript"/>
                <w:lang w:eastAsia="en-US"/>
              </w:rPr>
              <w:t>b</w:t>
            </w:r>
          </w:p>
        </w:tc>
        <w:tc>
          <w:tcPr>
            <w:tcW w:w="769" w:type="pct"/>
            <w:tcBorders>
              <w:top w:val="single" w:sz="4" w:space="0" w:color="auto"/>
              <w:left w:val="single" w:sz="4" w:space="0" w:color="auto"/>
              <w:bottom w:val="single" w:sz="4" w:space="0" w:color="auto"/>
              <w:right w:val="single" w:sz="4" w:space="0" w:color="auto"/>
            </w:tcBorders>
          </w:tcPr>
          <w:p w14:paraId="634D15C8" w14:textId="77777777" w:rsidR="00CB6CE1" w:rsidRPr="00B35E47" w:rsidRDefault="00CB6CE1" w:rsidP="00CB6CE1">
            <w:pPr>
              <w:keepNext/>
              <w:jc w:val="center"/>
              <w:rPr>
                <w:rFonts w:ascii="Arial Narrow" w:hAnsi="Arial Narrow"/>
                <w:b/>
                <w:lang w:eastAsia="en-US"/>
              </w:rPr>
            </w:pPr>
            <w:r w:rsidRPr="00B35E47">
              <w:rPr>
                <w:rFonts w:ascii="Arial Narrow" w:hAnsi="Arial Narrow"/>
                <w:b/>
                <w:lang w:eastAsia="en-US"/>
              </w:rPr>
              <w:t>Superior</w:t>
            </w:r>
          </w:p>
        </w:tc>
      </w:tr>
      <w:tr w:rsidR="00CB6CE1" w:rsidRPr="00B35E47" w14:paraId="362A5AFD" w14:textId="77777777" w:rsidTr="00CB6CE1">
        <w:tc>
          <w:tcPr>
            <w:tcW w:w="1079" w:type="pct"/>
            <w:tcBorders>
              <w:top w:val="single" w:sz="4" w:space="0" w:color="auto"/>
              <w:left w:val="single" w:sz="4" w:space="0" w:color="auto"/>
              <w:bottom w:val="single" w:sz="4" w:space="0" w:color="auto"/>
              <w:right w:val="single" w:sz="4" w:space="0" w:color="auto"/>
            </w:tcBorders>
            <w:vAlign w:val="center"/>
          </w:tcPr>
          <w:p w14:paraId="61DD69EB"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Inferior</w:t>
            </w:r>
          </w:p>
        </w:tc>
        <w:tc>
          <w:tcPr>
            <w:tcW w:w="1022" w:type="pct"/>
            <w:tcBorders>
              <w:top w:val="single" w:sz="4" w:space="0" w:color="auto"/>
              <w:left w:val="single" w:sz="4" w:space="0" w:color="auto"/>
              <w:bottom w:val="single" w:sz="4" w:space="0" w:color="auto"/>
              <w:right w:val="single" w:sz="4" w:space="0" w:color="auto"/>
            </w:tcBorders>
            <w:vAlign w:val="center"/>
          </w:tcPr>
          <w:p w14:paraId="0635353D"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Health forgone: need other supportive factors</w:t>
            </w:r>
          </w:p>
        </w:tc>
        <w:tc>
          <w:tcPr>
            <w:tcW w:w="1193" w:type="pct"/>
            <w:tcBorders>
              <w:top w:val="single" w:sz="4" w:space="0" w:color="auto"/>
              <w:left w:val="single" w:sz="4" w:space="0" w:color="auto"/>
              <w:bottom w:val="single" w:sz="4" w:space="0" w:color="auto"/>
              <w:right w:val="single" w:sz="4" w:space="0" w:color="auto"/>
            </w:tcBorders>
            <w:vAlign w:val="center"/>
          </w:tcPr>
          <w:p w14:paraId="424828F8"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Health forgone possible: need other supportive factors</w:t>
            </w:r>
          </w:p>
        </w:tc>
        <w:tc>
          <w:tcPr>
            <w:tcW w:w="937" w:type="pct"/>
            <w:tcBorders>
              <w:top w:val="single" w:sz="4" w:space="0" w:color="auto"/>
              <w:left w:val="single" w:sz="4" w:space="0" w:color="auto"/>
              <w:bottom w:val="single" w:sz="4" w:space="0" w:color="auto"/>
              <w:right w:val="single" w:sz="4" w:space="0" w:color="auto"/>
            </w:tcBorders>
            <w:vAlign w:val="center"/>
          </w:tcPr>
          <w:p w14:paraId="65589AB1"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Health forgone: need other supportive factors</w:t>
            </w:r>
          </w:p>
        </w:tc>
        <w:tc>
          <w:tcPr>
            <w:tcW w:w="769" w:type="pct"/>
            <w:tcBorders>
              <w:top w:val="single" w:sz="4" w:space="0" w:color="auto"/>
              <w:left w:val="single" w:sz="4" w:space="0" w:color="auto"/>
              <w:bottom w:val="single" w:sz="4" w:space="0" w:color="auto"/>
              <w:right w:val="single" w:sz="4" w:space="0" w:color="auto"/>
            </w:tcBorders>
            <w:vAlign w:val="center"/>
          </w:tcPr>
          <w:p w14:paraId="13336806"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 Likely CUA</w:t>
            </w:r>
          </w:p>
        </w:tc>
      </w:tr>
      <w:tr w:rsidR="00CB6CE1" w:rsidRPr="00B35E47" w14:paraId="25A6ADCC" w14:textId="77777777" w:rsidTr="00CB6CE1">
        <w:tc>
          <w:tcPr>
            <w:tcW w:w="1079" w:type="pct"/>
            <w:tcBorders>
              <w:top w:val="single" w:sz="4" w:space="0" w:color="auto"/>
              <w:left w:val="single" w:sz="4" w:space="0" w:color="auto"/>
              <w:bottom w:val="single" w:sz="4" w:space="0" w:color="auto"/>
              <w:right w:val="single" w:sz="4" w:space="0" w:color="auto"/>
            </w:tcBorders>
            <w:vAlign w:val="center"/>
          </w:tcPr>
          <w:p w14:paraId="11F16737"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Uncertain</w:t>
            </w:r>
            <w:r w:rsidRPr="00B35E47">
              <w:rPr>
                <w:rFonts w:ascii="Arial Narrow" w:hAnsi="Arial Narrow"/>
                <w:vertAlign w:val="superscript"/>
                <w:lang w:eastAsia="en-US"/>
              </w:rPr>
              <w:t>a</w:t>
            </w:r>
          </w:p>
        </w:tc>
        <w:tc>
          <w:tcPr>
            <w:tcW w:w="1022" w:type="pct"/>
            <w:tcBorders>
              <w:top w:val="single" w:sz="4" w:space="0" w:color="auto"/>
              <w:left w:val="single" w:sz="4" w:space="0" w:color="auto"/>
              <w:bottom w:val="single" w:sz="4" w:space="0" w:color="auto"/>
              <w:right w:val="single" w:sz="4" w:space="0" w:color="auto"/>
            </w:tcBorders>
            <w:vAlign w:val="center"/>
          </w:tcPr>
          <w:p w14:paraId="75117182"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Health forgone possible: need other supportive factors</w:t>
            </w:r>
          </w:p>
        </w:tc>
        <w:tc>
          <w:tcPr>
            <w:tcW w:w="1193" w:type="pct"/>
            <w:tcBorders>
              <w:top w:val="single" w:sz="4" w:space="0" w:color="auto"/>
              <w:left w:val="single" w:sz="4" w:space="0" w:color="auto"/>
              <w:bottom w:val="single" w:sz="4" w:space="0" w:color="auto"/>
              <w:right w:val="single" w:sz="4" w:space="0" w:color="auto"/>
            </w:tcBorders>
            <w:vAlign w:val="center"/>
          </w:tcPr>
          <w:p w14:paraId="393C81D6"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w:t>
            </w:r>
          </w:p>
        </w:tc>
        <w:tc>
          <w:tcPr>
            <w:tcW w:w="937" w:type="pct"/>
            <w:tcBorders>
              <w:top w:val="single" w:sz="4" w:space="0" w:color="auto"/>
              <w:left w:val="single" w:sz="4" w:space="0" w:color="auto"/>
              <w:bottom w:val="single" w:sz="4" w:space="0" w:color="auto"/>
              <w:right w:val="single" w:sz="4" w:space="0" w:color="auto"/>
            </w:tcBorders>
            <w:vAlign w:val="center"/>
          </w:tcPr>
          <w:p w14:paraId="614DC116"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w:t>
            </w:r>
          </w:p>
        </w:tc>
        <w:tc>
          <w:tcPr>
            <w:tcW w:w="769" w:type="pct"/>
            <w:tcBorders>
              <w:top w:val="single" w:sz="4" w:space="0" w:color="auto"/>
              <w:left w:val="single" w:sz="4" w:space="0" w:color="auto"/>
              <w:bottom w:val="single" w:sz="4" w:space="0" w:color="auto"/>
              <w:right w:val="single" w:sz="4" w:space="0" w:color="auto"/>
            </w:tcBorders>
            <w:vAlign w:val="center"/>
          </w:tcPr>
          <w:p w14:paraId="7EF55ABB"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 Likely CEA/CUA</w:t>
            </w:r>
          </w:p>
        </w:tc>
      </w:tr>
      <w:tr w:rsidR="00CB6CE1" w:rsidRPr="00B35E47" w14:paraId="4C1D2141" w14:textId="77777777" w:rsidTr="00CB6CE1">
        <w:tc>
          <w:tcPr>
            <w:tcW w:w="1079" w:type="pct"/>
            <w:tcBorders>
              <w:top w:val="single" w:sz="4" w:space="0" w:color="auto"/>
              <w:left w:val="single" w:sz="4" w:space="0" w:color="auto"/>
              <w:bottom w:val="single" w:sz="4" w:space="0" w:color="auto"/>
              <w:right w:val="single" w:sz="4" w:space="0" w:color="auto"/>
            </w:tcBorders>
            <w:vAlign w:val="center"/>
          </w:tcPr>
          <w:p w14:paraId="06663A50"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Non-inferior</w:t>
            </w:r>
            <w:r w:rsidRPr="00B35E47">
              <w:rPr>
                <w:rFonts w:ascii="Arial Narrow" w:hAnsi="Arial Narrow"/>
                <w:vertAlign w:val="superscript"/>
                <w:lang w:eastAsia="en-US"/>
              </w:rPr>
              <w:t>b</w:t>
            </w:r>
          </w:p>
        </w:tc>
        <w:tc>
          <w:tcPr>
            <w:tcW w:w="1022" w:type="pct"/>
            <w:tcBorders>
              <w:top w:val="single" w:sz="4" w:space="0" w:color="auto"/>
              <w:left w:val="single" w:sz="4" w:space="0" w:color="auto"/>
              <w:bottom w:val="single" w:sz="4" w:space="0" w:color="auto"/>
              <w:right w:val="single" w:sz="4" w:space="0" w:color="auto"/>
            </w:tcBorders>
            <w:vAlign w:val="center"/>
          </w:tcPr>
          <w:p w14:paraId="1AD7C251"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Health forgone: need other supportive factors</w:t>
            </w:r>
          </w:p>
        </w:tc>
        <w:tc>
          <w:tcPr>
            <w:tcW w:w="1193" w:type="pct"/>
            <w:tcBorders>
              <w:top w:val="single" w:sz="4" w:space="0" w:color="auto"/>
              <w:left w:val="single" w:sz="4" w:space="0" w:color="auto"/>
              <w:bottom w:val="single" w:sz="4" w:space="0" w:color="auto"/>
              <w:right w:val="single" w:sz="4" w:space="0" w:color="auto"/>
            </w:tcBorders>
            <w:vAlign w:val="center"/>
          </w:tcPr>
          <w:p w14:paraId="62465A31"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w:t>
            </w:r>
          </w:p>
        </w:tc>
        <w:tc>
          <w:tcPr>
            <w:tcW w:w="937" w:type="pct"/>
            <w:tcBorders>
              <w:top w:val="single" w:sz="4" w:space="0" w:color="auto"/>
              <w:left w:val="single" w:sz="4" w:space="0" w:color="auto"/>
              <w:bottom w:val="single" w:sz="4" w:space="0" w:color="auto"/>
              <w:right w:val="single" w:sz="4" w:space="0" w:color="auto"/>
            </w:tcBorders>
            <w:vAlign w:val="center"/>
          </w:tcPr>
          <w:p w14:paraId="3FFEEF8E"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CMA</w:t>
            </w:r>
          </w:p>
        </w:tc>
        <w:tc>
          <w:tcPr>
            <w:tcW w:w="7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38E7B0"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CEA/CUA</w:t>
            </w:r>
          </w:p>
        </w:tc>
      </w:tr>
      <w:tr w:rsidR="00CB6CE1" w:rsidRPr="00B35E47" w14:paraId="5F21086B" w14:textId="77777777" w:rsidTr="00CB6CE1">
        <w:tc>
          <w:tcPr>
            <w:tcW w:w="1079" w:type="pct"/>
            <w:tcBorders>
              <w:top w:val="single" w:sz="4" w:space="0" w:color="auto"/>
              <w:left w:val="single" w:sz="4" w:space="0" w:color="auto"/>
              <w:bottom w:val="single" w:sz="4" w:space="0" w:color="auto"/>
              <w:right w:val="single" w:sz="4" w:space="0" w:color="auto"/>
            </w:tcBorders>
            <w:vAlign w:val="center"/>
          </w:tcPr>
          <w:p w14:paraId="14919E0C"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Superior</w:t>
            </w:r>
          </w:p>
        </w:tc>
        <w:tc>
          <w:tcPr>
            <w:tcW w:w="1022" w:type="pct"/>
            <w:tcBorders>
              <w:top w:val="single" w:sz="4" w:space="0" w:color="auto"/>
              <w:left w:val="single" w:sz="4" w:space="0" w:color="auto"/>
              <w:bottom w:val="single" w:sz="4" w:space="0" w:color="auto"/>
              <w:right w:val="single" w:sz="4" w:space="0" w:color="auto"/>
            </w:tcBorders>
            <w:vAlign w:val="center"/>
          </w:tcPr>
          <w:p w14:paraId="3168E743"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 Likely CUA</w:t>
            </w:r>
          </w:p>
        </w:tc>
        <w:tc>
          <w:tcPr>
            <w:tcW w:w="1193" w:type="pct"/>
            <w:tcBorders>
              <w:top w:val="single" w:sz="4" w:space="0" w:color="auto"/>
              <w:left w:val="single" w:sz="4" w:space="0" w:color="auto"/>
              <w:bottom w:val="single" w:sz="4" w:space="0" w:color="auto"/>
              <w:right w:val="single" w:sz="4" w:space="0" w:color="auto"/>
            </w:tcBorders>
            <w:vAlign w:val="center"/>
          </w:tcPr>
          <w:p w14:paraId="207CB1F6"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 Likely CEA/CUA</w:t>
            </w:r>
          </w:p>
        </w:tc>
        <w:tc>
          <w:tcPr>
            <w:tcW w:w="937" w:type="pct"/>
            <w:tcBorders>
              <w:top w:val="single" w:sz="4" w:space="0" w:color="auto"/>
              <w:left w:val="single" w:sz="4" w:space="0" w:color="auto"/>
              <w:bottom w:val="single" w:sz="4" w:space="0" w:color="auto"/>
              <w:right w:val="single" w:sz="4" w:space="0" w:color="auto"/>
            </w:tcBorders>
            <w:vAlign w:val="center"/>
          </w:tcPr>
          <w:p w14:paraId="6AC3DBD1"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CEA/CUA</w:t>
            </w:r>
          </w:p>
        </w:tc>
        <w:tc>
          <w:tcPr>
            <w:tcW w:w="769" w:type="pct"/>
            <w:tcBorders>
              <w:top w:val="single" w:sz="4" w:space="0" w:color="auto"/>
              <w:left w:val="single" w:sz="4" w:space="0" w:color="auto"/>
              <w:bottom w:val="single" w:sz="4" w:space="0" w:color="auto"/>
              <w:right w:val="single" w:sz="4" w:space="0" w:color="auto"/>
            </w:tcBorders>
            <w:vAlign w:val="center"/>
          </w:tcPr>
          <w:p w14:paraId="76D4DCA1"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CEA/CUA</w:t>
            </w:r>
          </w:p>
        </w:tc>
      </w:tr>
    </w:tbl>
    <w:p w14:paraId="114CDB7F" w14:textId="77777777" w:rsidR="00CB6CE1" w:rsidRPr="00B35E47" w:rsidRDefault="00CB6CE1" w:rsidP="00CB6CE1">
      <w:pPr>
        <w:widowControl w:val="0"/>
        <w:spacing w:after="120" w:line="240" w:lineRule="auto"/>
        <w:contextualSpacing/>
        <w:jc w:val="left"/>
        <w:rPr>
          <w:rFonts w:ascii="Arial Narrow" w:hAnsi="Arial Narrow" w:cs="Arial"/>
          <w:snapToGrid w:val="0"/>
          <w:sz w:val="18"/>
          <w:szCs w:val="18"/>
          <w:lang w:eastAsia="en-US"/>
        </w:rPr>
      </w:pPr>
      <w:r w:rsidRPr="00B35E47">
        <w:rPr>
          <w:rFonts w:ascii="Arial Narrow" w:hAnsi="Arial Narrow" w:cs="Arial"/>
          <w:snapToGrid w:val="0"/>
          <w:sz w:val="18"/>
          <w:szCs w:val="18"/>
          <w:lang w:eastAsia="en-US"/>
        </w:rPr>
        <w:t>CEA=cost-effectiveness analysis; CMA=cost-minimisation analysis; CUA=cost-utility analysis</w:t>
      </w:r>
    </w:p>
    <w:p w14:paraId="4C8D5CD2" w14:textId="77777777" w:rsidR="00CB6CE1" w:rsidRPr="00B35E47" w:rsidRDefault="00CB6CE1" w:rsidP="00CB6CE1">
      <w:pPr>
        <w:widowControl w:val="0"/>
        <w:spacing w:after="120" w:line="240" w:lineRule="auto"/>
        <w:contextualSpacing/>
        <w:jc w:val="left"/>
        <w:rPr>
          <w:rFonts w:ascii="Arial Narrow" w:hAnsi="Arial Narrow" w:cs="Arial"/>
          <w:b/>
          <w:snapToGrid w:val="0"/>
          <w:sz w:val="18"/>
          <w:szCs w:val="18"/>
          <w:lang w:eastAsia="en-US"/>
        </w:rPr>
      </w:pPr>
      <w:r w:rsidRPr="00B35E47">
        <w:rPr>
          <w:rFonts w:ascii="Arial Narrow" w:hAnsi="Arial Narrow" w:cs="Arial"/>
          <w:snapToGrid w:val="0"/>
          <w:sz w:val="18"/>
          <w:szCs w:val="18"/>
          <w:lang w:eastAsia="en-US"/>
        </w:rPr>
        <w:t xml:space="preserve">? = reflect uncertainties and any identified health trade-offs in the economic evaluation, as a minimum in a cost-consequences analysis </w:t>
      </w:r>
    </w:p>
    <w:p w14:paraId="662EBB47" w14:textId="77777777" w:rsidR="00CB6CE1" w:rsidRPr="00B35E47" w:rsidRDefault="00CB6CE1" w:rsidP="00CB6CE1">
      <w:pPr>
        <w:widowControl w:val="0"/>
        <w:spacing w:after="120" w:line="240" w:lineRule="auto"/>
        <w:contextualSpacing/>
        <w:jc w:val="left"/>
        <w:rPr>
          <w:rFonts w:ascii="Arial Narrow" w:hAnsi="Arial Narrow" w:cs="Arial"/>
          <w:b/>
          <w:snapToGrid w:val="0"/>
          <w:sz w:val="18"/>
          <w:szCs w:val="18"/>
          <w:lang w:eastAsia="en-US"/>
        </w:rPr>
      </w:pPr>
      <w:r w:rsidRPr="00B35E47">
        <w:rPr>
          <w:rFonts w:ascii="Arial Narrow" w:hAnsi="Arial Narrow" w:cs="Arial"/>
          <w:snapToGrid w:val="0"/>
          <w:sz w:val="18"/>
          <w:szCs w:val="18"/>
          <w:vertAlign w:val="superscript"/>
          <w:lang w:eastAsia="en-US"/>
        </w:rPr>
        <w:t>a</w:t>
      </w:r>
      <w:r w:rsidRPr="00B35E47">
        <w:rPr>
          <w:rFonts w:ascii="Arial Narrow" w:hAnsi="Arial Narrow" w:cs="Arial"/>
          <w:snapToGrid w:val="0"/>
          <w:sz w:val="18"/>
          <w:szCs w:val="18"/>
          <w:lang w:eastAsia="en-US"/>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29D38E94" w14:textId="77777777" w:rsidR="00CB6CE1" w:rsidRDefault="00CB6CE1" w:rsidP="00CB6CE1">
      <w:pPr>
        <w:widowControl w:val="0"/>
        <w:spacing w:after="240" w:line="240" w:lineRule="auto"/>
        <w:contextualSpacing/>
        <w:jc w:val="left"/>
        <w:rPr>
          <w:rFonts w:ascii="Arial Narrow" w:hAnsi="Arial Narrow" w:cs="Arial"/>
          <w:snapToGrid w:val="0"/>
          <w:sz w:val="18"/>
          <w:szCs w:val="18"/>
          <w:lang w:eastAsia="en-US"/>
        </w:rPr>
      </w:pPr>
      <w:r w:rsidRPr="00B35E47">
        <w:rPr>
          <w:rFonts w:ascii="Arial Narrow" w:hAnsi="Arial Narrow" w:cs="Arial"/>
          <w:snapToGrid w:val="0"/>
          <w:sz w:val="18"/>
          <w:szCs w:val="18"/>
          <w:vertAlign w:val="superscript"/>
          <w:lang w:eastAsia="en-US"/>
        </w:rPr>
        <w:t>b</w:t>
      </w:r>
      <w:r w:rsidRPr="00B35E47">
        <w:rPr>
          <w:rFonts w:ascii="Arial Narrow" w:hAnsi="Arial Narrow" w:cs="Arial"/>
          <w:snapToGrid w:val="0"/>
          <w:sz w:val="18"/>
          <w:szCs w:val="18"/>
          <w:lang w:eastAsia="en-US"/>
        </w:rPr>
        <w:t> An adequate assessment of ‘non-inferiority’ is the preferred basis for demonstrating equivalence</w:t>
      </w:r>
    </w:p>
    <w:p w14:paraId="341179F1" w14:textId="77777777" w:rsidR="00CB6CE1" w:rsidRPr="00B35E47" w:rsidRDefault="00CB6CE1" w:rsidP="00CB6CE1">
      <w:pPr>
        <w:widowControl w:val="0"/>
        <w:spacing w:after="240" w:line="240" w:lineRule="auto"/>
        <w:contextualSpacing/>
        <w:jc w:val="left"/>
        <w:rPr>
          <w:rFonts w:ascii="Arial Narrow" w:hAnsi="Arial Narrow" w:cs="Arial"/>
          <w:snapToGrid w:val="0"/>
          <w:sz w:val="18"/>
          <w:szCs w:val="18"/>
          <w:lang w:eastAsia="en-US"/>
        </w:rPr>
      </w:pPr>
    </w:p>
    <w:p w14:paraId="1D7FD28B" w14:textId="77777777" w:rsidR="00CB6CE1" w:rsidRPr="00B35E47" w:rsidRDefault="00CB6CE1" w:rsidP="00CB6CE1">
      <w:r w:rsidRPr="00B35E47">
        <w:t xml:space="preserve">The base case of the economic evaluation is generated by a modelled economic evaluation based on inputs sourced from the literature and </w:t>
      </w:r>
      <w:r>
        <w:t xml:space="preserve">the </w:t>
      </w:r>
      <w:r w:rsidRPr="00B35E47">
        <w:t xml:space="preserve">systematic review in Section B. Issues associated with translating clinical evidence provided in Section B for use in economic analysis are discussed in Section C. </w:t>
      </w:r>
    </w:p>
    <w:p w14:paraId="4BBCD69E" w14:textId="77777777" w:rsidR="00CB6CE1" w:rsidRPr="00B35E47" w:rsidRDefault="00CB6CE1" w:rsidP="00CB6CE1">
      <w:pPr>
        <w:pStyle w:val="Heading2"/>
      </w:pPr>
      <w:bookmarkStart w:id="418" w:name="_Toc381796477"/>
      <w:bookmarkStart w:id="419" w:name="_Toc34212314"/>
      <w:bookmarkStart w:id="420" w:name="_Toc38031953"/>
      <w:bookmarkStart w:id="421" w:name="_Toc39588358"/>
      <w:r>
        <w:t>D2</w:t>
      </w:r>
      <w:r>
        <w:tab/>
      </w:r>
      <w:r w:rsidRPr="00B35E47">
        <w:t>Populations and settings</w:t>
      </w:r>
      <w:bookmarkEnd w:id="418"/>
      <w:bookmarkEnd w:id="419"/>
      <w:bookmarkEnd w:id="420"/>
      <w:bookmarkEnd w:id="421"/>
    </w:p>
    <w:p w14:paraId="2682471D" w14:textId="77777777" w:rsidR="00CB6CE1" w:rsidRPr="00B35E47" w:rsidRDefault="00CB6CE1" w:rsidP="00CB6CE1">
      <w:r w:rsidRPr="00B35E47">
        <w:t>The target MBS population is for patients presenting with clinical symptoms suggestive of NMO/NMOSD. The proposed service is to investigate the presence of NMOSD by the detection of one or more antibodies (AQP4-Abs or MOG-Abs) in the target population. Although AQP4-Ab testing has been in occurring in Australia for approximately 10 years under MBS items 71119 or 71165, which are non-specific single antibody test descriptors (see Section A3). A new item for NMOSD-Ab testing is therefore proposed, as the current MBS items do not reflect current clinical practice and are funded at a lower level than providers currently bill for this testing</w:t>
      </w:r>
      <w:r>
        <w:t xml:space="preserve"> </w:t>
      </w:r>
      <w:r>
        <w:fldChar w:fldCharType="begin"/>
      </w:r>
      <w:r>
        <w:instrText xml:space="preserve"> ADDIN EN.CITE &lt;EndNote&gt;&lt;Cite&gt;&lt;Author&gt;PCC-Immunology&lt;/Author&gt;&lt;Year&gt;2018&lt;/Year&gt;&lt;RecNum&gt;22&lt;/RecNum&gt;&lt;DisplayText&gt;(PCC-Immunology 2018)&lt;/DisplayText&gt;&lt;record&gt;&lt;rec-number&gt;22&lt;/rec-number&gt;&lt;foreign-keys&gt;&lt;key app="EN" db-id="r25zptaswpdzade29ws5pf9gx55ztppatt20" timestamp="1576104080"&gt;22&lt;/key&gt;&lt;/foreign-keys&gt;&lt;ref-type name="Report"&gt;27&lt;/ref-type&gt;&lt;contributors&gt;&lt;authors&gt;&lt;author&gt;PCC-Immunology&lt;/author&gt;&lt;/authors&gt;&lt;/contributors&gt;&lt;titles&gt;&lt;title&gt;Report from the  Pathology-Clinical-Committee-Immunology&lt;/title&gt;&lt;secondary-title&gt;Medicare Benefits Schedule Review Taskforce&lt;/secondary-title&gt;&lt;/titles&gt;&lt;volume&gt;Feb 2018&lt;/volume&gt;&lt;dates&gt;&lt;year&gt;2018&lt;/year&gt;&lt;/dates&gt;&lt;pub-location&gt;Canberra, Australia&lt;/pub-location&gt;&lt;publisher&gt;Department of Health, Commonwealth of Australia&lt;/publisher&gt;&lt;urls&gt;&lt;/urls&gt;&lt;/record&gt;&lt;/Cite&gt;&lt;/EndNote&gt;</w:instrText>
      </w:r>
      <w:r>
        <w:fldChar w:fldCharType="separate"/>
      </w:r>
      <w:r>
        <w:rPr>
          <w:noProof/>
        </w:rPr>
        <w:t>(PCC-Immunology 2018)</w:t>
      </w:r>
      <w:r>
        <w:fldChar w:fldCharType="end"/>
      </w:r>
      <w:r>
        <w:t>.</w:t>
      </w:r>
    </w:p>
    <w:p w14:paraId="6EEEE399" w14:textId="77777777" w:rsidR="00CB6CE1" w:rsidRPr="00B35E47" w:rsidRDefault="00CB6CE1" w:rsidP="00CB6CE1">
      <w:r w:rsidRPr="00B35E47">
        <w:t>AQP4-Ab and MOG-Ab testing will mainly be used by neurologists predominantly for diagnostic purposes only. Subsequent AQP4-Ab and MOG-Ab testing may be used in already diagnosed individuals for monitoring purposes to identify disease exacerbations and relapse.</w:t>
      </w:r>
    </w:p>
    <w:p w14:paraId="5D9E4A09" w14:textId="77777777" w:rsidR="00CB6CE1" w:rsidRPr="00B35E47" w:rsidRDefault="00CB6CE1" w:rsidP="00CB6CE1">
      <w:r w:rsidRPr="00B35E47">
        <w:lastRenderedPageBreak/>
        <w:t>Antibody testing for AQP4 and MOG can be performed in serum or CSF although testing in CSF is not routinely recommended. The PASC (p.11, ratified PICO document) noted that, although testing of serum is preferred to CSF, CSF testing may be used in some clinical situations. The applicant confirmed that the number of CSF tests conducted in Australia is small and would not incur any additional costs, as the required CSF sample is usually obtained while conducting other procedures. Therefore, the proposed service is not classified into serum or CSF sample testing in the economic model.</w:t>
      </w:r>
    </w:p>
    <w:p w14:paraId="1C8B1303" w14:textId="77777777" w:rsidR="00CB6CE1" w:rsidRPr="00B35E47" w:rsidRDefault="00CB6CE1" w:rsidP="00CB6CE1">
      <w:r w:rsidRPr="00B35E47">
        <w:t xml:space="preserve">The comparator, for the purposes of determining the clinical utility and cost-effectiveness of AQP4-Ab and/or MOG-Ab testing, is what would be done in the absence of AQP4-Ab and MOG-Ab testing, which is diagnosis based on clinical characteristics, including those found on MRI. This was the standard of care prior to the introduction of AQP4-Ab and/or MOG-Ab testing (i.e. it is a historical comparator). </w:t>
      </w:r>
    </w:p>
    <w:p w14:paraId="1E652878" w14:textId="77777777" w:rsidR="00CB6CE1" w:rsidRPr="00B35E47" w:rsidRDefault="00CB6CE1" w:rsidP="00CB6CE1">
      <w:pPr>
        <w:pStyle w:val="Heading2"/>
      </w:pPr>
      <w:bookmarkStart w:id="422" w:name="_Toc381796478"/>
      <w:bookmarkStart w:id="423" w:name="_Toc34212315"/>
      <w:bookmarkStart w:id="424" w:name="_Toc38031954"/>
      <w:bookmarkStart w:id="425" w:name="_Toc39588359"/>
      <w:r>
        <w:t>D3</w:t>
      </w:r>
      <w:r>
        <w:tab/>
      </w:r>
      <w:r w:rsidRPr="00B35E47">
        <w:t>Structure and rationale of the economic evaluation</w:t>
      </w:r>
      <w:bookmarkEnd w:id="422"/>
      <w:bookmarkEnd w:id="423"/>
      <w:bookmarkEnd w:id="424"/>
      <w:bookmarkEnd w:id="425"/>
    </w:p>
    <w:p w14:paraId="29CE36EC" w14:textId="77777777" w:rsidR="00CB6CE1" w:rsidRPr="00B35E47" w:rsidRDefault="00CB6CE1" w:rsidP="00CB6CE1">
      <w:r w:rsidRPr="00B35E47">
        <w:t xml:space="preserve">A summary of the key characteristics of the economic evaluation is given in </w:t>
      </w:r>
      <w:r w:rsidRPr="00B35E47">
        <w:fldChar w:fldCharType="begin"/>
      </w:r>
      <w:r w:rsidRPr="00B35E47">
        <w:instrText xml:space="preserve"> REF _Ref395196756 \h  \* MERGEFORMAT </w:instrText>
      </w:r>
      <w:r w:rsidRPr="00B35E47">
        <w:fldChar w:fldCharType="separate"/>
      </w:r>
      <w:r w:rsidR="006E2BA9" w:rsidRPr="00CB6CE1">
        <w:t xml:space="preserve">Table </w:t>
      </w:r>
      <w:r w:rsidR="006E2BA9">
        <w:rPr>
          <w:noProof/>
        </w:rPr>
        <w:t>75</w:t>
      </w:r>
      <w:r w:rsidRPr="00B35E47">
        <w:fldChar w:fldCharType="end"/>
      </w:r>
      <w:r w:rsidRPr="00B35E47">
        <w:t>.</w:t>
      </w:r>
    </w:p>
    <w:p w14:paraId="671DBF78" w14:textId="3EFBFCDE" w:rsidR="00CB6CE1" w:rsidRPr="00CB6CE1" w:rsidRDefault="00CB6CE1" w:rsidP="00CB6CE1">
      <w:pPr>
        <w:pStyle w:val="Caption"/>
      </w:pPr>
      <w:bookmarkStart w:id="426" w:name="_Ref395196756"/>
      <w:bookmarkStart w:id="427" w:name="_Toc34212164"/>
      <w:bookmarkStart w:id="428" w:name="_Toc36054853"/>
      <w:bookmarkStart w:id="429" w:name="_Toc39580856"/>
      <w:r w:rsidRPr="00CB6CE1">
        <w:t xml:space="preserve">Table </w:t>
      </w:r>
      <w:fldSimple w:instr=" SEQ Table \* ARABIC ">
        <w:r w:rsidR="00FA7BCD">
          <w:rPr>
            <w:noProof/>
          </w:rPr>
          <w:t>75</w:t>
        </w:r>
      </w:fldSimple>
      <w:bookmarkEnd w:id="426"/>
      <w:r w:rsidRPr="00CB6CE1">
        <w:tab/>
        <w:t>Summary of the economic evaluation</w:t>
      </w:r>
      <w:bookmarkEnd w:id="427"/>
      <w:bookmarkEnd w:id="428"/>
      <w:bookmarkEnd w:id="429"/>
      <w:r w:rsidRPr="00CB6CE1">
        <w:t xml:space="preserve"> </w:t>
      </w:r>
    </w:p>
    <w:tbl>
      <w:tblPr>
        <w:tblStyle w:val="TableGrid1"/>
        <w:tblW w:w="0" w:type="auto"/>
        <w:tblInd w:w="108" w:type="dxa"/>
        <w:tblLook w:val="01E0" w:firstRow="1" w:lastRow="1" w:firstColumn="1" w:lastColumn="1" w:noHBand="0" w:noVBand="0"/>
        <w:tblCaption w:val="Summary of the economic evaluation"/>
        <w:tblDescription w:val="This table describes the key constructs of the economic evaluation that is provided in the assessment report."/>
      </w:tblPr>
      <w:tblGrid>
        <w:gridCol w:w="3070"/>
        <w:gridCol w:w="5838"/>
      </w:tblGrid>
      <w:tr w:rsidR="00CB6CE1" w:rsidRPr="00B35E47" w14:paraId="47D5D3CE" w14:textId="77777777" w:rsidTr="00CB6CE1">
        <w:trPr>
          <w:cnfStyle w:val="100000000000" w:firstRow="1" w:lastRow="0" w:firstColumn="0" w:lastColumn="0" w:oddVBand="0" w:evenVBand="0" w:oddHBand="0" w:evenHBand="0" w:firstRowFirstColumn="0" w:firstRowLastColumn="0" w:lastRowFirstColumn="0" w:lastRowLastColumn="0"/>
          <w:trHeight w:val="20"/>
        </w:trPr>
        <w:tc>
          <w:tcPr>
            <w:tcW w:w="3070" w:type="dxa"/>
            <w:tcBorders>
              <w:top w:val="single" w:sz="4" w:space="0" w:color="auto"/>
              <w:left w:val="single" w:sz="4" w:space="0" w:color="auto"/>
              <w:bottom w:val="single" w:sz="4" w:space="0" w:color="auto"/>
              <w:right w:val="single" w:sz="4" w:space="0" w:color="auto"/>
            </w:tcBorders>
          </w:tcPr>
          <w:p w14:paraId="7B474039" w14:textId="77777777" w:rsidR="00CB6CE1" w:rsidRPr="00B35E47" w:rsidRDefault="00CB6CE1" w:rsidP="00CB6CE1">
            <w:pPr>
              <w:keepNext/>
              <w:jc w:val="left"/>
              <w:rPr>
                <w:rFonts w:ascii="Arial Narrow" w:hAnsi="Arial Narrow"/>
                <w:b/>
                <w:lang w:eastAsia="en-US"/>
              </w:rPr>
            </w:pPr>
            <w:r w:rsidRPr="00B35E47">
              <w:rPr>
                <w:rFonts w:ascii="Arial Narrow" w:hAnsi="Arial Narrow"/>
                <w:b/>
                <w:lang w:eastAsia="en-US"/>
              </w:rPr>
              <w:t>Perspective</w:t>
            </w:r>
          </w:p>
        </w:tc>
        <w:tc>
          <w:tcPr>
            <w:tcW w:w="5838" w:type="dxa"/>
            <w:tcBorders>
              <w:top w:val="single" w:sz="4" w:space="0" w:color="auto"/>
              <w:left w:val="single" w:sz="4" w:space="0" w:color="auto"/>
              <w:bottom w:val="single" w:sz="4" w:space="0" w:color="auto"/>
              <w:right w:val="single" w:sz="4" w:space="0" w:color="auto"/>
            </w:tcBorders>
          </w:tcPr>
          <w:p w14:paraId="7777BE8B"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Australian healthcare</w:t>
            </w:r>
          </w:p>
        </w:tc>
      </w:tr>
      <w:tr w:rsidR="00CB6CE1" w:rsidRPr="00B35E47" w14:paraId="3498F07C" w14:textId="77777777" w:rsidTr="00CB6CE1">
        <w:trPr>
          <w:trHeight w:val="20"/>
        </w:trPr>
        <w:tc>
          <w:tcPr>
            <w:tcW w:w="3070" w:type="dxa"/>
            <w:tcBorders>
              <w:top w:val="single" w:sz="4" w:space="0" w:color="auto"/>
              <w:left w:val="single" w:sz="4" w:space="0" w:color="auto"/>
              <w:bottom w:val="single" w:sz="4" w:space="0" w:color="auto"/>
              <w:right w:val="single" w:sz="4" w:space="0" w:color="auto"/>
            </w:tcBorders>
          </w:tcPr>
          <w:p w14:paraId="712B62AB" w14:textId="77777777" w:rsidR="00CB6CE1" w:rsidRPr="00B35E47" w:rsidRDefault="00CB6CE1" w:rsidP="00CB6CE1">
            <w:pPr>
              <w:keepNext/>
              <w:jc w:val="left"/>
              <w:rPr>
                <w:rFonts w:ascii="Arial Narrow" w:hAnsi="Arial Narrow"/>
                <w:b/>
                <w:lang w:eastAsia="en-US"/>
              </w:rPr>
            </w:pPr>
            <w:r w:rsidRPr="00B35E47">
              <w:rPr>
                <w:rFonts w:ascii="Arial Narrow" w:hAnsi="Arial Narrow"/>
                <w:b/>
                <w:lang w:eastAsia="en-US"/>
              </w:rPr>
              <w:t>Comparator</w:t>
            </w:r>
          </w:p>
        </w:tc>
        <w:tc>
          <w:tcPr>
            <w:tcW w:w="5838" w:type="dxa"/>
            <w:tcBorders>
              <w:top w:val="single" w:sz="4" w:space="0" w:color="auto"/>
              <w:left w:val="single" w:sz="4" w:space="0" w:color="auto"/>
              <w:bottom w:val="single" w:sz="4" w:space="0" w:color="auto"/>
              <w:right w:val="single" w:sz="4" w:space="0" w:color="auto"/>
            </w:tcBorders>
          </w:tcPr>
          <w:p w14:paraId="28753C59"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No NMOSD-antibody testing</w:t>
            </w:r>
          </w:p>
        </w:tc>
      </w:tr>
      <w:tr w:rsidR="00CB6CE1" w:rsidRPr="00B35E47" w14:paraId="47EFA8D4" w14:textId="77777777" w:rsidTr="00CB6CE1">
        <w:trPr>
          <w:trHeight w:val="20"/>
        </w:trPr>
        <w:tc>
          <w:tcPr>
            <w:tcW w:w="3070" w:type="dxa"/>
            <w:tcBorders>
              <w:top w:val="single" w:sz="4" w:space="0" w:color="auto"/>
              <w:left w:val="single" w:sz="4" w:space="0" w:color="auto"/>
              <w:bottom w:val="single" w:sz="4" w:space="0" w:color="auto"/>
              <w:right w:val="single" w:sz="4" w:space="0" w:color="auto"/>
            </w:tcBorders>
          </w:tcPr>
          <w:p w14:paraId="6A4E89D4" w14:textId="77777777" w:rsidR="00CB6CE1" w:rsidRPr="00B35E47" w:rsidRDefault="00CB6CE1" w:rsidP="00CB6CE1">
            <w:pPr>
              <w:keepNext/>
              <w:jc w:val="left"/>
              <w:rPr>
                <w:rFonts w:ascii="Arial Narrow" w:hAnsi="Arial Narrow"/>
                <w:b/>
                <w:lang w:eastAsia="en-US"/>
              </w:rPr>
            </w:pPr>
            <w:r w:rsidRPr="00B35E47">
              <w:rPr>
                <w:rFonts w:ascii="Arial Narrow" w:hAnsi="Arial Narrow"/>
                <w:b/>
                <w:lang w:eastAsia="en-US"/>
              </w:rPr>
              <w:t>Type of economic evaluation</w:t>
            </w:r>
          </w:p>
        </w:tc>
        <w:tc>
          <w:tcPr>
            <w:tcW w:w="5838" w:type="dxa"/>
            <w:tcBorders>
              <w:top w:val="single" w:sz="4" w:space="0" w:color="auto"/>
              <w:left w:val="single" w:sz="4" w:space="0" w:color="auto"/>
              <w:bottom w:val="single" w:sz="4" w:space="0" w:color="auto"/>
              <w:right w:val="single" w:sz="4" w:space="0" w:color="auto"/>
            </w:tcBorders>
          </w:tcPr>
          <w:p w14:paraId="620A807A"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Cost-effectiveness, cost-utility, cost-minimisation.</w:t>
            </w:r>
          </w:p>
        </w:tc>
      </w:tr>
      <w:tr w:rsidR="00CB6CE1" w:rsidRPr="00B35E47" w14:paraId="2DDE5073" w14:textId="77777777" w:rsidTr="00CB6CE1">
        <w:trPr>
          <w:trHeight w:val="20"/>
        </w:trPr>
        <w:tc>
          <w:tcPr>
            <w:tcW w:w="3070" w:type="dxa"/>
            <w:tcBorders>
              <w:top w:val="single" w:sz="4" w:space="0" w:color="auto"/>
              <w:left w:val="single" w:sz="4" w:space="0" w:color="auto"/>
              <w:bottom w:val="single" w:sz="4" w:space="0" w:color="auto"/>
              <w:right w:val="single" w:sz="4" w:space="0" w:color="auto"/>
            </w:tcBorders>
          </w:tcPr>
          <w:p w14:paraId="502CA50E" w14:textId="77777777" w:rsidR="00CB6CE1" w:rsidRPr="00B35E47" w:rsidRDefault="00CB6CE1" w:rsidP="00CB6CE1">
            <w:pPr>
              <w:keepNext/>
              <w:jc w:val="left"/>
              <w:rPr>
                <w:rFonts w:ascii="Arial Narrow" w:hAnsi="Arial Narrow"/>
                <w:b/>
                <w:lang w:eastAsia="en-US"/>
              </w:rPr>
            </w:pPr>
            <w:r w:rsidRPr="00B35E47">
              <w:rPr>
                <w:rFonts w:ascii="Arial Narrow" w:hAnsi="Arial Narrow"/>
                <w:b/>
                <w:lang w:eastAsia="en-US"/>
              </w:rPr>
              <w:t>Sources of evidence</w:t>
            </w:r>
          </w:p>
        </w:tc>
        <w:tc>
          <w:tcPr>
            <w:tcW w:w="5838" w:type="dxa"/>
            <w:tcBorders>
              <w:top w:val="single" w:sz="4" w:space="0" w:color="auto"/>
              <w:left w:val="single" w:sz="4" w:space="0" w:color="auto"/>
              <w:bottom w:val="single" w:sz="4" w:space="0" w:color="auto"/>
              <w:right w:val="single" w:sz="4" w:space="0" w:color="auto"/>
            </w:tcBorders>
          </w:tcPr>
          <w:p w14:paraId="5BC4F455"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 xml:space="preserve">Systematic review and clinical expert advice </w:t>
            </w:r>
          </w:p>
        </w:tc>
      </w:tr>
      <w:tr w:rsidR="00CB6CE1" w:rsidRPr="00B35E47" w14:paraId="1B7EFC00" w14:textId="77777777" w:rsidTr="00CB6CE1">
        <w:trPr>
          <w:trHeight w:val="20"/>
        </w:trPr>
        <w:tc>
          <w:tcPr>
            <w:tcW w:w="3070" w:type="dxa"/>
            <w:tcBorders>
              <w:top w:val="single" w:sz="4" w:space="0" w:color="auto"/>
              <w:left w:val="single" w:sz="4" w:space="0" w:color="auto"/>
              <w:bottom w:val="single" w:sz="4" w:space="0" w:color="auto"/>
              <w:right w:val="single" w:sz="4" w:space="0" w:color="auto"/>
            </w:tcBorders>
            <w:hideMark/>
          </w:tcPr>
          <w:p w14:paraId="44C11103" w14:textId="77777777" w:rsidR="00CB6CE1" w:rsidRPr="00B35E47" w:rsidRDefault="00CB6CE1" w:rsidP="00CB6CE1">
            <w:pPr>
              <w:keepNext/>
              <w:jc w:val="left"/>
              <w:rPr>
                <w:rFonts w:ascii="Arial Narrow" w:hAnsi="Arial Narrow"/>
                <w:b/>
                <w:lang w:eastAsia="en-US"/>
              </w:rPr>
            </w:pPr>
            <w:r w:rsidRPr="00B35E47">
              <w:rPr>
                <w:rFonts w:ascii="Arial Narrow" w:hAnsi="Arial Narrow"/>
                <w:b/>
                <w:lang w:eastAsia="en-US"/>
              </w:rPr>
              <w:t>Time horizon</w:t>
            </w:r>
          </w:p>
        </w:tc>
        <w:tc>
          <w:tcPr>
            <w:tcW w:w="5838" w:type="dxa"/>
            <w:tcBorders>
              <w:top w:val="single" w:sz="4" w:space="0" w:color="auto"/>
              <w:left w:val="single" w:sz="4" w:space="0" w:color="auto"/>
              <w:bottom w:val="single" w:sz="4" w:space="0" w:color="auto"/>
              <w:right w:val="single" w:sz="4" w:space="0" w:color="auto"/>
            </w:tcBorders>
            <w:hideMark/>
          </w:tcPr>
          <w:p w14:paraId="3DB673A3" w14:textId="40DE2505" w:rsidR="00CB6CE1" w:rsidRPr="00D65B15" w:rsidRDefault="00A87AE2" w:rsidP="00F316AE">
            <w:pPr>
              <w:contextualSpacing/>
              <w:jc w:val="left"/>
              <w:rPr>
                <w:rFonts w:ascii="Arial Narrow" w:hAnsi="Arial Narrow"/>
                <w:vertAlign w:val="superscript"/>
                <w:lang w:eastAsia="en-US"/>
              </w:rPr>
            </w:pPr>
            <w:r>
              <w:rPr>
                <w:rFonts w:ascii="Arial Narrow" w:hAnsi="Arial Narrow"/>
                <w:lang w:eastAsia="en-US"/>
              </w:rPr>
              <w:t xml:space="preserve">Until the correct diagnosis is reached and treatment is initiated in both patient arms: Literature suggests, on average, this is 3.3 </w:t>
            </w:r>
            <w:r w:rsidRPr="00B35E47">
              <w:rPr>
                <w:rFonts w:ascii="Arial Narrow" w:hAnsi="Arial Narrow"/>
                <w:lang w:eastAsia="en-US"/>
              </w:rPr>
              <w:t>years</w:t>
            </w:r>
            <w:r>
              <w:rPr>
                <w:rFonts w:ascii="Arial Narrow" w:hAnsi="Arial Narrow"/>
                <w:vertAlign w:val="superscript"/>
                <w:lang w:eastAsia="en-US"/>
              </w:rPr>
              <w:t>1</w:t>
            </w:r>
            <w:r>
              <w:rPr>
                <w:rFonts w:ascii="Arial Narrow" w:hAnsi="Arial Narrow"/>
                <w:lang w:eastAsia="en-US"/>
              </w:rPr>
              <w:t xml:space="preserve">; therefore 3.5 years (14 full cycles) used </w:t>
            </w:r>
            <w:r w:rsidRPr="00B35E47">
              <w:rPr>
                <w:rFonts w:ascii="Arial Narrow" w:hAnsi="Arial Narrow"/>
                <w:lang w:eastAsia="en-US"/>
              </w:rPr>
              <w:t>in the model base case</w:t>
            </w:r>
          </w:p>
        </w:tc>
      </w:tr>
      <w:tr w:rsidR="00CB6CE1" w:rsidRPr="00B35E47" w14:paraId="4555F102" w14:textId="77777777" w:rsidTr="00CB6CE1">
        <w:trPr>
          <w:trHeight w:val="20"/>
        </w:trPr>
        <w:tc>
          <w:tcPr>
            <w:tcW w:w="3070" w:type="dxa"/>
            <w:tcBorders>
              <w:top w:val="single" w:sz="4" w:space="0" w:color="auto"/>
              <w:left w:val="single" w:sz="4" w:space="0" w:color="auto"/>
              <w:bottom w:val="single" w:sz="4" w:space="0" w:color="auto"/>
              <w:right w:val="single" w:sz="4" w:space="0" w:color="auto"/>
            </w:tcBorders>
            <w:hideMark/>
          </w:tcPr>
          <w:p w14:paraId="71963FEC" w14:textId="77777777" w:rsidR="00CB6CE1" w:rsidRPr="00B35E47" w:rsidRDefault="00CB6CE1" w:rsidP="00CB6CE1">
            <w:pPr>
              <w:keepNext/>
              <w:jc w:val="left"/>
              <w:rPr>
                <w:rFonts w:ascii="Arial Narrow" w:hAnsi="Arial Narrow"/>
                <w:b/>
                <w:lang w:eastAsia="en-US"/>
              </w:rPr>
            </w:pPr>
            <w:r w:rsidRPr="00B35E47">
              <w:rPr>
                <w:rFonts w:ascii="Arial Narrow" w:hAnsi="Arial Narrow"/>
                <w:b/>
                <w:lang w:eastAsia="en-US"/>
              </w:rPr>
              <w:t>Outcomes</w:t>
            </w:r>
          </w:p>
        </w:tc>
        <w:tc>
          <w:tcPr>
            <w:tcW w:w="5838" w:type="dxa"/>
            <w:tcBorders>
              <w:top w:val="single" w:sz="4" w:space="0" w:color="auto"/>
              <w:left w:val="single" w:sz="4" w:space="0" w:color="auto"/>
              <w:bottom w:val="single" w:sz="4" w:space="0" w:color="auto"/>
              <w:right w:val="single" w:sz="4" w:space="0" w:color="auto"/>
            </w:tcBorders>
          </w:tcPr>
          <w:p w14:paraId="2C1F3C38"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Cost per quality-adjusted life year (QALY)</w:t>
            </w:r>
          </w:p>
        </w:tc>
      </w:tr>
      <w:tr w:rsidR="00CB6CE1" w:rsidRPr="00B35E47" w14:paraId="2D63E264" w14:textId="77777777" w:rsidTr="00CB6CE1">
        <w:trPr>
          <w:trHeight w:val="20"/>
        </w:trPr>
        <w:tc>
          <w:tcPr>
            <w:tcW w:w="3070" w:type="dxa"/>
            <w:tcBorders>
              <w:top w:val="single" w:sz="4" w:space="0" w:color="auto"/>
              <w:left w:val="single" w:sz="4" w:space="0" w:color="auto"/>
              <w:bottom w:val="single" w:sz="4" w:space="0" w:color="auto"/>
              <w:right w:val="single" w:sz="4" w:space="0" w:color="auto"/>
            </w:tcBorders>
            <w:hideMark/>
          </w:tcPr>
          <w:p w14:paraId="0D0BAA34" w14:textId="77777777" w:rsidR="00CB6CE1" w:rsidRPr="00B35E47" w:rsidRDefault="00CB6CE1" w:rsidP="00CB6CE1">
            <w:pPr>
              <w:keepNext/>
              <w:jc w:val="left"/>
              <w:rPr>
                <w:rFonts w:ascii="Arial Narrow" w:hAnsi="Arial Narrow"/>
                <w:b/>
                <w:lang w:eastAsia="en-US"/>
              </w:rPr>
            </w:pPr>
            <w:r w:rsidRPr="00B35E47">
              <w:rPr>
                <w:rFonts w:ascii="Arial Narrow" w:hAnsi="Arial Narrow"/>
                <w:b/>
                <w:lang w:eastAsia="en-US"/>
              </w:rPr>
              <w:t>Methods used to generate results</w:t>
            </w:r>
          </w:p>
        </w:tc>
        <w:tc>
          <w:tcPr>
            <w:tcW w:w="5838" w:type="dxa"/>
            <w:tcBorders>
              <w:top w:val="single" w:sz="4" w:space="0" w:color="auto"/>
              <w:left w:val="single" w:sz="4" w:space="0" w:color="auto"/>
              <w:bottom w:val="single" w:sz="4" w:space="0" w:color="auto"/>
              <w:right w:val="single" w:sz="4" w:space="0" w:color="auto"/>
            </w:tcBorders>
          </w:tcPr>
          <w:p w14:paraId="138D4384"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Decision tree and Markov model</w:t>
            </w:r>
          </w:p>
        </w:tc>
      </w:tr>
      <w:tr w:rsidR="00CB6CE1" w:rsidRPr="00B35E47" w14:paraId="0CAF0317" w14:textId="77777777" w:rsidTr="00CB6CE1">
        <w:trPr>
          <w:trHeight w:val="20"/>
        </w:trPr>
        <w:tc>
          <w:tcPr>
            <w:tcW w:w="3070" w:type="dxa"/>
            <w:tcBorders>
              <w:top w:val="single" w:sz="4" w:space="0" w:color="auto"/>
              <w:left w:val="single" w:sz="4" w:space="0" w:color="auto"/>
              <w:bottom w:val="single" w:sz="4" w:space="0" w:color="auto"/>
              <w:right w:val="single" w:sz="4" w:space="0" w:color="auto"/>
            </w:tcBorders>
          </w:tcPr>
          <w:p w14:paraId="6BF0DC16" w14:textId="77777777" w:rsidR="00CB6CE1" w:rsidRPr="00B35E47" w:rsidRDefault="00CB6CE1" w:rsidP="00CB6CE1">
            <w:pPr>
              <w:keepNext/>
              <w:jc w:val="left"/>
              <w:rPr>
                <w:rFonts w:ascii="Arial Narrow" w:hAnsi="Arial Narrow"/>
                <w:b/>
                <w:lang w:eastAsia="en-US"/>
              </w:rPr>
            </w:pPr>
            <w:r>
              <w:rPr>
                <w:rFonts w:ascii="Arial Narrow" w:hAnsi="Arial Narrow"/>
                <w:b/>
                <w:lang w:eastAsia="en-US"/>
              </w:rPr>
              <w:t>Health states</w:t>
            </w:r>
          </w:p>
        </w:tc>
        <w:tc>
          <w:tcPr>
            <w:tcW w:w="5838" w:type="dxa"/>
            <w:tcBorders>
              <w:top w:val="single" w:sz="4" w:space="0" w:color="auto"/>
              <w:left w:val="single" w:sz="4" w:space="0" w:color="auto"/>
              <w:bottom w:val="single" w:sz="4" w:space="0" w:color="auto"/>
              <w:right w:val="single" w:sz="4" w:space="0" w:color="auto"/>
            </w:tcBorders>
          </w:tcPr>
          <w:p w14:paraId="123815F5"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 xml:space="preserve">Disease with </w:t>
            </w:r>
            <w:r>
              <w:rPr>
                <w:rFonts w:ascii="Arial Narrow" w:hAnsi="Arial Narrow"/>
                <w:lang w:eastAsia="en-US"/>
              </w:rPr>
              <w:t xml:space="preserve">no </w:t>
            </w:r>
            <w:r w:rsidRPr="00B35E47">
              <w:rPr>
                <w:rFonts w:ascii="Arial Narrow" w:hAnsi="Arial Narrow"/>
                <w:lang w:eastAsia="en-US"/>
              </w:rPr>
              <w:t>or mil</w:t>
            </w:r>
            <w:r>
              <w:rPr>
                <w:rFonts w:ascii="Arial Narrow" w:hAnsi="Arial Narrow"/>
                <w:lang w:eastAsia="en-US"/>
              </w:rPr>
              <w:t>d</w:t>
            </w:r>
            <w:r w:rsidRPr="00B35E47">
              <w:rPr>
                <w:rFonts w:ascii="Arial Narrow" w:hAnsi="Arial Narrow"/>
                <w:lang w:eastAsia="en-US"/>
              </w:rPr>
              <w:t xml:space="preserve"> disability, disease with </w:t>
            </w:r>
            <w:r>
              <w:rPr>
                <w:rFonts w:ascii="Arial Narrow" w:hAnsi="Arial Narrow"/>
                <w:lang w:eastAsia="en-US"/>
              </w:rPr>
              <w:t xml:space="preserve">moderate–severe </w:t>
            </w:r>
            <w:r w:rsidRPr="00B35E47">
              <w:rPr>
                <w:rFonts w:ascii="Arial Narrow" w:hAnsi="Arial Narrow"/>
                <w:lang w:eastAsia="en-US"/>
              </w:rPr>
              <w:t>disability</w:t>
            </w:r>
            <w:r>
              <w:rPr>
                <w:rFonts w:ascii="Arial Narrow" w:hAnsi="Arial Narrow"/>
                <w:lang w:eastAsia="en-US"/>
              </w:rPr>
              <w:t>,</w:t>
            </w:r>
            <w:r w:rsidRPr="00B35E47">
              <w:rPr>
                <w:rFonts w:ascii="Arial Narrow" w:hAnsi="Arial Narrow"/>
                <w:lang w:eastAsia="en-US"/>
              </w:rPr>
              <w:t xml:space="preserve"> and death</w:t>
            </w:r>
            <w:r>
              <w:rPr>
                <w:rFonts w:ascii="Arial Narrow" w:hAnsi="Arial Narrow"/>
                <w:lang w:eastAsia="en-US"/>
              </w:rPr>
              <w:t>. The model also includes two temporary health states of mild and severe relapse.</w:t>
            </w:r>
          </w:p>
        </w:tc>
      </w:tr>
      <w:tr w:rsidR="00CB6CE1" w:rsidRPr="00B35E47" w14:paraId="1F8E764C" w14:textId="77777777" w:rsidTr="00CB6CE1">
        <w:trPr>
          <w:trHeight w:val="20"/>
        </w:trPr>
        <w:tc>
          <w:tcPr>
            <w:tcW w:w="3070" w:type="dxa"/>
            <w:tcBorders>
              <w:top w:val="single" w:sz="4" w:space="0" w:color="auto"/>
              <w:left w:val="single" w:sz="4" w:space="0" w:color="auto"/>
              <w:bottom w:val="single" w:sz="4" w:space="0" w:color="auto"/>
              <w:right w:val="single" w:sz="4" w:space="0" w:color="auto"/>
            </w:tcBorders>
            <w:hideMark/>
          </w:tcPr>
          <w:p w14:paraId="31164DD7" w14:textId="77777777" w:rsidR="00CB6CE1" w:rsidRPr="00B35E47" w:rsidRDefault="00CB6CE1" w:rsidP="00CB6CE1">
            <w:pPr>
              <w:keepNext/>
              <w:jc w:val="left"/>
              <w:rPr>
                <w:rFonts w:ascii="Arial Narrow" w:hAnsi="Arial Narrow"/>
                <w:b/>
                <w:lang w:eastAsia="en-US"/>
              </w:rPr>
            </w:pPr>
            <w:r w:rsidRPr="00B35E47">
              <w:rPr>
                <w:rFonts w:ascii="Arial Narrow" w:hAnsi="Arial Narrow"/>
                <w:b/>
                <w:lang w:eastAsia="en-US"/>
              </w:rPr>
              <w:t>C</w:t>
            </w:r>
            <w:r>
              <w:rPr>
                <w:rFonts w:ascii="Arial Narrow" w:hAnsi="Arial Narrow"/>
                <w:b/>
                <w:lang w:eastAsia="en-US"/>
              </w:rPr>
              <w:t>ycle length</w:t>
            </w:r>
          </w:p>
        </w:tc>
        <w:tc>
          <w:tcPr>
            <w:tcW w:w="5838" w:type="dxa"/>
            <w:tcBorders>
              <w:top w:val="single" w:sz="4" w:space="0" w:color="auto"/>
              <w:left w:val="single" w:sz="4" w:space="0" w:color="auto"/>
              <w:bottom w:val="single" w:sz="4" w:space="0" w:color="auto"/>
              <w:right w:val="single" w:sz="4" w:space="0" w:color="auto"/>
            </w:tcBorders>
          </w:tcPr>
          <w:p w14:paraId="3FB50BB2" w14:textId="7D0FC694" w:rsidR="00CB6CE1" w:rsidRPr="00B35E47" w:rsidRDefault="00A350CD" w:rsidP="00CB6CE1">
            <w:pPr>
              <w:contextualSpacing/>
              <w:jc w:val="left"/>
              <w:rPr>
                <w:rFonts w:ascii="Arial Narrow" w:hAnsi="Arial Narrow"/>
                <w:lang w:eastAsia="en-US"/>
              </w:rPr>
            </w:pPr>
            <w:r>
              <w:rPr>
                <w:rFonts w:ascii="Arial Narrow" w:hAnsi="Arial Narrow"/>
                <w:lang w:eastAsia="en-US"/>
              </w:rPr>
              <w:t>Three months (quarterly)</w:t>
            </w:r>
          </w:p>
        </w:tc>
      </w:tr>
      <w:tr w:rsidR="00CB6CE1" w:rsidRPr="00B35E47" w14:paraId="441205F5" w14:textId="77777777" w:rsidTr="00CB6CE1">
        <w:trPr>
          <w:trHeight w:val="20"/>
        </w:trPr>
        <w:tc>
          <w:tcPr>
            <w:tcW w:w="3070" w:type="dxa"/>
            <w:tcBorders>
              <w:top w:val="single" w:sz="4" w:space="0" w:color="auto"/>
              <w:left w:val="single" w:sz="4" w:space="0" w:color="auto"/>
              <w:bottom w:val="single" w:sz="4" w:space="0" w:color="auto"/>
              <w:right w:val="single" w:sz="4" w:space="0" w:color="auto"/>
            </w:tcBorders>
            <w:hideMark/>
          </w:tcPr>
          <w:p w14:paraId="375CF1CA" w14:textId="77777777" w:rsidR="00CB6CE1" w:rsidRPr="00B35E47" w:rsidRDefault="00CB6CE1" w:rsidP="00CB6CE1">
            <w:pPr>
              <w:keepNext/>
              <w:jc w:val="left"/>
              <w:rPr>
                <w:rFonts w:ascii="Arial Narrow" w:hAnsi="Arial Narrow"/>
                <w:b/>
                <w:lang w:eastAsia="en-US"/>
              </w:rPr>
            </w:pPr>
            <w:r w:rsidRPr="00B35E47">
              <w:rPr>
                <w:rFonts w:ascii="Arial Narrow" w:hAnsi="Arial Narrow"/>
                <w:b/>
                <w:lang w:eastAsia="en-US"/>
              </w:rPr>
              <w:t>Discount rate</w:t>
            </w:r>
          </w:p>
        </w:tc>
        <w:tc>
          <w:tcPr>
            <w:tcW w:w="5838" w:type="dxa"/>
            <w:tcBorders>
              <w:top w:val="single" w:sz="4" w:space="0" w:color="auto"/>
              <w:left w:val="single" w:sz="4" w:space="0" w:color="auto"/>
              <w:bottom w:val="single" w:sz="4" w:space="0" w:color="auto"/>
              <w:right w:val="single" w:sz="4" w:space="0" w:color="auto"/>
            </w:tcBorders>
          </w:tcPr>
          <w:p w14:paraId="03B4A45C"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5%</w:t>
            </w:r>
            <w:r>
              <w:rPr>
                <w:rFonts w:ascii="Arial Narrow" w:hAnsi="Arial Narrow"/>
                <w:lang w:eastAsia="en-US"/>
              </w:rPr>
              <w:t xml:space="preserve"> for both costs and outcomes</w:t>
            </w:r>
          </w:p>
        </w:tc>
      </w:tr>
      <w:tr w:rsidR="00CB6CE1" w:rsidRPr="00B35E47" w14:paraId="1BC7827E" w14:textId="77777777" w:rsidTr="00CB6CE1">
        <w:trPr>
          <w:trHeight w:val="20"/>
        </w:trPr>
        <w:tc>
          <w:tcPr>
            <w:tcW w:w="3070" w:type="dxa"/>
            <w:tcBorders>
              <w:top w:val="single" w:sz="4" w:space="0" w:color="auto"/>
              <w:left w:val="single" w:sz="4" w:space="0" w:color="auto"/>
              <w:bottom w:val="single" w:sz="4" w:space="0" w:color="auto"/>
              <w:right w:val="single" w:sz="4" w:space="0" w:color="auto"/>
            </w:tcBorders>
            <w:hideMark/>
          </w:tcPr>
          <w:p w14:paraId="027B6C1D" w14:textId="77777777" w:rsidR="00CB6CE1" w:rsidRPr="00B35E47" w:rsidRDefault="00CB6CE1" w:rsidP="00CB6CE1">
            <w:pPr>
              <w:keepNext/>
              <w:jc w:val="left"/>
              <w:rPr>
                <w:rFonts w:ascii="Arial Narrow" w:hAnsi="Arial Narrow"/>
                <w:b/>
                <w:lang w:eastAsia="en-US"/>
              </w:rPr>
            </w:pPr>
            <w:r w:rsidRPr="00B35E47">
              <w:rPr>
                <w:rFonts w:ascii="Arial Narrow" w:hAnsi="Arial Narrow"/>
                <w:b/>
                <w:lang w:eastAsia="en-US"/>
              </w:rPr>
              <w:t>Software packages used</w:t>
            </w:r>
          </w:p>
        </w:tc>
        <w:tc>
          <w:tcPr>
            <w:tcW w:w="5838" w:type="dxa"/>
            <w:tcBorders>
              <w:top w:val="single" w:sz="4" w:space="0" w:color="auto"/>
              <w:left w:val="single" w:sz="4" w:space="0" w:color="auto"/>
              <w:bottom w:val="single" w:sz="4" w:space="0" w:color="auto"/>
              <w:right w:val="single" w:sz="4" w:space="0" w:color="auto"/>
            </w:tcBorders>
          </w:tcPr>
          <w:p w14:paraId="53EF3B6C" w14:textId="77777777" w:rsidR="00CB6CE1" w:rsidRPr="00B35E47" w:rsidRDefault="00CB6CE1" w:rsidP="00CB6CE1">
            <w:pPr>
              <w:contextualSpacing/>
              <w:jc w:val="left"/>
              <w:rPr>
                <w:rFonts w:ascii="Arial Narrow" w:hAnsi="Arial Narrow"/>
                <w:lang w:eastAsia="en-US"/>
              </w:rPr>
            </w:pPr>
            <w:r w:rsidRPr="00B35E47">
              <w:rPr>
                <w:rFonts w:ascii="Arial Narrow" w:hAnsi="Arial Narrow"/>
                <w:lang w:eastAsia="en-US"/>
              </w:rPr>
              <w:t>TreeAge Pro</w:t>
            </w:r>
            <w:r>
              <w:rPr>
                <w:rFonts w:ascii="Arial Narrow" w:hAnsi="Arial Narrow"/>
                <w:lang w:eastAsia="en-US"/>
              </w:rPr>
              <w:t xml:space="preserve"> Healthcare 2020</w:t>
            </w:r>
            <w:r w:rsidRPr="00606C7F">
              <w:rPr>
                <w:rFonts w:ascii="Arial Narrow" w:hAnsi="Arial Narrow"/>
                <w:lang w:eastAsia="en-US"/>
              </w:rPr>
              <w:t>®</w:t>
            </w:r>
          </w:p>
        </w:tc>
      </w:tr>
    </w:tbl>
    <w:p w14:paraId="4FE5E79A" w14:textId="77777777" w:rsidR="00CB6CE1" w:rsidRDefault="00CB6CE1" w:rsidP="00CB6CE1">
      <w:pPr>
        <w:widowControl w:val="0"/>
        <w:spacing w:after="120" w:line="240" w:lineRule="auto"/>
        <w:contextualSpacing/>
        <w:jc w:val="left"/>
        <w:rPr>
          <w:rFonts w:ascii="Arial Narrow" w:hAnsi="Arial Narrow" w:cs="Arial"/>
          <w:snapToGrid w:val="0"/>
          <w:sz w:val="18"/>
          <w:szCs w:val="20"/>
          <w:lang w:eastAsia="en-US"/>
        </w:rPr>
      </w:pPr>
      <w:r w:rsidRPr="00D65B15">
        <w:rPr>
          <w:rFonts w:ascii="Arial Narrow" w:hAnsi="Arial Narrow" w:cs="Arial"/>
          <w:snapToGrid w:val="0"/>
          <w:sz w:val="18"/>
          <w:szCs w:val="20"/>
          <w:vertAlign w:val="superscript"/>
          <w:lang w:eastAsia="en-US"/>
        </w:rPr>
        <w:t>1</w:t>
      </w:r>
      <w:r>
        <w:rPr>
          <w:rFonts w:ascii="Arial Narrow" w:hAnsi="Arial Narrow" w:cs="Arial"/>
          <w:snapToGrid w:val="0"/>
          <w:sz w:val="18"/>
          <w:szCs w:val="20"/>
          <w:lang w:eastAsia="en-US"/>
        </w:rPr>
        <w:t xml:space="preserve"> Time horizon is equivalent to </w:t>
      </w:r>
      <w:r w:rsidRPr="007234FA">
        <w:rPr>
          <w:rFonts w:ascii="Arial Narrow" w:hAnsi="Arial Narrow" w:cs="Arial"/>
          <w:snapToGrid w:val="0"/>
          <w:sz w:val="18"/>
          <w:szCs w:val="20"/>
          <w:lang w:eastAsia="en-US"/>
        </w:rPr>
        <w:t>mean time to correct NMSOD diagnosis in the longer of the two arms (long enough to capture the effects of delayed diagnosis)</w:t>
      </w:r>
      <w:r>
        <w:rPr>
          <w:rFonts w:ascii="Arial Narrow" w:hAnsi="Arial Narrow" w:cs="Arial"/>
          <w:snapToGrid w:val="0"/>
          <w:sz w:val="18"/>
          <w:szCs w:val="20"/>
          <w:lang w:eastAsia="en-US"/>
        </w:rPr>
        <w:t>.</w:t>
      </w:r>
    </w:p>
    <w:p w14:paraId="41F2D1E4" w14:textId="77777777" w:rsidR="00CB6CE1" w:rsidRPr="00B35E47" w:rsidRDefault="00CB6CE1" w:rsidP="00CB6CE1">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NMOSD = neuromyelitis optica spectrum disorder</w:t>
      </w:r>
    </w:p>
    <w:p w14:paraId="1B6AF498" w14:textId="77777777" w:rsidR="00CB6CE1" w:rsidRPr="00B35E47" w:rsidRDefault="00CB6CE1" w:rsidP="00CB6CE1">
      <w:pPr>
        <w:pStyle w:val="Heading3"/>
      </w:pPr>
      <w:bookmarkStart w:id="430" w:name="_Toc395200799"/>
      <w:bookmarkStart w:id="431" w:name="_Toc34212316"/>
      <w:bookmarkStart w:id="432" w:name="_Toc38031955"/>
      <w:bookmarkStart w:id="433" w:name="_Toc39588360"/>
      <w:r>
        <w:t>D3.1</w:t>
      </w:r>
      <w:r>
        <w:tab/>
      </w:r>
      <w:r w:rsidRPr="00B35E47">
        <w:t>Literature review</w:t>
      </w:r>
      <w:bookmarkEnd w:id="430"/>
      <w:bookmarkEnd w:id="431"/>
      <w:bookmarkEnd w:id="432"/>
      <w:bookmarkEnd w:id="433"/>
    </w:p>
    <w:p w14:paraId="713619BF" w14:textId="77777777" w:rsidR="00CB6CE1" w:rsidRPr="00B35E47" w:rsidRDefault="00CB6CE1" w:rsidP="00CB6CE1">
      <w:r w:rsidRPr="00B35E47">
        <w:t xml:space="preserve">A literature search of the PubMed and Embase databases was conducted on 3 December 2019 for published cost-effectiveness analyses of the proposed service. No studies were identified that compared the economic impact of testing for NMOSD-Ab and no-testing for the diagnosis of NMOSD. </w:t>
      </w:r>
    </w:p>
    <w:p w14:paraId="4386ACDF" w14:textId="77777777" w:rsidR="00CB6CE1" w:rsidRPr="00B35E47" w:rsidRDefault="00CB6CE1" w:rsidP="00CB6CE1">
      <w:r w:rsidRPr="00B35E47">
        <w:t xml:space="preserve">One conference abstract was identified that reported the cost-effectiveness of AQP4-Ab detection with cell-based assay compared with Elisa for NMO disease diagnosis in Colombia. Costs, correctly diagnosed cases and relapses averted were compared using a decision-tree model in patients with clinical suspicion of NMO that underwent AQP4-Ab testing for diagnosis. The analysis was undertaken from a third-party payer perspective over a one-year time horizon. AQP4-Ab detection with CBA was identified as a cost-saving diagnostic test, dominant over the ELISA method being more effective (90 additional cases correctly diagnosed and 130 relapses avoided) and less costly (resulting in cost-savings of USD $956 yearly costs per correct diagnosis) </w:t>
      </w:r>
      <w:r>
        <w:fldChar w:fldCharType="begin"/>
      </w:r>
      <w:r>
        <w:instrText xml:space="preserve"> ADDIN EN.CITE &lt;EndNote&gt;&lt;Cite&gt;&lt;Author&gt;Rosselli&lt;/Author&gt;&lt;Year&gt;2015&lt;/Year&gt;&lt;RecNum&gt;2258&lt;/RecNum&gt;&lt;DisplayText&gt;(Rosselli et al. 2015)&lt;/DisplayText&gt;&lt;record&gt;&lt;rec-number&gt;2258&lt;/rec-number&gt;&lt;foreign-keys&gt;&lt;key app="EN" db-id="r9zwwf2zmrrvxfespp15vtvjapza9v2fz5s5" timestamp="1573771488"&gt;2258&lt;/key&gt;&lt;/foreign-keys&gt;&lt;ref-type name="Journal Article"&gt;17&lt;/ref-type&gt;&lt;contributors&gt;&lt;authors&gt;&lt;author&gt;Rosselli, D.&lt;/author&gt;&lt;author&gt;Acosta, A.&lt;/author&gt;&lt;author&gt;Castañeda, C.&lt;/author&gt;&lt;author&gt;Ruiz-Patiño, A.&lt;/author&gt;&lt;author&gt;Ruiz, R.&lt;/author&gt;&lt;/authors&gt;&lt;/contributors&gt;&lt;auth-address&gt;D. Rosselli, Pontificia Universidad Javeriana, Bogota, Colombia&lt;/auth-address&gt;&lt;titles&gt;&lt;title&gt;Cost-effectiveness of AQ P4 antibody detection with cell-based assay compared with elisa for devic disease diagnosis in Colombia&lt;/title&gt;&lt;secondary-title&gt;Value in Health&lt;/secondary-title&gt;&lt;/titles&gt;&lt;periodical&gt;&lt;full-title&gt;Value in Health&lt;/full-title&gt;&lt;/periodical&gt;&lt;pages&gt;A44&lt;/pages&gt;&lt;volume&gt;18&lt;/volume&gt;&lt;number&gt;3&lt;/number&gt;&lt;keywords&gt;&lt;keyword&gt;antibody&lt;/keyword&gt;&lt;keyword&gt;fenfluramine&lt;/keyword&gt;&lt;keyword&gt;aquaporin&lt;/keyword&gt;&lt;keyword&gt;protein&lt;/keyword&gt;&lt;keyword&gt;water&lt;/keyword&gt;&lt;keyword&gt;cost effectiveness analysis&lt;/keyword&gt;&lt;keyword&gt;antibody detection&lt;/keyword&gt;&lt;keyword&gt;assay&lt;/keyword&gt;&lt;keyword&gt;myelooptic neuropathy&lt;/keyword&gt;&lt;keyword&gt;diagnosis&lt;/keyword&gt;&lt;keyword&gt;Colombia&lt;/keyword&gt;&lt;keyword&gt;relapse&lt;/keyword&gt;&lt;keyword&gt;human&lt;/keyword&gt;&lt;keyword&gt;patient&lt;/keyword&gt;&lt;keyword&gt;diagnostic test&lt;/keyword&gt;&lt;keyword&gt;enzyme linked immunosorbent assay&lt;/keyword&gt;&lt;keyword&gt;Colombian&lt;/keyword&gt;&lt;keyword&gt;model&lt;/keyword&gt;&lt;keyword&gt;decision tree&lt;/keyword&gt;&lt;keyword&gt;cost control&lt;/keyword&gt;&lt;keyword&gt;hospitalization&lt;/keyword&gt;&lt;keyword&gt;sensitivity analysis&lt;/keyword&gt;&lt;keyword&gt;laboratory&lt;/keyword&gt;&lt;keyword&gt;central nervous system&lt;/keyword&gt;&lt;/keywords&gt;&lt;dates&gt;&lt;year&gt;2015&lt;/year&gt;&lt;/dates&gt;&lt;work-type&gt;Conference Abstract&lt;/work-type&gt;&lt;urls&gt;&lt;related-urls&gt;&lt;url&gt;http://www.embase.com/search/results?subaction=viewrecord&amp;amp;from=export&amp;amp;id=L71896046&lt;/url&gt;&lt;/related-urls&gt;&lt;/urls&gt;&lt;language&gt;English&lt;/language&gt;&lt;/record&gt;&lt;/Cite&gt;&lt;/EndNote&gt;</w:instrText>
      </w:r>
      <w:r>
        <w:fldChar w:fldCharType="separate"/>
      </w:r>
      <w:r>
        <w:rPr>
          <w:noProof/>
        </w:rPr>
        <w:t>(Rosselli et al. 2015)</w:t>
      </w:r>
      <w:r>
        <w:fldChar w:fldCharType="end"/>
      </w:r>
      <w:r w:rsidRPr="00B35E47">
        <w:t xml:space="preserve">. Although this study is not </w:t>
      </w:r>
      <w:r w:rsidRPr="00B35E47">
        <w:lastRenderedPageBreak/>
        <w:t xml:space="preserve">relevant to the proposed economic assessment, it is indicative of the cost-effectiveness of correct diagnosis of NMOSD patients by avoiding relapses. </w:t>
      </w:r>
    </w:p>
    <w:p w14:paraId="20A2C3DA" w14:textId="77777777" w:rsidR="00CB6CE1" w:rsidRPr="00B35E47" w:rsidRDefault="00CB6CE1" w:rsidP="00CB6CE1">
      <w:r w:rsidRPr="00B35E47">
        <w:t xml:space="preserve">Another study (identified after the search date) presented the cost effectiveness of rituximab and mycophenolate mofetil for NMOSD in Thailand </w:t>
      </w:r>
      <w:r>
        <w:fldChar w:fldCharType="begin"/>
      </w:r>
      <w:r>
        <w:instrText xml:space="preserve"> ADDIN EN.CITE &lt;EndNote&gt;&lt;Cite&gt;&lt;Author&gt;Aungsumart&lt;/Author&gt;&lt;Year&gt;2020&lt;/Year&gt;&lt;RecNum&gt;2832&lt;/RecNum&gt;&lt;DisplayText&gt;(Aungsumart &amp;amp; Apiwattanakul 2020)&lt;/DisplayText&gt;&lt;record&gt;&lt;rec-number&gt;2832&lt;/rec-number&gt;&lt;foreign-keys&gt;&lt;key app="EN" db-id="r9zwwf2zmrrvxfespp15vtvjapza9v2fz5s5" timestamp="1581642811"&gt;2832&lt;/key&gt;&lt;/foreign-keys&gt;&lt;ref-type name="Journal Article"&gt;17&lt;/ref-type&gt;&lt;contributors&gt;&lt;authors&gt;&lt;author&gt;Aungsumart, S.&lt;/author&gt;&lt;author&gt;Apiwattanakul, M.&lt;/author&gt;&lt;/authors&gt;&lt;/contributors&gt;&lt;auth-address&gt;Neuroimmunology Unit, Department of Neurology, Prasat Neurological Institute, Bangkok, Thailand.&lt;/auth-address&gt;&lt;titles&gt;&lt;title&gt;Cost effectiveness of rituximab and mycophenolate mofetil for neuromyelitis optica spectrum disorder in Thailand: Economic evaluation and budget impact analysis&lt;/title&gt;&lt;secondary-title&gt;PLoS One&lt;/secondary-title&gt;&lt;/titles&gt;&lt;periodical&gt;&lt;full-title&gt;PLoS ONE&lt;/full-title&gt;&lt;/periodical&gt;&lt;pages&gt;e0229028&lt;/pages&gt;&lt;volume&gt;15&lt;/volume&gt;&lt;number&gt;2&lt;/number&gt;&lt;edition&gt;2020/02/13&lt;/edition&gt;&lt;dates&gt;&lt;year&gt;2020&lt;/year&gt;&lt;/dates&gt;&lt;isbn&gt;1932-6203 (Electronic)&amp;#xD;1932-6203 (Linking)&lt;/isbn&gt;&lt;accession-num&gt;32050011&lt;/accession-num&gt;&lt;urls&gt;&lt;related-urls&gt;&lt;url&gt;https://www.ncbi.nlm.nih.gov/pubmed/32050011&lt;/url&gt;&lt;url&gt;https://journals.plos.org/plosone/article/file?id=10.1371/journal.pone.0229028&amp;amp;type=printable&lt;/url&gt;&lt;/related-urls&gt;&lt;/urls&gt;&lt;electronic-resource-num&gt;10.1371/journal.pone.0229028&lt;/electronic-resource-num&gt;&lt;/record&gt;&lt;/Cite&gt;&lt;/EndNote&gt;</w:instrText>
      </w:r>
      <w:r>
        <w:fldChar w:fldCharType="separate"/>
      </w:r>
      <w:r>
        <w:rPr>
          <w:noProof/>
        </w:rPr>
        <w:t>(Aungsumart &amp; Apiwattanakul 2020)</w:t>
      </w:r>
      <w:r>
        <w:fldChar w:fldCharType="end"/>
      </w:r>
      <w:r w:rsidRPr="00B35E47">
        <w:t>. This study was health technology assessment and compared the lifetime costs and outcomes of Thai patients with NMOSD undergoing five different treatment options with azathioprine as the reference, using a Markov model. The Markov model considered three main health states based on the EDSS – patients with no or mild disability (EDSS 0–5.5), patients with moderate to severe disability (EDSS 6–9.5) and deceased NMOSD patients. Two additional health states representing patients temporarily experiencing a mild or severe relapse were also included in the model. The modelled health states reflect natural disease course of patients with NMOSD and relapse classification based on disability score is justified.</w:t>
      </w:r>
    </w:p>
    <w:p w14:paraId="1F4037B2" w14:textId="77777777" w:rsidR="00CB6CE1" w:rsidRPr="00B35E47" w:rsidRDefault="00CB6CE1" w:rsidP="00CB6CE1">
      <w:r w:rsidRPr="00B35E47">
        <w:t>Although the studied comparison (cost-comparison of different therapies) in the aforementioned study is different from the one proposed in the current assessment (NMOSD-Ab testing versus no testing), the model structure and some clinical parameters were found appropriate to inform the economic model in the current assessment.</w:t>
      </w:r>
    </w:p>
    <w:p w14:paraId="7DA575A9" w14:textId="77777777" w:rsidR="00CB6CE1" w:rsidRPr="00B35E47" w:rsidRDefault="00095358" w:rsidP="00095358">
      <w:pPr>
        <w:pStyle w:val="Heading3"/>
      </w:pPr>
      <w:bookmarkStart w:id="434" w:name="_Toc395200800"/>
      <w:bookmarkStart w:id="435" w:name="_Toc34212317"/>
      <w:bookmarkStart w:id="436" w:name="_Toc38031956"/>
      <w:bookmarkStart w:id="437" w:name="_Toc39588361"/>
      <w:r>
        <w:t>D3.2</w:t>
      </w:r>
      <w:r>
        <w:tab/>
      </w:r>
      <w:r w:rsidR="00CB6CE1" w:rsidRPr="00B35E47">
        <w:t>Structure of the economic evaluation</w:t>
      </w:r>
      <w:bookmarkEnd w:id="434"/>
      <w:bookmarkEnd w:id="435"/>
      <w:bookmarkEnd w:id="436"/>
      <w:bookmarkEnd w:id="437"/>
    </w:p>
    <w:p w14:paraId="4F9FD7F8" w14:textId="77777777" w:rsidR="00CB6CE1" w:rsidRPr="00B35E47" w:rsidRDefault="00CB6CE1" w:rsidP="00CB6CE1">
      <w:r w:rsidRPr="00B35E47">
        <w:t xml:space="preserve">A decision analytic model followed by a Markov analysis is presented which accounts for the diagnostic yield of NMOSD-Ab testing, relapse rates, treatment effect and disease exacerbation in the target population. </w:t>
      </w:r>
    </w:p>
    <w:p w14:paraId="422D1D6F" w14:textId="6C183288" w:rsidR="00CB6CE1" w:rsidRPr="00B35E47" w:rsidRDefault="00CB6CE1" w:rsidP="00CB6CE1">
      <w:r w:rsidRPr="00B35E47">
        <w:rPr>
          <w:lang w:val="en-US"/>
        </w:rPr>
        <w:t>The structure of the decision-analytic (</w:t>
      </w:r>
      <w:r w:rsidRPr="00B35E47">
        <w:fldChar w:fldCharType="begin"/>
      </w:r>
      <w:r w:rsidRPr="00B35E47">
        <w:instrText xml:space="preserve"> REF _Ref377977732 \h  \* MERGEFORMAT </w:instrText>
      </w:r>
      <w:r w:rsidRPr="00B35E47">
        <w:fldChar w:fldCharType="separate"/>
      </w:r>
      <w:r w:rsidR="00340849" w:rsidRPr="00095358">
        <w:t xml:space="preserve">Figure </w:t>
      </w:r>
      <w:r w:rsidR="00340849">
        <w:rPr>
          <w:noProof/>
        </w:rPr>
        <w:t>8</w:t>
      </w:r>
      <w:r w:rsidRPr="00B35E47">
        <w:fldChar w:fldCharType="end"/>
      </w:r>
      <w:r w:rsidRPr="00B35E47">
        <w:rPr>
          <w:lang w:val="en-US"/>
        </w:rPr>
        <w:t xml:space="preserve">) is consistent with the clinical management algorithms presented in </w:t>
      </w:r>
      <w:r w:rsidRPr="00B35E47">
        <w:fldChar w:fldCharType="begin"/>
      </w:r>
      <w:r w:rsidRPr="00B35E47">
        <w:instrText xml:space="preserve"> REF _Ref21605155 \h  \* MERGEFORMAT </w:instrText>
      </w:r>
      <w:r w:rsidRPr="00B35E47">
        <w:fldChar w:fldCharType="separate"/>
      </w:r>
      <w:r w:rsidR="00340849" w:rsidRPr="00BE08AB">
        <w:t xml:space="preserve">Figure </w:t>
      </w:r>
      <w:r w:rsidR="00340849">
        <w:t>3</w:t>
      </w:r>
      <w:r w:rsidRPr="00B35E47">
        <w:fldChar w:fldCharType="end"/>
      </w:r>
      <w:r w:rsidRPr="00B35E47">
        <w:rPr>
          <w:lang w:val="en-US"/>
        </w:rPr>
        <w:t xml:space="preserve"> and </w:t>
      </w:r>
      <w:r w:rsidRPr="00B35E47">
        <w:fldChar w:fldCharType="begin"/>
      </w:r>
      <w:r w:rsidRPr="00B35E47">
        <w:instrText xml:space="preserve"> REF _Ref23158832 \h  \* MERGEFORMAT </w:instrText>
      </w:r>
      <w:r w:rsidRPr="00B35E47">
        <w:fldChar w:fldCharType="separate"/>
      </w:r>
      <w:r w:rsidR="00340849" w:rsidRPr="00BE08AB">
        <w:t xml:space="preserve">Figure </w:t>
      </w:r>
      <w:r w:rsidR="00340849">
        <w:t>5</w:t>
      </w:r>
      <w:r w:rsidRPr="00B35E47">
        <w:fldChar w:fldCharType="end"/>
      </w:r>
      <w:r w:rsidRPr="00B35E47">
        <w:t>. In the absence of antibody testing, diagnosis of NMOSD relies on both the clinical picture (symptoms) and imaging examinations as described by IPND 2015 criteria (see section A3). MOG-Ab testing can occur either concurrently or in sequentially with AQP4-Ab testing. It is assumed that only diagnostic yield and cost of testing will vary based on the scenario chosen and the model structure and all other parameters will remain same.</w:t>
      </w:r>
    </w:p>
    <w:p w14:paraId="57CF0B15" w14:textId="77777777" w:rsidR="00CB6CE1" w:rsidRPr="00B35E47" w:rsidRDefault="00CB6CE1" w:rsidP="00CB6CE1">
      <w:r w:rsidRPr="00B35E47">
        <w:t xml:space="preserve">Diagnostic accuracy measures for AQP4-Ab testing are inherently biased as AQP4-Ab testing is included in the diagnostic clinical reference standard (diagnosis by 2015 IPND criteria). There is no clinical reference standard for MOG-Ab testing and so only yield data can be obtained for this test. AQP4-Ab positivity is considered definitive for diagnosis of NMOSD by clinicians. In addition, a negative test result for AQP4-Ab/MOG-Ab does not rule out a NMOSD diagnosis. It is assumed that the patients who test negative for AQP4-Ab/MOG-Ab will </w:t>
      </w:r>
      <w:r>
        <w:t>face a</w:t>
      </w:r>
      <w:r w:rsidRPr="00B35E47">
        <w:t xml:space="preserve"> similar diagnostic challenge and ongoing management of disease</w:t>
      </w:r>
      <w:r>
        <w:t xml:space="preserve"> pathways</w:t>
      </w:r>
      <w:r w:rsidRPr="00B35E47">
        <w:t xml:space="preserve"> </w:t>
      </w:r>
      <w:r>
        <w:t>irrespective of the</w:t>
      </w:r>
      <w:r w:rsidRPr="00B35E47">
        <w:t xml:space="preserve"> modelled arm</w:t>
      </w:r>
      <w:r>
        <w:t>, therefore the d</w:t>
      </w:r>
      <w:r w:rsidRPr="00B35E47">
        <w:t xml:space="preserve">ownstream costs and </w:t>
      </w:r>
      <w:r>
        <w:t xml:space="preserve">health outcomes </w:t>
      </w:r>
      <w:r w:rsidRPr="00B35E47">
        <w:t xml:space="preserve">of these patients </w:t>
      </w:r>
      <w:r>
        <w:t xml:space="preserve">would be equal across the two arms which would  </w:t>
      </w:r>
      <w:r w:rsidRPr="00B35E47">
        <w:t>offset each other</w:t>
      </w:r>
      <w:r>
        <w:t xml:space="preserve"> when it come to estimating incremental cost-effectiveness</w:t>
      </w:r>
      <w:r w:rsidRPr="00B35E47">
        <w:t>. The Markov analysis therefore only follows patients that would have/</w:t>
      </w:r>
      <w:r>
        <w:t xml:space="preserve">do </w:t>
      </w:r>
      <w:r w:rsidRPr="00B35E47">
        <w:t>test positive for the AQP4-Ab/MOG-Ab.</w:t>
      </w:r>
    </w:p>
    <w:p w14:paraId="3CE903B7" w14:textId="33596AC4" w:rsidR="00CB6CE1" w:rsidRPr="00B35E47" w:rsidRDefault="00CB6CE1" w:rsidP="00CB6CE1">
      <w:r w:rsidRPr="00B35E47">
        <w:t xml:space="preserve">NMOSD-Ab testing is used to differentially diagnose individuals with NMOSD, from multiple sclerosis (MS) and other autoimmune disorders of the central nervous system (CNS) </w:t>
      </w:r>
      <w:r>
        <w:fldChar w:fldCharType="begin"/>
      </w:r>
      <w:r>
        <w:instrText xml:space="preserve"> ADDIN EN.CITE &lt;EndNote&gt;&lt;Cite&gt;&lt;Author&gt;Sellner&lt;/Author&gt;&lt;Year&gt;2010&lt;/Year&gt;&lt;RecNum&gt;27&lt;/RecNum&gt;&lt;IDText&gt;1019-32&lt;/IDText&gt;&lt;DisplayText&gt;(Sellner et al. 2010)&lt;/DisplayText&gt;&lt;record&gt;&lt;rec-number&gt;27&lt;/rec-number&gt;&lt;foreign-keys&gt;&lt;key app="EN" db-id="r25zptaswpdzade29ws5pf9gx55ztppatt20" timestamp="1576104081"&gt;27&lt;/key&gt;&lt;/foreign-keys&gt;&lt;ref-type name="Journal Article"&gt;17&lt;/ref-type&gt;&lt;contributors&gt;&lt;authors&gt;&lt;author&gt;Sellner, J.&lt;/author&gt;&lt;author&gt;Boggild, M.&lt;/author&gt;&lt;author&gt;Clanet, M.&lt;/author&gt;&lt;author&gt;Hintzen, R. Q.&lt;/author&gt;&lt;author&gt;Illes, Z.&lt;/author&gt;&lt;author&gt;Montalban, X.&lt;/author&gt;&lt;author&gt;Du Pasquier, R. A.&lt;/author&gt;&lt;author&gt;Polman, C. H.&lt;/author&gt;&lt;author&gt;Sorensen, P. S.&lt;/author&gt;&lt;author&gt;Hemmer, B.&lt;/author&gt;&lt;/authors&gt;&lt;/contributors&gt;&lt;auth-address&gt;Department of Neurology, Klinikum rechts der Isar, Technische Universitat Munchen, Germany. sellner@lrz.tum.de&lt;/auth-address&gt;&lt;titles&gt;&lt;title&gt;EFNS guidelines on diagnosis and management of neuromyelitis optica&lt;/title&gt;&lt;secondary-title&gt;Eur J Neurol&lt;/secondary-title&gt;&lt;/titles&gt;&lt;periodical&gt;&lt;full-title&gt;Eur J Neurol&lt;/full-title&gt;&lt;/periodical&gt;&lt;pages&gt;1019-32&lt;/pages&gt;&lt;volume&gt;17&lt;/volume&gt;&lt;number&gt;8&lt;/number&gt;&lt;edition&gt;2010/06/10&lt;/edition&gt;&lt;keywords&gt;&lt;keyword&gt;Electrodiagnosis&lt;/keyword&gt;&lt;keyword&gt;Humans&lt;/keyword&gt;&lt;keyword&gt;Magnetic Resonance Imaging&lt;/keyword&gt;&lt;keyword&gt;Methylprednisolone/therapeutic use&lt;/keyword&gt;&lt;keyword&gt;Neuromyelitis Optica/ diagnosis/ therapy&lt;/keyword&gt;&lt;keyword&gt;Neuroprotective Agents/therapeutic use&lt;/keyword&gt;&lt;keyword&gt;Plasma Exchange&lt;/keyword&gt;&lt;/keywords&gt;&lt;dates&gt;&lt;year&gt;2010&lt;/year&gt;&lt;pub-dates&gt;&lt;date&gt;Aug&lt;/date&gt;&lt;/pub-dates&gt;&lt;/dates&gt;&lt;isbn&gt;1468-1331 (Electronic)&amp;#xD;1351-5101 (Linking)&lt;/isbn&gt;&lt;accession-num&gt;20528913&lt;/accession-num&gt;&lt;urls&gt;&lt;/urls&gt;&lt;electronic-resource-num&gt;10.1111/j.1468-1331.2010.03066.x&lt;/electronic-resource-num&gt;&lt;remote-database-provider&gt;NLM&lt;/remote-database-provider&gt;&lt;language&gt;eng&lt;/language&gt;&lt;/record&gt;&lt;/Cite&gt;&lt;/EndNote&gt;</w:instrText>
      </w:r>
      <w:r>
        <w:fldChar w:fldCharType="separate"/>
      </w:r>
      <w:r>
        <w:rPr>
          <w:noProof/>
        </w:rPr>
        <w:t>(Sellner et al. 2010)</w:t>
      </w:r>
      <w:r>
        <w:fldChar w:fldCharType="end"/>
      </w:r>
      <w:r w:rsidRPr="00B35E47">
        <w:t>. Although NMOSD and MS are defined as distinctive disorders, there is a considerable degree of overlap in clinical manifestations and distribution of lesions in the CNS. In the absence of AQP4-Ab testing approximately 65% of the NMOSD cases receive an alternate diagnosis</w:t>
      </w:r>
      <w:r w:rsidR="00997D11">
        <w:t xml:space="preserve"> </w:t>
      </w:r>
      <w:r w:rsidR="00024910">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 </w:instrText>
      </w:r>
      <w:r w:rsidR="00024910">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EN.CITE.DATA </w:instrText>
      </w:r>
      <w:r w:rsidR="00024910">
        <w:fldChar w:fldCharType="end"/>
      </w:r>
      <w:r w:rsidR="00024910">
        <w:fldChar w:fldCharType="separate"/>
      </w:r>
      <w:r w:rsidR="00024910">
        <w:rPr>
          <w:noProof/>
        </w:rPr>
        <w:t>(Beekman et al. 2019)</w:t>
      </w:r>
      <w:r w:rsidR="00024910">
        <w:fldChar w:fldCharType="end"/>
      </w:r>
      <w:r w:rsidRPr="00B35E47">
        <w:t xml:space="preserve">, and nearly 43% are diagnosed as MS rather than NMOSD </w:t>
      </w:r>
      <w:r>
        <w:fldChar w:fldCharType="begin">
          <w:fldData xml:space="preserve">PEVuZE5vdGU+PENpdGU+PEF1dGhvcj5KYXJpdXM8L0F1dGhvcj48WWVhcj4yMDEyPC9ZZWFyPjxS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</w:fldData>
        </w:fldChar>
      </w:r>
      <w:r>
        <w:instrText xml:space="preserve"> ADDIN EN.CITE </w:instrText>
      </w:r>
      <w:r>
        <w:fldChar w:fldCharType="begin">
          <w:fldData xml:space="preserve">PEVuZE5vdGU+PENpdGU+PEF1dGhvcj5KYXJpdXM8L0F1dGhvcj48WWVhcj4yMDEyPC9ZZWFyPjxS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</w:fldData>
        </w:fldChar>
      </w:r>
      <w:r>
        <w:instrText xml:space="preserve"> ADDIN EN.CITE.DATA </w:instrText>
      </w:r>
      <w:r>
        <w:fldChar w:fldCharType="end"/>
      </w:r>
      <w:r>
        <w:fldChar w:fldCharType="separate"/>
      </w:r>
      <w:r>
        <w:rPr>
          <w:noProof/>
        </w:rPr>
        <w:t>(Jarius et al. 2012)</w:t>
      </w:r>
      <w:r>
        <w:fldChar w:fldCharType="end"/>
      </w:r>
      <w:r w:rsidRPr="00B35E47">
        <w:t xml:space="preserve">. </w:t>
      </w:r>
    </w:p>
    <w:p w14:paraId="52404A36" w14:textId="6FE7C04A" w:rsidR="00CB6CE1" w:rsidRPr="00B35E47" w:rsidRDefault="00CB6CE1" w:rsidP="00CB6CE1">
      <w:r w:rsidRPr="00B35E47">
        <w:lastRenderedPageBreak/>
        <w:t xml:space="preserve">The structure of the Markov model </w:t>
      </w:r>
      <w:r w:rsidRPr="00435864">
        <w:t>(</w:t>
      </w:r>
      <w:r w:rsidRPr="00435864">
        <w:fldChar w:fldCharType="begin"/>
      </w:r>
      <w:r w:rsidRPr="00B0420A">
        <w:instrText xml:space="preserve"> REF _Ref34991186 \h </w:instrText>
      </w:r>
      <w:r>
        <w:instrText xml:space="preserve"> \* MERGEFORMAT </w:instrText>
      </w:r>
      <w:r w:rsidRPr="00435864">
        <w:fldChar w:fldCharType="separate"/>
      </w:r>
      <w:r w:rsidR="00340849" w:rsidRPr="00B35E47">
        <w:t xml:space="preserve">Figure </w:t>
      </w:r>
      <w:r w:rsidR="00340849">
        <w:t>9</w:t>
      </w:r>
      <w:r w:rsidRPr="00435864">
        <w:fldChar w:fldCharType="end"/>
      </w:r>
      <w:r w:rsidRPr="00435864">
        <w:t>) is</w:t>
      </w:r>
      <w:r w:rsidRPr="00B35E47">
        <w:t xml:space="preserve"> similar to the model presented in study by Aungsumart et al </w:t>
      </w:r>
      <w:r>
        <w:fldChar w:fldCharType="begin"/>
      </w:r>
      <w:r>
        <w:instrText xml:space="preserve"> ADDIN EN.CITE &lt;EndNote&gt;&lt;Cite&gt;&lt;Author&gt;Aungsumart&lt;/Author&gt;&lt;Year&gt;2020&lt;/Year&gt;&lt;RecNum&gt;2832&lt;/RecNum&gt;&lt;DisplayText&gt;(Aungsumart &amp;amp; Apiwattanakul 2020)&lt;/DisplayText&gt;&lt;record&gt;&lt;rec-number&gt;2832&lt;/rec-number&gt;&lt;foreign-keys&gt;&lt;key app="EN" db-id="r9zwwf2zmrrvxfespp15vtvjapza9v2fz5s5" timestamp="1581642811"&gt;2832&lt;/key&gt;&lt;/foreign-keys&gt;&lt;ref-type name="Journal Article"&gt;17&lt;/ref-type&gt;&lt;contributors&gt;&lt;authors&gt;&lt;author&gt;Aungsumart, S.&lt;/author&gt;&lt;author&gt;Apiwattanakul, M.&lt;/author&gt;&lt;/authors&gt;&lt;/contributors&gt;&lt;auth-address&gt;Neuroimmunology Unit, Department of Neurology, Prasat Neurological Institute, Bangkok, Thailand.&lt;/auth-address&gt;&lt;titles&gt;&lt;title&gt;Cost effectiveness of rituximab and mycophenolate mofetil for neuromyelitis optica spectrum disorder in Thailand: Economic evaluation and budget impact analysis&lt;/title&gt;&lt;secondary-title&gt;PLoS One&lt;/secondary-title&gt;&lt;/titles&gt;&lt;periodical&gt;&lt;full-title&gt;PLoS ONE&lt;/full-title&gt;&lt;/periodical&gt;&lt;pages&gt;e0229028&lt;/pages&gt;&lt;volume&gt;15&lt;/volume&gt;&lt;number&gt;2&lt;/number&gt;&lt;edition&gt;2020/02/13&lt;/edition&gt;&lt;dates&gt;&lt;year&gt;2020&lt;/year&gt;&lt;/dates&gt;&lt;isbn&gt;1932-6203 (Electronic)&amp;#xD;1932-6203 (Linking)&lt;/isbn&gt;&lt;accession-num&gt;32050011&lt;/accession-num&gt;&lt;urls&gt;&lt;related-urls&gt;&lt;url&gt;https://www.ncbi.nlm.nih.gov/pubmed/32050011&lt;/url&gt;&lt;url&gt;https://journals.plos.org/plosone/article/file?id=10.1371/journal.pone.0229028&amp;amp;type=printable&lt;/url&gt;&lt;/related-urls&gt;&lt;/urls&gt;&lt;electronic-resource-num&gt;10.1371/journal.pone.0229028&lt;/electronic-resource-num&gt;&lt;/record&gt;&lt;/Cite&gt;&lt;/EndNote&gt;</w:instrText>
      </w:r>
      <w:r>
        <w:fldChar w:fldCharType="separate"/>
      </w:r>
      <w:r>
        <w:rPr>
          <w:noProof/>
        </w:rPr>
        <w:t>(Aungsumart &amp; Apiwattanakul 2020)</w:t>
      </w:r>
      <w:r>
        <w:fldChar w:fldCharType="end"/>
      </w:r>
      <w:r w:rsidRPr="00B35E47">
        <w:t>. The Markov model considered three main health states based on the EDSS score:</w:t>
      </w:r>
    </w:p>
    <w:p w14:paraId="076BE571" w14:textId="77777777" w:rsidR="00CB6CE1" w:rsidRPr="00B35E47" w:rsidRDefault="00CB6CE1" w:rsidP="003816F6">
      <w:pPr>
        <w:numPr>
          <w:ilvl w:val="0"/>
          <w:numId w:val="52"/>
        </w:numPr>
      </w:pPr>
      <w:r>
        <w:t>disease</w:t>
      </w:r>
      <w:r w:rsidRPr="00B35E47">
        <w:t xml:space="preserve"> with no or mild disability (EDSS 0–5.5), </w:t>
      </w:r>
    </w:p>
    <w:p w14:paraId="514DE223" w14:textId="77777777" w:rsidR="00CB6CE1" w:rsidRPr="00B35E47" w:rsidRDefault="00CB6CE1" w:rsidP="003816F6">
      <w:pPr>
        <w:numPr>
          <w:ilvl w:val="0"/>
          <w:numId w:val="52"/>
        </w:numPr>
      </w:pPr>
      <w:r>
        <w:t>disease</w:t>
      </w:r>
      <w:r w:rsidRPr="00B35E47">
        <w:t xml:space="preserve"> with moderate to severe disability (EDSS 6–9.5), and </w:t>
      </w:r>
    </w:p>
    <w:p w14:paraId="33E93A7F" w14:textId="77777777" w:rsidR="00CB6CE1" w:rsidRPr="00B35E47" w:rsidRDefault="00CB6CE1" w:rsidP="003816F6">
      <w:pPr>
        <w:numPr>
          <w:ilvl w:val="0"/>
          <w:numId w:val="52"/>
        </w:numPr>
      </w:pPr>
      <w:r w:rsidRPr="00B35E47">
        <w:t xml:space="preserve">deceased NMOSD patients. </w:t>
      </w:r>
    </w:p>
    <w:p w14:paraId="1575F58D" w14:textId="77777777" w:rsidR="00CB6CE1" w:rsidRPr="00B35E47" w:rsidRDefault="00CB6CE1" w:rsidP="00CB6CE1">
      <w:r w:rsidRPr="00B35E47">
        <w:t xml:space="preserve">The model also includes two temporary health states for relapse classified by severity, viz. mild – moderate relapse and severe relapse. Patient in health states one and two can remain in remission (no relapse), temporarily experience a mild or severe relapse or dies due to a severe relapse. Patient with mild disability who suffers severe relapse will progress to health state with moderate to severe disability. Third health state is an absorbing state reflecting disease or age-specific mortality. </w:t>
      </w:r>
    </w:p>
    <w:p w14:paraId="6959ECC6" w14:textId="77777777" w:rsidR="00CB6CE1" w:rsidRDefault="00CB6CE1" w:rsidP="00CB6CE1">
      <w:r>
        <w:t xml:space="preserve">Based on the clinical literature, </w:t>
      </w:r>
      <w:r w:rsidRPr="00B35E47">
        <w:t xml:space="preserve">patients who test positive for AQP4-Ab will </w:t>
      </w:r>
      <w:r>
        <w:t xml:space="preserve">have a diagnosis and receive </w:t>
      </w:r>
      <w:r w:rsidRPr="00B35E47">
        <w:t xml:space="preserve">immunosuppressive therapy </w:t>
      </w:r>
      <w:r>
        <w:t xml:space="preserve">promptly. Subsequently they will </w:t>
      </w:r>
      <w:r w:rsidRPr="00B35E47">
        <w:t xml:space="preserve">have </w:t>
      </w:r>
      <w:r>
        <w:t xml:space="preserve">a </w:t>
      </w:r>
      <w:r w:rsidRPr="00B35E47">
        <w:t>reduced risk of relapse and associated disability</w:t>
      </w:r>
      <w:r>
        <w:t xml:space="preserve"> (see Section B5.2.4)</w:t>
      </w:r>
      <w:r w:rsidRPr="00B35E47">
        <w:t xml:space="preserve">. </w:t>
      </w:r>
    </w:p>
    <w:p w14:paraId="39DD5DDE" w14:textId="6A2218F1" w:rsidR="00CB6CE1" w:rsidRPr="00B35E47" w:rsidRDefault="00CB6CE1" w:rsidP="00CB6CE1">
      <w:r w:rsidRPr="00B35E47">
        <w:t xml:space="preserve">In the absence of testing, </w:t>
      </w:r>
      <w:r>
        <w:t xml:space="preserve">diagnosis and </w:t>
      </w:r>
      <w:r w:rsidRPr="00B35E47">
        <w:t xml:space="preserve">therapy initiation depends on the severity and remission of the first relapse and the clinical course. </w:t>
      </w:r>
      <w:r>
        <w:t>I</w:t>
      </w:r>
      <w:r w:rsidRPr="00B35E47">
        <w:t xml:space="preserve">n the absence of testing, only a small proportion of these patients will receive the correct NMOSD treatment </w:t>
      </w:r>
      <w:r>
        <w:t xml:space="preserve">initially </w:t>
      </w:r>
      <w:r w:rsidR="00AC01FD">
        <w:fldChar w:fldCharType="begin">
          <w:fldData xml:space="preserve">PEVuZE5vdGU+PENpdGU+PEF1dGhvcj5NY0NyZWFyeTwvQXV0aG9yPjxZZWFyPjIwMTg8L1llYXI+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</w:fldData>
        </w:fldChar>
      </w:r>
      <w:r w:rsidR="00024910">
        <w:instrText xml:space="preserve"> ADDIN EN.CITE </w:instrText>
      </w:r>
      <w:r w:rsidR="00024910">
        <w:fldChar w:fldCharType="begin">
          <w:fldData xml:space="preserve">PEVuZE5vdGU+PENpdGU+PEF1dGhvcj5NY0NyZWFyeTwvQXV0aG9yPjxZZWFyPjIwMTg8L1llYXI+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</w:fldData>
        </w:fldChar>
      </w:r>
      <w:r w:rsidR="00024910">
        <w:instrText xml:space="preserve"> ADDIN EN.CITE.DATA </w:instrText>
      </w:r>
      <w:r w:rsidR="00024910">
        <w:fldChar w:fldCharType="end"/>
      </w:r>
      <w:r w:rsidR="00AC01FD">
        <w:fldChar w:fldCharType="separate"/>
      </w:r>
      <w:r w:rsidR="00024910">
        <w:rPr>
          <w:noProof/>
        </w:rPr>
        <w:t>(Beekman et al. 2019; McCreary et al. 2018)</w:t>
      </w:r>
      <w:r w:rsidR="00AC01FD">
        <w:fldChar w:fldCharType="end"/>
      </w:r>
      <w:r>
        <w:t xml:space="preserve">. The remaining </w:t>
      </w:r>
      <w:r w:rsidRPr="00B35E47">
        <w:t>patients will either receive multiple sclerosis disease modifying treatment (MS-DMT) or no treatment</w:t>
      </w:r>
      <w:r>
        <w:t xml:space="preserve"> (see Section D.4)</w:t>
      </w:r>
      <w:r w:rsidRPr="00B35E47">
        <w:t xml:space="preserve">. MS-DMT are considered to cause more harm in NMOSD patients </w:t>
      </w:r>
      <w:r>
        <w:fldChar w:fldCharType="begin">
          <w:fldData xml:space="preserve">PEVuZE5vdGU+PENpdGU+PEF1dGhvcj5KYXJpdXM8L0F1dGhvcj48WWVhcj4yMDEyPC9ZZWFyPjxS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</w:fldData>
        </w:fldChar>
      </w:r>
      <w:r>
        <w:instrText xml:space="preserve"> ADDIN EN.CITE </w:instrText>
      </w:r>
      <w:r>
        <w:fldChar w:fldCharType="begin">
          <w:fldData xml:space="preserve">PEVuZE5vdGU+PENpdGU+PEF1dGhvcj5KYXJpdXM8L0F1dGhvcj48WWVhcj4yMDEyPC9ZZWFyPjxS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</w:fldData>
        </w:fldChar>
      </w:r>
      <w:r>
        <w:instrText xml:space="preserve"> ADDIN EN.CITE.DATA </w:instrText>
      </w:r>
      <w:r>
        <w:fldChar w:fldCharType="end"/>
      </w:r>
      <w:r>
        <w:fldChar w:fldCharType="separate"/>
      </w:r>
      <w:r>
        <w:rPr>
          <w:noProof/>
        </w:rPr>
        <w:t>(Jarius et al. 2012)</w:t>
      </w:r>
      <w:r>
        <w:fldChar w:fldCharType="end"/>
      </w:r>
      <w:r w:rsidRPr="00B35E47">
        <w:t xml:space="preserve">. </w:t>
      </w:r>
      <w:r>
        <w:t>However, in these patients, given that inappropriate treatment (if received) would not be successful, and the disease would at some stage relapse; it</w:t>
      </w:r>
      <w:r w:rsidRPr="00B35E47">
        <w:t xml:space="preserve"> is assumed that these patients will </w:t>
      </w:r>
      <w:r>
        <w:t xml:space="preserve">require ongoing medical attention, and eventually on clinical grounds, </w:t>
      </w:r>
      <w:r w:rsidRPr="00B35E47">
        <w:t xml:space="preserve">the correct diagnosis </w:t>
      </w:r>
      <w:r>
        <w:t xml:space="preserve">would be reached (and then </w:t>
      </w:r>
      <w:r w:rsidRPr="00B35E47">
        <w:t>correct NMOSD treatment</w:t>
      </w:r>
      <w:r>
        <w:t xml:space="preserve"> initiated). This event (correct diagnosis and treatment initiation) is modelled to occur at </w:t>
      </w:r>
      <w:r w:rsidRPr="00B35E47">
        <w:t xml:space="preserve">the mean time to </w:t>
      </w:r>
      <w:r>
        <w:t xml:space="preserve">NMO/NMOSD </w:t>
      </w:r>
      <w:r w:rsidRPr="00B35E47">
        <w:t>diagnosis</w:t>
      </w:r>
      <w:r>
        <w:t xml:space="preserve">, based on the data in </w:t>
      </w:r>
      <w:r w:rsidRPr="00B0420A">
        <w:t>Section B5.1.4</w:t>
      </w:r>
      <w:r w:rsidRPr="00B35E47">
        <w:t xml:space="preserve">. </w:t>
      </w:r>
    </w:p>
    <w:p w14:paraId="7C66E3BD" w14:textId="7ACE94B2" w:rsidR="00CB6CE1" w:rsidRDefault="00CB6CE1" w:rsidP="00CB6CE1">
      <w:r w:rsidRPr="00B35E47">
        <w:t>Although therapeutic evidence in MOG antibody positive patients is limited, they appear to show similar treatment responses to those with AQP4 antibody-positive NMOSD</w:t>
      </w:r>
      <w:r w:rsidR="00A24B34">
        <w:t xml:space="preserve"> </w:t>
      </w:r>
      <w:r w:rsidR="00A24B34">
        <w:fldChar w:fldCharType="begin"/>
      </w:r>
      <w:r w:rsidR="00A24B34">
        <w:instrText xml:space="preserve"> ADDIN EN.CITE &lt;EndNote&gt;&lt;Cite&gt;&lt;Author&gt;Misu&lt;/Author&gt;&lt;Year&gt;2018&lt;/Year&gt;&lt;RecNum&gt;83&lt;/RecNum&gt;&lt;DisplayText&gt;(Misu &amp;amp; Fujihara 2018)&lt;/DisplayText&gt;&lt;record&gt;&lt;rec-number&gt;83&lt;/rec-number&gt;&lt;foreign-keys&gt;&lt;key app="EN" db-id="r25zptaswpdzade29ws5pf9gx55ztppatt20" timestamp="1581912631"&gt;83&lt;/key&gt;&lt;key app="ENWeb" db-id=""&gt;0&lt;/key&gt;&lt;/foreign-keys&gt;&lt;ref-type name="Journal Article"&gt;17&lt;/ref-type&gt;&lt;contributors&gt;&lt;authors&gt;&lt;author&gt;Misu, T.&lt;/author&gt;&lt;author&gt;Fujihara, K.&lt;/author&gt;&lt;/authors&gt;&lt;/contributors&gt;&lt;titles&gt;&lt;title&gt;Neuromyelitis optica spectrum and myelin oligodendrocyte glycoprotein antibody-related disseminated encephalomyelitis&lt;/title&gt;&lt;secondary-title&gt;Clnical and experimental Neuroimmunology&lt;/secondary-title&gt;&lt;/titles&gt;&lt;periodical&gt;&lt;full-title&gt;Clnical and experimental Neuroimmunology&lt;/full-title&gt;&lt;/periodical&gt;&lt;pages&gt;9-17&lt;/pages&gt;&lt;number&gt;10&lt;/number&gt;&lt;dates&gt;&lt;year&gt;2018&lt;/year&gt;&lt;/dates&gt;&lt;urls&gt;&lt;/urls&gt;&lt;/record&gt;&lt;/Cite&gt;&lt;/EndNote&gt;</w:instrText>
      </w:r>
      <w:r w:rsidR="00A24B34">
        <w:fldChar w:fldCharType="separate"/>
      </w:r>
      <w:r w:rsidR="00A24B34">
        <w:rPr>
          <w:noProof/>
        </w:rPr>
        <w:t>(Misu &amp; Fujihara 2018)</w:t>
      </w:r>
      <w:r w:rsidR="00A24B34">
        <w:fldChar w:fldCharType="end"/>
      </w:r>
      <w:r w:rsidRPr="00B35E47">
        <w:t xml:space="preserve">. </w:t>
      </w:r>
      <w:r>
        <w:t>T</w:t>
      </w:r>
      <w:r w:rsidRPr="00B35E47">
        <w:t>herefore</w:t>
      </w:r>
      <w:r>
        <w:t>,</w:t>
      </w:r>
      <w:r w:rsidRPr="00B35E47">
        <w:t xml:space="preserve"> patients who are MOG-Ab positive will follow the same clinical path as for AQP4-Ab positives.</w:t>
      </w:r>
    </w:p>
    <w:p w14:paraId="123BBE8D" w14:textId="77777777" w:rsidR="00CB6CE1" w:rsidRPr="00B35E47" w:rsidRDefault="00CB6CE1" w:rsidP="00CB6CE1">
      <w:r>
        <w:t>R</w:t>
      </w:r>
      <w:r w:rsidRPr="00B35E47">
        <w:t>esource use and costs for the relevant treatment are based on attack severity with severe attacks requiring expensive and high-dose treatments compared to mild attacks</w:t>
      </w:r>
      <w:r>
        <w:t xml:space="preserve"> (see Section D.4 for further details)</w:t>
      </w:r>
      <w:r w:rsidRPr="00B35E47">
        <w:t>. Health utility values are considered to be lower for patient</w:t>
      </w:r>
      <w:r>
        <w:t>s</w:t>
      </w:r>
      <w:r w:rsidRPr="00B35E47">
        <w:t xml:space="preserve"> with severe disability and</w:t>
      </w:r>
      <w:r>
        <w:t>/or experiencing</w:t>
      </w:r>
      <w:r w:rsidRPr="00B35E47">
        <w:t xml:space="preserve"> severe </w:t>
      </w:r>
      <w:r>
        <w:t>relapses (see Section C.4.1)</w:t>
      </w:r>
      <w:r w:rsidRPr="00B35E47">
        <w:t>.</w:t>
      </w:r>
    </w:p>
    <w:p w14:paraId="1909E87D" w14:textId="77777777" w:rsidR="00CB6CE1" w:rsidRPr="00B35E47" w:rsidRDefault="00095358" w:rsidP="00095358">
      <w:pPr>
        <w:pStyle w:val="Heading3"/>
      </w:pPr>
      <w:bookmarkStart w:id="438" w:name="_Toc39588362"/>
      <w:r>
        <w:t>D3.3</w:t>
      </w:r>
      <w:r>
        <w:tab/>
      </w:r>
      <w:r w:rsidR="00CB6CE1" w:rsidRPr="00B35E47">
        <w:t>Time horizon</w:t>
      </w:r>
      <w:bookmarkEnd w:id="438"/>
    </w:p>
    <w:p w14:paraId="2C28BEE8" w14:textId="51F47D7D" w:rsidR="00CB6CE1" w:rsidRPr="00B35E47" w:rsidRDefault="00CB6CE1" w:rsidP="00CB6CE1">
      <w:r w:rsidRPr="00B35E47">
        <w:t>The model runs over a time horizon equivalent to</w:t>
      </w:r>
      <w:r>
        <w:t xml:space="preserve"> the</w:t>
      </w:r>
      <w:r w:rsidRPr="00B35E47">
        <w:t xml:space="preserve"> mean time to </w:t>
      </w:r>
      <w:r>
        <w:t xml:space="preserve">correct NMSOD </w:t>
      </w:r>
      <w:r w:rsidRPr="00B35E47">
        <w:t>diagnosis</w:t>
      </w:r>
      <w:r>
        <w:t xml:space="preserve"> in the longer of the two arms</w:t>
      </w:r>
      <w:r w:rsidRPr="00B35E47">
        <w:t xml:space="preserve"> (long enough to capture the effects of delayed diagnosis), with </w:t>
      </w:r>
      <w:r w:rsidR="00A350CD">
        <w:t>t</w:t>
      </w:r>
      <w:r w:rsidR="00A350CD" w:rsidRPr="00A350CD">
        <w:t xml:space="preserve">hree months (quarterly) </w:t>
      </w:r>
      <w:r w:rsidRPr="00B35E47">
        <w:t>model cycles in the Markov component.</w:t>
      </w:r>
    </w:p>
    <w:p w14:paraId="3230864D" w14:textId="77777777" w:rsidR="00CB6CE1" w:rsidRPr="00B35E47" w:rsidRDefault="00CB6CE1" w:rsidP="00CB6CE1">
      <w:r w:rsidRPr="00B35E47">
        <w:t xml:space="preserve">There is no conclusive evidence to indicate that treatment effect or disease progression varies consistently over time. The modelled time horizon is required to capture the time where there is a difference in treatment costs and health outcomes between the treatment arms. Given that the correct diagnosis and treatment does occur after a delayed period in the comparator arm, then the </w:t>
      </w:r>
      <w:r w:rsidRPr="00B35E47">
        <w:lastRenderedPageBreak/>
        <w:t>time horizon of the model only needs to be until both arms have all patients diagnosed correctly and receiving correct treatment. After the nominated mean time to correct diagnosis, all diagnosed patients will be receiving correct treatment with immunosuppressive therapies, which are considered to have similar treatment efficacy</w:t>
      </w:r>
      <w:r>
        <w:t>,</w:t>
      </w:r>
      <w:r w:rsidRPr="00B35E47">
        <w:t xml:space="preserve"> irrespective of the time on treatment. Thereafter </w:t>
      </w:r>
      <w:r>
        <w:t xml:space="preserve">there is </w:t>
      </w:r>
      <w:r w:rsidRPr="00B35E47">
        <w:t xml:space="preserve">no </w:t>
      </w:r>
      <w:r>
        <w:t xml:space="preserve">evidence to suggest </w:t>
      </w:r>
      <w:r w:rsidRPr="00B35E47">
        <w:t xml:space="preserve">further incremental costs or outcomes </w:t>
      </w:r>
      <w:r>
        <w:t xml:space="preserve">between arms </w:t>
      </w:r>
      <w:r w:rsidRPr="00B35E47">
        <w:t>would be expected.</w:t>
      </w:r>
    </w:p>
    <w:p w14:paraId="5C82A2F7" w14:textId="18B01CAC" w:rsidR="001C60AE" w:rsidRDefault="00CB6CE1" w:rsidP="00CB6CE1">
      <w:r w:rsidRPr="00B35E47">
        <w:fldChar w:fldCharType="begin"/>
      </w:r>
      <w:r w:rsidRPr="00B35E47">
        <w:instrText xml:space="preserve"> REF _Ref377977732 \h  \* MERGEFORMAT </w:instrText>
      </w:r>
      <w:r w:rsidRPr="00B35E47">
        <w:fldChar w:fldCharType="separate"/>
      </w:r>
      <w:r w:rsidR="00340849" w:rsidRPr="00095358">
        <w:t xml:space="preserve">Figure </w:t>
      </w:r>
      <w:r w:rsidR="00340849">
        <w:rPr>
          <w:noProof/>
        </w:rPr>
        <w:t>8</w:t>
      </w:r>
      <w:r w:rsidRPr="00B35E47">
        <w:fldChar w:fldCharType="end"/>
      </w:r>
      <w:r w:rsidRPr="00B35E47">
        <w:t xml:space="preserve"> presents the structure of decision analytic model of the economic evaluation and </w:t>
      </w:r>
      <w:r w:rsidRPr="00613EAC">
        <w:fldChar w:fldCharType="begin"/>
      </w:r>
      <w:r w:rsidRPr="00613EAC">
        <w:instrText xml:space="preserve"> REF _Ref34991186 \h </w:instrText>
      </w:r>
      <w:r>
        <w:instrText xml:space="preserve"> \* MERGEFORMAT </w:instrText>
      </w:r>
      <w:r w:rsidRPr="00613EAC">
        <w:fldChar w:fldCharType="separate"/>
      </w:r>
      <w:r w:rsidR="00340849" w:rsidRPr="00B35E47">
        <w:t xml:space="preserve">Figure </w:t>
      </w:r>
      <w:r w:rsidR="00340849">
        <w:t>9</w:t>
      </w:r>
      <w:r w:rsidRPr="00613EAC">
        <w:fldChar w:fldCharType="end"/>
      </w:r>
      <w:r w:rsidRPr="00613EAC">
        <w:t xml:space="preserve"> </w:t>
      </w:r>
      <w:r w:rsidRPr="00B35E47">
        <w:t>depicts the health states transitions in the Markov modelled analysis.</w:t>
      </w:r>
    </w:p>
    <w:p w14:paraId="2C4767C2" w14:textId="5E17E6C9" w:rsidR="00971FFB" w:rsidRDefault="00971FFB" w:rsidP="00971FFB">
      <w:pPr>
        <w:jc w:val="left"/>
        <w:sectPr w:rsidR="00971FFB" w:rsidSect="001229D7">
          <w:headerReference w:type="default" r:id="rId38"/>
          <w:pgSz w:w="11906" w:h="16838"/>
          <w:pgMar w:top="1440" w:right="1440" w:bottom="1440" w:left="1440" w:header="720" w:footer="720" w:gutter="0"/>
          <w:paperSrc w:first="7" w:other="7"/>
          <w:cols w:space="720"/>
        </w:sectPr>
      </w:pPr>
    </w:p>
    <w:p w14:paraId="0A9CFE69" w14:textId="47E820AF" w:rsidR="00CB6CE1" w:rsidRPr="00B35E47" w:rsidRDefault="00CB6CE1" w:rsidP="00CB6CE1"/>
    <w:p w14:paraId="5963F025" w14:textId="77777777" w:rsidR="00CB6CE1" w:rsidRPr="00B35E47" w:rsidRDefault="00CB6CE1" w:rsidP="00CB6CE1">
      <w:pPr>
        <w:keepNext/>
      </w:pPr>
      <w:r>
        <w:rPr>
          <w:noProof/>
        </w:rPr>
        <w:drawing>
          <wp:inline distT="0" distB="0" distL="0" distR="0" wp14:anchorId="41A32838" wp14:editId="2B4AC5CF">
            <wp:extent cx="8863330" cy="2924355"/>
            <wp:effectExtent l="0" t="0" r="0" b="9525"/>
            <wp:docPr id="4" name="Picture 4" descr="Decision analytic structure of the economic evaluation (also indicating where Markov modelling is initiated)" title="Decision analytic structure of the economic evaluation (also indicating where Markov modelling is initi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63330" cy="2924355"/>
                    </a:xfrm>
                    <a:prstGeom prst="rect">
                      <a:avLst/>
                    </a:prstGeom>
                  </pic:spPr>
                </pic:pic>
              </a:graphicData>
            </a:graphic>
          </wp:inline>
        </w:drawing>
      </w:r>
    </w:p>
    <w:p w14:paraId="6A00A4F0" w14:textId="49D20EC5" w:rsidR="00CB6CE1" w:rsidRPr="00095358" w:rsidRDefault="00CB6CE1" w:rsidP="00095358">
      <w:pPr>
        <w:pStyle w:val="Caption"/>
      </w:pPr>
      <w:bookmarkStart w:id="439" w:name="_Ref377977732"/>
      <w:bookmarkStart w:id="440" w:name="_Toc34212198"/>
      <w:bookmarkStart w:id="441" w:name="_Toc36054899"/>
      <w:bookmarkStart w:id="442" w:name="_Toc381969896"/>
      <w:bookmarkStart w:id="443" w:name="_Toc79672139"/>
      <w:r w:rsidRPr="00095358">
        <w:t xml:space="preserve">Figure </w:t>
      </w:r>
      <w:fldSimple w:instr=" SEQ Figure \* ARABIC ">
        <w:r w:rsidR="00340849">
          <w:rPr>
            <w:noProof/>
          </w:rPr>
          <w:t>8</w:t>
        </w:r>
      </w:fldSimple>
      <w:bookmarkEnd w:id="439"/>
      <w:r w:rsidRPr="00095358">
        <w:tab/>
        <w:t>Decision analytic structure of the economic evaluation</w:t>
      </w:r>
      <w:bookmarkEnd w:id="440"/>
      <w:bookmarkEnd w:id="441"/>
      <w:r w:rsidRPr="00095358">
        <w:t xml:space="preserve"> (also indicating where Markov modelling is initiated)</w:t>
      </w:r>
      <w:bookmarkEnd w:id="443"/>
    </w:p>
    <w:bookmarkEnd w:id="442"/>
    <w:p w14:paraId="2FB0D319" w14:textId="39FB9A4E" w:rsidR="00971FFB" w:rsidRDefault="00CB6CE1" w:rsidP="00CB6CE1">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 xml:space="preserve">Ab = antibody; </w:t>
      </w:r>
      <w:r>
        <w:rPr>
          <w:rFonts w:ascii="Arial Narrow" w:hAnsi="Arial Narrow" w:cs="Arial"/>
          <w:snapToGrid w:val="0"/>
          <w:sz w:val="18"/>
          <w:szCs w:val="20"/>
          <w:lang w:eastAsia="en-US"/>
        </w:rPr>
        <w:t xml:space="preserve">M = Markov modelling process is intiated; MS-DMT = multiple sclerosis disease modifying treatment; </w:t>
      </w:r>
      <w:r w:rsidRPr="00B35E47">
        <w:rPr>
          <w:rFonts w:ascii="Arial Narrow" w:hAnsi="Arial Narrow" w:cs="Arial"/>
          <w:snapToGrid w:val="0"/>
          <w:sz w:val="18"/>
          <w:szCs w:val="20"/>
          <w:lang w:eastAsia="en-US"/>
        </w:rPr>
        <w:t>NMOSD = neuromyelitis optica spectrum disorder</w:t>
      </w:r>
    </w:p>
    <w:p w14:paraId="045B7823" w14:textId="77777777" w:rsidR="00971FFB" w:rsidRDefault="00971FFB" w:rsidP="00CB6CE1">
      <w:pPr>
        <w:widowControl w:val="0"/>
        <w:spacing w:after="120" w:line="240" w:lineRule="auto"/>
        <w:contextualSpacing/>
        <w:jc w:val="left"/>
        <w:rPr>
          <w:rFonts w:ascii="Arial Narrow" w:hAnsi="Arial Narrow" w:cs="Arial"/>
          <w:snapToGrid w:val="0"/>
          <w:sz w:val="18"/>
          <w:szCs w:val="20"/>
          <w:lang w:eastAsia="en-US"/>
        </w:rPr>
      </w:pPr>
    </w:p>
    <w:p w14:paraId="6E35FE07" w14:textId="285E3E21" w:rsidR="001C60AE" w:rsidRDefault="001C60AE" w:rsidP="00971FFB">
      <w:pPr>
        <w:jc w:val="left"/>
        <w:rPr>
          <w:rFonts w:ascii="Arial Narrow" w:hAnsi="Arial Narrow" w:cs="Arial"/>
          <w:snapToGrid w:val="0"/>
          <w:sz w:val="18"/>
          <w:szCs w:val="20"/>
          <w:lang w:eastAsia="en-US"/>
        </w:rPr>
        <w:sectPr w:rsidR="001C60AE" w:rsidSect="001229D7">
          <w:headerReference w:type="default" r:id="rId40"/>
          <w:type w:val="oddPage"/>
          <w:pgSz w:w="16838" w:h="11906" w:orient="landscape"/>
          <w:pgMar w:top="1440" w:right="1440" w:bottom="1440" w:left="1440" w:header="720" w:footer="720" w:gutter="0"/>
          <w:paperSrc w:first="265" w:other="265"/>
          <w:cols w:space="720"/>
        </w:sectPr>
      </w:pPr>
    </w:p>
    <w:p w14:paraId="7875E062" w14:textId="77777777" w:rsidR="00CB6CE1" w:rsidRPr="00B35E47" w:rsidRDefault="00CB6CE1" w:rsidP="00CB6CE1">
      <w:pPr>
        <w:keepNext/>
      </w:pPr>
      <w:r>
        <w:rPr>
          <w:noProof/>
        </w:rPr>
        <w:lastRenderedPageBreak/>
        <w:drawing>
          <wp:inline distT="0" distB="0" distL="0" distR="0" wp14:anchorId="6E936B64" wp14:editId="288BC953">
            <wp:extent cx="5731510" cy="4203700"/>
            <wp:effectExtent l="0" t="0" r="2540" b="6350"/>
            <wp:docPr id="19" name="Picture 19" descr="State transition diagram for the Markov component of the economic model" title="State transition diagram for the Markov component of the econom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4203700"/>
                    </a:xfrm>
                    <a:prstGeom prst="rect">
                      <a:avLst/>
                    </a:prstGeom>
                  </pic:spPr>
                </pic:pic>
              </a:graphicData>
            </a:graphic>
          </wp:inline>
        </w:drawing>
      </w:r>
    </w:p>
    <w:p w14:paraId="5D2DFA99" w14:textId="457B91FE" w:rsidR="00CB6CE1" w:rsidRDefault="00CB6CE1" w:rsidP="00CB6CE1">
      <w:pPr>
        <w:pStyle w:val="Caption"/>
      </w:pPr>
      <w:bookmarkStart w:id="444" w:name="_Ref34991186"/>
      <w:bookmarkStart w:id="445" w:name="_Toc36054900"/>
      <w:bookmarkStart w:id="446" w:name="_Toc79672140"/>
      <w:r w:rsidRPr="00B35E47">
        <w:t xml:space="preserve">Figure </w:t>
      </w:r>
      <w:fldSimple w:instr=" SEQ Figure \* ARABIC ">
        <w:r w:rsidR="00340849">
          <w:rPr>
            <w:noProof/>
          </w:rPr>
          <w:t>9</w:t>
        </w:r>
      </w:fldSimple>
      <w:bookmarkEnd w:id="444"/>
      <w:r w:rsidRPr="00B35E47">
        <w:tab/>
        <w:t>State transition diagram for the Markov</w:t>
      </w:r>
      <w:r>
        <w:t xml:space="preserve"> </w:t>
      </w:r>
      <w:bookmarkEnd w:id="445"/>
      <w:r>
        <w:t>component of the economic model</w:t>
      </w:r>
      <w:bookmarkEnd w:id="446"/>
    </w:p>
    <w:p w14:paraId="47F3A81B" w14:textId="77777777" w:rsidR="00CB6CE1" w:rsidRDefault="00CB6CE1" w:rsidP="00CB6CE1">
      <w:pPr>
        <w:pStyle w:val="Tablenotes0"/>
        <w:jc w:val="both"/>
      </w:pPr>
      <w:r>
        <w:t>p_age_specific mortality = age-specific mortality risk in general population (Australia); _disability_death = mortality risk due to disease asscoaited disability; p_relapse_death = mortality risk associated with relapse; p_relapse_mild = probability of having mild relapse; p_relapse_severe = probability of having severe relapse; p_progress = probability of progressing from temporary health state disease with no/mild disability and severe relapse to health state disease with moderate–severe disability.</w:t>
      </w:r>
    </w:p>
    <w:p w14:paraId="6984FC8E" w14:textId="77777777" w:rsidR="00CB6CE1" w:rsidRDefault="00CB6CE1" w:rsidP="00CB6CE1">
      <w:pPr>
        <w:pStyle w:val="Tablenotes0"/>
        <w:jc w:val="both"/>
      </w:pPr>
    </w:p>
    <w:p w14:paraId="2DD9D13E" w14:textId="77777777" w:rsidR="00CB6CE1" w:rsidRPr="00B35E47" w:rsidRDefault="00CB6CE1" w:rsidP="00CB6CE1">
      <w:r w:rsidRPr="00C4359F">
        <w:t xml:space="preserve">Details and justification for the various transition variables used in the model are described in Section D.4, and a summary table of the transition variables with values and/or the sources of these is presented in </w:t>
      </w:r>
      <w:r>
        <w:fldChar w:fldCharType="begin"/>
      </w:r>
      <w:r>
        <w:instrText xml:space="preserve"> REF _Ref38018459 \h </w:instrText>
      </w:r>
      <w:r>
        <w:fldChar w:fldCharType="separate"/>
      </w:r>
      <w:r w:rsidR="006E2BA9">
        <w:t xml:space="preserve">Table </w:t>
      </w:r>
      <w:r w:rsidR="006E2BA9">
        <w:rPr>
          <w:noProof/>
        </w:rPr>
        <w:t>108</w:t>
      </w:r>
      <w:r>
        <w:fldChar w:fldCharType="end"/>
      </w:r>
      <w:r>
        <w:t xml:space="preserve">, </w:t>
      </w:r>
      <w:r w:rsidRPr="00C4359F">
        <w:t>Attachment</w:t>
      </w:r>
      <w:r>
        <w:t xml:space="preserve"> I.</w:t>
      </w:r>
    </w:p>
    <w:p w14:paraId="183D0274" w14:textId="77777777" w:rsidR="00CB6CE1" w:rsidRPr="00B35E47" w:rsidRDefault="00095358" w:rsidP="00095358">
      <w:pPr>
        <w:pStyle w:val="Heading3"/>
      </w:pPr>
      <w:bookmarkStart w:id="447" w:name="_Toc39588363"/>
      <w:r>
        <w:t>D3.4</w:t>
      </w:r>
      <w:r>
        <w:tab/>
      </w:r>
      <w:r w:rsidR="00CB6CE1" w:rsidRPr="00B35E47">
        <w:t>Assumptions incorporated into the model structure:</w:t>
      </w:r>
      <w:bookmarkEnd w:id="447"/>
    </w:p>
    <w:p w14:paraId="7793E831" w14:textId="77777777" w:rsidR="00CB6CE1" w:rsidRDefault="00CB6CE1" w:rsidP="00CB6CE1">
      <w:r>
        <w:t xml:space="preserve">A number of </w:t>
      </w:r>
      <w:r w:rsidRPr="00B35E47">
        <w:t xml:space="preserve">assumptions </w:t>
      </w:r>
      <w:r>
        <w:t xml:space="preserve">are employed to enable a working </w:t>
      </w:r>
      <w:r w:rsidRPr="00B35E47">
        <w:t>model.</w:t>
      </w:r>
    </w:p>
    <w:p w14:paraId="003F87A8" w14:textId="77777777" w:rsidR="00CB6CE1" w:rsidRPr="00B35E47" w:rsidRDefault="00CB6CE1" w:rsidP="00CB6CE1">
      <w:r w:rsidRPr="00B35E47">
        <w:t>Relapses are classified according to the disease severity</w:t>
      </w:r>
      <w:r>
        <w:t xml:space="preserve"> </w:t>
      </w:r>
      <w:r w:rsidRPr="00B35E47">
        <w:t xml:space="preserve">(mild or severe) and not by the onset type (optic neuritis, transverse myelitis, etc.). A patient undergoing a relapse will require high-dose steroid treatment, single course in mild attack and the multiple courses in a severe attack. NMOSD is not a progressive disease, however disability is accumulated with each relapse due to disease exacerbations. In </w:t>
      </w:r>
      <w:r>
        <w:t xml:space="preserve">the </w:t>
      </w:r>
      <w:r w:rsidRPr="00B35E47">
        <w:t xml:space="preserve">real world, patients may improve their EDSS scores, and therefore disability status, but data to support this are insufficient. As most of the NMOSD cases are relapsing, with often incomplete recovery and rapid accumulation of neurological deficits, it is assumed that the patients with moderate to severe disability will not improve enough to have no/mild disability in the model. Patient in health state ‘disease with moderate–severe disability cannot return to health state ‘disease with no/mild disability’, thus indicating a confirmation of disability progression following a severe relapse. The temporary health states of mild and severe relapses provide model to account for </w:t>
      </w:r>
      <w:r w:rsidRPr="00B35E47">
        <w:lastRenderedPageBreak/>
        <w:t xml:space="preserve">treatment efficacy and therefore control progression in the disease severity based on the treatment effect. </w:t>
      </w:r>
    </w:p>
    <w:p w14:paraId="2043E238" w14:textId="77777777" w:rsidR="00CB6CE1" w:rsidRDefault="00CB6CE1" w:rsidP="00CB6CE1">
      <w:r>
        <w:t>The p</w:t>
      </w:r>
      <w:r w:rsidRPr="00B35E47">
        <w:t>robability of relapse</w:t>
      </w:r>
      <w:r>
        <w:t xml:space="preserve"> (in the absence of treatment)</w:t>
      </w:r>
      <w:r w:rsidRPr="00B35E47">
        <w:t xml:space="preserve"> is </w:t>
      </w:r>
      <w:r>
        <w:t xml:space="preserve">assumed </w:t>
      </w:r>
      <w:r w:rsidRPr="00B35E47">
        <w:t xml:space="preserve">to be </w:t>
      </w:r>
      <w:r>
        <w:t xml:space="preserve">the </w:t>
      </w:r>
      <w:r w:rsidRPr="00B35E47">
        <w:t>same for all patient groups</w:t>
      </w:r>
      <w:r>
        <w:t>, as there is no evidence to the contrary</w:t>
      </w:r>
      <w:r w:rsidRPr="00B35E47">
        <w:t>.</w:t>
      </w:r>
      <w:r>
        <w:t xml:space="preserve"> The probability of relapse (mild/severe) while on treatment is estimated using the treatment effect (relative risk) in the model.</w:t>
      </w:r>
    </w:p>
    <w:p w14:paraId="674A3BEF" w14:textId="77777777" w:rsidR="00CB6CE1" w:rsidRDefault="00CB6CE1" w:rsidP="00CB6CE1">
      <w:r>
        <w:t>It is assumed that a</w:t>
      </w:r>
      <w:r w:rsidRPr="00B35E47">
        <w:t>fter the nominated mean time to correct diagnosis, all diagnosed patients will be receiving correct treatment with immunosuppressive therapies, which are considered to have similar treatment efficacy</w:t>
      </w:r>
      <w:r>
        <w:t>,</w:t>
      </w:r>
      <w:r w:rsidRPr="00B35E47">
        <w:t xml:space="preserve"> irrespective of the time on treatment.</w:t>
      </w:r>
      <w:r>
        <w:t xml:space="preserve"> Therefore the modelled time horizon is set</w:t>
      </w:r>
      <w:r w:rsidRPr="00731514">
        <w:t xml:space="preserve"> to mean time to correct NMSOD diagnosi</w:t>
      </w:r>
      <w:r>
        <w:t>s in the longer of the two arms.</w:t>
      </w:r>
    </w:p>
    <w:p w14:paraId="25EA33E4" w14:textId="77777777" w:rsidR="00CB6CE1" w:rsidRDefault="00CB6CE1" w:rsidP="00CB6CE1">
      <w:r>
        <w:t>Patients with no/mild disability (in remission or with mild relapse) are assumed to have mortality risk similar to the general population. Patients in remission with moderate–severe disability are assumed to have a mortality risk associated with disease disability. Patients with severe relapse (irrespective of disease severity) and patients with moderate–severe disability and mild relapse are assumed to have mortality risk associated with the disease relapse (see Section D.4 for further details).</w:t>
      </w:r>
    </w:p>
    <w:p w14:paraId="24D5732B" w14:textId="77777777" w:rsidR="00CB6CE1" w:rsidRPr="00B35E47" w:rsidRDefault="00CB6CE1" w:rsidP="00CB6CE1">
      <w:r w:rsidRPr="00B35E47">
        <w:t>It is assumed that the patients who test negative for AQP4-Ab/MOG-Ab will have similar diagnostic challenge and ongoing management of disease across each modelled arm. Downstream costs and effectiveness of these patients are considered to offset each other. The Markov analysis therefore only follows patients that would have/test positive for the AQP4-Ab/MOG-Ab.</w:t>
      </w:r>
      <w:r>
        <w:t xml:space="preserve"> This approach may be incorrect and NMOSD-Ab testing may help in ruling out diagnosis of NMOSD in the patients who test negative. However, evidence related to the conclusive diagnosis and management of patients who test negative is lacking. Limiting the test benefits to the patients who test positive is likely to be a conservative approach and may underestimate the cost-effectiveness of the proposed test.</w:t>
      </w:r>
    </w:p>
    <w:p w14:paraId="2BAFFB16" w14:textId="77777777" w:rsidR="00CB6CE1" w:rsidRPr="00B35E47" w:rsidRDefault="00095358" w:rsidP="00095358">
      <w:pPr>
        <w:pStyle w:val="Heading2"/>
      </w:pPr>
      <w:bookmarkStart w:id="448" w:name="_Toc381796479"/>
      <w:bookmarkStart w:id="449" w:name="_Toc34212318"/>
      <w:bookmarkStart w:id="450" w:name="_Toc38031957"/>
      <w:bookmarkStart w:id="451" w:name="_Toc39588364"/>
      <w:r>
        <w:t>D4</w:t>
      </w:r>
      <w:r>
        <w:tab/>
      </w:r>
      <w:r w:rsidR="00CB6CE1" w:rsidRPr="00B35E47">
        <w:t>Inputs to the economic evaluation</w:t>
      </w:r>
      <w:bookmarkEnd w:id="448"/>
      <w:bookmarkEnd w:id="449"/>
      <w:bookmarkEnd w:id="450"/>
      <w:bookmarkEnd w:id="451"/>
    </w:p>
    <w:p w14:paraId="194032E4" w14:textId="1E85F4AF" w:rsidR="00CB6CE1" w:rsidRPr="00B35E47" w:rsidRDefault="00CB6CE1" w:rsidP="00CB6CE1">
      <w:r w:rsidRPr="00B35E47">
        <w:t>The inputs used to inform costing</w:t>
      </w:r>
      <w:r>
        <w:t xml:space="preserve"> and transition probabilities</w:t>
      </w:r>
      <w:r w:rsidRPr="00B35E47">
        <w:t xml:space="preserve"> are categorised and described throughout this section.</w:t>
      </w:r>
      <w:r>
        <w:t xml:space="preserve"> A</w:t>
      </w:r>
      <w:r w:rsidRPr="00C4359F">
        <w:t xml:space="preserve"> summary table of the transition variables with values and the sources of these is presented in </w:t>
      </w:r>
      <w:r>
        <w:fldChar w:fldCharType="begin"/>
      </w:r>
      <w:r>
        <w:instrText xml:space="preserve"> REF _Ref38018459 \h </w:instrText>
      </w:r>
      <w:r>
        <w:fldChar w:fldCharType="separate"/>
      </w:r>
      <w:r w:rsidR="006E2BA9">
        <w:t xml:space="preserve">Table </w:t>
      </w:r>
      <w:r w:rsidR="006E2BA9">
        <w:rPr>
          <w:noProof/>
        </w:rPr>
        <w:t>108</w:t>
      </w:r>
      <w:r>
        <w:fldChar w:fldCharType="end"/>
      </w:r>
      <w:r>
        <w:t xml:space="preserve">, </w:t>
      </w:r>
      <w:r w:rsidRPr="00C4359F">
        <w:t>Attachment</w:t>
      </w:r>
      <w:r>
        <w:t xml:space="preserve"> I. </w:t>
      </w:r>
      <w:r w:rsidR="0048244F">
        <w:t>All annual probabilities were converted to quarterly cycle lengths using appropriate probability to rate and rate to probability conversion formulas</w:t>
      </w:r>
      <w:r w:rsidR="00A350CD">
        <w:rPr>
          <w:rStyle w:val="FootnoteReference"/>
        </w:rPr>
        <w:footnoteReference w:id="13"/>
      </w:r>
      <w:r w:rsidR="0048244F">
        <w:t>. Annual costs of health resources were also adjusted for quarterly cycle lengths.</w:t>
      </w:r>
    </w:p>
    <w:p w14:paraId="4EED1BA3" w14:textId="77777777" w:rsidR="00CB6CE1" w:rsidRPr="00B35E47" w:rsidRDefault="00095358" w:rsidP="00095358">
      <w:pPr>
        <w:pStyle w:val="Heading3"/>
      </w:pPr>
      <w:bookmarkStart w:id="452" w:name="_Toc38031958"/>
      <w:bookmarkStart w:id="453" w:name="_Toc39588365"/>
      <w:r>
        <w:t>D4.1</w:t>
      </w:r>
      <w:r>
        <w:tab/>
      </w:r>
      <w:r w:rsidR="00CB6CE1" w:rsidRPr="00B35E47">
        <w:t>Patient demographics</w:t>
      </w:r>
      <w:bookmarkEnd w:id="452"/>
      <w:bookmarkEnd w:id="453"/>
    </w:p>
    <w:p w14:paraId="794A08A3" w14:textId="77777777" w:rsidR="00CB6CE1" w:rsidRPr="00B35E47" w:rsidRDefault="00CB6CE1" w:rsidP="00CB6CE1">
      <w:r w:rsidRPr="00B35E47">
        <w:t xml:space="preserve">There is little detail provided on the demographics of the patients in the studies identified in the systematic review presented in Section B, however most of the studies appear to be in patients who are 12 – 51 years of (mean) age (see Appendix C). </w:t>
      </w:r>
    </w:p>
    <w:p w14:paraId="283A5FE9" w14:textId="21B13A88" w:rsidR="00CB6CE1" w:rsidRPr="00B35E47" w:rsidRDefault="00CB6CE1" w:rsidP="00CB6CE1">
      <w:r w:rsidRPr="00B35E47">
        <w:t xml:space="preserve">One recently published Australian study </w:t>
      </w:r>
      <w:r>
        <w:fldChar w:fldCharType="begin">
          <w:fldData xml:space="preserve">PEVuZE5vdGU+PENpdGU+PEF1dGhvcj5CdWtoYXJpPC9BdXRob3I+PFllYXI+MjAyMDwvWWVhcj48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</w:fldData>
        </w:fldChar>
      </w:r>
      <w:r w:rsidR="00D96694">
        <w:instrText xml:space="preserve"> ADDIN EN.CITE </w:instrText>
      </w:r>
      <w:r w:rsidR="00D96694">
        <w:fldChar w:fldCharType="begin">
          <w:fldData xml:space="preserve">PEVuZE5vdGU+PENpdGU+PEF1dGhvcj5CdWtoYXJpPC9BdXRob3I+PFllYXI+MjAyMDwvWWVhcj48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</w:fldData>
        </w:fldChar>
      </w:r>
      <w:r w:rsidR="00D96694">
        <w:instrText xml:space="preserve"> ADDIN EN.CITE.DATA </w:instrText>
      </w:r>
      <w:r w:rsidR="00D96694">
        <w:fldChar w:fldCharType="end"/>
      </w:r>
      <w:r>
        <w:fldChar w:fldCharType="separate"/>
      </w:r>
      <w:r>
        <w:rPr>
          <w:noProof/>
        </w:rPr>
        <w:t>(Bukhari et al. 2020)</w:t>
      </w:r>
      <w:r>
        <w:fldChar w:fldCharType="end"/>
      </w:r>
      <w:r w:rsidRPr="00B35E47">
        <w:t xml:space="preserve"> was identified that conducted a clinical survey of possible NMOSD cases across 23 central nervous system (CNS) demyelination clinics in Australia and New Zealand with the aim of outlining the clinical profile of the disease in this region and evaluating the 2015 IPND diagnostic criteria. The key clinical features of NMOSD patients relevant to the economic model are summarised in</w:t>
      </w:r>
      <w:r>
        <w:t xml:space="preserve"> </w:t>
      </w:r>
      <w:r w:rsidRPr="006C4DE2">
        <w:fldChar w:fldCharType="begin"/>
      </w:r>
      <w:r w:rsidRPr="006C4DE2">
        <w:instrText xml:space="preserve"> REF _Ref36473832 \h </w:instrText>
      </w:r>
      <w:r>
        <w:instrText xml:space="preserve"> \* MERGEFORMAT </w:instrText>
      </w:r>
      <w:r w:rsidRPr="006C4DE2">
        <w:fldChar w:fldCharType="separate"/>
      </w:r>
      <w:r w:rsidR="006E2BA9" w:rsidRPr="006C4DE2">
        <w:t xml:space="preserve">Table </w:t>
      </w:r>
      <w:r w:rsidR="006E2BA9">
        <w:t>76</w:t>
      </w:r>
      <w:r w:rsidRPr="006C4DE2">
        <w:fldChar w:fldCharType="end"/>
      </w:r>
      <w:r w:rsidRPr="006C4DE2">
        <w:t>.</w:t>
      </w:r>
    </w:p>
    <w:p w14:paraId="627E2983" w14:textId="7882E559" w:rsidR="00CB6CE1" w:rsidRPr="006C4DE2" w:rsidRDefault="00CB6CE1" w:rsidP="00CB6CE1">
      <w:pPr>
        <w:pStyle w:val="Caption"/>
      </w:pPr>
      <w:bookmarkStart w:id="454" w:name="_Ref36473832"/>
      <w:bookmarkStart w:id="455" w:name="_Toc36054854"/>
      <w:bookmarkStart w:id="456" w:name="_Toc39580857"/>
      <w:r w:rsidRPr="006C4DE2">
        <w:lastRenderedPageBreak/>
        <w:t xml:space="preserve">Table </w:t>
      </w:r>
      <w:fldSimple w:instr=" SEQ Table \* ARABIC ">
        <w:r w:rsidR="00FA7BCD">
          <w:rPr>
            <w:noProof/>
          </w:rPr>
          <w:t>76</w:t>
        </w:r>
      </w:fldSimple>
      <w:bookmarkEnd w:id="454"/>
      <w:r w:rsidRPr="006C4DE2">
        <w:tab/>
        <w:t>Clinical features of NMOSD patients in Australia and New Zealand1</w:t>
      </w:r>
      <w:bookmarkEnd w:id="455"/>
      <w:bookmarkEnd w:id="456"/>
    </w:p>
    <w:tbl>
      <w:tblPr>
        <w:tblStyle w:val="TableGrid6"/>
        <w:tblW w:w="5000" w:type="pct"/>
        <w:tblLook w:val="04A0" w:firstRow="1" w:lastRow="0" w:firstColumn="1" w:lastColumn="0" w:noHBand="0" w:noVBand="1"/>
        <w:tblCaption w:val="Table 76 Clinical features of NMOSD patients in Australia and New Zealand1"/>
      </w:tblPr>
      <w:tblGrid>
        <w:gridCol w:w="4508"/>
        <w:gridCol w:w="4508"/>
      </w:tblGrid>
      <w:tr w:rsidR="00CB6CE1" w:rsidRPr="00B35E47" w14:paraId="7E742FE9" w14:textId="77777777" w:rsidTr="00CB6CE1">
        <w:tc>
          <w:tcPr>
            <w:tcW w:w="2500" w:type="pct"/>
            <w:vAlign w:val="center"/>
          </w:tcPr>
          <w:p w14:paraId="1D0B6574" w14:textId="77777777" w:rsidR="00CB6CE1" w:rsidRPr="00B35E47" w:rsidRDefault="00CB6CE1" w:rsidP="00CB6CE1">
            <w:pPr>
              <w:keepNext/>
              <w:spacing w:before="40" w:after="40"/>
              <w:ind w:left="0"/>
              <w:jc w:val="left"/>
              <w:rPr>
                <w:rFonts w:ascii="Arial Narrow" w:hAnsi="Arial Narrow"/>
                <w:b/>
                <w:lang w:eastAsia="en-US"/>
              </w:rPr>
            </w:pPr>
            <w:r w:rsidRPr="00B35E47">
              <w:rPr>
                <w:rFonts w:ascii="Arial Narrow" w:hAnsi="Arial Narrow"/>
                <w:b/>
                <w:lang w:eastAsia="en-US"/>
              </w:rPr>
              <w:t>Clinical characteristics</w:t>
            </w:r>
          </w:p>
        </w:tc>
        <w:tc>
          <w:tcPr>
            <w:tcW w:w="2500" w:type="pct"/>
            <w:vAlign w:val="center"/>
          </w:tcPr>
          <w:p w14:paraId="593FC4F7" w14:textId="77777777" w:rsidR="00CB6CE1" w:rsidRPr="00B35E47" w:rsidRDefault="00CB6CE1" w:rsidP="00CB6CE1">
            <w:pPr>
              <w:keepNext/>
              <w:spacing w:before="40" w:after="40"/>
              <w:ind w:left="0"/>
              <w:jc w:val="center"/>
              <w:rPr>
                <w:rFonts w:ascii="Arial Narrow" w:hAnsi="Arial Narrow"/>
                <w:b/>
                <w:lang w:eastAsia="en-US"/>
              </w:rPr>
            </w:pPr>
            <w:r w:rsidRPr="00B35E47">
              <w:rPr>
                <w:rFonts w:ascii="Arial Narrow" w:hAnsi="Arial Narrow"/>
                <w:b/>
                <w:lang w:eastAsia="en-US"/>
              </w:rPr>
              <w:t>NMOSD patients (n = 75)</w:t>
            </w:r>
          </w:p>
        </w:tc>
      </w:tr>
      <w:tr w:rsidR="00CB6CE1" w:rsidRPr="00B35E47" w14:paraId="073F6572" w14:textId="77777777" w:rsidTr="00CB6CE1">
        <w:tc>
          <w:tcPr>
            <w:tcW w:w="2500" w:type="pct"/>
            <w:vAlign w:val="center"/>
          </w:tcPr>
          <w:p w14:paraId="4A5F0B55" w14:textId="77777777" w:rsidR="00CB6CE1" w:rsidRPr="00B35E47" w:rsidRDefault="00CB6CE1" w:rsidP="00CB6CE1">
            <w:pPr>
              <w:spacing w:before="40" w:after="40"/>
              <w:ind w:left="0"/>
              <w:contextualSpacing/>
              <w:jc w:val="left"/>
              <w:rPr>
                <w:rFonts w:ascii="Arial Narrow" w:hAnsi="Arial Narrow"/>
                <w:lang w:eastAsia="en-US"/>
              </w:rPr>
            </w:pPr>
            <w:r w:rsidRPr="00B35E47">
              <w:rPr>
                <w:rFonts w:ascii="Arial Narrow" w:hAnsi="Arial Narrow"/>
                <w:lang w:eastAsia="en-US"/>
              </w:rPr>
              <w:t>Age at onset (years), median (range)</w:t>
            </w:r>
          </w:p>
        </w:tc>
        <w:tc>
          <w:tcPr>
            <w:tcW w:w="2500" w:type="pct"/>
            <w:vAlign w:val="center"/>
          </w:tcPr>
          <w:p w14:paraId="3B42A84D" w14:textId="77777777" w:rsidR="00CB6CE1" w:rsidRPr="00B35E47" w:rsidRDefault="00CB6CE1" w:rsidP="00CB6CE1">
            <w:pPr>
              <w:spacing w:before="40" w:after="40"/>
              <w:ind w:left="0"/>
              <w:contextualSpacing/>
              <w:jc w:val="center"/>
              <w:rPr>
                <w:rFonts w:ascii="Arial Narrow" w:hAnsi="Arial Narrow"/>
                <w:lang w:eastAsia="en-US"/>
              </w:rPr>
            </w:pPr>
            <w:r w:rsidRPr="00B35E47">
              <w:rPr>
                <w:rFonts w:ascii="Arial Narrow" w:hAnsi="Arial Narrow"/>
                <w:lang w:eastAsia="en-US"/>
              </w:rPr>
              <w:t>40 (13 – 85)</w:t>
            </w:r>
          </w:p>
        </w:tc>
      </w:tr>
      <w:tr w:rsidR="00CB6CE1" w:rsidRPr="00B35E47" w14:paraId="0ABE356E" w14:textId="77777777" w:rsidTr="00CB6CE1">
        <w:tc>
          <w:tcPr>
            <w:tcW w:w="2500" w:type="pct"/>
            <w:vAlign w:val="center"/>
          </w:tcPr>
          <w:p w14:paraId="2623873B" w14:textId="77777777" w:rsidR="00CB6CE1" w:rsidRPr="00B35E47" w:rsidRDefault="00CB6CE1" w:rsidP="00CB6CE1">
            <w:pPr>
              <w:spacing w:before="40" w:after="40"/>
              <w:ind w:left="0"/>
              <w:contextualSpacing/>
              <w:jc w:val="left"/>
              <w:rPr>
                <w:rFonts w:ascii="Arial Narrow" w:hAnsi="Arial Narrow"/>
                <w:lang w:eastAsia="en-US"/>
              </w:rPr>
            </w:pPr>
            <w:r w:rsidRPr="00B35E47">
              <w:rPr>
                <w:rFonts w:ascii="Arial Narrow" w:hAnsi="Arial Narrow"/>
                <w:lang w:eastAsia="en-US"/>
              </w:rPr>
              <w:t>Disease duration (years), median (range)</w:t>
            </w:r>
          </w:p>
        </w:tc>
        <w:tc>
          <w:tcPr>
            <w:tcW w:w="2500" w:type="pct"/>
            <w:vAlign w:val="center"/>
          </w:tcPr>
          <w:p w14:paraId="3C079A7B" w14:textId="77777777" w:rsidR="00CB6CE1" w:rsidRPr="00B35E47" w:rsidRDefault="00CB6CE1" w:rsidP="00CB6CE1">
            <w:pPr>
              <w:spacing w:before="40" w:after="40"/>
              <w:ind w:left="0"/>
              <w:contextualSpacing/>
              <w:jc w:val="center"/>
              <w:rPr>
                <w:rFonts w:ascii="Arial Narrow" w:hAnsi="Arial Narrow"/>
                <w:lang w:eastAsia="en-US"/>
              </w:rPr>
            </w:pPr>
            <w:r w:rsidRPr="00B35E47">
              <w:rPr>
                <w:rFonts w:ascii="Arial Narrow" w:hAnsi="Arial Narrow"/>
                <w:lang w:eastAsia="en-US"/>
              </w:rPr>
              <w:t>3.8 (0.1–43.1)</w:t>
            </w:r>
          </w:p>
        </w:tc>
      </w:tr>
      <w:tr w:rsidR="00CB6CE1" w:rsidRPr="00B35E47" w14:paraId="4DC9C26E" w14:textId="77777777" w:rsidTr="00CB6CE1">
        <w:tc>
          <w:tcPr>
            <w:tcW w:w="2500" w:type="pct"/>
            <w:vAlign w:val="center"/>
          </w:tcPr>
          <w:p w14:paraId="3E148125" w14:textId="77777777" w:rsidR="00CB6CE1" w:rsidRPr="00B35E47" w:rsidRDefault="00CB6CE1" w:rsidP="00CB6CE1">
            <w:pPr>
              <w:spacing w:before="40" w:after="40"/>
              <w:ind w:left="0"/>
              <w:contextualSpacing/>
              <w:jc w:val="left"/>
              <w:rPr>
                <w:rFonts w:ascii="Arial Narrow" w:hAnsi="Arial Narrow"/>
                <w:lang w:eastAsia="en-US"/>
              </w:rPr>
            </w:pPr>
            <w:r w:rsidRPr="00B35E47">
              <w:rPr>
                <w:rFonts w:ascii="Arial Narrow" w:hAnsi="Arial Narrow"/>
                <w:lang w:eastAsia="en-US"/>
              </w:rPr>
              <w:t>Annualised relapse rate, mean (SD)</w:t>
            </w:r>
          </w:p>
        </w:tc>
        <w:tc>
          <w:tcPr>
            <w:tcW w:w="2500" w:type="pct"/>
            <w:vAlign w:val="center"/>
          </w:tcPr>
          <w:p w14:paraId="33AB4D85" w14:textId="77777777" w:rsidR="00CB6CE1" w:rsidRPr="00B35E47" w:rsidRDefault="00CB6CE1" w:rsidP="00CB6CE1">
            <w:pPr>
              <w:spacing w:before="40" w:after="40"/>
              <w:ind w:left="0"/>
              <w:contextualSpacing/>
              <w:jc w:val="center"/>
              <w:rPr>
                <w:rFonts w:ascii="Arial Narrow" w:hAnsi="Arial Narrow"/>
                <w:lang w:eastAsia="en-US"/>
              </w:rPr>
            </w:pPr>
            <w:r w:rsidRPr="00B35E47">
              <w:rPr>
                <w:rFonts w:ascii="Arial Narrow" w:hAnsi="Arial Narrow"/>
                <w:lang w:eastAsia="en-US"/>
              </w:rPr>
              <w:t>0.78 (0.17 – 3.32)</w:t>
            </w:r>
          </w:p>
        </w:tc>
      </w:tr>
      <w:tr w:rsidR="00CB6CE1" w:rsidRPr="00B35E47" w14:paraId="460E94D4" w14:textId="77777777" w:rsidTr="00CB6CE1">
        <w:tc>
          <w:tcPr>
            <w:tcW w:w="2500" w:type="pct"/>
            <w:vAlign w:val="center"/>
          </w:tcPr>
          <w:p w14:paraId="5034CB01" w14:textId="77777777" w:rsidR="00CB6CE1" w:rsidRPr="00B35E47" w:rsidRDefault="00CB6CE1" w:rsidP="00CB6CE1">
            <w:pPr>
              <w:spacing w:before="40" w:after="40"/>
              <w:ind w:left="0"/>
              <w:contextualSpacing/>
              <w:jc w:val="left"/>
              <w:rPr>
                <w:rFonts w:ascii="Arial Narrow" w:hAnsi="Arial Narrow"/>
                <w:lang w:eastAsia="en-US"/>
              </w:rPr>
            </w:pPr>
            <w:r w:rsidRPr="00B35E47">
              <w:rPr>
                <w:rFonts w:ascii="Arial Narrow" w:hAnsi="Arial Narrow"/>
                <w:lang w:eastAsia="en-US"/>
              </w:rPr>
              <w:t>EDSS, median (range)</w:t>
            </w:r>
          </w:p>
        </w:tc>
        <w:tc>
          <w:tcPr>
            <w:tcW w:w="2500" w:type="pct"/>
            <w:vAlign w:val="center"/>
          </w:tcPr>
          <w:p w14:paraId="145CC56D" w14:textId="77777777" w:rsidR="00CB6CE1" w:rsidRPr="00B35E47" w:rsidRDefault="00CB6CE1" w:rsidP="00CB6CE1">
            <w:pPr>
              <w:spacing w:before="40" w:after="40"/>
              <w:ind w:left="0"/>
              <w:contextualSpacing/>
              <w:jc w:val="center"/>
              <w:rPr>
                <w:rFonts w:ascii="Arial Narrow" w:hAnsi="Arial Narrow"/>
                <w:lang w:eastAsia="en-US"/>
              </w:rPr>
            </w:pPr>
            <w:r w:rsidRPr="00B35E47">
              <w:rPr>
                <w:rFonts w:ascii="Arial Narrow" w:hAnsi="Arial Narrow"/>
                <w:lang w:eastAsia="en-US"/>
              </w:rPr>
              <w:t>4 (0–9)</w:t>
            </w:r>
          </w:p>
        </w:tc>
      </w:tr>
    </w:tbl>
    <w:p w14:paraId="387065A1" w14:textId="34755310" w:rsidR="00CB6CE1" w:rsidRPr="00B35E47" w:rsidRDefault="00CB6CE1" w:rsidP="00CB6CE1">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1</w:t>
      </w:r>
      <w:r w:rsidRPr="00B35E47">
        <w:rPr>
          <w:rFonts w:ascii="Arial Narrow" w:hAnsi="Arial Narrow" w:cs="Arial"/>
          <w:snapToGrid w:val="0"/>
          <w:sz w:val="18"/>
          <w:szCs w:val="20"/>
          <w:lang w:eastAsia="en-US"/>
        </w:rPr>
        <w:t xml:space="preserve">Source: </w:t>
      </w:r>
      <w:r>
        <w:rPr>
          <w:rFonts w:ascii="Arial Narrow" w:hAnsi="Arial Narrow" w:cs="Arial"/>
          <w:snapToGrid w:val="0"/>
          <w:sz w:val="18"/>
          <w:szCs w:val="20"/>
          <w:lang w:eastAsia="en-US"/>
        </w:rPr>
        <w:fldChar w:fldCharType="begin">
          <w:fldData xml:space="preserve">PEVuZE5vdGU+PENpdGU+PEF1dGhvcj5CdWtoYXJpPC9BdXRob3I+PFllYXI+MjAyMDwvWWVhcj48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</w:fldData>
        </w:fldChar>
      </w:r>
      <w:r w:rsidR="00D96694">
        <w:rPr>
          <w:rFonts w:ascii="Arial Narrow" w:hAnsi="Arial Narrow" w:cs="Arial"/>
          <w:snapToGrid w:val="0"/>
          <w:sz w:val="18"/>
          <w:szCs w:val="20"/>
          <w:lang w:eastAsia="en-US"/>
        </w:rPr>
        <w:instrText xml:space="preserve"> ADDIN EN.CITE </w:instrText>
      </w:r>
      <w:r w:rsidR="00D96694">
        <w:rPr>
          <w:rFonts w:ascii="Arial Narrow" w:hAnsi="Arial Narrow" w:cs="Arial"/>
          <w:snapToGrid w:val="0"/>
          <w:sz w:val="18"/>
          <w:szCs w:val="20"/>
          <w:lang w:eastAsia="en-US"/>
        </w:rPr>
        <w:fldChar w:fldCharType="begin">
          <w:fldData xml:space="preserve">PEVuZE5vdGU+PENpdGU+PEF1dGhvcj5CdWtoYXJpPC9BdXRob3I+PFllYXI+MjAyMDwvWWVhcj48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</w:fldData>
        </w:fldChar>
      </w:r>
      <w:r w:rsidR="00D96694">
        <w:rPr>
          <w:rFonts w:ascii="Arial Narrow" w:hAnsi="Arial Narrow" w:cs="Arial"/>
          <w:snapToGrid w:val="0"/>
          <w:sz w:val="18"/>
          <w:szCs w:val="20"/>
          <w:lang w:eastAsia="en-US"/>
        </w:rPr>
        <w:instrText xml:space="preserve"> ADDIN EN.CITE.DATA </w:instrText>
      </w:r>
      <w:r w:rsidR="00D96694">
        <w:rPr>
          <w:rFonts w:ascii="Arial Narrow" w:hAnsi="Arial Narrow" w:cs="Arial"/>
          <w:snapToGrid w:val="0"/>
          <w:sz w:val="18"/>
          <w:szCs w:val="20"/>
          <w:lang w:eastAsia="en-US"/>
        </w:rPr>
      </w:r>
      <w:r w:rsidR="00D96694">
        <w:rPr>
          <w:rFonts w:ascii="Arial Narrow" w:hAnsi="Arial Narrow" w:cs="Arial"/>
          <w:snapToGrid w:val="0"/>
          <w:sz w:val="18"/>
          <w:szCs w:val="20"/>
          <w:lang w:eastAsia="en-US"/>
        </w:rPr>
        <w:fldChar w:fldCharType="end"/>
      </w:r>
      <w:r>
        <w:rPr>
          <w:rFonts w:ascii="Arial Narrow" w:hAnsi="Arial Narrow" w:cs="Arial"/>
          <w:snapToGrid w:val="0"/>
          <w:sz w:val="18"/>
          <w:szCs w:val="20"/>
          <w:lang w:eastAsia="en-US"/>
        </w:rPr>
      </w:r>
      <w:r>
        <w:rPr>
          <w:rFonts w:ascii="Arial Narrow" w:hAnsi="Arial Narrow" w:cs="Arial"/>
          <w:snapToGrid w:val="0"/>
          <w:sz w:val="18"/>
          <w:szCs w:val="20"/>
          <w:lang w:eastAsia="en-US"/>
        </w:rPr>
        <w:fldChar w:fldCharType="separate"/>
      </w:r>
      <w:r>
        <w:rPr>
          <w:rFonts w:ascii="Arial Narrow" w:hAnsi="Arial Narrow" w:cs="Arial"/>
          <w:noProof/>
          <w:snapToGrid w:val="0"/>
          <w:sz w:val="18"/>
          <w:szCs w:val="20"/>
          <w:lang w:eastAsia="en-US"/>
        </w:rPr>
        <w:t>(Bukhari et al. 2020)</w:t>
      </w:r>
      <w:r>
        <w:rPr>
          <w:rFonts w:ascii="Arial Narrow" w:hAnsi="Arial Narrow" w:cs="Arial"/>
          <w:snapToGrid w:val="0"/>
          <w:sz w:val="18"/>
          <w:szCs w:val="20"/>
          <w:lang w:eastAsia="en-US"/>
        </w:rPr>
        <w:fldChar w:fldCharType="end"/>
      </w:r>
    </w:p>
    <w:p w14:paraId="4AF79872" w14:textId="77777777" w:rsidR="00CB6CE1" w:rsidRPr="00B35E47" w:rsidRDefault="00CB6CE1" w:rsidP="00CB6CE1">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EDSS = expanded disability status scale; IVMP = intravenous methylprednisolone; NMOSD = neuromyelitis optica spectrum disorder; SD = standard deviation</w:t>
      </w:r>
    </w:p>
    <w:p w14:paraId="17A027C8" w14:textId="77777777" w:rsidR="00CB6CE1" w:rsidRPr="00B35E47" w:rsidRDefault="00CB6CE1" w:rsidP="00CB6CE1">
      <w:pPr>
        <w:spacing w:before="240"/>
      </w:pPr>
      <w:r>
        <w:t xml:space="preserve">It is assumed that the cohort entering the model is 40 years of age and all enter the health state NMOSD with mild disability (EDSS 4.0). </w:t>
      </w:r>
      <w:r w:rsidRPr="00B35E47">
        <w:t xml:space="preserve">Average weight of NMOSD patient in Australia receiving IVIG treatment is reported as 71Kgs </w:t>
      </w:r>
      <w:r>
        <w:fldChar w:fldCharType="begin"/>
      </w:r>
      <w:r>
        <w:instrText xml:space="preserve"> ADDIN EN.CITE &lt;EndNote&gt;&lt;Cite&gt;&lt;Author&gt;National Blood Authority&lt;/Author&gt;&lt;Year&gt;2018&lt;/Year&gt;&lt;RecNum&gt;2839&lt;/RecNum&gt;&lt;DisplayText&gt;(National Blood Authority 2018)&lt;/DisplayText&gt;&lt;record&gt;&lt;rec-number&gt;2839&lt;/rec-number&gt;&lt;foreign-keys&gt;&lt;key app="EN" db-id="r9zwwf2zmrrvxfespp15vtvjapza9v2fz5s5" timestamp="1584312594"&gt;2839&lt;/key&gt;&lt;/foreign-keys&gt;&lt;ref-type name="Report"&gt;27&lt;/ref-type&gt;&lt;contributors&gt;&lt;authors&gt;&lt;author&gt;National Blood Authority,&lt;/author&gt;&lt;/authors&gt;&lt;/contributors&gt;&lt;titles&gt;&lt;title&gt;NATIONAL REPORT ON THE ISSUE AND USE OF INTRAVENOUS IMMUNOGLOBULIN (IVIg) 2017-18&lt;/title&gt;&lt;/titles&gt;&lt;dates&gt;&lt;year&gt;2018&lt;/year&gt;&lt;/dates&gt;&lt;pub-location&gt;Canberra, Australia&lt;/pub-location&gt;&lt;publisher&gt;National Blood Authority&lt;/publisher&gt;&lt;urls&gt;&lt;related-urls&gt;&lt;url&gt;https://www.blood.gov.au/data-analysis-reporting&lt;/url&gt;&lt;/related-urls&gt;&lt;/urls&gt;&lt;/record&gt;&lt;/Cite&gt;&lt;/EndNote&gt;</w:instrText>
      </w:r>
      <w:r>
        <w:fldChar w:fldCharType="separate"/>
      </w:r>
      <w:r>
        <w:rPr>
          <w:noProof/>
        </w:rPr>
        <w:t>(National Blood Authority 2018)</w:t>
      </w:r>
      <w:r>
        <w:fldChar w:fldCharType="end"/>
      </w:r>
      <w:r w:rsidRPr="00B35E47">
        <w:t xml:space="preserve">. In the absence of any other trial data informing the average weight of a NMOSD patient, this value is used to calculate the mean </w:t>
      </w:r>
      <w:r>
        <w:t>dosage of drugs where required.</w:t>
      </w:r>
    </w:p>
    <w:p w14:paraId="7622D960" w14:textId="77777777" w:rsidR="00CB6CE1" w:rsidRPr="00B35E47" w:rsidRDefault="00095358" w:rsidP="00095358">
      <w:pPr>
        <w:pStyle w:val="Heading3"/>
      </w:pPr>
      <w:bookmarkStart w:id="457" w:name="_Toc38031959"/>
      <w:bookmarkStart w:id="458" w:name="_Toc39588366"/>
      <w:r>
        <w:t>D4.2</w:t>
      </w:r>
      <w:r>
        <w:tab/>
      </w:r>
      <w:r w:rsidR="00CB6CE1" w:rsidRPr="00B35E47">
        <w:t>Diagnostic yield</w:t>
      </w:r>
      <w:bookmarkEnd w:id="457"/>
      <w:bookmarkEnd w:id="458"/>
    </w:p>
    <w:p w14:paraId="31FA4125" w14:textId="77777777" w:rsidR="00CB6CE1" w:rsidRPr="00B35E47" w:rsidRDefault="00CB6CE1" w:rsidP="00CB6CE1">
      <w:r w:rsidRPr="00B35E47">
        <w:t xml:space="preserve">The average </w:t>
      </w:r>
      <w:r>
        <w:t>diagnostic yield</w:t>
      </w:r>
      <w:r w:rsidRPr="00B35E47">
        <w:t xml:space="preserve"> of 4.2% for AQP4-Ab positive NMOSD determined from the Australian laboratory data is used in the base-case economic analysis (see Section C2.2) and the values from 2.5% to 73% tested in sensitivity analyses.</w:t>
      </w:r>
    </w:p>
    <w:p w14:paraId="68A1F949" w14:textId="77777777" w:rsidR="00CB6CE1" w:rsidRPr="00B35E47" w:rsidRDefault="00CB6CE1" w:rsidP="00CB6CE1">
      <w:r w:rsidRPr="00B35E47">
        <w:t>It is assumed that 5.3% of the suspected NMOSD patients (that is 5.5% of the AQP4-Ab negative cases) will be positive for MOG-Ab. Sensitivity analysis varies the diagnostic yield of MOG-Ab from 2% – 15%.</w:t>
      </w:r>
    </w:p>
    <w:p w14:paraId="28E56559" w14:textId="77777777" w:rsidR="00CB6CE1" w:rsidRPr="00B35E47" w:rsidRDefault="00095358" w:rsidP="00095358">
      <w:pPr>
        <w:pStyle w:val="Heading3"/>
      </w:pPr>
      <w:bookmarkStart w:id="459" w:name="_Toc38031960"/>
      <w:bookmarkStart w:id="460" w:name="_Toc39588367"/>
      <w:r>
        <w:t>D4.3</w:t>
      </w:r>
      <w:r>
        <w:tab/>
      </w:r>
      <w:r w:rsidR="00CB6CE1" w:rsidRPr="00B35E47">
        <w:t>Time to diagnosis</w:t>
      </w:r>
      <w:bookmarkEnd w:id="459"/>
      <w:bookmarkEnd w:id="460"/>
    </w:p>
    <w:p w14:paraId="036DDC88" w14:textId="77777777" w:rsidR="00CB6CE1" w:rsidRDefault="00CB6CE1" w:rsidP="00CB6CE1">
      <w:r>
        <w:t>Diagnosis is assumed to occur practically immediately on reporting of results (e.g. within a few weeks) following AQP4-Ab testing.</w:t>
      </w:r>
    </w:p>
    <w:p w14:paraId="28B1EEAD" w14:textId="77777777" w:rsidR="00CB6CE1" w:rsidRDefault="00CB6CE1" w:rsidP="00CB6CE1">
      <w:r w:rsidRPr="00B35E47">
        <w:t xml:space="preserve">The mean and median times to diagnosis in the assumed </w:t>
      </w:r>
      <w:r w:rsidRPr="00B35E47">
        <w:rPr>
          <w:i/>
        </w:rPr>
        <w:t>absence of AQP4-Ab testing</w:t>
      </w:r>
      <w:r w:rsidRPr="00B35E47">
        <w:t xml:space="preserve"> reported in Section B5.1.4 range from 3.3 to 4.1 years and 2 to 4.4 years respectively. Therefore, the time to diagnosis in the </w:t>
      </w:r>
      <w:r w:rsidRPr="00B35E47">
        <w:rPr>
          <w:i/>
        </w:rPr>
        <w:t>absence of NMOSD-Ab testing</w:t>
      </w:r>
      <w:r w:rsidRPr="00B35E47">
        <w:t xml:space="preserve"> is assumed to be 3.3 years (central value in the above ranges) in the base case analysis. The lower and higher values of 2 years and 4.4 years are assessed in the sensitivity analysis.</w:t>
      </w:r>
      <w:r w:rsidRPr="00674458">
        <w:t xml:space="preserve"> </w:t>
      </w:r>
    </w:p>
    <w:p w14:paraId="4D1E2F33" w14:textId="77777777" w:rsidR="00CB6CE1" w:rsidRPr="00B35E47" w:rsidRDefault="00CB6CE1" w:rsidP="00CB6CE1">
      <w:r w:rsidRPr="00B35E47">
        <w:t xml:space="preserve">The length of </w:t>
      </w:r>
      <w:r>
        <w:t xml:space="preserve">the </w:t>
      </w:r>
      <w:r w:rsidRPr="00B35E47">
        <w:t>delay in diagnosis is likely to be clinically significant, as it may delay appropriate treatment and allow disease progression that prevents a return to baseline symptom status.</w:t>
      </w:r>
    </w:p>
    <w:p w14:paraId="1A0594E4" w14:textId="77777777" w:rsidR="00CB6CE1" w:rsidRPr="00B35E47" w:rsidRDefault="00CB6CE1" w:rsidP="00CB6CE1">
      <w:r w:rsidRPr="00B35E47">
        <w:t>There was no evidence to determine if MOG-Ab testing affected the time to diagnosis for patients suspected of NMOSD. It is assumed that the time to diagnosis in the absence of MOG-Ab testing would be similar to time to diagnosis in the absence of the AQP4-Ab testing.</w:t>
      </w:r>
    </w:p>
    <w:p w14:paraId="632DAEBD" w14:textId="77777777" w:rsidR="00CB6CE1" w:rsidRPr="00B35E47" w:rsidRDefault="00095358" w:rsidP="00095358">
      <w:pPr>
        <w:pStyle w:val="Heading3"/>
      </w:pPr>
      <w:bookmarkStart w:id="461" w:name="_Toc38031961"/>
      <w:bookmarkStart w:id="462" w:name="_Toc39588368"/>
      <w:r>
        <w:t>D4.4</w:t>
      </w:r>
      <w:r>
        <w:tab/>
      </w:r>
      <w:r w:rsidR="00CB6CE1" w:rsidRPr="00B35E47">
        <w:t xml:space="preserve">Change in </w:t>
      </w:r>
      <w:r w:rsidR="00CB6CE1">
        <w:t xml:space="preserve">initial </w:t>
      </w:r>
      <w:r w:rsidR="00CB6CE1" w:rsidRPr="00B35E47">
        <w:t>diagnosis</w:t>
      </w:r>
      <w:bookmarkEnd w:id="461"/>
      <w:bookmarkEnd w:id="462"/>
    </w:p>
    <w:p w14:paraId="6A95868A" w14:textId="096BC6B6" w:rsidR="00CB6CE1" w:rsidRPr="00B35E47" w:rsidRDefault="00CB6CE1" w:rsidP="00CB6CE1">
      <w:r>
        <w:t>In a</w:t>
      </w:r>
      <w:r w:rsidRPr="00B35E47">
        <w:t xml:space="preserve"> cross-sectional survey of 193 NMOSD patients assessing the disease impact and quality of life (QoL) of patients, Beekman et al identified that the majority of the study participants (65.8%) had received an alternate diagnosis initially, the most common being MS (41.4%) (see</w:t>
      </w:r>
      <w:r>
        <w:t xml:space="preserve"> </w:t>
      </w:r>
      <w:r>
        <w:fldChar w:fldCharType="begin"/>
      </w:r>
      <w:r>
        <w:instrText xml:space="preserve"> REF _Ref29386272 \h </w:instrText>
      </w:r>
      <w:r>
        <w:fldChar w:fldCharType="separate"/>
      </w:r>
      <w:r w:rsidR="006E2BA9">
        <w:t xml:space="preserve">Table </w:t>
      </w:r>
      <w:r w:rsidR="006E2BA9">
        <w:rPr>
          <w:noProof/>
        </w:rPr>
        <w:t>42</w:t>
      </w:r>
      <w:r>
        <w:fldChar w:fldCharType="end"/>
      </w:r>
      <w:r w:rsidRPr="00B35E47">
        <w:t>)</w:t>
      </w:r>
      <w:r w:rsidR="00024910">
        <w:t xml:space="preserve"> </w:t>
      </w:r>
      <w:r w:rsidR="00024910">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 </w:instrText>
      </w:r>
      <w:r w:rsidR="00024910">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EN.CITE.DATA </w:instrText>
      </w:r>
      <w:r w:rsidR="00024910">
        <w:fldChar w:fldCharType="end"/>
      </w:r>
      <w:r w:rsidR="00024910">
        <w:fldChar w:fldCharType="separate"/>
      </w:r>
      <w:r w:rsidR="00024910">
        <w:rPr>
          <w:noProof/>
        </w:rPr>
        <w:t>(Beekman et al. 2019)</w:t>
      </w:r>
      <w:r w:rsidR="00024910">
        <w:fldChar w:fldCharType="end"/>
      </w:r>
      <w:r w:rsidRPr="00B35E47">
        <w:t>.</w:t>
      </w:r>
    </w:p>
    <w:p w14:paraId="05573BF8" w14:textId="06FA508A" w:rsidR="00CB6CE1" w:rsidRPr="00B35E47" w:rsidRDefault="00CB6CE1" w:rsidP="00CB6CE1">
      <w:r w:rsidRPr="00B35E47">
        <w:t xml:space="preserve">McCreary et al compared treatment outcomes in AQP4-Ab positive patients who met the 2006 NMO diagnostic criteria with patients who met the 2015 IPND criteria for NMOSD. Of the 129 patients included in the study, only seven (5.4%) met the 2006 diagnostic criteria (two core clinical characteristics ON and TM) on initial presentation and rest of the 122 were identified as limited </w:t>
      </w:r>
      <w:r w:rsidRPr="00B35E47">
        <w:lastRenderedPageBreak/>
        <w:t xml:space="preserve">seropositive NMOSD (meeting 2015 criteria with one core clinical characteristic and AQP4-Ab seropositivity, but not 2006) </w:t>
      </w:r>
      <w:r>
        <w:fldChar w:fldCharType="begin"/>
      </w:r>
      <w:r w:rsidR="00D96694">
        <w:instrText xml:space="preserve"> ADDIN EN.CITE &lt;EndNote&gt;&lt;Cite&gt;&lt;Author&gt;McCreary&lt;/Author&gt;&lt;Year&gt;2018&lt;/Year&gt;&lt;RecNum&gt;92&lt;/RecNum&gt;&lt;DisplayText&gt;(McCreary et al. 2018)&lt;/DisplayText&gt;&lt;record&gt;&lt;rec-number&gt;92&lt;/rec-number&gt;&lt;foreign-keys&gt;&lt;key app="EN" db-id="r25zptaswpdzade29ws5pf9gx55ztppatt20" timestamp="1585101524"&gt;92&lt;/key&gt;&lt;key app="ENWeb" db-id=""&gt;0&lt;/key&gt;&lt;/foreign-keys&gt;&lt;ref-type name="Journal Article"&gt;17&lt;/ref-type&gt;&lt;contributors&gt;&lt;authors&gt;&lt;author&gt;McCreary, M.&lt;/author&gt;&lt;author&gt;Mealy, M. A.&lt;/author&gt;&lt;author&gt;Wingerchuk, D. M.&lt;/author&gt;&lt;author&gt;Levy, M.&lt;/author&gt;&lt;author&gt;DeSena, A.&lt;/author&gt;&lt;author&gt;Greenberg, B. M.&lt;/author&gt;&lt;/authors&gt;&lt;/contributors&gt;&lt;auth-address&gt;Department of Neurology and Neurotherapeutics, University of Texas Southwestern Medical Center, USA.&amp;#xD;Department of Neurology, Johns Hopkins Hospital, USA.&amp;#xD;Department of Neurology, Mayo Clinic, USA.&lt;/auth-address&gt;&lt;titles&gt;&lt;title&gt;Updated diagnostic criteria for neuromyelitis optica spectrum disorder: Similar outcomes of previously separate cohorts&lt;/title&gt;&lt;secondary-title&gt;Mult Scler J Exp Transl Clin&lt;/secondary-title&gt;&lt;/titles&gt;&lt;periodical&gt;&lt;full-title&gt;Mult Scler J Exp Transl Clin&lt;/full-title&gt;&lt;/periodical&gt;&lt;pages&gt;2055217318815925&lt;/pages&gt;&lt;volume&gt;4&lt;/volume&gt;&lt;number&gt;4&lt;/number&gt;&lt;keywords&gt;&lt;keyword&gt;Neuromyelitis optica&lt;/keyword&gt;&lt;keyword&gt;annual relapse rate&lt;/keyword&gt;&lt;keyword&gt;diagnostic criteria&lt;/keyword&gt;&lt;keyword&gt;neuromyelitis optica spectrum disorder&lt;/keyword&gt;&lt;keyword&gt;treatment response&lt;/keyword&gt;&lt;/keywords&gt;&lt;dates&gt;&lt;year&gt;2018&lt;/year&gt;&lt;pub-dates&gt;&lt;date&gt;Oct-Dec&lt;/date&gt;&lt;/pub-dates&gt;&lt;/dates&gt;&lt;isbn&gt;2055-2173 (Print)&amp;#xD;2055-2173 (Linking)&lt;/isbn&gt;&lt;accession-num&gt;30559975&lt;/accession-num&gt;&lt;urls&gt;&lt;related-urls&gt;&lt;url&gt;https://www.ncbi.nlm.nih.gov/pubmed/30559975&lt;/url&gt;&lt;/related-urls&gt;&lt;/urls&gt;&lt;custom2&gt;6293372&lt;/custom2&gt;&lt;electronic-resource-num&gt;10.1177/2055217318815925&lt;/electronic-resource-num&gt;&lt;/record&gt;&lt;/Cite&gt;&lt;/EndNote&gt;</w:instrText>
      </w:r>
      <w:r>
        <w:fldChar w:fldCharType="separate"/>
      </w:r>
      <w:r>
        <w:rPr>
          <w:noProof/>
        </w:rPr>
        <w:t>(McCreary et al. 2018)</w:t>
      </w:r>
      <w:r>
        <w:fldChar w:fldCharType="end"/>
      </w:r>
      <w:r w:rsidRPr="00B35E47">
        <w:t xml:space="preserve">. </w:t>
      </w:r>
    </w:p>
    <w:p w14:paraId="7EA458C8" w14:textId="77777777" w:rsidR="00CB6CE1" w:rsidRDefault="00CB6CE1" w:rsidP="00CB6CE1">
      <w:r w:rsidRPr="00B35E47">
        <w:t xml:space="preserve">Based on the evidence above, it is assumed that in the </w:t>
      </w:r>
      <w:r w:rsidRPr="00B35E47">
        <w:rPr>
          <w:i/>
        </w:rPr>
        <w:t>absence of testing</w:t>
      </w:r>
      <w:r w:rsidRPr="00B35E47">
        <w:t xml:space="preserve">, 5.4% of the patients will meet the clinical criteria on initial presentation and will be correctly diagnosed as NMOSD, 65.8% of the patients will </w:t>
      </w:r>
      <w:r>
        <w:t xml:space="preserve">initially </w:t>
      </w:r>
      <w:r w:rsidRPr="00B35E47">
        <w:t xml:space="preserve">receive </w:t>
      </w:r>
      <w:r>
        <w:t xml:space="preserve">an </w:t>
      </w:r>
      <w:r w:rsidRPr="00B35E47">
        <w:t>alternate (incorrect) diagnosis and the remaining</w:t>
      </w:r>
      <w:r>
        <w:t xml:space="preserve"> other</w:t>
      </w:r>
      <w:r w:rsidRPr="00B35E47">
        <w:t xml:space="preserve"> patients will have inconclusive/no diagnosis</w:t>
      </w:r>
      <w:r>
        <w:t>,</w:t>
      </w:r>
      <w:r w:rsidRPr="00B35E47">
        <w:t xml:space="preserve"> until the mean time to diagnosis is reached.</w:t>
      </w:r>
    </w:p>
    <w:p w14:paraId="01EED9A3" w14:textId="77777777" w:rsidR="00CB6CE1" w:rsidRDefault="00095358" w:rsidP="00CB6CE1">
      <w:pPr>
        <w:pStyle w:val="Heading3"/>
      </w:pPr>
      <w:bookmarkStart w:id="463" w:name="_Toc38031962"/>
      <w:bookmarkStart w:id="464" w:name="_Toc39588369"/>
      <w:r>
        <w:t>D4.5</w:t>
      </w:r>
      <w:r>
        <w:tab/>
      </w:r>
      <w:r w:rsidR="00CB6CE1">
        <w:t>Treatment patterns</w:t>
      </w:r>
      <w:bookmarkEnd w:id="463"/>
      <w:bookmarkEnd w:id="464"/>
    </w:p>
    <w:p w14:paraId="431FE1C3" w14:textId="77777777" w:rsidR="00CB6CE1" w:rsidRDefault="00CB6CE1" w:rsidP="00CB6CE1">
      <w:pPr>
        <w:rPr>
          <w:rFonts w:eastAsiaTheme="minorHAnsi"/>
          <w:lang w:eastAsia="en-US"/>
        </w:rPr>
      </w:pPr>
      <w:r>
        <w:t xml:space="preserve">The therapeutic approach in NMOSD comprises of treatement of attacks and prevention of the relapses. Treatment patterns applicable to the proposed population were investigated in Section C2.2. Based on the evidence it is assumed that </w:t>
      </w:r>
      <w:r>
        <w:rPr>
          <w:rFonts w:eastAsiaTheme="minorHAnsi"/>
          <w:lang w:eastAsia="en-US"/>
        </w:rPr>
        <w:t>rituximab</w:t>
      </w:r>
      <w:r w:rsidRPr="00B35E47">
        <w:rPr>
          <w:rFonts w:eastAsiaTheme="minorHAnsi"/>
          <w:lang w:eastAsia="en-US"/>
        </w:rPr>
        <w:t xml:space="preserve"> </w:t>
      </w:r>
      <w:r>
        <w:rPr>
          <w:rFonts w:eastAsiaTheme="minorHAnsi"/>
          <w:lang w:eastAsia="en-US"/>
        </w:rPr>
        <w:t>or</w:t>
      </w:r>
      <w:r w:rsidRPr="00B35E47">
        <w:rPr>
          <w:rFonts w:eastAsiaTheme="minorHAnsi"/>
          <w:lang w:eastAsia="en-US"/>
        </w:rPr>
        <w:t xml:space="preserve"> </w:t>
      </w:r>
      <w:r>
        <w:rPr>
          <w:rFonts w:eastAsiaTheme="minorHAnsi"/>
          <w:lang w:eastAsia="en-US"/>
        </w:rPr>
        <w:t>azathioprine</w:t>
      </w:r>
      <w:r w:rsidRPr="00B35E47">
        <w:rPr>
          <w:rFonts w:eastAsiaTheme="minorHAnsi"/>
          <w:lang w:eastAsia="en-US"/>
        </w:rPr>
        <w:t xml:space="preserve"> </w:t>
      </w:r>
      <w:r>
        <w:rPr>
          <w:rFonts w:eastAsiaTheme="minorHAnsi"/>
          <w:lang w:eastAsia="en-US"/>
        </w:rPr>
        <w:t>are used as</w:t>
      </w:r>
      <w:r w:rsidRPr="00B35E47">
        <w:rPr>
          <w:rFonts w:eastAsiaTheme="minorHAnsi"/>
          <w:lang w:eastAsia="en-US"/>
        </w:rPr>
        <w:t xml:space="preserve"> </w:t>
      </w:r>
      <w:r>
        <w:rPr>
          <w:rFonts w:eastAsiaTheme="minorHAnsi"/>
          <w:lang w:eastAsia="en-US"/>
        </w:rPr>
        <w:t xml:space="preserve">long-term </w:t>
      </w:r>
      <w:r w:rsidRPr="00B35E47">
        <w:rPr>
          <w:rFonts w:eastAsiaTheme="minorHAnsi"/>
          <w:lang w:eastAsia="en-US"/>
        </w:rPr>
        <w:t>immunosuppressi</w:t>
      </w:r>
      <w:r>
        <w:rPr>
          <w:rFonts w:eastAsiaTheme="minorHAnsi"/>
          <w:lang w:eastAsia="en-US"/>
        </w:rPr>
        <w:t>ve therapy</w:t>
      </w:r>
      <w:r w:rsidRPr="00B35E47">
        <w:rPr>
          <w:rFonts w:eastAsiaTheme="minorHAnsi"/>
          <w:lang w:eastAsia="en-US"/>
        </w:rPr>
        <w:t>, and corticosteroids</w:t>
      </w:r>
      <w:r>
        <w:rPr>
          <w:rFonts w:eastAsiaTheme="minorHAnsi"/>
          <w:lang w:eastAsia="en-US"/>
        </w:rPr>
        <w:t>,</w:t>
      </w:r>
      <w:r w:rsidRPr="00B35E47">
        <w:rPr>
          <w:rFonts w:eastAsiaTheme="minorHAnsi"/>
          <w:lang w:eastAsia="en-US"/>
        </w:rPr>
        <w:t xml:space="preserve"> </w:t>
      </w:r>
      <w:r>
        <w:rPr>
          <w:rFonts w:eastAsiaTheme="minorHAnsi"/>
          <w:lang w:eastAsia="en-US"/>
        </w:rPr>
        <w:t xml:space="preserve">plasma exchange and IVIG </w:t>
      </w:r>
      <w:r w:rsidRPr="00B35E47">
        <w:rPr>
          <w:rFonts w:eastAsiaTheme="minorHAnsi"/>
          <w:lang w:eastAsia="en-US"/>
        </w:rPr>
        <w:t>for treating relapses</w:t>
      </w:r>
      <w:r>
        <w:rPr>
          <w:rFonts w:eastAsiaTheme="minorHAnsi"/>
          <w:lang w:eastAsia="en-US"/>
        </w:rPr>
        <w:t>.</w:t>
      </w:r>
    </w:p>
    <w:p w14:paraId="3924BB60" w14:textId="237B515B" w:rsidR="00CB6CE1" w:rsidRDefault="00CB6CE1" w:rsidP="00CB6CE1">
      <w:pPr>
        <w:rPr>
          <w:rFonts w:eastAsiaTheme="minorHAnsi"/>
          <w:lang w:eastAsia="en-US"/>
        </w:rPr>
      </w:pPr>
      <w:r w:rsidRPr="00B35E47">
        <w:t xml:space="preserve">In the absence of </w:t>
      </w:r>
      <w:r>
        <w:t xml:space="preserve">complete </w:t>
      </w:r>
      <w:r w:rsidRPr="00B35E47">
        <w:t xml:space="preserve">treatment data for patients with </w:t>
      </w:r>
      <w:r>
        <w:t xml:space="preserve">an incorrect </w:t>
      </w:r>
      <w:r w:rsidRPr="00B35E47">
        <w:t xml:space="preserve">diagnosis, </w:t>
      </w:r>
      <w:r>
        <w:t xml:space="preserve">but identification that most are diagnosed with MS, </w:t>
      </w:r>
      <w:r w:rsidRPr="00B35E47">
        <w:t>it is assumed that all of these patients will receive MS</w:t>
      </w:r>
      <w:r>
        <w:t xml:space="preserve"> –</w:t>
      </w:r>
      <w:r w:rsidRPr="00B35E47">
        <w:t>DMT</w:t>
      </w:r>
      <w:r w:rsidR="00AB2520">
        <w:t xml:space="preserve"> </w:t>
      </w:r>
      <w:r w:rsidR="00AB2520">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 </w:instrText>
      </w:r>
      <w:r w:rsidR="00024910">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EN.CITE.DATA </w:instrText>
      </w:r>
      <w:r w:rsidR="00024910">
        <w:fldChar w:fldCharType="end"/>
      </w:r>
      <w:r w:rsidR="00AB2520">
        <w:fldChar w:fldCharType="separate"/>
      </w:r>
      <w:r w:rsidR="00024910">
        <w:rPr>
          <w:noProof/>
        </w:rPr>
        <w:t>(Beekman et al. 2019)</w:t>
      </w:r>
      <w:r w:rsidR="00AB2520">
        <w:fldChar w:fldCharType="end"/>
      </w:r>
      <w:r>
        <w:t xml:space="preserve">, and in this case </w:t>
      </w:r>
      <w:r>
        <w:rPr>
          <w:rFonts w:eastAsiaTheme="minorHAnsi"/>
          <w:lang w:eastAsia="en-US"/>
        </w:rPr>
        <w:t xml:space="preserve">beta-interferon would be used to treat the patient </w:t>
      </w:r>
      <w:r w:rsidR="00AC01FD">
        <w:rPr>
          <w:rFonts w:eastAsiaTheme="minorHAnsi"/>
          <w:lang w:eastAsia="en-US"/>
        </w:rPr>
        <w:fldChar w:fldCharType="begin">
          <w:fldData xml:space="preserve">PEVuZE5vdGU+PENpdGU+PEF1dGhvcj5QYWxhY2U8L0F1dGhvcj48WWVhcj4yMDE5PC9ZZWFyPjxS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</w:fldData>
        </w:fldChar>
      </w:r>
      <w:r w:rsidR="00AC01FD">
        <w:rPr>
          <w:rFonts w:eastAsiaTheme="minorHAnsi"/>
          <w:lang w:eastAsia="en-US"/>
        </w:rPr>
        <w:instrText xml:space="preserve"> ADDIN EN.CITE </w:instrText>
      </w:r>
      <w:r w:rsidR="00AC01FD">
        <w:rPr>
          <w:rFonts w:eastAsiaTheme="minorHAnsi"/>
          <w:lang w:eastAsia="en-US"/>
        </w:rPr>
        <w:fldChar w:fldCharType="begin">
          <w:fldData xml:space="preserve">PEVuZE5vdGU+PENpdGU+PEF1dGhvcj5QYWxhY2U8L0F1dGhvcj48WWVhcj4yMDE5PC9ZZWFyPjxS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</w:fldData>
        </w:fldChar>
      </w:r>
      <w:r w:rsidR="00AC01FD">
        <w:rPr>
          <w:rFonts w:eastAsiaTheme="minorHAnsi"/>
          <w:lang w:eastAsia="en-US"/>
        </w:rPr>
        <w:instrText xml:space="preserve"> ADDIN EN.CITE.DATA </w:instrText>
      </w:r>
      <w:r w:rsidR="00AC01FD">
        <w:rPr>
          <w:rFonts w:eastAsiaTheme="minorHAnsi"/>
          <w:lang w:eastAsia="en-US"/>
        </w:rPr>
      </w:r>
      <w:r w:rsidR="00AC01FD">
        <w:rPr>
          <w:rFonts w:eastAsiaTheme="minorHAnsi"/>
          <w:lang w:eastAsia="en-US"/>
        </w:rPr>
        <w:fldChar w:fldCharType="end"/>
      </w:r>
      <w:r w:rsidR="00AC01FD">
        <w:rPr>
          <w:rFonts w:eastAsiaTheme="minorHAnsi"/>
          <w:lang w:eastAsia="en-US"/>
        </w:rPr>
      </w:r>
      <w:r w:rsidR="00AC01FD">
        <w:rPr>
          <w:rFonts w:eastAsiaTheme="minorHAnsi"/>
          <w:lang w:eastAsia="en-US"/>
        </w:rPr>
        <w:fldChar w:fldCharType="separate"/>
      </w:r>
      <w:r w:rsidR="00AC01FD">
        <w:rPr>
          <w:rFonts w:eastAsiaTheme="minorHAnsi"/>
          <w:noProof/>
          <w:lang w:eastAsia="en-US"/>
        </w:rPr>
        <w:t>(Palace et al. 2019)</w:t>
      </w:r>
      <w:r w:rsidR="00AC01FD">
        <w:rPr>
          <w:rFonts w:eastAsiaTheme="minorHAnsi"/>
          <w:lang w:eastAsia="en-US"/>
        </w:rPr>
        <w:fldChar w:fldCharType="end"/>
      </w:r>
      <w:r>
        <w:rPr>
          <w:rFonts w:eastAsiaTheme="minorHAnsi"/>
          <w:lang w:eastAsia="en-US"/>
        </w:rPr>
        <w:t xml:space="preserve">. . </w:t>
      </w:r>
    </w:p>
    <w:p w14:paraId="513531EF" w14:textId="77777777" w:rsidR="00CB6CE1" w:rsidRDefault="00CB6CE1" w:rsidP="00CB6CE1">
      <w:pPr>
        <w:rPr>
          <w:rFonts w:eastAsiaTheme="minorHAnsi"/>
          <w:lang w:eastAsia="en-US"/>
        </w:rPr>
      </w:pPr>
      <w:r>
        <w:t>P</w:t>
      </w:r>
      <w:r w:rsidRPr="00B35E47">
        <w:t>atients with inconclusive</w:t>
      </w:r>
      <w:r>
        <w:t>/no</w:t>
      </w:r>
      <w:r w:rsidRPr="00B35E47">
        <w:t xml:space="preserve"> diagnosis will receive only symptomatic management.</w:t>
      </w:r>
    </w:p>
    <w:p w14:paraId="00C9726C" w14:textId="77777777" w:rsidR="00CB6CE1" w:rsidRDefault="00CB6CE1" w:rsidP="00CB6CE1">
      <w:r>
        <w:rPr>
          <w:rFonts w:eastAsiaTheme="minorHAnsi"/>
          <w:lang w:eastAsia="en-US"/>
        </w:rPr>
        <w:t>Resource use and costs of these drugs are discussed further.</w:t>
      </w:r>
    </w:p>
    <w:p w14:paraId="4B374F7B" w14:textId="77777777" w:rsidR="00CB6CE1" w:rsidRPr="00095358" w:rsidRDefault="00095358" w:rsidP="00095358">
      <w:pPr>
        <w:pStyle w:val="Heading3"/>
      </w:pPr>
      <w:bookmarkStart w:id="465" w:name="_Toc38031963"/>
      <w:bookmarkStart w:id="466" w:name="_Toc39588370"/>
      <w:r>
        <w:t>D4.6</w:t>
      </w:r>
      <w:r>
        <w:tab/>
      </w:r>
      <w:r w:rsidR="00CB6CE1" w:rsidRPr="00095358">
        <w:t>Treatment efficacy in NMOSD patients</w:t>
      </w:r>
      <w:bookmarkEnd w:id="465"/>
      <w:bookmarkEnd w:id="466"/>
    </w:p>
    <w:p w14:paraId="23F10F02" w14:textId="7F89E206" w:rsidR="00CB6CE1" w:rsidRDefault="00CB6CE1" w:rsidP="00CB6CE1">
      <w:r>
        <w:t xml:space="preserve">Treatment efficacy in NMOSD patients was measured using the change in symptom scores (EDSS measure) or change in anualised relapse rate (ARR), (see section B5.2.2). Therapies for NMOSD (plasma exchange, azathioprine and rituximab) </w:t>
      </w:r>
      <w:r w:rsidRPr="006F54CC">
        <w:t xml:space="preserve">were </w:t>
      </w:r>
      <w:r>
        <w:t xml:space="preserve">identified to be statistically significantly </w:t>
      </w:r>
      <w:r w:rsidRPr="006F54CC">
        <w:t xml:space="preserve">more </w:t>
      </w:r>
      <w:r>
        <w:t xml:space="preserve">effective (but with risk of serious side effects) than </w:t>
      </w:r>
      <w:r w:rsidRPr="006F54CC">
        <w:t xml:space="preserve">standard therapy alone </w:t>
      </w:r>
      <w:r>
        <w:t xml:space="preserve">when measured by change in EDSS or ARR. MS </w:t>
      </w:r>
      <w:r w:rsidRPr="006F54CC">
        <w:t>treatment</w:t>
      </w:r>
      <w:r>
        <w:t>s</w:t>
      </w:r>
      <w:r w:rsidRPr="006F54CC">
        <w:t xml:space="preserve"> (beta</w:t>
      </w:r>
      <w:r>
        <w:t>-</w:t>
      </w:r>
      <w:r w:rsidRPr="006F54CC">
        <w:t>interferon</w:t>
      </w:r>
      <w:r>
        <w:t>, g</w:t>
      </w:r>
      <w:r w:rsidRPr="00B14B53">
        <w:t>latiramer acetate and mitoxantrone</w:t>
      </w:r>
      <w:r w:rsidRPr="006F54CC">
        <w:t>)</w:t>
      </w:r>
      <w:r>
        <w:t xml:space="preserve"> were not found to be effective in NMOSD patients </w:t>
      </w:r>
      <w:r w:rsidR="00AC01FD">
        <w:fldChar w:fldCharType="begin"/>
      </w:r>
      <w:r w:rsidR="00D96694">
        <w:instrText xml:space="preserve"> ADDIN EN.CITE &lt;EndNote&gt;&lt;Cite&gt;&lt;Author&gt;Borisow&lt;/Author&gt;&lt;Year&gt;2018&lt;/Year&gt;&lt;RecNum&gt;2&lt;/RecNum&gt;&lt;IDText&gt;1-15&lt;/IDText&gt;&lt;DisplayText&gt;(Borisow et al. 2018)&lt;/DisplayText&gt;&lt;record&gt;&lt;rec-number&gt;2&lt;/rec-number&gt;&lt;foreign-keys&gt;&lt;key app="EN" db-id="r25zptaswpdzade29ws5pf9gx55ztppatt20" timestamp="1576104076"&gt;2&lt;/key&gt;&lt;/foreign-keys&gt;&lt;ref-type name="Journal Article"&gt;17&lt;/ref-type&gt;&lt;contributors&gt;&lt;authors&gt;&lt;author&gt;Borisow, Nadja&lt;/author&gt;&lt;author&gt;Mori, Masahiro&lt;/author&gt;&lt;author&gt;Kuwabara, Satoshi&lt;/author&gt;&lt;author&gt;Scheel, Michael&lt;/author&gt;&lt;author&gt;Paul, Friedemann&lt;/author&gt;&lt;/authors&gt;&lt;/contributors&gt;&lt;titles&gt;&lt;title&gt;Diagnosis and Treatment of NMO Spectrum Disorder and MOG-Encephalomyelitis&lt;/title&gt;&lt;secondary-title&gt;Frontiers in neurology&lt;/secondary-title&gt;&lt;alt-title&gt;Front Neurol&lt;/alt-title&gt;&lt;/titles&gt;&lt;periodical&gt;&lt;full-title&gt;Frontiers in neurology&lt;/full-title&gt;&lt;abbr-1&gt;Front Neurol&lt;/abbr-1&gt;&lt;/periodical&gt;&lt;alt-periodical&gt;&lt;full-title&gt;Frontiers in neurology&lt;/full-title&gt;&lt;abbr-1&gt;Front Neurol&lt;/abbr-1&gt;&lt;/alt-periodical&gt;&lt;pages&gt;1-15&lt;/pages&gt;&lt;volume&gt;9&lt;/volume&gt;&lt;keywords&gt;&lt;keyword&gt;MOG-encephalomyelitis&lt;/keyword&gt;&lt;keyword&gt;aquaporin-4 antibodies&lt;/keyword&gt;&lt;keyword&gt;diagnostic criteria&lt;/keyword&gt;&lt;keyword&gt;immunosuppressive treatment&lt;/keyword&gt;&lt;keyword&gt;neuromyelitis optica&lt;/keyword&gt;&lt;/keywords&gt;&lt;dates&gt;&lt;year&gt;2018&lt;/year&gt;&lt;/dates&gt;&lt;publisher&gt;Frontiers Media S.A.&lt;/publisher&gt;&lt;isbn&gt;1664-2295&lt;/isbn&gt;&lt;accession-num&gt;30405519&lt;/accession-num&gt;&lt;urls&gt;&lt;related-urls&gt;&lt;url&gt;https://www.ncbi.nlm.nih.gov/pubmed/30405519&lt;/url&gt;&lt;url&gt;https://www.ncbi.nlm.nih.gov/pmc/articles/PMC6206299/&lt;/url&gt;&lt;url&gt;https://www.ncbi.nlm.nih.gov/pmc/articles/PMC6206299/pdf/fneur-09-00888.pdf&lt;/url&gt;&lt;/related-urls&gt;&lt;/urls&gt;&lt;electronic-resource-num&gt;10.3389/fneur.2018.00888&lt;/electronic-resource-num&gt;&lt;remote-database-name&gt;PubMed&lt;/remote-database-name&gt;&lt;language&gt;eng&lt;/language&gt;&lt;/record&gt;&lt;/Cite&gt;&lt;/EndNote&gt;</w:instrText>
      </w:r>
      <w:r w:rsidR="00AC01FD">
        <w:fldChar w:fldCharType="separate"/>
      </w:r>
      <w:r w:rsidR="00AC01FD">
        <w:rPr>
          <w:noProof/>
        </w:rPr>
        <w:t>(Borisow et al. 2018)</w:t>
      </w:r>
      <w:r w:rsidR="00AC01FD">
        <w:fldChar w:fldCharType="end"/>
      </w:r>
      <w:r w:rsidRPr="006F54CC">
        <w:t>. The association between better effectiveness and NMOSD treatment was strong</w:t>
      </w:r>
      <w:r>
        <w:t>,</w:t>
      </w:r>
      <w:r w:rsidRPr="006F54CC">
        <w:t xml:space="preserve"> </w:t>
      </w:r>
      <w:r>
        <w:t xml:space="preserve">however due to high heterogeneity in the patient selections and retrospective study designs evidence was graded as moderately biased. Furthermore, </w:t>
      </w:r>
      <w:r w:rsidRPr="00B35E47">
        <w:t>the significant time variation between attack onset, treatment and assessment adds uncertainty about real benefit.</w:t>
      </w:r>
    </w:p>
    <w:p w14:paraId="71D97F30" w14:textId="48317E76" w:rsidR="00CB6CE1" w:rsidRDefault="00CB6CE1" w:rsidP="00CB6CE1">
      <w:r w:rsidRPr="00DC251A">
        <w:t xml:space="preserve">As no untreated or placebo cohort for estimating </w:t>
      </w:r>
      <w:r>
        <w:t xml:space="preserve">hazard ratio </w:t>
      </w:r>
      <w:r w:rsidRPr="00DC251A">
        <w:t>was available</w:t>
      </w:r>
      <w:r>
        <w:t xml:space="preserve"> for these treatment comparisons</w:t>
      </w:r>
      <w:r w:rsidRPr="00DC251A">
        <w:t xml:space="preserve">, </w:t>
      </w:r>
      <w:r>
        <w:t xml:space="preserve">either </w:t>
      </w:r>
      <w:r w:rsidRPr="006F54CC">
        <w:t>beta</w:t>
      </w:r>
      <w:r>
        <w:t>-</w:t>
      </w:r>
      <w:r w:rsidRPr="006F54CC">
        <w:t>interferon</w:t>
      </w:r>
      <w:r w:rsidRPr="00DC251A" w:rsidDel="00F14D66">
        <w:t xml:space="preserve"> </w:t>
      </w:r>
      <w:r w:rsidRPr="00DC251A">
        <w:t>was</w:t>
      </w:r>
      <w:r>
        <w:t xml:space="preserve"> generally</w:t>
      </w:r>
      <w:r w:rsidRPr="00DC251A">
        <w:t xml:space="preserve"> chosen as a reference category</w:t>
      </w:r>
      <w:r>
        <w:t xml:space="preserve"> </w:t>
      </w:r>
      <w:r w:rsidR="00AC01FD">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instrText xml:space="preserve"> ADDIN EN.CITE </w:instrText>
      </w:r>
      <w:r w:rsidR="00D96694">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instrText xml:space="preserve"> ADDIN EN.CITE.DATA </w:instrText>
      </w:r>
      <w:r w:rsidR="00D96694">
        <w:fldChar w:fldCharType="end"/>
      </w:r>
      <w:r w:rsidR="00AC01FD">
        <w:fldChar w:fldCharType="separate"/>
      </w:r>
      <w:r w:rsidR="00AC01FD">
        <w:rPr>
          <w:noProof/>
        </w:rPr>
        <w:t>(Stellmann et al. 2017)</w:t>
      </w:r>
      <w:r w:rsidR="00AC01FD">
        <w:fldChar w:fldCharType="end"/>
      </w:r>
      <w:r>
        <w:t xml:space="preserve"> or pre-treatment and post-treatment ARRs and EDSS were compared with no limitation on the previous treatments or the study duration. The ARR for patients using these therapies was reported between 0.1 and 0.9 </w:t>
      </w:r>
      <w:r w:rsidR="00AC01FD">
        <w:fldChar w:fldCharType="begin">
          <w:fldData xml:space="preserve">PEVuZE5vdGU+PENpdGU+PEF1dGhvcj5TdGVsbG1hbm48L0F1dGhvcj48WWVhcj4yMDE3PC9ZZWFy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</w:fldData>
        </w:fldChar>
      </w:r>
      <w:r w:rsidR="00511EDB">
        <w:instrText xml:space="preserve"> ADDIN EN.CITE </w:instrText>
      </w:r>
      <w:r w:rsidR="00511EDB">
        <w:fldChar w:fldCharType="begin">
          <w:fldData xml:space="preserve">PEVuZE5vdGU+PENpdGU+PEF1dGhvcj5TdGVsbG1hbm48L0F1dGhvcj48WWVhcj4yMDE3PC9ZZWFy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</w:fldData>
        </w:fldChar>
      </w:r>
      <w:r w:rsidR="00511EDB">
        <w:instrText xml:space="preserve"> ADDIN EN.CITE.DATA </w:instrText>
      </w:r>
      <w:r w:rsidR="00511EDB">
        <w:fldChar w:fldCharType="end"/>
      </w:r>
      <w:r w:rsidR="00AC01FD">
        <w:fldChar w:fldCharType="separate"/>
      </w:r>
      <w:r w:rsidR="00511EDB">
        <w:rPr>
          <w:noProof/>
        </w:rPr>
        <w:t>(Gao et al. 2019; Stellmann et al. 2017)</w:t>
      </w:r>
      <w:r w:rsidR="00AC01FD">
        <w:fldChar w:fldCharType="end"/>
      </w:r>
      <w:r>
        <w:t>. There was insufficient evidence to report on similar outcomes for MOG-Ab testing.</w:t>
      </w:r>
    </w:p>
    <w:p w14:paraId="3FF14EDF" w14:textId="77777777" w:rsidR="00CB6CE1" w:rsidRDefault="00CB6CE1" w:rsidP="00CB6CE1">
      <w:r>
        <w:t xml:space="preserve">In order to capture the effectiveness of correct diagnosis and treatment received timely in the economic model, comparative treatment effects for immunosuppressive therapies (combined together) and multiple sclerosis disease modifying treatment (MS-DMT) are required with no treatment as the reference standard. Due to the rarity and natural history of NMOSD randomised trials for different treatments are rare and literature for appropriate treatment is mostly retrospective and still evolving. The modelled analysis also requires the value for baseline ARR (pre-treatment) and the change in ARR (post-treatment). </w:t>
      </w:r>
    </w:p>
    <w:p w14:paraId="276B935C" w14:textId="1D28CBFE" w:rsidR="00CB6CE1" w:rsidRDefault="00CB6CE1" w:rsidP="00CB6CE1">
      <w:r>
        <w:lastRenderedPageBreak/>
        <w:fldChar w:fldCharType="begin"/>
      </w:r>
      <w:r>
        <w:instrText xml:space="preserve"> REF _Ref38032594 \h </w:instrText>
      </w:r>
      <w:r>
        <w:fldChar w:fldCharType="separate"/>
      </w:r>
      <w:r w:rsidR="006E2BA9">
        <w:t xml:space="preserve">Table </w:t>
      </w:r>
      <w:r w:rsidR="006E2BA9">
        <w:rPr>
          <w:noProof/>
        </w:rPr>
        <w:t>77</w:t>
      </w:r>
      <w:r>
        <w:fldChar w:fldCharType="end"/>
      </w:r>
      <w:r>
        <w:t xml:space="preserve"> summarises the treatment efficacy (change in ARR and/or EDSS) and adverse events reported in Section B5.2.2. Pre-treatment time and post-tretment follow-up varied across these sudies. Only two studies provided ARR in one year before treatment and one-year post-treatment for azathioprine and rituximab </w:t>
      </w:r>
      <w:r w:rsidR="00AC01FD">
        <w:fldChar w:fldCharType="begin">
          <w:fldData xml:space="preserve">PEVuZE5vdGU+PENpdGU+PEF1dGhvcj5Bc2h0YXJpPC9BdXRob3I+PFllYXI+MjAxOTwvWWVhcj48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</w:fldData>
        </w:fldChar>
      </w:r>
      <w:r w:rsidR="00D96694">
        <w:instrText xml:space="preserve"> ADDIN EN.CITE </w:instrText>
      </w:r>
      <w:r w:rsidR="00D96694">
        <w:fldChar w:fldCharType="begin">
          <w:fldData xml:space="preserve">PEVuZE5vdGU+PENpdGU+PEF1dGhvcj5Bc2h0YXJpPC9BdXRob3I+PFllYXI+MjAxOTwvWWVhcj48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</w:fldData>
        </w:fldChar>
      </w:r>
      <w:r w:rsidR="00D96694">
        <w:instrText xml:space="preserve"> ADDIN EN.CITE.DATA </w:instrText>
      </w:r>
      <w:r w:rsidR="00D96694">
        <w:fldChar w:fldCharType="end"/>
      </w:r>
      <w:r w:rsidR="00AC01FD">
        <w:fldChar w:fldCharType="separate"/>
      </w:r>
      <w:r w:rsidR="00AC01FD">
        <w:rPr>
          <w:noProof/>
        </w:rPr>
        <w:t>(Ashtari et al. 2019; Nikoo et al. 2017)</w:t>
      </w:r>
      <w:r w:rsidR="00AC01FD">
        <w:fldChar w:fldCharType="end"/>
      </w:r>
      <w:r>
        <w:t xml:space="preserve">. Ashtari et al conducted a prospective observational study for 51 pateints and compared </w:t>
      </w:r>
      <w:r w:rsidRPr="008D4A52">
        <w:t xml:space="preserve">within group </w:t>
      </w:r>
      <w:r>
        <w:t>differences</w:t>
      </w:r>
      <w:r w:rsidRPr="008D4A52">
        <w:t xml:space="preserve"> before and after </w:t>
      </w:r>
      <w:r>
        <w:t xml:space="preserve">rituximab </w:t>
      </w:r>
      <w:r w:rsidRPr="008D4A52">
        <w:t>treatment</w:t>
      </w:r>
      <w:r>
        <w:t xml:space="preserve"> </w:t>
      </w:r>
      <w:r w:rsidR="00AC01FD">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instrText xml:space="preserve"> ADDIN EN.CITE </w:instrText>
      </w:r>
      <w:r w:rsidR="00D96694">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instrText xml:space="preserve"> ADDIN EN.CITE.DATA </w:instrText>
      </w:r>
      <w:r w:rsidR="00D96694">
        <w:fldChar w:fldCharType="end"/>
      </w:r>
      <w:r w:rsidR="00AC01FD">
        <w:fldChar w:fldCharType="separate"/>
      </w:r>
      <w:r w:rsidR="00AC01FD">
        <w:rPr>
          <w:noProof/>
        </w:rPr>
        <w:t>(Ashtari et al. 2019)</w:t>
      </w:r>
      <w:r w:rsidR="00AC01FD">
        <w:fldChar w:fldCharType="end"/>
      </w:r>
      <w:r>
        <w:t xml:space="preserve">. </w:t>
      </w:r>
      <w:r w:rsidRPr="003F2972">
        <w:t>Nikoo et al</w:t>
      </w:r>
      <w:r>
        <w:t xml:space="preserve"> </w:t>
      </w:r>
      <w:r w:rsidRPr="003F2972">
        <w:t xml:space="preserve">reported an open-label trial comparing </w:t>
      </w:r>
      <w:r>
        <w:t xml:space="preserve">azathioprine and rituximab </w:t>
      </w:r>
      <w:r w:rsidRPr="003F2972">
        <w:t xml:space="preserve">for 68 patients with </w:t>
      </w:r>
      <w:r>
        <w:t>NMOSD</w:t>
      </w:r>
      <w:r w:rsidRPr="003F2972">
        <w:t xml:space="preserve"> for </w:t>
      </w:r>
      <w:r>
        <w:t>one</w:t>
      </w:r>
      <w:r w:rsidRPr="003F2972">
        <w:t xml:space="preserve"> year. Both groups presented statistically significant red</w:t>
      </w:r>
      <w:r>
        <w:t>uction in ARR and EDSS compared with</w:t>
      </w:r>
      <w:r w:rsidRPr="003F2972">
        <w:t xml:space="preserve"> baseline</w:t>
      </w:r>
      <w:r>
        <w:t xml:space="preserve"> </w:t>
      </w:r>
      <w:r w:rsidR="00AC01FD">
        <w:fldChar w:fldCharType="begin">
          <w:fldData xml:space="preserve">PEVuZE5vdGU+PENpdGU+PEF1dGhvcj5OaWtvbzwvQXV0aG9yPjxZZWFyPjIwMTc8L1llYXI+PFJl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</w:fldData>
        </w:fldChar>
      </w:r>
      <w:r w:rsidR="00AC01FD">
        <w:instrText xml:space="preserve"> ADDIN EN.CITE </w:instrText>
      </w:r>
      <w:r w:rsidR="00AC01FD">
        <w:fldChar w:fldCharType="begin">
          <w:fldData xml:space="preserve">PEVuZE5vdGU+PENpdGU+PEF1dGhvcj5OaWtvbzwvQXV0aG9yPjxZZWFyPjIwMTc8L1llYXI+PFJl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</w:fldData>
        </w:fldChar>
      </w:r>
      <w:r w:rsidR="00AC01FD">
        <w:instrText xml:space="preserve"> ADDIN EN.CITE.DATA </w:instrText>
      </w:r>
      <w:r w:rsidR="00AC01FD">
        <w:fldChar w:fldCharType="end"/>
      </w:r>
      <w:r w:rsidR="00AC01FD">
        <w:fldChar w:fldCharType="separate"/>
      </w:r>
      <w:r w:rsidR="00AC01FD">
        <w:rPr>
          <w:noProof/>
        </w:rPr>
        <w:t>(Nikoo et al. 2017)</w:t>
      </w:r>
      <w:r w:rsidR="00AC01FD">
        <w:fldChar w:fldCharType="end"/>
      </w:r>
      <w:r>
        <w:t>.</w:t>
      </w:r>
    </w:p>
    <w:p w14:paraId="6500FBCC" w14:textId="77777777" w:rsidR="00CB6CE1" w:rsidRDefault="00CB6CE1" w:rsidP="00CB6CE1">
      <w:r>
        <w:t xml:space="preserve">Both of the above studies (Nikoo et al and Ashtari et al) showed the similar baseline ARR (1.30 and 1.35) and follow-up ARR (0.21 and 0.10) for rituximab respectively, however the baseline ARR for azathioprine was reported to be lower (1.0). The patients </w:t>
      </w:r>
      <w:r w:rsidRPr="003F2972">
        <w:t xml:space="preserve">receiving </w:t>
      </w:r>
      <w:r>
        <w:t>rituximab had higher baseline EDSS (higher disability) compared with the patients receiving azathioprine in the study by Nikoo et al, indicating patients with higher EDSS are likely to be treated with rituximab than azathioprine. Therefore, the mean baseline ARR is evaluated based on the proportionate use of azathioprine and rituximab in the model.</w:t>
      </w:r>
    </w:p>
    <w:p w14:paraId="71C8B6F8" w14:textId="09B247C7" w:rsidR="00CB6CE1" w:rsidRDefault="00CB6CE1" w:rsidP="00CB6CE1">
      <w:pPr>
        <w:pStyle w:val="Caption"/>
      </w:pPr>
      <w:bookmarkStart w:id="467" w:name="_Ref38032594"/>
      <w:bookmarkStart w:id="468" w:name="_Toc39580858"/>
      <w:r>
        <w:t xml:space="preserve">Table </w:t>
      </w:r>
      <w:fldSimple w:instr=" SEQ Table \* ARABIC ">
        <w:r w:rsidR="00FA7BCD">
          <w:rPr>
            <w:noProof/>
          </w:rPr>
          <w:t>77</w:t>
        </w:r>
      </w:fldSimple>
      <w:bookmarkEnd w:id="467"/>
      <w:r>
        <w:tab/>
        <w:t>Treatment efficacy of AZA and RTX in patients with NMOSD</w:t>
      </w:r>
      <w:bookmarkEnd w:id="468"/>
    </w:p>
    <w:tbl>
      <w:tblPr>
        <w:tblStyle w:val="TableGrid"/>
        <w:tblW w:w="0" w:type="auto"/>
        <w:tblLook w:val="04A0" w:firstRow="1" w:lastRow="0" w:firstColumn="1" w:lastColumn="0" w:noHBand="0" w:noVBand="1"/>
        <w:tblCaption w:val="Table 77 Treatment efficacy of AZA and RTX in patients with NMOSD"/>
        <w:tblDescription w:val="Treatment efficacy of AZA and RTX in patients with NMOSD"/>
      </w:tblPr>
      <w:tblGrid>
        <w:gridCol w:w="1589"/>
        <w:gridCol w:w="1641"/>
        <w:gridCol w:w="1488"/>
        <w:gridCol w:w="1415"/>
        <w:gridCol w:w="1208"/>
        <w:gridCol w:w="1675"/>
      </w:tblGrid>
      <w:tr w:rsidR="00CB6CE1" w:rsidRPr="00D643C9" w14:paraId="249C8195" w14:textId="77777777" w:rsidTr="00CB6CE1">
        <w:tc>
          <w:tcPr>
            <w:tcW w:w="1589" w:type="dxa"/>
          </w:tcPr>
          <w:p w14:paraId="3C203D95" w14:textId="77777777" w:rsidR="00CB6CE1" w:rsidRPr="00D643C9" w:rsidRDefault="00CB6CE1" w:rsidP="00A6503B">
            <w:pPr>
              <w:pStyle w:val="Tabletext"/>
              <w:ind w:left="0"/>
              <w:rPr>
                <w:b/>
              </w:rPr>
            </w:pPr>
            <w:r w:rsidRPr="00D643C9">
              <w:rPr>
                <w:b/>
              </w:rPr>
              <w:t>Intervention (reference)</w:t>
            </w:r>
          </w:p>
        </w:tc>
        <w:tc>
          <w:tcPr>
            <w:tcW w:w="1641" w:type="dxa"/>
          </w:tcPr>
          <w:p w14:paraId="3BE74FC6" w14:textId="77777777" w:rsidR="00CB6CE1" w:rsidRPr="00D643C9" w:rsidRDefault="00CB6CE1" w:rsidP="00A6503B">
            <w:pPr>
              <w:pStyle w:val="Tabletext"/>
              <w:ind w:left="0"/>
              <w:rPr>
                <w:b/>
              </w:rPr>
            </w:pPr>
            <w:r w:rsidRPr="00D643C9">
              <w:rPr>
                <w:b/>
              </w:rPr>
              <w:t>Comparator</w:t>
            </w:r>
          </w:p>
        </w:tc>
        <w:tc>
          <w:tcPr>
            <w:tcW w:w="1488" w:type="dxa"/>
          </w:tcPr>
          <w:p w14:paraId="33EC462F" w14:textId="77777777" w:rsidR="00CB6CE1" w:rsidRPr="00D643C9" w:rsidRDefault="00CB6CE1" w:rsidP="00A6503B">
            <w:pPr>
              <w:pStyle w:val="Tabletext"/>
              <w:ind w:left="0"/>
              <w:rPr>
                <w:b/>
              </w:rPr>
            </w:pPr>
            <w:r w:rsidRPr="00D643C9">
              <w:rPr>
                <w:b/>
              </w:rPr>
              <w:t>ARR</w:t>
            </w:r>
          </w:p>
        </w:tc>
        <w:tc>
          <w:tcPr>
            <w:tcW w:w="1415" w:type="dxa"/>
          </w:tcPr>
          <w:p w14:paraId="0A4D3818" w14:textId="77777777" w:rsidR="00CB6CE1" w:rsidRPr="00D643C9" w:rsidRDefault="00CB6CE1" w:rsidP="00A6503B">
            <w:pPr>
              <w:pStyle w:val="Tabletext"/>
              <w:ind w:left="0"/>
              <w:rPr>
                <w:b/>
              </w:rPr>
            </w:pPr>
            <w:r w:rsidRPr="00D643C9">
              <w:rPr>
                <w:b/>
              </w:rPr>
              <w:t>EDSS</w:t>
            </w:r>
          </w:p>
        </w:tc>
        <w:tc>
          <w:tcPr>
            <w:tcW w:w="1208" w:type="dxa"/>
          </w:tcPr>
          <w:p w14:paraId="4F6D9AFA" w14:textId="77777777" w:rsidR="00CB6CE1" w:rsidRPr="00D643C9" w:rsidRDefault="00CB6CE1" w:rsidP="00A6503B">
            <w:pPr>
              <w:pStyle w:val="Tabletext"/>
              <w:ind w:left="0"/>
              <w:rPr>
                <w:b/>
              </w:rPr>
            </w:pPr>
            <w:r w:rsidRPr="00D643C9">
              <w:rPr>
                <w:b/>
              </w:rPr>
              <w:t>AEs</w:t>
            </w:r>
          </w:p>
        </w:tc>
        <w:tc>
          <w:tcPr>
            <w:tcW w:w="1675" w:type="dxa"/>
          </w:tcPr>
          <w:p w14:paraId="3ADF53BE" w14:textId="77777777" w:rsidR="00CB6CE1" w:rsidRPr="00D643C9" w:rsidRDefault="00CB6CE1" w:rsidP="00A6503B">
            <w:pPr>
              <w:pStyle w:val="Tabletext"/>
              <w:ind w:left="0"/>
              <w:rPr>
                <w:b/>
              </w:rPr>
            </w:pPr>
            <w:r w:rsidRPr="00D643C9">
              <w:rPr>
                <w:b/>
              </w:rPr>
              <w:t>Additional notes</w:t>
            </w:r>
          </w:p>
        </w:tc>
      </w:tr>
      <w:tr w:rsidR="00CB6CE1" w14:paraId="3C81DF27" w14:textId="77777777" w:rsidTr="00CB6CE1">
        <w:tc>
          <w:tcPr>
            <w:tcW w:w="1589" w:type="dxa"/>
          </w:tcPr>
          <w:p w14:paraId="2323F7A3" w14:textId="2D7F7B38" w:rsidR="00CB6CE1" w:rsidRDefault="00CB6CE1" w:rsidP="00A6503B">
            <w:pPr>
              <w:pStyle w:val="Tabletext"/>
              <w:ind w:left="0"/>
            </w:pPr>
            <w:r>
              <w:t xml:space="preserve">AZA </w:t>
            </w:r>
            <w:r w:rsidR="00AC01FD">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 </w:instrText>
            </w:r>
            <w:r w:rsidR="00D96694">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EN.CITE.DATA </w:instrText>
            </w:r>
            <w:r w:rsidR="00D96694">
              <w:fldChar w:fldCharType="end"/>
            </w:r>
            <w:r w:rsidR="00AC01FD">
              <w:fldChar w:fldCharType="separate"/>
            </w:r>
            <w:r w:rsidR="00AC01FD">
              <w:rPr>
                <w:noProof/>
              </w:rPr>
              <w:t>(Elsone et al. 2014)</w:t>
            </w:r>
            <w:r w:rsidR="00AC01FD">
              <w:fldChar w:fldCharType="end"/>
            </w:r>
          </w:p>
        </w:tc>
        <w:tc>
          <w:tcPr>
            <w:tcW w:w="1641" w:type="dxa"/>
          </w:tcPr>
          <w:p w14:paraId="35DFFF22" w14:textId="77777777" w:rsidR="00CB6CE1" w:rsidRDefault="00CB6CE1" w:rsidP="00A6503B">
            <w:pPr>
              <w:pStyle w:val="Tabletext"/>
              <w:ind w:left="0"/>
            </w:pPr>
            <w:r>
              <w:t>Pre-treatment vesus post-treatment phase</w:t>
            </w:r>
          </w:p>
        </w:tc>
        <w:tc>
          <w:tcPr>
            <w:tcW w:w="1488" w:type="dxa"/>
          </w:tcPr>
          <w:p w14:paraId="6D4B89CD" w14:textId="77777777" w:rsidR="00CB6CE1" w:rsidRDefault="00CB6CE1" w:rsidP="00A6503B">
            <w:pPr>
              <w:pStyle w:val="Tabletext"/>
              <w:ind w:left="0"/>
            </w:pPr>
            <w:r>
              <w:t>Median(IQR)</w:t>
            </w:r>
          </w:p>
          <w:p w14:paraId="05F25E22" w14:textId="77777777" w:rsidR="00CB6CE1" w:rsidRDefault="00CB6CE1" w:rsidP="00A6503B">
            <w:pPr>
              <w:pStyle w:val="Tabletext"/>
              <w:ind w:left="0"/>
            </w:pPr>
            <w:r>
              <w:t>Pre-Tx:</w:t>
            </w:r>
            <w:r w:rsidRPr="003D33FF">
              <w:t xml:space="preserve"> </w:t>
            </w:r>
            <w:r>
              <w:t>1.5 (0.6</w:t>
            </w:r>
            <w:r w:rsidRPr="00E8423D">
              <w:t>–</w:t>
            </w:r>
            <w:r>
              <w:t>4.0</w:t>
            </w:r>
            <w:r w:rsidRPr="00E8423D">
              <w:t>)</w:t>
            </w:r>
          </w:p>
          <w:p w14:paraId="3E11FE1E" w14:textId="77777777" w:rsidR="00CB6CE1" w:rsidRDefault="00CB6CE1" w:rsidP="00A6503B">
            <w:pPr>
              <w:pStyle w:val="Tabletext"/>
              <w:ind w:left="0"/>
            </w:pPr>
            <w:r>
              <w:t>Post-Tx:</w:t>
            </w:r>
            <w:r w:rsidRPr="003D33FF">
              <w:t xml:space="preserve"> </w:t>
            </w:r>
            <w:r>
              <w:t>0 (0.0–0.27)</w:t>
            </w:r>
          </w:p>
        </w:tc>
        <w:tc>
          <w:tcPr>
            <w:tcW w:w="1415" w:type="dxa"/>
          </w:tcPr>
          <w:p w14:paraId="534E8E7A" w14:textId="77777777" w:rsidR="00CB6CE1" w:rsidRDefault="00CB6CE1" w:rsidP="00A6503B">
            <w:pPr>
              <w:pStyle w:val="Tabletext"/>
              <w:ind w:left="0"/>
            </w:pPr>
            <w:r>
              <w:t>NR</w:t>
            </w:r>
          </w:p>
        </w:tc>
        <w:tc>
          <w:tcPr>
            <w:tcW w:w="1208" w:type="dxa"/>
          </w:tcPr>
          <w:p w14:paraId="07BCC666" w14:textId="77777777" w:rsidR="00CB6CE1" w:rsidRDefault="00CB6CE1" w:rsidP="00A6503B">
            <w:pPr>
              <w:pStyle w:val="Tabletext"/>
              <w:ind w:left="0"/>
            </w:pPr>
            <w:r>
              <w:t>Any: 60%</w:t>
            </w:r>
          </w:p>
          <w:p w14:paraId="7013F5FE" w14:textId="77777777" w:rsidR="00CB6CE1" w:rsidRDefault="00CB6CE1" w:rsidP="00A6503B">
            <w:pPr>
              <w:pStyle w:val="Tabletext"/>
              <w:ind w:left="0"/>
            </w:pPr>
            <w:r>
              <w:t>Severe: 3%</w:t>
            </w:r>
          </w:p>
          <w:p w14:paraId="48D1014B" w14:textId="77777777" w:rsidR="00CB6CE1" w:rsidRDefault="00CB6CE1" w:rsidP="00A6503B">
            <w:pPr>
              <w:pStyle w:val="Tabletext"/>
              <w:ind w:left="0"/>
            </w:pPr>
          </w:p>
        </w:tc>
        <w:tc>
          <w:tcPr>
            <w:tcW w:w="1675" w:type="dxa"/>
          </w:tcPr>
          <w:p w14:paraId="152B6301" w14:textId="77777777" w:rsidR="00CB6CE1" w:rsidRDefault="00CB6CE1" w:rsidP="00A6503B">
            <w:pPr>
              <w:pStyle w:val="Tabletext"/>
              <w:ind w:left="0"/>
            </w:pPr>
            <w:r>
              <w:t xml:space="preserve">N = </w:t>
            </w:r>
            <w:r w:rsidRPr="0002696F">
              <w:t>103 AQP4-Ab-positive</w:t>
            </w:r>
            <w:r>
              <w:t xml:space="preserve"> NMOSD patients</w:t>
            </w:r>
          </w:p>
        </w:tc>
      </w:tr>
      <w:tr w:rsidR="00CB6CE1" w14:paraId="378D9FF2" w14:textId="77777777" w:rsidTr="00CB6CE1">
        <w:tc>
          <w:tcPr>
            <w:tcW w:w="1589" w:type="dxa"/>
          </w:tcPr>
          <w:p w14:paraId="5D5AA113" w14:textId="33E7C44D" w:rsidR="00CB6CE1" w:rsidRDefault="00CB6CE1" w:rsidP="00A6503B">
            <w:pPr>
              <w:pStyle w:val="Tabletext"/>
              <w:ind w:left="0"/>
            </w:pPr>
            <w:r>
              <w:t xml:space="preserve">AZA± prednisone and RTX </w:t>
            </w:r>
            <w:r w:rsidR="00AC01FD">
              <w:fldChar w:fldCharType="begin"/>
            </w:r>
            <w:r w:rsidR="00D96694">
              <w:instrText xml:space="preserve"> ADDIN EN.CITE &lt;EndNote&gt;&lt;Cite&gt;&lt;Author&gt;McCreary&lt;/Author&gt;&lt;Year&gt;2018&lt;/Year&gt;&lt;RecNum&gt;92&lt;/RecNum&gt;&lt;DisplayText&gt;(McCreary et al. 2018)&lt;/DisplayText&gt;&lt;record&gt;&lt;rec-number&gt;92&lt;/rec-number&gt;&lt;foreign-keys&gt;&lt;key app="EN" db-id="r25zptaswpdzade29ws5pf9gx55ztppatt20" timestamp="1585101524"&gt;92&lt;/key&gt;&lt;key app="ENWeb" db-id=""&gt;0&lt;/key&gt;&lt;/foreign-keys&gt;&lt;ref-type name="Journal Article"&gt;17&lt;/ref-type&gt;&lt;contributors&gt;&lt;authors&gt;&lt;author&gt;McCreary, M.&lt;/author&gt;&lt;author&gt;Mealy, M. A.&lt;/author&gt;&lt;author&gt;Wingerchuk, D. M.&lt;/author&gt;&lt;author&gt;Levy, M.&lt;/author&gt;&lt;author&gt;DeSena, A.&lt;/author&gt;&lt;author&gt;Greenberg, B. M.&lt;/author&gt;&lt;/authors&gt;&lt;/contributors&gt;&lt;auth-address&gt;Department of Neurology and Neurotherapeutics, University of Texas Southwestern Medical Center, USA.&amp;#xD;Department of Neurology, Johns Hopkins Hospital, USA.&amp;#xD;Department of Neurology, Mayo Clinic, USA.&lt;/auth-address&gt;&lt;titles&gt;&lt;title&gt;Updated diagnostic criteria for neuromyelitis optica spectrum disorder: Similar outcomes of previously separate cohorts&lt;/title&gt;&lt;secondary-title&gt;Mult Scler J Exp Transl Clin&lt;/secondary-title&gt;&lt;/titles&gt;&lt;periodical&gt;&lt;full-title&gt;Mult Scler J Exp Transl Clin&lt;/full-title&gt;&lt;/periodical&gt;&lt;pages&gt;2055217318815925&lt;/pages&gt;&lt;volume&gt;4&lt;/volume&gt;&lt;number&gt;4&lt;/number&gt;&lt;keywords&gt;&lt;keyword&gt;Neuromyelitis optica&lt;/keyword&gt;&lt;keyword&gt;annual relapse rate&lt;/keyword&gt;&lt;keyword&gt;diagnostic criteria&lt;/keyword&gt;&lt;keyword&gt;neuromyelitis optica spectrum disorder&lt;/keyword&gt;&lt;keyword&gt;treatment response&lt;/keyword&gt;&lt;/keywords&gt;&lt;dates&gt;&lt;year&gt;2018&lt;/year&gt;&lt;pub-dates&gt;&lt;date&gt;Oct-Dec&lt;/date&gt;&lt;/pub-dates&gt;&lt;/dates&gt;&lt;isbn&gt;2055-2173 (Print)&amp;#xD;2055-2173 (Linking)&lt;/isbn&gt;&lt;accession-num&gt;30559975&lt;/accession-num&gt;&lt;urls&gt;&lt;related-urls&gt;&lt;url&gt;https://www.ncbi.nlm.nih.gov/pubmed/30559975&lt;/url&gt;&lt;/related-urls&gt;&lt;/urls&gt;&lt;custom2&gt;6293372&lt;/custom2&gt;&lt;electronic-resource-num&gt;10.1177/2055217318815925&lt;/electronic-resource-num&gt;&lt;/record&gt;&lt;/Cite&gt;&lt;/EndNote&gt;</w:instrText>
            </w:r>
            <w:r w:rsidR="00AC01FD">
              <w:fldChar w:fldCharType="separate"/>
            </w:r>
            <w:r w:rsidR="00AC01FD">
              <w:rPr>
                <w:noProof/>
              </w:rPr>
              <w:t>(McCreary et al. 2018)</w:t>
            </w:r>
            <w:r w:rsidR="00AC01FD">
              <w:fldChar w:fldCharType="end"/>
            </w:r>
          </w:p>
        </w:tc>
        <w:tc>
          <w:tcPr>
            <w:tcW w:w="1641" w:type="dxa"/>
          </w:tcPr>
          <w:p w14:paraId="78E241CC" w14:textId="77777777" w:rsidR="00CB6CE1" w:rsidRDefault="00CB6CE1" w:rsidP="00A6503B">
            <w:pPr>
              <w:pStyle w:val="Tabletext"/>
              <w:ind w:left="0"/>
            </w:pPr>
            <w:r>
              <w:t>Pre-treatment vesus post-treatment</w:t>
            </w:r>
          </w:p>
        </w:tc>
        <w:tc>
          <w:tcPr>
            <w:tcW w:w="1488" w:type="dxa"/>
          </w:tcPr>
          <w:p w14:paraId="1B031E88" w14:textId="77777777" w:rsidR="00CB6CE1" w:rsidRDefault="00CB6CE1" w:rsidP="00A6503B">
            <w:pPr>
              <w:pStyle w:val="Tabletext"/>
              <w:ind w:left="0"/>
            </w:pPr>
            <w:r>
              <w:t>Hazard ratio of relapse (95% CI) during Tx relative to pre-Tx</w:t>
            </w:r>
          </w:p>
          <w:p w14:paraId="61B6FEC7" w14:textId="77777777" w:rsidR="00CB6CE1" w:rsidRDefault="00CB6CE1" w:rsidP="00A6503B">
            <w:pPr>
              <w:pStyle w:val="Tabletext"/>
              <w:ind w:left="0"/>
            </w:pPr>
            <w:r>
              <w:t xml:space="preserve">AZA: </w:t>
            </w:r>
            <w:r w:rsidRPr="005944B4">
              <w:t>0.60 (0.30–1.22</w:t>
            </w:r>
            <w:r>
              <w:t>)</w:t>
            </w:r>
          </w:p>
          <w:p w14:paraId="4458FB0C" w14:textId="77777777" w:rsidR="00CB6CE1" w:rsidRDefault="00CB6CE1" w:rsidP="00A6503B">
            <w:pPr>
              <w:pStyle w:val="Tabletext"/>
              <w:ind w:left="0"/>
            </w:pPr>
            <w:r>
              <w:t xml:space="preserve">AZA+prednisone: </w:t>
            </w:r>
            <w:r w:rsidRPr="007701B4">
              <w:t>0.40 (0.18–0.91)</w:t>
            </w:r>
          </w:p>
          <w:p w14:paraId="24A3E4A3" w14:textId="77777777" w:rsidR="00CB6CE1" w:rsidRDefault="00CB6CE1" w:rsidP="00A6503B">
            <w:pPr>
              <w:pStyle w:val="Tabletext"/>
              <w:ind w:left="0"/>
            </w:pPr>
            <w:r>
              <w:t xml:space="preserve">RTX: </w:t>
            </w:r>
            <w:r w:rsidRPr="00915F3B">
              <w:t>0.26 (0.12–0.57</w:t>
            </w:r>
            <w:r>
              <w:t>)</w:t>
            </w:r>
          </w:p>
          <w:p w14:paraId="3E86FC8F" w14:textId="77777777" w:rsidR="00CB6CE1" w:rsidRDefault="00CB6CE1" w:rsidP="00A6503B">
            <w:pPr>
              <w:pStyle w:val="Tabletext"/>
              <w:ind w:left="0"/>
            </w:pPr>
          </w:p>
        </w:tc>
        <w:tc>
          <w:tcPr>
            <w:tcW w:w="1415" w:type="dxa"/>
          </w:tcPr>
          <w:p w14:paraId="5B93CE64" w14:textId="77777777" w:rsidR="00CB6CE1" w:rsidRDefault="00CB6CE1" w:rsidP="00A6503B">
            <w:pPr>
              <w:pStyle w:val="Tabletext"/>
              <w:ind w:left="0"/>
            </w:pPr>
            <w:r>
              <w:t>NR</w:t>
            </w:r>
          </w:p>
        </w:tc>
        <w:tc>
          <w:tcPr>
            <w:tcW w:w="1208" w:type="dxa"/>
          </w:tcPr>
          <w:p w14:paraId="5061C75E" w14:textId="77777777" w:rsidR="00CB6CE1" w:rsidRPr="000E2FD9" w:rsidRDefault="00CB6CE1" w:rsidP="00A6503B">
            <w:pPr>
              <w:pStyle w:val="Tabletext"/>
              <w:ind w:left="0"/>
            </w:pPr>
            <w:r w:rsidRPr="000E2FD9">
              <w:t>NR</w:t>
            </w:r>
          </w:p>
        </w:tc>
        <w:tc>
          <w:tcPr>
            <w:tcW w:w="1675" w:type="dxa"/>
          </w:tcPr>
          <w:p w14:paraId="522A3059" w14:textId="77777777" w:rsidR="00CB6CE1" w:rsidRDefault="00CB6CE1" w:rsidP="00A6503B">
            <w:pPr>
              <w:pStyle w:val="Tabletext"/>
              <w:ind w:left="0"/>
            </w:pPr>
            <w:r>
              <w:t xml:space="preserve">129 AQP4-Ab NMOSD patients </w:t>
            </w:r>
          </w:p>
        </w:tc>
      </w:tr>
      <w:tr w:rsidR="00CB6CE1" w14:paraId="139D7864" w14:textId="77777777" w:rsidTr="00CB6CE1">
        <w:tc>
          <w:tcPr>
            <w:tcW w:w="1589" w:type="dxa"/>
          </w:tcPr>
          <w:p w14:paraId="4F3DEA0B" w14:textId="77777777" w:rsidR="00CB6CE1" w:rsidRDefault="00CB6CE1" w:rsidP="00A6503B">
            <w:pPr>
              <w:pStyle w:val="Tabletext"/>
              <w:ind w:left="0"/>
            </w:pPr>
            <w:r>
              <w:t xml:space="preserve">AZA and RTX </w:t>
            </w:r>
            <w:r w:rsidR="00AC01FD">
              <w:fldChar w:fldCharType="begin">
                <w:fldData xml:space="preserve">PEVuZE5vdGU+PENpdGU+PEF1dGhvcj5OaWtvbzwvQXV0aG9yPjxZZWFyPjIwMTc8L1llYXI+PFJl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</w:fldData>
              </w:fldChar>
            </w:r>
            <w:r w:rsidR="00AC01FD">
              <w:instrText xml:space="preserve"> ADDIN EN.CITE </w:instrText>
            </w:r>
            <w:r w:rsidR="00AC01FD">
              <w:fldChar w:fldCharType="begin">
                <w:fldData xml:space="preserve">PEVuZE5vdGU+PENpdGU+PEF1dGhvcj5OaWtvbzwvQXV0aG9yPjxZZWFyPjIwMTc8L1llYXI+PFJl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</w:fldData>
              </w:fldChar>
            </w:r>
            <w:r w:rsidR="00AC01FD">
              <w:instrText xml:space="preserve"> ADDIN EN.CITE.DATA </w:instrText>
            </w:r>
            <w:r w:rsidR="00AC01FD">
              <w:fldChar w:fldCharType="end"/>
            </w:r>
            <w:r w:rsidR="00AC01FD">
              <w:fldChar w:fldCharType="separate"/>
            </w:r>
            <w:r w:rsidR="00AC01FD">
              <w:rPr>
                <w:noProof/>
              </w:rPr>
              <w:t>(Nikoo et al. 2017)</w:t>
            </w:r>
            <w:r w:rsidR="00AC01FD">
              <w:fldChar w:fldCharType="end"/>
            </w:r>
          </w:p>
        </w:tc>
        <w:tc>
          <w:tcPr>
            <w:tcW w:w="1641" w:type="dxa"/>
          </w:tcPr>
          <w:p w14:paraId="15488DC0" w14:textId="77777777" w:rsidR="00CB6CE1" w:rsidRDefault="00CB6CE1" w:rsidP="00A6503B">
            <w:pPr>
              <w:pStyle w:val="Tabletext"/>
              <w:ind w:left="0"/>
            </w:pPr>
            <w:r>
              <w:t>Pre-treatment vesus post-treatment phase</w:t>
            </w:r>
          </w:p>
        </w:tc>
        <w:tc>
          <w:tcPr>
            <w:tcW w:w="1488" w:type="dxa"/>
          </w:tcPr>
          <w:p w14:paraId="1B72CBDB" w14:textId="77777777" w:rsidR="00CB6CE1" w:rsidRDefault="00CB6CE1" w:rsidP="00A6503B">
            <w:pPr>
              <w:pStyle w:val="Tabletext"/>
              <w:ind w:left="0"/>
            </w:pPr>
            <w:r>
              <w:t>Mean ARR (SD)</w:t>
            </w:r>
          </w:p>
          <w:p w14:paraId="1E034084" w14:textId="77777777" w:rsidR="00CB6CE1" w:rsidRDefault="00CB6CE1" w:rsidP="00A6503B">
            <w:pPr>
              <w:pStyle w:val="Tabletext"/>
              <w:ind w:left="0"/>
            </w:pPr>
            <w:r w:rsidRPr="00F36B93">
              <w:t>Azathioprine</w:t>
            </w:r>
            <w:r>
              <w:t>:</w:t>
            </w:r>
          </w:p>
          <w:p w14:paraId="7DCEC504" w14:textId="77777777" w:rsidR="00CB6CE1" w:rsidRDefault="00CB6CE1" w:rsidP="00A6503B">
            <w:pPr>
              <w:pStyle w:val="Tabletext"/>
              <w:ind w:left="0"/>
            </w:pPr>
            <w:r>
              <w:t>Pre-Tx:</w:t>
            </w:r>
            <w:r w:rsidRPr="003D33FF">
              <w:t xml:space="preserve"> </w:t>
            </w:r>
            <w:r w:rsidRPr="00F36B93">
              <w:t>1</w:t>
            </w:r>
            <w:r>
              <w:t>.0</w:t>
            </w:r>
            <w:r w:rsidRPr="00F36B93">
              <w:t xml:space="preserve"> (0.38)</w:t>
            </w:r>
          </w:p>
          <w:p w14:paraId="00692C15" w14:textId="77777777" w:rsidR="00CB6CE1" w:rsidRDefault="00CB6CE1" w:rsidP="00A6503B">
            <w:pPr>
              <w:pStyle w:val="Tabletext"/>
              <w:ind w:left="0"/>
            </w:pPr>
            <w:r>
              <w:t xml:space="preserve">1 year Post-Tx follow-up: </w:t>
            </w:r>
            <w:r w:rsidRPr="00F36B93">
              <w:t>0.51 (0.55)</w:t>
            </w:r>
          </w:p>
          <w:p w14:paraId="5DCCDE65" w14:textId="77777777" w:rsidR="00CB6CE1" w:rsidRDefault="00CB6CE1" w:rsidP="00A6503B">
            <w:pPr>
              <w:pStyle w:val="Tabletext"/>
              <w:ind w:left="0"/>
            </w:pPr>
            <w:r w:rsidRPr="00F36B93">
              <w:t>Rituximab</w:t>
            </w:r>
          </w:p>
          <w:p w14:paraId="177CAE73" w14:textId="77777777" w:rsidR="00CB6CE1" w:rsidRDefault="00CB6CE1" w:rsidP="00A6503B">
            <w:pPr>
              <w:pStyle w:val="Tabletext"/>
              <w:ind w:left="0"/>
            </w:pPr>
            <w:r>
              <w:t>Pre-Tx:</w:t>
            </w:r>
            <w:r w:rsidRPr="003D33FF">
              <w:t xml:space="preserve"> </w:t>
            </w:r>
            <w:r w:rsidRPr="00F36B93">
              <w:t xml:space="preserve">1.30 (0.68) </w:t>
            </w:r>
          </w:p>
          <w:p w14:paraId="253D26E7" w14:textId="77777777" w:rsidR="00CB6CE1" w:rsidRDefault="00CB6CE1" w:rsidP="00A6503B">
            <w:pPr>
              <w:pStyle w:val="Tabletext"/>
              <w:ind w:left="0"/>
            </w:pPr>
            <w:r>
              <w:t xml:space="preserve">1 year Post-Tx follow-up: </w:t>
            </w:r>
            <w:r w:rsidRPr="00F36B93">
              <w:t>0.21 (0.42)</w:t>
            </w:r>
          </w:p>
        </w:tc>
        <w:tc>
          <w:tcPr>
            <w:tcW w:w="1415" w:type="dxa"/>
          </w:tcPr>
          <w:p w14:paraId="360A3D71" w14:textId="77777777" w:rsidR="00CB6CE1" w:rsidRDefault="00CB6CE1" w:rsidP="00A6503B">
            <w:pPr>
              <w:pStyle w:val="Tabletext"/>
              <w:ind w:left="0"/>
            </w:pPr>
            <w:r>
              <w:t>Mean (SD) ∆EDSS</w:t>
            </w:r>
          </w:p>
          <w:p w14:paraId="41E3E381" w14:textId="77777777" w:rsidR="00CB6CE1" w:rsidRDefault="00CB6CE1" w:rsidP="00A6503B">
            <w:pPr>
              <w:pStyle w:val="Tabletext"/>
              <w:ind w:left="0"/>
            </w:pPr>
            <w:r w:rsidRPr="00F36B93">
              <w:t>Azathioprine</w:t>
            </w:r>
            <w:r>
              <w:t>:</w:t>
            </w:r>
          </w:p>
          <w:p w14:paraId="5E9BA254" w14:textId="77777777" w:rsidR="00CB6CE1" w:rsidRDefault="00CB6CE1" w:rsidP="00A6503B">
            <w:pPr>
              <w:pStyle w:val="Tabletext"/>
              <w:ind w:left="0"/>
            </w:pPr>
            <w:r w:rsidRPr="00207870">
              <w:t xml:space="preserve">0.44 (0.54) </w:t>
            </w:r>
          </w:p>
          <w:p w14:paraId="13AF61E3" w14:textId="77777777" w:rsidR="00CB6CE1" w:rsidRPr="00F36B93" w:rsidRDefault="00CB6CE1" w:rsidP="00A6503B">
            <w:pPr>
              <w:pStyle w:val="Tabletext"/>
              <w:ind w:left="0"/>
            </w:pPr>
            <w:r w:rsidRPr="00F36B93">
              <w:t>Rituximab</w:t>
            </w:r>
          </w:p>
          <w:p w14:paraId="4A4AEE1F" w14:textId="77777777" w:rsidR="00CB6CE1" w:rsidRDefault="00CB6CE1" w:rsidP="00A6503B">
            <w:pPr>
              <w:pStyle w:val="Tabletext"/>
              <w:ind w:left="0"/>
            </w:pPr>
            <w:r w:rsidRPr="00207870">
              <w:t>0.98 (1.14)</w:t>
            </w:r>
            <w:r>
              <w:t xml:space="preserve"> </w:t>
            </w:r>
          </w:p>
        </w:tc>
        <w:tc>
          <w:tcPr>
            <w:tcW w:w="1208" w:type="dxa"/>
          </w:tcPr>
          <w:p w14:paraId="379DFEFE" w14:textId="77777777" w:rsidR="00CB6CE1" w:rsidRDefault="00CB6CE1" w:rsidP="00A6503B">
            <w:pPr>
              <w:pStyle w:val="Tabletext"/>
              <w:ind w:left="0"/>
            </w:pPr>
            <w:r w:rsidRPr="00F36B93">
              <w:t>Azathioprine</w:t>
            </w:r>
            <w:r>
              <w:t>:</w:t>
            </w:r>
          </w:p>
          <w:p w14:paraId="434C270C" w14:textId="77777777" w:rsidR="00CB6CE1" w:rsidRDefault="00CB6CE1" w:rsidP="00A6503B">
            <w:pPr>
              <w:pStyle w:val="Tabletext"/>
              <w:ind w:left="0"/>
            </w:pPr>
            <w:r>
              <w:t>Any: 8.5%</w:t>
            </w:r>
          </w:p>
          <w:p w14:paraId="5B82C9DB" w14:textId="77777777" w:rsidR="00CB6CE1" w:rsidRPr="00F36B93" w:rsidRDefault="00CB6CE1" w:rsidP="00A6503B">
            <w:pPr>
              <w:pStyle w:val="Tabletext"/>
              <w:ind w:left="0"/>
            </w:pPr>
            <w:r w:rsidRPr="00F36B93">
              <w:t>Rituximab</w:t>
            </w:r>
          </w:p>
          <w:p w14:paraId="4386AFE0" w14:textId="77777777" w:rsidR="00CB6CE1" w:rsidRDefault="00CB6CE1" w:rsidP="00A6503B">
            <w:pPr>
              <w:pStyle w:val="Tabletext"/>
              <w:ind w:left="0"/>
            </w:pPr>
            <w:r>
              <w:t>Any: 12.1%</w:t>
            </w:r>
          </w:p>
          <w:p w14:paraId="2115EBA2" w14:textId="77777777" w:rsidR="00CB6CE1" w:rsidRDefault="00CB6CE1" w:rsidP="00A6503B">
            <w:pPr>
              <w:pStyle w:val="Tabletext"/>
              <w:ind w:left="0"/>
            </w:pPr>
            <w:r>
              <w:t>Severe: 3.0%</w:t>
            </w:r>
          </w:p>
        </w:tc>
        <w:tc>
          <w:tcPr>
            <w:tcW w:w="1675" w:type="dxa"/>
          </w:tcPr>
          <w:p w14:paraId="60FD75B9" w14:textId="77777777" w:rsidR="00CB6CE1" w:rsidRDefault="00CB6CE1" w:rsidP="00A6503B">
            <w:pPr>
              <w:pStyle w:val="Tabletext"/>
              <w:ind w:left="0"/>
            </w:pPr>
            <w:r>
              <w:t>O</w:t>
            </w:r>
            <w:r w:rsidRPr="00811A96">
              <w:t>pen, randomized clinical trial</w:t>
            </w:r>
            <w:r>
              <w:t xml:space="preserve">, to </w:t>
            </w:r>
            <w:r w:rsidRPr="00811A96">
              <w:t>compa</w:t>
            </w:r>
            <w:r>
              <w:t xml:space="preserve">re the efficacy of AZA (n=35) and RTX (n=33) </w:t>
            </w:r>
            <w:r w:rsidRPr="00811A96">
              <w:t>as maintenance therapy in NMOSD patients.</w:t>
            </w:r>
            <w:r>
              <w:t xml:space="preserve"> </w:t>
            </w:r>
          </w:p>
          <w:p w14:paraId="769A2C2C" w14:textId="77777777" w:rsidR="00CB6CE1" w:rsidRDefault="00CB6CE1" w:rsidP="00A6503B">
            <w:pPr>
              <w:pStyle w:val="Tabletext"/>
              <w:ind w:left="0"/>
            </w:pPr>
            <w:r>
              <w:t xml:space="preserve">This study was included in the meta-analysis by Gao et al for the efficacy of RTX. </w:t>
            </w:r>
          </w:p>
        </w:tc>
      </w:tr>
      <w:tr w:rsidR="00CB6CE1" w14:paraId="0C95BB9C" w14:textId="77777777" w:rsidTr="00CB6CE1">
        <w:tc>
          <w:tcPr>
            <w:tcW w:w="1589" w:type="dxa"/>
          </w:tcPr>
          <w:p w14:paraId="1B205718" w14:textId="49CF33C2" w:rsidR="00CB6CE1" w:rsidRDefault="00CB6CE1" w:rsidP="00A6503B">
            <w:pPr>
              <w:pStyle w:val="Tabletext"/>
              <w:ind w:left="0"/>
            </w:pPr>
            <w:r>
              <w:t xml:space="preserve">RTX </w:t>
            </w:r>
            <w:r w:rsidR="00AC01FD">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instrText xml:space="preserve"> ADDIN EN.CITE </w:instrText>
            </w:r>
            <w:r w:rsidR="00D96694">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instrText xml:space="preserve"> ADDIN EN.CITE.DATA </w:instrText>
            </w:r>
            <w:r w:rsidR="00D96694">
              <w:fldChar w:fldCharType="end"/>
            </w:r>
            <w:r w:rsidR="00AC01FD">
              <w:fldChar w:fldCharType="separate"/>
            </w:r>
            <w:r w:rsidR="00AC01FD">
              <w:rPr>
                <w:noProof/>
              </w:rPr>
              <w:t>(Ashtari et al. 2019)</w:t>
            </w:r>
            <w:r w:rsidR="00AC01FD">
              <w:fldChar w:fldCharType="end"/>
            </w:r>
          </w:p>
        </w:tc>
        <w:tc>
          <w:tcPr>
            <w:tcW w:w="1641" w:type="dxa"/>
          </w:tcPr>
          <w:p w14:paraId="42B9E120" w14:textId="77777777" w:rsidR="00CB6CE1" w:rsidRDefault="00CB6CE1" w:rsidP="00A6503B">
            <w:pPr>
              <w:pStyle w:val="Tabletext"/>
              <w:ind w:left="0"/>
            </w:pPr>
            <w:r>
              <w:t>Pre-treatment vesus post-treatment phase</w:t>
            </w:r>
          </w:p>
        </w:tc>
        <w:tc>
          <w:tcPr>
            <w:tcW w:w="1488" w:type="dxa"/>
          </w:tcPr>
          <w:p w14:paraId="6FFE654F" w14:textId="77777777" w:rsidR="00CB6CE1" w:rsidRDefault="00CB6CE1" w:rsidP="00A6503B">
            <w:pPr>
              <w:pStyle w:val="Tabletext"/>
              <w:ind w:left="0"/>
            </w:pPr>
            <w:r>
              <w:t>Baseline: 1.35±0.85</w:t>
            </w:r>
          </w:p>
          <w:p w14:paraId="0D817BFE" w14:textId="77777777" w:rsidR="00CB6CE1" w:rsidRDefault="00CB6CE1" w:rsidP="00A6503B">
            <w:pPr>
              <w:pStyle w:val="Tabletext"/>
              <w:ind w:left="0"/>
            </w:pPr>
            <w:r>
              <w:t xml:space="preserve">Annual follow-up: </w:t>
            </w:r>
            <w:r>
              <w:lastRenderedPageBreak/>
              <w:t>0.10±0.19</w:t>
            </w:r>
          </w:p>
        </w:tc>
        <w:tc>
          <w:tcPr>
            <w:tcW w:w="1415" w:type="dxa"/>
          </w:tcPr>
          <w:p w14:paraId="3B7E6F27" w14:textId="77777777" w:rsidR="00CB6CE1" w:rsidRDefault="00CB6CE1" w:rsidP="00A6503B">
            <w:pPr>
              <w:pStyle w:val="Tabletext"/>
              <w:ind w:left="0"/>
            </w:pPr>
            <w:r>
              <w:lastRenderedPageBreak/>
              <w:t xml:space="preserve">Baseline: </w:t>
            </w:r>
            <w:r w:rsidRPr="002F4726">
              <w:t>4.94±1.83</w:t>
            </w:r>
          </w:p>
          <w:p w14:paraId="7C7B07A0" w14:textId="77777777" w:rsidR="00CB6CE1" w:rsidRDefault="00CB6CE1" w:rsidP="00A6503B">
            <w:pPr>
              <w:pStyle w:val="Tabletext"/>
              <w:ind w:left="0"/>
            </w:pPr>
            <w:r>
              <w:t xml:space="preserve">At annual </w:t>
            </w:r>
            <w:r>
              <w:lastRenderedPageBreak/>
              <w:t xml:space="preserve">follow-up: </w:t>
            </w:r>
            <w:r w:rsidRPr="002F4726">
              <w:t>2.92</w:t>
            </w:r>
            <w:r>
              <w:t> </w:t>
            </w:r>
            <w:r w:rsidRPr="002F4726">
              <w:t>±</w:t>
            </w:r>
            <w:r>
              <w:t> </w:t>
            </w:r>
            <w:r w:rsidRPr="002F4726">
              <w:t>1.54</w:t>
            </w:r>
          </w:p>
        </w:tc>
        <w:tc>
          <w:tcPr>
            <w:tcW w:w="1208" w:type="dxa"/>
          </w:tcPr>
          <w:p w14:paraId="16E08AE0" w14:textId="77777777" w:rsidR="00CB6CE1" w:rsidRDefault="00CB6CE1" w:rsidP="00A6503B">
            <w:pPr>
              <w:pStyle w:val="Tabletext"/>
              <w:ind w:left="0"/>
            </w:pPr>
            <w:r>
              <w:lastRenderedPageBreak/>
              <w:t>Severe: 19.6%</w:t>
            </w:r>
          </w:p>
        </w:tc>
        <w:tc>
          <w:tcPr>
            <w:tcW w:w="1675" w:type="dxa"/>
          </w:tcPr>
          <w:p w14:paraId="3F3C6FB1" w14:textId="77777777" w:rsidR="00CB6CE1" w:rsidRDefault="00CB6CE1" w:rsidP="00A6503B">
            <w:pPr>
              <w:pStyle w:val="Tabletext"/>
              <w:ind w:left="0"/>
            </w:pPr>
            <w:r>
              <w:t>Observational prospective study, N=56</w:t>
            </w:r>
          </w:p>
        </w:tc>
      </w:tr>
      <w:tr w:rsidR="00CB6CE1" w14:paraId="1B256EFA" w14:textId="77777777" w:rsidTr="00CB6CE1">
        <w:tc>
          <w:tcPr>
            <w:tcW w:w="1589" w:type="dxa"/>
          </w:tcPr>
          <w:p w14:paraId="674B0F22" w14:textId="52BBB2FD" w:rsidR="00CB6CE1" w:rsidRDefault="00CB6CE1" w:rsidP="00511EDB">
            <w:pPr>
              <w:pStyle w:val="Tabletext"/>
              <w:ind w:left="0"/>
            </w:pPr>
            <w:r>
              <w:t xml:space="preserve">RTX </w:t>
            </w:r>
            <w:r w:rsidR="003E265F">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 </w:instrText>
            </w:r>
            <w:r w:rsidR="00511EDB">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instrText xml:space="preserve"> ADDIN EN.CITE.DATA </w:instrText>
            </w:r>
            <w:r w:rsidR="00511EDB">
              <w:fldChar w:fldCharType="end"/>
            </w:r>
            <w:r w:rsidR="003E265F">
              <w:fldChar w:fldCharType="separate"/>
            </w:r>
            <w:r w:rsidR="00511EDB">
              <w:rPr>
                <w:noProof/>
              </w:rPr>
              <w:t>(Gao et al. 2019)</w:t>
            </w:r>
            <w:r w:rsidR="003E265F">
              <w:fldChar w:fldCharType="end"/>
            </w:r>
          </w:p>
        </w:tc>
        <w:tc>
          <w:tcPr>
            <w:tcW w:w="1641" w:type="dxa"/>
          </w:tcPr>
          <w:p w14:paraId="459085C9" w14:textId="77777777" w:rsidR="00CB6CE1" w:rsidRDefault="00CB6CE1" w:rsidP="00A6503B">
            <w:pPr>
              <w:pStyle w:val="Tabletext"/>
              <w:ind w:left="0"/>
            </w:pPr>
            <w:r>
              <w:t xml:space="preserve">Pre-treatment vesus post-treatment phase </w:t>
            </w:r>
          </w:p>
        </w:tc>
        <w:tc>
          <w:tcPr>
            <w:tcW w:w="1488" w:type="dxa"/>
          </w:tcPr>
          <w:p w14:paraId="54694237" w14:textId="77777777" w:rsidR="00CB6CE1" w:rsidRDefault="00CB6CE1" w:rsidP="00A6503B">
            <w:pPr>
              <w:pStyle w:val="Tabletext"/>
              <w:ind w:left="0"/>
            </w:pPr>
            <w:r>
              <w:t>Mean ∆ARR: -1.56 (95%CI -1.82, -1.29).</w:t>
            </w:r>
          </w:p>
        </w:tc>
        <w:tc>
          <w:tcPr>
            <w:tcW w:w="1415" w:type="dxa"/>
          </w:tcPr>
          <w:p w14:paraId="651E1BC8" w14:textId="77777777" w:rsidR="00CB6CE1" w:rsidRDefault="00CB6CE1" w:rsidP="00A6503B">
            <w:pPr>
              <w:pStyle w:val="Tabletext"/>
              <w:ind w:left="0"/>
            </w:pPr>
            <w:r>
              <w:t>Mean ∆EDSS</w:t>
            </w:r>
            <w:r w:rsidRPr="006579F9">
              <w:t xml:space="preserve"> − 1.16 (95% CI, − 1.36 to − 0.96)</w:t>
            </w:r>
          </w:p>
        </w:tc>
        <w:tc>
          <w:tcPr>
            <w:tcW w:w="1208" w:type="dxa"/>
          </w:tcPr>
          <w:p w14:paraId="4F1CC5C3" w14:textId="77777777" w:rsidR="00CB6CE1" w:rsidRDefault="00CB6CE1" w:rsidP="00A6503B">
            <w:pPr>
              <w:pStyle w:val="Tabletext"/>
              <w:ind w:left="0"/>
            </w:pPr>
            <w:r>
              <w:t>Any: 16.5%</w:t>
            </w:r>
          </w:p>
          <w:p w14:paraId="1DDB9838" w14:textId="77777777" w:rsidR="00CB6CE1" w:rsidRDefault="00CB6CE1" w:rsidP="00A6503B">
            <w:pPr>
              <w:pStyle w:val="Tabletext"/>
              <w:ind w:left="0"/>
            </w:pPr>
            <w:r>
              <w:t>Severe: 3.8%</w:t>
            </w:r>
          </w:p>
        </w:tc>
        <w:tc>
          <w:tcPr>
            <w:tcW w:w="1675" w:type="dxa"/>
          </w:tcPr>
          <w:p w14:paraId="0C6B4FAC" w14:textId="77777777" w:rsidR="00CB6CE1" w:rsidRDefault="00CB6CE1" w:rsidP="00A6503B">
            <w:pPr>
              <w:pStyle w:val="Tabletext"/>
              <w:ind w:left="0"/>
            </w:pPr>
            <w:r>
              <w:t xml:space="preserve">Meta analysis of 26 studies. </w:t>
            </w:r>
          </w:p>
          <w:p w14:paraId="0BDC3D39" w14:textId="77777777" w:rsidR="00CB6CE1" w:rsidRDefault="00CB6CE1" w:rsidP="00A6503B">
            <w:pPr>
              <w:pStyle w:val="Tabletext"/>
              <w:ind w:left="0"/>
            </w:pPr>
            <w:r>
              <w:t>High heterogeneity and no information about baseline and follow-up ARR</w:t>
            </w:r>
          </w:p>
        </w:tc>
      </w:tr>
    </w:tbl>
    <w:p w14:paraId="061F3A4D" w14:textId="77777777" w:rsidR="00CB6CE1" w:rsidRDefault="00CB6CE1" w:rsidP="00CB6CE1">
      <w:r w:rsidRPr="002A34C4">
        <w:rPr>
          <w:rFonts w:ascii="Arial Narrow" w:hAnsi="Arial Narrow" w:cs="Arial"/>
          <w:snapToGrid w:val="0"/>
          <w:sz w:val="18"/>
          <w:szCs w:val="20"/>
          <w:lang w:eastAsia="en-US"/>
        </w:rPr>
        <w:t xml:space="preserve">∆ = difference in mean/median values; AQP4-Ab = aquaporin 4 antibody; ARR = annualised relapse rate; </w:t>
      </w:r>
      <w:r>
        <w:rPr>
          <w:rFonts w:ascii="Arial Narrow" w:hAnsi="Arial Narrow" w:cs="Arial"/>
          <w:snapToGrid w:val="0"/>
          <w:sz w:val="18"/>
          <w:szCs w:val="20"/>
          <w:lang w:eastAsia="en-US"/>
        </w:rPr>
        <w:t xml:space="preserve">AZA = </w:t>
      </w:r>
      <w:r w:rsidRPr="00B67E98">
        <w:rPr>
          <w:rFonts w:ascii="Arial Narrow" w:hAnsi="Arial Narrow" w:cs="Arial"/>
          <w:snapToGrid w:val="0"/>
          <w:sz w:val="18"/>
          <w:szCs w:val="20"/>
          <w:lang w:eastAsia="en-US"/>
        </w:rPr>
        <w:t>Azathioprine</w:t>
      </w:r>
      <w:r>
        <w:rPr>
          <w:rFonts w:ascii="Arial Narrow" w:hAnsi="Arial Narrow" w:cs="Arial"/>
          <w:snapToGrid w:val="0"/>
          <w:sz w:val="18"/>
          <w:szCs w:val="20"/>
          <w:lang w:eastAsia="en-US"/>
        </w:rPr>
        <w:t>;</w:t>
      </w:r>
      <w:r w:rsidRPr="00B67E98">
        <w:rPr>
          <w:rFonts w:ascii="Arial Narrow" w:hAnsi="Arial Narrow" w:cs="Arial"/>
          <w:snapToGrid w:val="0"/>
          <w:sz w:val="18"/>
          <w:szCs w:val="20"/>
          <w:lang w:eastAsia="en-US"/>
        </w:rPr>
        <w:t xml:space="preserve"> </w:t>
      </w:r>
      <w:r w:rsidRPr="002A34C4">
        <w:rPr>
          <w:rFonts w:ascii="Arial Narrow" w:hAnsi="Arial Narrow" w:cs="Arial"/>
          <w:snapToGrid w:val="0"/>
          <w:sz w:val="18"/>
          <w:szCs w:val="20"/>
          <w:lang w:eastAsia="en-US"/>
        </w:rPr>
        <w:t xml:space="preserve">EDSS = Expanded Disability Status Scale; NMOSD = neuromyelitis optica spectrum disorders; </w:t>
      </w:r>
      <w:r>
        <w:rPr>
          <w:rFonts w:ascii="Arial Narrow" w:hAnsi="Arial Narrow" w:cs="Arial"/>
          <w:snapToGrid w:val="0"/>
          <w:sz w:val="18"/>
          <w:szCs w:val="20"/>
          <w:lang w:eastAsia="en-US"/>
        </w:rPr>
        <w:t xml:space="preserve">PLEX = </w:t>
      </w:r>
      <w:r w:rsidRPr="00B67E98">
        <w:rPr>
          <w:rFonts w:ascii="Arial Narrow" w:hAnsi="Arial Narrow" w:cs="Arial"/>
          <w:snapToGrid w:val="0"/>
          <w:sz w:val="18"/>
          <w:szCs w:val="20"/>
          <w:lang w:eastAsia="en-US"/>
        </w:rPr>
        <w:t>Plasma Exchange</w:t>
      </w:r>
      <w:r>
        <w:rPr>
          <w:rFonts w:ascii="Arial Narrow" w:hAnsi="Arial Narrow" w:cs="Arial"/>
          <w:snapToGrid w:val="0"/>
          <w:sz w:val="18"/>
          <w:szCs w:val="20"/>
          <w:lang w:eastAsia="en-US"/>
        </w:rPr>
        <w:t>;</w:t>
      </w:r>
      <w:r w:rsidRPr="00B67E98">
        <w:rPr>
          <w:rFonts w:ascii="Arial Narrow" w:hAnsi="Arial Narrow" w:cs="Arial"/>
          <w:snapToGrid w:val="0"/>
          <w:sz w:val="18"/>
          <w:szCs w:val="20"/>
          <w:lang w:eastAsia="en-US"/>
        </w:rPr>
        <w:t xml:space="preserve"> </w:t>
      </w:r>
      <w:r>
        <w:rPr>
          <w:rFonts w:ascii="Arial Narrow" w:hAnsi="Arial Narrow" w:cs="Arial"/>
          <w:snapToGrid w:val="0"/>
          <w:sz w:val="18"/>
          <w:szCs w:val="20"/>
          <w:lang w:eastAsia="en-US"/>
        </w:rPr>
        <w:t xml:space="preserve">RTX = </w:t>
      </w:r>
      <w:r w:rsidRPr="00B16901">
        <w:rPr>
          <w:rFonts w:ascii="Arial Narrow" w:hAnsi="Arial Narrow" w:cs="Arial"/>
          <w:snapToGrid w:val="0"/>
          <w:sz w:val="18"/>
          <w:szCs w:val="20"/>
          <w:lang w:eastAsia="en-US"/>
        </w:rPr>
        <w:t>Rituximab</w:t>
      </w:r>
      <w:r>
        <w:rPr>
          <w:rFonts w:ascii="Arial Narrow" w:hAnsi="Arial Narrow" w:cs="Arial"/>
          <w:snapToGrid w:val="0"/>
          <w:sz w:val="18"/>
          <w:szCs w:val="20"/>
          <w:lang w:eastAsia="en-US"/>
        </w:rPr>
        <w:t>;</w:t>
      </w:r>
      <w:r w:rsidRPr="00B16901">
        <w:rPr>
          <w:rFonts w:ascii="Arial Narrow" w:hAnsi="Arial Narrow" w:cs="Arial"/>
          <w:snapToGrid w:val="0"/>
          <w:sz w:val="18"/>
          <w:szCs w:val="20"/>
          <w:lang w:eastAsia="en-US"/>
        </w:rPr>
        <w:t xml:space="preserve"> </w:t>
      </w:r>
      <w:r w:rsidRPr="002A34C4">
        <w:rPr>
          <w:rFonts w:ascii="Arial Narrow" w:hAnsi="Arial Narrow" w:cs="Arial"/>
          <w:snapToGrid w:val="0"/>
          <w:sz w:val="18"/>
          <w:szCs w:val="20"/>
          <w:lang w:eastAsia="en-US"/>
        </w:rPr>
        <w:t>Tx = treatment</w:t>
      </w:r>
    </w:p>
    <w:p w14:paraId="770C4867" w14:textId="77777777" w:rsidR="00CB6CE1" w:rsidRDefault="00CB6CE1" w:rsidP="00CB6CE1">
      <w:r>
        <w:t xml:space="preserve">Using a large multicentre dataset of 441 AQP4-AB positive NMOSD patients from the UK, USA, Japan and Martinique who collectively experienced 1976 attacks over the median follow-up of 7.1 years, Palace et al applied the mathematical models to predict effects of age, sex, ethnicity and treatment on likelihood of relapse and developing disability at different time points </w:t>
      </w:r>
      <w:r w:rsidR="00AC01FD">
        <w:fldChar w:fldCharType="begin">
          <w:fldData xml:space="preserve">PEVuZE5vdGU+PENpdGU+PEF1dGhvcj5QYWxhY2U8L0F1dGhvcj48WWVhcj4yMDE5PC9ZZWFyPjxS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</w:fldData>
        </w:fldChar>
      </w:r>
      <w:r w:rsidR="00AC01FD">
        <w:instrText xml:space="preserve"> ADDIN EN.CITE </w:instrText>
      </w:r>
      <w:r w:rsidR="00AC01FD">
        <w:fldChar w:fldCharType="begin">
          <w:fldData xml:space="preserve">PEVuZE5vdGU+PENpdGU+PEF1dGhvcj5QYWxhY2U8L0F1dGhvcj48WWVhcj4yMDE5PC9ZZWFyPjxS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</w:fldData>
        </w:fldChar>
      </w:r>
      <w:r w:rsidR="00AC01FD">
        <w:instrText xml:space="preserve"> ADDIN EN.CITE.DATA </w:instrText>
      </w:r>
      <w:r w:rsidR="00AC01FD">
        <w:fldChar w:fldCharType="end"/>
      </w:r>
      <w:r w:rsidR="00AC01FD">
        <w:fldChar w:fldCharType="separate"/>
      </w:r>
      <w:r w:rsidR="00AC01FD">
        <w:rPr>
          <w:noProof/>
        </w:rPr>
        <w:t>(Palace et al. 2019)</w:t>
      </w:r>
      <w:r w:rsidR="00AC01FD">
        <w:fldChar w:fldCharType="end"/>
      </w:r>
      <w:r>
        <w:t>. The authors identified that immunosuppresants reduced the likelihood of all relapses by 33% (Rate ratio 0.668) whereas MS treatments increased the risk of relapse (Rate Ratio: 1.383) compared with no treatment.</w:t>
      </w:r>
    </w:p>
    <w:p w14:paraId="2D428C9B" w14:textId="18B14B04" w:rsidR="00CB6CE1" w:rsidRDefault="00CB6CE1" w:rsidP="00CB6CE1">
      <w:r>
        <w:t xml:space="preserve">Rate ratio for immunosuppressive therapy reported in this study is found comparable to the other published observational studies </w:t>
      </w:r>
      <w:r w:rsidR="00AC01FD">
        <w:fldChar w:fldCharType="begin">
          <w:fldData xml:space="preserve">PEVuZE5vdGU+PENpdGU+PEF1dGhvcj5OaWtvbzwvQXV0aG9yPjxZZWFyPjIwMTc8L1llYXI+PFJl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</w:fldData>
        </w:fldChar>
      </w:r>
      <w:r w:rsidR="00511EDB">
        <w:instrText xml:space="preserve"> ADDIN EN.CITE </w:instrText>
      </w:r>
      <w:r w:rsidR="00511EDB">
        <w:fldChar w:fldCharType="begin">
          <w:fldData xml:space="preserve">PEVuZE5vdGU+PENpdGU+PEF1dGhvcj5OaWtvbzwvQXV0aG9yPjxZZWFyPjIwMTc8L1llYXI+PFJl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</w:fldData>
        </w:fldChar>
      </w:r>
      <w:r w:rsidR="00511EDB">
        <w:instrText xml:space="preserve"> ADDIN EN.CITE.DATA </w:instrText>
      </w:r>
      <w:r w:rsidR="00511EDB">
        <w:fldChar w:fldCharType="end"/>
      </w:r>
      <w:r w:rsidR="00AC01FD">
        <w:fldChar w:fldCharType="separate"/>
      </w:r>
      <w:r w:rsidR="00511EDB">
        <w:rPr>
          <w:noProof/>
        </w:rPr>
        <w:t>(Ashtari et al. 2019; Gao et al. 2019; Nikoo et al. 2017)</w:t>
      </w:r>
      <w:r w:rsidR="00AC01FD">
        <w:fldChar w:fldCharType="end"/>
      </w:r>
      <w:r>
        <w:t xml:space="preserve">. The rate ratio estimated in this study are not specific to any immunosuppressive therapy or MS-treatment and represent a cohort treated with any of these. Therefore, these values are adapted in the model base-case. </w:t>
      </w:r>
    </w:p>
    <w:p w14:paraId="6D18F371" w14:textId="77777777" w:rsidR="00CB6CE1" w:rsidRDefault="00CB6CE1" w:rsidP="00CB6CE1">
      <w:r>
        <w:t xml:space="preserve">As the treatment pattern are changing over time, for example there appears to be an increasing use of rituximab for immunosuppression, it is possible that the combined treatment efficacy may be higher than predicted by Palace et al. Sensitivity analysis is performed where the treatment efficacy is based on different ratios  of azathioprine and rituximab use, and where the change in ARRis based on another </w:t>
      </w:r>
      <w:r w:rsidRPr="0035086F">
        <w:t>randomized clinical trial</w:t>
      </w:r>
      <w:r>
        <w:t xml:space="preserve"> study </w:t>
      </w:r>
      <w:r w:rsidR="00AC01FD">
        <w:fldChar w:fldCharType="begin">
          <w:fldData xml:space="preserve">PEVuZE5vdGU+PENpdGU+PEF1dGhvcj5OaWtvbzwvQXV0aG9yPjxZZWFyPjIwMTc8L1llYXI+PFJl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</w:fldData>
        </w:fldChar>
      </w:r>
      <w:r w:rsidR="00AC01FD">
        <w:instrText xml:space="preserve"> ADDIN EN.CITE </w:instrText>
      </w:r>
      <w:r w:rsidR="00AC01FD">
        <w:fldChar w:fldCharType="begin">
          <w:fldData xml:space="preserve">PEVuZE5vdGU+PENpdGU+PEF1dGhvcj5OaWtvbzwvQXV0aG9yPjxZZWFyPjIwMTc8L1llYXI+PFJl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</w:fldData>
        </w:fldChar>
      </w:r>
      <w:r w:rsidR="00AC01FD">
        <w:instrText xml:space="preserve"> ADDIN EN.CITE.DATA </w:instrText>
      </w:r>
      <w:r w:rsidR="00AC01FD">
        <w:fldChar w:fldCharType="end"/>
      </w:r>
      <w:r w:rsidR="00AC01FD">
        <w:fldChar w:fldCharType="separate"/>
      </w:r>
      <w:r w:rsidR="00AC01FD">
        <w:rPr>
          <w:noProof/>
        </w:rPr>
        <w:t>(Nikoo et al. 2017)</w:t>
      </w:r>
      <w:r w:rsidR="00AC01FD">
        <w:fldChar w:fldCharType="end"/>
      </w:r>
      <w:r>
        <w:t>.</w:t>
      </w:r>
    </w:p>
    <w:p w14:paraId="71402DC9" w14:textId="77777777" w:rsidR="00CB6CE1" w:rsidRPr="00095358" w:rsidRDefault="00095358" w:rsidP="00095358">
      <w:pPr>
        <w:pStyle w:val="Heading3"/>
      </w:pPr>
      <w:bookmarkStart w:id="469" w:name="_Toc38031964"/>
      <w:bookmarkStart w:id="470" w:name="_Toc39588371"/>
      <w:r>
        <w:t>D4.7</w:t>
      </w:r>
      <w:r>
        <w:tab/>
      </w:r>
      <w:r w:rsidR="00CB6CE1" w:rsidRPr="00095358">
        <w:t>Risk of acute attacks</w:t>
      </w:r>
      <w:bookmarkEnd w:id="469"/>
      <w:bookmarkEnd w:id="470"/>
    </w:p>
    <w:p w14:paraId="46295C0C" w14:textId="7A9A9942" w:rsidR="00CB6CE1" w:rsidRDefault="00CB6CE1" w:rsidP="00CB6CE1">
      <w:r>
        <w:t xml:space="preserve">Data regarding risk of acute attack (severe relapse) before-treatment and on treatment were searched in the literature. One study </w:t>
      </w:r>
      <w:r w:rsidRPr="0051777B">
        <w:t xml:space="preserve">conducted a retrospective analysis of treatment outcomes in 138 NMOSD patients treated with </w:t>
      </w:r>
      <w:r>
        <w:t>azathioprine</w:t>
      </w:r>
      <w:r w:rsidRPr="0051777B">
        <w:t xml:space="preserve">, mycophenolate mofetil (MMF), or </w:t>
      </w:r>
      <w:r>
        <w:t xml:space="preserve">rituximab </w:t>
      </w:r>
      <w:r w:rsidR="00AC01FD">
        <w:fldChar w:fldCharType="begin"/>
      </w:r>
      <w:r w:rsidR="00AC01FD">
        <w:instrText xml:space="preserve"> ADDIN EN.CITE &lt;EndNote&gt;&lt;Cite&gt;&lt;Author&gt;Jeong&lt;/Author&gt;&lt;Year&gt;2016&lt;/Year&gt;&lt;RecNum&gt;2836&lt;/RecNum&gt;&lt;DisplayText&gt;(Jeong et al. 2016)&lt;/DisplayText&gt;&lt;record&gt;&lt;rec-number&gt;2836&lt;/rec-number&gt;&lt;foreign-keys&gt;&lt;key app="EN" db-id="r9zwwf2zmrrvxfespp15vtvjapza9v2fz5s5" timestamp="1583809058"&gt;2836&lt;/key&gt;&lt;/foreign-keys&gt;&lt;ref-type name="Journal Article"&gt;17&lt;/ref-type&gt;&lt;contributors&gt;&lt;authors&gt;&lt;author&gt;Jeong, In Hye&lt;/author&gt;&lt;author&gt;Park, Boram&lt;/author&gt;&lt;author&gt;Kim, Su-Hyun&lt;/author&gt;&lt;author&gt;Hyun, Jae-Won&lt;/author&gt;&lt;author&gt;Joo, Jungnam&lt;/author&gt;&lt;author&gt;Kim, Ho Jin&lt;/author&gt;&lt;/authors&gt;&lt;/contributors&gt;&lt;titles&gt;&lt;title&gt;Comparative analysis of treatment outcomes in patients with neuromyelitis optica spectrum disorder using multifaceted endpoints&lt;/title&gt;&lt;secondary-title&gt;Multiple Sclerosis Journal&lt;/secondary-title&gt;&lt;/titles&gt;&lt;periodical&gt;&lt;full-title&gt;Multiple Sclerosis Journal&lt;/full-title&gt;&lt;/periodical&gt;&lt;pages&gt;329-339&lt;/pages&gt;&lt;volume&gt;22&lt;/volume&gt;&lt;number&gt;3&lt;/number&gt;&lt;keywords&gt;&lt;keyword&gt;Neuromyelitis optica,treatment,azathioprine,mycophenolate mofetil,rituximab&lt;/keyword&gt;&lt;/keywords&gt;&lt;dates&gt;&lt;year&gt;2016&lt;/year&gt;&lt;/dates&gt;&lt;accession-num&gt;26041804&lt;/accession-num&gt;&lt;urls&gt;&lt;related-urls&gt;&lt;url&gt;https://journals.sagepub.com/doi/abs/10.1177/1352458515587752&lt;/url&gt;&lt;url&gt;https://journals.sagepub.com/doi/pdf/10.1177/1352458515587752&lt;/url&gt;&lt;/related-urls&gt;&lt;/urls&gt;&lt;electronic-resource-num&gt;10.1177/1352458515587752&lt;/electronic-resource-num&gt;&lt;/record&gt;&lt;/Cite&gt;&lt;/EndNote&gt;</w:instrText>
      </w:r>
      <w:r w:rsidR="00AC01FD">
        <w:fldChar w:fldCharType="separate"/>
      </w:r>
      <w:r w:rsidR="00AC01FD">
        <w:rPr>
          <w:noProof/>
        </w:rPr>
        <w:t>(Jeong et al. 2016)</w:t>
      </w:r>
      <w:r w:rsidR="00AC01FD">
        <w:fldChar w:fldCharType="end"/>
      </w:r>
      <w:r w:rsidRPr="0051777B">
        <w:t>. The primary outcome measures were the ARR, annualized severe relapse rate</w:t>
      </w:r>
      <w:r>
        <w:t xml:space="preserve"> (ASRR) (</w:t>
      </w:r>
      <w:r w:rsidRPr="00834549">
        <w:t xml:space="preserve">EDSS score of </w:t>
      </w:r>
      <w:r>
        <w:rPr>
          <w:rFonts w:cs="Calibri"/>
        </w:rPr>
        <w:t>≥</w:t>
      </w:r>
      <w:r w:rsidRPr="00834549">
        <w:t xml:space="preserve"> 6</w:t>
      </w:r>
      <w:r>
        <w:t>)</w:t>
      </w:r>
      <w:r w:rsidRPr="0051777B">
        <w:t>, time to first relapse, and time to first severe relapse.</w:t>
      </w:r>
      <w:r>
        <w:t xml:space="preserve"> The study reported the baseline ASRR </w:t>
      </w:r>
      <w:r w:rsidRPr="00C57EDB">
        <w:t xml:space="preserve">for </w:t>
      </w:r>
      <w:r>
        <w:t xml:space="preserve">the 36 months prior to therapy </w:t>
      </w:r>
      <w:r w:rsidRPr="00C57EDB">
        <w:t>as 1.27</w:t>
      </w:r>
      <w:r>
        <w:t xml:space="preserve"> for patients in azathioprine group</w:t>
      </w:r>
      <w:r w:rsidRPr="00C57EDB">
        <w:t>,</w:t>
      </w:r>
      <w:r>
        <w:t xml:space="preserve"> and 1.01 for both MMF and rituximab group. For the whole cohort the baseline ASRR is estimated to be 1.1 (annual probability: 66.8%). ASRRs in the study showed a reduction of 74.1% (</w:t>
      </w:r>
      <w:r w:rsidR="00511EDB">
        <w:t>r</w:t>
      </w:r>
      <w:r>
        <w:t xml:space="preserve">elative </w:t>
      </w:r>
      <w:r w:rsidR="00511EDB">
        <w:t>r</w:t>
      </w:r>
      <w:r>
        <w:t>isk: 0.32) and 99.8% (relative risk: 0.016) when treated by azathioprine and rituximab respectively.</w:t>
      </w:r>
    </w:p>
    <w:p w14:paraId="3BBD2515" w14:textId="77777777" w:rsidR="00CB6CE1" w:rsidRDefault="00095358" w:rsidP="00CB6CE1">
      <w:pPr>
        <w:pStyle w:val="Heading3"/>
      </w:pPr>
      <w:bookmarkStart w:id="471" w:name="_Toc38031965"/>
      <w:bookmarkStart w:id="472" w:name="_Toc39588372"/>
      <w:r>
        <w:t>D4.8</w:t>
      </w:r>
      <w:r>
        <w:tab/>
      </w:r>
      <w:r w:rsidR="00CB6CE1">
        <w:t>Mortality rate</w:t>
      </w:r>
      <w:bookmarkEnd w:id="471"/>
      <w:bookmarkEnd w:id="472"/>
    </w:p>
    <w:p w14:paraId="62445F9B" w14:textId="77777777" w:rsidR="00CB6CE1" w:rsidRDefault="00CB6CE1" w:rsidP="00CB6CE1">
      <w:r>
        <w:t xml:space="preserve">Pre-AQP4-Ab testing study have reported a five year mortality rate of 32% (annual probability: 6.2%), however studies post-AQP4-Ab testing have reported a mortality rate of approximately 25% in those with disease duration of less than ten years (annual probability: 2.5%) </w:t>
      </w:r>
      <w:r w:rsidR="00AC01FD">
        <w:fldChar w:fldCharType="begin">
          <w:fldData xml:space="preserve">PEVuZE5vdGU+PENpdGU+PEF1dGhvcj5Db2xsYXpvPC9BdXRob3I+PFllYXI+MjAxODwvWWVhcj48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</w:fldData>
        </w:fldChar>
      </w:r>
      <w:r w:rsidR="00AC01FD">
        <w:instrText xml:space="preserve"> ADDIN EN.CITE </w:instrText>
      </w:r>
      <w:r w:rsidR="00AC01FD">
        <w:fldChar w:fldCharType="begin">
          <w:fldData xml:space="preserve">PEVuZE5vdGU+PENpdGU+PEF1dGhvcj5Db2xsYXpvPC9BdXRob3I+PFllYXI+MjAxODwvWWVhcj48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</w:fldData>
        </w:fldChar>
      </w:r>
      <w:r w:rsidR="00AC01FD">
        <w:instrText xml:space="preserve"> ADDIN EN.CITE.DATA </w:instrText>
      </w:r>
      <w:r w:rsidR="00AC01FD">
        <w:fldChar w:fldCharType="end"/>
      </w:r>
      <w:r w:rsidR="00AC01FD">
        <w:fldChar w:fldCharType="separate"/>
      </w:r>
      <w:r w:rsidR="00AC01FD">
        <w:rPr>
          <w:noProof/>
        </w:rPr>
        <w:t>(Collazo et al. 2018; Wingerchuk &amp; Weinshenker 2003)</w:t>
      </w:r>
      <w:r w:rsidR="00AC01FD">
        <w:fldChar w:fldCharType="end"/>
      </w:r>
      <w:r>
        <w:t xml:space="preserve">.  It is likely that the difference in the mortality rates pre and post test era are not due to the test, but due to an increased understanding of disease epidemiology and subsequently increased/improved treatments (such as rituximab). Therefore, these mortality rates are incorporated </w:t>
      </w:r>
      <w:r>
        <w:lastRenderedPageBreak/>
        <w:t>in the model to reflect the treatment effect on disease-associated mortality (i.e. as</w:t>
      </w:r>
      <w:r w:rsidRPr="007D3E7A">
        <w:t xml:space="preserve"> </w:t>
      </w:r>
      <w:r>
        <w:t>mortality rates associated with inappropriately treated and appropriately treated disease).</w:t>
      </w:r>
    </w:p>
    <w:p w14:paraId="7414BA5C" w14:textId="77777777" w:rsidR="00CB6CE1" w:rsidRPr="00B35E47" w:rsidRDefault="00CB6CE1" w:rsidP="00CB6CE1">
      <w:r>
        <w:t xml:space="preserve">Patients with no/mild disability (in remission or with mild relapse) are assumed to have mortality risk similar to the general population (Australian age-specific mortality rates, </w:t>
      </w:r>
      <w:r w:rsidR="00AC01FD">
        <w:fldChar w:fldCharType="begin"/>
      </w:r>
      <w:r w:rsidR="00AC01FD">
        <w:instrText xml:space="preserve"> ADDIN EN.CITE &lt;EndNote&gt;&lt;Cite&gt;&lt;Author&gt;Australian Bureau of Statistics&lt;/Author&gt;&lt;Year&gt;2018&lt;/Year&gt;&lt;RecNum&gt;2842&lt;/RecNum&gt;&lt;DisplayText&gt;(Australian Bureau of Statistics 2018)&lt;/DisplayText&gt;&lt;record&gt;&lt;rec-number&gt;2842&lt;/rec-number&gt;&lt;foreign-keys&gt;&lt;key app="EN" db-id="r9zwwf2zmrrvxfespp15vtvjapza9v2fz5s5" timestamp="1585011098"&gt;2842&lt;/key&gt;&lt;/foreign-keys&gt;&lt;ref-type name="Catalog"&gt;8&lt;/ref-type&gt;&lt;contributors&gt;&lt;authors&gt;&lt;author&gt;Australian Bureau of Statistics,&lt;/author&gt;&lt;/authors&gt;&lt;secondary-authors&gt;&lt;author&gt;ABS&lt;/author&gt;&lt;/secondary-authors&gt;&lt;/contributors&gt;&lt;titles&gt;&lt;title&gt;3222.0 Population Projections, Australia, 2017 (base) – 2066&lt;/title&gt;&lt;/titles&gt;&lt;dates&gt;&lt;year&gt;2018&lt;/year&gt;&lt;/dates&gt;&lt;pub-location&gt;Canberra&lt;/pub-location&gt;&lt;urls&gt;&lt;/urls&gt;&lt;/record&gt;&lt;/Cite&gt;&lt;/EndNote&gt;</w:instrText>
      </w:r>
      <w:r w:rsidR="00AC01FD">
        <w:fldChar w:fldCharType="separate"/>
      </w:r>
      <w:r w:rsidR="00AC01FD">
        <w:rPr>
          <w:noProof/>
        </w:rPr>
        <w:t>(Australian Bureau of Statistics 2018)</w:t>
      </w:r>
      <w:r w:rsidR="00AC01FD">
        <w:fldChar w:fldCharType="end"/>
      </w:r>
      <w:r>
        <w:t xml:space="preserve">). Patients in remission with moderate–severe disability are assumed to have a mortality risk (2%) associated with disease disability </w:t>
      </w:r>
      <w:r w:rsidR="00AC01FD">
        <w:fldChar w:fldCharType="begin"/>
      </w:r>
      <w:r w:rsidR="00AC01FD">
        <w:instrText xml:space="preserve"> ADDIN EN.CITE &lt;EndNote&gt;&lt;Cite&gt;&lt;Author&gt;Aungsumart&lt;/Author&gt;&lt;Year&gt;2020&lt;/Year&gt;&lt;RecNum&gt;2832&lt;/RecNum&gt;&lt;DisplayText&gt;(Aungsumart &amp;amp; Apiwattanakul 2020)&lt;/DisplayText&gt;&lt;record&gt;&lt;rec-number&gt;2832&lt;/rec-number&gt;&lt;foreign-keys&gt;&lt;key app="EN" db-id="r9zwwf2zmrrvxfespp15vtvjapza9v2fz5s5" timestamp="1581642811"&gt;2832&lt;/key&gt;&lt;/foreign-keys&gt;&lt;ref-type name="Journal Article"&gt;17&lt;/ref-type&gt;&lt;contributors&gt;&lt;authors&gt;&lt;author&gt;Aungsumart, S.&lt;/author&gt;&lt;author&gt;Apiwattanakul, M.&lt;/author&gt;&lt;/authors&gt;&lt;/contributors&gt;&lt;auth-address&gt;Neuroimmunology Unit, Department of Neurology, Prasat Neurological Institute, Bangkok, Thailand.&lt;/auth-address&gt;&lt;titles&gt;&lt;title&gt;Cost effectiveness of rituximab and mycophenolate mofetil for neuromyelitis optica spectrum disorder in Thailand: Economic evaluation and budget impact analysis&lt;/title&gt;&lt;secondary-title&gt;PLoS One&lt;/secondary-title&gt;&lt;/titles&gt;&lt;periodical&gt;&lt;full-title&gt;PLoS ONE&lt;/full-title&gt;&lt;/periodical&gt;&lt;pages&gt;e0229028&lt;/pages&gt;&lt;volume&gt;15&lt;/volume&gt;&lt;number&gt;2&lt;/number&gt;&lt;edition&gt;2020/02/13&lt;/edition&gt;&lt;dates&gt;&lt;year&gt;2020&lt;/year&gt;&lt;/dates&gt;&lt;isbn&gt;1932-6203 (Electronic)&amp;#xD;1932-6203 (Linking)&lt;/isbn&gt;&lt;accession-num&gt;32050011&lt;/accession-num&gt;&lt;urls&gt;&lt;related-urls&gt;&lt;url&gt;https://www.ncbi.nlm.nih.gov/pubmed/32050011&lt;/url&gt;&lt;url&gt;https://journals.plos.org/plosone/article/file?id=10.1371/journal.pone.0229028&amp;amp;type=printable&lt;/url&gt;&lt;/related-urls&gt;&lt;/urls&gt;&lt;electronic-resource-num&gt;10.1371/journal.pone.0229028&lt;/electronic-resource-num&gt;&lt;/record&gt;&lt;/Cite&gt;&lt;/EndNote&gt;</w:instrText>
      </w:r>
      <w:r w:rsidR="00AC01FD">
        <w:fldChar w:fldCharType="separate"/>
      </w:r>
      <w:r w:rsidR="00AC01FD">
        <w:rPr>
          <w:noProof/>
        </w:rPr>
        <w:t>(Aungsumart &amp; Apiwattanakul 2020)</w:t>
      </w:r>
      <w:r w:rsidR="00AC01FD">
        <w:fldChar w:fldCharType="end"/>
      </w:r>
      <w:r>
        <w:t xml:space="preserve">. Patients with severe relapse (irrespective of disease severity) and patients with moderate–severe disability and mild relapse are assumed to have mortality risk associated with the disease relapse (6.2% for patients receiving no/incorrect treatment and 2.5% for those receiving correct treatment). </w:t>
      </w:r>
    </w:p>
    <w:p w14:paraId="5A3E61B1" w14:textId="77777777" w:rsidR="00CB6CE1" w:rsidRPr="00B35E47" w:rsidRDefault="00095358" w:rsidP="00095358">
      <w:pPr>
        <w:pStyle w:val="Heading3"/>
      </w:pPr>
      <w:bookmarkStart w:id="473" w:name="_Toc38031966"/>
      <w:bookmarkStart w:id="474" w:name="_Toc39588373"/>
      <w:r>
        <w:t>D4.9</w:t>
      </w:r>
      <w:r>
        <w:tab/>
      </w:r>
      <w:r w:rsidR="00CB6CE1" w:rsidRPr="00B35E47">
        <w:t>Health resource use and costs</w:t>
      </w:r>
      <w:bookmarkEnd w:id="473"/>
      <w:bookmarkEnd w:id="474"/>
    </w:p>
    <w:p w14:paraId="2636B053" w14:textId="4751A2D8" w:rsidR="00CB6CE1" w:rsidRDefault="00CB6CE1" w:rsidP="00CB6CE1">
      <w:r>
        <w:rPr>
          <w:snapToGrid w:val="0"/>
          <w:lang w:eastAsia="en-US"/>
        </w:rPr>
        <w:t xml:space="preserve">Pattern of health resource use was discussed in Section C.3.1. azathioprine </w:t>
      </w:r>
      <w:r>
        <w:rPr>
          <w:rFonts w:cs="Calibri"/>
          <w:snapToGrid w:val="0"/>
          <w:lang w:eastAsia="en-US"/>
        </w:rPr>
        <w:t>±</w:t>
      </w:r>
      <w:r>
        <w:rPr>
          <w:snapToGrid w:val="0"/>
          <w:lang w:eastAsia="en-US"/>
        </w:rPr>
        <w:t xml:space="preserve"> prednisololne and rituximab are the most commonly used immunosuppressive therapies for ongoing management or prevention of relapses in NMOSD. azathioprine </w:t>
      </w:r>
      <w:r w:rsidRPr="00DF6365">
        <w:t xml:space="preserve">is </w:t>
      </w:r>
      <w:r>
        <w:t xml:space="preserve">typically </w:t>
      </w:r>
      <w:r w:rsidRPr="00DF6365">
        <w:t xml:space="preserve">started at </w:t>
      </w:r>
      <w:r>
        <w:t>25 mg and increased up to 2.5–3 </w:t>
      </w:r>
      <w:r w:rsidRPr="00DF6365">
        <w:t>mg/kg/daily ov</w:t>
      </w:r>
      <w:r>
        <w:t>er a few weeks along with 0.5–1 </w:t>
      </w:r>
      <w:r w:rsidRPr="00DF6365">
        <w:t xml:space="preserve">mg/kg/day prednisolone. Prednisolone is then slowly tapered down to a low tolerable maintenance dose or completely once </w:t>
      </w:r>
      <w:r>
        <w:rPr>
          <w:snapToGrid w:val="0"/>
          <w:lang w:eastAsia="en-US"/>
        </w:rPr>
        <w:t xml:space="preserve">azathioprine </w:t>
      </w:r>
      <w:r w:rsidRPr="00DF6365">
        <w:t>is est</w:t>
      </w:r>
      <w:r>
        <w:t xml:space="preserve">ablished, usually by six months </w:t>
      </w:r>
      <w:r w:rsidRPr="0020076F">
        <w:t>with median (range) dose of</w:t>
      </w:r>
      <w:r>
        <w:t xml:space="preserve"> 4.5 (1.25–45) mg </w:t>
      </w:r>
      <w:r w:rsidRPr="0020076F">
        <w:t>daily</w:t>
      </w:r>
      <w:r>
        <w:t xml:space="preserve"> </w:t>
      </w:r>
      <w:r w:rsidR="00AC01FD">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 </w:instrText>
      </w:r>
      <w:r w:rsidR="00D96694">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instrText xml:space="preserve"> ADDIN EN.CITE.DATA </w:instrText>
      </w:r>
      <w:r w:rsidR="00D96694">
        <w:fldChar w:fldCharType="end"/>
      </w:r>
      <w:r w:rsidR="00AC01FD">
        <w:fldChar w:fldCharType="separate"/>
      </w:r>
      <w:r w:rsidR="00AC01FD">
        <w:rPr>
          <w:noProof/>
        </w:rPr>
        <w:t>(Elsone et al. 2014)</w:t>
      </w:r>
      <w:r w:rsidR="00AC01FD">
        <w:fldChar w:fldCharType="end"/>
      </w:r>
      <w:r w:rsidRPr="0020076F">
        <w:t>.</w:t>
      </w:r>
      <w:r>
        <w:t xml:space="preserve"> R</w:t>
      </w:r>
      <w:r>
        <w:rPr>
          <w:snapToGrid w:val="0"/>
          <w:lang w:eastAsia="en-US"/>
        </w:rPr>
        <w:t xml:space="preserve">ituximab </w:t>
      </w:r>
      <w:r>
        <w:t xml:space="preserve">treatment can be initiated using one of two different regimens: either two one-gram infusions of </w:t>
      </w:r>
      <w:r>
        <w:rPr>
          <w:snapToGrid w:val="0"/>
          <w:lang w:eastAsia="en-US"/>
        </w:rPr>
        <w:t xml:space="preserve">rituximab </w:t>
      </w:r>
      <w:r>
        <w:t>at an interval of two weeks or four weekly 375 mg/m</w:t>
      </w:r>
      <w:r w:rsidRPr="00880E25">
        <w:rPr>
          <w:vertAlign w:val="superscript"/>
        </w:rPr>
        <w:t>2</w:t>
      </w:r>
      <w:r>
        <w:t xml:space="preserve"> body surface area applications. To prevent infusion-related side effects, a</w:t>
      </w:r>
      <w:r w:rsidRPr="003840D2">
        <w:t>ll of the patients receive one dose equal to</w:t>
      </w:r>
      <w:r>
        <w:t xml:space="preserve"> 1 g paracetamol, 100 mg prednisolone, and 4 mg dimethindene maleate </w:t>
      </w:r>
      <w:r w:rsidRPr="003840D2">
        <w:t>intravenously</w:t>
      </w:r>
      <w:r>
        <w:t xml:space="preserve"> </w:t>
      </w:r>
      <w:r w:rsidRPr="003840D2">
        <w:t xml:space="preserve">as premedication before initiating </w:t>
      </w:r>
      <w:r>
        <w:rPr>
          <w:snapToGrid w:val="0"/>
          <w:lang w:eastAsia="en-US"/>
        </w:rPr>
        <w:t xml:space="preserve">rituximab </w:t>
      </w:r>
      <w:r w:rsidRPr="003840D2">
        <w:t>infusion</w:t>
      </w:r>
      <w:r>
        <w:t>. R</w:t>
      </w:r>
      <w:r w:rsidRPr="00880E25">
        <w:t>e-dosing is considered</w:t>
      </w:r>
      <w:r>
        <w:t xml:space="preserve"> </w:t>
      </w:r>
      <w:r w:rsidRPr="00880E25">
        <w:t xml:space="preserve">every </w:t>
      </w:r>
      <w:r>
        <w:t>six</w:t>
      </w:r>
      <w:r w:rsidRPr="00880E25">
        <w:t xml:space="preserve"> months </w:t>
      </w:r>
      <w:r>
        <w:t>to maintain B-cell deficiency</w:t>
      </w:r>
      <w:r w:rsidR="00BA6D1B">
        <w:t xml:space="preserve"> </w:t>
      </w:r>
      <w:r w:rsidR="00BA6D1B">
        <w:fldChar w:fldCharType="begin"/>
      </w:r>
      <w:r w:rsidR="0087595F">
        <w:instrText xml:space="preserve"> ADDIN EN.CITE &lt;EndNote&gt;&lt;Cite&gt;&lt;Author&gt;Trebst&lt;/Author&gt;&lt;Year&gt;2014&lt;/Year&gt;&lt;RecNum&gt;30&lt;/RecNum&gt;&lt;DisplayText&gt;(Trebst et al. 2014)&lt;/DisplayText&gt;&lt;record&gt;&lt;rec-number&gt;30&lt;/rec-number&gt;&lt;foreign-keys&gt;&lt;key app="EN" db-id="r25zptaswpdzade29ws5pf9gx55ztppatt20" timestamp="1576104081"&gt;30&lt;/key&gt;&lt;/foreign-keys&gt;&lt;ref-type name="Journal Article"&gt;17&lt;/ref-type&gt;&lt;contributors&gt;&lt;authors&gt;&lt;author&gt;Trebst, C&lt;/author&gt;&lt;author&gt;Jarius, Sven&lt;/author&gt;&lt;author&gt;Berthele, Achim&lt;/author&gt;&lt;author&gt;Paul, Friedemann&lt;/author&gt;&lt;author&gt;Schippling, Sven&lt;/author&gt;&lt;author&gt;Wildemann, Brigitte&lt;/author&gt;&lt;author&gt;Borisow, Nadja&lt;/author&gt;&lt;author&gt;Kleiter, Ingo&lt;/author&gt;&lt;author&gt;Aktas, Orhan&lt;/author&gt;&lt;author&gt;Kümpfel, Tania&lt;/author&gt;&lt;author&gt;Neuromyelitis Optica Study, Group&lt;/author&gt;&lt;/authors&gt;&lt;/contributors&gt;&lt;titles&gt;&lt;title&gt;Update on the diagnosis and treatment of neuromyelitis optica: recommendations of the Neuromyelitis Optica Study Group (NEMOS)&lt;/title&gt;&lt;secondary-title&gt;Journal of neurology&lt;/secondary-title&gt;&lt;alt-title&gt;J Neurol&lt;/alt-title&gt;&lt;/titles&gt;&lt;periodical&gt;&lt;full-title&gt;Journal of neurology&lt;/full-title&gt;&lt;abbr-1&gt;J Neurol&lt;/abbr-1&gt;&lt;/periodical&gt;&lt;alt-periodical&gt;&lt;full-title&gt;J Neurol&lt;/full-title&gt;&lt;/alt-periodical&gt;&lt;pages&gt;1-16&lt;/pages&gt;&lt;volume&gt;261&lt;/volume&gt;&lt;number&gt;1&lt;/number&gt;&lt;edition&gt;11/23&lt;/edition&gt;&lt;keywords&gt;&lt;keyword&gt;Diagnosis-Related Groups/*standards&lt;/keyword&gt;&lt;keyword&gt;Humans&lt;/keyword&gt;&lt;keyword&gt;Medication Reconciliation/*standards/trends&lt;/keyword&gt;&lt;keyword&gt;Neuromyelitis Optica/*diagnosis/*therapy&lt;/keyword&gt;&lt;/keywords&gt;&lt;dates&gt;&lt;year&gt;2014&lt;/year&gt;&lt;/dates&gt;&lt;publisher&gt;Springer Berlin Heidelberg&lt;/publisher&gt;&lt;isbn&gt;1432-1459&amp;#xD;0340-5354&lt;/isbn&gt;&lt;accession-num&gt;24272588&lt;/accession-num&gt;&lt;urls&gt;&lt;related-urls&gt;&lt;url&gt;https://www.ncbi.nlm.nih.gov/pubmed/24272588&lt;/url&gt;&lt;url&gt;https://www.ncbi.nlm.nih.gov/pmc/articles/PMC3895189/&lt;/url&gt;&lt;/related-urls&gt;&lt;/urls&gt;&lt;electronic-resource-num&gt;10.1007/s00415-013-7169-7&lt;/electronic-resource-num&gt;&lt;remote-database-name&gt;PubMed&lt;/remote-database-name&gt;&lt;language&gt;eng&lt;/language&gt;&lt;/record&gt;&lt;/Cite&gt;&lt;/EndNote&gt;</w:instrText>
      </w:r>
      <w:r w:rsidR="00BA6D1B">
        <w:fldChar w:fldCharType="separate"/>
      </w:r>
      <w:r w:rsidR="00126162">
        <w:rPr>
          <w:noProof/>
        </w:rPr>
        <w:t>(Trebst et al. 2014)</w:t>
      </w:r>
      <w:r w:rsidR="00BA6D1B">
        <w:fldChar w:fldCharType="end"/>
      </w:r>
      <w:r w:rsidRPr="003840D2">
        <w:t>.</w:t>
      </w:r>
      <w:r>
        <w:t xml:space="preserve"> </w:t>
      </w:r>
    </w:p>
    <w:p w14:paraId="1B171EA5" w14:textId="77777777" w:rsidR="00CB6CE1" w:rsidRDefault="00CB6CE1" w:rsidP="00CB6CE1">
      <w:r>
        <w:t>For those who are misdiagnosed as MS, t</w:t>
      </w:r>
      <w:r w:rsidRPr="005D4914">
        <w:t xml:space="preserve">he recommended dose for patients with relapsing </w:t>
      </w:r>
      <w:r>
        <w:t>MS</w:t>
      </w:r>
      <w:r w:rsidRPr="005D4914">
        <w:t xml:space="preserve"> is</w:t>
      </w:r>
      <w:r>
        <w:t xml:space="preserve"> interferon-beta</w:t>
      </w:r>
      <w:r w:rsidRPr="005D4914">
        <w:t xml:space="preserve"> 44 microgram (12 MIU) given three times per week by subcutaneous injection.</w:t>
      </w:r>
    </w:p>
    <w:p w14:paraId="60FF6626" w14:textId="77777777" w:rsidR="00CB6CE1" w:rsidRPr="00B35E47" w:rsidRDefault="00CB6CE1" w:rsidP="00CB6CE1">
      <w:pPr>
        <w:rPr>
          <w:snapToGrid w:val="0"/>
          <w:lang w:eastAsia="en-US"/>
        </w:rPr>
      </w:pPr>
      <w:r w:rsidRPr="00B35E47">
        <w:rPr>
          <w:snapToGrid w:val="0"/>
          <w:lang w:eastAsia="en-US"/>
        </w:rPr>
        <w:t>The clinical inputs related to the ongoing management</w:t>
      </w:r>
      <w:r>
        <w:rPr>
          <w:snapToGrid w:val="0"/>
          <w:lang w:eastAsia="en-US"/>
        </w:rPr>
        <w:t xml:space="preserve"> (preventive treatment)</w:t>
      </w:r>
      <w:r w:rsidRPr="00B35E47">
        <w:rPr>
          <w:snapToGrid w:val="0"/>
          <w:lang w:eastAsia="en-US"/>
        </w:rPr>
        <w:t xml:space="preserve"> of NMOSD are </w:t>
      </w:r>
      <w:r>
        <w:rPr>
          <w:snapToGrid w:val="0"/>
          <w:lang w:eastAsia="en-US"/>
        </w:rPr>
        <w:t>summarised</w:t>
      </w:r>
      <w:r w:rsidRPr="00B35E47">
        <w:rPr>
          <w:snapToGrid w:val="0"/>
          <w:lang w:eastAsia="en-US"/>
        </w:rPr>
        <w:t xml:space="preserve"> in </w:t>
      </w:r>
      <w:r w:rsidRPr="00B35E47">
        <w:rPr>
          <w:snapToGrid w:val="0"/>
          <w:lang w:eastAsia="en-US"/>
        </w:rPr>
        <w:fldChar w:fldCharType="begin"/>
      </w:r>
      <w:r w:rsidRPr="00B35E47">
        <w:rPr>
          <w:snapToGrid w:val="0"/>
          <w:lang w:eastAsia="en-US"/>
        </w:rPr>
        <w:instrText xml:space="preserve"> REF _Ref14361659 \h  \* MERGEFORMAT </w:instrText>
      </w:r>
      <w:r w:rsidRPr="00B35E47">
        <w:rPr>
          <w:snapToGrid w:val="0"/>
          <w:lang w:eastAsia="en-US"/>
        </w:rPr>
      </w:r>
      <w:r w:rsidRPr="00B35E47">
        <w:rPr>
          <w:snapToGrid w:val="0"/>
          <w:lang w:eastAsia="en-US"/>
        </w:rPr>
        <w:fldChar w:fldCharType="separate"/>
      </w:r>
      <w:r w:rsidR="006E2BA9" w:rsidRPr="006E2BA9">
        <w:rPr>
          <w:snapToGrid w:val="0"/>
          <w:lang w:eastAsia="en-US"/>
        </w:rPr>
        <w:t>Table 78</w:t>
      </w:r>
      <w:r w:rsidRPr="00B35E47">
        <w:rPr>
          <w:snapToGrid w:val="0"/>
          <w:lang w:eastAsia="en-US"/>
        </w:rPr>
        <w:fldChar w:fldCharType="end"/>
      </w:r>
      <w:r>
        <w:rPr>
          <w:snapToGrid w:val="0"/>
          <w:lang w:eastAsia="en-US"/>
        </w:rPr>
        <w:t xml:space="preserve"> and for treating relapses are presented in </w:t>
      </w:r>
      <w:r w:rsidRPr="007325D3">
        <w:fldChar w:fldCharType="begin"/>
      </w:r>
      <w:r w:rsidRPr="007325D3">
        <w:instrText xml:space="preserve"> REF _Ref36825507 \h  \* MERGEFORMAT </w:instrText>
      </w:r>
      <w:r w:rsidRPr="007325D3">
        <w:fldChar w:fldCharType="separate"/>
      </w:r>
      <w:r w:rsidR="006E2BA9" w:rsidRPr="00B35E47">
        <w:t xml:space="preserve">Table </w:t>
      </w:r>
      <w:r w:rsidR="006E2BA9">
        <w:t>79</w:t>
      </w:r>
      <w:r w:rsidRPr="007325D3">
        <w:fldChar w:fldCharType="end"/>
      </w:r>
      <w:r w:rsidRPr="007325D3">
        <w:t>.</w:t>
      </w:r>
    </w:p>
    <w:p w14:paraId="40FEA136" w14:textId="011E1589" w:rsidR="00CB6CE1" w:rsidRPr="00B35E47" w:rsidRDefault="00CB6CE1" w:rsidP="00CB6CE1">
      <w:pPr>
        <w:pStyle w:val="Caption"/>
      </w:pPr>
      <w:bookmarkStart w:id="475" w:name="_Ref14361659"/>
      <w:bookmarkStart w:id="476" w:name="_Toc15561974"/>
      <w:bookmarkStart w:id="477" w:name="_Toc23769556"/>
      <w:bookmarkStart w:id="478" w:name="_Toc36054855"/>
      <w:bookmarkStart w:id="479" w:name="_Toc39580859"/>
      <w:r w:rsidRPr="00B35E47">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78</w:t>
      </w:r>
      <w:r w:rsidRPr="00B35E47">
        <w:rPr>
          <w:noProof/>
        </w:rPr>
        <w:fldChar w:fldCharType="end"/>
      </w:r>
      <w:bookmarkEnd w:id="475"/>
      <w:r>
        <w:rPr>
          <w:noProof/>
        </w:rPr>
        <w:tab/>
      </w:r>
      <w:r w:rsidRPr="00B35E47">
        <w:t xml:space="preserve">Therapy dose, duration and use-related inputs for ongoing management of </w:t>
      </w:r>
      <w:bookmarkEnd w:id="476"/>
      <w:bookmarkEnd w:id="477"/>
      <w:r w:rsidRPr="00B35E47">
        <w:t>NMOSD</w:t>
      </w:r>
      <w:bookmarkEnd w:id="478"/>
      <w:bookmarkEnd w:id="479"/>
      <w:r w:rsidRPr="00B35E47">
        <w:t xml:space="preserve"> </w:t>
      </w:r>
    </w:p>
    <w:tbl>
      <w:tblPr>
        <w:tblStyle w:val="TableGrid6"/>
        <w:tblW w:w="5000" w:type="pct"/>
        <w:tblLook w:val="04A0" w:firstRow="1" w:lastRow="0" w:firstColumn="1" w:lastColumn="0" w:noHBand="0" w:noVBand="1"/>
        <w:tblCaption w:val="Therapy dose, duration and use-related inputs, ongoing management of NMOSD"/>
      </w:tblPr>
      <w:tblGrid>
        <w:gridCol w:w="1697"/>
        <w:gridCol w:w="2068"/>
        <w:gridCol w:w="1931"/>
        <w:gridCol w:w="3320"/>
      </w:tblGrid>
      <w:tr w:rsidR="00CB6CE1" w:rsidRPr="00B35E47" w14:paraId="6563C44F" w14:textId="77777777" w:rsidTr="0004678C">
        <w:tc>
          <w:tcPr>
            <w:tcW w:w="941" w:type="pct"/>
          </w:tcPr>
          <w:p w14:paraId="037B738E" w14:textId="77777777" w:rsidR="00CB6CE1" w:rsidRPr="00B35E47" w:rsidRDefault="00CB6CE1" w:rsidP="00CB6CE1">
            <w:pPr>
              <w:spacing w:after="160" w:line="259" w:lineRule="auto"/>
              <w:ind w:left="0"/>
              <w:rPr>
                <w:rFonts w:ascii="Arial Narrow" w:hAnsi="Arial Narrow"/>
                <w:b/>
              </w:rPr>
            </w:pPr>
            <w:r w:rsidRPr="00B35E47">
              <w:rPr>
                <w:rFonts w:ascii="Arial Narrow" w:hAnsi="Arial Narrow"/>
                <w:b/>
              </w:rPr>
              <w:t>Description</w:t>
            </w:r>
          </w:p>
        </w:tc>
        <w:tc>
          <w:tcPr>
            <w:tcW w:w="1147" w:type="pct"/>
          </w:tcPr>
          <w:p w14:paraId="320CC762" w14:textId="77777777" w:rsidR="00CB6CE1" w:rsidRPr="00B35E47" w:rsidRDefault="00CB6CE1" w:rsidP="00CB6CE1">
            <w:pPr>
              <w:spacing w:after="160" w:line="259" w:lineRule="auto"/>
              <w:ind w:left="0"/>
              <w:rPr>
                <w:rFonts w:ascii="Arial Narrow" w:hAnsi="Arial Narrow"/>
                <w:b/>
              </w:rPr>
            </w:pPr>
            <w:r>
              <w:rPr>
                <w:rFonts w:ascii="Arial Narrow" w:hAnsi="Arial Narrow"/>
                <w:b/>
              </w:rPr>
              <w:t>Regimen</w:t>
            </w:r>
          </w:p>
        </w:tc>
        <w:tc>
          <w:tcPr>
            <w:tcW w:w="1071" w:type="pct"/>
          </w:tcPr>
          <w:p w14:paraId="2F49C84E" w14:textId="77777777" w:rsidR="00CB6CE1" w:rsidRPr="00B35E47" w:rsidRDefault="00CB6CE1" w:rsidP="00CB6CE1">
            <w:pPr>
              <w:spacing w:after="160" w:line="259" w:lineRule="auto"/>
              <w:ind w:left="0"/>
              <w:rPr>
                <w:rFonts w:ascii="Arial Narrow" w:hAnsi="Arial Narrow"/>
                <w:b/>
              </w:rPr>
            </w:pPr>
            <w:r>
              <w:rPr>
                <w:rFonts w:ascii="Arial Narrow" w:hAnsi="Arial Narrow"/>
                <w:b/>
              </w:rPr>
              <w:t>Input value</w:t>
            </w:r>
          </w:p>
        </w:tc>
        <w:tc>
          <w:tcPr>
            <w:tcW w:w="1842" w:type="pct"/>
          </w:tcPr>
          <w:p w14:paraId="3C9619AD" w14:textId="77777777" w:rsidR="00CB6CE1" w:rsidRPr="00B35E47" w:rsidRDefault="00CB6CE1" w:rsidP="00CB6CE1">
            <w:pPr>
              <w:spacing w:after="160" w:line="259" w:lineRule="auto"/>
              <w:ind w:left="0"/>
              <w:rPr>
                <w:rFonts w:ascii="Arial Narrow" w:hAnsi="Arial Narrow"/>
                <w:b/>
              </w:rPr>
            </w:pPr>
            <w:r w:rsidRPr="00B35E47">
              <w:rPr>
                <w:rFonts w:ascii="Arial Narrow" w:hAnsi="Arial Narrow"/>
                <w:b/>
              </w:rPr>
              <w:t>Source</w:t>
            </w:r>
          </w:p>
        </w:tc>
      </w:tr>
      <w:tr w:rsidR="00CB6CE1" w:rsidRPr="00B35E47" w14:paraId="55220C22" w14:textId="77777777" w:rsidTr="0004678C">
        <w:tc>
          <w:tcPr>
            <w:tcW w:w="941" w:type="pct"/>
          </w:tcPr>
          <w:p w14:paraId="3F6EE8F6" w14:textId="77777777" w:rsidR="00CB6CE1" w:rsidRPr="00B35E47" w:rsidRDefault="00CB6CE1" w:rsidP="00CB6CE1">
            <w:pPr>
              <w:spacing w:after="160" w:line="259" w:lineRule="auto"/>
              <w:ind w:left="0"/>
              <w:rPr>
                <w:rFonts w:ascii="Arial Narrow" w:hAnsi="Arial Narrow"/>
              </w:rPr>
            </w:pPr>
            <w:r w:rsidRPr="00B35E47">
              <w:rPr>
                <w:rFonts w:ascii="Arial Narrow" w:hAnsi="Arial Narrow"/>
              </w:rPr>
              <w:t>Azathioprine</w:t>
            </w:r>
            <w:r>
              <w:rPr>
                <w:rFonts w:ascii="Arial Narrow" w:hAnsi="Arial Narrow"/>
              </w:rPr>
              <w:br/>
              <w:t>(</w:t>
            </w:r>
            <w:r w:rsidRPr="00B35E47">
              <w:rPr>
                <w:rFonts w:ascii="Arial Narrow" w:hAnsi="Arial Narrow"/>
              </w:rPr>
              <w:t>oral</w:t>
            </w:r>
            <w:r>
              <w:rPr>
                <w:rFonts w:ascii="Arial Narrow" w:hAnsi="Arial Narrow"/>
              </w:rPr>
              <w:t>)</w:t>
            </w:r>
          </w:p>
        </w:tc>
        <w:tc>
          <w:tcPr>
            <w:tcW w:w="1147" w:type="pct"/>
          </w:tcPr>
          <w:p w14:paraId="1CEBEC2D" w14:textId="77777777" w:rsidR="00CB6CE1" w:rsidRPr="00B35E47" w:rsidRDefault="00CB6CE1" w:rsidP="00CB6CE1">
            <w:pPr>
              <w:spacing w:after="160" w:line="259" w:lineRule="auto"/>
              <w:ind w:left="0"/>
              <w:jc w:val="left"/>
              <w:rPr>
                <w:rFonts w:ascii="Arial Narrow" w:hAnsi="Arial Narrow"/>
              </w:rPr>
            </w:pPr>
            <w:r w:rsidRPr="00B35E47">
              <w:rPr>
                <w:rFonts w:ascii="Arial Narrow" w:hAnsi="Arial Narrow"/>
              </w:rPr>
              <w:t>2.5 mg/kg/day</w:t>
            </w:r>
          </w:p>
        </w:tc>
        <w:tc>
          <w:tcPr>
            <w:tcW w:w="1071" w:type="pct"/>
          </w:tcPr>
          <w:p w14:paraId="21D046C7" w14:textId="77777777" w:rsidR="00CB6CE1" w:rsidRPr="00A23E40" w:rsidRDefault="00CB6CE1" w:rsidP="00CB6CE1">
            <w:pPr>
              <w:spacing w:after="160" w:line="259" w:lineRule="auto"/>
              <w:ind w:left="0"/>
              <w:jc w:val="center"/>
              <w:rPr>
                <w:rFonts w:ascii="Arial Narrow" w:hAnsi="Arial Narrow"/>
                <w:vertAlign w:val="superscript"/>
              </w:rPr>
            </w:pPr>
            <w:r>
              <w:rPr>
                <w:rFonts w:ascii="Arial Narrow" w:hAnsi="Arial Narrow"/>
              </w:rPr>
              <w:t xml:space="preserve">177.5 mg/day </w:t>
            </w:r>
            <w:r>
              <w:rPr>
                <w:rFonts w:ascii="Arial Narrow" w:hAnsi="Arial Narrow"/>
                <w:vertAlign w:val="superscript"/>
              </w:rPr>
              <w:t>a</w:t>
            </w:r>
          </w:p>
        </w:tc>
        <w:tc>
          <w:tcPr>
            <w:tcW w:w="1842" w:type="pct"/>
          </w:tcPr>
          <w:p w14:paraId="4E37FE42" w14:textId="7C2A7194" w:rsidR="00CB6CE1" w:rsidRPr="00B35E47" w:rsidRDefault="00CB6CE1" w:rsidP="00D96694">
            <w:pPr>
              <w:spacing w:after="160" w:line="259" w:lineRule="auto"/>
              <w:ind w:left="0"/>
              <w:rPr>
                <w:rFonts w:ascii="Arial Narrow" w:hAnsi="Arial Narrow"/>
              </w:rPr>
            </w:pPr>
            <w:r>
              <w:rPr>
                <w:rFonts w:ascii="Arial Narrow" w:hAnsi="Arial Narrow"/>
              </w:rPr>
              <w:fldChar w:fldCharType="begin">
                <w:fldData xml:space="preserve">PEVuZE5vdGU+PENpdGU+PEF1dGhvcj5FbHNvbmU8L0F1dGhvcj48WWVhcj4yMDE0PC9ZZWFyPjxS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</w:fldData>
              </w:fldChar>
            </w:r>
            <w:r w:rsidR="00D96694">
              <w:rPr>
                <w:rFonts w:ascii="Arial Narrow" w:hAnsi="Arial Narrow"/>
              </w:rPr>
              <w:instrText xml:space="preserve"> ADDIN EN.CITE </w:instrText>
            </w:r>
            <w:r w:rsidR="00D96694">
              <w:rPr>
                <w:rFonts w:ascii="Arial Narrow" w:hAnsi="Arial Narrow"/>
              </w:rPr>
              <w:fldChar w:fldCharType="begin">
                <w:fldData xml:space="preserve">PEVuZE5vdGU+PENpdGU+PEF1dGhvcj5FbHNvbmU8L0F1dGhvcj48WWVhcj4yMDE0PC9ZZWFyPjxS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</w:fldData>
              </w:fldChar>
            </w:r>
            <w:r w:rsidR="00D96694">
              <w:rPr>
                <w:rFonts w:ascii="Arial Narrow" w:hAnsi="Arial Narrow"/>
              </w:rPr>
              <w:instrText xml:space="preserve"> ADDIN EN.CITE.DATA </w:instrText>
            </w:r>
            <w:r w:rsidR="00D96694">
              <w:rPr>
                <w:rFonts w:ascii="Arial Narrow" w:hAnsi="Arial Narrow"/>
              </w:rPr>
            </w:r>
            <w:r w:rsidR="00D96694">
              <w:rPr>
                <w:rFonts w:ascii="Arial Narrow" w:hAnsi="Arial Narrow"/>
              </w:rPr>
              <w:fldChar w:fldCharType="end"/>
            </w:r>
            <w:r>
              <w:rPr>
                <w:rFonts w:ascii="Arial Narrow" w:hAnsi="Arial Narrow"/>
              </w:rPr>
            </w:r>
            <w:r>
              <w:rPr>
                <w:rFonts w:ascii="Arial Narrow" w:hAnsi="Arial Narrow"/>
              </w:rPr>
              <w:fldChar w:fldCharType="separate"/>
            </w:r>
            <w:r>
              <w:rPr>
                <w:rFonts w:ascii="Arial Narrow" w:hAnsi="Arial Narrow"/>
                <w:noProof/>
              </w:rPr>
              <w:t>(Elsone et al. 2014; Lana-Peixoto &amp; Talim 2019)</w:t>
            </w:r>
            <w:r>
              <w:rPr>
                <w:rFonts w:ascii="Arial Narrow" w:hAnsi="Arial Narrow"/>
              </w:rPr>
              <w:fldChar w:fldCharType="end"/>
            </w:r>
          </w:p>
        </w:tc>
      </w:tr>
      <w:tr w:rsidR="00CB6CE1" w:rsidRPr="00B35E47" w14:paraId="6530C6D4" w14:textId="77777777" w:rsidTr="0004678C">
        <w:tc>
          <w:tcPr>
            <w:tcW w:w="941" w:type="pct"/>
          </w:tcPr>
          <w:p w14:paraId="16384C3F" w14:textId="77777777" w:rsidR="00CB6CE1" w:rsidRPr="00B35E47" w:rsidRDefault="00CB6CE1" w:rsidP="00CB6CE1">
            <w:pPr>
              <w:spacing w:after="160" w:line="259" w:lineRule="auto"/>
              <w:ind w:left="0"/>
              <w:rPr>
                <w:rFonts w:ascii="Arial Narrow" w:hAnsi="Arial Narrow"/>
                <w:lang w:eastAsia="en-US"/>
              </w:rPr>
            </w:pPr>
            <w:r w:rsidRPr="00B35E47">
              <w:rPr>
                <w:rFonts w:ascii="Arial Narrow" w:hAnsi="Arial Narrow"/>
                <w:lang w:eastAsia="en-US"/>
              </w:rPr>
              <w:t>Prednisolone</w:t>
            </w:r>
            <w:r>
              <w:rPr>
                <w:rFonts w:ascii="Arial Narrow" w:hAnsi="Arial Narrow"/>
                <w:lang w:eastAsia="en-US"/>
              </w:rPr>
              <w:br/>
              <w:t>(</w:t>
            </w:r>
            <w:r w:rsidRPr="00B35E47">
              <w:rPr>
                <w:rFonts w:ascii="Arial Narrow" w:hAnsi="Arial Narrow"/>
                <w:lang w:eastAsia="en-US"/>
              </w:rPr>
              <w:t>oral</w:t>
            </w:r>
            <w:r>
              <w:rPr>
                <w:rFonts w:ascii="Arial Narrow" w:hAnsi="Arial Narrow"/>
                <w:lang w:eastAsia="en-US"/>
              </w:rPr>
              <w:t>)</w:t>
            </w:r>
          </w:p>
        </w:tc>
        <w:tc>
          <w:tcPr>
            <w:tcW w:w="1147" w:type="pct"/>
          </w:tcPr>
          <w:p w14:paraId="08D1C2D7" w14:textId="77777777" w:rsidR="00CB6CE1" w:rsidRDefault="00CB6CE1" w:rsidP="00CB6CE1">
            <w:pPr>
              <w:spacing w:after="160" w:line="259" w:lineRule="auto"/>
              <w:ind w:left="0"/>
              <w:jc w:val="left"/>
              <w:rPr>
                <w:rFonts w:ascii="Arial Narrow" w:hAnsi="Arial Narrow"/>
                <w:lang w:eastAsia="en-US"/>
              </w:rPr>
            </w:pPr>
            <w:r>
              <w:rPr>
                <w:rFonts w:ascii="Arial Narrow" w:hAnsi="Arial Narrow"/>
                <w:lang w:eastAsia="en-US"/>
              </w:rPr>
              <w:t>1 mg/kg/day for first 3 months</w:t>
            </w:r>
          </w:p>
          <w:p w14:paraId="722C5D30" w14:textId="77777777" w:rsidR="00CB6CE1" w:rsidRPr="00B35E47" w:rsidRDefault="00CB6CE1" w:rsidP="00CB6CE1">
            <w:pPr>
              <w:spacing w:after="160" w:line="259" w:lineRule="auto"/>
              <w:ind w:left="0"/>
              <w:jc w:val="left"/>
              <w:rPr>
                <w:rFonts w:ascii="Arial Narrow" w:hAnsi="Arial Narrow"/>
                <w:lang w:eastAsia="en-US"/>
              </w:rPr>
            </w:pPr>
            <w:r>
              <w:rPr>
                <w:rFonts w:ascii="Arial Narrow" w:hAnsi="Arial Narrow"/>
                <w:lang w:eastAsia="en-US"/>
              </w:rPr>
              <w:t>4.5 mg/day for next 6 months</w:t>
            </w:r>
          </w:p>
        </w:tc>
        <w:tc>
          <w:tcPr>
            <w:tcW w:w="1071" w:type="pct"/>
          </w:tcPr>
          <w:p w14:paraId="2AFFE549" w14:textId="77777777" w:rsidR="00CB6CE1" w:rsidRDefault="00CB6CE1" w:rsidP="00CB6CE1">
            <w:pPr>
              <w:spacing w:after="160" w:line="259" w:lineRule="auto"/>
              <w:ind w:left="0"/>
              <w:jc w:val="center"/>
              <w:rPr>
                <w:rFonts w:ascii="Arial Narrow" w:hAnsi="Arial Narrow"/>
                <w:lang w:eastAsia="en-US"/>
              </w:rPr>
            </w:pPr>
            <w:r>
              <w:rPr>
                <w:rFonts w:ascii="Arial Narrow" w:hAnsi="Arial Narrow"/>
                <w:lang w:eastAsia="en-US"/>
              </w:rPr>
              <w:t>71 mg/day</w:t>
            </w:r>
          </w:p>
          <w:p w14:paraId="360BFC42" w14:textId="77777777" w:rsidR="00CB6CE1" w:rsidRDefault="00CB6CE1" w:rsidP="00CB6CE1">
            <w:pPr>
              <w:spacing w:after="160" w:line="259" w:lineRule="auto"/>
              <w:ind w:left="0"/>
              <w:jc w:val="center"/>
              <w:rPr>
                <w:rFonts w:ascii="Arial Narrow" w:hAnsi="Arial Narrow"/>
                <w:lang w:eastAsia="en-US"/>
              </w:rPr>
            </w:pPr>
          </w:p>
          <w:p w14:paraId="04D9488C" w14:textId="77777777" w:rsidR="00CB6CE1" w:rsidRDefault="00CB6CE1" w:rsidP="00CB6CE1">
            <w:pPr>
              <w:spacing w:after="160" w:line="259" w:lineRule="auto"/>
              <w:ind w:left="0"/>
              <w:jc w:val="center"/>
              <w:rPr>
                <w:rFonts w:ascii="Arial Narrow" w:hAnsi="Arial Narrow"/>
                <w:lang w:eastAsia="en-US"/>
              </w:rPr>
            </w:pPr>
            <w:r>
              <w:rPr>
                <w:rFonts w:ascii="Arial Narrow" w:hAnsi="Arial Narrow"/>
                <w:lang w:eastAsia="en-US"/>
              </w:rPr>
              <w:t>4.5 mg/day</w:t>
            </w:r>
          </w:p>
        </w:tc>
        <w:tc>
          <w:tcPr>
            <w:tcW w:w="1842" w:type="pct"/>
          </w:tcPr>
          <w:p w14:paraId="1EC0CACC" w14:textId="7AA7396A" w:rsidR="00CB6CE1" w:rsidRPr="00B35E47" w:rsidRDefault="00CB6CE1" w:rsidP="00D96694">
            <w:pPr>
              <w:spacing w:after="160" w:line="259" w:lineRule="auto"/>
              <w:ind w:left="0"/>
              <w:rPr>
                <w:rFonts w:ascii="Arial Narrow" w:hAnsi="Arial Narrow"/>
                <w:lang w:eastAsia="en-US"/>
              </w:rPr>
            </w:pPr>
            <w:r>
              <w:rPr>
                <w:rFonts w:ascii="Arial Narrow" w:hAnsi="Arial Narrow"/>
                <w:lang w:eastAsia="en-US"/>
              </w:rPr>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rPr>
                <w:rFonts w:ascii="Arial Narrow" w:hAnsi="Arial Narrow"/>
                <w:lang w:eastAsia="en-US"/>
              </w:rPr>
              <w:instrText xml:space="preserve"> ADDIN EN.CITE </w:instrText>
            </w:r>
            <w:r w:rsidR="00D96694">
              <w:rPr>
                <w:rFonts w:ascii="Arial Narrow" w:hAnsi="Arial Narrow"/>
                <w:lang w:eastAsia="en-US"/>
              </w:rPr>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sidR="00D96694">
              <w:rPr>
                <w:rFonts w:ascii="Arial Narrow" w:hAnsi="Arial Narrow"/>
                <w:lang w:eastAsia="en-US"/>
              </w:rPr>
              <w:instrText xml:space="preserve"> ADDIN EN.CITE.DATA </w:instrText>
            </w:r>
            <w:r w:rsidR="00D96694">
              <w:rPr>
                <w:rFonts w:ascii="Arial Narrow" w:hAnsi="Arial Narrow"/>
                <w:lang w:eastAsia="en-US"/>
              </w:rPr>
            </w:r>
            <w:r w:rsidR="00D96694">
              <w:rPr>
                <w:rFonts w:ascii="Arial Narrow" w:hAnsi="Arial Narrow"/>
                <w:lang w:eastAsia="en-US"/>
              </w:rPr>
              <w:fldChar w:fldCharType="end"/>
            </w:r>
            <w:r>
              <w:rPr>
                <w:rFonts w:ascii="Arial Narrow" w:hAnsi="Arial Narrow"/>
                <w:lang w:eastAsia="en-US"/>
              </w:rPr>
            </w:r>
            <w:r>
              <w:rPr>
                <w:rFonts w:ascii="Arial Narrow" w:hAnsi="Arial Narrow"/>
                <w:lang w:eastAsia="en-US"/>
              </w:rPr>
              <w:fldChar w:fldCharType="separate"/>
            </w:r>
            <w:r>
              <w:rPr>
                <w:rFonts w:ascii="Arial Narrow" w:hAnsi="Arial Narrow"/>
                <w:noProof/>
                <w:lang w:eastAsia="en-US"/>
              </w:rPr>
              <w:t>(Elsone et al. 2014)</w:t>
            </w:r>
            <w:r>
              <w:rPr>
                <w:rFonts w:ascii="Arial Narrow" w:hAnsi="Arial Narrow"/>
                <w:lang w:eastAsia="en-US"/>
              </w:rPr>
              <w:fldChar w:fldCharType="end"/>
            </w:r>
          </w:p>
        </w:tc>
      </w:tr>
      <w:tr w:rsidR="00CB6CE1" w:rsidRPr="00B35E47" w14:paraId="33003EDC" w14:textId="77777777" w:rsidTr="0004678C">
        <w:tc>
          <w:tcPr>
            <w:tcW w:w="941" w:type="pct"/>
          </w:tcPr>
          <w:p w14:paraId="1B48A13D" w14:textId="77777777" w:rsidR="00CB6CE1" w:rsidRPr="00B35E47" w:rsidRDefault="00CB6CE1" w:rsidP="00CB6CE1">
            <w:pPr>
              <w:spacing w:after="160" w:line="259" w:lineRule="auto"/>
              <w:ind w:left="0"/>
              <w:rPr>
                <w:rFonts w:ascii="Arial Narrow" w:hAnsi="Arial Narrow"/>
              </w:rPr>
            </w:pPr>
            <w:r w:rsidRPr="00B35E47">
              <w:rPr>
                <w:rFonts w:ascii="Arial Narrow" w:hAnsi="Arial Narrow"/>
              </w:rPr>
              <w:t>Rituximab</w:t>
            </w:r>
            <w:r>
              <w:rPr>
                <w:rFonts w:ascii="Arial Narrow" w:hAnsi="Arial Narrow"/>
              </w:rPr>
              <w:br/>
              <w:t xml:space="preserve">(iv </w:t>
            </w:r>
            <w:r w:rsidRPr="00B35E47">
              <w:rPr>
                <w:rFonts w:ascii="Arial Narrow" w:hAnsi="Arial Narrow"/>
              </w:rPr>
              <w:t>injection</w:t>
            </w:r>
            <w:r>
              <w:rPr>
                <w:rFonts w:ascii="Arial Narrow" w:hAnsi="Arial Narrow"/>
              </w:rPr>
              <w:t>)</w:t>
            </w:r>
          </w:p>
        </w:tc>
        <w:tc>
          <w:tcPr>
            <w:tcW w:w="1147" w:type="pct"/>
          </w:tcPr>
          <w:p w14:paraId="4C5E5C0E" w14:textId="77777777" w:rsidR="00CB6CE1" w:rsidRPr="00B35E47" w:rsidRDefault="00CB6CE1" w:rsidP="00CB6CE1">
            <w:pPr>
              <w:spacing w:after="160" w:line="259" w:lineRule="auto"/>
              <w:ind w:left="0"/>
              <w:jc w:val="left"/>
              <w:rPr>
                <w:rFonts w:ascii="Arial Narrow" w:hAnsi="Arial Narrow"/>
              </w:rPr>
            </w:pPr>
            <w:r>
              <w:rPr>
                <w:rFonts w:ascii="Arial Narrow" w:hAnsi="Arial Narrow"/>
              </w:rPr>
              <w:t>1</w:t>
            </w:r>
            <w:r w:rsidRPr="00B35E47">
              <w:rPr>
                <w:rFonts w:ascii="Arial Narrow" w:hAnsi="Arial Narrow"/>
              </w:rPr>
              <w:t> g</w:t>
            </w:r>
            <w:r>
              <w:rPr>
                <w:rFonts w:ascii="Arial Narrow" w:hAnsi="Arial Narrow"/>
              </w:rPr>
              <w:t>×2</w:t>
            </w:r>
            <w:r w:rsidRPr="00B35E47">
              <w:rPr>
                <w:rFonts w:ascii="Arial Narrow" w:hAnsi="Arial Narrow"/>
              </w:rPr>
              <w:t>, 6 monthly</w:t>
            </w:r>
          </w:p>
        </w:tc>
        <w:tc>
          <w:tcPr>
            <w:tcW w:w="1071" w:type="pct"/>
          </w:tcPr>
          <w:p w14:paraId="5AFE5615" w14:textId="77777777" w:rsidR="00CB6CE1" w:rsidRDefault="00CB6CE1" w:rsidP="00CB6CE1">
            <w:pPr>
              <w:spacing w:after="160" w:line="259" w:lineRule="auto"/>
              <w:ind w:left="0"/>
              <w:jc w:val="center"/>
              <w:rPr>
                <w:rFonts w:ascii="Arial Narrow" w:hAnsi="Arial Narrow"/>
              </w:rPr>
            </w:pPr>
            <w:r>
              <w:rPr>
                <w:rFonts w:ascii="Arial Narrow" w:hAnsi="Arial Narrow"/>
              </w:rPr>
              <w:t>1000</w:t>
            </w:r>
            <w:r w:rsidRPr="00B35E47">
              <w:rPr>
                <w:rFonts w:ascii="Arial Narrow" w:hAnsi="Arial Narrow"/>
              </w:rPr>
              <w:t> </w:t>
            </w:r>
            <w:r>
              <w:rPr>
                <w:rFonts w:ascii="Arial Narrow" w:hAnsi="Arial Narrow"/>
              </w:rPr>
              <w:t>m</w:t>
            </w:r>
            <w:r w:rsidRPr="00B35E47">
              <w:rPr>
                <w:rFonts w:ascii="Arial Narrow" w:hAnsi="Arial Narrow"/>
              </w:rPr>
              <w:t>g</w:t>
            </w:r>
            <w:r>
              <w:rPr>
                <w:rFonts w:ascii="Arial Narrow" w:hAnsi="Arial Narrow"/>
              </w:rPr>
              <w:t>/infusion</w:t>
            </w:r>
          </w:p>
        </w:tc>
        <w:tc>
          <w:tcPr>
            <w:tcW w:w="1842" w:type="pct"/>
          </w:tcPr>
          <w:p w14:paraId="6A394B07" w14:textId="5B2F6C9C" w:rsidR="00CB6CE1" w:rsidRPr="00B35E47" w:rsidRDefault="00AC01FD" w:rsidP="0087595F">
            <w:pPr>
              <w:spacing w:after="160" w:line="259" w:lineRule="auto"/>
              <w:ind w:left="0"/>
              <w:rPr>
                <w:rFonts w:ascii="Arial Narrow" w:hAnsi="Arial Narrow"/>
              </w:rPr>
            </w:pPr>
            <w:r>
              <w:rPr>
                <w:rFonts w:ascii="Arial Narrow" w:hAnsi="Arial Narrow"/>
              </w:rPr>
              <w:fldChar w:fldCharType="begin">
                <w:fldData xml:space="preserve">PEVuZE5vdGU+PENpdGU+PEF1dGhvcj5MYW5hLVBlaXhvdG88L0F1dGhvcj48WWVhcj4yMDE5PC9Z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</w:fldData>
              </w:fldChar>
            </w:r>
            <w:r w:rsidR="0087595F">
              <w:rPr>
                <w:rFonts w:ascii="Arial Narrow" w:hAnsi="Arial Narrow"/>
              </w:rPr>
              <w:instrText xml:space="preserve"> ADDIN EN.CITE </w:instrText>
            </w:r>
            <w:r w:rsidR="0087595F">
              <w:rPr>
                <w:rFonts w:ascii="Arial Narrow" w:hAnsi="Arial Narrow"/>
              </w:rPr>
              <w:fldChar w:fldCharType="begin">
                <w:fldData xml:space="preserve">PEVuZE5vdGU+PENpdGU+PEF1dGhvcj5MYW5hLVBlaXhvdG88L0F1dGhvcj48WWVhcj4yMDE5PC9Z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</w:fldData>
              </w:fldChar>
            </w:r>
            <w:r w:rsidR="0087595F">
              <w:rPr>
                <w:rFonts w:ascii="Arial Narrow" w:hAnsi="Arial Narrow"/>
              </w:rPr>
              <w:instrText xml:space="preserve"> ADDIN EN.CITE.DATA </w:instrText>
            </w:r>
            <w:r w:rsidR="0087595F">
              <w:rPr>
                <w:rFonts w:ascii="Arial Narrow" w:hAnsi="Arial Narrow"/>
              </w:rPr>
            </w:r>
            <w:r w:rsidR="0087595F">
              <w:rPr>
                <w:rFonts w:ascii="Arial Narrow" w:hAnsi="Arial Narrow"/>
              </w:rPr>
              <w:fldChar w:fldCharType="end"/>
            </w:r>
            <w:r>
              <w:rPr>
                <w:rFonts w:ascii="Arial Narrow" w:hAnsi="Arial Narrow"/>
              </w:rPr>
            </w:r>
            <w:r>
              <w:rPr>
                <w:rFonts w:ascii="Arial Narrow" w:hAnsi="Arial Narrow"/>
              </w:rPr>
              <w:fldChar w:fldCharType="separate"/>
            </w:r>
            <w:r w:rsidR="00126162">
              <w:rPr>
                <w:rFonts w:ascii="Arial Narrow" w:hAnsi="Arial Narrow"/>
                <w:noProof/>
              </w:rPr>
              <w:t>(Lana-Peixoto &amp; Talim 2019; Trebst et al. 2014)</w:t>
            </w:r>
            <w:r>
              <w:rPr>
                <w:rFonts w:ascii="Arial Narrow" w:hAnsi="Arial Narrow"/>
              </w:rPr>
              <w:fldChar w:fldCharType="end"/>
            </w:r>
          </w:p>
        </w:tc>
      </w:tr>
      <w:tr w:rsidR="00CB6CE1" w:rsidRPr="00B35E47" w14:paraId="225F64EC" w14:textId="77777777" w:rsidTr="0004678C">
        <w:tc>
          <w:tcPr>
            <w:tcW w:w="941" w:type="pct"/>
          </w:tcPr>
          <w:p w14:paraId="2B78464E" w14:textId="77777777" w:rsidR="00CB6CE1" w:rsidRPr="00B35E47" w:rsidRDefault="00CB6CE1" w:rsidP="00CB6CE1">
            <w:pPr>
              <w:spacing w:after="160" w:line="259" w:lineRule="auto"/>
              <w:ind w:left="0"/>
              <w:rPr>
                <w:rFonts w:ascii="Arial Narrow" w:hAnsi="Arial Narrow"/>
                <w:lang w:eastAsia="en-US"/>
              </w:rPr>
            </w:pPr>
            <w:r w:rsidRPr="00B35E47">
              <w:rPr>
                <w:rFonts w:ascii="Arial Narrow" w:hAnsi="Arial Narrow"/>
                <w:lang w:eastAsia="en-US"/>
              </w:rPr>
              <w:t>Interferon-beta</w:t>
            </w:r>
            <w:r>
              <w:rPr>
                <w:rFonts w:ascii="Arial Narrow" w:hAnsi="Arial Narrow"/>
                <w:lang w:eastAsia="en-US"/>
              </w:rPr>
              <w:br/>
              <w:t>(sc- injection)</w:t>
            </w:r>
          </w:p>
        </w:tc>
        <w:tc>
          <w:tcPr>
            <w:tcW w:w="1147" w:type="pct"/>
          </w:tcPr>
          <w:p w14:paraId="402DE3A5" w14:textId="77777777" w:rsidR="00CB6CE1" w:rsidRPr="00B35E47" w:rsidRDefault="00CB6CE1" w:rsidP="00CB6CE1">
            <w:pPr>
              <w:spacing w:after="160" w:line="259" w:lineRule="auto"/>
              <w:ind w:left="0"/>
              <w:jc w:val="left"/>
              <w:rPr>
                <w:rFonts w:ascii="Arial Narrow" w:hAnsi="Arial Narrow"/>
                <w:lang w:eastAsia="en-US"/>
              </w:rPr>
            </w:pPr>
            <w:r w:rsidRPr="00B35E47">
              <w:rPr>
                <w:rFonts w:ascii="Arial Narrow" w:hAnsi="Arial Narrow"/>
                <w:lang w:eastAsia="en-US"/>
              </w:rPr>
              <w:t>44</w:t>
            </w:r>
            <w:r>
              <w:rPr>
                <w:rFonts w:ascii="Arial Narrow" w:hAnsi="Arial Narrow"/>
                <w:lang w:eastAsia="en-US"/>
              </w:rPr>
              <w:t> </w:t>
            </w:r>
            <w:r w:rsidRPr="00B35E47">
              <w:rPr>
                <w:rFonts w:ascii="Arial Narrow" w:hAnsi="Arial Narrow"/>
                <w:lang w:eastAsia="en-US"/>
              </w:rPr>
              <w:t>mcg three times/week</w:t>
            </w:r>
          </w:p>
        </w:tc>
        <w:tc>
          <w:tcPr>
            <w:tcW w:w="1071" w:type="pct"/>
          </w:tcPr>
          <w:p w14:paraId="3B830B75" w14:textId="77777777" w:rsidR="00CB6CE1" w:rsidRDefault="00CB6CE1" w:rsidP="00CB6CE1">
            <w:pPr>
              <w:spacing w:after="160" w:line="259" w:lineRule="auto"/>
              <w:ind w:left="0"/>
              <w:jc w:val="center"/>
              <w:rPr>
                <w:rFonts w:ascii="Arial Narrow" w:hAnsi="Arial Narrow"/>
                <w:lang w:eastAsia="en-US"/>
              </w:rPr>
            </w:pPr>
            <w:r>
              <w:rPr>
                <w:rFonts w:ascii="Arial Narrow" w:hAnsi="Arial Narrow"/>
                <w:lang w:eastAsia="en-US"/>
              </w:rPr>
              <w:t>44 mcg</w:t>
            </w:r>
          </w:p>
        </w:tc>
        <w:tc>
          <w:tcPr>
            <w:tcW w:w="1842" w:type="pct"/>
          </w:tcPr>
          <w:p w14:paraId="2D5B4B2A" w14:textId="77777777" w:rsidR="00CB6CE1" w:rsidRPr="00B35E47" w:rsidRDefault="00CB6CE1" w:rsidP="00CB6CE1">
            <w:pPr>
              <w:spacing w:after="160" w:line="259" w:lineRule="auto"/>
              <w:ind w:left="0"/>
              <w:rPr>
                <w:rFonts w:ascii="Arial Narrow" w:hAnsi="Arial Narrow"/>
                <w:lang w:eastAsia="en-US"/>
              </w:rPr>
            </w:pPr>
            <w:r>
              <w:rPr>
                <w:rFonts w:ascii="Arial Narrow" w:hAnsi="Arial Narrow"/>
                <w:lang w:eastAsia="en-US"/>
              </w:rPr>
              <w:t>Product information for Rebif 44</w:t>
            </w:r>
            <w:r>
              <w:rPr>
                <w:rFonts w:ascii="Arial Narrow" w:hAnsi="Arial Narrow"/>
                <w:vertAlign w:val="superscript"/>
                <w:lang w:eastAsia="en-US"/>
              </w:rPr>
              <w:t xml:space="preserve"> b</w:t>
            </w:r>
            <w:r>
              <w:rPr>
                <w:rFonts w:ascii="Arial Narrow" w:hAnsi="Arial Narrow"/>
                <w:lang w:eastAsia="en-US"/>
              </w:rPr>
              <w:t>.</w:t>
            </w:r>
          </w:p>
        </w:tc>
      </w:tr>
    </w:tbl>
    <w:p w14:paraId="40AF8355" w14:textId="77777777" w:rsidR="00CB6CE1" w:rsidRDefault="00CB6CE1" w:rsidP="00CB6CE1">
      <w:pPr>
        <w:widowControl w:val="0"/>
        <w:spacing w:after="0" w:line="240" w:lineRule="auto"/>
        <w:rPr>
          <w:rFonts w:ascii="Arial Narrow" w:hAnsi="Arial Narrow" w:cs="Arial"/>
          <w:snapToGrid w:val="0"/>
          <w:sz w:val="18"/>
          <w:szCs w:val="20"/>
          <w:lang w:eastAsia="en-US"/>
        </w:rPr>
      </w:pPr>
      <w:r w:rsidRPr="00A23E40">
        <w:rPr>
          <w:rFonts w:ascii="Arial Narrow" w:hAnsi="Arial Narrow" w:cs="Arial"/>
          <w:snapToGrid w:val="0"/>
          <w:sz w:val="18"/>
          <w:szCs w:val="20"/>
          <w:vertAlign w:val="superscript"/>
          <w:lang w:eastAsia="en-US"/>
        </w:rPr>
        <w:t>a</w:t>
      </w:r>
      <w:r>
        <w:rPr>
          <w:rFonts w:ascii="Arial Narrow" w:hAnsi="Arial Narrow" w:cs="Arial"/>
          <w:snapToGrid w:val="0"/>
          <w:sz w:val="18"/>
          <w:szCs w:val="20"/>
          <w:lang w:eastAsia="en-US"/>
        </w:rPr>
        <w:t xml:space="preserve"> Average weight of NMOSD patient times the mean dosage (71 kgs </w:t>
      </w:r>
      <w:r w:rsidRPr="00A23E40">
        <w:rPr>
          <w:rFonts w:ascii="Arial Narrow" w:hAnsi="Arial Narrow" w:cs="Arial"/>
          <w:snapToGrid w:val="0"/>
          <w:sz w:val="18"/>
          <w:szCs w:val="20"/>
          <w:lang w:eastAsia="en-US"/>
        </w:rPr>
        <w:t>×</w:t>
      </w:r>
      <w:r>
        <w:rPr>
          <w:rFonts w:ascii="Arial Narrow" w:hAnsi="Arial Narrow" w:cs="Arial"/>
          <w:snapToGrid w:val="0"/>
          <w:sz w:val="18"/>
          <w:szCs w:val="20"/>
          <w:lang w:eastAsia="en-US"/>
        </w:rPr>
        <w:t> 2.5 mg = 177.5 mg/day).</w:t>
      </w:r>
    </w:p>
    <w:p w14:paraId="284E264D" w14:textId="77777777" w:rsidR="00CB6CE1" w:rsidRDefault="00CB6CE1" w:rsidP="00CB6CE1">
      <w:pPr>
        <w:widowControl w:val="0"/>
        <w:spacing w:after="0" w:line="240" w:lineRule="auto"/>
        <w:rPr>
          <w:rFonts w:ascii="Arial Narrow" w:hAnsi="Arial Narrow" w:cs="Arial"/>
          <w:snapToGrid w:val="0"/>
          <w:sz w:val="18"/>
          <w:szCs w:val="20"/>
          <w:lang w:eastAsia="en-US"/>
        </w:rPr>
      </w:pPr>
      <w:r>
        <w:rPr>
          <w:rFonts w:ascii="Arial Narrow" w:hAnsi="Arial Narrow" w:cs="Arial"/>
          <w:snapToGrid w:val="0"/>
          <w:sz w:val="18"/>
          <w:szCs w:val="20"/>
          <w:vertAlign w:val="superscript"/>
          <w:lang w:eastAsia="en-US"/>
        </w:rPr>
        <w:t xml:space="preserve">b </w:t>
      </w:r>
      <w:hyperlink r:id="rId42" w:history="1">
        <w:r w:rsidRPr="000B5532">
          <w:rPr>
            <w:rStyle w:val="Hyperlink"/>
            <w:rFonts w:ascii="Arial Narrow" w:hAnsi="Arial Narrow" w:cs="Arial"/>
            <w:snapToGrid w:val="0"/>
            <w:sz w:val="18"/>
            <w:szCs w:val="20"/>
            <w:lang w:eastAsia="en-US"/>
          </w:rPr>
          <w:t>https://www.ebs.tga.gov.au/ebs/picmi/picmirepository.nsf/PICMI?OpenForm&amp;t=&amp;q=interferon</w:t>
        </w:r>
      </w:hyperlink>
      <w:r>
        <w:rPr>
          <w:rFonts w:ascii="Arial Narrow" w:hAnsi="Arial Narrow" w:cs="Arial"/>
          <w:snapToGrid w:val="0"/>
          <w:sz w:val="18"/>
          <w:szCs w:val="20"/>
          <w:lang w:eastAsia="en-US"/>
        </w:rPr>
        <w:t xml:space="preserve"> </w:t>
      </w:r>
    </w:p>
    <w:p w14:paraId="59202A51" w14:textId="77777777" w:rsidR="00CB6CE1" w:rsidRPr="00B35E47" w:rsidRDefault="00CB6CE1" w:rsidP="00CB6CE1">
      <w:pPr>
        <w:widowControl w:val="0"/>
        <w:spacing w:after="0" w:line="240" w:lineRule="auto"/>
        <w:rPr>
          <w:rFonts w:ascii="Arial Narrow" w:hAnsi="Arial Narrow" w:cs="Arial"/>
          <w:snapToGrid w:val="0"/>
          <w:sz w:val="18"/>
          <w:szCs w:val="20"/>
          <w:lang w:eastAsia="en-US"/>
        </w:rPr>
      </w:pPr>
      <w:r>
        <w:rPr>
          <w:rFonts w:ascii="Arial Narrow" w:hAnsi="Arial Narrow" w:cs="Arial"/>
          <w:snapToGrid w:val="0"/>
          <w:sz w:val="18"/>
          <w:szCs w:val="20"/>
          <w:lang w:eastAsia="en-US"/>
        </w:rPr>
        <w:t>g = gram; Kg = kilogram; iv = intravenous; mcg = microgram; mg = milligram; NMOSD = neuromyelitis optica; sc = subcutaneous.</w:t>
      </w:r>
    </w:p>
    <w:p w14:paraId="4204572B" w14:textId="132F1912" w:rsidR="00CB6CE1" w:rsidRPr="00B35E47" w:rsidRDefault="00CB6CE1" w:rsidP="00CB6CE1">
      <w:pPr>
        <w:spacing w:before="240"/>
      </w:pPr>
      <w:r>
        <w:lastRenderedPageBreak/>
        <w:t xml:space="preserve">The most common drugs to treat NMOSD attacks are IVMP, plasma exchange and IVIG (see section C3.1). Most NMOSD attacks are treated with </w:t>
      </w:r>
      <w:r w:rsidRPr="0018479C">
        <w:t xml:space="preserve">methylprednisolone (MP) </w:t>
      </w:r>
      <w:r>
        <w:t xml:space="preserve">1g </w:t>
      </w:r>
      <w:r w:rsidRPr="0018479C">
        <w:t xml:space="preserve">per day </w:t>
      </w:r>
      <w:r>
        <w:t>intravenously</w:t>
      </w:r>
      <w:r w:rsidRPr="0018479C">
        <w:t xml:space="preserve"> </w:t>
      </w:r>
      <w:r>
        <w:t>for five consecutive days,</w:t>
      </w:r>
      <w:r w:rsidRPr="0018479C">
        <w:t xml:space="preserve"> in combination with a proton pump inhibitor and thrombosis prophylaxis</w:t>
      </w:r>
      <w:r>
        <w:t>. If the symptoms persist or the patients condition worsen either plasma exchange (5–7 exchanges), or IVIG (0.4–2</w:t>
      </w:r>
      <w:r w:rsidRPr="005E0754">
        <w:t xml:space="preserve">g/kg body weight, given over </w:t>
      </w:r>
      <w:r>
        <w:t xml:space="preserve">three to </w:t>
      </w:r>
      <w:r w:rsidRPr="005E0754">
        <w:t>five days</w:t>
      </w:r>
      <w:r>
        <w:t xml:space="preserve">), are used </w:t>
      </w:r>
      <w:r w:rsidR="00BA6D1B">
        <w:fldChar w:fldCharType="begin"/>
      </w:r>
      <w:r w:rsidR="0087595F">
        <w:instrText xml:space="preserve"> ADDIN EN.CITE &lt;EndNote&gt;&lt;Cite&gt;&lt;Author&gt;Trebst&lt;/Author&gt;&lt;Year&gt;2014&lt;/Year&gt;&lt;RecNum&gt;30&lt;/RecNum&gt;&lt;DisplayText&gt;(Trebst et al. 2014)&lt;/DisplayText&gt;&lt;record&gt;&lt;rec-number&gt;30&lt;/rec-number&gt;&lt;foreign-keys&gt;&lt;key app="EN" db-id="r25zptaswpdzade29ws5pf9gx55ztppatt20" timestamp="1576104081"&gt;30&lt;/key&gt;&lt;/foreign-keys&gt;&lt;ref-type name="Journal Article"&gt;17&lt;/ref-type&gt;&lt;contributors&gt;&lt;authors&gt;&lt;author&gt;Trebst, C&lt;/author&gt;&lt;author&gt;Jarius, Sven&lt;/author&gt;&lt;author&gt;Berthele, Achim&lt;/author&gt;&lt;author&gt;Paul, Friedemann&lt;/author&gt;&lt;author&gt;Schippling, Sven&lt;/author&gt;&lt;author&gt;Wildemann, Brigitte&lt;/author&gt;&lt;author&gt;Borisow, Nadja&lt;/author&gt;&lt;author&gt;Kleiter, Ingo&lt;/author&gt;&lt;author&gt;Aktas, Orhan&lt;/author&gt;&lt;author&gt;Kümpfel, Tania&lt;/author&gt;&lt;author&gt;Neuromyelitis Optica Study, Group&lt;/author&gt;&lt;/authors&gt;&lt;/contributors&gt;&lt;titles&gt;&lt;title&gt;Update on the diagnosis and treatment of neuromyelitis optica: recommendations of the Neuromyelitis Optica Study Group (NEMOS)&lt;/title&gt;&lt;secondary-title&gt;Journal of neurology&lt;/secondary-title&gt;&lt;alt-title&gt;J Neurol&lt;/alt-title&gt;&lt;/titles&gt;&lt;periodical&gt;&lt;full-title&gt;Journal of neurology&lt;/full-title&gt;&lt;abbr-1&gt;J Neurol&lt;/abbr-1&gt;&lt;/periodical&gt;&lt;alt-periodical&gt;&lt;full-title&gt;J Neurol&lt;/full-title&gt;&lt;/alt-periodical&gt;&lt;pages&gt;1-16&lt;/pages&gt;&lt;volume&gt;261&lt;/volume&gt;&lt;number&gt;1&lt;/number&gt;&lt;edition&gt;11/23&lt;/edition&gt;&lt;keywords&gt;&lt;keyword&gt;Diagnosis-Related Groups/*standards&lt;/keyword&gt;&lt;keyword&gt;Humans&lt;/keyword&gt;&lt;keyword&gt;Medication Reconciliation/*standards/trends&lt;/keyword&gt;&lt;keyword&gt;Neuromyelitis Optica/*diagnosis/*therapy&lt;/keyword&gt;&lt;/keywords&gt;&lt;dates&gt;&lt;year&gt;2014&lt;/year&gt;&lt;/dates&gt;&lt;publisher&gt;Springer Berlin Heidelberg&lt;/publisher&gt;&lt;isbn&gt;1432-1459&amp;#xD;0340-5354&lt;/isbn&gt;&lt;accession-num&gt;24272588&lt;/accession-num&gt;&lt;urls&gt;&lt;related-urls&gt;&lt;url&gt;https://www.ncbi.nlm.nih.gov/pubmed/24272588&lt;/url&gt;&lt;url&gt;https://www.ncbi.nlm.nih.gov/pmc/articles/PMC3895189/&lt;/url&gt;&lt;/related-urls&gt;&lt;/urls&gt;&lt;electronic-resource-num&gt;10.1007/s00415-013-7169-7&lt;/electronic-resource-num&gt;&lt;remote-database-name&gt;PubMed&lt;/remote-database-name&gt;&lt;language&gt;eng&lt;/language&gt;&lt;/record&gt;&lt;/Cite&gt;&lt;/EndNote&gt;</w:instrText>
      </w:r>
      <w:r w:rsidR="00BA6D1B">
        <w:fldChar w:fldCharType="separate"/>
      </w:r>
      <w:r w:rsidR="00126162">
        <w:rPr>
          <w:noProof/>
        </w:rPr>
        <w:t>(Trebst et al. 2014)</w:t>
      </w:r>
      <w:r w:rsidR="00BA6D1B">
        <w:fldChar w:fldCharType="end"/>
      </w:r>
      <w:r w:rsidR="00BA6D1B">
        <w:t>.</w:t>
      </w:r>
    </w:p>
    <w:p w14:paraId="3B90DC1F" w14:textId="47F364D7" w:rsidR="00CB6CE1" w:rsidRPr="00B35E47" w:rsidRDefault="00CB6CE1" w:rsidP="00CB6CE1">
      <w:pPr>
        <w:pStyle w:val="Caption"/>
      </w:pPr>
      <w:bookmarkStart w:id="480" w:name="_Ref36825507"/>
      <w:bookmarkStart w:id="481" w:name="_Toc36054856"/>
      <w:bookmarkStart w:id="482" w:name="_Toc39580860"/>
      <w:r w:rsidRPr="00B35E47">
        <w:t xml:space="preserve">Table </w:t>
      </w:r>
      <w:fldSimple w:instr=" SEQ Table \* ARABIC ">
        <w:r w:rsidR="00FA7BCD">
          <w:rPr>
            <w:noProof/>
          </w:rPr>
          <w:t>79</w:t>
        </w:r>
      </w:fldSimple>
      <w:bookmarkEnd w:id="480"/>
      <w:r w:rsidRPr="00B35E47">
        <w:tab/>
        <w:t>Therapy dose, duration and use-related inputs for treating relapses in NMOSD</w:t>
      </w:r>
      <w:bookmarkEnd w:id="481"/>
      <w:bookmarkEnd w:id="482"/>
    </w:p>
    <w:tbl>
      <w:tblPr>
        <w:tblStyle w:val="TableGrid6"/>
        <w:tblW w:w="9067" w:type="dxa"/>
        <w:tblLayout w:type="fixed"/>
        <w:tblLook w:val="04A0" w:firstRow="1" w:lastRow="0" w:firstColumn="1" w:lastColumn="0" w:noHBand="0" w:noVBand="1"/>
        <w:tblCaption w:val="Therapy dose, duration and use-related inputs, ongoing management of NMOSD"/>
      </w:tblPr>
      <w:tblGrid>
        <w:gridCol w:w="2689"/>
        <w:gridCol w:w="2409"/>
        <w:gridCol w:w="3969"/>
      </w:tblGrid>
      <w:tr w:rsidR="00CB6CE1" w:rsidRPr="00B35E47" w14:paraId="1565D61E" w14:textId="77777777" w:rsidTr="0004678C">
        <w:trPr>
          <w:tblHeader/>
        </w:trPr>
        <w:tc>
          <w:tcPr>
            <w:tcW w:w="2689" w:type="dxa"/>
          </w:tcPr>
          <w:p w14:paraId="3F596063" w14:textId="77777777" w:rsidR="00CB6CE1" w:rsidRPr="00B35E47" w:rsidRDefault="00CB6CE1" w:rsidP="00CB6CE1">
            <w:pPr>
              <w:spacing w:before="40" w:after="40"/>
              <w:ind w:left="0"/>
              <w:rPr>
                <w:rFonts w:ascii="Arial Narrow" w:hAnsi="Arial Narrow"/>
              </w:rPr>
            </w:pPr>
            <w:r w:rsidRPr="00B35E47">
              <w:rPr>
                <w:rFonts w:ascii="Arial Narrow" w:hAnsi="Arial Narrow"/>
                <w:b/>
              </w:rPr>
              <w:t>Description</w:t>
            </w:r>
          </w:p>
        </w:tc>
        <w:tc>
          <w:tcPr>
            <w:tcW w:w="2409" w:type="dxa"/>
          </w:tcPr>
          <w:p w14:paraId="62D3889C" w14:textId="77777777" w:rsidR="00CB6CE1" w:rsidRPr="00B35E47" w:rsidRDefault="00CB6CE1" w:rsidP="00CB6CE1">
            <w:pPr>
              <w:spacing w:before="40" w:after="40"/>
              <w:ind w:left="0"/>
              <w:jc w:val="center"/>
              <w:rPr>
                <w:rFonts w:ascii="Arial Narrow" w:hAnsi="Arial Narrow"/>
              </w:rPr>
            </w:pPr>
            <w:r w:rsidRPr="00B35E47">
              <w:rPr>
                <w:rFonts w:ascii="Arial Narrow" w:hAnsi="Arial Narrow"/>
                <w:b/>
              </w:rPr>
              <w:t>Input value</w:t>
            </w:r>
          </w:p>
        </w:tc>
        <w:tc>
          <w:tcPr>
            <w:tcW w:w="3969" w:type="dxa"/>
          </w:tcPr>
          <w:p w14:paraId="682CAFEC" w14:textId="77777777" w:rsidR="00CB6CE1" w:rsidRPr="00B35E47" w:rsidRDefault="00CB6CE1" w:rsidP="00CB6CE1">
            <w:pPr>
              <w:spacing w:before="40" w:after="40"/>
              <w:ind w:left="0"/>
              <w:rPr>
                <w:rFonts w:ascii="Arial Narrow" w:hAnsi="Arial Narrow"/>
              </w:rPr>
            </w:pPr>
            <w:r w:rsidRPr="00B35E47">
              <w:rPr>
                <w:rFonts w:ascii="Arial Narrow" w:hAnsi="Arial Narrow"/>
                <w:b/>
              </w:rPr>
              <w:t>Source</w:t>
            </w:r>
          </w:p>
        </w:tc>
      </w:tr>
      <w:tr w:rsidR="00CB6CE1" w:rsidRPr="00B35E47" w14:paraId="6D944467" w14:textId="77777777" w:rsidTr="00CB6CE1">
        <w:tc>
          <w:tcPr>
            <w:tcW w:w="2689" w:type="dxa"/>
            <w:tcBorders>
              <w:bottom w:val="single" w:sz="4" w:space="0" w:color="auto"/>
            </w:tcBorders>
          </w:tcPr>
          <w:p w14:paraId="7ED3E728" w14:textId="77777777" w:rsidR="00CB6CE1" w:rsidRPr="00B35E47" w:rsidRDefault="00CB6CE1" w:rsidP="00CB6CE1">
            <w:pPr>
              <w:spacing w:before="40" w:after="40"/>
              <w:ind w:left="0"/>
              <w:rPr>
                <w:rFonts w:ascii="Arial Narrow" w:hAnsi="Arial Narrow"/>
              </w:rPr>
            </w:pPr>
            <w:r>
              <w:rPr>
                <w:rFonts w:ascii="Arial Narrow" w:hAnsi="Arial Narrow"/>
              </w:rPr>
              <w:t>Methylprednisolone (iv)</w:t>
            </w:r>
            <w:r w:rsidRPr="00B35E47">
              <w:rPr>
                <w:rFonts w:ascii="Arial Narrow" w:hAnsi="Arial Narrow"/>
              </w:rPr>
              <w:t xml:space="preserve"> </w:t>
            </w:r>
          </w:p>
        </w:tc>
        <w:tc>
          <w:tcPr>
            <w:tcW w:w="2409" w:type="dxa"/>
            <w:tcBorders>
              <w:bottom w:val="single" w:sz="4" w:space="0" w:color="auto"/>
            </w:tcBorders>
          </w:tcPr>
          <w:p w14:paraId="2257D475" w14:textId="77777777" w:rsidR="00CB6CE1" w:rsidRPr="00B35E47" w:rsidRDefault="00CB6CE1" w:rsidP="00CB6CE1">
            <w:pPr>
              <w:spacing w:before="40" w:after="40"/>
              <w:ind w:left="0"/>
              <w:jc w:val="center"/>
              <w:rPr>
                <w:rFonts w:ascii="Arial Narrow" w:hAnsi="Arial Narrow"/>
              </w:rPr>
            </w:pPr>
            <w:r w:rsidRPr="00B35E47">
              <w:rPr>
                <w:rFonts w:ascii="Arial Narrow" w:hAnsi="Arial Narrow"/>
              </w:rPr>
              <w:t>one gram/day for five days</w:t>
            </w:r>
          </w:p>
        </w:tc>
        <w:tc>
          <w:tcPr>
            <w:tcW w:w="3969" w:type="dxa"/>
            <w:tcBorders>
              <w:bottom w:val="single" w:sz="4" w:space="0" w:color="auto"/>
            </w:tcBorders>
          </w:tcPr>
          <w:p w14:paraId="1E7E47C6" w14:textId="234D9DA4" w:rsidR="00CB6CE1" w:rsidRPr="00B35E47" w:rsidRDefault="00BA6D1B" w:rsidP="0087595F">
            <w:pPr>
              <w:spacing w:before="40" w:after="40"/>
              <w:ind w:left="0"/>
              <w:rPr>
                <w:rFonts w:ascii="Arial Narrow" w:hAnsi="Arial Narrow"/>
              </w:rPr>
            </w:pPr>
            <w:r>
              <w:rPr>
                <w:rFonts w:ascii="Arial Narrow" w:hAnsi="Arial Narrow"/>
              </w:rPr>
              <w:fldChar w:fldCharType="begin"/>
            </w:r>
            <w:r w:rsidR="0087595F">
              <w:rPr>
                <w:rFonts w:ascii="Arial Narrow" w:hAnsi="Arial Narrow"/>
              </w:rPr>
              <w:instrText xml:space="preserve"> ADDIN EN.CITE &lt;EndNote&gt;&lt;Cite&gt;&lt;Author&gt;Trebst&lt;/Author&gt;&lt;Year&gt;2014&lt;/Year&gt;&lt;RecNum&gt;30&lt;/RecNum&gt;&lt;DisplayText&gt;(Trebst et al. 2014)&lt;/DisplayText&gt;&lt;record&gt;&lt;rec-number&gt;30&lt;/rec-number&gt;&lt;foreign-keys&gt;&lt;key app="EN" db-id="r25zptaswpdzade29ws5pf9gx55ztppatt20" timestamp="1576104081"&gt;30&lt;/key&gt;&lt;/foreign-keys&gt;&lt;ref-type name="Journal Article"&gt;17&lt;/ref-type&gt;&lt;contributors&gt;&lt;authors&gt;&lt;author&gt;Trebst, C&lt;/author&gt;&lt;author&gt;Jarius, Sven&lt;/author&gt;&lt;author&gt;Berthele, Achim&lt;/author&gt;&lt;author&gt;Paul, Friedemann&lt;/author&gt;&lt;author&gt;Schippling, Sven&lt;/author&gt;&lt;author&gt;Wildemann, Brigitte&lt;/author&gt;&lt;author&gt;Borisow, Nadja&lt;/author&gt;&lt;author&gt;Kleiter, Ingo&lt;/author&gt;&lt;author&gt;Aktas, Orhan&lt;/author&gt;&lt;author&gt;Kümpfel, Tania&lt;/author&gt;&lt;author&gt;Neuromyelitis Optica Study, Group&lt;/author&gt;&lt;/authors&gt;&lt;/contributors&gt;&lt;titles&gt;&lt;title&gt;Update on the diagnosis and treatment of neuromyelitis optica: recommendations of the Neuromyelitis Optica Study Group (NEMOS)&lt;/title&gt;&lt;secondary-title&gt;Journal of neurology&lt;/secondary-title&gt;&lt;alt-title&gt;J Neurol&lt;/alt-title&gt;&lt;/titles&gt;&lt;periodical&gt;&lt;full-title&gt;Journal of neurology&lt;/full-title&gt;&lt;abbr-1&gt;J Neurol&lt;/abbr-1&gt;&lt;/periodical&gt;&lt;alt-periodical&gt;&lt;full-title&gt;J Neurol&lt;/full-title&gt;&lt;/alt-periodical&gt;&lt;pages&gt;1-16&lt;/pages&gt;&lt;volume&gt;261&lt;/volume&gt;&lt;number&gt;1&lt;/number&gt;&lt;edition&gt;11/23&lt;/edition&gt;&lt;keywords&gt;&lt;keyword&gt;Diagnosis-Related Groups/*standards&lt;/keyword&gt;&lt;keyword&gt;Humans&lt;/keyword&gt;&lt;keyword&gt;Medication Reconciliation/*standards/trends&lt;/keyword&gt;&lt;keyword&gt;Neuromyelitis Optica/*diagnosis/*therapy&lt;/keyword&gt;&lt;/keywords&gt;&lt;dates&gt;&lt;year&gt;2014&lt;/year&gt;&lt;/dates&gt;&lt;publisher&gt;Springer Berlin Heidelberg&lt;/publisher&gt;&lt;isbn&gt;1432-1459&amp;#xD;0340-5354&lt;/isbn&gt;&lt;accession-num&gt;24272588&lt;/accession-num&gt;&lt;urls&gt;&lt;related-urls&gt;&lt;url&gt;https://www.ncbi.nlm.nih.gov/pubmed/24272588&lt;/url&gt;&lt;url&gt;https://www.ncbi.nlm.nih.gov/pmc/articles/PMC3895189/&lt;/url&gt;&lt;/related-urls&gt;&lt;/urls&gt;&lt;electronic-resource-num&gt;10.1007/s00415-013-7169-7&lt;/electronic-resource-num&gt;&lt;remote-database-name&gt;PubMed&lt;/remote-database-name&gt;&lt;language&gt;eng&lt;/language&gt;&lt;/record&gt;&lt;/Cite&gt;&lt;/EndNote&gt;</w:instrText>
            </w:r>
            <w:r>
              <w:rPr>
                <w:rFonts w:ascii="Arial Narrow" w:hAnsi="Arial Narrow"/>
              </w:rPr>
              <w:fldChar w:fldCharType="separate"/>
            </w:r>
            <w:r w:rsidR="00126162">
              <w:rPr>
                <w:rFonts w:ascii="Arial Narrow" w:hAnsi="Arial Narrow"/>
                <w:noProof/>
              </w:rPr>
              <w:t>(Trebst et al. 2014)</w:t>
            </w:r>
            <w:r>
              <w:rPr>
                <w:rFonts w:ascii="Arial Narrow" w:hAnsi="Arial Narrow"/>
              </w:rPr>
              <w:fldChar w:fldCharType="end"/>
            </w:r>
          </w:p>
        </w:tc>
      </w:tr>
      <w:tr w:rsidR="00CB6CE1" w:rsidRPr="00B35E47" w14:paraId="5EA7FC68" w14:textId="77777777" w:rsidTr="00CB6CE1">
        <w:tc>
          <w:tcPr>
            <w:tcW w:w="2689" w:type="dxa"/>
            <w:tcBorders>
              <w:bottom w:val="single" w:sz="4" w:space="0" w:color="auto"/>
            </w:tcBorders>
          </w:tcPr>
          <w:p w14:paraId="6C111C93" w14:textId="77777777" w:rsidR="00CB6CE1" w:rsidRPr="00B35E47" w:rsidRDefault="00CB6CE1" w:rsidP="00CB6CE1">
            <w:pPr>
              <w:spacing w:before="40" w:after="40"/>
              <w:ind w:left="0"/>
              <w:rPr>
                <w:rFonts w:ascii="Arial Narrow" w:hAnsi="Arial Narrow"/>
              </w:rPr>
            </w:pPr>
            <w:r w:rsidRPr="00B35E47">
              <w:rPr>
                <w:rFonts w:ascii="Arial Narrow" w:hAnsi="Arial Narrow"/>
              </w:rPr>
              <w:t>Plasma exchange</w:t>
            </w:r>
          </w:p>
        </w:tc>
        <w:tc>
          <w:tcPr>
            <w:tcW w:w="2409" w:type="dxa"/>
            <w:tcBorders>
              <w:bottom w:val="single" w:sz="4" w:space="0" w:color="auto"/>
            </w:tcBorders>
          </w:tcPr>
          <w:p w14:paraId="678228AA" w14:textId="77777777" w:rsidR="00CB6CE1" w:rsidRPr="00B35E47" w:rsidRDefault="00CB6CE1" w:rsidP="00CB6CE1">
            <w:pPr>
              <w:spacing w:before="40" w:after="40"/>
              <w:ind w:left="0"/>
              <w:jc w:val="center"/>
              <w:rPr>
                <w:rFonts w:ascii="Arial Narrow" w:hAnsi="Arial Narrow"/>
              </w:rPr>
            </w:pPr>
            <w:r w:rsidRPr="00B35E47">
              <w:rPr>
                <w:rFonts w:ascii="Arial Narrow" w:hAnsi="Arial Narrow"/>
              </w:rPr>
              <w:t>5–7 exchanges</w:t>
            </w:r>
          </w:p>
        </w:tc>
        <w:tc>
          <w:tcPr>
            <w:tcW w:w="3969" w:type="dxa"/>
            <w:tcBorders>
              <w:bottom w:val="single" w:sz="4" w:space="0" w:color="auto"/>
            </w:tcBorders>
          </w:tcPr>
          <w:p w14:paraId="075EE5F1" w14:textId="1FF9B54B" w:rsidR="00CB6CE1" w:rsidRPr="00B35E47" w:rsidRDefault="00BA6D1B" w:rsidP="0087595F">
            <w:pPr>
              <w:spacing w:before="40" w:after="40"/>
              <w:ind w:left="0"/>
              <w:rPr>
                <w:rFonts w:ascii="Arial Narrow" w:hAnsi="Arial Narrow"/>
              </w:rPr>
            </w:pPr>
            <w:r>
              <w:rPr>
                <w:rFonts w:ascii="Arial Narrow" w:hAnsi="Arial Narrow"/>
              </w:rPr>
              <w:fldChar w:fldCharType="begin"/>
            </w:r>
            <w:r w:rsidR="0087595F">
              <w:rPr>
                <w:rFonts w:ascii="Arial Narrow" w:hAnsi="Arial Narrow"/>
              </w:rPr>
              <w:instrText xml:space="preserve"> ADDIN EN.CITE &lt;EndNote&gt;&lt;Cite&gt;&lt;Author&gt;Trebst&lt;/Author&gt;&lt;Year&gt;2014&lt;/Year&gt;&lt;RecNum&gt;30&lt;/RecNum&gt;&lt;DisplayText&gt;(Trebst et al. 2014)&lt;/DisplayText&gt;&lt;record&gt;&lt;rec-number&gt;30&lt;/rec-number&gt;&lt;foreign-keys&gt;&lt;key app="EN" db-id="r25zptaswpdzade29ws5pf9gx55ztppatt20" timestamp="1576104081"&gt;30&lt;/key&gt;&lt;/foreign-keys&gt;&lt;ref-type name="Journal Article"&gt;17&lt;/ref-type&gt;&lt;contributors&gt;&lt;authors&gt;&lt;author&gt;Trebst, C&lt;/author&gt;&lt;author&gt;Jarius, Sven&lt;/author&gt;&lt;author&gt;Berthele, Achim&lt;/author&gt;&lt;author&gt;Paul, Friedemann&lt;/author&gt;&lt;author&gt;Schippling, Sven&lt;/author&gt;&lt;author&gt;Wildemann, Brigitte&lt;/author&gt;&lt;author&gt;Borisow, Nadja&lt;/author&gt;&lt;author&gt;Kleiter, Ingo&lt;/author&gt;&lt;author&gt;Aktas, Orhan&lt;/author&gt;&lt;author&gt;Kümpfel, Tania&lt;/author&gt;&lt;author&gt;Neuromyelitis Optica Study, Group&lt;/author&gt;&lt;/authors&gt;&lt;/contributors&gt;&lt;titles&gt;&lt;title&gt;Update on the diagnosis and treatment of neuromyelitis optica: recommendations of the Neuromyelitis Optica Study Group (NEMOS)&lt;/title&gt;&lt;secondary-title&gt;Journal of neurology&lt;/secondary-title&gt;&lt;alt-title&gt;J Neurol&lt;/alt-title&gt;&lt;/titles&gt;&lt;periodical&gt;&lt;full-title&gt;Journal of neurology&lt;/full-title&gt;&lt;abbr-1&gt;J Neurol&lt;/abbr-1&gt;&lt;/periodical&gt;&lt;alt-periodical&gt;&lt;full-title&gt;J Neurol&lt;/full-title&gt;&lt;/alt-periodical&gt;&lt;pages&gt;1-16&lt;/pages&gt;&lt;volume&gt;261&lt;/volume&gt;&lt;number&gt;1&lt;/number&gt;&lt;edition&gt;11/23&lt;/edition&gt;&lt;keywords&gt;&lt;keyword&gt;Diagnosis-Related Groups/*standards&lt;/keyword&gt;&lt;keyword&gt;Humans&lt;/keyword&gt;&lt;keyword&gt;Medication Reconciliation/*standards/trends&lt;/keyword&gt;&lt;keyword&gt;Neuromyelitis Optica/*diagnosis/*therapy&lt;/keyword&gt;&lt;/keywords&gt;&lt;dates&gt;&lt;year&gt;2014&lt;/year&gt;&lt;/dates&gt;&lt;publisher&gt;Springer Berlin Heidelberg&lt;/publisher&gt;&lt;isbn&gt;1432-1459&amp;#xD;0340-5354&lt;/isbn&gt;&lt;accession-num&gt;24272588&lt;/accession-num&gt;&lt;urls&gt;&lt;related-urls&gt;&lt;url&gt;https://www.ncbi.nlm.nih.gov/pubmed/24272588&lt;/url&gt;&lt;url&gt;https://www.ncbi.nlm.nih.gov/pmc/articles/PMC3895189/&lt;/url&gt;&lt;/related-urls&gt;&lt;/urls&gt;&lt;electronic-resource-num&gt;10.1007/s00415-013-7169-7&lt;/electronic-resource-num&gt;&lt;remote-database-name&gt;PubMed&lt;/remote-database-name&gt;&lt;language&gt;eng&lt;/language&gt;&lt;/record&gt;&lt;/Cite&gt;&lt;/EndNote&gt;</w:instrText>
            </w:r>
            <w:r>
              <w:rPr>
                <w:rFonts w:ascii="Arial Narrow" w:hAnsi="Arial Narrow"/>
              </w:rPr>
              <w:fldChar w:fldCharType="separate"/>
            </w:r>
            <w:r w:rsidR="00126162">
              <w:rPr>
                <w:rFonts w:ascii="Arial Narrow" w:hAnsi="Arial Narrow"/>
                <w:noProof/>
              </w:rPr>
              <w:t>(Trebst et al. 2014)</w:t>
            </w:r>
            <w:r>
              <w:rPr>
                <w:rFonts w:ascii="Arial Narrow" w:hAnsi="Arial Narrow"/>
              </w:rPr>
              <w:fldChar w:fldCharType="end"/>
            </w:r>
          </w:p>
        </w:tc>
      </w:tr>
      <w:tr w:rsidR="00CB6CE1" w:rsidRPr="00B35E47" w14:paraId="7B956E7A" w14:textId="77777777" w:rsidTr="00CB6CE1">
        <w:tc>
          <w:tcPr>
            <w:tcW w:w="2689" w:type="dxa"/>
            <w:tcBorders>
              <w:bottom w:val="single" w:sz="4" w:space="0" w:color="auto"/>
            </w:tcBorders>
          </w:tcPr>
          <w:p w14:paraId="6D8B01E9" w14:textId="77777777" w:rsidR="00CB6CE1" w:rsidRPr="00B35E47" w:rsidRDefault="00CB6CE1" w:rsidP="00CB6CE1">
            <w:pPr>
              <w:spacing w:before="40" w:after="40"/>
              <w:ind w:left="0"/>
              <w:rPr>
                <w:rFonts w:ascii="Arial Narrow" w:hAnsi="Arial Narrow"/>
              </w:rPr>
            </w:pPr>
            <w:r w:rsidRPr="00B35E47">
              <w:rPr>
                <w:rFonts w:ascii="Arial Narrow" w:hAnsi="Arial Narrow"/>
              </w:rPr>
              <w:t>I</w:t>
            </w:r>
            <w:r>
              <w:rPr>
                <w:rFonts w:ascii="Arial Narrow" w:hAnsi="Arial Narrow"/>
              </w:rPr>
              <w:t>ntravenous immunoglobulin</w:t>
            </w:r>
          </w:p>
        </w:tc>
        <w:tc>
          <w:tcPr>
            <w:tcW w:w="2409" w:type="dxa"/>
            <w:tcBorders>
              <w:bottom w:val="single" w:sz="4" w:space="0" w:color="auto"/>
            </w:tcBorders>
          </w:tcPr>
          <w:p w14:paraId="08D54993" w14:textId="77777777" w:rsidR="00CB6CE1" w:rsidRPr="00B35E47" w:rsidRDefault="00CB6CE1" w:rsidP="00CB6CE1">
            <w:pPr>
              <w:spacing w:before="40" w:after="40"/>
              <w:ind w:left="0"/>
              <w:jc w:val="center"/>
              <w:rPr>
                <w:rFonts w:ascii="Arial Narrow" w:hAnsi="Arial Narrow"/>
              </w:rPr>
            </w:pPr>
            <w:r w:rsidRPr="00B35E47">
              <w:rPr>
                <w:rFonts w:ascii="Arial Narrow" w:hAnsi="Arial Narrow"/>
              </w:rPr>
              <w:t>34 gms/patient</w:t>
            </w:r>
          </w:p>
        </w:tc>
        <w:tc>
          <w:tcPr>
            <w:tcW w:w="3969" w:type="dxa"/>
            <w:tcBorders>
              <w:bottom w:val="single" w:sz="4" w:space="0" w:color="auto"/>
            </w:tcBorders>
          </w:tcPr>
          <w:p w14:paraId="79743EAD" w14:textId="77777777" w:rsidR="00CB6CE1" w:rsidRPr="00B35E47" w:rsidRDefault="00CB6CE1" w:rsidP="00CB6CE1">
            <w:pPr>
              <w:spacing w:before="40" w:after="40"/>
              <w:ind w:left="0"/>
              <w:rPr>
                <w:rFonts w:ascii="Arial Narrow" w:hAnsi="Arial Narrow"/>
              </w:rPr>
            </w:pPr>
            <w:r>
              <w:rPr>
                <w:rFonts w:ascii="Arial Narrow" w:hAnsi="Arial Narrow"/>
              </w:rPr>
              <w:fldChar w:fldCharType="begin"/>
            </w:r>
            <w:r>
              <w:rPr>
                <w:rFonts w:ascii="Arial Narrow" w:hAnsi="Arial Narrow"/>
              </w:rPr>
              <w:instrText xml:space="preserve"> ADDIN EN.CITE &lt;EndNote&gt;&lt;Cite&gt;&lt;Author&gt;National Blood Authority&lt;/Author&gt;&lt;Year&gt;2018&lt;/Year&gt;&lt;RecNum&gt;2839&lt;/RecNum&gt;&lt;DisplayText&gt;(National Blood Authority 2018)&lt;/DisplayText&gt;&lt;record&gt;&lt;rec-number&gt;2839&lt;/rec-number&gt;&lt;foreign-keys&gt;&lt;key app="EN" db-id="r9zwwf2zmrrvxfespp15vtvjapza9v2fz5s5" timestamp="1584312594"&gt;2839&lt;/key&gt;&lt;/foreign-keys&gt;&lt;ref-type name="Report"&gt;27&lt;/ref-type&gt;&lt;contributors&gt;&lt;authors&gt;&lt;author&gt;National Blood Authority,&lt;/author&gt;&lt;/authors&gt;&lt;/contributors&gt;&lt;titles&gt;&lt;title&gt;NATIONAL REPORT ON THE ISSUE AND USE OF INTRAVENOUS IMMUNOGLOBULIN (IVIg) 2017-18&lt;/title&gt;&lt;/titles&gt;&lt;dates&gt;&lt;year&gt;2018&lt;/year&gt;&lt;/dates&gt;&lt;pub-location&gt;Canberra, Australia&lt;/pub-location&gt;&lt;publisher&gt;National Blood Authority&lt;/publisher&gt;&lt;urls&gt;&lt;related-urls&gt;&lt;url&gt;https://www.blood.gov.au/data-analysis-reporting&lt;/url&gt;&lt;/related-urls&gt;&lt;/urls&gt;&lt;/record&gt;&lt;/Cite&gt;&lt;/EndNote&gt;</w:instrText>
            </w:r>
            <w:r>
              <w:rPr>
                <w:rFonts w:ascii="Arial Narrow" w:hAnsi="Arial Narrow"/>
              </w:rPr>
              <w:fldChar w:fldCharType="separate"/>
            </w:r>
            <w:r>
              <w:rPr>
                <w:rFonts w:ascii="Arial Narrow" w:hAnsi="Arial Narrow"/>
                <w:noProof/>
              </w:rPr>
              <w:t>(National Blood Authority 2018)</w:t>
            </w:r>
            <w:r>
              <w:rPr>
                <w:rFonts w:ascii="Arial Narrow" w:hAnsi="Arial Narrow"/>
              </w:rPr>
              <w:fldChar w:fldCharType="end"/>
            </w:r>
          </w:p>
        </w:tc>
      </w:tr>
    </w:tbl>
    <w:p w14:paraId="2EBC336F" w14:textId="77777777" w:rsidR="00CB6CE1" w:rsidRPr="00B35E47" w:rsidRDefault="00CB6CE1" w:rsidP="00CB6CE1">
      <w:r>
        <w:rPr>
          <w:rFonts w:ascii="Arial Narrow" w:hAnsi="Arial Narrow" w:cs="Arial"/>
          <w:snapToGrid w:val="0"/>
          <w:sz w:val="18"/>
          <w:szCs w:val="20"/>
          <w:lang w:eastAsia="en-US"/>
        </w:rPr>
        <w:t xml:space="preserve">iv = </w:t>
      </w:r>
      <w:r w:rsidRPr="00947FAB">
        <w:rPr>
          <w:rFonts w:ascii="Arial Narrow" w:hAnsi="Arial Narrow" w:cs="Arial"/>
          <w:snapToGrid w:val="0"/>
          <w:sz w:val="18"/>
          <w:szCs w:val="20"/>
          <w:lang w:eastAsia="en-US"/>
        </w:rPr>
        <w:t>Intravenous</w:t>
      </w:r>
      <w:r>
        <w:rPr>
          <w:rFonts w:ascii="Arial Narrow" w:hAnsi="Arial Narrow" w:cs="Arial"/>
          <w:snapToGrid w:val="0"/>
          <w:sz w:val="18"/>
          <w:szCs w:val="20"/>
          <w:lang w:eastAsia="en-US"/>
        </w:rPr>
        <w:t>;</w:t>
      </w:r>
      <w:r w:rsidRPr="00947FAB">
        <w:rPr>
          <w:rFonts w:ascii="Arial Narrow" w:hAnsi="Arial Narrow" w:cs="Arial"/>
          <w:snapToGrid w:val="0"/>
          <w:sz w:val="18"/>
          <w:szCs w:val="20"/>
          <w:lang w:eastAsia="en-US"/>
        </w:rPr>
        <w:t xml:space="preserve"> </w:t>
      </w:r>
      <w:r>
        <w:rPr>
          <w:rFonts w:ascii="Arial Narrow" w:hAnsi="Arial Narrow" w:cs="Arial"/>
          <w:snapToGrid w:val="0"/>
          <w:sz w:val="18"/>
          <w:szCs w:val="20"/>
          <w:lang w:eastAsia="en-US"/>
        </w:rPr>
        <w:t>NMOSD = neuromyelitis optica</w:t>
      </w:r>
    </w:p>
    <w:p w14:paraId="050DFF92" w14:textId="59DC99E6" w:rsidR="00CB6CE1" w:rsidRDefault="00CB6CE1" w:rsidP="00CB6CE1">
      <w:r>
        <w:t xml:space="preserve">Severe adverse events associated with PLEX, RTX and AZA were summarised in Section B5.2.4 (Tables </w:t>
      </w:r>
      <w:r>
        <w:fldChar w:fldCharType="begin"/>
      </w:r>
      <w:r>
        <w:instrText xml:space="preserve"> REF _Ref30083314 \h </w:instrText>
      </w:r>
      <w:r>
        <w:fldChar w:fldCharType="separate"/>
      </w:r>
      <w:r w:rsidR="006E2BA9">
        <w:t xml:space="preserve">Table </w:t>
      </w:r>
      <w:r w:rsidR="006E2BA9">
        <w:rPr>
          <w:noProof/>
        </w:rPr>
        <w:t>56</w:t>
      </w:r>
      <w:r>
        <w:fldChar w:fldCharType="end"/>
      </w:r>
      <w:r>
        <w:t>,</w:t>
      </w:r>
      <w:r w:rsidR="001A39E2">
        <w:t xml:space="preserve"> </w:t>
      </w:r>
      <w:r>
        <w:fldChar w:fldCharType="begin"/>
      </w:r>
      <w:r>
        <w:instrText xml:space="preserve"> REF _Ref30083336 \h </w:instrText>
      </w:r>
      <w:r>
        <w:fldChar w:fldCharType="separate"/>
      </w:r>
      <w:r w:rsidR="006E2BA9">
        <w:t xml:space="preserve">Table </w:t>
      </w:r>
      <w:r w:rsidR="006E2BA9">
        <w:rPr>
          <w:noProof/>
        </w:rPr>
        <w:t>57</w:t>
      </w:r>
      <w:r>
        <w:fldChar w:fldCharType="end"/>
      </w:r>
      <w:r>
        <w:t xml:space="preserve"> and</w:t>
      </w:r>
      <w:r>
        <w:fldChar w:fldCharType="begin"/>
      </w:r>
      <w:r>
        <w:instrText xml:space="preserve"> REF _Ref32416307 \h </w:instrText>
      </w:r>
      <w:r>
        <w:fldChar w:fldCharType="separate"/>
      </w:r>
      <w:r w:rsidR="006E2BA9">
        <w:t xml:space="preserve">Table </w:t>
      </w:r>
      <w:r w:rsidR="006E2BA9">
        <w:rPr>
          <w:noProof/>
        </w:rPr>
        <w:t>58</w:t>
      </w:r>
      <w:r>
        <w:fldChar w:fldCharType="end"/>
      </w:r>
      <w:r>
        <w:t xml:space="preserve">). It is assumed that each of these severe adverse events would incur an associated hospitalisation cost. The costs associated with preventive treatments including drug costs and adverse events are summarised below in </w:t>
      </w:r>
      <w:r>
        <w:fldChar w:fldCharType="begin"/>
      </w:r>
      <w:r>
        <w:instrText xml:space="preserve"> REF _Ref36923202 \h </w:instrText>
      </w:r>
      <w:r>
        <w:fldChar w:fldCharType="separate"/>
      </w:r>
      <w:r w:rsidR="006E2BA9">
        <w:t xml:space="preserve">Table </w:t>
      </w:r>
      <w:r w:rsidR="006E2BA9">
        <w:rPr>
          <w:noProof/>
        </w:rPr>
        <w:t>80</w:t>
      </w:r>
      <w:r>
        <w:fldChar w:fldCharType="end"/>
      </w:r>
      <w:r>
        <w:t>.</w:t>
      </w:r>
    </w:p>
    <w:p w14:paraId="05123A24" w14:textId="14D3A42B" w:rsidR="00CB6CE1" w:rsidRDefault="00CB6CE1" w:rsidP="00CB6CE1">
      <w:pPr>
        <w:pStyle w:val="Caption"/>
      </w:pPr>
      <w:bookmarkStart w:id="483" w:name="_Ref36923202"/>
      <w:bookmarkStart w:id="484" w:name="_Toc39580861"/>
      <w:r>
        <w:t xml:space="preserve">Table </w:t>
      </w:r>
      <w:fldSimple w:instr=" SEQ Table \* ARABIC ">
        <w:r w:rsidR="00FA7BCD">
          <w:rPr>
            <w:noProof/>
          </w:rPr>
          <w:t>80</w:t>
        </w:r>
      </w:fldSimple>
      <w:bookmarkEnd w:id="483"/>
      <w:r>
        <w:tab/>
        <w:t>Annual costs associated with preventive/maintenance therapy</w:t>
      </w:r>
      <w:bookmarkEnd w:id="484"/>
      <w:r>
        <w:t xml:space="preserve"> </w:t>
      </w:r>
    </w:p>
    <w:tbl>
      <w:tblPr>
        <w:tblStyle w:val="TableGrid"/>
        <w:tblW w:w="0" w:type="auto"/>
        <w:tblLayout w:type="fixed"/>
        <w:tblLook w:val="04A0" w:firstRow="1" w:lastRow="0" w:firstColumn="1" w:lastColumn="0" w:noHBand="0" w:noVBand="1"/>
        <w:tblCaption w:val="Table 80 Annual costs associated with preventive/maintenance therapy "/>
      </w:tblPr>
      <w:tblGrid>
        <w:gridCol w:w="2830"/>
        <w:gridCol w:w="1276"/>
        <w:gridCol w:w="1444"/>
        <w:gridCol w:w="3466"/>
      </w:tblGrid>
      <w:tr w:rsidR="00CB6CE1" w14:paraId="15B16FF0" w14:textId="77777777" w:rsidTr="00CB6CE1">
        <w:trPr>
          <w:tblHeader/>
        </w:trPr>
        <w:tc>
          <w:tcPr>
            <w:tcW w:w="2830" w:type="dxa"/>
            <w:vAlign w:val="center"/>
          </w:tcPr>
          <w:p w14:paraId="274D301A" w14:textId="77777777" w:rsidR="00CB6CE1" w:rsidRDefault="00CB6CE1" w:rsidP="00892C20">
            <w:pPr>
              <w:pStyle w:val="TableHeading"/>
              <w:ind w:left="0"/>
            </w:pPr>
            <w:r>
              <w:t>Description</w:t>
            </w:r>
          </w:p>
        </w:tc>
        <w:tc>
          <w:tcPr>
            <w:tcW w:w="1276" w:type="dxa"/>
            <w:vAlign w:val="center"/>
          </w:tcPr>
          <w:p w14:paraId="573B11B0" w14:textId="77777777" w:rsidR="00CB6CE1" w:rsidRDefault="00CB6CE1" w:rsidP="00892C20">
            <w:pPr>
              <w:pStyle w:val="TableHeading"/>
              <w:ind w:left="0"/>
            </w:pPr>
            <w:r>
              <w:t>Cost per unit</w:t>
            </w:r>
          </w:p>
        </w:tc>
        <w:tc>
          <w:tcPr>
            <w:tcW w:w="1444" w:type="dxa"/>
            <w:vAlign w:val="center"/>
          </w:tcPr>
          <w:p w14:paraId="10226847" w14:textId="77777777" w:rsidR="00CB6CE1" w:rsidRDefault="00CB6CE1" w:rsidP="00892C20">
            <w:pPr>
              <w:pStyle w:val="TableHeading"/>
              <w:ind w:left="0"/>
            </w:pPr>
            <w:r>
              <w:t>Annual cost</w:t>
            </w:r>
          </w:p>
        </w:tc>
        <w:tc>
          <w:tcPr>
            <w:tcW w:w="3466" w:type="dxa"/>
            <w:vAlign w:val="center"/>
          </w:tcPr>
          <w:p w14:paraId="13072F62" w14:textId="77777777" w:rsidR="00CB6CE1" w:rsidRDefault="00CB6CE1" w:rsidP="00892C20">
            <w:pPr>
              <w:pStyle w:val="TableHeading"/>
              <w:ind w:left="0"/>
            </w:pPr>
            <w:r>
              <w:t>Source</w:t>
            </w:r>
          </w:p>
        </w:tc>
      </w:tr>
      <w:tr w:rsidR="00CB6CE1" w:rsidRPr="00AB4B27" w14:paraId="6A338731" w14:textId="77777777" w:rsidTr="00CB6CE1">
        <w:tc>
          <w:tcPr>
            <w:tcW w:w="2830" w:type="dxa"/>
          </w:tcPr>
          <w:p w14:paraId="531FF98B" w14:textId="77777777" w:rsidR="00CB6CE1" w:rsidRDefault="00CB6CE1" w:rsidP="00892C20">
            <w:pPr>
              <w:pStyle w:val="TableText0"/>
              <w:ind w:left="0"/>
            </w:pPr>
            <w:r w:rsidRPr="00854272">
              <w:t>Prednisolone, 25 mg</w:t>
            </w:r>
            <w:r>
              <w:t xml:space="preserve"> (3 months)</w:t>
            </w:r>
          </w:p>
        </w:tc>
        <w:tc>
          <w:tcPr>
            <w:tcW w:w="1276" w:type="dxa"/>
          </w:tcPr>
          <w:p w14:paraId="0CB51B8C" w14:textId="77777777" w:rsidR="00CB6CE1" w:rsidRDefault="00CB6CE1" w:rsidP="00892C20">
            <w:pPr>
              <w:pStyle w:val="TableText0"/>
              <w:ind w:left="0"/>
              <w:jc w:val="right"/>
            </w:pPr>
            <w:r w:rsidRPr="001759AE">
              <w:t>$0.53</w:t>
            </w:r>
          </w:p>
        </w:tc>
        <w:tc>
          <w:tcPr>
            <w:tcW w:w="1444" w:type="dxa"/>
          </w:tcPr>
          <w:p w14:paraId="1AEE795E" w14:textId="77777777" w:rsidR="00CB6CE1" w:rsidRDefault="00CB6CE1" w:rsidP="00892C20">
            <w:pPr>
              <w:pStyle w:val="TableText0"/>
              <w:ind w:left="0"/>
              <w:jc w:val="right"/>
            </w:pPr>
            <w:r w:rsidRPr="006755B2">
              <w:t>$136</w:t>
            </w:r>
          </w:p>
        </w:tc>
        <w:tc>
          <w:tcPr>
            <w:tcW w:w="3466" w:type="dxa"/>
          </w:tcPr>
          <w:p w14:paraId="49B2C4C5" w14:textId="77777777" w:rsidR="00CB6CE1" w:rsidRDefault="00CB6CE1" w:rsidP="00892C20">
            <w:pPr>
              <w:pStyle w:val="TableText0"/>
              <w:ind w:left="0"/>
            </w:pPr>
            <w:r w:rsidRPr="005268F7">
              <w:t xml:space="preserve">PBS </w:t>
            </w:r>
            <w:r>
              <w:t xml:space="preserve">item </w:t>
            </w:r>
            <w:r w:rsidRPr="005268F7">
              <w:t>1916W; $15.76 / 30 units</w:t>
            </w:r>
          </w:p>
        </w:tc>
      </w:tr>
      <w:tr w:rsidR="00CB6CE1" w:rsidRPr="00AB4B27" w14:paraId="0EEF328A" w14:textId="77777777" w:rsidTr="00CB6CE1">
        <w:tc>
          <w:tcPr>
            <w:tcW w:w="2830" w:type="dxa"/>
          </w:tcPr>
          <w:p w14:paraId="55D64388" w14:textId="77777777" w:rsidR="00CB6CE1" w:rsidRDefault="00CB6CE1" w:rsidP="00892C20">
            <w:pPr>
              <w:pStyle w:val="TableText0"/>
              <w:ind w:left="0"/>
            </w:pPr>
            <w:r w:rsidRPr="00854272">
              <w:t>Prednisolone, 5 mg</w:t>
            </w:r>
            <w:r>
              <w:t xml:space="preserve"> (6 months)</w:t>
            </w:r>
          </w:p>
        </w:tc>
        <w:tc>
          <w:tcPr>
            <w:tcW w:w="1276" w:type="dxa"/>
          </w:tcPr>
          <w:p w14:paraId="17E9A55B" w14:textId="77777777" w:rsidR="00CB6CE1" w:rsidRDefault="00CB6CE1" w:rsidP="00892C20">
            <w:pPr>
              <w:pStyle w:val="TableText0"/>
              <w:ind w:left="0"/>
              <w:jc w:val="right"/>
            </w:pPr>
            <w:r w:rsidRPr="001759AE">
              <w:t>$0.24</w:t>
            </w:r>
          </w:p>
        </w:tc>
        <w:tc>
          <w:tcPr>
            <w:tcW w:w="1444" w:type="dxa"/>
          </w:tcPr>
          <w:p w14:paraId="79794B94" w14:textId="77777777" w:rsidR="00CB6CE1" w:rsidRDefault="00CB6CE1" w:rsidP="00892C20">
            <w:pPr>
              <w:pStyle w:val="TableText0"/>
              <w:ind w:left="0"/>
              <w:jc w:val="right"/>
            </w:pPr>
            <w:r w:rsidRPr="006755B2">
              <w:t>$40</w:t>
            </w:r>
          </w:p>
        </w:tc>
        <w:tc>
          <w:tcPr>
            <w:tcW w:w="3466" w:type="dxa"/>
          </w:tcPr>
          <w:p w14:paraId="3D555D75" w14:textId="77777777" w:rsidR="00CB6CE1" w:rsidRDefault="00CB6CE1" w:rsidP="00892C20">
            <w:pPr>
              <w:pStyle w:val="TableText0"/>
              <w:ind w:left="0"/>
            </w:pPr>
            <w:r w:rsidRPr="005268F7">
              <w:t xml:space="preserve">PBS </w:t>
            </w:r>
            <w:r>
              <w:t xml:space="preserve">item </w:t>
            </w:r>
            <w:r w:rsidRPr="005268F7">
              <w:t>1917X; $14.48 / 60</w:t>
            </w:r>
            <w:r>
              <w:t xml:space="preserve"> </w:t>
            </w:r>
            <w:r w:rsidRPr="005268F7">
              <w:t>units</w:t>
            </w:r>
          </w:p>
        </w:tc>
      </w:tr>
      <w:tr w:rsidR="00CB6CE1" w:rsidRPr="00AB4B27" w14:paraId="48C4CC7E" w14:textId="77777777" w:rsidTr="00CB6CE1">
        <w:tc>
          <w:tcPr>
            <w:tcW w:w="2830" w:type="dxa"/>
            <w:tcBorders>
              <w:bottom w:val="double" w:sz="4" w:space="0" w:color="auto"/>
            </w:tcBorders>
            <w:vAlign w:val="center"/>
          </w:tcPr>
          <w:p w14:paraId="0972943B" w14:textId="77777777" w:rsidR="00CB6CE1" w:rsidRPr="00387F09" w:rsidRDefault="00CB6CE1" w:rsidP="00892C20">
            <w:pPr>
              <w:pStyle w:val="TableText0"/>
              <w:ind w:left="0"/>
            </w:pPr>
            <w:r w:rsidRPr="00387F09">
              <w:t>Total cost, Prednisolone</w:t>
            </w:r>
          </w:p>
        </w:tc>
        <w:tc>
          <w:tcPr>
            <w:tcW w:w="1276" w:type="dxa"/>
            <w:tcBorders>
              <w:bottom w:val="double" w:sz="4" w:space="0" w:color="auto"/>
            </w:tcBorders>
            <w:vAlign w:val="center"/>
          </w:tcPr>
          <w:p w14:paraId="0BAD427A" w14:textId="77777777" w:rsidR="00CB6CE1" w:rsidRPr="00387F09" w:rsidRDefault="00CB6CE1" w:rsidP="00892C20">
            <w:pPr>
              <w:pStyle w:val="TableText0"/>
              <w:ind w:left="0"/>
              <w:jc w:val="right"/>
            </w:pPr>
          </w:p>
        </w:tc>
        <w:tc>
          <w:tcPr>
            <w:tcW w:w="1444" w:type="dxa"/>
            <w:tcBorders>
              <w:bottom w:val="double" w:sz="4" w:space="0" w:color="auto"/>
            </w:tcBorders>
            <w:vAlign w:val="center"/>
          </w:tcPr>
          <w:p w14:paraId="10DBE7CA" w14:textId="77777777" w:rsidR="00CB6CE1" w:rsidRPr="00387F09" w:rsidRDefault="00CB6CE1" w:rsidP="00892C20">
            <w:pPr>
              <w:pStyle w:val="TableText0"/>
              <w:ind w:left="0"/>
              <w:jc w:val="right"/>
            </w:pPr>
            <w:r w:rsidRPr="00387F09">
              <w:t>$176</w:t>
            </w:r>
          </w:p>
        </w:tc>
        <w:tc>
          <w:tcPr>
            <w:tcW w:w="3466" w:type="dxa"/>
            <w:tcBorders>
              <w:bottom w:val="double" w:sz="4" w:space="0" w:color="auto"/>
            </w:tcBorders>
            <w:vAlign w:val="center"/>
          </w:tcPr>
          <w:p w14:paraId="5F57DCF7" w14:textId="77777777" w:rsidR="00CB6CE1" w:rsidRDefault="00CB6CE1" w:rsidP="00892C20">
            <w:pPr>
              <w:pStyle w:val="TableText0"/>
              <w:ind w:left="0"/>
            </w:pPr>
          </w:p>
        </w:tc>
      </w:tr>
      <w:tr w:rsidR="00CB6CE1" w14:paraId="5A61FAAB" w14:textId="77777777" w:rsidTr="00CB6CE1">
        <w:tc>
          <w:tcPr>
            <w:tcW w:w="2830" w:type="dxa"/>
            <w:tcBorders>
              <w:top w:val="double" w:sz="4" w:space="0" w:color="auto"/>
            </w:tcBorders>
            <w:vAlign w:val="center"/>
          </w:tcPr>
          <w:p w14:paraId="40E5D2AB" w14:textId="77777777" w:rsidR="00CB6CE1" w:rsidRDefault="00CB6CE1" w:rsidP="00892C20">
            <w:pPr>
              <w:pStyle w:val="TableText0"/>
              <w:ind w:left="0"/>
            </w:pPr>
            <w:r>
              <w:t>Azathioprine, 50 mg</w:t>
            </w:r>
          </w:p>
        </w:tc>
        <w:tc>
          <w:tcPr>
            <w:tcW w:w="1276" w:type="dxa"/>
            <w:tcBorders>
              <w:top w:val="double" w:sz="4" w:space="0" w:color="auto"/>
            </w:tcBorders>
            <w:vAlign w:val="center"/>
          </w:tcPr>
          <w:p w14:paraId="4BCFBC3E" w14:textId="77777777" w:rsidR="00CB6CE1" w:rsidRDefault="00CB6CE1" w:rsidP="00892C20">
            <w:pPr>
              <w:pStyle w:val="TableText0"/>
              <w:ind w:left="0"/>
              <w:jc w:val="right"/>
            </w:pPr>
            <w:r>
              <w:t>$0.32</w:t>
            </w:r>
          </w:p>
        </w:tc>
        <w:tc>
          <w:tcPr>
            <w:tcW w:w="1444" w:type="dxa"/>
            <w:tcBorders>
              <w:top w:val="double" w:sz="4" w:space="0" w:color="auto"/>
            </w:tcBorders>
            <w:vAlign w:val="center"/>
          </w:tcPr>
          <w:p w14:paraId="7B75735B" w14:textId="77777777" w:rsidR="00CB6CE1" w:rsidRDefault="00CB6CE1" w:rsidP="00892C20">
            <w:pPr>
              <w:pStyle w:val="TableText0"/>
              <w:ind w:left="0"/>
              <w:jc w:val="right"/>
            </w:pPr>
            <w:r>
              <w:t>$418</w:t>
            </w:r>
          </w:p>
        </w:tc>
        <w:tc>
          <w:tcPr>
            <w:tcW w:w="3466" w:type="dxa"/>
            <w:tcBorders>
              <w:top w:val="double" w:sz="4" w:space="0" w:color="auto"/>
            </w:tcBorders>
            <w:vAlign w:val="center"/>
          </w:tcPr>
          <w:p w14:paraId="63D76C48" w14:textId="77777777" w:rsidR="00CB6CE1" w:rsidRDefault="00CB6CE1" w:rsidP="00892C20">
            <w:pPr>
              <w:pStyle w:val="TableText0"/>
              <w:ind w:left="0"/>
            </w:pPr>
            <w:r w:rsidRPr="0026314E">
              <w:t xml:space="preserve">PBS </w:t>
            </w:r>
            <w:r>
              <w:t xml:space="preserve">item </w:t>
            </w:r>
            <w:r w:rsidRPr="0026314E">
              <w:t>2687K; $32.19 / 100 units</w:t>
            </w:r>
          </w:p>
        </w:tc>
      </w:tr>
      <w:tr w:rsidR="00CB6CE1" w14:paraId="054523AB" w14:textId="77777777" w:rsidTr="00CB6CE1">
        <w:tc>
          <w:tcPr>
            <w:tcW w:w="2830" w:type="dxa"/>
            <w:vAlign w:val="center"/>
          </w:tcPr>
          <w:p w14:paraId="7BDA5D44" w14:textId="77777777" w:rsidR="00CB6CE1" w:rsidRPr="00073EC9" w:rsidRDefault="00CB6CE1" w:rsidP="00892C20">
            <w:pPr>
              <w:pStyle w:val="TableText0"/>
              <w:ind w:left="0"/>
            </w:pPr>
            <w:r>
              <w:t>Severe a</w:t>
            </w:r>
            <w:r w:rsidRPr="00073EC9">
              <w:t>dverse events</w:t>
            </w:r>
            <w:r>
              <w:t xml:space="preserve"> (%)</w:t>
            </w:r>
          </w:p>
        </w:tc>
        <w:tc>
          <w:tcPr>
            <w:tcW w:w="1276" w:type="dxa"/>
            <w:vAlign w:val="center"/>
          </w:tcPr>
          <w:p w14:paraId="0338F02B" w14:textId="77777777" w:rsidR="00CB6CE1" w:rsidRDefault="00CB6CE1" w:rsidP="00892C20">
            <w:pPr>
              <w:pStyle w:val="TableText0"/>
              <w:ind w:left="0"/>
              <w:jc w:val="right"/>
            </w:pPr>
          </w:p>
        </w:tc>
        <w:tc>
          <w:tcPr>
            <w:tcW w:w="1444" w:type="dxa"/>
            <w:vAlign w:val="center"/>
          </w:tcPr>
          <w:p w14:paraId="3A625BD7" w14:textId="77777777" w:rsidR="00CB6CE1" w:rsidRDefault="00CB6CE1" w:rsidP="00892C20">
            <w:pPr>
              <w:pStyle w:val="TableText0"/>
              <w:ind w:left="0"/>
              <w:jc w:val="right"/>
            </w:pPr>
          </w:p>
        </w:tc>
        <w:tc>
          <w:tcPr>
            <w:tcW w:w="3466" w:type="dxa"/>
            <w:vAlign w:val="center"/>
          </w:tcPr>
          <w:p w14:paraId="6A6A261D" w14:textId="77777777" w:rsidR="00CB6CE1" w:rsidRDefault="00CB6CE1" w:rsidP="00892C20">
            <w:pPr>
              <w:pStyle w:val="TableText0"/>
              <w:ind w:left="0"/>
            </w:pPr>
          </w:p>
        </w:tc>
      </w:tr>
      <w:tr w:rsidR="00CB6CE1" w14:paraId="3FEBC6AF" w14:textId="77777777" w:rsidTr="00CB6CE1">
        <w:tc>
          <w:tcPr>
            <w:tcW w:w="2830" w:type="dxa"/>
          </w:tcPr>
          <w:p w14:paraId="487617A2" w14:textId="77777777" w:rsidR="00CB6CE1" w:rsidRDefault="00CB6CE1" w:rsidP="00892C20">
            <w:pPr>
              <w:pStyle w:val="TableText0"/>
              <w:ind w:left="0"/>
            </w:pPr>
            <w:r w:rsidRPr="00495D5F">
              <w:t>Gastrointestinal intolerance</w:t>
            </w:r>
            <w:r>
              <w:t xml:space="preserve"> (4%)</w:t>
            </w:r>
          </w:p>
        </w:tc>
        <w:tc>
          <w:tcPr>
            <w:tcW w:w="1276" w:type="dxa"/>
          </w:tcPr>
          <w:p w14:paraId="75758AC0" w14:textId="77777777" w:rsidR="00CB6CE1" w:rsidRDefault="00CB6CE1" w:rsidP="00892C20">
            <w:pPr>
              <w:pStyle w:val="TableText0"/>
              <w:ind w:left="0"/>
              <w:jc w:val="right"/>
            </w:pPr>
            <w:r w:rsidRPr="00D45C83">
              <w:t>$562</w:t>
            </w:r>
          </w:p>
        </w:tc>
        <w:tc>
          <w:tcPr>
            <w:tcW w:w="1444" w:type="dxa"/>
          </w:tcPr>
          <w:p w14:paraId="3958CCFB" w14:textId="77777777" w:rsidR="00CB6CE1" w:rsidRDefault="00CB6CE1" w:rsidP="00892C20">
            <w:pPr>
              <w:pStyle w:val="TableText0"/>
              <w:ind w:left="0"/>
              <w:jc w:val="right"/>
            </w:pPr>
            <w:r w:rsidRPr="006B6F4C">
              <w:t>$22</w:t>
            </w:r>
          </w:p>
        </w:tc>
        <w:tc>
          <w:tcPr>
            <w:tcW w:w="3466" w:type="dxa"/>
          </w:tcPr>
          <w:p w14:paraId="1EBC7BF2" w14:textId="77777777" w:rsidR="00CB6CE1" w:rsidRDefault="00CB6CE1" w:rsidP="00892C20">
            <w:pPr>
              <w:pStyle w:val="TableText0"/>
              <w:ind w:left="0"/>
            </w:pPr>
            <w:r w:rsidRPr="007A2309">
              <w:t>Non-admitted care</w:t>
            </w:r>
            <w:r>
              <w:t xml:space="preserve"> </w:t>
            </w:r>
            <w:r w:rsidRPr="004B344D">
              <w:t>Tier 2, 2025 Gastroenetrology</w:t>
            </w:r>
          </w:p>
        </w:tc>
      </w:tr>
      <w:tr w:rsidR="00CB6CE1" w14:paraId="78D91441" w14:textId="77777777" w:rsidTr="00CB6CE1">
        <w:tc>
          <w:tcPr>
            <w:tcW w:w="2830" w:type="dxa"/>
          </w:tcPr>
          <w:p w14:paraId="53320442" w14:textId="77777777" w:rsidR="00CB6CE1" w:rsidRDefault="00CB6CE1" w:rsidP="00892C20">
            <w:pPr>
              <w:pStyle w:val="TableText0"/>
              <w:ind w:left="0"/>
            </w:pPr>
            <w:r w:rsidRPr="00495D5F">
              <w:t>Severe infection</w:t>
            </w:r>
            <w:r>
              <w:t xml:space="preserve"> (2%)</w:t>
            </w:r>
          </w:p>
        </w:tc>
        <w:tc>
          <w:tcPr>
            <w:tcW w:w="1276" w:type="dxa"/>
          </w:tcPr>
          <w:p w14:paraId="40DA4C44" w14:textId="77777777" w:rsidR="00CB6CE1" w:rsidRDefault="00CB6CE1" w:rsidP="00892C20">
            <w:pPr>
              <w:pStyle w:val="TableText0"/>
              <w:ind w:left="0"/>
              <w:jc w:val="right"/>
            </w:pPr>
            <w:r w:rsidRPr="00D45C83">
              <w:t>$26,884</w:t>
            </w:r>
          </w:p>
        </w:tc>
        <w:tc>
          <w:tcPr>
            <w:tcW w:w="1444" w:type="dxa"/>
          </w:tcPr>
          <w:p w14:paraId="11ACA2F3" w14:textId="77777777" w:rsidR="00CB6CE1" w:rsidRDefault="00CB6CE1" w:rsidP="00892C20">
            <w:pPr>
              <w:pStyle w:val="TableText0"/>
              <w:ind w:left="0"/>
              <w:jc w:val="right"/>
            </w:pPr>
            <w:r w:rsidRPr="006B6F4C">
              <w:t>$538</w:t>
            </w:r>
          </w:p>
        </w:tc>
        <w:tc>
          <w:tcPr>
            <w:tcW w:w="3466" w:type="dxa"/>
          </w:tcPr>
          <w:p w14:paraId="26F3FA61" w14:textId="77777777" w:rsidR="00CB6CE1" w:rsidRDefault="00CB6CE1" w:rsidP="00892C20">
            <w:pPr>
              <w:pStyle w:val="TableText0"/>
              <w:ind w:left="0"/>
            </w:pPr>
            <w:r>
              <w:t xml:space="preserve">AR-DRG </w:t>
            </w:r>
            <w:r w:rsidRPr="004B344D">
              <w:t>T60A</w:t>
            </w:r>
          </w:p>
        </w:tc>
      </w:tr>
      <w:tr w:rsidR="00CB6CE1" w14:paraId="0A0E4F94" w14:textId="77777777" w:rsidTr="00CB6CE1">
        <w:tc>
          <w:tcPr>
            <w:tcW w:w="2830" w:type="dxa"/>
          </w:tcPr>
          <w:p w14:paraId="3AEB0A95" w14:textId="77777777" w:rsidR="00CB6CE1" w:rsidRDefault="00CB6CE1" w:rsidP="00892C20">
            <w:pPr>
              <w:pStyle w:val="TableText0"/>
              <w:ind w:left="0"/>
            </w:pPr>
            <w:r w:rsidRPr="00495D5F">
              <w:t>Liver toxicity</w:t>
            </w:r>
            <w:r>
              <w:t xml:space="preserve"> (2%)</w:t>
            </w:r>
          </w:p>
        </w:tc>
        <w:tc>
          <w:tcPr>
            <w:tcW w:w="1276" w:type="dxa"/>
          </w:tcPr>
          <w:p w14:paraId="6601D177" w14:textId="77777777" w:rsidR="00CB6CE1" w:rsidRDefault="00CB6CE1" w:rsidP="00892C20">
            <w:pPr>
              <w:pStyle w:val="TableText0"/>
              <w:ind w:left="0"/>
              <w:jc w:val="right"/>
            </w:pPr>
            <w:r w:rsidRPr="00D45C83">
              <w:t>$10,898</w:t>
            </w:r>
          </w:p>
        </w:tc>
        <w:tc>
          <w:tcPr>
            <w:tcW w:w="1444" w:type="dxa"/>
          </w:tcPr>
          <w:p w14:paraId="6ECDAC2D" w14:textId="77777777" w:rsidR="00CB6CE1" w:rsidRDefault="00CB6CE1" w:rsidP="00892C20">
            <w:pPr>
              <w:pStyle w:val="TableText0"/>
              <w:ind w:left="0"/>
              <w:jc w:val="right"/>
            </w:pPr>
            <w:r w:rsidRPr="006B6F4C">
              <w:t>$218</w:t>
            </w:r>
          </w:p>
        </w:tc>
        <w:tc>
          <w:tcPr>
            <w:tcW w:w="3466" w:type="dxa"/>
          </w:tcPr>
          <w:p w14:paraId="63533467" w14:textId="77777777" w:rsidR="00CB6CE1" w:rsidRDefault="00CB6CE1" w:rsidP="00892C20">
            <w:pPr>
              <w:pStyle w:val="TableText0"/>
              <w:ind w:left="0"/>
            </w:pPr>
            <w:r>
              <w:t xml:space="preserve">AR-DRG </w:t>
            </w:r>
            <w:r w:rsidRPr="004B344D">
              <w:t>H60B</w:t>
            </w:r>
          </w:p>
        </w:tc>
      </w:tr>
      <w:tr w:rsidR="00CB6CE1" w14:paraId="21880642" w14:textId="77777777" w:rsidTr="00CB6CE1">
        <w:tc>
          <w:tcPr>
            <w:tcW w:w="2830" w:type="dxa"/>
          </w:tcPr>
          <w:p w14:paraId="620F936A" w14:textId="77777777" w:rsidR="00CB6CE1" w:rsidRDefault="00CB6CE1" w:rsidP="00892C20">
            <w:pPr>
              <w:pStyle w:val="TableText0"/>
              <w:ind w:left="0"/>
            </w:pPr>
            <w:r w:rsidRPr="00495D5F">
              <w:t>Allergy/skin reactions</w:t>
            </w:r>
            <w:r>
              <w:t xml:space="preserve"> (2%)</w:t>
            </w:r>
          </w:p>
        </w:tc>
        <w:tc>
          <w:tcPr>
            <w:tcW w:w="1276" w:type="dxa"/>
          </w:tcPr>
          <w:p w14:paraId="0A97419F" w14:textId="77777777" w:rsidR="00CB6CE1" w:rsidRDefault="00CB6CE1" w:rsidP="00892C20">
            <w:pPr>
              <w:pStyle w:val="TableText0"/>
              <w:ind w:left="0"/>
              <w:jc w:val="right"/>
            </w:pPr>
            <w:r w:rsidRPr="00D45C83">
              <w:t>$3,198</w:t>
            </w:r>
          </w:p>
        </w:tc>
        <w:tc>
          <w:tcPr>
            <w:tcW w:w="1444" w:type="dxa"/>
          </w:tcPr>
          <w:p w14:paraId="67BD2AC1" w14:textId="77777777" w:rsidR="00CB6CE1" w:rsidRDefault="00CB6CE1" w:rsidP="00892C20">
            <w:pPr>
              <w:pStyle w:val="TableText0"/>
              <w:ind w:left="0"/>
              <w:jc w:val="right"/>
            </w:pPr>
            <w:r w:rsidRPr="006B6F4C">
              <w:t>$64</w:t>
            </w:r>
          </w:p>
        </w:tc>
        <w:tc>
          <w:tcPr>
            <w:tcW w:w="3466" w:type="dxa"/>
          </w:tcPr>
          <w:p w14:paraId="5F1E1E94" w14:textId="77777777" w:rsidR="00CB6CE1" w:rsidRDefault="00CB6CE1" w:rsidP="00892C20">
            <w:pPr>
              <w:pStyle w:val="TableText0"/>
              <w:ind w:left="0"/>
            </w:pPr>
            <w:r>
              <w:t xml:space="preserve">AR-DRG </w:t>
            </w:r>
            <w:r w:rsidRPr="004B344D">
              <w:t>X61A</w:t>
            </w:r>
          </w:p>
        </w:tc>
      </w:tr>
      <w:tr w:rsidR="00CB6CE1" w14:paraId="7D03917F" w14:textId="77777777" w:rsidTr="00CB6CE1">
        <w:tc>
          <w:tcPr>
            <w:tcW w:w="2830" w:type="dxa"/>
            <w:tcBorders>
              <w:bottom w:val="double" w:sz="4" w:space="0" w:color="auto"/>
            </w:tcBorders>
            <w:vAlign w:val="center"/>
          </w:tcPr>
          <w:p w14:paraId="7A64DA6E" w14:textId="77777777" w:rsidR="00CB6CE1" w:rsidRPr="0048514C" w:rsidRDefault="00CB6CE1" w:rsidP="00892C20">
            <w:pPr>
              <w:pStyle w:val="TableText0"/>
              <w:ind w:left="0"/>
            </w:pPr>
            <w:r w:rsidRPr="0048514C">
              <w:t>Total cost, Azathioprine</w:t>
            </w:r>
            <w:r>
              <w:t xml:space="preserve"> </w:t>
            </w:r>
            <w:r w:rsidRPr="007C2932">
              <w:t>± Prednisolone</w:t>
            </w:r>
          </w:p>
        </w:tc>
        <w:tc>
          <w:tcPr>
            <w:tcW w:w="1276" w:type="dxa"/>
            <w:tcBorders>
              <w:bottom w:val="double" w:sz="4" w:space="0" w:color="auto"/>
            </w:tcBorders>
            <w:vAlign w:val="center"/>
          </w:tcPr>
          <w:p w14:paraId="0A1CA09B" w14:textId="77777777" w:rsidR="00CB6CE1" w:rsidRDefault="00CB6CE1" w:rsidP="00892C20">
            <w:pPr>
              <w:pStyle w:val="TableText0"/>
              <w:ind w:left="0"/>
              <w:jc w:val="right"/>
            </w:pPr>
          </w:p>
        </w:tc>
        <w:tc>
          <w:tcPr>
            <w:tcW w:w="1444" w:type="dxa"/>
            <w:tcBorders>
              <w:bottom w:val="double" w:sz="4" w:space="0" w:color="auto"/>
            </w:tcBorders>
            <w:vAlign w:val="center"/>
          </w:tcPr>
          <w:p w14:paraId="074A0A7E" w14:textId="77777777" w:rsidR="00CB6CE1" w:rsidRPr="00732EF7" w:rsidRDefault="00CB6CE1" w:rsidP="00892C20">
            <w:pPr>
              <w:pStyle w:val="TableText0"/>
              <w:ind w:left="0"/>
              <w:jc w:val="right"/>
            </w:pPr>
            <w:r w:rsidRPr="00732EF7">
              <w:t>$1,</w:t>
            </w:r>
            <w:r>
              <w:t>371</w:t>
            </w:r>
          </w:p>
        </w:tc>
        <w:tc>
          <w:tcPr>
            <w:tcW w:w="3466" w:type="dxa"/>
            <w:tcBorders>
              <w:bottom w:val="double" w:sz="4" w:space="0" w:color="auto"/>
            </w:tcBorders>
            <w:vAlign w:val="center"/>
          </w:tcPr>
          <w:p w14:paraId="3E812F62" w14:textId="77777777" w:rsidR="00CB6CE1" w:rsidRDefault="00CB6CE1" w:rsidP="00892C20">
            <w:pPr>
              <w:pStyle w:val="TableText0"/>
              <w:ind w:left="0"/>
            </w:pPr>
            <w:r>
              <w:t>63% patients have concomitant prednisolone therapy (Section C3.1)</w:t>
            </w:r>
          </w:p>
        </w:tc>
      </w:tr>
      <w:tr w:rsidR="00CB6CE1" w:rsidRPr="00AB4B27" w14:paraId="7C129D59" w14:textId="77777777" w:rsidTr="00CB6CE1">
        <w:tc>
          <w:tcPr>
            <w:tcW w:w="2830" w:type="dxa"/>
            <w:tcBorders>
              <w:top w:val="double" w:sz="4" w:space="0" w:color="auto"/>
            </w:tcBorders>
            <w:vAlign w:val="center"/>
          </w:tcPr>
          <w:p w14:paraId="0CF1BF9C" w14:textId="77777777" w:rsidR="00CB6CE1" w:rsidRDefault="00CB6CE1" w:rsidP="00892C20">
            <w:pPr>
              <w:pStyle w:val="TableText0"/>
              <w:ind w:left="0"/>
            </w:pPr>
            <w:r w:rsidRPr="007C2932">
              <w:t>Rituximab 1x 500 mg, 50 ml vial</w:t>
            </w:r>
          </w:p>
        </w:tc>
        <w:tc>
          <w:tcPr>
            <w:tcW w:w="1276" w:type="dxa"/>
            <w:tcBorders>
              <w:top w:val="double" w:sz="4" w:space="0" w:color="auto"/>
            </w:tcBorders>
            <w:vAlign w:val="center"/>
          </w:tcPr>
          <w:p w14:paraId="31506A90" w14:textId="77777777" w:rsidR="00CB6CE1" w:rsidRDefault="00CB6CE1" w:rsidP="00892C20">
            <w:pPr>
              <w:pStyle w:val="TableText0"/>
              <w:ind w:left="0"/>
              <w:jc w:val="right"/>
            </w:pPr>
            <w:r>
              <w:t>$1,223</w:t>
            </w:r>
          </w:p>
        </w:tc>
        <w:tc>
          <w:tcPr>
            <w:tcW w:w="1444" w:type="dxa"/>
            <w:tcBorders>
              <w:top w:val="double" w:sz="4" w:space="0" w:color="auto"/>
            </w:tcBorders>
            <w:vAlign w:val="center"/>
          </w:tcPr>
          <w:p w14:paraId="7514D433" w14:textId="77777777" w:rsidR="00CB6CE1" w:rsidRDefault="00CB6CE1" w:rsidP="00892C20">
            <w:pPr>
              <w:pStyle w:val="TableText0"/>
              <w:ind w:left="0"/>
              <w:jc w:val="right"/>
            </w:pPr>
            <w:r w:rsidRPr="00C5640B">
              <w:t>$</w:t>
            </w:r>
            <w:r>
              <w:t>9,784</w:t>
            </w:r>
          </w:p>
        </w:tc>
        <w:tc>
          <w:tcPr>
            <w:tcW w:w="3466" w:type="dxa"/>
            <w:tcBorders>
              <w:top w:val="double" w:sz="4" w:space="0" w:color="auto"/>
            </w:tcBorders>
            <w:vAlign w:val="center"/>
          </w:tcPr>
          <w:p w14:paraId="3B1DAA14" w14:textId="77777777" w:rsidR="00CB6CE1" w:rsidRDefault="00CB6CE1" w:rsidP="00892C20">
            <w:pPr>
              <w:pStyle w:val="TableText0"/>
              <w:ind w:left="0"/>
            </w:pPr>
            <w:r w:rsidRPr="00131E88">
              <w:t>PBS item 11790M; $2446.03 / 2</w:t>
            </w:r>
            <w:r>
              <w:t xml:space="preserve"> </w:t>
            </w:r>
            <w:r w:rsidRPr="00131E88">
              <w:t>units</w:t>
            </w:r>
          </w:p>
        </w:tc>
      </w:tr>
      <w:tr w:rsidR="00CB6CE1" w:rsidRPr="00AB4B27" w14:paraId="1619A216" w14:textId="77777777" w:rsidTr="00CB6CE1">
        <w:tc>
          <w:tcPr>
            <w:tcW w:w="2830" w:type="dxa"/>
            <w:vAlign w:val="center"/>
          </w:tcPr>
          <w:p w14:paraId="712B6899" w14:textId="77777777" w:rsidR="00CB6CE1" w:rsidRDefault="00CB6CE1" w:rsidP="00892C20">
            <w:pPr>
              <w:pStyle w:val="TableText0"/>
              <w:ind w:left="0"/>
            </w:pPr>
            <w:r>
              <w:t>Intravenous</w:t>
            </w:r>
            <w:r w:rsidRPr="00C5640B">
              <w:t xml:space="preserve"> methylprednisolone</w:t>
            </w:r>
            <w:r>
              <w:t>, 44 </w:t>
            </w:r>
            <w:r w:rsidRPr="00C5640B">
              <w:t>mg</w:t>
            </w:r>
          </w:p>
        </w:tc>
        <w:tc>
          <w:tcPr>
            <w:tcW w:w="1276" w:type="dxa"/>
            <w:vAlign w:val="center"/>
          </w:tcPr>
          <w:p w14:paraId="2958ACCB" w14:textId="77777777" w:rsidR="00CB6CE1" w:rsidRDefault="00CB6CE1" w:rsidP="00892C20">
            <w:pPr>
              <w:pStyle w:val="TableText0"/>
              <w:ind w:left="0"/>
              <w:jc w:val="right"/>
            </w:pPr>
            <w:r w:rsidRPr="00C5640B">
              <w:t>$8.22</w:t>
            </w:r>
          </w:p>
        </w:tc>
        <w:tc>
          <w:tcPr>
            <w:tcW w:w="1444" w:type="dxa"/>
            <w:vAlign w:val="center"/>
          </w:tcPr>
          <w:p w14:paraId="49E9C149" w14:textId="77777777" w:rsidR="00CB6CE1" w:rsidRDefault="00CB6CE1" w:rsidP="00892C20">
            <w:pPr>
              <w:pStyle w:val="TableText0"/>
              <w:ind w:left="0"/>
              <w:jc w:val="right"/>
            </w:pPr>
            <w:r>
              <w:t>$75</w:t>
            </w:r>
          </w:p>
        </w:tc>
        <w:tc>
          <w:tcPr>
            <w:tcW w:w="3466" w:type="dxa"/>
            <w:vAlign w:val="center"/>
          </w:tcPr>
          <w:p w14:paraId="27A8E9AF" w14:textId="77777777" w:rsidR="00CB6CE1" w:rsidRDefault="00CB6CE1" w:rsidP="00892C20">
            <w:pPr>
              <w:pStyle w:val="TableText0"/>
              <w:ind w:left="0"/>
            </w:pPr>
            <w:r w:rsidRPr="00C5640B">
              <w:t xml:space="preserve">PBS </w:t>
            </w:r>
            <w:r>
              <w:t xml:space="preserve">item </w:t>
            </w:r>
            <w:r w:rsidRPr="00C5640B">
              <w:t>11739W; $41.09 / 5</w:t>
            </w:r>
            <w:r>
              <w:t xml:space="preserve"> </w:t>
            </w:r>
            <w:r w:rsidRPr="00C5640B">
              <w:t>units</w:t>
            </w:r>
            <w:r>
              <w:t xml:space="preserve"> (100mg prior to each infusion, total 4 infusions)</w:t>
            </w:r>
          </w:p>
        </w:tc>
      </w:tr>
      <w:tr w:rsidR="00CB6CE1" w:rsidRPr="00AB4B27" w14:paraId="1FE4EEDB" w14:textId="77777777" w:rsidTr="00CB6CE1">
        <w:tc>
          <w:tcPr>
            <w:tcW w:w="2830" w:type="dxa"/>
            <w:vAlign w:val="center"/>
          </w:tcPr>
          <w:p w14:paraId="706BF2B7" w14:textId="77777777" w:rsidR="00CB6CE1" w:rsidRDefault="00CB6CE1" w:rsidP="00892C20">
            <w:pPr>
              <w:pStyle w:val="TableText0"/>
              <w:ind w:left="0"/>
            </w:pPr>
            <w:r>
              <w:t>Administration cost</w:t>
            </w:r>
          </w:p>
        </w:tc>
        <w:tc>
          <w:tcPr>
            <w:tcW w:w="1276" w:type="dxa"/>
          </w:tcPr>
          <w:p w14:paraId="784B56AE" w14:textId="77777777" w:rsidR="00CB6CE1" w:rsidRDefault="00CB6CE1" w:rsidP="00892C20">
            <w:pPr>
              <w:pStyle w:val="TableText0"/>
              <w:ind w:left="0"/>
              <w:jc w:val="right"/>
            </w:pPr>
            <w:r w:rsidRPr="00CD7E1C">
              <w:t>$489</w:t>
            </w:r>
          </w:p>
        </w:tc>
        <w:tc>
          <w:tcPr>
            <w:tcW w:w="1444" w:type="dxa"/>
          </w:tcPr>
          <w:p w14:paraId="7D494951" w14:textId="77777777" w:rsidR="00CB6CE1" w:rsidRDefault="00CB6CE1" w:rsidP="00892C20">
            <w:pPr>
              <w:pStyle w:val="TableText0"/>
              <w:ind w:left="0"/>
              <w:jc w:val="right"/>
            </w:pPr>
            <w:r w:rsidRPr="00CD7E1C">
              <w:t>$1,956</w:t>
            </w:r>
          </w:p>
        </w:tc>
        <w:tc>
          <w:tcPr>
            <w:tcW w:w="3466" w:type="dxa"/>
            <w:vAlign w:val="center"/>
          </w:tcPr>
          <w:p w14:paraId="7F8EAF38" w14:textId="77777777" w:rsidR="00CB6CE1" w:rsidRDefault="00CB6CE1" w:rsidP="00892C20">
            <w:pPr>
              <w:pStyle w:val="TableText0"/>
              <w:ind w:left="0"/>
            </w:pPr>
            <w:r w:rsidRPr="007A2309">
              <w:t>Non-admitted care</w:t>
            </w:r>
            <w:r w:rsidRPr="004B344D">
              <w:t xml:space="preserve"> Tier 2, </w:t>
            </w:r>
            <w:r w:rsidRPr="001C079B">
              <w:t>2041 Immunology</w:t>
            </w:r>
          </w:p>
        </w:tc>
      </w:tr>
      <w:tr w:rsidR="00CB6CE1" w:rsidRPr="00AB4B27" w14:paraId="0F9277D7" w14:textId="77777777" w:rsidTr="00CB6CE1">
        <w:tc>
          <w:tcPr>
            <w:tcW w:w="2830" w:type="dxa"/>
            <w:vAlign w:val="center"/>
          </w:tcPr>
          <w:p w14:paraId="2CAC169C" w14:textId="77777777" w:rsidR="00CB6CE1" w:rsidRDefault="00CB6CE1" w:rsidP="00892C20">
            <w:pPr>
              <w:pStyle w:val="TableText0"/>
              <w:ind w:left="0"/>
            </w:pPr>
            <w:r>
              <w:t>Severe a</w:t>
            </w:r>
            <w:r w:rsidRPr="00073EC9">
              <w:t>dverse events</w:t>
            </w:r>
            <w:r>
              <w:t xml:space="preserve"> (%)</w:t>
            </w:r>
          </w:p>
        </w:tc>
        <w:tc>
          <w:tcPr>
            <w:tcW w:w="1276" w:type="dxa"/>
            <w:vAlign w:val="center"/>
          </w:tcPr>
          <w:p w14:paraId="60EC2A59" w14:textId="77777777" w:rsidR="00CB6CE1" w:rsidRDefault="00CB6CE1" w:rsidP="00892C20">
            <w:pPr>
              <w:pStyle w:val="TableText0"/>
              <w:ind w:left="0"/>
              <w:jc w:val="right"/>
            </w:pPr>
          </w:p>
        </w:tc>
        <w:tc>
          <w:tcPr>
            <w:tcW w:w="1444" w:type="dxa"/>
            <w:vAlign w:val="center"/>
          </w:tcPr>
          <w:p w14:paraId="5F2183B4" w14:textId="77777777" w:rsidR="00CB6CE1" w:rsidRDefault="00CB6CE1" w:rsidP="00892C20">
            <w:pPr>
              <w:pStyle w:val="TableText0"/>
              <w:ind w:left="0"/>
              <w:jc w:val="right"/>
            </w:pPr>
          </w:p>
        </w:tc>
        <w:tc>
          <w:tcPr>
            <w:tcW w:w="3466" w:type="dxa"/>
            <w:vAlign w:val="center"/>
          </w:tcPr>
          <w:p w14:paraId="23C67565" w14:textId="77777777" w:rsidR="00CB6CE1" w:rsidRDefault="00CB6CE1" w:rsidP="00892C20">
            <w:pPr>
              <w:pStyle w:val="TableText0"/>
              <w:ind w:left="0"/>
            </w:pPr>
          </w:p>
        </w:tc>
      </w:tr>
      <w:tr w:rsidR="00CB6CE1" w:rsidRPr="00AB4B27" w14:paraId="39F5FB3C" w14:textId="77777777" w:rsidTr="00CB6CE1">
        <w:tc>
          <w:tcPr>
            <w:tcW w:w="2830" w:type="dxa"/>
          </w:tcPr>
          <w:p w14:paraId="010C25E9" w14:textId="77777777" w:rsidR="00CB6CE1" w:rsidRDefault="00CB6CE1" w:rsidP="00892C20">
            <w:pPr>
              <w:pStyle w:val="TableText0"/>
              <w:ind w:left="0"/>
            </w:pPr>
            <w:r w:rsidRPr="00336EEC">
              <w:t>Severe adverse reaction</w:t>
            </w:r>
            <w:r>
              <w:t xml:space="preserve"> (2.1%)</w:t>
            </w:r>
          </w:p>
        </w:tc>
        <w:tc>
          <w:tcPr>
            <w:tcW w:w="1276" w:type="dxa"/>
          </w:tcPr>
          <w:p w14:paraId="4A1714F7" w14:textId="77777777" w:rsidR="00CB6CE1" w:rsidRDefault="00CB6CE1" w:rsidP="00892C20">
            <w:pPr>
              <w:pStyle w:val="TableText0"/>
              <w:ind w:left="0"/>
              <w:jc w:val="right"/>
            </w:pPr>
            <w:r w:rsidRPr="009C172E">
              <w:t>$6,442</w:t>
            </w:r>
          </w:p>
        </w:tc>
        <w:tc>
          <w:tcPr>
            <w:tcW w:w="1444" w:type="dxa"/>
          </w:tcPr>
          <w:p w14:paraId="728C1FD8" w14:textId="77777777" w:rsidR="00CB6CE1" w:rsidRDefault="00CB6CE1" w:rsidP="00892C20">
            <w:pPr>
              <w:pStyle w:val="TableText0"/>
              <w:ind w:left="0"/>
              <w:jc w:val="right"/>
            </w:pPr>
            <w:r w:rsidRPr="00544C1B">
              <w:t>$135</w:t>
            </w:r>
          </w:p>
        </w:tc>
        <w:tc>
          <w:tcPr>
            <w:tcW w:w="3466" w:type="dxa"/>
            <w:vAlign w:val="center"/>
          </w:tcPr>
          <w:p w14:paraId="04AE9E27" w14:textId="77777777" w:rsidR="00CB6CE1" w:rsidRDefault="00CB6CE1" w:rsidP="00892C20">
            <w:pPr>
              <w:pStyle w:val="TableText0"/>
              <w:ind w:left="0"/>
            </w:pPr>
            <w:r>
              <w:t>AR-DRG X62A</w:t>
            </w:r>
          </w:p>
        </w:tc>
      </w:tr>
      <w:tr w:rsidR="00CB6CE1" w:rsidRPr="00AB4B27" w14:paraId="79C94AC8" w14:textId="77777777" w:rsidTr="00CB6CE1">
        <w:tc>
          <w:tcPr>
            <w:tcW w:w="2830" w:type="dxa"/>
          </w:tcPr>
          <w:p w14:paraId="2CB40810" w14:textId="77777777" w:rsidR="00CB6CE1" w:rsidRDefault="00CB6CE1" w:rsidP="00892C20">
            <w:pPr>
              <w:pStyle w:val="TableText0"/>
              <w:ind w:left="0"/>
            </w:pPr>
            <w:r w:rsidRPr="00336EEC">
              <w:t>Severe pneumonia</w:t>
            </w:r>
            <w:r>
              <w:t xml:space="preserve"> (0.87%)</w:t>
            </w:r>
          </w:p>
        </w:tc>
        <w:tc>
          <w:tcPr>
            <w:tcW w:w="1276" w:type="dxa"/>
          </w:tcPr>
          <w:p w14:paraId="11A60A6F" w14:textId="77777777" w:rsidR="00CB6CE1" w:rsidRDefault="00CB6CE1" w:rsidP="00892C20">
            <w:pPr>
              <w:pStyle w:val="TableText0"/>
              <w:ind w:left="0"/>
              <w:jc w:val="right"/>
            </w:pPr>
            <w:r w:rsidRPr="009C172E">
              <w:t>$9,224</w:t>
            </w:r>
          </w:p>
        </w:tc>
        <w:tc>
          <w:tcPr>
            <w:tcW w:w="1444" w:type="dxa"/>
          </w:tcPr>
          <w:p w14:paraId="29EAF5C7" w14:textId="77777777" w:rsidR="00CB6CE1" w:rsidRDefault="00CB6CE1" w:rsidP="00892C20">
            <w:pPr>
              <w:pStyle w:val="TableText0"/>
              <w:ind w:left="0"/>
              <w:jc w:val="right"/>
            </w:pPr>
            <w:r w:rsidRPr="00544C1B">
              <w:t>$80</w:t>
            </w:r>
          </w:p>
        </w:tc>
        <w:tc>
          <w:tcPr>
            <w:tcW w:w="3466" w:type="dxa"/>
            <w:vAlign w:val="center"/>
          </w:tcPr>
          <w:p w14:paraId="35E3A8A3" w14:textId="77777777" w:rsidR="00CB6CE1" w:rsidRDefault="00CB6CE1" w:rsidP="00892C20">
            <w:pPr>
              <w:pStyle w:val="TableText0"/>
              <w:ind w:left="0"/>
            </w:pPr>
            <w:r>
              <w:t>AR-DRG E62A</w:t>
            </w:r>
          </w:p>
        </w:tc>
      </w:tr>
      <w:tr w:rsidR="00CB6CE1" w:rsidRPr="00AB4B27" w14:paraId="20D3D781" w14:textId="77777777" w:rsidTr="00CB6CE1">
        <w:tc>
          <w:tcPr>
            <w:tcW w:w="2830" w:type="dxa"/>
          </w:tcPr>
          <w:p w14:paraId="3A46C521" w14:textId="77777777" w:rsidR="00CB6CE1" w:rsidRDefault="00CB6CE1" w:rsidP="00892C20">
            <w:pPr>
              <w:pStyle w:val="TableText0"/>
              <w:ind w:left="0"/>
            </w:pPr>
            <w:r w:rsidRPr="00336EEC">
              <w:t>Transit hyperpyrexia</w:t>
            </w:r>
            <w:r>
              <w:t xml:space="preserve"> (0.35%)</w:t>
            </w:r>
          </w:p>
        </w:tc>
        <w:tc>
          <w:tcPr>
            <w:tcW w:w="1276" w:type="dxa"/>
          </w:tcPr>
          <w:p w14:paraId="4805612C" w14:textId="77777777" w:rsidR="00CB6CE1" w:rsidRDefault="00CB6CE1" w:rsidP="00892C20">
            <w:pPr>
              <w:pStyle w:val="TableText0"/>
              <w:ind w:left="0"/>
              <w:jc w:val="right"/>
            </w:pPr>
            <w:r w:rsidRPr="009C172E">
              <w:t>$2,867</w:t>
            </w:r>
          </w:p>
        </w:tc>
        <w:tc>
          <w:tcPr>
            <w:tcW w:w="1444" w:type="dxa"/>
          </w:tcPr>
          <w:p w14:paraId="116DBB31" w14:textId="77777777" w:rsidR="00CB6CE1" w:rsidRDefault="00CB6CE1" w:rsidP="00892C20">
            <w:pPr>
              <w:pStyle w:val="TableText0"/>
              <w:ind w:left="0"/>
              <w:jc w:val="right"/>
            </w:pPr>
            <w:r w:rsidRPr="00544C1B">
              <w:t>$10</w:t>
            </w:r>
          </w:p>
        </w:tc>
        <w:tc>
          <w:tcPr>
            <w:tcW w:w="3466" w:type="dxa"/>
            <w:vAlign w:val="center"/>
          </w:tcPr>
          <w:p w14:paraId="39B2F0FC" w14:textId="77777777" w:rsidR="00CB6CE1" w:rsidRDefault="00CB6CE1" w:rsidP="00892C20">
            <w:pPr>
              <w:pStyle w:val="TableText0"/>
              <w:ind w:left="0"/>
            </w:pPr>
            <w:r>
              <w:t>AR-DRG T62B</w:t>
            </w:r>
          </w:p>
        </w:tc>
      </w:tr>
      <w:tr w:rsidR="00CB6CE1" w:rsidRPr="00AB4B27" w14:paraId="367D1607" w14:textId="77777777" w:rsidTr="00CB6CE1">
        <w:tc>
          <w:tcPr>
            <w:tcW w:w="2830" w:type="dxa"/>
          </w:tcPr>
          <w:p w14:paraId="79FF2F2D" w14:textId="77777777" w:rsidR="00CB6CE1" w:rsidRDefault="00CB6CE1" w:rsidP="00892C20">
            <w:pPr>
              <w:pStyle w:val="TableText0"/>
              <w:ind w:left="0"/>
            </w:pPr>
            <w:r w:rsidRPr="00336EEC">
              <w:t>Severe allergic reaction</w:t>
            </w:r>
            <w:r>
              <w:t xml:space="preserve"> (0.17%)</w:t>
            </w:r>
          </w:p>
        </w:tc>
        <w:tc>
          <w:tcPr>
            <w:tcW w:w="1276" w:type="dxa"/>
          </w:tcPr>
          <w:p w14:paraId="4DC1BDD8" w14:textId="77777777" w:rsidR="00CB6CE1" w:rsidRDefault="00CB6CE1" w:rsidP="00892C20">
            <w:pPr>
              <w:pStyle w:val="TableText0"/>
              <w:ind w:left="0"/>
              <w:jc w:val="right"/>
            </w:pPr>
            <w:r w:rsidRPr="009C172E">
              <w:t>$3,198</w:t>
            </w:r>
          </w:p>
        </w:tc>
        <w:tc>
          <w:tcPr>
            <w:tcW w:w="1444" w:type="dxa"/>
          </w:tcPr>
          <w:p w14:paraId="1C9CE1E9" w14:textId="77777777" w:rsidR="00CB6CE1" w:rsidRDefault="00CB6CE1" w:rsidP="00892C20">
            <w:pPr>
              <w:pStyle w:val="TableText0"/>
              <w:ind w:left="0"/>
              <w:jc w:val="right"/>
            </w:pPr>
            <w:r w:rsidRPr="00544C1B">
              <w:t>$5</w:t>
            </w:r>
          </w:p>
        </w:tc>
        <w:tc>
          <w:tcPr>
            <w:tcW w:w="3466" w:type="dxa"/>
            <w:vAlign w:val="center"/>
          </w:tcPr>
          <w:p w14:paraId="49936456" w14:textId="77777777" w:rsidR="00CB6CE1" w:rsidRDefault="00CB6CE1" w:rsidP="00892C20">
            <w:pPr>
              <w:pStyle w:val="TableText0"/>
              <w:ind w:left="0"/>
            </w:pPr>
            <w:r>
              <w:t>AR-DRG X61A</w:t>
            </w:r>
          </w:p>
        </w:tc>
      </w:tr>
      <w:tr w:rsidR="00CB6CE1" w:rsidRPr="00AB4B27" w14:paraId="3199DB2A" w14:textId="77777777" w:rsidTr="00CB6CE1">
        <w:tc>
          <w:tcPr>
            <w:tcW w:w="2830" w:type="dxa"/>
          </w:tcPr>
          <w:p w14:paraId="77C2DBC3" w14:textId="77777777" w:rsidR="00CB6CE1" w:rsidRDefault="00CB6CE1" w:rsidP="00892C20">
            <w:pPr>
              <w:pStyle w:val="TableText0"/>
              <w:ind w:left="0"/>
            </w:pPr>
            <w:r w:rsidRPr="00336EEC">
              <w:t>Urogenital infection</w:t>
            </w:r>
            <w:r>
              <w:t xml:space="preserve"> (0.17%)</w:t>
            </w:r>
          </w:p>
        </w:tc>
        <w:tc>
          <w:tcPr>
            <w:tcW w:w="1276" w:type="dxa"/>
          </w:tcPr>
          <w:p w14:paraId="0975C426" w14:textId="77777777" w:rsidR="00CB6CE1" w:rsidRDefault="00CB6CE1" w:rsidP="00892C20">
            <w:pPr>
              <w:pStyle w:val="TableText0"/>
              <w:ind w:left="0"/>
              <w:jc w:val="right"/>
            </w:pPr>
            <w:r w:rsidRPr="009C172E">
              <w:t>$7,016</w:t>
            </w:r>
          </w:p>
        </w:tc>
        <w:tc>
          <w:tcPr>
            <w:tcW w:w="1444" w:type="dxa"/>
          </w:tcPr>
          <w:p w14:paraId="05F2A679" w14:textId="77777777" w:rsidR="00CB6CE1" w:rsidRDefault="00CB6CE1" w:rsidP="00892C20">
            <w:pPr>
              <w:pStyle w:val="TableText0"/>
              <w:ind w:left="0"/>
              <w:jc w:val="right"/>
            </w:pPr>
            <w:r w:rsidRPr="00544C1B">
              <w:t>$12</w:t>
            </w:r>
          </w:p>
        </w:tc>
        <w:tc>
          <w:tcPr>
            <w:tcW w:w="3466" w:type="dxa"/>
            <w:vAlign w:val="center"/>
          </w:tcPr>
          <w:p w14:paraId="48E91A11" w14:textId="77777777" w:rsidR="00CB6CE1" w:rsidRDefault="00CB6CE1" w:rsidP="00892C20">
            <w:pPr>
              <w:pStyle w:val="TableText0"/>
              <w:ind w:left="0"/>
            </w:pPr>
            <w:r>
              <w:t>AR-DRG L63A</w:t>
            </w:r>
          </w:p>
        </w:tc>
      </w:tr>
      <w:tr w:rsidR="00CB6CE1" w:rsidRPr="00AB4B27" w14:paraId="693144AB" w14:textId="77777777" w:rsidTr="00CB6CE1">
        <w:tc>
          <w:tcPr>
            <w:tcW w:w="2830" w:type="dxa"/>
          </w:tcPr>
          <w:p w14:paraId="76799DB1" w14:textId="77777777" w:rsidR="00CB6CE1" w:rsidRDefault="00CB6CE1" w:rsidP="00892C20">
            <w:pPr>
              <w:pStyle w:val="TableText0"/>
              <w:ind w:left="0"/>
            </w:pPr>
            <w:r w:rsidRPr="00336EEC">
              <w:t>Seborrheic dermatitis</w:t>
            </w:r>
            <w:r>
              <w:t xml:space="preserve"> (0.17%)</w:t>
            </w:r>
          </w:p>
        </w:tc>
        <w:tc>
          <w:tcPr>
            <w:tcW w:w="1276" w:type="dxa"/>
          </w:tcPr>
          <w:p w14:paraId="32A37B6C" w14:textId="77777777" w:rsidR="00CB6CE1" w:rsidRDefault="00CB6CE1" w:rsidP="00892C20">
            <w:pPr>
              <w:pStyle w:val="TableText0"/>
              <w:ind w:left="0"/>
              <w:jc w:val="right"/>
            </w:pPr>
            <w:r w:rsidRPr="009C172E">
              <w:t>$251</w:t>
            </w:r>
          </w:p>
        </w:tc>
        <w:tc>
          <w:tcPr>
            <w:tcW w:w="1444" w:type="dxa"/>
          </w:tcPr>
          <w:p w14:paraId="44C2BC45" w14:textId="77777777" w:rsidR="00CB6CE1" w:rsidRDefault="00CB6CE1" w:rsidP="00892C20">
            <w:pPr>
              <w:pStyle w:val="TableText0"/>
              <w:ind w:left="0"/>
              <w:jc w:val="right"/>
            </w:pPr>
            <w:r w:rsidRPr="00544C1B">
              <w:t>$0.43</w:t>
            </w:r>
          </w:p>
        </w:tc>
        <w:tc>
          <w:tcPr>
            <w:tcW w:w="3466" w:type="dxa"/>
            <w:vAlign w:val="center"/>
          </w:tcPr>
          <w:p w14:paraId="7DBD7B54" w14:textId="77777777" w:rsidR="00CB6CE1" w:rsidRDefault="00CB6CE1" w:rsidP="00892C20">
            <w:pPr>
              <w:pStyle w:val="TableText0"/>
              <w:ind w:left="0"/>
            </w:pPr>
            <w:r w:rsidRPr="007A2309">
              <w:t>Non-admitted care</w:t>
            </w:r>
            <w:r w:rsidRPr="004B344D">
              <w:t xml:space="preserve"> Tier 2,</w:t>
            </w:r>
            <w:r>
              <w:t xml:space="preserve"> 4045 Dermatology</w:t>
            </w:r>
          </w:p>
        </w:tc>
      </w:tr>
      <w:tr w:rsidR="00CB6CE1" w:rsidRPr="00AB4B27" w14:paraId="1B45CF08" w14:textId="77777777" w:rsidTr="00CB6CE1">
        <w:tc>
          <w:tcPr>
            <w:tcW w:w="2830" w:type="dxa"/>
            <w:tcBorders>
              <w:bottom w:val="double" w:sz="4" w:space="0" w:color="auto"/>
            </w:tcBorders>
            <w:vAlign w:val="center"/>
          </w:tcPr>
          <w:p w14:paraId="22243767" w14:textId="77777777" w:rsidR="00CB6CE1" w:rsidRPr="00F81958" w:rsidRDefault="00CB6CE1" w:rsidP="00892C20">
            <w:pPr>
              <w:pStyle w:val="TableText0"/>
              <w:ind w:left="0"/>
            </w:pPr>
            <w:r w:rsidRPr="00F81958">
              <w:t>Total cost, Rituximab</w:t>
            </w:r>
          </w:p>
        </w:tc>
        <w:tc>
          <w:tcPr>
            <w:tcW w:w="1276" w:type="dxa"/>
            <w:tcBorders>
              <w:bottom w:val="double" w:sz="4" w:space="0" w:color="auto"/>
            </w:tcBorders>
            <w:vAlign w:val="center"/>
          </w:tcPr>
          <w:p w14:paraId="626E37BE" w14:textId="77777777" w:rsidR="00CB6CE1" w:rsidRPr="00F81958" w:rsidRDefault="00CB6CE1" w:rsidP="00892C20">
            <w:pPr>
              <w:pStyle w:val="TableText0"/>
              <w:ind w:left="0"/>
              <w:jc w:val="right"/>
            </w:pPr>
          </w:p>
        </w:tc>
        <w:tc>
          <w:tcPr>
            <w:tcW w:w="1444" w:type="dxa"/>
            <w:tcBorders>
              <w:bottom w:val="double" w:sz="4" w:space="0" w:color="auto"/>
            </w:tcBorders>
            <w:vAlign w:val="center"/>
          </w:tcPr>
          <w:p w14:paraId="395D5F3F" w14:textId="77777777" w:rsidR="00CB6CE1" w:rsidRPr="00F81958" w:rsidRDefault="00CB6CE1" w:rsidP="00892C20">
            <w:pPr>
              <w:pStyle w:val="TableText0"/>
              <w:ind w:left="0"/>
              <w:jc w:val="right"/>
            </w:pPr>
            <w:r>
              <w:t>$12,058</w:t>
            </w:r>
          </w:p>
        </w:tc>
        <w:tc>
          <w:tcPr>
            <w:tcW w:w="3466" w:type="dxa"/>
            <w:tcBorders>
              <w:bottom w:val="double" w:sz="4" w:space="0" w:color="auto"/>
            </w:tcBorders>
            <w:vAlign w:val="center"/>
          </w:tcPr>
          <w:p w14:paraId="4E1BCAF4" w14:textId="77777777" w:rsidR="00CB6CE1" w:rsidRDefault="00CB6CE1" w:rsidP="00892C20">
            <w:pPr>
              <w:pStyle w:val="TableText0"/>
              <w:ind w:left="0"/>
            </w:pPr>
          </w:p>
        </w:tc>
      </w:tr>
      <w:tr w:rsidR="00CB6CE1" w:rsidRPr="00AB4B27" w14:paraId="335379B2" w14:textId="77777777" w:rsidTr="00CB6CE1">
        <w:tc>
          <w:tcPr>
            <w:tcW w:w="2830" w:type="dxa"/>
            <w:tcBorders>
              <w:top w:val="double" w:sz="4" w:space="0" w:color="auto"/>
            </w:tcBorders>
            <w:vAlign w:val="center"/>
          </w:tcPr>
          <w:p w14:paraId="602417F5" w14:textId="77777777" w:rsidR="00CB6CE1" w:rsidRDefault="00CB6CE1" w:rsidP="00892C20">
            <w:pPr>
              <w:pStyle w:val="TableText0"/>
              <w:ind w:left="0"/>
            </w:pPr>
            <w:r w:rsidRPr="007A2309">
              <w:t xml:space="preserve">Beta-interferon, </w:t>
            </w:r>
            <w:r>
              <w:t>(</w:t>
            </w:r>
            <w:r w:rsidRPr="007A2309">
              <w:t>44</w:t>
            </w:r>
            <w:r>
              <w:t> mcg)</w:t>
            </w:r>
          </w:p>
        </w:tc>
        <w:tc>
          <w:tcPr>
            <w:tcW w:w="1276" w:type="dxa"/>
            <w:tcBorders>
              <w:top w:val="double" w:sz="4" w:space="0" w:color="auto"/>
            </w:tcBorders>
          </w:tcPr>
          <w:p w14:paraId="63B7F8BB" w14:textId="77777777" w:rsidR="00CB6CE1" w:rsidRDefault="00CB6CE1" w:rsidP="00892C20">
            <w:pPr>
              <w:pStyle w:val="TableText0"/>
              <w:ind w:left="0"/>
              <w:jc w:val="right"/>
            </w:pPr>
            <w:r w:rsidRPr="007F3EDD">
              <w:t>$71</w:t>
            </w:r>
          </w:p>
        </w:tc>
        <w:tc>
          <w:tcPr>
            <w:tcW w:w="1444" w:type="dxa"/>
            <w:tcBorders>
              <w:top w:val="double" w:sz="4" w:space="0" w:color="auto"/>
            </w:tcBorders>
          </w:tcPr>
          <w:p w14:paraId="23CDF8E6" w14:textId="77777777" w:rsidR="00CB6CE1" w:rsidRDefault="00CB6CE1" w:rsidP="00892C20">
            <w:pPr>
              <w:pStyle w:val="TableText0"/>
              <w:ind w:left="0"/>
              <w:jc w:val="right"/>
            </w:pPr>
            <w:r w:rsidRPr="007F3EDD">
              <w:t>$11,113</w:t>
            </w:r>
          </w:p>
        </w:tc>
        <w:tc>
          <w:tcPr>
            <w:tcW w:w="3466" w:type="dxa"/>
            <w:tcBorders>
              <w:top w:val="double" w:sz="4" w:space="0" w:color="auto"/>
            </w:tcBorders>
            <w:vAlign w:val="center"/>
          </w:tcPr>
          <w:p w14:paraId="2FD256AA" w14:textId="77777777" w:rsidR="00CB6CE1" w:rsidRDefault="00CB6CE1" w:rsidP="00892C20">
            <w:pPr>
              <w:pStyle w:val="TableText0"/>
              <w:ind w:left="0"/>
            </w:pPr>
            <w:r w:rsidRPr="007A2309">
              <w:t>PBS</w:t>
            </w:r>
            <w:r>
              <w:t xml:space="preserve"> item</w:t>
            </w:r>
            <w:r w:rsidRPr="007A2309">
              <w:t xml:space="preserve"> 8968B; $854.85 /12 units</w:t>
            </w:r>
          </w:p>
        </w:tc>
      </w:tr>
      <w:tr w:rsidR="00CB6CE1" w:rsidRPr="00AB4B27" w14:paraId="5836BC7E" w14:textId="77777777" w:rsidTr="00CB6CE1">
        <w:tc>
          <w:tcPr>
            <w:tcW w:w="2830" w:type="dxa"/>
            <w:vAlign w:val="center"/>
          </w:tcPr>
          <w:p w14:paraId="24707583" w14:textId="77777777" w:rsidR="00CB6CE1" w:rsidRDefault="00CB6CE1" w:rsidP="00892C20">
            <w:pPr>
              <w:pStyle w:val="TableText0"/>
              <w:ind w:left="0"/>
            </w:pPr>
            <w:r w:rsidRPr="007A2309">
              <w:t>Administration cost</w:t>
            </w:r>
          </w:p>
        </w:tc>
        <w:tc>
          <w:tcPr>
            <w:tcW w:w="1276" w:type="dxa"/>
          </w:tcPr>
          <w:p w14:paraId="0958DFE3" w14:textId="77777777" w:rsidR="00CB6CE1" w:rsidRDefault="00CB6CE1" w:rsidP="00892C20">
            <w:pPr>
              <w:pStyle w:val="TableText0"/>
              <w:ind w:left="0"/>
              <w:jc w:val="right"/>
            </w:pPr>
            <w:r w:rsidRPr="00C421E3">
              <w:t>$489</w:t>
            </w:r>
          </w:p>
        </w:tc>
        <w:tc>
          <w:tcPr>
            <w:tcW w:w="1444" w:type="dxa"/>
          </w:tcPr>
          <w:p w14:paraId="3191AAE8" w14:textId="77777777" w:rsidR="00CB6CE1" w:rsidRDefault="00CB6CE1" w:rsidP="00892C20">
            <w:pPr>
              <w:pStyle w:val="TableText0"/>
              <w:ind w:left="0"/>
              <w:jc w:val="right"/>
            </w:pPr>
            <w:r w:rsidRPr="00C421E3">
              <w:t>$489</w:t>
            </w:r>
          </w:p>
        </w:tc>
        <w:tc>
          <w:tcPr>
            <w:tcW w:w="3466" w:type="dxa"/>
            <w:vAlign w:val="center"/>
          </w:tcPr>
          <w:p w14:paraId="3C565CE6" w14:textId="77777777" w:rsidR="00CB6CE1" w:rsidRDefault="00CB6CE1" w:rsidP="00892C20">
            <w:pPr>
              <w:pStyle w:val="TableText0"/>
              <w:ind w:left="0"/>
            </w:pPr>
            <w:r w:rsidRPr="007A2309">
              <w:t>Non-admitted care</w:t>
            </w:r>
            <w:r w:rsidRPr="004B344D">
              <w:t xml:space="preserve"> Tier 2, </w:t>
            </w:r>
            <w:r w:rsidRPr="001C079B">
              <w:t>2041 Immunology</w:t>
            </w:r>
          </w:p>
        </w:tc>
      </w:tr>
      <w:tr w:rsidR="00CB6CE1" w:rsidRPr="00AB4B27" w14:paraId="35FA54A2" w14:textId="77777777" w:rsidTr="00CB6CE1">
        <w:tc>
          <w:tcPr>
            <w:tcW w:w="2830" w:type="dxa"/>
            <w:tcBorders>
              <w:bottom w:val="double" w:sz="4" w:space="0" w:color="auto"/>
            </w:tcBorders>
            <w:vAlign w:val="center"/>
          </w:tcPr>
          <w:p w14:paraId="46EA1EEA" w14:textId="77777777" w:rsidR="00CB6CE1" w:rsidRPr="006D210B" w:rsidRDefault="00CB6CE1" w:rsidP="00892C20">
            <w:pPr>
              <w:pStyle w:val="TableText0"/>
              <w:ind w:left="0"/>
            </w:pPr>
            <w:r w:rsidRPr="006D210B">
              <w:t>Total cost, beta-interferon</w:t>
            </w:r>
          </w:p>
        </w:tc>
        <w:tc>
          <w:tcPr>
            <w:tcW w:w="1276" w:type="dxa"/>
            <w:tcBorders>
              <w:bottom w:val="double" w:sz="4" w:space="0" w:color="auto"/>
            </w:tcBorders>
          </w:tcPr>
          <w:p w14:paraId="1EB0DB7D" w14:textId="77777777" w:rsidR="00CB6CE1" w:rsidRPr="006D210B" w:rsidRDefault="00CB6CE1" w:rsidP="00892C20">
            <w:pPr>
              <w:pStyle w:val="TableText0"/>
              <w:ind w:left="0"/>
              <w:jc w:val="right"/>
            </w:pPr>
          </w:p>
        </w:tc>
        <w:tc>
          <w:tcPr>
            <w:tcW w:w="1444" w:type="dxa"/>
            <w:tcBorders>
              <w:bottom w:val="double" w:sz="4" w:space="0" w:color="auto"/>
            </w:tcBorders>
          </w:tcPr>
          <w:p w14:paraId="01E11425" w14:textId="77777777" w:rsidR="00CB6CE1" w:rsidRPr="006D210B" w:rsidRDefault="00CB6CE1" w:rsidP="00892C20">
            <w:pPr>
              <w:pStyle w:val="TableText0"/>
              <w:ind w:left="0"/>
              <w:jc w:val="right"/>
            </w:pPr>
            <w:r w:rsidRPr="006D210B">
              <w:t>$11,602</w:t>
            </w:r>
          </w:p>
        </w:tc>
        <w:tc>
          <w:tcPr>
            <w:tcW w:w="3466" w:type="dxa"/>
            <w:tcBorders>
              <w:bottom w:val="double" w:sz="4" w:space="0" w:color="auto"/>
            </w:tcBorders>
            <w:vAlign w:val="center"/>
          </w:tcPr>
          <w:p w14:paraId="32CE78BA" w14:textId="77777777" w:rsidR="00CB6CE1" w:rsidRPr="007A2309" w:rsidRDefault="00CB6CE1" w:rsidP="00892C20">
            <w:pPr>
              <w:pStyle w:val="TableText0"/>
              <w:ind w:left="0"/>
            </w:pPr>
          </w:p>
        </w:tc>
      </w:tr>
    </w:tbl>
    <w:p w14:paraId="5F8DAC42" w14:textId="77777777" w:rsidR="00CB6CE1" w:rsidRDefault="00CB6CE1" w:rsidP="00CB6CE1">
      <w:pPr>
        <w:pStyle w:val="Tablenotes0"/>
      </w:pPr>
      <w:r w:rsidRPr="00B439AD">
        <w:t xml:space="preserve">AR-DRG = Australian Refined- Diagnosis Related Group; </w:t>
      </w:r>
      <w:r>
        <w:t xml:space="preserve">g = gram; Kg = kilogram; mcg = microgram; mg = milligram; NMOSD = neuromyelitis optica; PBS = </w:t>
      </w:r>
      <w:r w:rsidRPr="00BF1D70">
        <w:t>Pharmaceutical Benefits Scheme</w:t>
      </w:r>
    </w:p>
    <w:p w14:paraId="59163EE9" w14:textId="77777777" w:rsidR="00CB6CE1" w:rsidRPr="00B35E47" w:rsidRDefault="00CB6CE1" w:rsidP="00CB6CE1">
      <w:pPr>
        <w:pStyle w:val="Tablenotes0"/>
      </w:pPr>
      <w:r>
        <w:t xml:space="preserve">Source: </w:t>
      </w:r>
      <w:r w:rsidR="00AC01FD">
        <w:fldChar w:fldCharType="begin"/>
      </w:r>
      <w:r w:rsidR="00AC01FD">
        <w:instrText xml:space="preserve"> ADDIN EN.CITE &lt;EndNote&gt;&lt;Cite&gt;&lt;Author&gt;Independent Hospital Pricing Authority&lt;/Author&gt;&lt;Year&gt;2020&lt;/Year&gt;&lt;RecNum&gt;2841&lt;/RecNum&gt;&lt;DisplayText&gt;(Independent Hospital Pricing Authority 2020)&lt;/DisplayText&gt;&lt;record&gt;&lt;rec-number&gt;2841&lt;/rec-number&gt;&lt;foreign-keys&gt;&lt;key app="EN" db-id="r9zwwf2zmrrvxfespp15vtvjapza9v2fz5s5" timestamp="1585010888"&gt;2841&lt;/key&gt;&lt;/foreign-keys&gt;&lt;ref-type name="Journal Article"&gt;17&lt;/ref-type&gt;&lt;contributors&gt;&lt;authors&gt;&lt;author&gt;Independent Hospital Pricing Authority,&lt;/author&gt;&lt;/authors&gt;&lt;/contributors&gt;&lt;titles&gt;&lt;title&gt;National Hospital Cost Data Collection Report, Public Sector, Round 22 (Financial year 2017-18)&lt;/title&gt;&lt;/titles&gt;&lt;dates&gt;&lt;year&gt;2020&lt;/year&gt;&lt;/dates&gt;&lt;urls&gt;&lt;related-urls&gt;&lt;url&gt;&lt;style face="underline" font="default" size="100%"&gt;https://www.ihpa.gov.au/publications/national-hospital-cost-data-collection-report-public-sector-round-21-financial-year-0&lt;/style&gt;&lt;/url&gt;&lt;/related-urls&gt;&lt;/urls&gt;&lt;/record&gt;&lt;/Cite&gt;&lt;/EndNote&gt;</w:instrText>
      </w:r>
      <w:r w:rsidR="00AC01FD">
        <w:fldChar w:fldCharType="separate"/>
      </w:r>
      <w:r w:rsidR="00AC01FD">
        <w:rPr>
          <w:noProof/>
        </w:rPr>
        <w:t>(Independent Hospital Pricing Authority 2020)</w:t>
      </w:r>
      <w:r w:rsidR="00AC01FD">
        <w:fldChar w:fldCharType="end"/>
      </w:r>
      <w:r>
        <w:t xml:space="preserve">; </w:t>
      </w:r>
      <w:hyperlink r:id="rId43" w:history="1">
        <w:r w:rsidRPr="00DC4B89">
          <w:rPr>
            <w:rStyle w:val="Hyperlink"/>
          </w:rPr>
          <w:t>http://www.pbs.gov.au/pbs/home;jsessionid=1gj6nvvkqo8l61lok7sjsc9mvl</w:t>
        </w:r>
      </w:hyperlink>
      <w:r>
        <w:t xml:space="preserve"> </w:t>
      </w:r>
    </w:p>
    <w:p w14:paraId="45784FCE" w14:textId="77777777" w:rsidR="00CB6CE1" w:rsidRDefault="00CB6CE1" w:rsidP="00CB6CE1">
      <w:r>
        <w:lastRenderedPageBreak/>
        <w:t>In a study evaluating disease burden of highly active NMO, nearly 54% of</w:t>
      </w:r>
      <w:r w:rsidRPr="00CF5966">
        <w:t xml:space="preserve"> pat</w:t>
      </w:r>
      <w:r>
        <w:t>ients with highly active NMO had</w:t>
      </w:r>
      <w:r w:rsidRPr="00CF5966">
        <w:t xml:space="preserve"> at least one inpatient stay in the 12-month follow-up period, compared with 22.4% of all patients with NMO</w:t>
      </w:r>
      <w:r>
        <w:t xml:space="preserve">. </w:t>
      </w:r>
      <w:r w:rsidRPr="00FD6FF9">
        <w:t>The average number of emergency department</w:t>
      </w:r>
      <w:r>
        <w:t xml:space="preserve"> (ED)</w:t>
      </w:r>
      <w:r w:rsidRPr="00FD6FF9">
        <w:t xml:space="preserve"> visits during the follow-up period was 5.2 for patients with highly active NMO versus 2.8 for all patients with NMO</w:t>
      </w:r>
      <w:r>
        <w:t xml:space="preserve"> </w:t>
      </w:r>
      <w:r w:rsidR="00AC01FD">
        <w:fldChar w:fldCharType="begin">
          <w:fldData xml:space="preserve">PEVuZE5vdGU+PENpdGU+PEF1dGhvcj5Bam1lcmE8L0F1dGhvcj48WWVhcj4yMDE4PC9ZZWFyPjxS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</w:fldData>
        </w:fldChar>
      </w:r>
      <w:r w:rsidR="00AC01FD">
        <w:instrText xml:space="preserve"> ADDIN EN.CITE </w:instrText>
      </w:r>
      <w:r w:rsidR="00AC01FD">
        <w:fldChar w:fldCharType="begin">
          <w:fldData xml:space="preserve">PEVuZE5vdGU+PENpdGU+PEF1dGhvcj5Bam1lcmE8L0F1dGhvcj48WWVhcj4yMDE4PC9ZZWFyPjxS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</w:fldData>
        </w:fldChar>
      </w:r>
      <w:r w:rsidR="00AC01FD">
        <w:instrText xml:space="preserve"> ADDIN EN.CITE.DATA </w:instrText>
      </w:r>
      <w:r w:rsidR="00AC01FD">
        <w:fldChar w:fldCharType="end"/>
      </w:r>
      <w:r w:rsidR="00AC01FD">
        <w:fldChar w:fldCharType="separate"/>
      </w:r>
      <w:r w:rsidR="00AC01FD">
        <w:rPr>
          <w:noProof/>
        </w:rPr>
        <w:t>(Ajmera et al. 2018)</w:t>
      </w:r>
      <w:r w:rsidR="00AC01FD">
        <w:fldChar w:fldCharType="end"/>
      </w:r>
      <w:r>
        <w:t>. Based on this study, the model assumes that patients with a severe attack will have 5.2 ED visits and patients with mild attack will have 2.8 ED visits.</w:t>
      </w:r>
      <w:r w:rsidRPr="00450ED8">
        <w:t xml:space="preserve"> </w:t>
      </w:r>
      <w:r>
        <w:t xml:space="preserve">Also, 54% of the patients with severe attack and 22% of the patients with mild attack are assumed to have an inpatient stay. The costs associated with relapse treatments including drug costs and hospital costs are summarised below in </w:t>
      </w:r>
      <w:r>
        <w:fldChar w:fldCharType="begin"/>
      </w:r>
      <w:r>
        <w:instrText xml:space="preserve"> REF _Ref37013419 \h </w:instrText>
      </w:r>
      <w:r>
        <w:fldChar w:fldCharType="separate"/>
      </w:r>
      <w:r w:rsidR="006E2BA9">
        <w:t xml:space="preserve">Table </w:t>
      </w:r>
      <w:r w:rsidR="006E2BA9">
        <w:rPr>
          <w:noProof/>
        </w:rPr>
        <w:t>81</w:t>
      </w:r>
      <w:r>
        <w:fldChar w:fldCharType="end"/>
      </w:r>
      <w:r>
        <w:t>.</w:t>
      </w:r>
    </w:p>
    <w:p w14:paraId="339A5F8A" w14:textId="64CB3901" w:rsidR="00CB6CE1" w:rsidRDefault="00CB6CE1" w:rsidP="00CB6CE1">
      <w:pPr>
        <w:pStyle w:val="Caption"/>
      </w:pPr>
      <w:bookmarkStart w:id="485" w:name="_Ref37013419"/>
      <w:bookmarkStart w:id="486" w:name="_Toc39580862"/>
      <w:r>
        <w:t xml:space="preserve">Table </w:t>
      </w:r>
      <w:fldSimple w:instr=" SEQ Table \* ARABIC ">
        <w:r w:rsidR="00FA7BCD">
          <w:rPr>
            <w:noProof/>
          </w:rPr>
          <w:t>81</w:t>
        </w:r>
      </w:fldSimple>
      <w:bookmarkEnd w:id="485"/>
      <w:r>
        <w:tab/>
        <w:t>Costs associated with treating relapses</w:t>
      </w:r>
      <w:bookmarkEnd w:id="486"/>
    </w:p>
    <w:tbl>
      <w:tblPr>
        <w:tblStyle w:val="TableGrid"/>
        <w:tblW w:w="0" w:type="auto"/>
        <w:tblLayout w:type="fixed"/>
        <w:tblLook w:val="04A0" w:firstRow="1" w:lastRow="0" w:firstColumn="1" w:lastColumn="0" w:noHBand="0" w:noVBand="1"/>
        <w:tblCaption w:val="Table 81 Costs associated with treating relapses"/>
      </w:tblPr>
      <w:tblGrid>
        <w:gridCol w:w="2830"/>
        <w:gridCol w:w="1276"/>
        <w:gridCol w:w="1444"/>
        <w:gridCol w:w="3466"/>
      </w:tblGrid>
      <w:tr w:rsidR="00CB6CE1" w:rsidRPr="008C2464" w14:paraId="56445952" w14:textId="77777777" w:rsidTr="00CB6CE1">
        <w:trPr>
          <w:tblHeader/>
        </w:trPr>
        <w:tc>
          <w:tcPr>
            <w:tcW w:w="2830" w:type="dxa"/>
            <w:vAlign w:val="center"/>
          </w:tcPr>
          <w:p w14:paraId="444FF278" w14:textId="77777777" w:rsidR="00CB6CE1" w:rsidRPr="008C2464" w:rsidRDefault="00CB6CE1" w:rsidP="002C4754">
            <w:pPr>
              <w:pStyle w:val="TableHeading"/>
              <w:ind w:left="0"/>
            </w:pPr>
            <w:r w:rsidRPr="008C2464">
              <w:t>Description</w:t>
            </w:r>
          </w:p>
        </w:tc>
        <w:tc>
          <w:tcPr>
            <w:tcW w:w="1276" w:type="dxa"/>
            <w:vAlign w:val="center"/>
          </w:tcPr>
          <w:p w14:paraId="4A15CE6B" w14:textId="77777777" w:rsidR="00CB6CE1" w:rsidRPr="008C2464" w:rsidRDefault="00CB6CE1" w:rsidP="002C4754">
            <w:pPr>
              <w:pStyle w:val="TableHeading"/>
              <w:ind w:left="0"/>
            </w:pPr>
            <w:r w:rsidRPr="008C2464">
              <w:t>Cost per unit</w:t>
            </w:r>
          </w:p>
        </w:tc>
        <w:tc>
          <w:tcPr>
            <w:tcW w:w="1444" w:type="dxa"/>
            <w:vAlign w:val="center"/>
          </w:tcPr>
          <w:p w14:paraId="419CBD22" w14:textId="77777777" w:rsidR="00CB6CE1" w:rsidRPr="008C2464" w:rsidRDefault="00CB6CE1" w:rsidP="002C4754">
            <w:pPr>
              <w:pStyle w:val="TableHeading"/>
              <w:ind w:left="0"/>
            </w:pPr>
            <w:r>
              <w:t>Treatment c</w:t>
            </w:r>
            <w:r w:rsidRPr="008C2464">
              <w:t xml:space="preserve">ost per </w:t>
            </w:r>
            <w:r>
              <w:t>relapse</w:t>
            </w:r>
          </w:p>
        </w:tc>
        <w:tc>
          <w:tcPr>
            <w:tcW w:w="3466" w:type="dxa"/>
            <w:vAlign w:val="center"/>
          </w:tcPr>
          <w:p w14:paraId="35108829" w14:textId="77777777" w:rsidR="00CB6CE1" w:rsidRPr="008C2464" w:rsidRDefault="00CB6CE1" w:rsidP="002C4754">
            <w:pPr>
              <w:pStyle w:val="TableHeading"/>
              <w:ind w:left="0"/>
            </w:pPr>
            <w:r w:rsidRPr="008C2464">
              <w:t>Source</w:t>
            </w:r>
          </w:p>
        </w:tc>
      </w:tr>
      <w:tr w:rsidR="00CB6CE1" w:rsidRPr="00AB4B27" w14:paraId="666858CC" w14:textId="77777777" w:rsidTr="00CB6CE1">
        <w:tc>
          <w:tcPr>
            <w:tcW w:w="2830" w:type="dxa"/>
          </w:tcPr>
          <w:p w14:paraId="1723831F" w14:textId="77777777" w:rsidR="00CB6CE1" w:rsidRPr="007A2309" w:rsidRDefault="00CB6CE1" w:rsidP="002C4754">
            <w:pPr>
              <w:pStyle w:val="TableText0"/>
              <w:ind w:left="0"/>
            </w:pPr>
            <w:r>
              <w:t>Methylprednisolone (IV)</w:t>
            </w:r>
          </w:p>
        </w:tc>
        <w:tc>
          <w:tcPr>
            <w:tcW w:w="1276" w:type="dxa"/>
          </w:tcPr>
          <w:p w14:paraId="4869F80E" w14:textId="77777777" w:rsidR="00CB6CE1" w:rsidRPr="00C421E3" w:rsidRDefault="00CB6CE1" w:rsidP="006E0B0C">
            <w:pPr>
              <w:pStyle w:val="TableText0"/>
              <w:ind w:left="0"/>
              <w:jc w:val="right"/>
            </w:pPr>
            <w:r w:rsidRPr="00C5640B">
              <w:t>$8.22</w:t>
            </w:r>
          </w:p>
        </w:tc>
        <w:tc>
          <w:tcPr>
            <w:tcW w:w="1444" w:type="dxa"/>
          </w:tcPr>
          <w:p w14:paraId="245E08FB" w14:textId="77777777" w:rsidR="00CB6CE1" w:rsidRPr="00C421E3" w:rsidRDefault="00CB6CE1" w:rsidP="006E0B0C">
            <w:pPr>
              <w:pStyle w:val="TableText0"/>
              <w:ind w:left="0"/>
              <w:jc w:val="right"/>
            </w:pPr>
            <w:r>
              <w:t>$220</w:t>
            </w:r>
          </w:p>
        </w:tc>
        <w:tc>
          <w:tcPr>
            <w:tcW w:w="3466" w:type="dxa"/>
            <w:vAlign w:val="center"/>
          </w:tcPr>
          <w:p w14:paraId="468B3B22" w14:textId="77777777" w:rsidR="00CB6CE1" w:rsidRPr="007A2309" w:rsidRDefault="00CB6CE1" w:rsidP="002C4754">
            <w:pPr>
              <w:pStyle w:val="TableText0"/>
              <w:ind w:left="0"/>
            </w:pPr>
            <w:r w:rsidRPr="00957326">
              <w:t xml:space="preserve">PBS </w:t>
            </w:r>
            <w:r>
              <w:t xml:space="preserve">item </w:t>
            </w:r>
            <w:r w:rsidRPr="00957326">
              <w:t>5264C; $43.98 / 5units</w:t>
            </w:r>
          </w:p>
        </w:tc>
      </w:tr>
      <w:tr w:rsidR="00CB6CE1" w:rsidRPr="00AB4B27" w14:paraId="26EEA5D9" w14:textId="77777777" w:rsidTr="00CB6CE1">
        <w:tc>
          <w:tcPr>
            <w:tcW w:w="2830" w:type="dxa"/>
            <w:tcBorders>
              <w:bottom w:val="single" w:sz="4" w:space="0" w:color="auto"/>
            </w:tcBorders>
            <w:vAlign w:val="center"/>
          </w:tcPr>
          <w:p w14:paraId="4C2374F5" w14:textId="77777777" w:rsidR="00CB6CE1" w:rsidRPr="00B35E47" w:rsidRDefault="00CB6CE1" w:rsidP="002C4754">
            <w:pPr>
              <w:pStyle w:val="TableText0"/>
              <w:ind w:left="0"/>
            </w:pPr>
            <w:r>
              <w:t>Administration cost</w:t>
            </w:r>
          </w:p>
        </w:tc>
        <w:tc>
          <w:tcPr>
            <w:tcW w:w="1276" w:type="dxa"/>
            <w:tcBorders>
              <w:bottom w:val="single" w:sz="4" w:space="0" w:color="auto"/>
            </w:tcBorders>
          </w:tcPr>
          <w:p w14:paraId="074AB599" w14:textId="77777777" w:rsidR="00CB6CE1" w:rsidRPr="00C421E3" w:rsidRDefault="00CB6CE1" w:rsidP="006E0B0C">
            <w:pPr>
              <w:pStyle w:val="TableText0"/>
              <w:ind w:left="0"/>
              <w:jc w:val="right"/>
            </w:pPr>
            <w:r w:rsidRPr="00CD7E1C">
              <w:t>$489</w:t>
            </w:r>
          </w:p>
        </w:tc>
        <w:tc>
          <w:tcPr>
            <w:tcW w:w="1444" w:type="dxa"/>
            <w:tcBorders>
              <w:bottom w:val="single" w:sz="4" w:space="0" w:color="auto"/>
            </w:tcBorders>
          </w:tcPr>
          <w:p w14:paraId="582552D9" w14:textId="77777777" w:rsidR="00CB6CE1" w:rsidRPr="00C421E3" w:rsidRDefault="00CB6CE1" w:rsidP="006E0B0C">
            <w:pPr>
              <w:pStyle w:val="TableText0"/>
              <w:ind w:left="0"/>
              <w:jc w:val="right"/>
            </w:pPr>
            <w:r w:rsidRPr="00CD7E1C">
              <w:t>$</w:t>
            </w:r>
            <w:r>
              <w:t>2,455</w:t>
            </w:r>
          </w:p>
        </w:tc>
        <w:tc>
          <w:tcPr>
            <w:tcW w:w="3466" w:type="dxa"/>
            <w:tcBorders>
              <w:bottom w:val="single" w:sz="4" w:space="0" w:color="auto"/>
            </w:tcBorders>
            <w:vAlign w:val="center"/>
          </w:tcPr>
          <w:p w14:paraId="2AE82560" w14:textId="77777777" w:rsidR="00CB6CE1" w:rsidRPr="00957326" w:rsidRDefault="00CB6CE1" w:rsidP="002C4754">
            <w:pPr>
              <w:pStyle w:val="TableText0"/>
              <w:ind w:left="0"/>
            </w:pPr>
            <w:r w:rsidRPr="007A2309">
              <w:t>Non-admitted care</w:t>
            </w:r>
            <w:r w:rsidRPr="004B344D">
              <w:t xml:space="preserve"> Tier 2, </w:t>
            </w:r>
            <w:r w:rsidRPr="001C079B">
              <w:t>2041 Immunology</w:t>
            </w:r>
          </w:p>
        </w:tc>
      </w:tr>
      <w:tr w:rsidR="00CB6CE1" w:rsidRPr="00AB4B27" w14:paraId="0755BA66" w14:textId="77777777" w:rsidTr="00CB6CE1">
        <w:tc>
          <w:tcPr>
            <w:tcW w:w="2830" w:type="dxa"/>
            <w:tcBorders>
              <w:bottom w:val="double" w:sz="4" w:space="0" w:color="auto"/>
            </w:tcBorders>
            <w:vAlign w:val="center"/>
          </w:tcPr>
          <w:p w14:paraId="2C5D44BC" w14:textId="77777777" w:rsidR="00CB6CE1" w:rsidRDefault="00CB6CE1" w:rsidP="002C4754">
            <w:pPr>
              <w:pStyle w:val="TableText0"/>
              <w:ind w:left="0"/>
            </w:pPr>
            <w:r w:rsidRPr="00F81958">
              <w:t xml:space="preserve">Total cost, </w:t>
            </w:r>
            <w:r>
              <w:t>methylprednisolone</w:t>
            </w:r>
          </w:p>
        </w:tc>
        <w:tc>
          <w:tcPr>
            <w:tcW w:w="1276" w:type="dxa"/>
            <w:tcBorders>
              <w:bottom w:val="double" w:sz="4" w:space="0" w:color="auto"/>
            </w:tcBorders>
            <w:vAlign w:val="center"/>
          </w:tcPr>
          <w:p w14:paraId="11229E0A" w14:textId="77777777" w:rsidR="00CB6CE1" w:rsidRPr="00CD7E1C" w:rsidRDefault="00CB6CE1" w:rsidP="006E0B0C">
            <w:pPr>
              <w:pStyle w:val="TableText0"/>
              <w:ind w:left="0"/>
              <w:jc w:val="right"/>
            </w:pPr>
          </w:p>
        </w:tc>
        <w:tc>
          <w:tcPr>
            <w:tcW w:w="1444" w:type="dxa"/>
            <w:tcBorders>
              <w:bottom w:val="double" w:sz="4" w:space="0" w:color="auto"/>
            </w:tcBorders>
            <w:vAlign w:val="center"/>
          </w:tcPr>
          <w:p w14:paraId="7815B2E1" w14:textId="77777777" w:rsidR="00CB6CE1" w:rsidRPr="00CD7E1C" w:rsidRDefault="00CB6CE1" w:rsidP="006E0B0C">
            <w:pPr>
              <w:pStyle w:val="TableText0"/>
              <w:ind w:left="0"/>
              <w:jc w:val="right"/>
            </w:pPr>
            <w:r>
              <w:t>$2,665</w:t>
            </w:r>
          </w:p>
        </w:tc>
        <w:tc>
          <w:tcPr>
            <w:tcW w:w="3466" w:type="dxa"/>
            <w:tcBorders>
              <w:bottom w:val="double" w:sz="4" w:space="0" w:color="auto"/>
            </w:tcBorders>
            <w:vAlign w:val="center"/>
          </w:tcPr>
          <w:p w14:paraId="737C6C5A" w14:textId="77777777" w:rsidR="00CB6CE1" w:rsidRPr="007A2309" w:rsidRDefault="00CB6CE1" w:rsidP="002C4754">
            <w:pPr>
              <w:pStyle w:val="TableText0"/>
              <w:ind w:left="0"/>
            </w:pPr>
          </w:p>
        </w:tc>
      </w:tr>
      <w:tr w:rsidR="00CB6CE1" w:rsidRPr="00AB4B27" w14:paraId="3902CF16" w14:textId="77777777" w:rsidTr="00CB6CE1">
        <w:tc>
          <w:tcPr>
            <w:tcW w:w="2830" w:type="dxa"/>
            <w:tcBorders>
              <w:top w:val="double" w:sz="4" w:space="0" w:color="auto"/>
              <w:bottom w:val="double" w:sz="4" w:space="0" w:color="auto"/>
            </w:tcBorders>
          </w:tcPr>
          <w:p w14:paraId="7EDC9EB6" w14:textId="77777777" w:rsidR="00CB6CE1" w:rsidRPr="007A2309" w:rsidRDefault="00CB6CE1" w:rsidP="002C4754">
            <w:pPr>
              <w:pStyle w:val="TableText0"/>
              <w:ind w:left="0"/>
            </w:pPr>
            <w:r w:rsidRPr="00B35E47">
              <w:t>Plasma exchange</w:t>
            </w:r>
          </w:p>
        </w:tc>
        <w:tc>
          <w:tcPr>
            <w:tcW w:w="1276" w:type="dxa"/>
            <w:tcBorders>
              <w:top w:val="double" w:sz="4" w:space="0" w:color="auto"/>
              <w:bottom w:val="double" w:sz="4" w:space="0" w:color="auto"/>
            </w:tcBorders>
          </w:tcPr>
          <w:p w14:paraId="70C1AD24" w14:textId="77777777" w:rsidR="00CB6CE1" w:rsidRPr="00C421E3" w:rsidRDefault="00CB6CE1" w:rsidP="006E0B0C">
            <w:pPr>
              <w:pStyle w:val="TableText0"/>
              <w:ind w:left="0"/>
              <w:jc w:val="right"/>
            </w:pPr>
            <w:r w:rsidRPr="00CA42F5">
              <w:t>$1,211</w:t>
            </w:r>
          </w:p>
        </w:tc>
        <w:tc>
          <w:tcPr>
            <w:tcW w:w="1444" w:type="dxa"/>
            <w:tcBorders>
              <w:top w:val="double" w:sz="4" w:space="0" w:color="auto"/>
              <w:bottom w:val="double" w:sz="4" w:space="0" w:color="auto"/>
            </w:tcBorders>
          </w:tcPr>
          <w:p w14:paraId="511C3630" w14:textId="77777777" w:rsidR="00CB6CE1" w:rsidRPr="00C421E3" w:rsidRDefault="00CB6CE1" w:rsidP="006E0B0C">
            <w:pPr>
              <w:pStyle w:val="TableText0"/>
              <w:ind w:left="0"/>
              <w:jc w:val="right"/>
            </w:pPr>
            <w:r w:rsidRPr="00CA42F5">
              <w:t>$8,477</w:t>
            </w:r>
          </w:p>
        </w:tc>
        <w:tc>
          <w:tcPr>
            <w:tcW w:w="3466" w:type="dxa"/>
            <w:tcBorders>
              <w:top w:val="double" w:sz="4" w:space="0" w:color="auto"/>
              <w:bottom w:val="double" w:sz="4" w:space="0" w:color="auto"/>
            </w:tcBorders>
            <w:vAlign w:val="center"/>
          </w:tcPr>
          <w:p w14:paraId="4257AFDF" w14:textId="77777777" w:rsidR="00CB6CE1" w:rsidRPr="007A2309" w:rsidRDefault="00CB6CE1" w:rsidP="002C4754">
            <w:pPr>
              <w:pStyle w:val="TableText0"/>
              <w:ind w:left="0"/>
            </w:pPr>
            <w:r>
              <w:t xml:space="preserve">AR-DRG </w:t>
            </w:r>
            <w:r w:rsidRPr="006304E4">
              <w:t>B40Z</w:t>
            </w:r>
            <w:r>
              <w:t>,</w:t>
            </w:r>
            <w:r w:rsidRPr="006304E4">
              <w:t xml:space="preserve"> Plasmapheresis </w:t>
            </w:r>
            <w:r>
              <w:t>with</w:t>
            </w:r>
            <w:r w:rsidRPr="006304E4">
              <w:t xml:space="preserve"> </w:t>
            </w:r>
            <w:r>
              <w:t>n</w:t>
            </w:r>
            <w:r w:rsidRPr="006304E4">
              <w:t xml:space="preserve">eurological </w:t>
            </w:r>
            <w:r>
              <w:t>disease, s</w:t>
            </w:r>
            <w:r w:rsidRPr="006304E4">
              <w:t>ameday</w:t>
            </w:r>
          </w:p>
        </w:tc>
      </w:tr>
      <w:tr w:rsidR="00CB6CE1" w:rsidRPr="00AB4B27" w14:paraId="34F14DC6" w14:textId="77777777" w:rsidTr="00CB6CE1">
        <w:tc>
          <w:tcPr>
            <w:tcW w:w="2830" w:type="dxa"/>
            <w:tcBorders>
              <w:top w:val="double" w:sz="4" w:space="0" w:color="auto"/>
            </w:tcBorders>
          </w:tcPr>
          <w:p w14:paraId="3BCF4700" w14:textId="77777777" w:rsidR="00CB6CE1" w:rsidRPr="007A2309" w:rsidRDefault="00CB6CE1" w:rsidP="002C4754">
            <w:pPr>
              <w:pStyle w:val="TableText0"/>
              <w:ind w:left="0"/>
            </w:pPr>
            <w:r>
              <w:t>IVIG, 34 gms (over five days)</w:t>
            </w:r>
          </w:p>
        </w:tc>
        <w:tc>
          <w:tcPr>
            <w:tcW w:w="1276" w:type="dxa"/>
            <w:tcBorders>
              <w:top w:val="double" w:sz="4" w:space="0" w:color="auto"/>
            </w:tcBorders>
          </w:tcPr>
          <w:p w14:paraId="19E393D5" w14:textId="77777777" w:rsidR="00CB6CE1" w:rsidRPr="00C421E3" w:rsidRDefault="00CB6CE1" w:rsidP="006E0B0C">
            <w:pPr>
              <w:pStyle w:val="TableText0"/>
              <w:ind w:left="0"/>
              <w:jc w:val="right"/>
            </w:pPr>
            <w:r>
              <w:t>$1,800</w:t>
            </w:r>
          </w:p>
        </w:tc>
        <w:tc>
          <w:tcPr>
            <w:tcW w:w="1444" w:type="dxa"/>
            <w:tcBorders>
              <w:top w:val="double" w:sz="4" w:space="0" w:color="auto"/>
            </w:tcBorders>
          </w:tcPr>
          <w:p w14:paraId="4AAB1B22" w14:textId="77777777" w:rsidR="00CB6CE1" w:rsidRPr="00C421E3" w:rsidRDefault="00CB6CE1" w:rsidP="006E0B0C">
            <w:pPr>
              <w:pStyle w:val="TableText0"/>
              <w:ind w:left="0"/>
              <w:jc w:val="right"/>
            </w:pPr>
            <w:r>
              <w:t>$1,800</w:t>
            </w:r>
          </w:p>
        </w:tc>
        <w:tc>
          <w:tcPr>
            <w:tcW w:w="3466" w:type="dxa"/>
            <w:tcBorders>
              <w:top w:val="double" w:sz="4" w:space="0" w:color="auto"/>
            </w:tcBorders>
            <w:vAlign w:val="center"/>
          </w:tcPr>
          <w:p w14:paraId="213CCF81" w14:textId="77777777" w:rsidR="00CB6CE1" w:rsidRPr="007A2309" w:rsidRDefault="004B21EF" w:rsidP="002C4754">
            <w:pPr>
              <w:pStyle w:val="TableText0"/>
              <w:ind w:left="0"/>
            </w:pPr>
            <w:hyperlink r:id="rId44" w:history="1">
              <w:r w:rsidR="00CB6CE1" w:rsidRPr="00DC4B89">
                <w:rPr>
                  <w:rStyle w:val="Hyperlink"/>
                </w:rPr>
                <w:t>https://www.blood.gov.au/national-product-list</w:t>
              </w:r>
            </w:hyperlink>
            <w:r w:rsidR="00CB6CE1">
              <w:t xml:space="preserve"> </w:t>
            </w:r>
          </w:p>
        </w:tc>
      </w:tr>
      <w:tr w:rsidR="00CB6CE1" w:rsidRPr="00AB4B27" w14:paraId="06AFD35A" w14:textId="77777777" w:rsidTr="00CB6CE1">
        <w:tc>
          <w:tcPr>
            <w:tcW w:w="2830" w:type="dxa"/>
            <w:tcBorders>
              <w:bottom w:val="single" w:sz="4" w:space="0" w:color="auto"/>
            </w:tcBorders>
            <w:vAlign w:val="center"/>
          </w:tcPr>
          <w:p w14:paraId="28416A77" w14:textId="77777777" w:rsidR="00CB6CE1" w:rsidRPr="007A2309" w:rsidRDefault="00CB6CE1" w:rsidP="002C4754">
            <w:pPr>
              <w:pStyle w:val="TableText0"/>
              <w:ind w:left="0"/>
            </w:pPr>
            <w:r>
              <w:t xml:space="preserve">IVIG administration </w:t>
            </w:r>
          </w:p>
        </w:tc>
        <w:tc>
          <w:tcPr>
            <w:tcW w:w="1276" w:type="dxa"/>
            <w:tcBorders>
              <w:bottom w:val="single" w:sz="4" w:space="0" w:color="auto"/>
            </w:tcBorders>
          </w:tcPr>
          <w:p w14:paraId="709E2048" w14:textId="77777777" w:rsidR="00CB6CE1" w:rsidRPr="00C421E3" w:rsidRDefault="00CB6CE1" w:rsidP="006E0B0C">
            <w:pPr>
              <w:pStyle w:val="TableText0"/>
              <w:ind w:left="0"/>
              <w:jc w:val="right"/>
            </w:pPr>
            <w:r w:rsidRPr="00CD7E1C">
              <w:t>$489</w:t>
            </w:r>
          </w:p>
        </w:tc>
        <w:tc>
          <w:tcPr>
            <w:tcW w:w="1444" w:type="dxa"/>
            <w:tcBorders>
              <w:bottom w:val="single" w:sz="4" w:space="0" w:color="auto"/>
            </w:tcBorders>
          </w:tcPr>
          <w:p w14:paraId="7D496E2D" w14:textId="77777777" w:rsidR="00CB6CE1" w:rsidRPr="00C421E3" w:rsidRDefault="00CB6CE1" w:rsidP="006E0B0C">
            <w:pPr>
              <w:pStyle w:val="TableText0"/>
              <w:ind w:left="0"/>
              <w:jc w:val="right"/>
            </w:pPr>
            <w:r w:rsidRPr="00CD7E1C">
              <w:t>$</w:t>
            </w:r>
            <w:r>
              <w:t>2,455</w:t>
            </w:r>
          </w:p>
        </w:tc>
        <w:tc>
          <w:tcPr>
            <w:tcW w:w="3466" w:type="dxa"/>
            <w:tcBorders>
              <w:bottom w:val="single" w:sz="4" w:space="0" w:color="auto"/>
            </w:tcBorders>
            <w:vAlign w:val="center"/>
          </w:tcPr>
          <w:p w14:paraId="0514B6A7" w14:textId="77777777" w:rsidR="00CB6CE1" w:rsidRPr="007A2309" w:rsidRDefault="00CB6CE1" w:rsidP="002C4754">
            <w:pPr>
              <w:pStyle w:val="TableText0"/>
              <w:ind w:left="0"/>
            </w:pPr>
            <w:r w:rsidRPr="007A2309">
              <w:t>Non-admitted care</w:t>
            </w:r>
            <w:r w:rsidRPr="004B344D">
              <w:t xml:space="preserve"> Tier 2, </w:t>
            </w:r>
            <w:r w:rsidRPr="001C079B">
              <w:t>2041 Immunology</w:t>
            </w:r>
          </w:p>
        </w:tc>
      </w:tr>
      <w:tr w:rsidR="00CB6CE1" w:rsidRPr="00704234" w14:paraId="6577813F" w14:textId="77777777" w:rsidTr="00CB6CE1">
        <w:tc>
          <w:tcPr>
            <w:tcW w:w="2830" w:type="dxa"/>
            <w:tcBorders>
              <w:bottom w:val="double" w:sz="4" w:space="0" w:color="auto"/>
            </w:tcBorders>
            <w:vAlign w:val="center"/>
          </w:tcPr>
          <w:p w14:paraId="224BDD64" w14:textId="77777777" w:rsidR="00CB6CE1" w:rsidRPr="00704234" w:rsidRDefault="00CB6CE1" w:rsidP="002C4754">
            <w:pPr>
              <w:pStyle w:val="TableText0"/>
              <w:ind w:left="0"/>
            </w:pPr>
            <w:r w:rsidRPr="00704234">
              <w:t>Total cost, IVIG</w:t>
            </w:r>
          </w:p>
        </w:tc>
        <w:tc>
          <w:tcPr>
            <w:tcW w:w="1276" w:type="dxa"/>
            <w:tcBorders>
              <w:bottom w:val="double" w:sz="4" w:space="0" w:color="auto"/>
            </w:tcBorders>
          </w:tcPr>
          <w:p w14:paraId="537919EC" w14:textId="77777777" w:rsidR="00CB6CE1" w:rsidRPr="00704234" w:rsidRDefault="00CB6CE1" w:rsidP="006E0B0C">
            <w:pPr>
              <w:pStyle w:val="TableText0"/>
              <w:ind w:left="0"/>
              <w:jc w:val="right"/>
            </w:pPr>
          </w:p>
        </w:tc>
        <w:tc>
          <w:tcPr>
            <w:tcW w:w="1444" w:type="dxa"/>
            <w:tcBorders>
              <w:bottom w:val="double" w:sz="4" w:space="0" w:color="auto"/>
            </w:tcBorders>
          </w:tcPr>
          <w:p w14:paraId="67E44F58" w14:textId="77777777" w:rsidR="00CB6CE1" w:rsidRPr="00704234" w:rsidRDefault="00CB6CE1" w:rsidP="006E0B0C">
            <w:pPr>
              <w:pStyle w:val="TableText0"/>
              <w:ind w:left="0"/>
              <w:jc w:val="right"/>
            </w:pPr>
            <w:r w:rsidRPr="00704234">
              <w:t>$4,245</w:t>
            </w:r>
          </w:p>
        </w:tc>
        <w:tc>
          <w:tcPr>
            <w:tcW w:w="3466" w:type="dxa"/>
            <w:tcBorders>
              <w:bottom w:val="double" w:sz="4" w:space="0" w:color="auto"/>
            </w:tcBorders>
            <w:vAlign w:val="center"/>
          </w:tcPr>
          <w:p w14:paraId="3CC4D04A" w14:textId="77777777" w:rsidR="00CB6CE1" w:rsidRPr="00704234" w:rsidRDefault="00CB6CE1" w:rsidP="002C4754">
            <w:pPr>
              <w:pStyle w:val="TableText0"/>
              <w:ind w:left="0"/>
            </w:pPr>
          </w:p>
        </w:tc>
      </w:tr>
      <w:tr w:rsidR="00CB6CE1" w:rsidRPr="00AB4B27" w14:paraId="010FD0A0" w14:textId="77777777" w:rsidTr="00CB6CE1">
        <w:tc>
          <w:tcPr>
            <w:tcW w:w="2830" w:type="dxa"/>
            <w:tcBorders>
              <w:top w:val="double" w:sz="4" w:space="0" w:color="auto"/>
              <w:bottom w:val="double" w:sz="4" w:space="0" w:color="auto"/>
            </w:tcBorders>
            <w:vAlign w:val="center"/>
          </w:tcPr>
          <w:p w14:paraId="34A629F9" w14:textId="77777777" w:rsidR="00CB6CE1" w:rsidRDefault="00CB6CE1" w:rsidP="002C4754">
            <w:pPr>
              <w:pStyle w:val="TableText0"/>
              <w:ind w:left="0"/>
            </w:pPr>
            <w:r>
              <w:t>Symptomatic treatment</w:t>
            </w:r>
          </w:p>
        </w:tc>
        <w:tc>
          <w:tcPr>
            <w:tcW w:w="1276" w:type="dxa"/>
            <w:tcBorders>
              <w:top w:val="double" w:sz="4" w:space="0" w:color="auto"/>
              <w:bottom w:val="double" w:sz="4" w:space="0" w:color="auto"/>
            </w:tcBorders>
          </w:tcPr>
          <w:p w14:paraId="65A5185C" w14:textId="77777777" w:rsidR="00CB6CE1" w:rsidRPr="00CD7E1C" w:rsidRDefault="00CB6CE1" w:rsidP="006E0B0C">
            <w:pPr>
              <w:pStyle w:val="TableText0"/>
              <w:ind w:left="0"/>
              <w:jc w:val="right"/>
            </w:pPr>
            <w:r>
              <w:t>$524</w:t>
            </w:r>
          </w:p>
        </w:tc>
        <w:tc>
          <w:tcPr>
            <w:tcW w:w="1444" w:type="dxa"/>
            <w:tcBorders>
              <w:top w:val="double" w:sz="4" w:space="0" w:color="auto"/>
              <w:bottom w:val="double" w:sz="4" w:space="0" w:color="auto"/>
            </w:tcBorders>
          </w:tcPr>
          <w:p w14:paraId="09A478A3" w14:textId="77777777" w:rsidR="00CB6CE1" w:rsidRDefault="00CB6CE1" w:rsidP="006E0B0C">
            <w:pPr>
              <w:pStyle w:val="TableText0"/>
              <w:ind w:left="0"/>
              <w:jc w:val="right"/>
            </w:pPr>
            <w:r>
              <w:t>$524</w:t>
            </w:r>
          </w:p>
        </w:tc>
        <w:tc>
          <w:tcPr>
            <w:tcW w:w="3466" w:type="dxa"/>
            <w:tcBorders>
              <w:top w:val="double" w:sz="4" w:space="0" w:color="auto"/>
              <w:bottom w:val="double" w:sz="4" w:space="0" w:color="auto"/>
            </w:tcBorders>
            <w:vAlign w:val="center"/>
          </w:tcPr>
          <w:p w14:paraId="05B4B852" w14:textId="77777777" w:rsidR="00CB6CE1" w:rsidRPr="007A2309" w:rsidRDefault="00AC01FD" w:rsidP="002C4754">
            <w:pPr>
              <w:pStyle w:val="TableText0"/>
              <w:ind w:left="0"/>
            </w:pPr>
            <w:r>
              <w:fldChar w:fldCharType="begin"/>
            </w:r>
            <w:r>
              <w:instrText xml:space="preserve"> ADDIN EN.CITE &lt;EndNote&gt;&lt;Cite&gt;&lt;Author&gt;Ahmad&lt;/Author&gt;&lt;Year&gt;2018&lt;/Year&gt;&lt;RecNum&gt;2837&lt;/RecNum&gt;&lt;DisplayText&gt;(Ahmad et al. 2018)&lt;/DisplayText&gt;&lt;record&gt;&lt;rec-number&gt;2837&lt;/rec-number&gt;&lt;foreign-keys&gt;&lt;key app="EN" db-id="r9zwwf2zmrrvxfespp15vtvjapza9v2fz5s5" timestamp="1583893890"&gt;2837&lt;/key&gt;&lt;/foreign-keys&gt;&lt;ref-type name="Report"&gt;27&lt;/ref-type&gt;&lt;contributors&gt;&lt;authors&gt;&lt;author&gt;Hasnat Ahmad&lt;/author&gt;&lt;author&gt;Andrew J Palmer&lt;/author&gt;&lt;author&gt;Julie A Campbell&lt;/author&gt;&lt;author&gt;Ingrid van der Mei&lt;/author&gt;&lt;author&gt;Bruce Taylor&lt;/author&gt;&lt;/authors&gt;&lt;tertiary-authors&gt;&lt;author&gt;MS Research Australia&lt;/author&gt;&lt;/tertiary-authors&gt;&lt;subsidiary-authors&gt;&lt;author&gt;Menzies Institute for Medical Research&lt;/author&gt;&lt;/subsidiary-authors&gt;&lt;/contributors&gt;&lt;titles&gt;&lt;title&gt;Health Economic Impact of Multiple Sclerosis in Australia in 2017: An analysis of MS Research Australia’s platform – the Australian MS Longitudinal Study (AMSLS)&lt;/title&gt;&lt;/titles&gt;&lt;dates&gt;&lt;year&gt;2018&lt;/year&gt;&lt;pub-dates&gt;&lt;date&gt;August 2018&lt;/date&gt;&lt;/pub-dates&gt;&lt;/dates&gt;&lt;publisher&gt;Menzies Institute for Medical Research, University of Tasmania&lt;/publisher&gt;&lt;urls&gt;&lt;/urls&gt;&lt;/record&gt;&lt;/Cite&gt;&lt;/EndNote&gt;</w:instrText>
            </w:r>
            <w:r>
              <w:fldChar w:fldCharType="separate"/>
            </w:r>
            <w:r>
              <w:rPr>
                <w:noProof/>
              </w:rPr>
              <w:t>(Ahmad et al. 2018)</w:t>
            </w:r>
            <w:r>
              <w:fldChar w:fldCharType="end"/>
            </w:r>
          </w:p>
        </w:tc>
      </w:tr>
      <w:tr w:rsidR="00CB6CE1" w:rsidRPr="00AB4B27" w14:paraId="112B6A08" w14:textId="77777777" w:rsidTr="00CB6CE1">
        <w:tc>
          <w:tcPr>
            <w:tcW w:w="2830" w:type="dxa"/>
            <w:tcBorders>
              <w:top w:val="double" w:sz="4" w:space="0" w:color="auto"/>
              <w:bottom w:val="single" w:sz="4" w:space="0" w:color="auto"/>
              <w:right w:val="nil"/>
            </w:tcBorders>
            <w:vAlign w:val="center"/>
          </w:tcPr>
          <w:p w14:paraId="56C32B64" w14:textId="77777777" w:rsidR="00CB6CE1" w:rsidRDefault="00CB6CE1" w:rsidP="002C4754">
            <w:pPr>
              <w:pStyle w:val="TableText0"/>
              <w:ind w:left="0"/>
            </w:pPr>
            <w:r>
              <w:t>Hospitalisation costs</w:t>
            </w:r>
          </w:p>
        </w:tc>
        <w:tc>
          <w:tcPr>
            <w:tcW w:w="1276" w:type="dxa"/>
            <w:tcBorders>
              <w:top w:val="double" w:sz="4" w:space="0" w:color="auto"/>
              <w:left w:val="nil"/>
              <w:bottom w:val="single" w:sz="4" w:space="0" w:color="auto"/>
              <w:right w:val="nil"/>
            </w:tcBorders>
          </w:tcPr>
          <w:p w14:paraId="18648E0C" w14:textId="77777777" w:rsidR="00CB6CE1" w:rsidRPr="00CD7E1C" w:rsidRDefault="00CB6CE1" w:rsidP="006E0B0C">
            <w:pPr>
              <w:pStyle w:val="TableText0"/>
              <w:ind w:left="0"/>
              <w:jc w:val="right"/>
            </w:pPr>
          </w:p>
        </w:tc>
        <w:tc>
          <w:tcPr>
            <w:tcW w:w="1444" w:type="dxa"/>
            <w:tcBorders>
              <w:top w:val="double" w:sz="4" w:space="0" w:color="auto"/>
              <w:left w:val="nil"/>
              <w:bottom w:val="single" w:sz="4" w:space="0" w:color="auto"/>
              <w:right w:val="nil"/>
            </w:tcBorders>
          </w:tcPr>
          <w:p w14:paraId="64AA24D2" w14:textId="77777777" w:rsidR="00CB6CE1" w:rsidRDefault="00CB6CE1" w:rsidP="006E0B0C">
            <w:pPr>
              <w:pStyle w:val="TableText0"/>
              <w:ind w:left="0"/>
              <w:jc w:val="right"/>
            </w:pPr>
          </w:p>
        </w:tc>
        <w:tc>
          <w:tcPr>
            <w:tcW w:w="3466" w:type="dxa"/>
            <w:tcBorders>
              <w:top w:val="double" w:sz="4" w:space="0" w:color="auto"/>
              <w:left w:val="nil"/>
              <w:bottom w:val="single" w:sz="4" w:space="0" w:color="auto"/>
            </w:tcBorders>
            <w:vAlign w:val="center"/>
          </w:tcPr>
          <w:p w14:paraId="6E536A8C" w14:textId="77777777" w:rsidR="00CB6CE1" w:rsidRPr="007A2309" w:rsidRDefault="00CB6CE1" w:rsidP="002C4754">
            <w:pPr>
              <w:pStyle w:val="TableText0"/>
              <w:ind w:left="0"/>
            </w:pPr>
          </w:p>
        </w:tc>
      </w:tr>
      <w:tr w:rsidR="00CB6CE1" w:rsidRPr="00AB4B27" w14:paraId="7480F1F3" w14:textId="77777777" w:rsidTr="00CB6CE1">
        <w:tc>
          <w:tcPr>
            <w:tcW w:w="2830" w:type="dxa"/>
            <w:tcBorders>
              <w:top w:val="single" w:sz="4" w:space="0" w:color="auto"/>
              <w:bottom w:val="single" w:sz="4" w:space="0" w:color="auto"/>
            </w:tcBorders>
            <w:vAlign w:val="center"/>
          </w:tcPr>
          <w:p w14:paraId="498F8168" w14:textId="77777777" w:rsidR="00CB6CE1" w:rsidRDefault="00CB6CE1" w:rsidP="002C4754">
            <w:pPr>
              <w:pStyle w:val="TableText0"/>
              <w:ind w:left="0"/>
            </w:pPr>
            <w:r>
              <w:t>Inpatient stay, intermediate – major complexity</w:t>
            </w:r>
          </w:p>
        </w:tc>
        <w:tc>
          <w:tcPr>
            <w:tcW w:w="1276" w:type="dxa"/>
            <w:tcBorders>
              <w:top w:val="single" w:sz="4" w:space="0" w:color="auto"/>
              <w:bottom w:val="single" w:sz="4" w:space="0" w:color="auto"/>
            </w:tcBorders>
          </w:tcPr>
          <w:p w14:paraId="21645E15" w14:textId="77777777" w:rsidR="00CB6CE1" w:rsidRPr="00CD7E1C" w:rsidRDefault="00CB6CE1" w:rsidP="006E0B0C">
            <w:pPr>
              <w:pStyle w:val="TableText0"/>
              <w:ind w:left="0"/>
              <w:jc w:val="right"/>
            </w:pPr>
            <w:r>
              <w:t>$</w:t>
            </w:r>
            <w:r w:rsidRPr="0076092A">
              <w:t>1</w:t>
            </w:r>
            <w:r>
              <w:t>0110</w:t>
            </w:r>
          </w:p>
        </w:tc>
        <w:tc>
          <w:tcPr>
            <w:tcW w:w="1444" w:type="dxa"/>
            <w:tcBorders>
              <w:top w:val="single" w:sz="4" w:space="0" w:color="auto"/>
              <w:bottom w:val="single" w:sz="4" w:space="0" w:color="auto"/>
            </w:tcBorders>
          </w:tcPr>
          <w:p w14:paraId="227A034E" w14:textId="6F984AA2" w:rsidR="00CB6CE1" w:rsidRDefault="003D3A4C" w:rsidP="006E0B0C">
            <w:pPr>
              <w:pStyle w:val="TableText0"/>
              <w:ind w:left="0"/>
              <w:jc w:val="right"/>
            </w:pPr>
            <w:r>
              <w:t>-</w:t>
            </w:r>
          </w:p>
        </w:tc>
        <w:tc>
          <w:tcPr>
            <w:tcW w:w="3466" w:type="dxa"/>
            <w:tcBorders>
              <w:top w:val="single" w:sz="4" w:space="0" w:color="auto"/>
              <w:bottom w:val="single" w:sz="4" w:space="0" w:color="auto"/>
            </w:tcBorders>
            <w:vAlign w:val="center"/>
          </w:tcPr>
          <w:p w14:paraId="3DDD793D" w14:textId="77777777" w:rsidR="00CB6CE1" w:rsidRPr="007A2309" w:rsidRDefault="00CB6CE1" w:rsidP="002C4754">
            <w:pPr>
              <w:pStyle w:val="TableText0"/>
              <w:ind w:left="0"/>
            </w:pPr>
            <w:r>
              <w:t>Weighted cost of AR-DRG B67A and B67B based on number of separations</w:t>
            </w:r>
          </w:p>
        </w:tc>
      </w:tr>
      <w:tr w:rsidR="00CB6CE1" w:rsidRPr="00AB4B27" w14:paraId="77C75AA7" w14:textId="77777777" w:rsidTr="00CB6CE1">
        <w:tc>
          <w:tcPr>
            <w:tcW w:w="2830" w:type="dxa"/>
            <w:tcBorders>
              <w:top w:val="single" w:sz="4" w:space="0" w:color="auto"/>
              <w:bottom w:val="single" w:sz="4" w:space="0" w:color="auto"/>
            </w:tcBorders>
            <w:vAlign w:val="center"/>
          </w:tcPr>
          <w:p w14:paraId="55BB20F4" w14:textId="77777777" w:rsidR="00CB6CE1" w:rsidRDefault="00CB6CE1" w:rsidP="002C4754">
            <w:pPr>
              <w:pStyle w:val="TableText0"/>
              <w:ind w:left="0"/>
            </w:pPr>
            <w:r>
              <w:t>Inpatient stay, minor complexity</w:t>
            </w:r>
          </w:p>
        </w:tc>
        <w:tc>
          <w:tcPr>
            <w:tcW w:w="1276" w:type="dxa"/>
            <w:tcBorders>
              <w:top w:val="single" w:sz="4" w:space="0" w:color="auto"/>
              <w:bottom w:val="single" w:sz="4" w:space="0" w:color="auto"/>
            </w:tcBorders>
          </w:tcPr>
          <w:p w14:paraId="06EC1160" w14:textId="77777777" w:rsidR="00CB6CE1" w:rsidRDefault="00CB6CE1" w:rsidP="006E0B0C">
            <w:pPr>
              <w:pStyle w:val="TableText0"/>
              <w:ind w:left="0"/>
              <w:jc w:val="right"/>
            </w:pPr>
            <w:r w:rsidRPr="00A63D69">
              <w:t>$1,788</w:t>
            </w:r>
          </w:p>
        </w:tc>
        <w:tc>
          <w:tcPr>
            <w:tcW w:w="1444" w:type="dxa"/>
            <w:tcBorders>
              <w:top w:val="single" w:sz="4" w:space="0" w:color="auto"/>
              <w:bottom w:val="single" w:sz="4" w:space="0" w:color="auto"/>
            </w:tcBorders>
          </w:tcPr>
          <w:p w14:paraId="29635676" w14:textId="5E734427" w:rsidR="00CB6CE1" w:rsidRPr="00D810B4" w:rsidRDefault="003D3A4C" w:rsidP="006E0B0C">
            <w:pPr>
              <w:pStyle w:val="TableText0"/>
              <w:ind w:left="0"/>
              <w:jc w:val="right"/>
            </w:pPr>
            <w:r>
              <w:t>-</w:t>
            </w:r>
          </w:p>
        </w:tc>
        <w:tc>
          <w:tcPr>
            <w:tcW w:w="3466" w:type="dxa"/>
            <w:tcBorders>
              <w:top w:val="single" w:sz="4" w:space="0" w:color="auto"/>
              <w:bottom w:val="single" w:sz="4" w:space="0" w:color="auto"/>
            </w:tcBorders>
            <w:vAlign w:val="center"/>
          </w:tcPr>
          <w:p w14:paraId="62F8A463" w14:textId="77777777" w:rsidR="00CB6CE1" w:rsidRDefault="00CB6CE1" w:rsidP="002C4754">
            <w:pPr>
              <w:pStyle w:val="TableText0"/>
              <w:ind w:left="0"/>
            </w:pPr>
            <w:r>
              <w:t xml:space="preserve">AR-DRG B67C, </w:t>
            </w:r>
            <w:r w:rsidRPr="00A63D69">
              <w:t>Degenerative Nervous System Disorders, Minor Complexity</w:t>
            </w:r>
          </w:p>
        </w:tc>
      </w:tr>
      <w:tr w:rsidR="00CB6CE1" w:rsidRPr="00AB4B27" w14:paraId="3FCCC920" w14:textId="77777777" w:rsidTr="00CB6CE1">
        <w:tc>
          <w:tcPr>
            <w:tcW w:w="2830" w:type="dxa"/>
            <w:tcBorders>
              <w:top w:val="single" w:sz="4" w:space="0" w:color="auto"/>
              <w:bottom w:val="single" w:sz="4" w:space="0" w:color="auto"/>
            </w:tcBorders>
            <w:vAlign w:val="center"/>
          </w:tcPr>
          <w:p w14:paraId="35EDC010" w14:textId="77777777" w:rsidR="00CB6CE1" w:rsidRDefault="00CB6CE1" w:rsidP="002C4754">
            <w:pPr>
              <w:pStyle w:val="TableText0"/>
              <w:ind w:left="0"/>
            </w:pPr>
            <w:r>
              <w:t>Emergency care</w:t>
            </w:r>
          </w:p>
        </w:tc>
        <w:tc>
          <w:tcPr>
            <w:tcW w:w="1276" w:type="dxa"/>
            <w:tcBorders>
              <w:top w:val="single" w:sz="4" w:space="0" w:color="auto"/>
              <w:bottom w:val="single" w:sz="4" w:space="0" w:color="auto"/>
            </w:tcBorders>
          </w:tcPr>
          <w:p w14:paraId="7CEE0857" w14:textId="77777777" w:rsidR="00CB6CE1" w:rsidRPr="00A63D69" w:rsidRDefault="00CB6CE1" w:rsidP="006E0B0C">
            <w:pPr>
              <w:pStyle w:val="TableText0"/>
              <w:ind w:left="0"/>
              <w:jc w:val="right"/>
            </w:pPr>
            <w:r>
              <w:t>$1,124</w:t>
            </w:r>
          </w:p>
        </w:tc>
        <w:tc>
          <w:tcPr>
            <w:tcW w:w="1444" w:type="dxa"/>
            <w:tcBorders>
              <w:top w:val="single" w:sz="4" w:space="0" w:color="auto"/>
              <w:bottom w:val="single" w:sz="4" w:space="0" w:color="auto"/>
            </w:tcBorders>
          </w:tcPr>
          <w:p w14:paraId="52C2EC56" w14:textId="1251BA15" w:rsidR="00CB6CE1" w:rsidRPr="00D810B4" w:rsidRDefault="003D3A4C" w:rsidP="006E0B0C">
            <w:pPr>
              <w:pStyle w:val="TableText0"/>
              <w:ind w:left="0"/>
              <w:jc w:val="right"/>
            </w:pPr>
            <w:r>
              <w:t>-</w:t>
            </w:r>
          </w:p>
        </w:tc>
        <w:tc>
          <w:tcPr>
            <w:tcW w:w="3466" w:type="dxa"/>
            <w:tcBorders>
              <w:top w:val="single" w:sz="4" w:space="0" w:color="auto"/>
              <w:bottom w:val="single" w:sz="4" w:space="0" w:color="auto"/>
            </w:tcBorders>
            <w:vAlign w:val="center"/>
          </w:tcPr>
          <w:p w14:paraId="1AF18D77" w14:textId="77777777" w:rsidR="00CB6CE1" w:rsidRDefault="00CB6CE1" w:rsidP="002C4754">
            <w:pPr>
              <w:pStyle w:val="TableText0"/>
              <w:ind w:left="0"/>
            </w:pPr>
            <w:r>
              <w:t>URG 98, Neurological illness</w:t>
            </w:r>
          </w:p>
        </w:tc>
      </w:tr>
      <w:tr w:rsidR="00CB6CE1" w:rsidRPr="00AB4B27" w14:paraId="69BE1575" w14:textId="77777777" w:rsidTr="00CB6CE1">
        <w:tc>
          <w:tcPr>
            <w:tcW w:w="2830" w:type="dxa"/>
            <w:tcBorders>
              <w:bottom w:val="single" w:sz="4" w:space="0" w:color="auto"/>
            </w:tcBorders>
            <w:vAlign w:val="center"/>
          </w:tcPr>
          <w:p w14:paraId="2E4CA1A0" w14:textId="77777777" w:rsidR="00CB6CE1" w:rsidRPr="00DA14EC" w:rsidRDefault="00CB6CE1" w:rsidP="002C4754">
            <w:pPr>
              <w:pStyle w:val="TableText0"/>
              <w:ind w:left="0"/>
            </w:pPr>
            <w:r w:rsidRPr="00DA14EC">
              <w:t>Hospital cost associated with severe attack</w:t>
            </w:r>
          </w:p>
        </w:tc>
        <w:tc>
          <w:tcPr>
            <w:tcW w:w="1276" w:type="dxa"/>
            <w:tcBorders>
              <w:bottom w:val="single" w:sz="4" w:space="0" w:color="auto"/>
            </w:tcBorders>
          </w:tcPr>
          <w:p w14:paraId="4CE1382A" w14:textId="77777777" w:rsidR="00CB6CE1" w:rsidRPr="00CD7E1C" w:rsidRDefault="00CB6CE1" w:rsidP="006E0B0C">
            <w:pPr>
              <w:pStyle w:val="TableText0"/>
              <w:ind w:left="0"/>
              <w:jc w:val="right"/>
            </w:pPr>
            <w:r w:rsidRPr="00D810B4">
              <w:t>$10,110</w:t>
            </w:r>
          </w:p>
        </w:tc>
        <w:tc>
          <w:tcPr>
            <w:tcW w:w="1444" w:type="dxa"/>
            <w:tcBorders>
              <w:bottom w:val="single" w:sz="4" w:space="0" w:color="auto"/>
            </w:tcBorders>
          </w:tcPr>
          <w:p w14:paraId="77347035" w14:textId="77777777" w:rsidR="00CB6CE1" w:rsidRPr="00DA14EC" w:rsidRDefault="00CB6CE1" w:rsidP="006E0B0C">
            <w:pPr>
              <w:pStyle w:val="TableText0"/>
              <w:ind w:left="0"/>
              <w:jc w:val="right"/>
            </w:pPr>
            <w:r w:rsidRPr="00DA14EC">
              <w:t>$</w:t>
            </w:r>
            <w:r>
              <w:t>11,277</w:t>
            </w:r>
          </w:p>
        </w:tc>
        <w:tc>
          <w:tcPr>
            <w:tcW w:w="3466" w:type="dxa"/>
            <w:tcBorders>
              <w:bottom w:val="single" w:sz="4" w:space="0" w:color="auto"/>
            </w:tcBorders>
            <w:vAlign w:val="center"/>
          </w:tcPr>
          <w:p w14:paraId="31C19000" w14:textId="77777777" w:rsidR="00CB6CE1" w:rsidRPr="007A2309" w:rsidRDefault="00CB6CE1" w:rsidP="002C4754">
            <w:pPr>
              <w:pStyle w:val="TableText0"/>
              <w:ind w:left="0"/>
            </w:pPr>
            <w:r>
              <w:t>54% of inpatient stay (intermediate – major complexity) + 5.2 times Emergency care</w:t>
            </w:r>
          </w:p>
        </w:tc>
      </w:tr>
      <w:tr w:rsidR="00CB6CE1" w:rsidRPr="00AB4B27" w14:paraId="039D8A00" w14:textId="77777777" w:rsidTr="00CB6CE1">
        <w:tc>
          <w:tcPr>
            <w:tcW w:w="2830" w:type="dxa"/>
            <w:tcBorders>
              <w:top w:val="single" w:sz="4" w:space="0" w:color="auto"/>
              <w:bottom w:val="single" w:sz="4" w:space="0" w:color="auto"/>
            </w:tcBorders>
            <w:vAlign w:val="center"/>
          </w:tcPr>
          <w:p w14:paraId="3C4A11F4" w14:textId="77777777" w:rsidR="00CB6CE1" w:rsidRPr="00DA14EC" w:rsidRDefault="00CB6CE1" w:rsidP="002C4754">
            <w:pPr>
              <w:pStyle w:val="TableText0"/>
              <w:ind w:left="0"/>
            </w:pPr>
            <w:r w:rsidRPr="00DA14EC">
              <w:t>Hospital cost associated with mild attack</w:t>
            </w:r>
          </w:p>
        </w:tc>
        <w:tc>
          <w:tcPr>
            <w:tcW w:w="1276" w:type="dxa"/>
            <w:tcBorders>
              <w:top w:val="single" w:sz="4" w:space="0" w:color="auto"/>
              <w:bottom w:val="single" w:sz="4" w:space="0" w:color="auto"/>
            </w:tcBorders>
          </w:tcPr>
          <w:p w14:paraId="009F9F6D" w14:textId="77777777" w:rsidR="00CB6CE1" w:rsidRPr="00CD7E1C" w:rsidRDefault="00CB6CE1" w:rsidP="006E0B0C">
            <w:pPr>
              <w:pStyle w:val="TableText0"/>
              <w:ind w:left="0"/>
              <w:jc w:val="right"/>
            </w:pPr>
            <w:r>
              <w:t>$</w:t>
            </w:r>
            <w:r w:rsidRPr="0076092A">
              <w:t>1,788</w:t>
            </w:r>
          </w:p>
        </w:tc>
        <w:tc>
          <w:tcPr>
            <w:tcW w:w="1444" w:type="dxa"/>
            <w:tcBorders>
              <w:top w:val="single" w:sz="4" w:space="0" w:color="auto"/>
              <w:bottom w:val="single" w:sz="4" w:space="0" w:color="auto"/>
            </w:tcBorders>
          </w:tcPr>
          <w:p w14:paraId="06B3CDA7" w14:textId="77777777" w:rsidR="00CB6CE1" w:rsidRPr="00DA14EC" w:rsidRDefault="00CB6CE1" w:rsidP="006E0B0C">
            <w:pPr>
              <w:pStyle w:val="TableText0"/>
              <w:ind w:left="0"/>
              <w:jc w:val="right"/>
            </w:pPr>
            <w:r w:rsidRPr="00DA14EC">
              <w:t>$</w:t>
            </w:r>
            <w:r>
              <w:t>3,547</w:t>
            </w:r>
          </w:p>
        </w:tc>
        <w:tc>
          <w:tcPr>
            <w:tcW w:w="3466" w:type="dxa"/>
            <w:tcBorders>
              <w:top w:val="single" w:sz="4" w:space="0" w:color="auto"/>
              <w:bottom w:val="single" w:sz="4" w:space="0" w:color="auto"/>
            </w:tcBorders>
            <w:vAlign w:val="center"/>
          </w:tcPr>
          <w:p w14:paraId="3AE523DC" w14:textId="77777777" w:rsidR="00CB6CE1" w:rsidRPr="007A2309" w:rsidRDefault="00CB6CE1" w:rsidP="002C4754">
            <w:pPr>
              <w:pStyle w:val="TableText0"/>
              <w:ind w:left="0"/>
            </w:pPr>
            <w:r>
              <w:t>22% of inpatient stay (minor complexity) + 2.8 times Emergency care</w:t>
            </w:r>
          </w:p>
        </w:tc>
      </w:tr>
    </w:tbl>
    <w:p w14:paraId="4DC3E057" w14:textId="77777777" w:rsidR="00CB6CE1" w:rsidRDefault="00CB6CE1" w:rsidP="00CB6CE1">
      <w:pPr>
        <w:pStyle w:val="Tablenotes0"/>
      </w:pPr>
      <w:r>
        <w:t>AR-DRG = Australian Refined- Diagnosis Related Group; IVIG = i</w:t>
      </w:r>
      <w:r w:rsidRPr="00B439AD">
        <w:t>ntravenous immunoglobulin</w:t>
      </w:r>
      <w:r>
        <w:t xml:space="preserve">; IVMP = </w:t>
      </w:r>
      <w:r w:rsidRPr="00B35E47">
        <w:t>I</w:t>
      </w:r>
      <w:r>
        <w:t xml:space="preserve">ntravenous methylprednisolone; PBS = </w:t>
      </w:r>
      <w:r w:rsidRPr="00BF1D70">
        <w:t>Pharmaceutical Benefits Scheme</w:t>
      </w:r>
    </w:p>
    <w:p w14:paraId="6E82483D" w14:textId="77777777" w:rsidR="00CB6CE1" w:rsidRDefault="00CB6CE1" w:rsidP="00CB6CE1">
      <w:pPr>
        <w:pStyle w:val="Tablenotes0"/>
      </w:pPr>
      <w:r>
        <w:t xml:space="preserve">Source: </w:t>
      </w:r>
      <w:r w:rsidR="00AC01FD">
        <w:fldChar w:fldCharType="begin"/>
      </w:r>
      <w:r w:rsidR="00AC01FD">
        <w:instrText xml:space="preserve"> ADDIN EN.CITE &lt;EndNote&gt;&lt;Cite&gt;&lt;Author&gt;Independent Hospital Pricing Authority&lt;/Author&gt;&lt;Year&gt;2020&lt;/Year&gt;&lt;RecNum&gt;2841&lt;/RecNum&gt;&lt;DisplayText&gt;(Independent Hospital Pricing Authority 2020)&lt;/DisplayText&gt;&lt;record&gt;&lt;rec-number&gt;2841&lt;/rec-number&gt;&lt;foreign-keys&gt;&lt;key app="EN" db-id="r9zwwf2zmrrvxfespp15vtvjapza9v2fz5s5" timestamp="1585010888"&gt;2841&lt;/key&gt;&lt;/foreign-keys&gt;&lt;ref-type name="Journal Article"&gt;17&lt;/ref-type&gt;&lt;contributors&gt;&lt;authors&gt;&lt;author&gt;Independent Hospital Pricing Authority,&lt;/author&gt;&lt;/authors&gt;&lt;/contributors&gt;&lt;titles&gt;&lt;title&gt;National Hospital Cost Data Collection Report, Public Sector, Round 22 (Financial year 2017-18)&lt;/title&gt;&lt;/titles&gt;&lt;dates&gt;&lt;year&gt;2020&lt;/year&gt;&lt;/dates&gt;&lt;urls&gt;&lt;related-urls&gt;&lt;url&gt;&lt;style face="underline" font="default" size="100%"&gt;https://www.ihpa.gov.au/publications/national-hospital-cost-data-collection-report-public-sector-round-21-financial-year-0&lt;/style&gt;&lt;/url&gt;&lt;/related-urls&gt;&lt;/urls&gt;&lt;/record&gt;&lt;/Cite&gt;&lt;/EndNote&gt;</w:instrText>
      </w:r>
      <w:r w:rsidR="00AC01FD">
        <w:fldChar w:fldCharType="separate"/>
      </w:r>
      <w:r w:rsidR="00AC01FD">
        <w:rPr>
          <w:noProof/>
        </w:rPr>
        <w:t>(Independent Hospital Pricing Authority 2020)</w:t>
      </w:r>
      <w:r w:rsidR="00AC01FD">
        <w:fldChar w:fldCharType="end"/>
      </w:r>
      <w:r>
        <w:t xml:space="preserve">; </w:t>
      </w:r>
      <w:hyperlink r:id="rId45" w:history="1">
        <w:r w:rsidRPr="00DC4B89">
          <w:rPr>
            <w:rStyle w:val="Hyperlink"/>
          </w:rPr>
          <w:t>http://www.pbs.gov.au/pbs/home;jsessionid=1gj6nvvkqo8l61lok7sjsc9mvl</w:t>
        </w:r>
      </w:hyperlink>
    </w:p>
    <w:p w14:paraId="171A35D0" w14:textId="77777777" w:rsidR="00CB6CE1" w:rsidRPr="00B35E47" w:rsidRDefault="00CB6CE1" w:rsidP="00CB6CE1">
      <w:r>
        <w:t>There are other costs associated with specialist visits, diagnostic imaging and routine pathological testing. These are considered to be same across the modelled arms and are therefore not included.</w:t>
      </w:r>
    </w:p>
    <w:p w14:paraId="638F2488" w14:textId="77777777" w:rsidR="00CB6CE1" w:rsidRPr="00B35E47" w:rsidRDefault="00095358" w:rsidP="00095358">
      <w:pPr>
        <w:pStyle w:val="Heading2"/>
      </w:pPr>
      <w:bookmarkStart w:id="487" w:name="_Toc381796480"/>
      <w:bookmarkStart w:id="488" w:name="_Toc34212319"/>
      <w:bookmarkStart w:id="489" w:name="_Toc38031967"/>
      <w:bookmarkStart w:id="490" w:name="_Toc39588374"/>
      <w:r>
        <w:t>D5</w:t>
      </w:r>
      <w:r>
        <w:tab/>
      </w:r>
      <w:r w:rsidR="00CB6CE1" w:rsidRPr="00B35E47">
        <w:t>Results of the Economic Evaluation</w:t>
      </w:r>
      <w:bookmarkEnd w:id="487"/>
      <w:bookmarkEnd w:id="488"/>
      <w:bookmarkEnd w:id="489"/>
      <w:bookmarkEnd w:id="490"/>
    </w:p>
    <w:p w14:paraId="0579698D" w14:textId="77777777" w:rsidR="00CB6CE1" w:rsidRDefault="00CB6CE1" w:rsidP="00CB6CE1">
      <w:bookmarkStart w:id="491" w:name="_Ref378943976"/>
      <w:r>
        <w:t>The base-case analysis assumes that only AQP4-Ab testing is performed. Additional scenario analyses consider the alternative of concurrent or sequential MOG-Ab testing.</w:t>
      </w:r>
    </w:p>
    <w:p w14:paraId="1DD2E82B" w14:textId="77777777" w:rsidR="00CB6CE1" w:rsidRDefault="00CB6CE1" w:rsidP="00CB6CE1">
      <w:pPr>
        <w:pStyle w:val="Heading3"/>
      </w:pPr>
      <w:bookmarkStart w:id="492" w:name="_Toc38031968"/>
      <w:bookmarkStart w:id="493" w:name="_Toc39588375"/>
      <w:r>
        <w:t>Incremental costs and effectiveness</w:t>
      </w:r>
      <w:bookmarkEnd w:id="492"/>
      <w:bookmarkEnd w:id="493"/>
    </w:p>
    <w:p w14:paraId="3F2177F6" w14:textId="77777777" w:rsidR="00CB6CE1" w:rsidRDefault="00CB6CE1" w:rsidP="00CB6CE1">
      <w:pPr>
        <w:pStyle w:val="Heading4"/>
      </w:pPr>
      <w:r>
        <w:t>Base-case analysis</w:t>
      </w:r>
    </w:p>
    <w:p w14:paraId="0203F701" w14:textId="6A603FEA" w:rsidR="00CB6CE1" w:rsidRDefault="00CB6CE1" w:rsidP="00CB6CE1">
      <w:r w:rsidRPr="00057523">
        <w:t>The overall expected costs and outcomes</w:t>
      </w:r>
      <w:r>
        <w:t xml:space="preserve"> (discounted)</w:t>
      </w:r>
      <w:r w:rsidRPr="00057523">
        <w:t xml:space="preserve">, and incremental costs and outcomes per patient associated with the </w:t>
      </w:r>
      <w:r>
        <w:t>AQP4-Ab</w:t>
      </w:r>
      <w:r w:rsidRPr="00057523">
        <w:t xml:space="preserve"> test and comparator</w:t>
      </w:r>
      <w:r>
        <w:t xml:space="preserve"> (no testing)</w:t>
      </w:r>
      <w:r w:rsidRPr="00057523">
        <w:t xml:space="preserve"> in the model, with the base case assumptions, are presented in</w:t>
      </w:r>
      <w:r>
        <w:t xml:space="preserve"> </w:t>
      </w:r>
      <w:r>
        <w:fldChar w:fldCharType="begin"/>
      </w:r>
      <w:r>
        <w:instrText xml:space="preserve"> REF _Ref37143033 \h </w:instrText>
      </w:r>
      <w:r>
        <w:fldChar w:fldCharType="separate"/>
      </w:r>
      <w:r w:rsidR="006E2BA9">
        <w:t xml:space="preserve">Table </w:t>
      </w:r>
      <w:r w:rsidR="006E2BA9">
        <w:rPr>
          <w:noProof/>
        </w:rPr>
        <w:t>82</w:t>
      </w:r>
      <w:r>
        <w:fldChar w:fldCharType="end"/>
      </w:r>
      <w:r>
        <w:t xml:space="preserve">. Markov traces for each modelled arm are presented as attachment in the </w:t>
      </w:r>
      <w:r w:rsidR="00B33B48">
        <w:fldChar w:fldCharType="begin"/>
      </w:r>
      <w:r w:rsidR="00B33B48">
        <w:instrText xml:space="preserve"> REF _Ref39584521 \h </w:instrText>
      </w:r>
      <w:r w:rsidR="00B33B48">
        <w:fldChar w:fldCharType="separate"/>
      </w:r>
      <w:r w:rsidR="00B33B48" w:rsidRPr="006F2353">
        <w:t>A</w:t>
      </w:r>
      <w:r w:rsidR="00B33B48">
        <w:t>ppendix</w:t>
      </w:r>
      <w:r w:rsidR="00B33B48" w:rsidRPr="006F2353">
        <w:t xml:space="preserve"> I</w:t>
      </w:r>
      <w:r w:rsidR="00B33B48">
        <w:fldChar w:fldCharType="end"/>
      </w:r>
      <w:r>
        <w:t>.</w:t>
      </w:r>
    </w:p>
    <w:p w14:paraId="6D27A4A5" w14:textId="43AF19C0" w:rsidR="00CB6CE1" w:rsidRDefault="00CB6CE1" w:rsidP="00CB6CE1">
      <w:pPr>
        <w:pStyle w:val="Caption"/>
      </w:pPr>
      <w:bookmarkStart w:id="494" w:name="_Ref37143033"/>
      <w:bookmarkStart w:id="495" w:name="_Toc39580863"/>
      <w:r>
        <w:lastRenderedPageBreak/>
        <w:t xml:space="preserve">Table </w:t>
      </w:r>
      <w:fldSimple w:instr=" SEQ Table \* ARABIC ">
        <w:r w:rsidR="00FA7BCD">
          <w:rPr>
            <w:noProof/>
          </w:rPr>
          <w:t>82</w:t>
        </w:r>
      </w:fldSimple>
      <w:bookmarkEnd w:id="494"/>
      <w:r>
        <w:tab/>
        <w:t>Costs and effectiveness for base-case analysis, AQP4-Ab testing only</w:t>
      </w:r>
      <w:bookmarkEnd w:id="495"/>
    </w:p>
    <w:tbl>
      <w:tblPr>
        <w:tblStyle w:val="TableGrid"/>
        <w:tblW w:w="5000" w:type="pct"/>
        <w:tblLook w:val="04A0" w:firstRow="1" w:lastRow="0" w:firstColumn="1" w:lastColumn="0" w:noHBand="0" w:noVBand="1"/>
        <w:tblCaption w:val="Table 82 Costs and effectiveness for base-case analysis, AQP4-Ab testing only"/>
        <w:tblDescription w:val="Costs and effectiveness for base-case analysis, AQP4-Ab testing only"/>
      </w:tblPr>
      <w:tblGrid>
        <w:gridCol w:w="3258"/>
        <w:gridCol w:w="2124"/>
        <w:gridCol w:w="1843"/>
        <w:gridCol w:w="1791"/>
      </w:tblGrid>
      <w:tr w:rsidR="00CB6CE1" w:rsidRPr="00A67DCC" w14:paraId="5E3DF78E" w14:textId="77777777" w:rsidTr="0004678C">
        <w:trPr>
          <w:tblHeader/>
        </w:trPr>
        <w:tc>
          <w:tcPr>
            <w:tcW w:w="1807" w:type="pct"/>
          </w:tcPr>
          <w:p w14:paraId="24E4527E" w14:textId="77777777" w:rsidR="00CB6CE1" w:rsidRPr="00A67DCC" w:rsidRDefault="00CB6CE1" w:rsidP="00A67DCC">
            <w:pPr>
              <w:pStyle w:val="TableText0"/>
              <w:ind w:left="0"/>
              <w:rPr>
                <w:b/>
              </w:rPr>
            </w:pPr>
            <w:r w:rsidRPr="00A67DCC">
              <w:rPr>
                <w:b/>
              </w:rPr>
              <w:t>Description</w:t>
            </w:r>
          </w:p>
        </w:tc>
        <w:tc>
          <w:tcPr>
            <w:tcW w:w="1178" w:type="pct"/>
          </w:tcPr>
          <w:p w14:paraId="663D829D" w14:textId="466DD1F0" w:rsidR="00CB6CE1" w:rsidRPr="00A67DCC" w:rsidRDefault="00CB6CE1" w:rsidP="00A67DCC">
            <w:pPr>
              <w:pStyle w:val="TableText0"/>
              <w:ind w:left="0"/>
              <w:rPr>
                <w:b/>
              </w:rPr>
            </w:pPr>
            <w:r w:rsidRPr="00A67DCC">
              <w:rPr>
                <w:b/>
              </w:rPr>
              <w:t>Aver</w:t>
            </w:r>
            <w:r w:rsidR="00A67DCC" w:rsidRPr="00A67DCC">
              <w:rPr>
                <w:b/>
              </w:rPr>
              <w:t>ag</w:t>
            </w:r>
            <w:r w:rsidRPr="00A67DCC">
              <w:rPr>
                <w:b/>
              </w:rPr>
              <w:t>e cost per patient</w:t>
            </w:r>
          </w:p>
        </w:tc>
        <w:tc>
          <w:tcPr>
            <w:tcW w:w="1022" w:type="pct"/>
          </w:tcPr>
          <w:p w14:paraId="60C8AEE1" w14:textId="77777777" w:rsidR="00CB6CE1" w:rsidRPr="00A67DCC" w:rsidRDefault="00CB6CE1" w:rsidP="00A67DCC">
            <w:pPr>
              <w:pStyle w:val="TableText0"/>
              <w:ind w:left="0"/>
              <w:rPr>
                <w:b/>
              </w:rPr>
            </w:pPr>
            <w:r w:rsidRPr="00A67DCC">
              <w:rPr>
                <w:b/>
              </w:rPr>
              <w:t>QALYs</w:t>
            </w:r>
          </w:p>
        </w:tc>
        <w:tc>
          <w:tcPr>
            <w:tcW w:w="993" w:type="pct"/>
          </w:tcPr>
          <w:p w14:paraId="0DE9D285" w14:textId="77777777" w:rsidR="00CB6CE1" w:rsidRPr="00A67DCC" w:rsidRDefault="00CB6CE1" w:rsidP="00A67DCC">
            <w:pPr>
              <w:pStyle w:val="TableText0"/>
              <w:ind w:left="0"/>
              <w:rPr>
                <w:b/>
              </w:rPr>
            </w:pPr>
            <w:r w:rsidRPr="00A67DCC">
              <w:rPr>
                <w:b/>
              </w:rPr>
              <w:t>Relapses</w:t>
            </w:r>
          </w:p>
        </w:tc>
      </w:tr>
      <w:tr w:rsidR="0004678C" w14:paraId="4B895C40" w14:textId="77777777" w:rsidTr="00CB6CE1">
        <w:tc>
          <w:tcPr>
            <w:tcW w:w="1807" w:type="pct"/>
          </w:tcPr>
          <w:p w14:paraId="0A4EE81E" w14:textId="77777777" w:rsidR="0004678C" w:rsidRDefault="0004678C" w:rsidP="00A67DCC">
            <w:pPr>
              <w:pStyle w:val="TableText0"/>
              <w:ind w:left="0"/>
            </w:pPr>
            <w:r>
              <w:t>NMOSD-Ab testing</w:t>
            </w:r>
          </w:p>
        </w:tc>
        <w:tc>
          <w:tcPr>
            <w:tcW w:w="1178" w:type="pct"/>
          </w:tcPr>
          <w:p w14:paraId="102B7F19" w14:textId="61CEABF9" w:rsidR="0004678C" w:rsidRDefault="0004678C" w:rsidP="00A67DCC">
            <w:pPr>
              <w:pStyle w:val="TableText0"/>
              <w:ind w:left="0"/>
              <w:jc w:val="right"/>
            </w:pPr>
            <w:r w:rsidRPr="00A4573C">
              <w:t>$1,271</w:t>
            </w:r>
          </w:p>
        </w:tc>
        <w:tc>
          <w:tcPr>
            <w:tcW w:w="1022" w:type="pct"/>
          </w:tcPr>
          <w:p w14:paraId="6FB79E66" w14:textId="015F7A8A" w:rsidR="0004678C" w:rsidRDefault="0004678C" w:rsidP="00A67DCC">
            <w:pPr>
              <w:pStyle w:val="TableText0"/>
              <w:ind w:left="0"/>
              <w:jc w:val="right"/>
            </w:pPr>
            <w:r w:rsidRPr="00DB31E4">
              <w:t>0.1093</w:t>
            </w:r>
          </w:p>
        </w:tc>
        <w:tc>
          <w:tcPr>
            <w:tcW w:w="993" w:type="pct"/>
          </w:tcPr>
          <w:p w14:paraId="7244915C" w14:textId="5E08F142" w:rsidR="0004678C" w:rsidRDefault="0004678C" w:rsidP="00A67DCC">
            <w:pPr>
              <w:pStyle w:val="TableText0"/>
              <w:ind w:left="0"/>
              <w:jc w:val="right"/>
            </w:pPr>
            <w:r w:rsidRPr="007C4F52">
              <w:t>0.0818</w:t>
            </w:r>
          </w:p>
        </w:tc>
      </w:tr>
      <w:tr w:rsidR="0004678C" w14:paraId="560DF336" w14:textId="77777777" w:rsidTr="00CB6CE1">
        <w:tc>
          <w:tcPr>
            <w:tcW w:w="1807" w:type="pct"/>
          </w:tcPr>
          <w:p w14:paraId="6FA4D764" w14:textId="77777777" w:rsidR="0004678C" w:rsidRDefault="0004678C" w:rsidP="00A67DCC">
            <w:pPr>
              <w:pStyle w:val="TableText0"/>
              <w:ind w:left="0"/>
            </w:pPr>
            <w:r>
              <w:t>No Ab testing</w:t>
            </w:r>
          </w:p>
        </w:tc>
        <w:tc>
          <w:tcPr>
            <w:tcW w:w="1178" w:type="pct"/>
          </w:tcPr>
          <w:p w14:paraId="21E816DC" w14:textId="67384A6E" w:rsidR="0004678C" w:rsidRDefault="0004678C" w:rsidP="00A67DCC">
            <w:pPr>
              <w:pStyle w:val="TableText0"/>
              <w:ind w:left="0"/>
              <w:jc w:val="right"/>
            </w:pPr>
            <w:r w:rsidRPr="00A4573C">
              <w:t>$1,995</w:t>
            </w:r>
          </w:p>
        </w:tc>
        <w:tc>
          <w:tcPr>
            <w:tcW w:w="1022" w:type="pct"/>
          </w:tcPr>
          <w:p w14:paraId="5FC1AF64" w14:textId="03820487" w:rsidR="0004678C" w:rsidRDefault="0004678C" w:rsidP="00A67DCC">
            <w:pPr>
              <w:pStyle w:val="TableText0"/>
              <w:ind w:left="0"/>
              <w:jc w:val="right"/>
            </w:pPr>
            <w:r w:rsidRPr="00DB31E4">
              <w:t>0.1060</w:t>
            </w:r>
          </w:p>
        </w:tc>
        <w:tc>
          <w:tcPr>
            <w:tcW w:w="993" w:type="pct"/>
          </w:tcPr>
          <w:p w14:paraId="24727562" w14:textId="10078A42" w:rsidR="0004678C" w:rsidRDefault="0004678C" w:rsidP="00A67DCC">
            <w:pPr>
              <w:pStyle w:val="TableText0"/>
              <w:ind w:left="0"/>
              <w:jc w:val="right"/>
            </w:pPr>
            <w:r w:rsidRPr="007C4F52">
              <w:t>0.1319</w:t>
            </w:r>
          </w:p>
        </w:tc>
      </w:tr>
      <w:tr w:rsidR="0004678C" w:rsidRPr="00D2308B" w14:paraId="64460083" w14:textId="77777777" w:rsidTr="00CB6CE1">
        <w:tc>
          <w:tcPr>
            <w:tcW w:w="1807" w:type="pct"/>
          </w:tcPr>
          <w:p w14:paraId="70384AD0" w14:textId="77777777" w:rsidR="0004678C" w:rsidRPr="00D2308B" w:rsidRDefault="0004678C" w:rsidP="00A67DCC">
            <w:pPr>
              <w:pStyle w:val="TableText0"/>
              <w:ind w:left="0"/>
            </w:pPr>
            <w:r w:rsidRPr="00D2308B">
              <w:t>Increment (Ab testing – No Ab testing)</w:t>
            </w:r>
          </w:p>
        </w:tc>
        <w:tc>
          <w:tcPr>
            <w:tcW w:w="1178" w:type="pct"/>
          </w:tcPr>
          <w:p w14:paraId="3A9AF27E" w14:textId="3E21AE26" w:rsidR="0004678C" w:rsidRPr="0004678C" w:rsidRDefault="0004678C" w:rsidP="00A67DCC">
            <w:pPr>
              <w:pStyle w:val="TableText0"/>
              <w:ind w:left="0"/>
              <w:jc w:val="right"/>
            </w:pPr>
            <w:r w:rsidRPr="0004678C">
              <w:t>–$723</w:t>
            </w:r>
          </w:p>
        </w:tc>
        <w:tc>
          <w:tcPr>
            <w:tcW w:w="1022" w:type="pct"/>
          </w:tcPr>
          <w:p w14:paraId="65559906" w14:textId="1368DA82" w:rsidR="0004678C" w:rsidRPr="0004678C" w:rsidRDefault="0004678C" w:rsidP="00A67DCC">
            <w:pPr>
              <w:pStyle w:val="TableText0"/>
              <w:ind w:left="0"/>
              <w:jc w:val="right"/>
            </w:pPr>
            <w:r w:rsidRPr="0004678C">
              <w:t>0.0034</w:t>
            </w:r>
          </w:p>
        </w:tc>
        <w:tc>
          <w:tcPr>
            <w:tcW w:w="993" w:type="pct"/>
          </w:tcPr>
          <w:p w14:paraId="1FDC5F70" w14:textId="108B6A01" w:rsidR="0004678C" w:rsidRPr="0004678C" w:rsidRDefault="0004678C" w:rsidP="00A67DCC">
            <w:pPr>
              <w:pStyle w:val="TableText0"/>
              <w:ind w:left="0"/>
              <w:jc w:val="right"/>
            </w:pPr>
            <w:r w:rsidRPr="0004678C">
              <w:t>–0.0501</w:t>
            </w:r>
          </w:p>
        </w:tc>
      </w:tr>
    </w:tbl>
    <w:p w14:paraId="6C8E7D99" w14:textId="77777777" w:rsidR="00CB6CE1" w:rsidRDefault="00CB6CE1" w:rsidP="00CB6CE1">
      <w:pPr>
        <w:pStyle w:val="Tablenotes0"/>
      </w:pPr>
      <w:r>
        <w:t>Ab = antibody; AQP4 = aquaporin 4; NMOSD = neuromyelitis optica; QALY = Quality-adjusted life year</w:t>
      </w:r>
    </w:p>
    <w:p w14:paraId="317558E2" w14:textId="3063FAE1" w:rsidR="00CB6CE1" w:rsidRDefault="00CB6CE1" w:rsidP="00CB6CE1">
      <w:r>
        <w:t>The base-case analysis suggests that when AQP4-Ab testing is used for the diagnosis of NMOSD (</w:t>
      </w:r>
      <w:r>
        <w:fldChar w:fldCharType="begin"/>
      </w:r>
      <w:r>
        <w:instrText xml:space="preserve"> REF _Ref37143033 \h </w:instrText>
      </w:r>
      <w:r>
        <w:fldChar w:fldCharType="separate"/>
      </w:r>
      <w:r w:rsidR="006E2BA9">
        <w:t xml:space="preserve">Table </w:t>
      </w:r>
      <w:r w:rsidR="006E2BA9">
        <w:rPr>
          <w:noProof/>
        </w:rPr>
        <w:t>82</w:t>
      </w:r>
      <w:r>
        <w:fldChar w:fldCharType="end"/>
      </w:r>
      <w:r>
        <w:t>) it results in an average cost saving of $</w:t>
      </w:r>
      <w:r w:rsidR="0004678C">
        <w:t>723</w:t>
      </w:r>
      <w:r>
        <w:t xml:space="preserve"> and a gain of 0.0</w:t>
      </w:r>
      <w:r w:rsidR="0004678C">
        <w:t>034</w:t>
      </w:r>
      <w:r>
        <w:t xml:space="preserve"> additional QALYs, compared with no AQP4-Ab testing. Additionally, it results in </w:t>
      </w:r>
      <w:r w:rsidR="0004678C">
        <w:t>5</w:t>
      </w:r>
      <w:r>
        <w:t xml:space="preserve">% fewer relapses than no Ab-testing. This is due to the test facilitating rapid diagnosis and appropriate treatment, such that there is less relapse and progessed disease; resulting in quality of life benefits, and also cost offsets associated with fewer treatment requirements associated with relapse/progressed disease. The savings associated with less relapse/progressed disease outweigh the additional, relatively small, cost of testing. </w:t>
      </w:r>
    </w:p>
    <w:p w14:paraId="7DDFAB24" w14:textId="77777777" w:rsidR="00CB6CE1" w:rsidRDefault="00CB6CE1" w:rsidP="00CB6CE1">
      <w:r w:rsidRPr="00726D75">
        <w:t xml:space="preserve">The </w:t>
      </w:r>
      <w:r>
        <w:t>results of the base-case analysi</w:t>
      </w:r>
      <w:r w:rsidRPr="00726D75">
        <w:t xml:space="preserve">s suggest that the </w:t>
      </w:r>
      <w:r>
        <w:t>AQP4-Ab</w:t>
      </w:r>
      <w:r w:rsidRPr="00726D75">
        <w:t xml:space="preserve"> testing strategy is less costly and more effective (i.e. dominant – in the South-East quadrant of cost-effectiveness plane) compared with no </w:t>
      </w:r>
      <w:r>
        <w:t>Ab</w:t>
      </w:r>
      <w:r w:rsidRPr="00726D75">
        <w:t xml:space="preserve"> testing, for all clinical outcomes assessed.</w:t>
      </w:r>
    </w:p>
    <w:p w14:paraId="08B58A81" w14:textId="77777777" w:rsidR="00CB6CE1" w:rsidRDefault="00CB6CE1" w:rsidP="00CB6CE1">
      <w:pPr>
        <w:pStyle w:val="Heading4"/>
      </w:pPr>
      <w:r w:rsidRPr="008674B8">
        <w:t>Scenario analyses</w:t>
      </w:r>
    </w:p>
    <w:p w14:paraId="378F253F" w14:textId="77777777" w:rsidR="00CB6CE1" w:rsidRPr="008674B8" w:rsidRDefault="00CB6CE1" w:rsidP="00CB6CE1">
      <w:r>
        <w:fldChar w:fldCharType="begin"/>
      </w:r>
      <w:r>
        <w:instrText xml:space="preserve"> REF _Ref37161026 \h </w:instrText>
      </w:r>
      <w:r>
        <w:fldChar w:fldCharType="separate"/>
      </w:r>
      <w:r w:rsidR="006E2BA9" w:rsidRPr="00095358">
        <w:t xml:space="preserve">Table </w:t>
      </w:r>
      <w:r w:rsidR="006E2BA9">
        <w:rPr>
          <w:noProof/>
        </w:rPr>
        <w:t>83</w:t>
      </w:r>
      <w:r>
        <w:fldChar w:fldCharType="end"/>
      </w:r>
      <w:r>
        <w:t xml:space="preserve"> summarises the result of scenario analyses performed for AQP4-Ab testing along with either concurrent or sequential MOG-Ab testing.</w:t>
      </w:r>
    </w:p>
    <w:p w14:paraId="0994A613" w14:textId="073BA581" w:rsidR="00CB6CE1" w:rsidRPr="00095358" w:rsidRDefault="00CB6CE1" w:rsidP="003412F3">
      <w:pPr>
        <w:pStyle w:val="Caption"/>
        <w:ind w:left="720" w:hanging="720"/>
      </w:pPr>
      <w:bookmarkStart w:id="496" w:name="_Ref37161026"/>
      <w:bookmarkStart w:id="497" w:name="_Toc39580864"/>
      <w:r w:rsidRPr="00095358">
        <w:t xml:space="preserve">Table </w:t>
      </w:r>
      <w:fldSimple w:instr=" SEQ Table \* ARABIC ">
        <w:r w:rsidR="00FA7BCD">
          <w:rPr>
            <w:noProof/>
          </w:rPr>
          <w:t>83</w:t>
        </w:r>
      </w:fldSimple>
      <w:bookmarkEnd w:id="496"/>
      <w:r w:rsidRPr="00095358">
        <w:tab/>
        <w:t>Costs and effcetiveness for scenario 1 (AQP4-Ab and concurrent MOG-Ab testing) and scenario 2 (AQP4-Ab and sequential MOG-Ab testing)</w:t>
      </w:r>
      <w:bookmarkEnd w:id="497"/>
    </w:p>
    <w:tbl>
      <w:tblPr>
        <w:tblStyle w:val="TableGrid"/>
        <w:tblW w:w="5000" w:type="pct"/>
        <w:tblLook w:val="04A0" w:firstRow="1" w:lastRow="0" w:firstColumn="1" w:lastColumn="0" w:noHBand="0" w:noVBand="1"/>
        <w:tblCaption w:val="Table 83 Costs and effcetiveness for scenario 1 (AQP4-Ab and concurrent MOG-Ab testing) and scenario 2 (AQP4-Ab and sequential MOG-Ab testing)"/>
      </w:tblPr>
      <w:tblGrid>
        <w:gridCol w:w="3257"/>
        <w:gridCol w:w="849"/>
        <w:gridCol w:w="142"/>
        <w:gridCol w:w="1134"/>
        <w:gridCol w:w="1843"/>
        <w:gridCol w:w="1791"/>
      </w:tblGrid>
      <w:tr w:rsidR="00CB6CE1" w14:paraId="0CE4D064" w14:textId="77777777" w:rsidTr="00CB6CE1">
        <w:tc>
          <w:tcPr>
            <w:tcW w:w="1806" w:type="pct"/>
            <w:tcBorders>
              <w:bottom w:val="single" w:sz="4" w:space="0" w:color="auto"/>
            </w:tcBorders>
          </w:tcPr>
          <w:p w14:paraId="26B3E59F" w14:textId="77777777" w:rsidR="00CB6CE1" w:rsidRDefault="00CB6CE1" w:rsidP="00722D09">
            <w:pPr>
              <w:pStyle w:val="TableHeading"/>
              <w:ind w:left="0"/>
            </w:pPr>
            <w:r>
              <w:t>Description</w:t>
            </w:r>
          </w:p>
        </w:tc>
        <w:tc>
          <w:tcPr>
            <w:tcW w:w="1178" w:type="pct"/>
            <w:gridSpan w:val="3"/>
            <w:tcBorders>
              <w:bottom w:val="single" w:sz="4" w:space="0" w:color="auto"/>
            </w:tcBorders>
          </w:tcPr>
          <w:p w14:paraId="5E7CB982" w14:textId="081B4E93" w:rsidR="00CB6CE1" w:rsidRDefault="00CB6CE1" w:rsidP="00722D09">
            <w:pPr>
              <w:pStyle w:val="TableHeading"/>
              <w:ind w:left="0"/>
            </w:pPr>
            <w:r>
              <w:t>Aver</w:t>
            </w:r>
            <w:r w:rsidR="00722D09">
              <w:t xml:space="preserve">age </w:t>
            </w:r>
            <w:r>
              <w:t>cost per patient</w:t>
            </w:r>
          </w:p>
        </w:tc>
        <w:tc>
          <w:tcPr>
            <w:tcW w:w="1022" w:type="pct"/>
            <w:tcBorders>
              <w:bottom w:val="single" w:sz="4" w:space="0" w:color="auto"/>
            </w:tcBorders>
          </w:tcPr>
          <w:p w14:paraId="71E5ABA1" w14:textId="77777777" w:rsidR="00CB6CE1" w:rsidRDefault="00CB6CE1" w:rsidP="00722D09">
            <w:pPr>
              <w:pStyle w:val="TableHeading"/>
              <w:ind w:left="0"/>
            </w:pPr>
            <w:r>
              <w:t>QALYs</w:t>
            </w:r>
          </w:p>
        </w:tc>
        <w:tc>
          <w:tcPr>
            <w:tcW w:w="993" w:type="pct"/>
            <w:tcBorders>
              <w:bottom w:val="single" w:sz="4" w:space="0" w:color="auto"/>
            </w:tcBorders>
          </w:tcPr>
          <w:p w14:paraId="12F645EA" w14:textId="77777777" w:rsidR="00CB6CE1" w:rsidRDefault="00CB6CE1" w:rsidP="00722D09">
            <w:pPr>
              <w:pStyle w:val="TableHeading"/>
              <w:ind w:left="0"/>
            </w:pPr>
            <w:r>
              <w:t>Relapses</w:t>
            </w:r>
          </w:p>
        </w:tc>
      </w:tr>
      <w:tr w:rsidR="00CB6CE1" w14:paraId="351AE32A" w14:textId="77777777" w:rsidTr="00CB6CE1">
        <w:tc>
          <w:tcPr>
            <w:tcW w:w="2277" w:type="pct"/>
            <w:gridSpan w:val="2"/>
            <w:tcBorders>
              <w:right w:val="nil"/>
            </w:tcBorders>
          </w:tcPr>
          <w:p w14:paraId="411B5083" w14:textId="77777777" w:rsidR="00CB6CE1" w:rsidRPr="003D1442" w:rsidRDefault="00CB6CE1" w:rsidP="00722D09">
            <w:pPr>
              <w:pStyle w:val="TableText0"/>
              <w:ind w:left="0"/>
            </w:pPr>
            <w:r w:rsidRPr="003D1442">
              <w:t>Scenario 1 (AQP4-Ab + concurrent MOG-Ab testing)</w:t>
            </w:r>
          </w:p>
        </w:tc>
        <w:tc>
          <w:tcPr>
            <w:tcW w:w="708" w:type="pct"/>
            <w:gridSpan w:val="2"/>
            <w:tcBorders>
              <w:left w:val="nil"/>
              <w:right w:val="nil"/>
            </w:tcBorders>
          </w:tcPr>
          <w:p w14:paraId="4FEC96AB" w14:textId="77777777" w:rsidR="00CB6CE1" w:rsidRPr="004C7F27" w:rsidRDefault="00CB6CE1" w:rsidP="00722D09">
            <w:pPr>
              <w:pStyle w:val="TableText0"/>
              <w:ind w:left="0"/>
            </w:pPr>
          </w:p>
        </w:tc>
        <w:tc>
          <w:tcPr>
            <w:tcW w:w="1022" w:type="pct"/>
            <w:tcBorders>
              <w:left w:val="nil"/>
              <w:right w:val="nil"/>
            </w:tcBorders>
          </w:tcPr>
          <w:p w14:paraId="425CF93C" w14:textId="77777777" w:rsidR="00CB6CE1" w:rsidRPr="007B009C" w:rsidRDefault="00CB6CE1" w:rsidP="00722D09">
            <w:pPr>
              <w:pStyle w:val="TableText0"/>
              <w:ind w:left="0"/>
            </w:pPr>
          </w:p>
        </w:tc>
        <w:tc>
          <w:tcPr>
            <w:tcW w:w="993" w:type="pct"/>
            <w:tcBorders>
              <w:left w:val="nil"/>
            </w:tcBorders>
          </w:tcPr>
          <w:p w14:paraId="03D247D8" w14:textId="77777777" w:rsidR="00CB6CE1" w:rsidRPr="000B68D6" w:rsidRDefault="00CB6CE1" w:rsidP="00722D09">
            <w:pPr>
              <w:pStyle w:val="TableText0"/>
              <w:ind w:left="0"/>
            </w:pPr>
          </w:p>
        </w:tc>
      </w:tr>
      <w:tr w:rsidR="0004678C" w14:paraId="591FEA47" w14:textId="77777777" w:rsidTr="00CB6CE1">
        <w:tc>
          <w:tcPr>
            <w:tcW w:w="1806" w:type="pct"/>
          </w:tcPr>
          <w:p w14:paraId="638996DA" w14:textId="77777777" w:rsidR="0004678C" w:rsidRDefault="0004678C" w:rsidP="00722D09">
            <w:pPr>
              <w:pStyle w:val="TableText0"/>
              <w:ind w:left="0"/>
            </w:pPr>
            <w:r>
              <w:t>NMOSD-Ab testing</w:t>
            </w:r>
          </w:p>
        </w:tc>
        <w:tc>
          <w:tcPr>
            <w:tcW w:w="1178" w:type="pct"/>
            <w:gridSpan w:val="3"/>
          </w:tcPr>
          <w:p w14:paraId="306D05CF" w14:textId="45C22CC5" w:rsidR="0004678C" w:rsidRDefault="0004678C" w:rsidP="003D3A4C">
            <w:pPr>
              <w:pStyle w:val="TableText0"/>
              <w:ind w:left="0"/>
              <w:jc w:val="right"/>
            </w:pPr>
            <w:r w:rsidRPr="00ED0F14">
              <w:t>$2,880</w:t>
            </w:r>
          </w:p>
        </w:tc>
        <w:tc>
          <w:tcPr>
            <w:tcW w:w="1022" w:type="pct"/>
          </w:tcPr>
          <w:p w14:paraId="61849D28" w14:textId="355B9A9E" w:rsidR="0004678C" w:rsidRDefault="0004678C" w:rsidP="003D3A4C">
            <w:pPr>
              <w:pStyle w:val="TableText0"/>
              <w:ind w:left="0"/>
              <w:jc w:val="right"/>
            </w:pPr>
            <w:r w:rsidRPr="00265FB7">
              <w:t>0.2525</w:t>
            </w:r>
          </w:p>
        </w:tc>
        <w:tc>
          <w:tcPr>
            <w:tcW w:w="993" w:type="pct"/>
          </w:tcPr>
          <w:p w14:paraId="378DE1E5" w14:textId="536E20A8" w:rsidR="0004678C" w:rsidRDefault="0004678C" w:rsidP="003D3A4C">
            <w:pPr>
              <w:pStyle w:val="TableText0"/>
              <w:ind w:left="0"/>
              <w:jc w:val="right"/>
            </w:pPr>
            <w:r w:rsidRPr="00F56F4E">
              <w:t>0.1888</w:t>
            </w:r>
          </w:p>
        </w:tc>
      </w:tr>
      <w:tr w:rsidR="0004678C" w14:paraId="07B77B9C" w14:textId="77777777" w:rsidTr="00CB6CE1">
        <w:tc>
          <w:tcPr>
            <w:tcW w:w="1806" w:type="pct"/>
          </w:tcPr>
          <w:p w14:paraId="386B88B3" w14:textId="77777777" w:rsidR="0004678C" w:rsidRDefault="0004678C" w:rsidP="00722D09">
            <w:pPr>
              <w:pStyle w:val="TableText0"/>
              <w:ind w:left="0"/>
            </w:pPr>
            <w:r>
              <w:t>No Ab testing</w:t>
            </w:r>
          </w:p>
        </w:tc>
        <w:tc>
          <w:tcPr>
            <w:tcW w:w="1178" w:type="pct"/>
            <w:gridSpan w:val="3"/>
          </w:tcPr>
          <w:p w14:paraId="10680BE1" w14:textId="3A06B9DF" w:rsidR="0004678C" w:rsidRDefault="0004678C" w:rsidP="003D3A4C">
            <w:pPr>
              <w:pStyle w:val="TableText0"/>
              <w:ind w:left="0"/>
              <w:jc w:val="right"/>
            </w:pPr>
            <w:r w:rsidRPr="00ED0F14">
              <w:t>$4,607</w:t>
            </w:r>
          </w:p>
        </w:tc>
        <w:tc>
          <w:tcPr>
            <w:tcW w:w="1022" w:type="pct"/>
          </w:tcPr>
          <w:p w14:paraId="029C69D8" w14:textId="4B84F30D" w:rsidR="0004678C" w:rsidRDefault="0004678C" w:rsidP="003D3A4C">
            <w:pPr>
              <w:pStyle w:val="TableText0"/>
              <w:ind w:left="0"/>
              <w:jc w:val="right"/>
            </w:pPr>
            <w:r w:rsidRPr="00265FB7">
              <w:t>0.2447</w:t>
            </w:r>
          </w:p>
        </w:tc>
        <w:tc>
          <w:tcPr>
            <w:tcW w:w="993" w:type="pct"/>
          </w:tcPr>
          <w:p w14:paraId="4595324D" w14:textId="4B36137A" w:rsidR="0004678C" w:rsidRDefault="0004678C" w:rsidP="003D3A4C">
            <w:pPr>
              <w:pStyle w:val="TableText0"/>
              <w:ind w:left="0"/>
              <w:jc w:val="right"/>
            </w:pPr>
            <w:r w:rsidRPr="00F56F4E">
              <w:t>0.3047</w:t>
            </w:r>
          </w:p>
        </w:tc>
      </w:tr>
      <w:tr w:rsidR="0004678C" w:rsidRPr="006E23C5" w14:paraId="3B9FC296" w14:textId="77777777" w:rsidTr="00CB6CE1">
        <w:tc>
          <w:tcPr>
            <w:tcW w:w="1806" w:type="pct"/>
            <w:tcBorders>
              <w:bottom w:val="single" w:sz="4" w:space="0" w:color="auto"/>
            </w:tcBorders>
          </w:tcPr>
          <w:p w14:paraId="250DCCAA" w14:textId="77777777" w:rsidR="0004678C" w:rsidRPr="006E23C5" w:rsidRDefault="0004678C" w:rsidP="00722D09">
            <w:pPr>
              <w:pStyle w:val="TableText0"/>
              <w:ind w:left="0"/>
            </w:pPr>
            <w:r w:rsidRPr="006E23C5">
              <w:t>Increment (Ab testing – No Ab testing)</w:t>
            </w:r>
          </w:p>
        </w:tc>
        <w:tc>
          <w:tcPr>
            <w:tcW w:w="1178" w:type="pct"/>
            <w:gridSpan w:val="3"/>
            <w:tcBorders>
              <w:bottom w:val="single" w:sz="4" w:space="0" w:color="auto"/>
            </w:tcBorders>
          </w:tcPr>
          <w:p w14:paraId="1D716A0E" w14:textId="31BAFEA1" w:rsidR="0004678C" w:rsidRPr="0004678C" w:rsidRDefault="0004678C" w:rsidP="003D3A4C">
            <w:pPr>
              <w:pStyle w:val="TableText0"/>
              <w:ind w:left="0"/>
              <w:jc w:val="right"/>
            </w:pPr>
            <w:r w:rsidRPr="0004678C">
              <w:t>–$1,727</w:t>
            </w:r>
          </w:p>
        </w:tc>
        <w:tc>
          <w:tcPr>
            <w:tcW w:w="1022" w:type="pct"/>
            <w:tcBorders>
              <w:bottom w:val="single" w:sz="4" w:space="0" w:color="auto"/>
            </w:tcBorders>
          </w:tcPr>
          <w:p w14:paraId="22FE5BD3" w14:textId="63DBD2BB" w:rsidR="0004678C" w:rsidRPr="0004678C" w:rsidRDefault="0004678C" w:rsidP="003D3A4C">
            <w:pPr>
              <w:pStyle w:val="TableText0"/>
              <w:ind w:left="0"/>
              <w:jc w:val="right"/>
            </w:pPr>
            <w:r w:rsidRPr="0004678C">
              <w:t>0.0078</w:t>
            </w:r>
          </w:p>
        </w:tc>
        <w:tc>
          <w:tcPr>
            <w:tcW w:w="993" w:type="pct"/>
            <w:tcBorders>
              <w:bottom w:val="single" w:sz="4" w:space="0" w:color="auto"/>
            </w:tcBorders>
          </w:tcPr>
          <w:p w14:paraId="13158519" w14:textId="72973A3D" w:rsidR="0004678C" w:rsidRPr="0004678C" w:rsidRDefault="0004678C" w:rsidP="003D3A4C">
            <w:pPr>
              <w:pStyle w:val="TableText0"/>
              <w:ind w:left="0"/>
              <w:jc w:val="right"/>
            </w:pPr>
            <w:r w:rsidRPr="0004678C">
              <w:t>–0.1158</w:t>
            </w:r>
          </w:p>
        </w:tc>
      </w:tr>
      <w:tr w:rsidR="00CB6CE1" w:rsidRPr="00D2308B" w14:paraId="70E19E9B" w14:textId="77777777" w:rsidTr="00CB6CE1">
        <w:tc>
          <w:tcPr>
            <w:tcW w:w="2356" w:type="pct"/>
            <w:gridSpan w:val="3"/>
            <w:tcBorders>
              <w:right w:val="nil"/>
            </w:tcBorders>
          </w:tcPr>
          <w:p w14:paraId="7AF8B84D" w14:textId="77777777" w:rsidR="00CB6CE1" w:rsidRPr="003D1442" w:rsidRDefault="00CB6CE1" w:rsidP="003D3A4C">
            <w:pPr>
              <w:pStyle w:val="TableText0"/>
              <w:ind w:left="0"/>
              <w:jc w:val="right"/>
              <w:rPr>
                <w:b/>
                <w:vertAlign w:val="superscript"/>
              </w:rPr>
            </w:pPr>
            <w:r w:rsidRPr="003D1442">
              <w:t>S</w:t>
            </w:r>
            <w:r>
              <w:t>cenario 2</w:t>
            </w:r>
            <w:r w:rsidRPr="003D1442">
              <w:t xml:space="preserve"> (AQP4-Ab + </w:t>
            </w:r>
            <w:r>
              <w:t xml:space="preserve">sequential </w:t>
            </w:r>
            <w:r w:rsidRPr="003D1442">
              <w:t>MOG-Ab testing)</w:t>
            </w:r>
            <w:r>
              <w:t xml:space="preserve"> </w:t>
            </w:r>
            <w:r>
              <w:rPr>
                <w:vertAlign w:val="superscript"/>
              </w:rPr>
              <w:t>a</w:t>
            </w:r>
          </w:p>
        </w:tc>
        <w:tc>
          <w:tcPr>
            <w:tcW w:w="629" w:type="pct"/>
            <w:tcBorders>
              <w:left w:val="nil"/>
              <w:right w:val="nil"/>
            </w:tcBorders>
          </w:tcPr>
          <w:p w14:paraId="32C34A93" w14:textId="77777777" w:rsidR="00CB6CE1" w:rsidRPr="00D2308B" w:rsidRDefault="00CB6CE1" w:rsidP="003D3A4C">
            <w:pPr>
              <w:pStyle w:val="TableText0"/>
              <w:ind w:left="0"/>
              <w:jc w:val="right"/>
            </w:pPr>
          </w:p>
        </w:tc>
        <w:tc>
          <w:tcPr>
            <w:tcW w:w="1022" w:type="pct"/>
            <w:tcBorders>
              <w:left w:val="nil"/>
              <w:right w:val="nil"/>
            </w:tcBorders>
          </w:tcPr>
          <w:p w14:paraId="0910B2C3" w14:textId="77777777" w:rsidR="00CB6CE1" w:rsidRPr="00D2308B" w:rsidRDefault="00CB6CE1" w:rsidP="003D3A4C">
            <w:pPr>
              <w:pStyle w:val="TableText0"/>
              <w:ind w:left="0"/>
              <w:jc w:val="right"/>
            </w:pPr>
          </w:p>
        </w:tc>
        <w:tc>
          <w:tcPr>
            <w:tcW w:w="993" w:type="pct"/>
            <w:tcBorders>
              <w:left w:val="nil"/>
            </w:tcBorders>
          </w:tcPr>
          <w:p w14:paraId="60A68FA5" w14:textId="77777777" w:rsidR="00CB6CE1" w:rsidRPr="00D2308B" w:rsidRDefault="00CB6CE1" w:rsidP="003D3A4C">
            <w:pPr>
              <w:pStyle w:val="TableText0"/>
              <w:ind w:left="0"/>
              <w:jc w:val="right"/>
            </w:pPr>
          </w:p>
        </w:tc>
      </w:tr>
      <w:tr w:rsidR="0004678C" w14:paraId="5017B869" w14:textId="77777777" w:rsidTr="00CB6CE1">
        <w:tc>
          <w:tcPr>
            <w:tcW w:w="1806" w:type="pct"/>
          </w:tcPr>
          <w:p w14:paraId="1A8E8F34" w14:textId="77777777" w:rsidR="0004678C" w:rsidRDefault="0004678C" w:rsidP="00722D09">
            <w:pPr>
              <w:pStyle w:val="TableText0"/>
              <w:ind w:left="0"/>
            </w:pPr>
            <w:r>
              <w:t>NMOSD-Ab testing</w:t>
            </w:r>
          </w:p>
        </w:tc>
        <w:tc>
          <w:tcPr>
            <w:tcW w:w="1178" w:type="pct"/>
            <w:gridSpan w:val="3"/>
          </w:tcPr>
          <w:p w14:paraId="6A189122" w14:textId="3CA9788F" w:rsidR="0004678C" w:rsidRDefault="0004678C" w:rsidP="003D3A4C">
            <w:pPr>
              <w:pStyle w:val="TableText0"/>
              <w:ind w:left="0"/>
              <w:jc w:val="right"/>
            </w:pPr>
            <w:r w:rsidRPr="00E26FC2">
              <w:t>$2,923</w:t>
            </w:r>
          </w:p>
        </w:tc>
        <w:tc>
          <w:tcPr>
            <w:tcW w:w="1022" w:type="pct"/>
          </w:tcPr>
          <w:p w14:paraId="4B84BDFC" w14:textId="6A22FCB0" w:rsidR="0004678C" w:rsidRDefault="0004678C" w:rsidP="003D3A4C">
            <w:pPr>
              <w:pStyle w:val="TableText0"/>
              <w:ind w:left="0"/>
              <w:jc w:val="right"/>
            </w:pPr>
            <w:r w:rsidRPr="005219C8">
              <w:t>0.2525</w:t>
            </w:r>
          </w:p>
        </w:tc>
        <w:tc>
          <w:tcPr>
            <w:tcW w:w="993" w:type="pct"/>
          </w:tcPr>
          <w:p w14:paraId="3E795752" w14:textId="5340ACBB" w:rsidR="0004678C" w:rsidRDefault="0004678C" w:rsidP="003D3A4C">
            <w:pPr>
              <w:pStyle w:val="TableText0"/>
              <w:ind w:left="0"/>
              <w:jc w:val="right"/>
            </w:pPr>
            <w:r w:rsidRPr="00BF21C5">
              <w:t>0.1888</w:t>
            </w:r>
          </w:p>
        </w:tc>
      </w:tr>
      <w:tr w:rsidR="0004678C" w14:paraId="6C9BFAD2" w14:textId="77777777" w:rsidTr="00CB6CE1">
        <w:tc>
          <w:tcPr>
            <w:tcW w:w="1806" w:type="pct"/>
          </w:tcPr>
          <w:p w14:paraId="390A62E5" w14:textId="77777777" w:rsidR="0004678C" w:rsidRDefault="0004678C" w:rsidP="00722D09">
            <w:pPr>
              <w:pStyle w:val="TableText0"/>
              <w:ind w:left="0"/>
            </w:pPr>
            <w:r>
              <w:t>No Ab testing</w:t>
            </w:r>
          </w:p>
        </w:tc>
        <w:tc>
          <w:tcPr>
            <w:tcW w:w="1178" w:type="pct"/>
            <w:gridSpan w:val="3"/>
          </w:tcPr>
          <w:p w14:paraId="5E80C15B" w14:textId="5029E416" w:rsidR="0004678C" w:rsidRDefault="0004678C" w:rsidP="003D3A4C">
            <w:pPr>
              <w:pStyle w:val="TableText0"/>
              <w:ind w:left="0"/>
              <w:jc w:val="right"/>
            </w:pPr>
            <w:r w:rsidRPr="00E26FC2">
              <w:t>$4,607</w:t>
            </w:r>
          </w:p>
        </w:tc>
        <w:tc>
          <w:tcPr>
            <w:tcW w:w="1022" w:type="pct"/>
          </w:tcPr>
          <w:p w14:paraId="0C86BBEB" w14:textId="7A415F7E" w:rsidR="0004678C" w:rsidRDefault="0004678C" w:rsidP="003D3A4C">
            <w:pPr>
              <w:pStyle w:val="TableText0"/>
              <w:ind w:left="0"/>
              <w:jc w:val="right"/>
            </w:pPr>
            <w:r w:rsidRPr="005219C8">
              <w:t>0.2447</w:t>
            </w:r>
          </w:p>
        </w:tc>
        <w:tc>
          <w:tcPr>
            <w:tcW w:w="993" w:type="pct"/>
          </w:tcPr>
          <w:p w14:paraId="27E3E384" w14:textId="7A4B1353" w:rsidR="0004678C" w:rsidRDefault="0004678C" w:rsidP="003D3A4C">
            <w:pPr>
              <w:pStyle w:val="TableText0"/>
              <w:ind w:left="0"/>
              <w:jc w:val="right"/>
            </w:pPr>
            <w:r w:rsidRPr="00BF21C5">
              <w:t>0.3047</w:t>
            </w:r>
          </w:p>
        </w:tc>
      </w:tr>
      <w:tr w:rsidR="0004678C" w:rsidRPr="006E23C5" w14:paraId="57DE29C5" w14:textId="77777777" w:rsidTr="00CB6CE1">
        <w:tc>
          <w:tcPr>
            <w:tcW w:w="1806" w:type="pct"/>
          </w:tcPr>
          <w:p w14:paraId="36F22926" w14:textId="77777777" w:rsidR="0004678C" w:rsidRPr="006E23C5" w:rsidRDefault="0004678C" w:rsidP="00722D09">
            <w:pPr>
              <w:pStyle w:val="TableText0"/>
              <w:ind w:left="0"/>
            </w:pPr>
            <w:r w:rsidRPr="006E23C5">
              <w:t>Increment (Ab testing – No Ab testing)</w:t>
            </w:r>
          </w:p>
        </w:tc>
        <w:tc>
          <w:tcPr>
            <w:tcW w:w="1178" w:type="pct"/>
            <w:gridSpan w:val="3"/>
          </w:tcPr>
          <w:p w14:paraId="03216F26" w14:textId="34C2A102" w:rsidR="0004678C" w:rsidRPr="0004678C" w:rsidRDefault="0004678C" w:rsidP="003D3A4C">
            <w:pPr>
              <w:pStyle w:val="TableText0"/>
              <w:ind w:left="0"/>
              <w:jc w:val="right"/>
            </w:pPr>
            <w:r w:rsidRPr="0004678C">
              <w:t>–$1,684</w:t>
            </w:r>
          </w:p>
        </w:tc>
        <w:tc>
          <w:tcPr>
            <w:tcW w:w="1022" w:type="pct"/>
          </w:tcPr>
          <w:p w14:paraId="34B1BE33" w14:textId="53899238" w:rsidR="0004678C" w:rsidRPr="0004678C" w:rsidRDefault="0004678C" w:rsidP="003D3A4C">
            <w:pPr>
              <w:pStyle w:val="TableText0"/>
              <w:ind w:left="0"/>
              <w:jc w:val="right"/>
            </w:pPr>
            <w:r w:rsidRPr="0004678C">
              <w:t>0.0078</w:t>
            </w:r>
          </w:p>
        </w:tc>
        <w:tc>
          <w:tcPr>
            <w:tcW w:w="993" w:type="pct"/>
          </w:tcPr>
          <w:p w14:paraId="21DA899E" w14:textId="714207A3" w:rsidR="0004678C" w:rsidRPr="0004678C" w:rsidRDefault="0004678C" w:rsidP="003D3A4C">
            <w:pPr>
              <w:pStyle w:val="TableText0"/>
              <w:ind w:left="0"/>
              <w:jc w:val="right"/>
            </w:pPr>
            <w:r w:rsidRPr="0004678C">
              <w:t>–0.1158</w:t>
            </w:r>
          </w:p>
        </w:tc>
      </w:tr>
    </w:tbl>
    <w:p w14:paraId="00F54D53" w14:textId="77777777" w:rsidR="00CB6CE1" w:rsidRDefault="00CB6CE1" w:rsidP="00CB6CE1">
      <w:pPr>
        <w:pStyle w:val="Tablenotes0"/>
      </w:pPr>
      <w:r>
        <w:rPr>
          <w:vertAlign w:val="superscript"/>
        </w:rPr>
        <w:t xml:space="preserve">a </w:t>
      </w:r>
      <w:r>
        <w:t>Assuming all AQP4-Ab negative patients will undergo sequential MOG-Ab testing.</w:t>
      </w:r>
    </w:p>
    <w:p w14:paraId="5DA42C10" w14:textId="77777777" w:rsidR="00CB6CE1" w:rsidRDefault="00CB6CE1" w:rsidP="00CB6CE1">
      <w:pPr>
        <w:pStyle w:val="Tablenotes0"/>
      </w:pPr>
      <w:r>
        <w:t>Ab = antibody; AQP4 = aquaporin 4; MOG =</w:t>
      </w:r>
      <w:r w:rsidRPr="001635F6">
        <w:t xml:space="preserve"> </w:t>
      </w:r>
      <w:r>
        <w:t>m</w:t>
      </w:r>
      <w:r w:rsidRPr="001635F6">
        <w:t>yelin oligodendrocyte glycoprotein</w:t>
      </w:r>
      <w:r>
        <w:t>; NMOSD = neuromyelitis optica; QALY = Quality-adjusted life year</w:t>
      </w:r>
    </w:p>
    <w:p w14:paraId="7E3B4384" w14:textId="3CE59FEA" w:rsidR="00CB6CE1" w:rsidRDefault="00CB6CE1" w:rsidP="00CB6CE1">
      <w:r>
        <w:t xml:space="preserve">When AQP4-Ab and MOG-Ab tests are performed concurrently (Scenario 1, </w:t>
      </w:r>
      <w:r>
        <w:fldChar w:fldCharType="begin"/>
      </w:r>
      <w:r>
        <w:instrText xml:space="preserve"> REF _Ref37161026 \h </w:instrText>
      </w:r>
      <w:r>
        <w:fldChar w:fldCharType="separate"/>
      </w:r>
      <w:r w:rsidR="006E2BA9" w:rsidRPr="00095358">
        <w:t xml:space="preserve">Table </w:t>
      </w:r>
      <w:r w:rsidR="006E2BA9">
        <w:rPr>
          <w:noProof/>
        </w:rPr>
        <w:t>83</w:t>
      </w:r>
      <w:r>
        <w:fldChar w:fldCharType="end"/>
      </w:r>
      <w:r>
        <w:t>), it results in a net cost saving of $</w:t>
      </w:r>
      <w:r w:rsidR="00FE43B3">
        <w:t>1,727</w:t>
      </w:r>
      <w:r>
        <w:t xml:space="preserve"> with </w:t>
      </w:r>
      <w:r w:rsidR="00FE43B3">
        <w:t>0.0078</w:t>
      </w:r>
      <w:r>
        <w:t xml:space="preserve"> additional QALYs </w:t>
      </w:r>
      <w:r w:rsidR="00722D09">
        <w:t xml:space="preserve">($214,358 saving per QALY gained) </w:t>
      </w:r>
      <w:r>
        <w:t xml:space="preserve">compared with no testing. Additionally, antibody testing results in </w:t>
      </w:r>
      <w:r w:rsidR="00FE43B3">
        <w:t>11.</w:t>
      </w:r>
      <w:r>
        <w:t>5% fewer relapses compared with no testing.</w:t>
      </w:r>
    </w:p>
    <w:p w14:paraId="429A253A" w14:textId="684B9759" w:rsidR="00CB6CE1" w:rsidRDefault="00CB6CE1" w:rsidP="00CB6CE1">
      <w:r>
        <w:t xml:space="preserve">When AQP4-Ab and sequential MOG-Ab tests are performed (Scenario 2, </w:t>
      </w:r>
      <w:r>
        <w:fldChar w:fldCharType="begin"/>
      </w:r>
      <w:r>
        <w:instrText xml:space="preserve"> REF _Ref37161026 \h </w:instrText>
      </w:r>
      <w:r>
        <w:fldChar w:fldCharType="separate"/>
      </w:r>
      <w:r w:rsidR="006E2BA9" w:rsidRPr="00095358">
        <w:t xml:space="preserve">Table </w:t>
      </w:r>
      <w:r w:rsidR="006E2BA9">
        <w:rPr>
          <w:noProof/>
        </w:rPr>
        <w:t>83</w:t>
      </w:r>
      <w:r>
        <w:fldChar w:fldCharType="end"/>
      </w:r>
      <w:r>
        <w:t>), it results in a net cost saving of $</w:t>
      </w:r>
      <w:r w:rsidR="00FE43B3">
        <w:t>1,684</w:t>
      </w:r>
      <w:r>
        <w:t xml:space="preserve"> with 0.</w:t>
      </w:r>
      <w:r w:rsidR="00FE43B3">
        <w:t xml:space="preserve">0078 </w:t>
      </w:r>
      <w:r>
        <w:t xml:space="preserve">additional QALYs compared with no testing. Likewise, antibody testing results in </w:t>
      </w:r>
      <w:r w:rsidR="00FE43B3">
        <w:t>11.</w:t>
      </w:r>
      <w:r>
        <w:t>5% fewer relapses compared with no testing.</w:t>
      </w:r>
    </w:p>
    <w:p w14:paraId="2E92E8BB" w14:textId="77777777" w:rsidR="00CB6CE1" w:rsidRDefault="00CB6CE1" w:rsidP="00CB6CE1">
      <w:r>
        <w:t>Overall, the results of scenario analyses suggest that NMOSD-Ab testing strategy is less costly and more effective (dominant) compared with no Ab testing with respect to diagnostic strategies (AQP4-Ab + concurrent/sequential MOG-Ab testing) and all clinical outcomes assessed.</w:t>
      </w:r>
    </w:p>
    <w:p w14:paraId="54F70C6C" w14:textId="77777777" w:rsidR="00CB6CE1" w:rsidRPr="00B35E47" w:rsidRDefault="00095358" w:rsidP="00095358">
      <w:pPr>
        <w:pStyle w:val="Heading2"/>
      </w:pPr>
      <w:bookmarkStart w:id="498" w:name="_Toc34212322"/>
      <w:bookmarkStart w:id="499" w:name="_Toc38031969"/>
      <w:bookmarkStart w:id="500" w:name="_Toc39588376"/>
      <w:r>
        <w:lastRenderedPageBreak/>
        <w:t>D6</w:t>
      </w:r>
      <w:r>
        <w:tab/>
      </w:r>
      <w:r w:rsidR="00CB6CE1" w:rsidRPr="00B35E47">
        <w:t>Sensitivity analyses</w:t>
      </w:r>
      <w:bookmarkEnd w:id="498"/>
      <w:bookmarkEnd w:id="499"/>
      <w:bookmarkEnd w:id="500"/>
    </w:p>
    <w:bookmarkEnd w:id="491"/>
    <w:p w14:paraId="24A477CF" w14:textId="77777777" w:rsidR="00CB6CE1" w:rsidRDefault="00CB6CE1" w:rsidP="00CB6CE1">
      <w:r w:rsidRPr="00B01EE9">
        <w:t xml:space="preserve">Uncertainties in the parameter values chosen for the base-case were discussed in section C and D.4. Univariate sensitivity analyses were performed using the extreme values of these model parameters for </w:t>
      </w:r>
      <w:r>
        <w:t>base-case model.</w:t>
      </w:r>
    </w:p>
    <w:p w14:paraId="5494FB3E" w14:textId="393484AC" w:rsidR="00CB6CE1" w:rsidRDefault="00CB6CE1" w:rsidP="00CB6CE1">
      <w:pPr>
        <w:rPr>
          <w:noProof/>
        </w:rPr>
      </w:pPr>
      <w:r>
        <w:rPr>
          <w:noProof/>
        </w:rPr>
        <w:t>The modelled results were robust for all sensitivity analyses. They predict that the proposed NMOSD-Ab test would be dominant (have cost savings and more effectiveness) compared to the hypothetical comparator of no testing across all ranges of tested variables. However, the average cost per patient (and therefore cost-savings) and other clinical outcomes are sensitive to the modelled time-horizon (due to treatment costs and effect being similar after correct diagnosis is received), proportion of patients receving rituximab (due to higher costs associated with rituximab treatment), time to correct diagnosis, and health utility value chosen for the health states no/mild disability and severe disbaility, but nonetheless, testing remained dominant for all alternative inputs tested.</w:t>
      </w:r>
    </w:p>
    <w:p w14:paraId="5148725E" w14:textId="423988D6" w:rsidR="00722D09" w:rsidRDefault="00CB6CE1" w:rsidP="00CB6CE1">
      <w:pPr>
        <w:rPr>
          <w:noProof/>
        </w:rPr>
      </w:pPr>
      <w:r>
        <w:rPr>
          <w:noProof/>
        </w:rPr>
        <w:fldChar w:fldCharType="begin"/>
      </w:r>
      <w:r>
        <w:rPr>
          <w:noProof/>
        </w:rPr>
        <w:instrText xml:space="preserve"> REF _Ref37174080 \h </w:instrText>
      </w:r>
      <w:r>
        <w:rPr>
          <w:noProof/>
        </w:rPr>
      </w:r>
      <w:r>
        <w:rPr>
          <w:noProof/>
        </w:rPr>
        <w:fldChar w:fldCharType="separate"/>
      </w:r>
      <w:r w:rsidR="00340849">
        <w:t xml:space="preserve">Figure </w:t>
      </w:r>
      <w:r w:rsidR="00340849">
        <w:rPr>
          <w:noProof/>
        </w:rPr>
        <w:t>10</w:t>
      </w:r>
      <w:r>
        <w:rPr>
          <w:noProof/>
        </w:rPr>
        <w:fldChar w:fldCharType="end"/>
      </w:r>
      <w:r>
        <w:rPr>
          <w:noProof/>
        </w:rPr>
        <w:t xml:space="preserve"> summarises the key sensitivity analyses undertaken for the modelled outcomes.</w:t>
      </w:r>
      <w:r w:rsidR="00BE4D8C">
        <w:rPr>
          <w:noProof/>
        </w:rPr>
        <w:t xml:space="preserve"> </w:t>
      </w:r>
    </w:p>
    <w:p w14:paraId="0A9F4535" w14:textId="729F360E" w:rsidR="00722D09" w:rsidRDefault="00722D09" w:rsidP="00722D09">
      <w:pPr>
        <w:rPr>
          <w:noProof/>
        </w:rPr>
      </w:pPr>
      <w:r>
        <w:rPr>
          <w:noProof/>
        </w:rPr>
        <w:t xml:space="preserve">A graphical trace showing the incremental cost-effectiveness per QALY over varied over the time-horizon range is presented in the </w:t>
      </w:r>
      <w:r>
        <w:rPr>
          <w:noProof/>
        </w:rPr>
        <w:fldChar w:fldCharType="begin"/>
      </w:r>
      <w:r>
        <w:rPr>
          <w:noProof/>
        </w:rPr>
        <w:instrText xml:space="preserve"> REF _Ref39248893 \h </w:instrText>
      </w:r>
      <w:r>
        <w:rPr>
          <w:noProof/>
        </w:rPr>
      </w:r>
      <w:r>
        <w:rPr>
          <w:noProof/>
        </w:rPr>
        <w:fldChar w:fldCharType="separate"/>
      </w:r>
      <w:r w:rsidR="005E0404">
        <w:t xml:space="preserve">Figure </w:t>
      </w:r>
      <w:r w:rsidR="005E0404">
        <w:rPr>
          <w:noProof/>
        </w:rPr>
        <w:t>11</w:t>
      </w:r>
      <w:r>
        <w:rPr>
          <w:noProof/>
        </w:rPr>
        <w:fldChar w:fldCharType="end"/>
      </w:r>
      <w:r>
        <w:rPr>
          <w:noProof/>
        </w:rPr>
        <w:t>,</w:t>
      </w:r>
      <w:r w:rsidR="005E0404">
        <w:rPr>
          <w:noProof/>
        </w:rPr>
        <w:t xml:space="preserve"> </w:t>
      </w:r>
      <w:r w:rsidR="005E0404">
        <w:rPr>
          <w:noProof/>
        </w:rPr>
        <w:fldChar w:fldCharType="begin"/>
      </w:r>
      <w:r w:rsidR="005E0404">
        <w:rPr>
          <w:noProof/>
        </w:rPr>
        <w:instrText xml:space="preserve"> REF _Ref79672354 \h </w:instrText>
      </w:r>
      <w:r w:rsidR="005E0404">
        <w:rPr>
          <w:noProof/>
        </w:rPr>
      </w:r>
      <w:r w:rsidR="005E0404">
        <w:rPr>
          <w:noProof/>
        </w:rPr>
        <w:fldChar w:fldCharType="separate"/>
      </w:r>
      <w:r w:rsidR="005E0404">
        <w:t xml:space="preserve">Appendix </w:t>
      </w:r>
      <w:r w:rsidR="005E0404">
        <w:rPr>
          <w:noProof/>
        </w:rPr>
        <w:t>I</w:t>
      </w:r>
      <w:r w:rsidR="005E0404">
        <w:rPr>
          <w:noProof/>
        </w:rPr>
        <w:fldChar w:fldCharType="end"/>
      </w:r>
      <w:r>
        <w:rPr>
          <w:noProof/>
        </w:rPr>
        <w:t>. Although there is no additional test-driven benefits after 3.3 years (as it is assumed all pateints then have a correct diagnosis and thereafter receive appropriate treatment), some ongoing savings and health outcome benefits associated with the correct diagnosis being provided intially (3.3 years ahead of some patients in the comparator arm) persist over an extended time horizon and the testing strategy remains dominant in the long-term analysis.</w:t>
      </w:r>
    </w:p>
    <w:p w14:paraId="67895FA9" w14:textId="72904F16" w:rsidR="00CB6CE1" w:rsidRDefault="002B3014" w:rsidP="00CB6CE1">
      <w:pPr>
        <w:keepNext/>
      </w:pPr>
      <w:r>
        <w:rPr>
          <w:noProof/>
        </w:rPr>
        <w:drawing>
          <wp:inline distT="0" distB="0" distL="0" distR="0" wp14:anchorId="2592EAA7" wp14:editId="5CE85F35">
            <wp:extent cx="5687535" cy="3697357"/>
            <wp:effectExtent l="0" t="0" r="8890" b="0"/>
            <wp:docPr id="21" name="Picture 21" descr="Tornado sensitivity analyses diagram, base-case scenario" title="Figure 19 Tornado sensitivity analyses diagram, base-cas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95638" cy="3702625"/>
                    </a:xfrm>
                    <a:prstGeom prst="rect">
                      <a:avLst/>
                    </a:prstGeom>
                    <a:noFill/>
                  </pic:spPr>
                </pic:pic>
              </a:graphicData>
            </a:graphic>
          </wp:inline>
        </w:drawing>
      </w:r>
    </w:p>
    <w:p w14:paraId="1C27CA9C" w14:textId="2E326A98" w:rsidR="00CB6CE1" w:rsidRDefault="00CB6CE1" w:rsidP="00CB6CE1">
      <w:pPr>
        <w:pStyle w:val="Caption"/>
      </w:pPr>
      <w:bookmarkStart w:id="501" w:name="_Ref37174080"/>
      <w:bookmarkStart w:id="502" w:name="_Toc79672141"/>
      <w:r>
        <w:t xml:space="preserve">Figure </w:t>
      </w:r>
      <w:fldSimple w:instr=" SEQ Figure \* ARABIC ">
        <w:r w:rsidR="00340849">
          <w:rPr>
            <w:noProof/>
          </w:rPr>
          <w:t>10</w:t>
        </w:r>
      </w:fldSimple>
      <w:bookmarkEnd w:id="501"/>
      <w:r>
        <w:tab/>
        <w:t>Tornado sensitivity analyses diagram, base-case scenario</w:t>
      </w:r>
      <w:bookmarkEnd w:id="502"/>
    </w:p>
    <w:p w14:paraId="3D9491F2" w14:textId="77777777" w:rsidR="00CB6CE1" w:rsidRPr="00006030" w:rsidRDefault="00CB6CE1" w:rsidP="00CB6CE1">
      <w:pPr>
        <w:pStyle w:val="Tablenotes0"/>
      </w:pPr>
      <w:r>
        <w:t>AQP4-Ab = aquaporin 4 antibody; ICER= incremental cost-effectiveness ratio; IST = immunosuppressive therapy; QALY = quality-adjusted life years</w:t>
      </w:r>
    </w:p>
    <w:p w14:paraId="07AFD180" w14:textId="77777777" w:rsidR="00CB6CE1" w:rsidRPr="00B35E47" w:rsidRDefault="00CB6CE1" w:rsidP="00CB6CE1">
      <w:r>
        <w:lastRenderedPageBreak/>
        <w:t>Although a number of assumptions were required to develop the model and data inputs were uncertain, particularly given the historical nature of the comparison, the fact that the sensitivity analyses consistently yielded dominant results (resource savings and health outcome benefits) for NMOSD-Ab testing vs no testing, this would suggest that, despite the limitations or any inaccuracies that may exist in the model, it is unlikely that Ab testing for NMO/NMOSD would not be cost-effective in practice.</w:t>
      </w:r>
    </w:p>
    <w:p w14:paraId="7F04D424" w14:textId="77777777" w:rsidR="00ED65EE" w:rsidRPr="00183E4D" w:rsidRDefault="00ED65EE" w:rsidP="00ED65EE">
      <w:pPr>
        <w:spacing w:after="0" w:line="240" w:lineRule="auto"/>
      </w:pPr>
      <w:r w:rsidRPr="00183E4D">
        <w:br w:type="page"/>
      </w:r>
    </w:p>
    <w:p w14:paraId="774B7591" w14:textId="77777777" w:rsidR="00ED65EE" w:rsidRPr="00183E4D" w:rsidRDefault="00ED65EE" w:rsidP="00ED65EE">
      <w:pPr>
        <w:pStyle w:val="Heading1"/>
        <w:jc w:val="both"/>
      </w:pPr>
      <w:bookmarkStart w:id="503" w:name="_Toc39588377"/>
      <w:bookmarkStart w:id="504" w:name="_Ref379274614"/>
      <w:bookmarkEnd w:id="413"/>
      <w:r w:rsidRPr="00183E4D">
        <w:lastRenderedPageBreak/>
        <w:t xml:space="preserve">Section </w:t>
      </w:r>
      <w:r>
        <w:t>E</w:t>
      </w:r>
      <w:r w:rsidRPr="00183E4D">
        <w:tab/>
      </w:r>
      <w:r>
        <w:t>Financial Implications</w:t>
      </w:r>
      <w:bookmarkEnd w:id="503"/>
    </w:p>
    <w:p w14:paraId="24EA2BB2" w14:textId="77777777" w:rsidR="00095358" w:rsidRPr="00B35E47" w:rsidRDefault="00095358" w:rsidP="00095358">
      <w:pPr>
        <w:pStyle w:val="Heading2"/>
      </w:pPr>
      <w:bookmarkStart w:id="505" w:name="_Toc214091269"/>
      <w:bookmarkStart w:id="506" w:name="_Toc341796089"/>
      <w:bookmarkStart w:id="507" w:name="_Toc432677419"/>
      <w:bookmarkStart w:id="508" w:name="_Toc38031971"/>
      <w:bookmarkStart w:id="509" w:name="_Toc39588378"/>
      <w:bookmarkStart w:id="510" w:name="_Toc379118085"/>
      <w:bookmarkStart w:id="511" w:name="_Toc381796472"/>
      <w:bookmarkStart w:id="512" w:name="_Toc379118089"/>
      <w:bookmarkStart w:id="513" w:name="_Toc381796487"/>
      <w:bookmarkStart w:id="514" w:name="_Ref352745383"/>
      <w:bookmarkStart w:id="515" w:name="_Toc352254677"/>
      <w:bookmarkStart w:id="516" w:name="_Toc352672949"/>
      <w:bookmarkStart w:id="517" w:name="_Toc355274740"/>
      <w:bookmarkStart w:id="518" w:name="_Toc379118097"/>
      <w:bookmarkStart w:id="519" w:name="_Toc381796496"/>
      <w:bookmarkStart w:id="520" w:name="_Ref237760111"/>
      <w:bookmarkEnd w:id="504"/>
      <w:r>
        <w:t>E1</w:t>
      </w:r>
      <w:r>
        <w:tab/>
      </w:r>
      <w:r w:rsidRPr="00B35E47">
        <w:t>Justification of the Selection of Sources of Data</w:t>
      </w:r>
      <w:bookmarkEnd w:id="505"/>
      <w:bookmarkEnd w:id="506"/>
      <w:bookmarkEnd w:id="507"/>
      <w:bookmarkEnd w:id="508"/>
      <w:bookmarkEnd w:id="509"/>
    </w:p>
    <w:p w14:paraId="469B146B" w14:textId="77777777" w:rsidR="00095358" w:rsidRPr="00B35E47" w:rsidRDefault="00095358" w:rsidP="00095358">
      <w:r w:rsidRPr="00B35E47">
        <w:t>NMOSD antibody (AQP4-Ab and MOG-Ab) testing is currently performed in Australia, and has been funded under MBS items 71119 or 71165 for more than 10 years. Therefore, a market-based approach is used to estimate the financial implications of a potential listing of NMOSD antibody testing on the MBS.</w:t>
      </w:r>
    </w:p>
    <w:p w14:paraId="466B3505" w14:textId="77777777" w:rsidR="00095358" w:rsidRPr="00B35E47" w:rsidRDefault="00095358" w:rsidP="00095358">
      <w:r w:rsidRPr="00E70535">
        <w:fldChar w:fldCharType="begin"/>
      </w:r>
      <w:r w:rsidRPr="00E70535">
        <w:instrText xml:space="preserve"> REF _Ref10449955 \h </w:instrText>
      </w:r>
      <w:r>
        <w:instrText xml:space="preserve"> \* MERGEFORMAT </w:instrText>
      </w:r>
      <w:r w:rsidRPr="00E70535">
        <w:fldChar w:fldCharType="separate"/>
      </w:r>
      <w:r w:rsidR="006E2BA9" w:rsidRPr="00B35E47">
        <w:t xml:space="preserve">Table </w:t>
      </w:r>
      <w:r w:rsidR="006E2BA9">
        <w:t>84</w:t>
      </w:r>
      <w:r w:rsidRPr="00E70535">
        <w:fldChar w:fldCharType="end"/>
      </w:r>
      <w:r w:rsidRPr="00B35E47">
        <w:t xml:space="preserve"> summarises the data and sources used in the financial analysis.</w:t>
      </w:r>
    </w:p>
    <w:p w14:paraId="19DDED17" w14:textId="66BBC33E" w:rsidR="00095358" w:rsidRPr="00B35E47" w:rsidRDefault="00095358" w:rsidP="00095358">
      <w:pPr>
        <w:pStyle w:val="Caption"/>
      </w:pPr>
      <w:bookmarkStart w:id="521" w:name="_Ref10449955"/>
      <w:bookmarkStart w:id="522" w:name="_Toc6401943"/>
      <w:bookmarkStart w:id="523" w:name="_Toc8379397"/>
      <w:bookmarkStart w:id="524" w:name="_Toc11240574"/>
      <w:bookmarkStart w:id="525" w:name="_Toc36054857"/>
      <w:bookmarkStart w:id="526" w:name="_Toc39580865"/>
      <w:r w:rsidRPr="00B35E47">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84</w:t>
      </w:r>
      <w:r w:rsidRPr="00B35E47">
        <w:rPr>
          <w:noProof/>
        </w:rPr>
        <w:fldChar w:fldCharType="end"/>
      </w:r>
      <w:bookmarkEnd w:id="521"/>
      <w:r w:rsidRPr="00B35E47">
        <w:tab/>
        <w:t>Data and sources used in the financial analysis</w:t>
      </w:r>
      <w:bookmarkEnd w:id="522"/>
      <w:bookmarkEnd w:id="523"/>
      <w:bookmarkEnd w:id="524"/>
      <w:bookmarkEnd w:id="525"/>
      <w:bookmarkEnd w:id="526"/>
    </w:p>
    <w:tbl>
      <w:tblPr>
        <w:tblStyle w:val="TableGrid7"/>
        <w:tblW w:w="5000" w:type="pct"/>
        <w:tblLook w:val="04A0" w:firstRow="1" w:lastRow="0" w:firstColumn="1" w:lastColumn="0" w:noHBand="0" w:noVBand="1"/>
        <w:tblCaption w:val="Data and sources used in the financial analysis"/>
        <w:tblDescription w:val="Data and sources used in the financial analysis"/>
      </w:tblPr>
      <w:tblGrid>
        <w:gridCol w:w="4106"/>
        <w:gridCol w:w="1843"/>
        <w:gridCol w:w="3067"/>
      </w:tblGrid>
      <w:tr w:rsidR="00095358" w:rsidRPr="00722D09" w14:paraId="48FF3E7F" w14:textId="77777777" w:rsidTr="00095358">
        <w:trPr>
          <w:tblHeader/>
        </w:trPr>
        <w:tc>
          <w:tcPr>
            <w:tcW w:w="2277" w:type="pct"/>
          </w:tcPr>
          <w:p w14:paraId="71DD50E3" w14:textId="77777777" w:rsidR="00095358" w:rsidRPr="00722D09" w:rsidRDefault="00095358" w:rsidP="00722D09">
            <w:pPr>
              <w:pStyle w:val="TableHeading"/>
              <w:ind w:left="0"/>
            </w:pPr>
            <w:r w:rsidRPr="00722D09">
              <w:t>Description</w:t>
            </w:r>
          </w:p>
        </w:tc>
        <w:tc>
          <w:tcPr>
            <w:tcW w:w="1022" w:type="pct"/>
          </w:tcPr>
          <w:p w14:paraId="527503E2" w14:textId="77777777" w:rsidR="00095358" w:rsidRPr="00722D09" w:rsidRDefault="00095358" w:rsidP="00722D09">
            <w:pPr>
              <w:pStyle w:val="TableHeading"/>
              <w:ind w:left="0"/>
            </w:pPr>
            <w:r w:rsidRPr="00722D09">
              <w:t>Value used</w:t>
            </w:r>
          </w:p>
        </w:tc>
        <w:tc>
          <w:tcPr>
            <w:tcW w:w="1701" w:type="pct"/>
          </w:tcPr>
          <w:p w14:paraId="6E22D2D6" w14:textId="77777777" w:rsidR="00095358" w:rsidRPr="00722D09" w:rsidRDefault="00095358" w:rsidP="00722D09">
            <w:pPr>
              <w:pStyle w:val="TableHeading"/>
              <w:ind w:left="0"/>
            </w:pPr>
            <w:r w:rsidRPr="00722D09">
              <w:t>Source</w:t>
            </w:r>
          </w:p>
        </w:tc>
      </w:tr>
      <w:tr w:rsidR="00095358" w:rsidRPr="00B35E47" w14:paraId="77BAD4A9" w14:textId="77777777" w:rsidTr="00095358">
        <w:trPr>
          <w:tblHeader/>
        </w:trPr>
        <w:tc>
          <w:tcPr>
            <w:tcW w:w="2277" w:type="pct"/>
          </w:tcPr>
          <w:p w14:paraId="030D7791" w14:textId="77777777" w:rsidR="00095358" w:rsidRPr="00B35E47" w:rsidRDefault="00095358" w:rsidP="00095358">
            <w:pPr>
              <w:widowControl w:val="0"/>
              <w:spacing w:after="40"/>
              <w:ind w:left="0"/>
              <w:rPr>
                <w:rFonts w:ascii="Arial Narrow" w:hAnsi="Arial Narrow"/>
              </w:rPr>
            </w:pPr>
            <w:r w:rsidRPr="00B35E47">
              <w:rPr>
                <w:rFonts w:ascii="Arial Narrow" w:hAnsi="Arial Narrow"/>
              </w:rPr>
              <w:t xml:space="preserve">Australian demographics </w:t>
            </w:r>
          </w:p>
        </w:tc>
        <w:tc>
          <w:tcPr>
            <w:tcW w:w="1022" w:type="pct"/>
          </w:tcPr>
          <w:p w14:paraId="36B09898" w14:textId="77777777" w:rsidR="00095358" w:rsidRPr="004A6736" w:rsidRDefault="00095358" w:rsidP="00722D09">
            <w:pPr>
              <w:pStyle w:val="TableText0"/>
              <w:ind w:left="0"/>
              <w:jc w:val="center"/>
            </w:pPr>
            <w:r w:rsidRPr="004A6736">
              <w:fldChar w:fldCharType="begin"/>
            </w:r>
            <w:r w:rsidRPr="004A6736">
              <w:instrText xml:space="preserve"> REF _Ref10452454 \h  \* MERGEFORMAT </w:instrText>
            </w:r>
            <w:r w:rsidRPr="004A6736">
              <w:fldChar w:fldCharType="separate"/>
            </w:r>
            <w:r w:rsidR="006E2BA9" w:rsidRPr="006E2BA9">
              <w:rPr>
                <w:bCs/>
              </w:rPr>
              <w:t xml:space="preserve">Table </w:t>
            </w:r>
            <w:r w:rsidR="006E2BA9" w:rsidRPr="006E2BA9">
              <w:rPr>
                <w:bCs/>
                <w:noProof/>
              </w:rPr>
              <w:t>86</w:t>
            </w:r>
            <w:r w:rsidRPr="004A6736">
              <w:fldChar w:fldCharType="end"/>
            </w:r>
          </w:p>
        </w:tc>
        <w:tc>
          <w:tcPr>
            <w:tcW w:w="1701" w:type="pct"/>
          </w:tcPr>
          <w:p w14:paraId="2FDACB6D" w14:textId="77777777" w:rsidR="00095358" w:rsidRPr="00B35E47" w:rsidRDefault="00095358" w:rsidP="00095358">
            <w:pPr>
              <w:widowControl w:val="0"/>
              <w:spacing w:after="40"/>
              <w:ind w:left="0"/>
              <w:rPr>
                <w:rFonts w:ascii="Arial Narrow" w:hAnsi="Arial Narrow"/>
              </w:rPr>
            </w:pPr>
            <w:r>
              <w:rPr>
                <w:rFonts w:ascii="Arial Narrow" w:hAnsi="Arial Narrow"/>
              </w:rPr>
              <w:fldChar w:fldCharType="begin"/>
            </w:r>
            <w:r>
              <w:rPr>
                <w:rFonts w:ascii="Arial Narrow" w:hAnsi="Arial Narrow"/>
              </w:rPr>
              <w:instrText xml:space="preserve"> ADDIN EN.CITE &lt;EndNote&gt;&lt;Cite&gt;&lt;Author&gt;Australian Bureau of Statistics&lt;/Author&gt;&lt;Year&gt;2018&lt;/Year&gt;&lt;RecNum&gt;2842&lt;/RecNum&gt;&lt;DisplayText&gt;(Australian Bureau of Statistics 2018)&lt;/DisplayText&gt;&lt;record&gt;&lt;rec-number&gt;2842&lt;/rec-number&gt;&lt;foreign-keys&gt;&lt;key app="EN" db-id="r9zwwf2zmrrvxfespp15vtvjapza9v2fz5s5" timestamp="1585011098"&gt;2842&lt;/key&gt;&lt;/foreign-keys&gt;&lt;ref-type name="Catalog"&gt;8&lt;/ref-type&gt;&lt;contributors&gt;&lt;authors&gt;&lt;author&gt;Australian Bureau of Statistics,&lt;/author&gt;&lt;/authors&gt;&lt;secondary-authors&gt;&lt;author&gt;ABS&lt;/author&gt;&lt;/secondary-authors&gt;&lt;/contributors&gt;&lt;titles&gt;&lt;title&gt;3222.0 Population Projections, Australia, 2017 (base) – 2066&lt;/title&gt;&lt;/titles&gt;&lt;dates&gt;&lt;year&gt;2018&lt;/year&gt;&lt;/dates&gt;&lt;pub-location&gt;Canberra&lt;/pub-location&gt;&lt;urls&gt;&lt;/urls&gt;&lt;/record&gt;&lt;/Cite&gt;&lt;/EndNote&gt;</w:instrText>
            </w:r>
            <w:r>
              <w:rPr>
                <w:rFonts w:ascii="Arial Narrow" w:hAnsi="Arial Narrow"/>
              </w:rPr>
              <w:fldChar w:fldCharType="separate"/>
            </w:r>
            <w:r>
              <w:rPr>
                <w:rFonts w:ascii="Arial Narrow" w:hAnsi="Arial Narrow"/>
                <w:noProof/>
              </w:rPr>
              <w:t>(Australian Bureau of Statistics 2018)</w:t>
            </w:r>
            <w:r>
              <w:rPr>
                <w:rFonts w:ascii="Arial Narrow" w:hAnsi="Arial Narrow"/>
              </w:rPr>
              <w:fldChar w:fldCharType="end"/>
            </w:r>
          </w:p>
        </w:tc>
      </w:tr>
      <w:tr w:rsidR="00095358" w:rsidRPr="00B35E47" w14:paraId="104B74FC" w14:textId="77777777" w:rsidTr="00095358">
        <w:tc>
          <w:tcPr>
            <w:tcW w:w="2277" w:type="pct"/>
          </w:tcPr>
          <w:p w14:paraId="557D3CD9"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Number of AQP4-Ab tests performed in NSW in 2019, public sector</w:t>
            </w:r>
          </w:p>
        </w:tc>
        <w:tc>
          <w:tcPr>
            <w:tcW w:w="1022" w:type="pct"/>
          </w:tcPr>
          <w:p w14:paraId="40942893"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1,614</w:t>
            </w:r>
          </w:p>
        </w:tc>
        <w:tc>
          <w:tcPr>
            <w:tcW w:w="1701" w:type="pct"/>
          </w:tcPr>
          <w:p w14:paraId="0EE55DC8" w14:textId="77777777" w:rsidR="00095358" w:rsidRPr="00B35E47" w:rsidRDefault="00095358" w:rsidP="00095358">
            <w:pPr>
              <w:spacing w:before="40" w:after="40"/>
              <w:ind w:left="0"/>
              <w:contextualSpacing/>
              <w:jc w:val="left"/>
              <w:rPr>
                <w:rFonts w:ascii="Arial Narrow" w:hAnsi="Arial Narrow"/>
                <w:vertAlign w:val="superscript"/>
                <w:lang w:eastAsia="en-US"/>
              </w:rPr>
            </w:pPr>
            <w:r w:rsidRPr="00B35E47">
              <w:rPr>
                <w:rFonts w:ascii="Arial Narrow" w:hAnsi="Arial Narrow"/>
                <w:lang w:eastAsia="en-US"/>
              </w:rPr>
              <w:t>Data provided by NSW Health</w:t>
            </w:r>
            <w:r w:rsidRPr="00B35E47">
              <w:rPr>
                <w:rFonts w:ascii="Arial Narrow" w:hAnsi="Arial Narrow"/>
                <w:vertAlign w:val="superscript"/>
                <w:lang w:eastAsia="en-US"/>
              </w:rPr>
              <w:t>a</w:t>
            </w:r>
          </w:p>
        </w:tc>
      </w:tr>
      <w:tr w:rsidR="00095358" w:rsidRPr="00B35E47" w14:paraId="220DEEB8" w14:textId="77777777" w:rsidTr="00095358">
        <w:tc>
          <w:tcPr>
            <w:tcW w:w="2277" w:type="pct"/>
          </w:tcPr>
          <w:p w14:paraId="39D3AB48"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Number of AQP4-Ab tests performed in Queensland in 2015 – 2019, public sector</w:t>
            </w:r>
          </w:p>
        </w:tc>
        <w:tc>
          <w:tcPr>
            <w:tcW w:w="1022" w:type="pct"/>
          </w:tcPr>
          <w:p w14:paraId="085ECACB" w14:textId="77777777" w:rsidR="00095358" w:rsidRPr="004A6736" w:rsidRDefault="00095358" w:rsidP="00095358">
            <w:pPr>
              <w:spacing w:before="40" w:after="40"/>
              <w:ind w:left="0"/>
              <w:contextualSpacing/>
              <w:jc w:val="center"/>
              <w:rPr>
                <w:rFonts w:ascii="Arial Narrow" w:hAnsi="Arial Narrow"/>
                <w:lang w:eastAsia="en-US"/>
              </w:rPr>
            </w:pPr>
            <w:r w:rsidRPr="004A6736">
              <w:rPr>
                <w:rFonts w:ascii="Arial Narrow" w:hAnsi="Arial Narrow"/>
                <w:lang w:eastAsia="en-US"/>
              </w:rPr>
              <w:fldChar w:fldCharType="begin"/>
            </w:r>
            <w:r w:rsidRPr="004A6736">
              <w:rPr>
                <w:rFonts w:ascii="Arial Narrow" w:hAnsi="Arial Narrow"/>
                <w:lang w:eastAsia="en-US"/>
              </w:rPr>
              <w:instrText xml:space="preserve"> REF _Ref34223109 \h </w:instrText>
            </w:r>
            <w:r>
              <w:rPr>
                <w:rFonts w:ascii="Arial Narrow" w:hAnsi="Arial Narrow"/>
                <w:lang w:eastAsia="en-US"/>
              </w:rPr>
              <w:instrText xml:space="preserve"> \* MERGEFORMAT </w:instrText>
            </w:r>
            <w:r w:rsidRPr="004A6736">
              <w:rPr>
                <w:rFonts w:ascii="Arial Narrow" w:hAnsi="Arial Narrow"/>
                <w:lang w:eastAsia="en-US"/>
              </w:rPr>
            </w:r>
            <w:r w:rsidRPr="004A6736">
              <w:rPr>
                <w:rFonts w:ascii="Arial Narrow" w:hAnsi="Arial Narrow"/>
                <w:lang w:eastAsia="en-US"/>
              </w:rPr>
              <w:fldChar w:fldCharType="separate"/>
            </w:r>
            <w:r w:rsidR="006E2BA9" w:rsidRPr="006E2BA9">
              <w:rPr>
                <w:rFonts w:ascii="Arial Narrow" w:hAnsi="Arial Narrow"/>
              </w:rPr>
              <w:t xml:space="preserve">Table </w:t>
            </w:r>
            <w:r w:rsidR="006E2BA9" w:rsidRPr="006E2BA9">
              <w:rPr>
                <w:rFonts w:ascii="Arial Narrow" w:hAnsi="Arial Narrow"/>
                <w:noProof/>
              </w:rPr>
              <w:t>70</w:t>
            </w:r>
            <w:r w:rsidRPr="004A6736">
              <w:rPr>
                <w:rFonts w:ascii="Arial Narrow" w:hAnsi="Arial Narrow"/>
                <w:lang w:eastAsia="en-US"/>
              </w:rPr>
              <w:fldChar w:fldCharType="end"/>
            </w:r>
          </w:p>
        </w:tc>
        <w:tc>
          <w:tcPr>
            <w:tcW w:w="1701" w:type="pct"/>
          </w:tcPr>
          <w:p w14:paraId="379674DC" w14:textId="77777777" w:rsidR="00095358" w:rsidRPr="00B35E47" w:rsidRDefault="00095358" w:rsidP="00095358">
            <w:pPr>
              <w:spacing w:before="40" w:after="40"/>
              <w:ind w:left="0"/>
              <w:contextualSpacing/>
              <w:jc w:val="left"/>
              <w:rPr>
                <w:rFonts w:ascii="Arial Narrow" w:hAnsi="Arial Narrow"/>
                <w:vertAlign w:val="superscript"/>
                <w:lang w:eastAsia="en-US"/>
              </w:rPr>
            </w:pPr>
            <w:r w:rsidRPr="00B35E47">
              <w:rPr>
                <w:rFonts w:ascii="Arial Narrow" w:hAnsi="Arial Narrow"/>
                <w:lang w:eastAsia="en-US"/>
              </w:rPr>
              <w:t>Data provided by Queensland Health</w:t>
            </w:r>
            <w:r w:rsidRPr="00B35E47">
              <w:rPr>
                <w:rFonts w:ascii="Arial Narrow" w:hAnsi="Arial Narrow"/>
                <w:vertAlign w:val="superscript"/>
                <w:lang w:eastAsia="en-US"/>
              </w:rPr>
              <w:t>b</w:t>
            </w:r>
          </w:p>
        </w:tc>
      </w:tr>
      <w:tr w:rsidR="00095358" w:rsidRPr="00B35E47" w14:paraId="7E6C5335" w14:textId="77777777" w:rsidTr="00095358">
        <w:tc>
          <w:tcPr>
            <w:tcW w:w="2277" w:type="pct"/>
          </w:tcPr>
          <w:p w14:paraId="0B8BD7AC"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Number of AQP4-Ab tests performed in WA in 2019, public sector</w:t>
            </w:r>
          </w:p>
        </w:tc>
        <w:tc>
          <w:tcPr>
            <w:tcW w:w="1022" w:type="pct"/>
          </w:tcPr>
          <w:p w14:paraId="0EDD9843"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275</w:t>
            </w:r>
          </w:p>
        </w:tc>
        <w:tc>
          <w:tcPr>
            <w:tcW w:w="1701" w:type="pct"/>
          </w:tcPr>
          <w:p w14:paraId="6626ED59"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Data provided by PathWest Laboratory</w:t>
            </w:r>
            <w:r w:rsidRPr="00B35E47">
              <w:rPr>
                <w:rFonts w:ascii="Arial Narrow" w:hAnsi="Arial Narrow"/>
                <w:vertAlign w:val="superscript"/>
                <w:lang w:eastAsia="en-US"/>
              </w:rPr>
              <w:t>c</w:t>
            </w:r>
          </w:p>
        </w:tc>
      </w:tr>
      <w:tr w:rsidR="00095358" w:rsidRPr="00B35E47" w14:paraId="3BDD7B11" w14:textId="77777777" w:rsidTr="00095358">
        <w:tc>
          <w:tcPr>
            <w:tcW w:w="2277" w:type="pct"/>
          </w:tcPr>
          <w:p w14:paraId="1CC11D54"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Number of MOG-Ab tests performed in SA in 2019, public sector</w:t>
            </w:r>
          </w:p>
        </w:tc>
        <w:tc>
          <w:tcPr>
            <w:tcW w:w="1022" w:type="pct"/>
          </w:tcPr>
          <w:p w14:paraId="378EE9C5"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157</w:t>
            </w:r>
          </w:p>
        </w:tc>
        <w:tc>
          <w:tcPr>
            <w:tcW w:w="1701" w:type="pct"/>
          </w:tcPr>
          <w:p w14:paraId="00AB04A2"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Data provided by SA Pathology</w:t>
            </w:r>
            <w:r w:rsidRPr="00B35E47">
              <w:rPr>
                <w:rFonts w:ascii="Arial Narrow" w:hAnsi="Arial Narrow"/>
                <w:vertAlign w:val="superscript"/>
                <w:lang w:eastAsia="en-US"/>
              </w:rPr>
              <w:t>d</w:t>
            </w:r>
          </w:p>
        </w:tc>
      </w:tr>
      <w:tr w:rsidR="00095358" w:rsidRPr="00B35E47" w14:paraId="3AE37B47" w14:textId="77777777" w:rsidTr="00095358">
        <w:tc>
          <w:tcPr>
            <w:tcW w:w="2277" w:type="pct"/>
          </w:tcPr>
          <w:p w14:paraId="3AC70834"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Number of AQP4 ± MOG-Ab tests performed by a national private lab in 2019</w:t>
            </w:r>
          </w:p>
        </w:tc>
        <w:tc>
          <w:tcPr>
            <w:tcW w:w="1022" w:type="pct"/>
          </w:tcPr>
          <w:p w14:paraId="00928DB5"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1,014</w:t>
            </w:r>
          </w:p>
        </w:tc>
        <w:tc>
          <w:tcPr>
            <w:tcW w:w="1701" w:type="pct"/>
          </w:tcPr>
          <w:p w14:paraId="115311ED"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Data provided by Sonic Laboratories Australia</w:t>
            </w:r>
            <w:r w:rsidRPr="00B35E47">
              <w:rPr>
                <w:rFonts w:ascii="Arial Narrow" w:hAnsi="Arial Narrow"/>
                <w:vertAlign w:val="superscript"/>
                <w:lang w:eastAsia="en-US"/>
              </w:rPr>
              <w:t>e</w:t>
            </w:r>
          </w:p>
        </w:tc>
      </w:tr>
      <w:tr w:rsidR="00095358" w:rsidRPr="00B35E47" w14:paraId="1F14C496" w14:textId="77777777" w:rsidTr="00095358">
        <w:tc>
          <w:tcPr>
            <w:tcW w:w="2277" w:type="pct"/>
          </w:tcPr>
          <w:p w14:paraId="43FD3164"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Growth rate for AQP4-Ab testing, per annum</w:t>
            </w:r>
          </w:p>
        </w:tc>
        <w:tc>
          <w:tcPr>
            <w:tcW w:w="1022" w:type="pct"/>
          </w:tcPr>
          <w:p w14:paraId="635C9C59"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6% – 13%</w:t>
            </w:r>
          </w:p>
        </w:tc>
        <w:tc>
          <w:tcPr>
            <w:tcW w:w="1701" w:type="pct"/>
          </w:tcPr>
          <w:p w14:paraId="72E6E60F" w14:textId="77777777" w:rsidR="00095358" w:rsidRPr="00B35E47" w:rsidRDefault="00095358" w:rsidP="00095358">
            <w:pPr>
              <w:spacing w:before="40" w:after="40"/>
              <w:ind w:left="0"/>
              <w:contextualSpacing/>
              <w:jc w:val="left"/>
              <w:rPr>
                <w:rFonts w:ascii="Arial Narrow" w:hAnsi="Arial Narrow"/>
                <w:vertAlign w:val="superscript"/>
                <w:lang w:eastAsia="en-US"/>
              </w:rPr>
            </w:pPr>
            <w:r w:rsidRPr="00B35E47">
              <w:rPr>
                <w:rFonts w:ascii="Arial Narrow" w:hAnsi="Arial Narrow"/>
                <w:lang w:eastAsia="en-US"/>
              </w:rPr>
              <w:t>Data provided by Queensland Health</w:t>
            </w:r>
            <w:r w:rsidRPr="00B35E47">
              <w:rPr>
                <w:rFonts w:ascii="Arial Narrow" w:hAnsi="Arial Narrow"/>
                <w:vertAlign w:val="superscript"/>
                <w:lang w:eastAsia="en-US"/>
              </w:rPr>
              <w:t>b</w:t>
            </w:r>
            <w:r w:rsidRPr="00B35E47">
              <w:rPr>
                <w:rFonts w:ascii="Arial Narrow" w:hAnsi="Arial Narrow"/>
                <w:lang w:eastAsia="en-US"/>
              </w:rPr>
              <w:t xml:space="preserve"> and Sonic Laboratories</w:t>
            </w:r>
            <w:r w:rsidRPr="00B35E47">
              <w:rPr>
                <w:rFonts w:ascii="Arial Narrow" w:hAnsi="Arial Narrow"/>
                <w:vertAlign w:val="superscript"/>
                <w:lang w:eastAsia="en-US"/>
              </w:rPr>
              <w:t>e</w:t>
            </w:r>
          </w:p>
        </w:tc>
      </w:tr>
      <w:tr w:rsidR="00095358" w:rsidRPr="00B35E47" w14:paraId="7406F989" w14:textId="77777777" w:rsidTr="00095358">
        <w:tc>
          <w:tcPr>
            <w:tcW w:w="2277" w:type="pct"/>
          </w:tcPr>
          <w:p w14:paraId="7AC68123"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Cost of NMOSD-Ab test</w:t>
            </w:r>
          </w:p>
        </w:tc>
        <w:tc>
          <w:tcPr>
            <w:tcW w:w="1022" w:type="pct"/>
          </w:tcPr>
          <w:p w14:paraId="2C5502F8"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$43.00</w:t>
            </w:r>
          </w:p>
        </w:tc>
        <w:tc>
          <w:tcPr>
            <w:tcW w:w="1701" w:type="pct"/>
          </w:tcPr>
          <w:p w14:paraId="545FA342"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Proposed MBS fee, Section A5</w:t>
            </w:r>
          </w:p>
        </w:tc>
      </w:tr>
      <w:tr w:rsidR="00095358" w:rsidRPr="00B35E47" w14:paraId="50FDAE77" w14:textId="77777777" w:rsidTr="00095358">
        <w:tc>
          <w:tcPr>
            <w:tcW w:w="2277" w:type="pct"/>
          </w:tcPr>
          <w:p w14:paraId="4A9FDF73"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Cost of MBS item 71119</w:t>
            </w:r>
          </w:p>
        </w:tc>
        <w:tc>
          <w:tcPr>
            <w:tcW w:w="1022" w:type="pct"/>
          </w:tcPr>
          <w:p w14:paraId="724C2128"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$17.00</w:t>
            </w:r>
          </w:p>
        </w:tc>
        <w:tc>
          <w:tcPr>
            <w:tcW w:w="1701" w:type="pct"/>
          </w:tcPr>
          <w:p w14:paraId="6DA0E853"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Scheduled fee for MBS item 71119</w:t>
            </w:r>
          </w:p>
        </w:tc>
      </w:tr>
      <w:tr w:rsidR="00095358" w:rsidRPr="00B35E47" w14:paraId="2DE1B17D" w14:textId="77777777" w:rsidTr="00095358">
        <w:tc>
          <w:tcPr>
            <w:tcW w:w="2277" w:type="pct"/>
          </w:tcPr>
          <w:p w14:paraId="2F1ADDE1"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Cost of MBS item 71165</w:t>
            </w:r>
          </w:p>
        </w:tc>
        <w:tc>
          <w:tcPr>
            <w:tcW w:w="1022" w:type="pct"/>
          </w:tcPr>
          <w:p w14:paraId="34BEC1A1"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$34.55</w:t>
            </w:r>
          </w:p>
        </w:tc>
        <w:tc>
          <w:tcPr>
            <w:tcW w:w="1701" w:type="pct"/>
          </w:tcPr>
          <w:p w14:paraId="1516FC82"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Scheduled fee for MBS item 71165</w:t>
            </w:r>
          </w:p>
        </w:tc>
      </w:tr>
      <w:tr w:rsidR="00095358" w:rsidRPr="00B35E47" w14:paraId="48F4AD44" w14:textId="77777777" w:rsidTr="00095358">
        <w:tc>
          <w:tcPr>
            <w:tcW w:w="2277" w:type="pct"/>
          </w:tcPr>
          <w:p w14:paraId="4662CCF8"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Current proportional usage of MBS items 71165 and 71119, respectively.</w:t>
            </w:r>
          </w:p>
        </w:tc>
        <w:tc>
          <w:tcPr>
            <w:tcW w:w="1022" w:type="pct"/>
          </w:tcPr>
          <w:p w14:paraId="575E27A6"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69% and 31%</w:t>
            </w:r>
          </w:p>
        </w:tc>
        <w:tc>
          <w:tcPr>
            <w:tcW w:w="1701" w:type="pct"/>
          </w:tcPr>
          <w:p w14:paraId="5223F82D"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Assumption based on data provided by various laboratories</w:t>
            </w:r>
          </w:p>
        </w:tc>
      </w:tr>
      <w:tr w:rsidR="00095358" w:rsidRPr="00B35E47" w14:paraId="3E80663C" w14:textId="77777777" w:rsidTr="00095358">
        <w:tc>
          <w:tcPr>
            <w:tcW w:w="2277" w:type="pct"/>
          </w:tcPr>
          <w:p w14:paraId="6DA7D827"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Proportion of MBS items 71119 and 71165 currently bulk-billed</w:t>
            </w:r>
          </w:p>
        </w:tc>
        <w:tc>
          <w:tcPr>
            <w:tcW w:w="1022" w:type="pct"/>
          </w:tcPr>
          <w:p w14:paraId="5B1C30D3"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99%</w:t>
            </w:r>
          </w:p>
        </w:tc>
        <w:tc>
          <w:tcPr>
            <w:tcW w:w="1701" w:type="pct"/>
          </w:tcPr>
          <w:p w14:paraId="6389F4C7"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Data provided by Department of Health</w:t>
            </w:r>
          </w:p>
        </w:tc>
      </w:tr>
    </w:tbl>
    <w:p w14:paraId="5EDEF3DF"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a</w:t>
      </w:r>
      <w:r w:rsidRPr="00B35E47">
        <w:rPr>
          <w:rFonts w:ascii="Arial Narrow" w:hAnsi="Arial Narrow" w:cs="Arial"/>
          <w:snapToGrid w:val="0"/>
          <w:sz w:val="18"/>
          <w:szCs w:val="20"/>
          <w:lang w:eastAsia="en-US"/>
        </w:rPr>
        <w:t xml:space="preserve"> Data provided by A/Prof Steve Reddell, Concord Hospital, NSW through personal communication on 07 February 2020.</w:t>
      </w:r>
    </w:p>
    <w:p w14:paraId="2A3E9751"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 xml:space="preserve">b </w:t>
      </w:r>
      <w:r w:rsidRPr="00B35E47">
        <w:rPr>
          <w:rFonts w:ascii="Arial Narrow" w:hAnsi="Arial Narrow" w:cs="Arial"/>
          <w:snapToGrid w:val="0"/>
          <w:sz w:val="18"/>
          <w:szCs w:val="20"/>
          <w:lang w:eastAsia="en-US"/>
        </w:rPr>
        <w:t>Data provided by Dr Greg Bryson, Pathology Queensland through personal communication on 04 February 2020.</w:t>
      </w:r>
    </w:p>
    <w:p w14:paraId="3E3FC815"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 xml:space="preserve">c </w:t>
      </w:r>
      <w:r w:rsidRPr="00B35E47">
        <w:rPr>
          <w:rFonts w:ascii="Arial Narrow" w:hAnsi="Arial Narrow" w:cs="Arial"/>
          <w:snapToGrid w:val="0"/>
          <w:sz w:val="18"/>
          <w:szCs w:val="20"/>
          <w:lang w:eastAsia="en-US"/>
        </w:rPr>
        <w:t>Data provided by Dr Andrew McLean-Tooke, PathWest Laboratory Medicine through personal communication on 11 February 2020.</w:t>
      </w:r>
    </w:p>
    <w:p w14:paraId="2FEB9650"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 xml:space="preserve">d </w:t>
      </w:r>
      <w:r w:rsidRPr="00B35E47">
        <w:rPr>
          <w:rFonts w:ascii="Arial Narrow" w:hAnsi="Arial Narrow" w:cs="Arial"/>
          <w:snapToGrid w:val="0"/>
          <w:sz w:val="18"/>
          <w:szCs w:val="20"/>
          <w:lang w:eastAsia="en-US"/>
        </w:rPr>
        <w:t>Data provided by Dr Pravin Hissaria, SA Pathology through personal communication on 14 February 2020</w:t>
      </w:r>
    </w:p>
    <w:p w14:paraId="7BF235E1"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 xml:space="preserve">e </w:t>
      </w:r>
      <w:r w:rsidRPr="00B35E47">
        <w:rPr>
          <w:rFonts w:ascii="Arial Narrow" w:hAnsi="Arial Narrow" w:cs="Arial"/>
          <w:snapToGrid w:val="0"/>
          <w:sz w:val="18"/>
          <w:szCs w:val="20"/>
          <w:lang w:eastAsia="en-US"/>
        </w:rPr>
        <w:t>Data provided by Dr Daman Langguth, Sonic Laboratories Australia through personal communication on 04 February 2020.</w:t>
      </w:r>
    </w:p>
    <w:p w14:paraId="1609E922"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 xml:space="preserve">Source: Cost data sourced from Medicare Benefits Schedule (2020 online version used). </w:t>
      </w:r>
    </w:p>
    <w:p w14:paraId="15418283" w14:textId="77777777" w:rsidR="00095358" w:rsidRDefault="00095358" w:rsidP="00095358">
      <w:pPr>
        <w:widowControl w:val="0"/>
        <w:spacing w:after="24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ABS = Australian Bureau of Statistics; AQP4-Ab = aquaporin 4 antibodies; MBS = Medicare Benefits Schedule; MOG-Ab = Myelin Oligodendrocyte Glycoprotein antibodies; NMOSD = neuromyelitis optica spectrum disorders; NSW = New South Wales</w:t>
      </w:r>
    </w:p>
    <w:p w14:paraId="0D38A82C" w14:textId="77777777" w:rsidR="00095358" w:rsidRPr="00B35E47" w:rsidRDefault="00095358" w:rsidP="00095358">
      <w:pPr>
        <w:widowControl w:val="0"/>
        <w:spacing w:after="240" w:line="240" w:lineRule="auto"/>
        <w:contextualSpacing/>
        <w:jc w:val="left"/>
        <w:rPr>
          <w:rFonts w:ascii="Arial Narrow" w:hAnsi="Arial Narrow" w:cs="Arial"/>
          <w:snapToGrid w:val="0"/>
          <w:sz w:val="18"/>
          <w:szCs w:val="20"/>
          <w:u w:val="single"/>
          <w:lang w:eastAsia="en-US"/>
        </w:rPr>
      </w:pPr>
    </w:p>
    <w:p w14:paraId="51984586" w14:textId="77777777" w:rsidR="00095358" w:rsidRPr="00B35E47" w:rsidRDefault="00095358" w:rsidP="00095358">
      <w:r w:rsidRPr="00B35E47">
        <w:t xml:space="preserve">The proposed new item is specific for the detection of AQP4-Ab or MOG-Ab for the diagnosis of NMOSD. The proposed service would be provided by both public and private laboratories with appropriate NATA accreditation. For the purpose of this assessment, AQP4-Ab/MOG-Ab testing funded under a mix of MBS items 71119 and 71165 will be used as the financial comparator, however two sensitivity analyses are presented assuming that 100% of existing MBS funding is allocated to each of these items, separately. </w:t>
      </w:r>
    </w:p>
    <w:p w14:paraId="59AFFF98" w14:textId="77777777" w:rsidR="00095358" w:rsidRPr="0020602F" w:rsidRDefault="00095358" w:rsidP="0020602F">
      <w:pPr>
        <w:pStyle w:val="Heading2"/>
      </w:pPr>
      <w:bookmarkStart w:id="527" w:name="_Toc214091270"/>
      <w:bookmarkStart w:id="528" w:name="_Toc341796094"/>
      <w:bookmarkStart w:id="529" w:name="_Toc432677420"/>
      <w:bookmarkStart w:id="530" w:name="_Toc38031972"/>
      <w:bookmarkStart w:id="531" w:name="_Toc39588379"/>
      <w:bookmarkStart w:id="532" w:name="_Toc379118300"/>
      <w:bookmarkStart w:id="533" w:name="_Toc381796483"/>
      <w:r w:rsidRPr="0020602F">
        <w:lastRenderedPageBreak/>
        <w:t>E2</w:t>
      </w:r>
      <w:r w:rsidRPr="0020602F">
        <w:tab/>
        <w:t xml:space="preserve">Use and Costs of </w:t>
      </w:r>
      <w:bookmarkEnd w:id="527"/>
      <w:bookmarkEnd w:id="528"/>
      <w:bookmarkEnd w:id="529"/>
      <w:r w:rsidRPr="0020602F">
        <w:t>NMOSD-Ab testing</w:t>
      </w:r>
      <w:bookmarkEnd w:id="530"/>
      <w:bookmarkEnd w:id="531"/>
    </w:p>
    <w:p w14:paraId="4FED42DC" w14:textId="77777777" w:rsidR="00095358" w:rsidRPr="00B35E47" w:rsidRDefault="00095358" w:rsidP="00095358">
      <w:pPr>
        <w:pStyle w:val="Heading3"/>
      </w:pPr>
      <w:bookmarkStart w:id="534" w:name="_Toc38031973"/>
      <w:bookmarkStart w:id="535" w:name="_Toc39588380"/>
      <w:r w:rsidRPr="00B35E47">
        <w:t>E.2.1</w:t>
      </w:r>
      <w:r w:rsidRPr="00B35E47">
        <w:tab/>
        <w:t>Estimated use of the proposed testing</w:t>
      </w:r>
      <w:bookmarkEnd w:id="534"/>
      <w:bookmarkEnd w:id="535"/>
    </w:p>
    <w:p w14:paraId="5C2AC730" w14:textId="77777777" w:rsidR="00095358" w:rsidRPr="00B35E47" w:rsidRDefault="00095358" w:rsidP="00095358">
      <w:r w:rsidRPr="00B35E47">
        <w:t>Currently claimed MBS items 71165 and 71119 for NMOSD-Ab testing are generic for antibody testing and therefore the current utilisation of these tests specifically for this purpose cannot be estimated from the MBS statistics data. The applicant (Royal College of Pathologists) collected data from the clinicians and laboratories around Australia (PathWest laboratories in WA, SA Pathology in SA, NSW Health, Queensland Health and Sonic Laboratories Australia</w:t>
      </w:r>
      <w:r w:rsidRPr="00B35E47">
        <w:rPr>
          <w:sz w:val="20"/>
          <w:szCs w:val="20"/>
        </w:rPr>
        <w:t>)</w:t>
      </w:r>
      <w:r w:rsidRPr="00B35E47">
        <w:t xml:space="preserve"> to estimate the current usage of AQP4-Ab/MOG-Ab testing in Australia</w:t>
      </w:r>
      <w:r w:rsidRPr="00B35E47">
        <w:rPr>
          <w:vertAlign w:val="superscript"/>
        </w:rPr>
        <w:footnoteReference w:id="14"/>
      </w:r>
      <w:r w:rsidRPr="00B35E47">
        <w:t xml:space="preserve">. These tests were referred by specialists and were for both diagnosis and monitoring of AQP4-Ab positive NMOSD. </w:t>
      </w:r>
      <w:r w:rsidRPr="004A6736">
        <w:fldChar w:fldCharType="begin"/>
      </w:r>
      <w:r w:rsidRPr="004A6736">
        <w:instrText xml:space="preserve"> REF _Ref10453737 \h  \* MERGEFORMAT </w:instrText>
      </w:r>
      <w:r w:rsidRPr="004A6736">
        <w:fldChar w:fldCharType="separate"/>
      </w:r>
      <w:r w:rsidR="006E2BA9" w:rsidRPr="00B35E47">
        <w:t xml:space="preserve">Table </w:t>
      </w:r>
      <w:r w:rsidR="006E2BA9">
        <w:t>85</w:t>
      </w:r>
      <w:r w:rsidRPr="004A6736">
        <w:fldChar w:fldCharType="end"/>
      </w:r>
      <w:r w:rsidRPr="004A6736">
        <w:t xml:space="preserve"> </w:t>
      </w:r>
      <w:r w:rsidRPr="00B35E47">
        <w:t>summarises the data provided by these laboratories.</w:t>
      </w:r>
    </w:p>
    <w:p w14:paraId="70287166" w14:textId="1BDEA17D" w:rsidR="00095358" w:rsidRPr="00B35E47" w:rsidRDefault="00095358" w:rsidP="00095358">
      <w:pPr>
        <w:pStyle w:val="Caption"/>
      </w:pPr>
      <w:bookmarkStart w:id="536" w:name="_Ref10453737"/>
      <w:bookmarkStart w:id="537" w:name="_Toc11240575"/>
      <w:bookmarkStart w:id="538" w:name="_Toc36054858"/>
      <w:bookmarkStart w:id="539" w:name="_Toc39580866"/>
      <w:r w:rsidRPr="00B35E47">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85</w:t>
      </w:r>
      <w:r w:rsidRPr="00B35E47">
        <w:rPr>
          <w:noProof/>
        </w:rPr>
        <w:fldChar w:fldCharType="end"/>
      </w:r>
      <w:bookmarkEnd w:id="536"/>
      <w:r w:rsidRPr="00B35E47">
        <w:tab/>
        <w:t>Current utilisation data for AQP4-Ab tests</w:t>
      </w:r>
      <w:bookmarkEnd w:id="537"/>
      <w:bookmarkEnd w:id="538"/>
      <w:bookmarkEnd w:id="539"/>
    </w:p>
    <w:tbl>
      <w:tblPr>
        <w:tblStyle w:val="TableGrid7"/>
        <w:tblW w:w="0" w:type="auto"/>
        <w:tblLook w:val="04A0" w:firstRow="1" w:lastRow="0" w:firstColumn="1" w:lastColumn="0" w:noHBand="0" w:noVBand="1"/>
        <w:tblCaption w:val="Estimated number of FC tests currently performed"/>
        <w:tblDescription w:val="Estimated number of FC tests currently performed"/>
      </w:tblPr>
      <w:tblGrid>
        <w:gridCol w:w="1555"/>
        <w:gridCol w:w="4252"/>
        <w:gridCol w:w="3209"/>
      </w:tblGrid>
      <w:tr w:rsidR="00095358" w:rsidRPr="00B35E47" w14:paraId="5FC9DB3D" w14:textId="77777777" w:rsidTr="00095358">
        <w:trPr>
          <w:tblHeader/>
        </w:trPr>
        <w:tc>
          <w:tcPr>
            <w:tcW w:w="1555" w:type="dxa"/>
          </w:tcPr>
          <w:p w14:paraId="5A9344A6" w14:textId="77777777" w:rsidR="00095358" w:rsidRPr="00B35E47" w:rsidRDefault="00095358" w:rsidP="00095358">
            <w:pPr>
              <w:keepNext/>
              <w:spacing w:before="40" w:after="40"/>
              <w:ind w:left="0"/>
              <w:rPr>
                <w:rFonts w:ascii="Arial Narrow" w:hAnsi="Arial Narrow"/>
                <w:b/>
                <w:lang w:eastAsia="en-US"/>
              </w:rPr>
            </w:pPr>
            <w:r w:rsidRPr="00B35E47">
              <w:rPr>
                <w:rFonts w:ascii="Arial Narrow" w:hAnsi="Arial Narrow"/>
                <w:b/>
                <w:lang w:eastAsia="en-US"/>
              </w:rPr>
              <w:t>Source</w:t>
            </w:r>
          </w:p>
        </w:tc>
        <w:tc>
          <w:tcPr>
            <w:tcW w:w="4252" w:type="dxa"/>
          </w:tcPr>
          <w:p w14:paraId="5EBD720A" w14:textId="77777777" w:rsidR="00095358" w:rsidRPr="00B35E47" w:rsidRDefault="00095358" w:rsidP="00095358">
            <w:pPr>
              <w:keepNext/>
              <w:spacing w:before="40" w:after="40"/>
              <w:ind w:left="0"/>
              <w:rPr>
                <w:rFonts w:ascii="Arial Narrow" w:hAnsi="Arial Narrow"/>
                <w:b/>
                <w:lang w:eastAsia="en-US"/>
              </w:rPr>
            </w:pPr>
            <w:r w:rsidRPr="00B35E47">
              <w:rPr>
                <w:rFonts w:ascii="Arial Narrow" w:hAnsi="Arial Narrow"/>
                <w:b/>
                <w:lang w:eastAsia="en-US"/>
              </w:rPr>
              <w:t>Estimated number of AQP4-Ab tests performed item number used for MBS claims</w:t>
            </w:r>
          </w:p>
        </w:tc>
        <w:tc>
          <w:tcPr>
            <w:tcW w:w="3209" w:type="dxa"/>
          </w:tcPr>
          <w:p w14:paraId="24CCCC64" w14:textId="77777777" w:rsidR="00095358" w:rsidRPr="00B35E47" w:rsidRDefault="00095358" w:rsidP="00095358">
            <w:pPr>
              <w:keepNext/>
              <w:spacing w:before="40" w:after="40"/>
              <w:ind w:left="0"/>
              <w:rPr>
                <w:rFonts w:ascii="Arial Narrow" w:hAnsi="Arial Narrow"/>
                <w:b/>
                <w:lang w:eastAsia="en-US"/>
              </w:rPr>
            </w:pPr>
            <w:r w:rsidRPr="00B35E47">
              <w:rPr>
                <w:rFonts w:ascii="Arial Narrow" w:hAnsi="Arial Narrow"/>
                <w:b/>
                <w:lang w:eastAsia="en-US"/>
              </w:rPr>
              <w:t>Estimated % of State market</w:t>
            </w:r>
          </w:p>
        </w:tc>
      </w:tr>
      <w:tr w:rsidR="00095358" w:rsidRPr="00B35E47" w14:paraId="10D7EF2F" w14:textId="77777777" w:rsidTr="00095358">
        <w:tc>
          <w:tcPr>
            <w:tcW w:w="1555" w:type="dxa"/>
          </w:tcPr>
          <w:p w14:paraId="5DEC94DD"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Queensland Health</w:t>
            </w:r>
          </w:p>
        </w:tc>
        <w:tc>
          <w:tcPr>
            <w:tcW w:w="4252" w:type="dxa"/>
          </w:tcPr>
          <w:p w14:paraId="5817DD17"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 xml:space="preserve">Five year average: 1,596 per year </w:t>
            </w:r>
          </w:p>
          <w:p w14:paraId="2689B065" w14:textId="77777777" w:rsidR="00095358" w:rsidRPr="00B35E47" w:rsidRDefault="00095358" w:rsidP="00095358">
            <w:pPr>
              <w:spacing w:before="40" w:after="40"/>
              <w:ind w:left="0"/>
              <w:contextualSpacing/>
              <w:jc w:val="left"/>
              <w:rPr>
                <w:rFonts w:ascii="Arial Narrow" w:hAnsi="Arial Narrow"/>
                <w:lang w:eastAsia="en-US"/>
              </w:rPr>
            </w:pPr>
          </w:p>
          <w:p w14:paraId="0B40E1E5"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Pathology Queensland claims AQP4-Ab tests under MBS item 71165.</w:t>
            </w:r>
            <w:r w:rsidRPr="00B35E47">
              <w:rPr>
                <w:rFonts w:ascii="Arial Narrow" w:hAnsi="Arial Narrow"/>
                <w:vertAlign w:val="superscript"/>
                <w:lang w:eastAsia="en-US"/>
              </w:rPr>
              <w:t>a</w:t>
            </w:r>
          </w:p>
        </w:tc>
        <w:tc>
          <w:tcPr>
            <w:tcW w:w="3209" w:type="dxa"/>
          </w:tcPr>
          <w:p w14:paraId="5326C171"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State Reference Laboratory, assumed to cover 100% of the testing in Public Sector in Queensland.</w:t>
            </w:r>
          </w:p>
        </w:tc>
      </w:tr>
      <w:tr w:rsidR="00095358" w:rsidRPr="00B35E47" w14:paraId="44BFDC42" w14:textId="77777777" w:rsidTr="00095358">
        <w:tc>
          <w:tcPr>
            <w:tcW w:w="1555" w:type="dxa"/>
          </w:tcPr>
          <w:p w14:paraId="46FF9D77"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NSW Health</w:t>
            </w:r>
          </w:p>
        </w:tc>
        <w:tc>
          <w:tcPr>
            <w:tcW w:w="4252" w:type="dxa"/>
          </w:tcPr>
          <w:p w14:paraId="5748AB55"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Public Sector: 1614</w:t>
            </w:r>
          </w:p>
          <w:p w14:paraId="19E1B233"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NSW Health Pathology claims AQP4-Ab tests under MBS item 71165.</w:t>
            </w:r>
            <w:r w:rsidRPr="00B35E47">
              <w:rPr>
                <w:rFonts w:ascii="Arial Narrow" w:hAnsi="Arial Narrow"/>
                <w:vertAlign w:val="superscript"/>
                <w:lang w:eastAsia="en-US"/>
              </w:rPr>
              <w:t>b</w:t>
            </w:r>
          </w:p>
          <w:p w14:paraId="027E0B99" w14:textId="77777777" w:rsidR="00095358" w:rsidRPr="00B35E47" w:rsidRDefault="00095358" w:rsidP="00095358">
            <w:pPr>
              <w:spacing w:before="40" w:after="40"/>
              <w:ind w:left="0"/>
              <w:contextualSpacing/>
              <w:jc w:val="left"/>
              <w:rPr>
                <w:rFonts w:ascii="Arial Narrow" w:hAnsi="Arial Narrow"/>
                <w:lang w:eastAsia="en-US"/>
              </w:rPr>
            </w:pPr>
          </w:p>
          <w:p w14:paraId="388FA17B"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 xml:space="preserve">Sonic Laboratories: 581 </w:t>
            </w:r>
          </w:p>
          <w:p w14:paraId="7932CEAA"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Sonic claims AQP4-Ab tests under MBS item 71119.</w:t>
            </w:r>
            <w:r w:rsidRPr="00B35E47">
              <w:rPr>
                <w:rFonts w:ascii="Arial Narrow" w:hAnsi="Arial Narrow"/>
                <w:vertAlign w:val="superscript"/>
                <w:lang w:eastAsia="en-US"/>
              </w:rPr>
              <w:t>c</w:t>
            </w:r>
          </w:p>
        </w:tc>
        <w:tc>
          <w:tcPr>
            <w:tcW w:w="3209" w:type="dxa"/>
          </w:tcPr>
          <w:p w14:paraId="2D2F3E94"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 xml:space="preserve">Tests performed at Royal Brisbane and Westmead Hospitals; assumed to cover 100% of the testing in Public Sector in NSW.  </w:t>
            </w:r>
          </w:p>
          <w:p w14:paraId="0880801F"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Private Sector data from Sonic Laboratories.</w:t>
            </w:r>
          </w:p>
        </w:tc>
      </w:tr>
      <w:tr w:rsidR="00095358" w:rsidRPr="00B35E47" w14:paraId="11A909F7" w14:textId="77777777" w:rsidTr="00095358">
        <w:tc>
          <w:tcPr>
            <w:tcW w:w="1555" w:type="dxa"/>
          </w:tcPr>
          <w:p w14:paraId="0F71B642"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PathWest Laboratories, WA</w:t>
            </w:r>
          </w:p>
        </w:tc>
        <w:tc>
          <w:tcPr>
            <w:tcW w:w="4252" w:type="dxa"/>
          </w:tcPr>
          <w:p w14:paraId="1869B322"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b/>
                <w:lang w:eastAsia="en-US"/>
              </w:rPr>
              <w:t>AQP4-Ab test</w:t>
            </w:r>
            <w:r w:rsidRPr="00B35E47">
              <w:rPr>
                <w:rFonts w:ascii="Arial Narrow" w:hAnsi="Arial Narrow"/>
                <w:lang w:eastAsia="en-US"/>
              </w:rPr>
              <w:t>: 275 tests in 2019 (240 patients tested; 213 tested once, 19 tested twice and 8 tested thrice). 13 out of 240 patients tested positive.</w:t>
            </w:r>
          </w:p>
          <w:p w14:paraId="2A09D8D3"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b/>
                <w:lang w:eastAsia="en-US"/>
              </w:rPr>
              <w:t>MOG-Ab test</w:t>
            </w:r>
            <w:r w:rsidRPr="00B35E47">
              <w:rPr>
                <w:rFonts w:ascii="Arial Narrow" w:hAnsi="Arial Narrow"/>
                <w:lang w:eastAsia="en-US"/>
              </w:rPr>
              <w:t>: 157 tests in 2019 (132 unique patients; 111 tested once, 18 twice, 2 tthrice and 1 four times). 21 out of 132 tested positive.</w:t>
            </w:r>
          </w:p>
          <w:p w14:paraId="56CFD657"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PathWest claims AQP4-Ab tests under MBS item 71165.</w:t>
            </w:r>
            <w:r w:rsidRPr="00B35E47">
              <w:rPr>
                <w:rFonts w:ascii="Arial Narrow" w:hAnsi="Arial Narrow"/>
                <w:vertAlign w:val="superscript"/>
                <w:lang w:eastAsia="en-US"/>
              </w:rPr>
              <w:t>d</w:t>
            </w:r>
          </w:p>
        </w:tc>
        <w:tc>
          <w:tcPr>
            <w:tcW w:w="3209" w:type="dxa"/>
          </w:tcPr>
          <w:p w14:paraId="7E5EB094" w14:textId="77777777" w:rsidR="00095358" w:rsidRPr="00B35E47" w:rsidRDefault="00095358" w:rsidP="00095358">
            <w:pPr>
              <w:spacing w:before="40" w:after="40"/>
              <w:ind w:left="0"/>
              <w:contextualSpacing/>
              <w:jc w:val="left"/>
              <w:rPr>
                <w:rFonts w:ascii="Arial Narrow" w:hAnsi="Arial Narrow"/>
                <w:vertAlign w:val="superscript"/>
                <w:lang w:eastAsia="en-US"/>
              </w:rPr>
            </w:pPr>
            <w:r w:rsidRPr="00B35E47">
              <w:rPr>
                <w:rFonts w:ascii="Arial Narrow" w:hAnsi="Arial Narrow"/>
                <w:lang w:eastAsia="en-US"/>
              </w:rPr>
              <w:t>State Reference Laboratory, sole provider of AQP4-Ab testing in WA.</w:t>
            </w:r>
          </w:p>
        </w:tc>
      </w:tr>
      <w:tr w:rsidR="00095358" w:rsidRPr="00B35E47" w14:paraId="20E40C3A" w14:textId="77777777" w:rsidTr="00095358">
        <w:tc>
          <w:tcPr>
            <w:tcW w:w="1555" w:type="dxa"/>
          </w:tcPr>
          <w:p w14:paraId="1CF0074C"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SA Pathology, SA</w:t>
            </w:r>
          </w:p>
        </w:tc>
        <w:tc>
          <w:tcPr>
            <w:tcW w:w="4252" w:type="dxa"/>
          </w:tcPr>
          <w:p w14:paraId="3F54BBC9"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 xml:space="preserve">Approximately 3 tests per week (156 per year) referred to Queensland Health </w:t>
            </w:r>
          </w:p>
          <w:p w14:paraId="30B4EB4E" w14:textId="77777777" w:rsidR="00095358" w:rsidRPr="00B35E47" w:rsidRDefault="00095358" w:rsidP="00095358">
            <w:pPr>
              <w:spacing w:before="40" w:after="40"/>
              <w:ind w:left="0"/>
              <w:contextualSpacing/>
              <w:jc w:val="left"/>
              <w:rPr>
                <w:rFonts w:ascii="Arial Narrow" w:hAnsi="Arial Narrow"/>
                <w:lang w:eastAsia="en-US"/>
              </w:rPr>
            </w:pPr>
          </w:p>
          <w:p w14:paraId="27B3EEA6"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SA Pathology claims AQP4-Ab tests under MBS item 71119.</w:t>
            </w:r>
            <w:r w:rsidRPr="00B35E47">
              <w:rPr>
                <w:rFonts w:ascii="Arial Narrow" w:hAnsi="Arial Narrow"/>
                <w:vertAlign w:val="superscript"/>
                <w:lang w:eastAsia="en-US"/>
              </w:rPr>
              <w:t>e</w:t>
            </w:r>
          </w:p>
        </w:tc>
        <w:tc>
          <w:tcPr>
            <w:tcW w:w="3209" w:type="dxa"/>
          </w:tcPr>
          <w:p w14:paraId="3CD70B94"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State Reference Laboratory; assay not available in-house therefore tests are referred to Queensland.</w:t>
            </w:r>
          </w:p>
        </w:tc>
      </w:tr>
      <w:tr w:rsidR="00095358" w:rsidRPr="00B35E47" w14:paraId="539F807C" w14:textId="77777777" w:rsidTr="00095358">
        <w:tc>
          <w:tcPr>
            <w:tcW w:w="1555" w:type="dxa"/>
            <w:shd w:val="clear" w:color="auto" w:fill="auto"/>
          </w:tcPr>
          <w:p w14:paraId="67B5D047"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Sonic Laboratories, Australia</w:t>
            </w:r>
          </w:p>
        </w:tc>
        <w:tc>
          <w:tcPr>
            <w:tcW w:w="4252" w:type="dxa"/>
            <w:shd w:val="clear" w:color="auto" w:fill="auto"/>
          </w:tcPr>
          <w:p w14:paraId="4504315F"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 xml:space="preserve">953 unique tests; 51 repeated twice and 5 repeated once. Total number of tests: 1,014. </w:t>
            </w:r>
          </w:p>
          <w:p w14:paraId="4CE6F3D6"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Sonic claims AQP4-Ab tests under MBS item 71119.</w:t>
            </w:r>
            <w:r w:rsidRPr="00B35E47">
              <w:rPr>
                <w:rFonts w:ascii="Arial Narrow" w:hAnsi="Arial Narrow"/>
                <w:vertAlign w:val="superscript"/>
                <w:lang w:eastAsia="en-US"/>
              </w:rPr>
              <w:t>c</w:t>
            </w:r>
          </w:p>
        </w:tc>
        <w:tc>
          <w:tcPr>
            <w:tcW w:w="3209" w:type="dxa"/>
            <w:shd w:val="clear" w:color="auto" w:fill="auto"/>
          </w:tcPr>
          <w:p w14:paraId="532528EA"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Around 40% of outpatient serology in the private sector.</w:t>
            </w:r>
          </w:p>
        </w:tc>
      </w:tr>
    </w:tbl>
    <w:p w14:paraId="2910E8F8"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a</w:t>
      </w:r>
      <w:r w:rsidRPr="00B35E47">
        <w:rPr>
          <w:rFonts w:ascii="Arial Narrow" w:hAnsi="Arial Narrow" w:cs="Arial"/>
          <w:snapToGrid w:val="0"/>
          <w:sz w:val="18"/>
          <w:szCs w:val="20"/>
          <w:lang w:eastAsia="en-US"/>
        </w:rPr>
        <w:t xml:space="preserve"> Personal Communication (email 18/03/2020 from PathQldClients@health.qld.gov.au)</w:t>
      </w:r>
    </w:p>
    <w:p w14:paraId="08C6365B"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 xml:space="preserve">b </w:t>
      </w:r>
      <w:r>
        <w:rPr>
          <w:rFonts w:ascii="Arial Narrow" w:hAnsi="Arial Narrow" w:cs="Arial"/>
          <w:snapToGrid w:val="0"/>
          <w:sz w:val="18"/>
          <w:szCs w:val="20"/>
          <w:lang w:eastAsia="en-US"/>
        </w:rPr>
        <w:t>A</w:t>
      </w:r>
      <w:r w:rsidRPr="00B35E47">
        <w:rPr>
          <w:rFonts w:ascii="Arial Narrow" w:hAnsi="Arial Narrow" w:cs="Arial"/>
          <w:snapToGrid w:val="0"/>
          <w:sz w:val="18"/>
          <w:szCs w:val="20"/>
          <w:lang w:eastAsia="en-US"/>
        </w:rPr>
        <w:t>s per NSW Government Health Pathology website:</w:t>
      </w:r>
      <w:r w:rsidRPr="00B35E47">
        <w:rPr>
          <w:rFonts w:ascii="Arial Narrow" w:hAnsi="Arial Narrow" w:cs="Arial"/>
          <w:snapToGrid w:val="0"/>
          <w:sz w:val="18"/>
          <w:szCs w:val="20"/>
          <w:vertAlign w:val="superscript"/>
          <w:lang w:eastAsia="en-US"/>
        </w:rPr>
        <w:t xml:space="preserve"> </w:t>
      </w:r>
      <w:hyperlink r:id="rId47" w:history="1">
        <w:r w:rsidRPr="00B35E47">
          <w:rPr>
            <w:rFonts w:ascii="Arial Narrow" w:hAnsi="Arial Narrow" w:cs="Arial"/>
            <w:snapToGrid w:val="0"/>
            <w:color w:val="0000FF"/>
            <w:sz w:val="18"/>
            <w:szCs w:val="20"/>
            <w:u w:val="single"/>
            <w:lang w:eastAsia="en-US"/>
          </w:rPr>
          <w:t>http://www.palms.com.au/php/labinfo/info_index.php?tc=AQP4&amp;site=RNSH&amp;tn=Aquaporin%204%20Ab&amp;s=Cerebrospinal%20Fluid&amp;sid=9</w:t>
        </w:r>
      </w:hyperlink>
    </w:p>
    <w:p w14:paraId="372006BE"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c</w:t>
      </w:r>
      <w:r w:rsidRPr="00B35E47">
        <w:rPr>
          <w:rFonts w:ascii="Arial Narrow" w:hAnsi="Arial Narrow" w:cs="Arial"/>
          <w:snapToGrid w:val="0"/>
          <w:sz w:val="18"/>
          <w:szCs w:val="20"/>
          <w:lang w:eastAsia="en-US"/>
        </w:rPr>
        <w:t xml:space="preserve"> Personal communication through email, received on 27 September 2019. </w:t>
      </w:r>
    </w:p>
    <w:p w14:paraId="62AF7E03"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 xml:space="preserve">d </w:t>
      </w:r>
      <w:r w:rsidRPr="00B35E47">
        <w:rPr>
          <w:rFonts w:ascii="Arial Narrow" w:hAnsi="Arial Narrow" w:cs="Arial"/>
          <w:snapToGrid w:val="0"/>
          <w:sz w:val="18"/>
          <w:szCs w:val="20"/>
          <w:lang w:eastAsia="en-US"/>
        </w:rPr>
        <w:t>Personal communication through email, received on 19 March 2020</w:t>
      </w:r>
    </w:p>
    <w:p w14:paraId="018234E0"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e</w:t>
      </w:r>
      <w:r w:rsidRPr="00B35E47">
        <w:rPr>
          <w:rFonts w:ascii="Arial Narrow" w:hAnsi="Arial Narrow" w:cs="Arial"/>
          <w:snapToGrid w:val="0"/>
          <w:sz w:val="18"/>
          <w:szCs w:val="20"/>
          <w:lang w:eastAsia="en-US"/>
        </w:rPr>
        <w:t xml:space="preserve"> as per SA Pathology website: </w:t>
      </w:r>
      <w:hyperlink r:id="rId48" w:history="1">
        <w:r w:rsidRPr="00B35E47">
          <w:rPr>
            <w:rFonts w:ascii="Arial Narrow" w:hAnsi="Arial Narrow" w:cs="Arial"/>
            <w:snapToGrid w:val="0"/>
            <w:color w:val="0000FF"/>
            <w:sz w:val="18"/>
            <w:szCs w:val="20"/>
            <w:u w:val="single"/>
            <w:lang w:eastAsia="en-US"/>
          </w:rPr>
          <w:t>https://www.sapathology.sa.gov.au/wps/wcm/connect/sa+pathology+internet+content+new/content/clinicians/pathology+collection+guide?q=NMO</w:t>
        </w:r>
      </w:hyperlink>
    </w:p>
    <w:p w14:paraId="7B332B8B"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 xml:space="preserve">AQP4-Ab = aquaporin 4 antibodies; MBS = Medicare Benefits Schedule; MOG-Ab = Myelin Oligodendrocyte Glycoprotein antibodies; </w:t>
      </w:r>
      <w:r w:rsidRPr="00B35E47">
        <w:rPr>
          <w:rFonts w:ascii="Arial Narrow" w:hAnsi="Arial Narrow" w:cs="Arial"/>
          <w:snapToGrid w:val="0"/>
          <w:sz w:val="18"/>
          <w:szCs w:val="20"/>
          <w:lang w:eastAsia="en-US"/>
        </w:rPr>
        <w:lastRenderedPageBreak/>
        <w:t>NMOSD = neuromyelitis optica spectrum disorders; NSW = New South Wales; SA = South Australia; WA = Western Australia</w:t>
      </w:r>
    </w:p>
    <w:p w14:paraId="751A8036" w14:textId="77777777" w:rsidR="00095358" w:rsidRDefault="00095358" w:rsidP="00095358"/>
    <w:p w14:paraId="14B581A5" w14:textId="77777777" w:rsidR="00095358" w:rsidRPr="00B35E47" w:rsidRDefault="00095358" w:rsidP="00095358">
      <w:r w:rsidRPr="00B35E47">
        <w:t xml:space="preserve">The information about the number of tests performed in the given time-period provided by these laboratories was used to project the number of NMOSD-Ab tests that are currently performed in Australia using projected 2019 Australian population demographics </w:t>
      </w:r>
      <w:r>
        <w:fldChar w:fldCharType="begin"/>
      </w:r>
      <w:r>
        <w:instrText xml:space="preserve"> ADDIN EN.CITE &lt;EndNote&gt;&lt;Cite&gt;&lt;Author&gt;Australian Bureau of Statistics&lt;/Author&gt;&lt;Year&gt;2018&lt;/Year&gt;&lt;RecNum&gt;2842&lt;/RecNum&gt;&lt;DisplayText&gt;(Australian Bureau of Statistics 2018)&lt;/DisplayText&gt;&lt;record&gt;&lt;rec-number&gt;2842&lt;/rec-number&gt;&lt;foreign-keys&gt;&lt;key app="EN" db-id="r9zwwf2zmrrvxfespp15vtvjapza9v2fz5s5" timestamp="1585011098"&gt;2842&lt;/key&gt;&lt;/foreign-keys&gt;&lt;ref-type name="Catalog"&gt;8&lt;/ref-type&gt;&lt;contributors&gt;&lt;authors&gt;&lt;author&gt;Australian Bureau of Statistics,&lt;/author&gt;&lt;/authors&gt;&lt;secondary-authors&gt;&lt;author&gt;ABS&lt;/author&gt;&lt;/secondary-authors&gt;&lt;/contributors&gt;&lt;titles&gt;&lt;title&gt;3222.0 Population Projections, Australia, 2017 (base) – 2066&lt;/title&gt;&lt;/titles&gt;&lt;dates&gt;&lt;year&gt;2018&lt;/year&gt;&lt;/dates&gt;&lt;pub-location&gt;Canberra&lt;/pub-location&gt;&lt;urls&gt;&lt;/urls&gt;&lt;/record&gt;&lt;/Cite&gt;&lt;/EndNote&gt;</w:instrText>
      </w:r>
      <w:r>
        <w:fldChar w:fldCharType="separate"/>
      </w:r>
      <w:r>
        <w:rPr>
          <w:noProof/>
        </w:rPr>
        <w:t>(Australian Bureau of Statistics 2018)</w:t>
      </w:r>
      <w:r>
        <w:fldChar w:fldCharType="end"/>
      </w:r>
      <w:r w:rsidRPr="00B35E47">
        <w:t xml:space="preserve"> presented in </w:t>
      </w:r>
      <w:r w:rsidRPr="00B35E47">
        <w:fldChar w:fldCharType="begin"/>
      </w:r>
      <w:r w:rsidRPr="00B35E47">
        <w:instrText xml:space="preserve"> REF _Ref10452454 \h  \* MERGEFORMAT </w:instrText>
      </w:r>
      <w:r w:rsidRPr="00B35E47">
        <w:fldChar w:fldCharType="separate"/>
      </w:r>
      <w:r w:rsidR="006E2BA9" w:rsidRPr="00B35E47">
        <w:t xml:space="preserve">Table </w:t>
      </w:r>
      <w:r w:rsidR="006E2BA9">
        <w:rPr>
          <w:noProof/>
        </w:rPr>
        <w:t>86</w:t>
      </w:r>
      <w:r w:rsidRPr="00B35E47">
        <w:fldChar w:fldCharType="end"/>
      </w:r>
      <w:r w:rsidRPr="00B35E47">
        <w:t>.</w:t>
      </w:r>
    </w:p>
    <w:p w14:paraId="123B4B52" w14:textId="5DE2E92C" w:rsidR="00095358" w:rsidRPr="00B35E47" w:rsidRDefault="00095358" w:rsidP="00095358">
      <w:pPr>
        <w:pStyle w:val="Caption"/>
      </w:pPr>
      <w:bookmarkStart w:id="540" w:name="_Ref10452454"/>
      <w:bookmarkStart w:id="541" w:name="_Toc11240576"/>
      <w:bookmarkStart w:id="542" w:name="_Toc36054859"/>
      <w:bookmarkStart w:id="543" w:name="_Toc39580867"/>
      <w:r w:rsidRPr="00B35E47">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86</w:t>
      </w:r>
      <w:r w:rsidRPr="00B35E47">
        <w:rPr>
          <w:noProof/>
        </w:rPr>
        <w:fldChar w:fldCharType="end"/>
      </w:r>
      <w:bookmarkEnd w:id="540"/>
      <w:r w:rsidRPr="00B35E47">
        <w:tab/>
        <w:t>Population Estimates, Australia and, state and territories in 201</w:t>
      </w:r>
      <w:bookmarkEnd w:id="541"/>
      <w:r w:rsidRPr="00B35E47">
        <w:t>9</w:t>
      </w:r>
      <w:bookmarkEnd w:id="542"/>
      <w:bookmarkEnd w:id="543"/>
    </w:p>
    <w:tbl>
      <w:tblPr>
        <w:tblStyle w:val="TableGrid1"/>
        <w:tblW w:w="8997" w:type="dxa"/>
        <w:tblLook w:val="04A0" w:firstRow="1" w:lastRow="0" w:firstColumn="1" w:lastColumn="0" w:noHBand="0" w:noVBand="1"/>
        <w:tblCaption w:val="Population projections, Australia and, state and territories in 2018"/>
        <w:tblDescription w:val="Population projections, Australia and, state and territories in 2018"/>
      </w:tblPr>
      <w:tblGrid>
        <w:gridCol w:w="1109"/>
        <w:gridCol w:w="960"/>
        <w:gridCol w:w="960"/>
        <w:gridCol w:w="1155"/>
        <w:gridCol w:w="960"/>
        <w:gridCol w:w="960"/>
        <w:gridCol w:w="973"/>
        <w:gridCol w:w="960"/>
        <w:gridCol w:w="960"/>
      </w:tblGrid>
      <w:tr w:rsidR="00095358" w:rsidRPr="00B35E47" w14:paraId="24D4F501" w14:textId="77777777" w:rsidTr="00095358">
        <w:trPr>
          <w:cnfStyle w:val="100000000000" w:firstRow="1" w:lastRow="0" w:firstColumn="0" w:lastColumn="0" w:oddVBand="0" w:evenVBand="0" w:oddHBand="0" w:evenHBand="0" w:firstRowFirstColumn="0" w:firstRowLastColumn="0" w:lastRowFirstColumn="0" w:lastRowLastColumn="0"/>
          <w:trHeight w:val="300"/>
          <w:tblHeader/>
        </w:trPr>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53AFF"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74F093" w14:textId="77777777" w:rsidR="00095358" w:rsidRPr="00B35E47" w:rsidRDefault="00095358" w:rsidP="00095358">
            <w:pPr>
              <w:contextualSpacing/>
              <w:jc w:val="left"/>
              <w:rPr>
                <w:rFonts w:ascii="Arial Narrow" w:hAnsi="Arial Narrow"/>
                <w:b/>
                <w:bCs/>
                <w:lang w:eastAsia="en-US"/>
              </w:rPr>
            </w:pPr>
            <w:r w:rsidRPr="00B35E47">
              <w:rPr>
                <w:rFonts w:ascii="Arial Narrow" w:hAnsi="Arial Narrow"/>
                <w:b/>
                <w:bCs/>
                <w:lang w:eastAsia="en-US"/>
              </w:rPr>
              <w:t>NSW</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3E0A21" w14:textId="77777777" w:rsidR="00095358" w:rsidRPr="00B35E47" w:rsidRDefault="00095358" w:rsidP="00095358">
            <w:pPr>
              <w:contextualSpacing/>
              <w:jc w:val="left"/>
              <w:rPr>
                <w:rFonts w:ascii="Arial Narrow" w:hAnsi="Arial Narrow"/>
                <w:b/>
                <w:bCs/>
                <w:lang w:eastAsia="en-US"/>
              </w:rPr>
            </w:pPr>
            <w:r w:rsidRPr="00B35E47">
              <w:rPr>
                <w:rFonts w:ascii="Arial Narrow" w:hAnsi="Arial Narrow"/>
                <w:b/>
                <w:bCs/>
                <w:lang w:eastAsia="en-US"/>
              </w:rPr>
              <w:t>Victoria</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3817357B" w14:textId="77777777" w:rsidR="00095358" w:rsidRPr="00B35E47" w:rsidRDefault="00095358" w:rsidP="00095358">
            <w:pPr>
              <w:contextualSpacing/>
              <w:jc w:val="left"/>
              <w:rPr>
                <w:rFonts w:ascii="Arial Narrow" w:hAnsi="Arial Narrow"/>
                <w:b/>
                <w:bCs/>
                <w:lang w:eastAsia="en-US"/>
              </w:rPr>
            </w:pPr>
            <w:r w:rsidRPr="00B35E47">
              <w:rPr>
                <w:rFonts w:ascii="Arial Narrow" w:hAnsi="Arial Narrow"/>
                <w:b/>
                <w:bCs/>
                <w:lang w:eastAsia="en-US"/>
              </w:rPr>
              <w:t>Queensland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6B90F0" w14:textId="77777777" w:rsidR="00095358" w:rsidRPr="00B35E47" w:rsidRDefault="00095358" w:rsidP="00095358">
            <w:pPr>
              <w:contextualSpacing/>
              <w:jc w:val="left"/>
              <w:rPr>
                <w:rFonts w:ascii="Arial Narrow" w:hAnsi="Arial Narrow"/>
                <w:b/>
                <w:bCs/>
                <w:lang w:eastAsia="en-US"/>
              </w:rPr>
            </w:pPr>
            <w:r w:rsidRPr="00B35E47">
              <w:rPr>
                <w:rFonts w:ascii="Arial Narrow" w:hAnsi="Arial Narrow"/>
                <w:b/>
                <w:bCs/>
                <w:lang w:eastAsia="en-US"/>
              </w:rPr>
              <w:t>WA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2A43E8C" w14:textId="77777777" w:rsidR="00095358" w:rsidRPr="00B35E47" w:rsidRDefault="00095358" w:rsidP="00095358">
            <w:pPr>
              <w:contextualSpacing/>
              <w:jc w:val="left"/>
              <w:rPr>
                <w:rFonts w:ascii="Arial Narrow" w:hAnsi="Arial Narrow"/>
                <w:b/>
                <w:bCs/>
                <w:lang w:eastAsia="en-US"/>
              </w:rPr>
            </w:pPr>
            <w:r w:rsidRPr="00B35E47">
              <w:rPr>
                <w:rFonts w:ascii="Arial Narrow" w:hAnsi="Arial Narrow"/>
                <w:b/>
                <w:bCs/>
                <w:lang w:eastAsia="en-US"/>
              </w:rPr>
              <w:t>SA</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14:paraId="02006857" w14:textId="77777777" w:rsidR="00095358" w:rsidRPr="00B35E47" w:rsidRDefault="00095358" w:rsidP="00095358">
            <w:pPr>
              <w:contextualSpacing/>
              <w:jc w:val="left"/>
              <w:rPr>
                <w:rFonts w:ascii="Arial Narrow" w:hAnsi="Arial Narrow"/>
                <w:b/>
                <w:bCs/>
                <w:lang w:eastAsia="en-US"/>
              </w:rPr>
            </w:pPr>
            <w:r w:rsidRPr="00B35E47">
              <w:rPr>
                <w:rFonts w:ascii="Arial Narrow" w:hAnsi="Arial Narrow"/>
                <w:b/>
                <w:bCs/>
                <w:lang w:eastAsia="en-US"/>
              </w:rPr>
              <w:t>Tasmania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4AF7F29" w14:textId="77777777" w:rsidR="00095358" w:rsidRPr="00B35E47" w:rsidRDefault="00095358" w:rsidP="00095358">
            <w:pPr>
              <w:contextualSpacing/>
              <w:jc w:val="left"/>
              <w:rPr>
                <w:rFonts w:ascii="Arial Narrow" w:hAnsi="Arial Narrow"/>
                <w:b/>
                <w:bCs/>
                <w:lang w:eastAsia="en-US"/>
              </w:rPr>
            </w:pPr>
            <w:r w:rsidRPr="00B35E47">
              <w:rPr>
                <w:rFonts w:ascii="Arial Narrow" w:hAnsi="Arial Narrow"/>
                <w:b/>
                <w:bCs/>
                <w:lang w:eastAsia="en-US"/>
              </w:rPr>
              <w:t>ACT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BAE3285" w14:textId="77777777" w:rsidR="00095358" w:rsidRPr="00B35E47" w:rsidRDefault="00095358" w:rsidP="00095358">
            <w:pPr>
              <w:contextualSpacing/>
              <w:jc w:val="left"/>
              <w:rPr>
                <w:rFonts w:ascii="Arial Narrow" w:hAnsi="Arial Narrow"/>
                <w:b/>
                <w:bCs/>
                <w:lang w:eastAsia="en-US"/>
              </w:rPr>
            </w:pPr>
            <w:r w:rsidRPr="00B35E47">
              <w:rPr>
                <w:rFonts w:ascii="Arial Narrow" w:hAnsi="Arial Narrow"/>
                <w:b/>
                <w:bCs/>
                <w:lang w:eastAsia="en-US"/>
              </w:rPr>
              <w:t>NT</w:t>
            </w:r>
          </w:p>
        </w:tc>
      </w:tr>
      <w:tr w:rsidR="00095358" w:rsidRPr="00B35E47" w14:paraId="4B35CB7A" w14:textId="77777777" w:rsidTr="00095358">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18C7F54B" w14:textId="77777777" w:rsidR="00095358" w:rsidRPr="00B35E47" w:rsidRDefault="00095358" w:rsidP="00095358">
            <w:pPr>
              <w:contextualSpacing/>
              <w:jc w:val="left"/>
              <w:rPr>
                <w:rFonts w:ascii="Arial Narrow" w:hAnsi="Arial Narrow"/>
                <w:b/>
                <w:lang w:eastAsia="en-US"/>
              </w:rPr>
            </w:pPr>
            <w:r w:rsidRPr="00B35E47">
              <w:rPr>
                <w:rFonts w:ascii="Arial Narrow" w:hAnsi="Arial Narrow"/>
                <w:b/>
                <w:lang w:eastAsia="en-US"/>
              </w:rPr>
              <w:t>Population in 2018</w:t>
            </w:r>
          </w:p>
        </w:tc>
        <w:tc>
          <w:tcPr>
            <w:tcW w:w="960" w:type="dxa"/>
            <w:tcBorders>
              <w:top w:val="nil"/>
              <w:left w:val="nil"/>
              <w:bottom w:val="single" w:sz="4" w:space="0" w:color="auto"/>
              <w:right w:val="single" w:sz="4" w:space="0" w:color="auto"/>
            </w:tcBorders>
            <w:shd w:val="clear" w:color="auto" w:fill="auto"/>
            <w:noWrap/>
            <w:vAlign w:val="bottom"/>
            <w:hideMark/>
          </w:tcPr>
          <w:p w14:paraId="4A19EE20"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Arial"/>
                <w:lang w:eastAsia="en-US"/>
              </w:rPr>
              <w:t>8,089,500</w:t>
            </w:r>
          </w:p>
        </w:tc>
        <w:tc>
          <w:tcPr>
            <w:tcW w:w="960" w:type="dxa"/>
            <w:tcBorders>
              <w:top w:val="nil"/>
              <w:left w:val="nil"/>
              <w:bottom w:val="single" w:sz="4" w:space="0" w:color="auto"/>
              <w:right w:val="single" w:sz="4" w:space="0" w:color="auto"/>
            </w:tcBorders>
            <w:shd w:val="clear" w:color="auto" w:fill="auto"/>
            <w:noWrap/>
            <w:vAlign w:val="bottom"/>
            <w:hideMark/>
          </w:tcPr>
          <w:p w14:paraId="5FD11E1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Arial"/>
                <w:lang w:eastAsia="en-US"/>
              </w:rPr>
              <w:t>6,594,800</w:t>
            </w:r>
          </w:p>
        </w:tc>
        <w:tc>
          <w:tcPr>
            <w:tcW w:w="1155" w:type="dxa"/>
            <w:tcBorders>
              <w:top w:val="nil"/>
              <w:left w:val="nil"/>
              <w:bottom w:val="single" w:sz="4" w:space="0" w:color="auto"/>
              <w:right w:val="single" w:sz="4" w:space="0" w:color="auto"/>
            </w:tcBorders>
            <w:shd w:val="clear" w:color="auto" w:fill="auto"/>
            <w:noWrap/>
            <w:vAlign w:val="bottom"/>
            <w:hideMark/>
          </w:tcPr>
          <w:p w14:paraId="747C115F"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Arial"/>
                <w:lang w:eastAsia="en-US"/>
              </w:rPr>
              <w:t>5,095,100</w:t>
            </w:r>
          </w:p>
        </w:tc>
        <w:tc>
          <w:tcPr>
            <w:tcW w:w="960" w:type="dxa"/>
            <w:tcBorders>
              <w:top w:val="nil"/>
              <w:left w:val="nil"/>
              <w:bottom w:val="single" w:sz="4" w:space="0" w:color="auto"/>
              <w:right w:val="single" w:sz="4" w:space="0" w:color="auto"/>
            </w:tcBorders>
            <w:shd w:val="clear" w:color="auto" w:fill="auto"/>
            <w:noWrap/>
            <w:vAlign w:val="bottom"/>
            <w:hideMark/>
          </w:tcPr>
          <w:p w14:paraId="56B3727B"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Arial"/>
                <w:lang w:eastAsia="en-US"/>
              </w:rPr>
              <w:t>2,621,700</w:t>
            </w:r>
          </w:p>
        </w:tc>
        <w:tc>
          <w:tcPr>
            <w:tcW w:w="960" w:type="dxa"/>
            <w:tcBorders>
              <w:top w:val="nil"/>
              <w:left w:val="nil"/>
              <w:bottom w:val="single" w:sz="4" w:space="0" w:color="auto"/>
              <w:right w:val="single" w:sz="4" w:space="0" w:color="auto"/>
            </w:tcBorders>
            <w:shd w:val="clear" w:color="auto" w:fill="auto"/>
            <w:noWrap/>
            <w:vAlign w:val="bottom"/>
            <w:hideMark/>
          </w:tcPr>
          <w:p w14:paraId="3D3BB40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Arial"/>
                <w:lang w:eastAsia="en-US"/>
              </w:rPr>
              <w:t>1,751,700</w:t>
            </w:r>
          </w:p>
        </w:tc>
        <w:tc>
          <w:tcPr>
            <w:tcW w:w="973" w:type="dxa"/>
            <w:tcBorders>
              <w:top w:val="nil"/>
              <w:left w:val="nil"/>
              <w:bottom w:val="single" w:sz="4" w:space="0" w:color="auto"/>
              <w:right w:val="single" w:sz="4" w:space="0" w:color="auto"/>
            </w:tcBorders>
            <w:shd w:val="clear" w:color="auto" w:fill="auto"/>
            <w:noWrap/>
            <w:vAlign w:val="bottom"/>
            <w:hideMark/>
          </w:tcPr>
          <w:p w14:paraId="36760DC4"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Arial"/>
                <w:lang w:eastAsia="en-US"/>
              </w:rPr>
              <w:t>534,300</w:t>
            </w:r>
          </w:p>
        </w:tc>
        <w:tc>
          <w:tcPr>
            <w:tcW w:w="960" w:type="dxa"/>
            <w:tcBorders>
              <w:top w:val="nil"/>
              <w:left w:val="nil"/>
              <w:bottom w:val="single" w:sz="4" w:space="0" w:color="auto"/>
              <w:right w:val="single" w:sz="4" w:space="0" w:color="auto"/>
            </w:tcBorders>
            <w:shd w:val="clear" w:color="auto" w:fill="auto"/>
            <w:noWrap/>
            <w:vAlign w:val="bottom"/>
            <w:hideMark/>
          </w:tcPr>
          <w:p w14:paraId="69FAEBE5"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Arial"/>
                <w:lang w:eastAsia="en-US"/>
              </w:rPr>
              <w:t>426,700</w:t>
            </w:r>
          </w:p>
        </w:tc>
        <w:tc>
          <w:tcPr>
            <w:tcW w:w="960" w:type="dxa"/>
            <w:tcBorders>
              <w:top w:val="nil"/>
              <w:left w:val="nil"/>
              <w:bottom w:val="single" w:sz="4" w:space="0" w:color="auto"/>
              <w:right w:val="single" w:sz="4" w:space="0" w:color="auto"/>
            </w:tcBorders>
            <w:shd w:val="clear" w:color="auto" w:fill="auto"/>
            <w:noWrap/>
            <w:vAlign w:val="bottom"/>
            <w:hideMark/>
          </w:tcPr>
          <w:p w14:paraId="5A38AC45"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Arial"/>
                <w:lang w:eastAsia="en-US"/>
              </w:rPr>
              <w:t>245,900</w:t>
            </w:r>
          </w:p>
        </w:tc>
      </w:tr>
      <w:tr w:rsidR="00095358" w:rsidRPr="00B35E47" w14:paraId="0B3FA16B" w14:textId="77777777" w:rsidTr="00095358">
        <w:trPr>
          <w:trHeight w:val="300"/>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69CBDD30" w14:textId="77777777" w:rsidR="00095358" w:rsidRPr="00B35E47" w:rsidRDefault="00095358" w:rsidP="00095358">
            <w:pPr>
              <w:contextualSpacing/>
              <w:jc w:val="left"/>
              <w:rPr>
                <w:rFonts w:ascii="Arial Narrow" w:hAnsi="Arial Narrow"/>
                <w:b/>
                <w:lang w:eastAsia="en-US"/>
              </w:rPr>
            </w:pPr>
            <w:r w:rsidRPr="00B35E47">
              <w:rPr>
                <w:rFonts w:ascii="Arial Narrow" w:hAnsi="Arial Narrow"/>
                <w:b/>
                <w:lang w:eastAsia="en-US"/>
              </w:rPr>
              <w:t>Proportion of AP</w:t>
            </w:r>
          </w:p>
        </w:tc>
        <w:tc>
          <w:tcPr>
            <w:tcW w:w="960" w:type="dxa"/>
            <w:tcBorders>
              <w:top w:val="nil"/>
              <w:left w:val="nil"/>
              <w:bottom w:val="single" w:sz="4" w:space="0" w:color="auto"/>
              <w:right w:val="single" w:sz="4" w:space="0" w:color="auto"/>
            </w:tcBorders>
            <w:shd w:val="clear" w:color="auto" w:fill="auto"/>
            <w:noWrap/>
            <w:vAlign w:val="bottom"/>
            <w:hideMark/>
          </w:tcPr>
          <w:p w14:paraId="4CF15A6C"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6226AEDC"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26%</w:t>
            </w:r>
          </w:p>
        </w:tc>
        <w:tc>
          <w:tcPr>
            <w:tcW w:w="1155" w:type="dxa"/>
            <w:tcBorders>
              <w:top w:val="nil"/>
              <w:left w:val="nil"/>
              <w:bottom w:val="single" w:sz="4" w:space="0" w:color="auto"/>
              <w:right w:val="single" w:sz="4" w:space="0" w:color="auto"/>
            </w:tcBorders>
            <w:shd w:val="clear" w:color="auto" w:fill="auto"/>
            <w:noWrap/>
            <w:vAlign w:val="bottom"/>
            <w:hideMark/>
          </w:tcPr>
          <w:p w14:paraId="010F0EA9"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39B2099D"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10%</w:t>
            </w:r>
          </w:p>
        </w:tc>
        <w:tc>
          <w:tcPr>
            <w:tcW w:w="960" w:type="dxa"/>
            <w:tcBorders>
              <w:top w:val="nil"/>
              <w:left w:val="nil"/>
              <w:bottom w:val="single" w:sz="4" w:space="0" w:color="auto"/>
              <w:right w:val="single" w:sz="4" w:space="0" w:color="auto"/>
            </w:tcBorders>
            <w:shd w:val="clear" w:color="auto" w:fill="auto"/>
            <w:noWrap/>
            <w:vAlign w:val="bottom"/>
            <w:hideMark/>
          </w:tcPr>
          <w:p w14:paraId="7E27A9EB"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7%</w:t>
            </w:r>
          </w:p>
        </w:tc>
        <w:tc>
          <w:tcPr>
            <w:tcW w:w="973" w:type="dxa"/>
            <w:tcBorders>
              <w:top w:val="nil"/>
              <w:left w:val="nil"/>
              <w:bottom w:val="single" w:sz="4" w:space="0" w:color="auto"/>
              <w:right w:val="single" w:sz="4" w:space="0" w:color="auto"/>
            </w:tcBorders>
            <w:shd w:val="clear" w:color="auto" w:fill="auto"/>
            <w:noWrap/>
            <w:vAlign w:val="bottom"/>
            <w:hideMark/>
          </w:tcPr>
          <w:p w14:paraId="52AE988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F1E4C23"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85B8D1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w:t>
            </w:r>
          </w:p>
        </w:tc>
      </w:tr>
    </w:tbl>
    <w:p w14:paraId="232029FD"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 xml:space="preserve">Source: </w:t>
      </w:r>
      <w:r>
        <w:rPr>
          <w:rFonts w:ascii="Arial Narrow" w:hAnsi="Arial Narrow" w:cs="Arial"/>
          <w:snapToGrid w:val="0"/>
          <w:sz w:val="18"/>
          <w:szCs w:val="20"/>
          <w:lang w:eastAsia="en-US"/>
        </w:rPr>
        <w:fldChar w:fldCharType="begin"/>
      </w:r>
      <w:r>
        <w:rPr>
          <w:rFonts w:ascii="Arial Narrow" w:hAnsi="Arial Narrow" w:cs="Arial"/>
          <w:snapToGrid w:val="0"/>
          <w:sz w:val="18"/>
          <w:szCs w:val="20"/>
          <w:lang w:eastAsia="en-US"/>
        </w:rPr>
        <w:instrText xml:space="preserve"> ADDIN EN.CITE &lt;EndNote&gt;&lt;Cite&gt;&lt;Author&gt;Australian Bureau of Statistics&lt;/Author&gt;&lt;Year&gt;2018&lt;/Year&gt;&lt;RecNum&gt;2842&lt;/RecNum&gt;&lt;DisplayText&gt;(Australian Bureau of Statistics 2018)&lt;/DisplayText&gt;&lt;record&gt;&lt;rec-number&gt;2842&lt;/rec-number&gt;&lt;foreign-keys&gt;&lt;key app="EN" db-id="r9zwwf2zmrrvxfespp15vtvjapza9v2fz5s5" timestamp="1585011098"&gt;2842&lt;/key&gt;&lt;/foreign-keys&gt;&lt;ref-type name="Catalog"&gt;8&lt;/ref-type&gt;&lt;contributors&gt;&lt;authors&gt;&lt;author&gt;Australian Bureau of Statistics,&lt;/author&gt;&lt;/authors&gt;&lt;secondary-authors&gt;&lt;author&gt;ABS&lt;/author&gt;&lt;/secondary-authors&gt;&lt;/contributors&gt;&lt;titles&gt;&lt;title&gt;3222.0 Population Projections, Australia, 2017 (base) – 2066&lt;/title&gt;&lt;/titles&gt;&lt;dates&gt;&lt;year&gt;2018&lt;/year&gt;&lt;/dates&gt;&lt;pub-location&gt;Canberra&lt;/pub-location&gt;&lt;urls&gt;&lt;/urls&gt;&lt;/record&gt;&lt;/Cite&gt;&lt;/EndNote&gt;</w:instrText>
      </w:r>
      <w:r>
        <w:rPr>
          <w:rFonts w:ascii="Arial Narrow" w:hAnsi="Arial Narrow" w:cs="Arial"/>
          <w:snapToGrid w:val="0"/>
          <w:sz w:val="18"/>
          <w:szCs w:val="20"/>
          <w:lang w:eastAsia="en-US"/>
        </w:rPr>
        <w:fldChar w:fldCharType="separate"/>
      </w:r>
      <w:r>
        <w:rPr>
          <w:rFonts w:ascii="Arial Narrow" w:hAnsi="Arial Narrow" w:cs="Arial"/>
          <w:noProof/>
          <w:snapToGrid w:val="0"/>
          <w:sz w:val="18"/>
          <w:szCs w:val="20"/>
          <w:lang w:eastAsia="en-US"/>
        </w:rPr>
        <w:t>(Australian Bureau of Statistics 2018)</w:t>
      </w:r>
      <w:r>
        <w:rPr>
          <w:rFonts w:ascii="Arial Narrow" w:hAnsi="Arial Narrow" w:cs="Arial"/>
          <w:snapToGrid w:val="0"/>
          <w:sz w:val="18"/>
          <w:szCs w:val="20"/>
          <w:lang w:eastAsia="en-US"/>
        </w:rPr>
        <w:fldChar w:fldCharType="end"/>
      </w:r>
      <w:r w:rsidRPr="00B35E47">
        <w:rPr>
          <w:rFonts w:ascii="Arial Narrow" w:hAnsi="Arial Narrow" w:cs="Arial"/>
          <w:snapToGrid w:val="0"/>
          <w:sz w:val="18"/>
          <w:szCs w:val="20"/>
          <w:lang w:eastAsia="en-US"/>
        </w:rPr>
        <w:t xml:space="preserve"> </w:t>
      </w:r>
    </w:p>
    <w:p w14:paraId="6C7C7D2A" w14:textId="20B796ED" w:rsidR="00095358" w:rsidRPr="00EA0839" w:rsidRDefault="00095358" w:rsidP="00EA0839">
      <w:pPr>
        <w:widowControl w:val="0"/>
        <w:spacing w:after="240" w:line="240" w:lineRule="auto"/>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ACT = Australian Capital Territory; AP = Australian population; NSW = New South Wales; NT = Northern Territory; SA = South Australia; WA = Western Australia</w:t>
      </w:r>
    </w:p>
    <w:p w14:paraId="7EDAA8C5" w14:textId="77777777" w:rsidR="00095358" w:rsidRPr="00B35E47" w:rsidRDefault="00095358" w:rsidP="00095358">
      <w:r w:rsidRPr="00B35E47">
        <w:t xml:space="preserve">Assuming NSW Health, Queensland Health (including SA Pathology) and Western Australia combine to equate to 69% of the total Australian Public Sector Market (based on the State demographics presented in </w:t>
      </w:r>
      <w:r w:rsidRPr="00E70535">
        <w:fldChar w:fldCharType="begin"/>
      </w:r>
      <w:r w:rsidRPr="00E70535">
        <w:instrText xml:space="preserve"> REF _Ref10452454 \h </w:instrText>
      </w:r>
      <w:r>
        <w:instrText xml:space="preserve"> \* MERGEFORMAT </w:instrText>
      </w:r>
      <w:r w:rsidRPr="00E70535">
        <w:fldChar w:fldCharType="separate"/>
      </w:r>
      <w:r w:rsidR="006E2BA9" w:rsidRPr="00B35E47">
        <w:t xml:space="preserve">Table </w:t>
      </w:r>
      <w:r w:rsidR="006E2BA9">
        <w:t>86</w:t>
      </w:r>
      <w:r w:rsidRPr="00E70535">
        <w:fldChar w:fldCharType="end"/>
      </w:r>
      <w:r w:rsidRPr="00B35E47">
        <w:t xml:space="preserve">), total number of AQP4-Ab tests currently performed in the Public Sector will equate to 5,580 (this includes repeat tests). </w:t>
      </w:r>
    </w:p>
    <w:p w14:paraId="258978CA" w14:textId="77777777" w:rsidR="00095358" w:rsidRPr="00B35E47" w:rsidRDefault="00095358" w:rsidP="00095358">
      <w:r w:rsidRPr="00B35E47">
        <w:t>Assuming Sonic Laboratories Australia (SLA) comprises 40% of the outpatient serology market (clinical expert advice), n=1,014 SLA tests extrapolated to Australia would equate to 2,535 tests annually. Sensitivity analysis assesses this assumption by varying the market share of Sonic Laboratories in the private sector. This is presented in Section E.6.</w:t>
      </w:r>
    </w:p>
    <w:p w14:paraId="25EBB487" w14:textId="77777777" w:rsidR="00095358" w:rsidRPr="00B35E47" w:rsidRDefault="00095358" w:rsidP="00095358">
      <w:r w:rsidRPr="00B35E47">
        <w:t>NMOSD-Ab testing can occur in both serum and in CSF. Utilisation data provided by NSW and Queensland Health indicated that 14% and 18% of the AQP4-Ab tests were performed on CSF, in NSW and Queensland, respectively. However, clinical advice indicated that serum samples are preferred, and ordering of NMOSD-Ab testing on CSF is generally a mistake by clinicians (confusing it with NMDA antibody testing that should be done using CSF)</w:t>
      </w:r>
      <w:r w:rsidRPr="00B35E47">
        <w:rPr>
          <w:vertAlign w:val="superscript"/>
        </w:rPr>
        <w:footnoteReference w:id="15"/>
      </w:r>
      <w:r w:rsidRPr="00B35E47">
        <w:t xml:space="preserve">. </w:t>
      </w:r>
    </w:p>
    <w:p w14:paraId="5E795C08" w14:textId="77777777" w:rsidR="00095358" w:rsidRPr="00B35E47" w:rsidRDefault="00095358" w:rsidP="00095358">
      <w:r w:rsidRPr="00B35E47">
        <w:t xml:space="preserve">It was advised during the pre-PASC teleconference that tests requested on CSF would not incur additional costs to the MBS associated with collection procedures, as the CSF sample would be expected to already be available (collected during other relevant procedures/tests). Therefore, the financial estimates are not categorised for serum and CSF testing. </w:t>
      </w:r>
      <w:r w:rsidRPr="0020602F">
        <w:fldChar w:fldCharType="begin"/>
      </w:r>
      <w:r w:rsidRPr="0020602F">
        <w:instrText xml:space="preserve"> REF _Ref33433383 \h </w:instrText>
      </w:r>
      <w:r w:rsidR="0020602F">
        <w:instrText xml:space="preserve"> \* MERGEFORMAT </w:instrText>
      </w:r>
      <w:r w:rsidRPr="0020602F">
        <w:fldChar w:fldCharType="separate"/>
      </w:r>
      <w:r w:rsidR="006E2BA9" w:rsidRPr="00B35E47">
        <w:t xml:space="preserve">Table </w:t>
      </w:r>
      <w:r w:rsidR="006E2BA9">
        <w:t>87</w:t>
      </w:r>
      <w:r w:rsidRPr="0020602F">
        <w:fldChar w:fldCharType="end"/>
      </w:r>
      <w:r w:rsidRPr="0020602F">
        <w:t xml:space="preserve"> </w:t>
      </w:r>
      <w:r w:rsidRPr="00B35E47">
        <w:t>summarises the steps taken to estimate number of AQP4-Ab tests currently performed in Australia.</w:t>
      </w:r>
    </w:p>
    <w:p w14:paraId="70CC9990" w14:textId="0364AFE7" w:rsidR="00095358" w:rsidRPr="00B35E47" w:rsidRDefault="00095358" w:rsidP="00095358">
      <w:pPr>
        <w:pStyle w:val="Caption"/>
      </w:pPr>
      <w:bookmarkStart w:id="544" w:name="_Ref33433383"/>
      <w:bookmarkStart w:id="545" w:name="_Toc36054860"/>
      <w:bookmarkStart w:id="546" w:name="_Toc39580868"/>
      <w:r w:rsidRPr="00B35E47">
        <w:t xml:space="preserve">Table </w:t>
      </w:r>
      <w:fldSimple w:instr=" SEQ Table \* ARABIC ">
        <w:r w:rsidR="00FA7BCD">
          <w:rPr>
            <w:noProof/>
          </w:rPr>
          <w:t>87</w:t>
        </w:r>
      </w:fldSimple>
      <w:bookmarkEnd w:id="544"/>
      <w:r w:rsidRPr="00B35E47">
        <w:tab/>
        <w:t>Estimated number of AQP4-Ab tests currently performed in Australia</w:t>
      </w:r>
      <w:bookmarkEnd w:id="545"/>
      <w:bookmarkEnd w:id="546"/>
    </w:p>
    <w:tbl>
      <w:tblPr>
        <w:tblStyle w:val="TableGrid7"/>
        <w:tblW w:w="0" w:type="auto"/>
        <w:tblLook w:val="04A0" w:firstRow="1" w:lastRow="0" w:firstColumn="1" w:lastColumn="0" w:noHBand="0" w:noVBand="1"/>
        <w:tblCaption w:val="Table 87 Estimated number of AQP4-Ab tests currently performed in Australia"/>
      </w:tblPr>
      <w:tblGrid>
        <w:gridCol w:w="5240"/>
        <w:gridCol w:w="1843"/>
        <w:gridCol w:w="1933"/>
      </w:tblGrid>
      <w:tr w:rsidR="00095358" w:rsidRPr="00B35E47" w14:paraId="326B1720" w14:textId="77777777" w:rsidTr="00095358">
        <w:tc>
          <w:tcPr>
            <w:tcW w:w="5240" w:type="dxa"/>
            <w:tcBorders>
              <w:bottom w:val="single" w:sz="4" w:space="0" w:color="auto"/>
            </w:tcBorders>
          </w:tcPr>
          <w:bookmarkEnd w:id="532"/>
          <w:bookmarkEnd w:id="533"/>
          <w:p w14:paraId="742C1069" w14:textId="77777777" w:rsidR="00095358" w:rsidRPr="00B35E47" w:rsidRDefault="00095358" w:rsidP="00095358">
            <w:pPr>
              <w:keepNext/>
              <w:spacing w:before="40" w:after="40"/>
              <w:ind w:left="0"/>
              <w:rPr>
                <w:rFonts w:ascii="Arial Narrow" w:hAnsi="Arial Narrow"/>
                <w:b/>
                <w:lang w:eastAsia="en-US"/>
              </w:rPr>
            </w:pPr>
            <w:r w:rsidRPr="00B35E47">
              <w:rPr>
                <w:rFonts w:ascii="Arial Narrow" w:hAnsi="Arial Narrow"/>
                <w:b/>
                <w:lang w:eastAsia="en-US"/>
              </w:rPr>
              <w:t>Provider</w:t>
            </w:r>
          </w:p>
        </w:tc>
        <w:tc>
          <w:tcPr>
            <w:tcW w:w="1843" w:type="dxa"/>
            <w:tcBorders>
              <w:bottom w:val="single" w:sz="4" w:space="0" w:color="auto"/>
            </w:tcBorders>
          </w:tcPr>
          <w:p w14:paraId="597E89F3" w14:textId="77777777" w:rsidR="00095358" w:rsidRPr="00B35E47" w:rsidRDefault="00095358" w:rsidP="00095358">
            <w:pPr>
              <w:keepNext/>
              <w:spacing w:before="40" w:after="40"/>
              <w:ind w:left="0"/>
              <w:jc w:val="center"/>
              <w:rPr>
                <w:rFonts w:ascii="Arial Narrow" w:hAnsi="Arial Narrow"/>
                <w:b/>
                <w:lang w:eastAsia="en-US"/>
              </w:rPr>
            </w:pPr>
            <w:r w:rsidRPr="00B35E47">
              <w:rPr>
                <w:rFonts w:ascii="Arial Narrow" w:hAnsi="Arial Narrow"/>
                <w:b/>
                <w:lang w:eastAsia="en-US"/>
              </w:rPr>
              <w:t>Number of tests performed in 2019</w:t>
            </w:r>
          </w:p>
        </w:tc>
        <w:tc>
          <w:tcPr>
            <w:tcW w:w="1933" w:type="dxa"/>
            <w:tcBorders>
              <w:bottom w:val="single" w:sz="4" w:space="0" w:color="auto"/>
            </w:tcBorders>
          </w:tcPr>
          <w:p w14:paraId="667F0837" w14:textId="77777777" w:rsidR="00095358" w:rsidRPr="00B35E47" w:rsidRDefault="00095358" w:rsidP="00095358">
            <w:pPr>
              <w:keepNext/>
              <w:spacing w:before="40" w:after="40"/>
              <w:ind w:left="0"/>
              <w:jc w:val="center"/>
              <w:rPr>
                <w:rFonts w:ascii="Arial Narrow" w:hAnsi="Arial Narrow"/>
                <w:b/>
                <w:lang w:eastAsia="en-US"/>
              </w:rPr>
            </w:pPr>
            <w:r w:rsidRPr="00B35E47">
              <w:rPr>
                <w:rFonts w:ascii="Arial Narrow" w:hAnsi="Arial Narrow"/>
                <w:b/>
                <w:lang w:eastAsia="en-US"/>
              </w:rPr>
              <w:t>State / market share</w:t>
            </w:r>
          </w:p>
        </w:tc>
      </w:tr>
      <w:tr w:rsidR="00095358" w:rsidRPr="00B35E47" w14:paraId="77424AE6" w14:textId="77777777" w:rsidTr="00095358">
        <w:tc>
          <w:tcPr>
            <w:tcW w:w="5240" w:type="dxa"/>
            <w:tcBorders>
              <w:right w:val="nil"/>
            </w:tcBorders>
          </w:tcPr>
          <w:p w14:paraId="5162E4BD" w14:textId="77777777" w:rsidR="00095358" w:rsidRPr="00B35E47" w:rsidRDefault="00095358" w:rsidP="00095358">
            <w:pPr>
              <w:widowControl w:val="0"/>
              <w:spacing w:after="40"/>
              <w:ind w:left="0"/>
              <w:rPr>
                <w:rFonts w:ascii="Arial Narrow" w:hAnsi="Arial Narrow"/>
              </w:rPr>
            </w:pPr>
            <w:r w:rsidRPr="00B35E47">
              <w:rPr>
                <w:rFonts w:ascii="Arial Narrow" w:hAnsi="Arial Narrow"/>
              </w:rPr>
              <w:t>Public Sector</w:t>
            </w:r>
          </w:p>
        </w:tc>
        <w:tc>
          <w:tcPr>
            <w:tcW w:w="1843" w:type="dxa"/>
            <w:tcBorders>
              <w:left w:val="nil"/>
              <w:right w:val="nil"/>
            </w:tcBorders>
          </w:tcPr>
          <w:p w14:paraId="59EE16C0" w14:textId="77777777" w:rsidR="00095358" w:rsidRPr="00B35E47" w:rsidRDefault="00095358" w:rsidP="00095358">
            <w:pPr>
              <w:widowControl w:val="0"/>
              <w:spacing w:after="40"/>
              <w:ind w:left="0"/>
              <w:rPr>
                <w:rFonts w:ascii="Arial Narrow" w:hAnsi="Arial Narrow"/>
              </w:rPr>
            </w:pPr>
          </w:p>
        </w:tc>
        <w:tc>
          <w:tcPr>
            <w:tcW w:w="1933" w:type="dxa"/>
            <w:tcBorders>
              <w:left w:val="nil"/>
            </w:tcBorders>
          </w:tcPr>
          <w:p w14:paraId="1DEBB9C4" w14:textId="77777777" w:rsidR="00095358" w:rsidRPr="00B35E47" w:rsidRDefault="00095358" w:rsidP="00095358">
            <w:pPr>
              <w:widowControl w:val="0"/>
              <w:spacing w:after="40"/>
              <w:ind w:left="0"/>
              <w:rPr>
                <w:rFonts w:ascii="Arial Narrow" w:hAnsi="Arial Narrow"/>
              </w:rPr>
            </w:pPr>
          </w:p>
        </w:tc>
      </w:tr>
      <w:tr w:rsidR="00095358" w:rsidRPr="00B35E47" w14:paraId="50526C82" w14:textId="77777777" w:rsidTr="00095358">
        <w:tc>
          <w:tcPr>
            <w:tcW w:w="5240" w:type="dxa"/>
          </w:tcPr>
          <w:p w14:paraId="45404A52"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Queensland Health (includes tests referred by SA Pathology)</w:t>
            </w:r>
          </w:p>
        </w:tc>
        <w:tc>
          <w:tcPr>
            <w:tcW w:w="1843" w:type="dxa"/>
          </w:tcPr>
          <w:p w14:paraId="4E7013DD" w14:textId="77777777" w:rsidR="00095358" w:rsidRPr="00B35E47" w:rsidRDefault="00095358" w:rsidP="00095358">
            <w:pPr>
              <w:spacing w:before="40" w:after="40"/>
              <w:ind w:left="0"/>
              <w:contextualSpacing/>
              <w:jc w:val="right"/>
              <w:rPr>
                <w:rFonts w:ascii="Arial Narrow" w:hAnsi="Arial Narrow"/>
                <w:lang w:eastAsia="en-US"/>
              </w:rPr>
            </w:pPr>
            <w:r w:rsidRPr="00B35E47">
              <w:rPr>
                <w:rFonts w:ascii="Arial Narrow" w:hAnsi="Arial Narrow"/>
                <w:lang w:eastAsia="en-US"/>
              </w:rPr>
              <w:t>1,973</w:t>
            </w:r>
          </w:p>
        </w:tc>
        <w:tc>
          <w:tcPr>
            <w:tcW w:w="1933" w:type="dxa"/>
          </w:tcPr>
          <w:p w14:paraId="3CB6EA97"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27%</w:t>
            </w:r>
          </w:p>
        </w:tc>
      </w:tr>
      <w:tr w:rsidR="00095358" w:rsidRPr="00B35E47" w14:paraId="6B620250" w14:textId="77777777" w:rsidTr="00095358">
        <w:tc>
          <w:tcPr>
            <w:tcW w:w="5240" w:type="dxa"/>
          </w:tcPr>
          <w:p w14:paraId="0519A646"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NSW Health</w:t>
            </w:r>
          </w:p>
        </w:tc>
        <w:tc>
          <w:tcPr>
            <w:tcW w:w="1843" w:type="dxa"/>
          </w:tcPr>
          <w:p w14:paraId="440C8640" w14:textId="77777777" w:rsidR="00095358" w:rsidRPr="00B35E47" w:rsidRDefault="00095358" w:rsidP="00095358">
            <w:pPr>
              <w:spacing w:before="40" w:after="40"/>
              <w:ind w:left="0"/>
              <w:contextualSpacing/>
              <w:jc w:val="right"/>
              <w:rPr>
                <w:rFonts w:ascii="Arial Narrow" w:hAnsi="Arial Narrow"/>
                <w:lang w:eastAsia="en-US"/>
              </w:rPr>
            </w:pPr>
            <w:r w:rsidRPr="00B35E47">
              <w:rPr>
                <w:rFonts w:ascii="Arial Narrow" w:hAnsi="Arial Narrow"/>
                <w:lang w:eastAsia="en-US"/>
              </w:rPr>
              <w:t>1,614</w:t>
            </w:r>
          </w:p>
        </w:tc>
        <w:tc>
          <w:tcPr>
            <w:tcW w:w="1933" w:type="dxa"/>
          </w:tcPr>
          <w:p w14:paraId="2F870F48"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32%</w:t>
            </w:r>
          </w:p>
        </w:tc>
      </w:tr>
      <w:tr w:rsidR="00095358" w:rsidRPr="00B35E47" w14:paraId="412E4FD2" w14:textId="77777777" w:rsidTr="00095358">
        <w:tc>
          <w:tcPr>
            <w:tcW w:w="5240" w:type="dxa"/>
          </w:tcPr>
          <w:p w14:paraId="29FFAA01"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PathWest Laboratories, WA</w:t>
            </w:r>
          </w:p>
        </w:tc>
        <w:tc>
          <w:tcPr>
            <w:tcW w:w="1843" w:type="dxa"/>
          </w:tcPr>
          <w:p w14:paraId="5029B46A" w14:textId="77777777" w:rsidR="00095358" w:rsidRPr="00B35E47" w:rsidRDefault="00095358" w:rsidP="00095358">
            <w:pPr>
              <w:spacing w:before="40" w:after="40"/>
              <w:ind w:left="0"/>
              <w:contextualSpacing/>
              <w:jc w:val="right"/>
              <w:rPr>
                <w:rFonts w:ascii="Arial Narrow" w:hAnsi="Arial Narrow"/>
                <w:lang w:eastAsia="en-US"/>
              </w:rPr>
            </w:pPr>
            <w:r w:rsidRPr="00B35E47">
              <w:rPr>
                <w:rFonts w:ascii="Arial Narrow" w:hAnsi="Arial Narrow"/>
                <w:lang w:eastAsia="en-US"/>
              </w:rPr>
              <w:t>275</w:t>
            </w:r>
          </w:p>
        </w:tc>
        <w:tc>
          <w:tcPr>
            <w:tcW w:w="1933" w:type="dxa"/>
          </w:tcPr>
          <w:p w14:paraId="6AFB2E5B"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10%</w:t>
            </w:r>
          </w:p>
        </w:tc>
      </w:tr>
      <w:tr w:rsidR="00095358" w:rsidRPr="00B35E47" w14:paraId="4F17731B" w14:textId="77777777" w:rsidTr="00095358">
        <w:tc>
          <w:tcPr>
            <w:tcW w:w="5240" w:type="dxa"/>
          </w:tcPr>
          <w:p w14:paraId="28B90162"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Sub-total</w:t>
            </w:r>
          </w:p>
        </w:tc>
        <w:tc>
          <w:tcPr>
            <w:tcW w:w="1843" w:type="dxa"/>
          </w:tcPr>
          <w:p w14:paraId="5C76DB20" w14:textId="77777777" w:rsidR="00095358" w:rsidRPr="00B35E47" w:rsidRDefault="00095358" w:rsidP="00095358">
            <w:pPr>
              <w:spacing w:before="40" w:after="40"/>
              <w:ind w:left="0"/>
              <w:contextualSpacing/>
              <w:jc w:val="right"/>
              <w:rPr>
                <w:rFonts w:ascii="Arial Narrow" w:hAnsi="Arial Narrow"/>
                <w:lang w:eastAsia="en-US"/>
              </w:rPr>
            </w:pPr>
            <w:r w:rsidRPr="00B35E47">
              <w:rPr>
                <w:rFonts w:ascii="Arial Narrow" w:hAnsi="Arial Narrow"/>
                <w:lang w:eastAsia="en-US"/>
              </w:rPr>
              <w:t>3,862</w:t>
            </w:r>
          </w:p>
        </w:tc>
        <w:tc>
          <w:tcPr>
            <w:tcW w:w="1933" w:type="dxa"/>
          </w:tcPr>
          <w:p w14:paraId="56C14240"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69%</w:t>
            </w:r>
          </w:p>
        </w:tc>
      </w:tr>
      <w:tr w:rsidR="00095358" w:rsidRPr="00B35E47" w14:paraId="7A2301F4" w14:textId="77777777" w:rsidTr="00095358">
        <w:tc>
          <w:tcPr>
            <w:tcW w:w="5240" w:type="dxa"/>
            <w:tcBorders>
              <w:bottom w:val="single" w:sz="4" w:space="0" w:color="auto"/>
            </w:tcBorders>
          </w:tcPr>
          <w:p w14:paraId="51A7B530" w14:textId="77777777" w:rsidR="00095358" w:rsidRPr="00B35E47" w:rsidRDefault="00095358" w:rsidP="00095358">
            <w:pPr>
              <w:spacing w:before="40" w:after="40"/>
              <w:ind w:left="0"/>
              <w:contextualSpacing/>
              <w:jc w:val="left"/>
              <w:rPr>
                <w:rFonts w:ascii="Arial Narrow" w:hAnsi="Arial Narrow"/>
                <w:i/>
                <w:lang w:eastAsia="en-US"/>
              </w:rPr>
            </w:pPr>
            <w:r w:rsidRPr="00B35E47">
              <w:rPr>
                <w:rFonts w:ascii="Arial Narrow" w:hAnsi="Arial Narrow"/>
                <w:i/>
                <w:lang w:eastAsia="en-US"/>
              </w:rPr>
              <w:t>Public Sector, Australia (extrapolation)</w:t>
            </w:r>
          </w:p>
        </w:tc>
        <w:tc>
          <w:tcPr>
            <w:tcW w:w="1843" w:type="dxa"/>
            <w:tcBorders>
              <w:bottom w:val="single" w:sz="4" w:space="0" w:color="auto"/>
            </w:tcBorders>
          </w:tcPr>
          <w:p w14:paraId="29DEDF3C" w14:textId="77777777" w:rsidR="00095358" w:rsidRPr="00B35E47" w:rsidRDefault="00095358" w:rsidP="00095358">
            <w:pPr>
              <w:spacing w:before="40" w:after="40"/>
              <w:ind w:left="0"/>
              <w:contextualSpacing/>
              <w:jc w:val="right"/>
              <w:rPr>
                <w:rFonts w:ascii="Arial Narrow" w:hAnsi="Arial Narrow"/>
                <w:i/>
                <w:lang w:eastAsia="en-US"/>
              </w:rPr>
            </w:pPr>
            <w:r w:rsidRPr="00B35E47">
              <w:rPr>
                <w:rFonts w:ascii="Arial Narrow" w:hAnsi="Arial Narrow"/>
                <w:i/>
                <w:lang w:eastAsia="en-US"/>
              </w:rPr>
              <w:t>5,580</w:t>
            </w:r>
          </w:p>
        </w:tc>
        <w:tc>
          <w:tcPr>
            <w:tcW w:w="1933" w:type="dxa"/>
            <w:tcBorders>
              <w:bottom w:val="single" w:sz="4" w:space="0" w:color="auto"/>
            </w:tcBorders>
          </w:tcPr>
          <w:p w14:paraId="6626D0BE" w14:textId="77777777" w:rsidR="00095358" w:rsidRPr="00B35E47" w:rsidRDefault="00095358" w:rsidP="00095358">
            <w:pPr>
              <w:spacing w:before="40" w:after="40"/>
              <w:ind w:left="0"/>
              <w:contextualSpacing/>
              <w:jc w:val="center"/>
              <w:rPr>
                <w:rFonts w:ascii="Arial Narrow" w:hAnsi="Arial Narrow"/>
                <w:i/>
                <w:lang w:eastAsia="en-US"/>
              </w:rPr>
            </w:pPr>
          </w:p>
        </w:tc>
      </w:tr>
      <w:tr w:rsidR="00095358" w:rsidRPr="00B35E47" w14:paraId="0F39FC27" w14:textId="77777777" w:rsidTr="00095358">
        <w:tc>
          <w:tcPr>
            <w:tcW w:w="5240" w:type="dxa"/>
            <w:tcBorders>
              <w:right w:val="nil"/>
            </w:tcBorders>
          </w:tcPr>
          <w:p w14:paraId="2C0EF44A"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Private sector</w:t>
            </w:r>
          </w:p>
        </w:tc>
        <w:tc>
          <w:tcPr>
            <w:tcW w:w="1843" w:type="dxa"/>
            <w:tcBorders>
              <w:left w:val="nil"/>
              <w:right w:val="nil"/>
            </w:tcBorders>
          </w:tcPr>
          <w:p w14:paraId="54BE7E18" w14:textId="77777777" w:rsidR="00095358" w:rsidRPr="00B35E47" w:rsidRDefault="00095358" w:rsidP="00095358">
            <w:pPr>
              <w:spacing w:before="40" w:after="40"/>
              <w:ind w:left="0"/>
              <w:contextualSpacing/>
              <w:jc w:val="left"/>
              <w:rPr>
                <w:rFonts w:ascii="Arial Narrow" w:hAnsi="Arial Narrow"/>
                <w:lang w:eastAsia="en-US"/>
              </w:rPr>
            </w:pPr>
          </w:p>
        </w:tc>
        <w:tc>
          <w:tcPr>
            <w:tcW w:w="1933" w:type="dxa"/>
            <w:tcBorders>
              <w:left w:val="nil"/>
            </w:tcBorders>
          </w:tcPr>
          <w:p w14:paraId="2AF835F0" w14:textId="77777777" w:rsidR="00095358" w:rsidRPr="00B35E47" w:rsidRDefault="00095358" w:rsidP="00095358">
            <w:pPr>
              <w:spacing w:before="40" w:after="40"/>
              <w:ind w:left="0"/>
              <w:contextualSpacing/>
              <w:jc w:val="left"/>
              <w:rPr>
                <w:rFonts w:ascii="Arial Narrow" w:hAnsi="Arial Narrow"/>
                <w:lang w:eastAsia="en-US"/>
              </w:rPr>
            </w:pPr>
          </w:p>
        </w:tc>
      </w:tr>
      <w:tr w:rsidR="00095358" w:rsidRPr="00B35E47" w14:paraId="48E82FAA" w14:textId="77777777" w:rsidTr="00095358">
        <w:tc>
          <w:tcPr>
            <w:tcW w:w="5240" w:type="dxa"/>
          </w:tcPr>
          <w:p w14:paraId="3E8B0DFA"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lastRenderedPageBreak/>
              <w:t>Sonic Laboratories Australia</w:t>
            </w:r>
          </w:p>
        </w:tc>
        <w:tc>
          <w:tcPr>
            <w:tcW w:w="1843" w:type="dxa"/>
          </w:tcPr>
          <w:p w14:paraId="77A4174B" w14:textId="77777777" w:rsidR="00095358" w:rsidRPr="00B35E47" w:rsidRDefault="00095358" w:rsidP="00095358">
            <w:pPr>
              <w:spacing w:before="40" w:after="40"/>
              <w:ind w:left="0"/>
              <w:contextualSpacing/>
              <w:jc w:val="right"/>
              <w:rPr>
                <w:rFonts w:ascii="Arial Narrow" w:hAnsi="Arial Narrow"/>
                <w:lang w:eastAsia="en-US"/>
              </w:rPr>
            </w:pPr>
            <w:r w:rsidRPr="00B35E47">
              <w:rPr>
                <w:rFonts w:ascii="Arial Narrow" w:hAnsi="Arial Narrow"/>
                <w:lang w:eastAsia="en-US"/>
              </w:rPr>
              <w:t>1,014</w:t>
            </w:r>
          </w:p>
        </w:tc>
        <w:tc>
          <w:tcPr>
            <w:tcW w:w="1933" w:type="dxa"/>
          </w:tcPr>
          <w:p w14:paraId="6D1E9287" w14:textId="77777777" w:rsidR="00095358" w:rsidRPr="00B35E47" w:rsidRDefault="00095358" w:rsidP="00095358">
            <w:pPr>
              <w:spacing w:before="40" w:after="40"/>
              <w:ind w:left="0"/>
              <w:contextualSpacing/>
              <w:jc w:val="center"/>
              <w:rPr>
                <w:rFonts w:ascii="Arial Narrow" w:hAnsi="Arial Narrow"/>
                <w:lang w:eastAsia="en-US"/>
              </w:rPr>
            </w:pPr>
            <w:r w:rsidRPr="00B35E47">
              <w:rPr>
                <w:rFonts w:ascii="Arial Narrow" w:hAnsi="Arial Narrow"/>
                <w:lang w:eastAsia="en-US"/>
              </w:rPr>
              <w:t>40%</w:t>
            </w:r>
          </w:p>
        </w:tc>
      </w:tr>
      <w:tr w:rsidR="00095358" w:rsidRPr="00B35E47" w14:paraId="578B3610" w14:textId="77777777" w:rsidTr="00095358">
        <w:tc>
          <w:tcPr>
            <w:tcW w:w="5240" w:type="dxa"/>
          </w:tcPr>
          <w:p w14:paraId="0E7978E2" w14:textId="77777777" w:rsidR="00095358" w:rsidRPr="00B35E47" w:rsidRDefault="00095358" w:rsidP="00095358">
            <w:pPr>
              <w:spacing w:before="40" w:after="40"/>
              <w:ind w:left="0"/>
              <w:contextualSpacing/>
              <w:jc w:val="left"/>
              <w:rPr>
                <w:rFonts w:ascii="Arial Narrow" w:hAnsi="Arial Narrow"/>
                <w:i/>
                <w:lang w:eastAsia="en-US"/>
              </w:rPr>
            </w:pPr>
            <w:r w:rsidRPr="00B35E47">
              <w:rPr>
                <w:rFonts w:ascii="Arial Narrow" w:hAnsi="Arial Narrow"/>
                <w:i/>
                <w:lang w:eastAsia="en-US"/>
              </w:rPr>
              <w:t>Private Sector, Australia (extrapolation)</w:t>
            </w:r>
          </w:p>
        </w:tc>
        <w:tc>
          <w:tcPr>
            <w:tcW w:w="1843" w:type="dxa"/>
          </w:tcPr>
          <w:p w14:paraId="651F2DB2" w14:textId="77777777" w:rsidR="00095358" w:rsidRPr="00B35E47" w:rsidRDefault="00095358" w:rsidP="00095358">
            <w:pPr>
              <w:spacing w:before="40" w:after="40"/>
              <w:ind w:left="0"/>
              <w:contextualSpacing/>
              <w:jc w:val="right"/>
              <w:rPr>
                <w:rFonts w:ascii="Arial Narrow" w:hAnsi="Arial Narrow"/>
                <w:i/>
                <w:lang w:eastAsia="en-US"/>
              </w:rPr>
            </w:pPr>
            <w:r w:rsidRPr="00B35E47">
              <w:rPr>
                <w:rFonts w:ascii="Arial Narrow" w:hAnsi="Arial Narrow"/>
                <w:i/>
                <w:lang w:eastAsia="en-US"/>
              </w:rPr>
              <w:t>2,535</w:t>
            </w:r>
          </w:p>
        </w:tc>
        <w:tc>
          <w:tcPr>
            <w:tcW w:w="1933" w:type="dxa"/>
          </w:tcPr>
          <w:p w14:paraId="7828FD52" w14:textId="77777777" w:rsidR="00095358" w:rsidRPr="00B35E47" w:rsidRDefault="00095358" w:rsidP="00095358">
            <w:pPr>
              <w:spacing w:before="40" w:after="40"/>
              <w:ind w:left="0"/>
              <w:contextualSpacing/>
              <w:jc w:val="left"/>
              <w:rPr>
                <w:rFonts w:ascii="Arial Narrow" w:hAnsi="Arial Narrow"/>
                <w:i/>
                <w:lang w:eastAsia="en-US"/>
              </w:rPr>
            </w:pPr>
          </w:p>
        </w:tc>
      </w:tr>
      <w:tr w:rsidR="00095358" w:rsidRPr="00B35E47" w14:paraId="58FFA032" w14:textId="77777777" w:rsidTr="00095358">
        <w:tc>
          <w:tcPr>
            <w:tcW w:w="5240" w:type="dxa"/>
          </w:tcPr>
          <w:p w14:paraId="12A5E6A5"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Estimated number of tests (private + public sector), Australia</w:t>
            </w:r>
          </w:p>
        </w:tc>
        <w:tc>
          <w:tcPr>
            <w:tcW w:w="1843" w:type="dxa"/>
          </w:tcPr>
          <w:p w14:paraId="018E11D3" w14:textId="77777777" w:rsidR="00095358" w:rsidRPr="00B35E47" w:rsidRDefault="00095358" w:rsidP="00095358">
            <w:pPr>
              <w:spacing w:before="40" w:after="40"/>
              <w:ind w:left="0"/>
              <w:contextualSpacing/>
              <w:jc w:val="right"/>
              <w:rPr>
                <w:rFonts w:ascii="Arial Narrow" w:hAnsi="Arial Narrow"/>
                <w:lang w:eastAsia="en-US"/>
              </w:rPr>
            </w:pPr>
            <w:r w:rsidRPr="00B35E47">
              <w:rPr>
                <w:rFonts w:ascii="Arial Narrow" w:hAnsi="Arial Narrow"/>
                <w:lang w:eastAsia="en-US"/>
              </w:rPr>
              <w:t>8,115</w:t>
            </w:r>
          </w:p>
        </w:tc>
        <w:tc>
          <w:tcPr>
            <w:tcW w:w="1933" w:type="dxa"/>
          </w:tcPr>
          <w:p w14:paraId="424E82E0" w14:textId="77777777" w:rsidR="00095358" w:rsidRPr="00B35E47" w:rsidRDefault="00095358" w:rsidP="00095358">
            <w:pPr>
              <w:spacing w:before="40" w:after="40"/>
              <w:ind w:left="0"/>
              <w:contextualSpacing/>
              <w:jc w:val="left"/>
              <w:rPr>
                <w:rFonts w:ascii="Arial Narrow" w:hAnsi="Arial Narrow"/>
                <w:lang w:eastAsia="en-US"/>
              </w:rPr>
            </w:pPr>
            <w:r w:rsidRPr="00B35E47">
              <w:rPr>
                <w:rFonts w:ascii="Arial Narrow" w:hAnsi="Arial Narrow"/>
                <w:lang w:eastAsia="en-US"/>
              </w:rPr>
              <w:t>includes repeat tests</w:t>
            </w:r>
          </w:p>
        </w:tc>
      </w:tr>
      <w:tr w:rsidR="00095358" w:rsidRPr="00B35E47" w14:paraId="4B66E30D" w14:textId="77777777" w:rsidTr="00095358">
        <w:tc>
          <w:tcPr>
            <w:tcW w:w="5240" w:type="dxa"/>
          </w:tcPr>
          <w:p w14:paraId="61B174C8" w14:textId="77777777" w:rsidR="00095358" w:rsidRPr="00B35E47" w:rsidRDefault="00095358" w:rsidP="00095358">
            <w:pPr>
              <w:spacing w:before="40" w:after="40"/>
              <w:ind w:left="0"/>
              <w:contextualSpacing/>
              <w:jc w:val="left"/>
              <w:rPr>
                <w:rFonts w:ascii="Arial Narrow" w:hAnsi="Arial Narrow"/>
                <w:b/>
                <w:lang w:eastAsia="en-US"/>
              </w:rPr>
            </w:pPr>
            <w:r w:rsidRPr="00B35E47">
              <w:rPr>
                <w:rFonts w:ascii="Arial Narrow" w:hAnsi="Arial Narrow"/>
                <w:b/>
                <w:lang w:eastAsia="en-US"/>
              </w:rPr>
              <w:t>Estimated number of patients tested (unique tests excluding 10% repeat tests)</w:t>
            </w:r>
          </w:p>
        </w:tc>
        <w:tc>
          <w:tcPr>
            <w:tcW w:w="1843" w:type="dxa"/>
          </w:tcPr>
          <w:p w14:paraId="6FD9F598" w14:textId="77777777" w:rsidR="00095358" w:rsidRPr="00B35E47" w:rsidRDefault="00095358" w:rsidP="00095358">
            <w:pPr>
              <w:spacing w:before="40" w:after="40"/>
              <w:ind w:left="0"/>
              <w:contextualSpacing/>
              <w:jc w:val="right"/>
              <w:rPr>
                <w:rFonts w:ascii="Arial Narrow" w:hAnsi="Arial Narrow"/>
                <w:b/>
                <w:lang w:eastAsia="en-US"/>
              </w:rPr>
            </w:pPr>
            <w:r w:rsidRPr="00B35E47">
              <w:rPr>
                <w:rFonts w:ascii="Arial Narrow" w:hAnsi="Arial Narrow"/>
                <w:b/>
                <w:lang w:eastAsia="en-US"/>
              </w:rPr>
              <w:t>7,303</w:t>
            </w:r>
          </w:p>
        </w:tc>
        <w:tc>
          <w:tcPr>
            <w:tcW w:w="1933" w:type="dxa"/>
          </w:tcPr>
          <w:p w14:paraId="17AFB95D" w14:textId="77777777" w:rsidR="00095358" w:rsidRPr="00B35E47" w:rsidRDefault="00095358" w:rsidP="00095358">
            <w:pPr>
              <w:spacing w:before="40" w:after="40"/>
              <w:ind w:left="0"/>
              <w:contextualSpacing/>
              <w:jc w:val="left"/>
              <w:rPr>
                <w:rFonts w:ascii="Arial Narrow" w:hAnsi="Arial Narrow"/>
                <w:b/>
                <w:lang w:eastAsia="en-US"/>
              </w:rPr>
            </w:pPr>
          </w:p>
        </w:tc>
      </w:tr>
    </w:tbl>
    <w:p w14:paraId="45214164"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 xml:space="preserve">Source: See </w:t>
      </w:r>
      <w:r w:rsidRPr="00B35E47">
        <w:rPr>
          <w:rFonts w:ascii="Arial Narrow" w:hAnsi="Arial Narrow" w:cs="Arial"/>
          <w:snapToGrid w:val="0"/>
          <w:sz w:val="18"/>
          <w:szCs w:val="20"/>
          <w:lang w:eastAsia="en-US"/>
        </w:rPr>
        <w:fldChar w:fldCharType="begin"/>
      </w:r>
      <w:r w:rsidRPr="00B35E47">
        <w:rPr>
          <w:rFonts w:ascii="Arial Narrow" w:hAnsi="Arial Narrow" w:cs="Arial"/>
          <w:snapToGrid w:val="0"/>
          <w:sz w:val="18"/>
          <w:szCs w:val="20"/>
          <w:lang w:eastAsia="en-US"/>
        </w:rPr>
        <w:instrText xml:space="preserve"> REF _Ref10453737 \h </w:instrText>
      </w:r>
      <w:r w:rsidRPr="00B35E47">
        <w:rPr>
          <w:rFonts w:ascii="Arial Narrow" w:hAnsi="Arial Narrow" w:cs="Arial"/>
          <w:snapToGrid w:val="0"/>
          <w:sz w:val="18"/>
          <w:szCs w:val="20"/>
          <w:lang w:eastAsia="en-US"/>
        </w:rPr>
      </w:r>
      <w:r w:rsidRPr="00B35E47">
        <w:rPr>
          <w:rFonts w:ascii="Arial Narrow" w:hAnsi="Arial Narrow" w:cs="Arial"/>
          <w:snapToGrid w:val="0"/>
          <w:sz w:val="18"/>
          <w:szCs w:val="20"/>
          <w:lang w:eastAsia="en-US"/>
        </w:rPr>
        <w:fldChar w:fldCharType="separate"/>
      </w:r>
      <w:r w:rsidR="006E2BA9" w:rsidRPr="00B35E47">
        <w:t xml:space="preserve">Table </w:t>
      </w:r>
      <w:r w:rsidR="006E2BA9">
        <w:rPr>
          <w:noProof/>
        </w:rPr>
        <w:t>85</w:t>
      </w:r>
      <w:r w:rsidRPr="00B35E47">
        <w:rPr>
          <w:rFonts w:ascii="Arial Narrow" w:hAnsi="Arial Narrow" w:cs="Arial"/>
          <w:snapToGrid w:val="0"/>
          <w:sz w:val="18"/>
          <w:szCs w:val="20"/>
          <w:lang w:eastAsia="en-US"/>
        </w:rPr>
        <w:fldChar w:fldCharType="end"/>
      </w:r>
      <w:r w:rsidRPr="00B35E47">
        <w:rPr>
          <w:rFonts w:ascii="Arial Narrow" w:hAnsi="Arial Narrow" w:cs="Arial"/>
          <w:snapToGrid w:val="0"/>
          <w:sz w:val="18"/>
          <w:szCs w:val="20"/>
          <w:lang w:eastAsia="en-US"/>
        </w:rPr>
        <w:t xml:space="preserve"> and </w:t>
      </w:r>
      <w:r w:rsidRPr="00B35E47">
        <w:rPr>
          <w:rFonts w:ascii="Arial Narrow" w:hAnsi="Arial Narrow" w:cs="Arial"/>
          <w:snapToGrid w:val="0"/>
          <w:sz w:val="18"/>
          <w:szCs w:val="20"/>
          <w:lang w:eastAsia="en-US"/>
        </w:rPr>
        <w:fldChar w:fldCharType="begin"/>
      </w:r>
      <w:r w:rsidRPr="00B35E47">
        <w:rPr>
          <w:rFonts w:ascii="Arial Narrow" w:hAnsi="Arial Narrow" w:cs="Arial"/>
          <w:snapToGrid w:val="0"/>
          <w:sz w:val="18"/>
          <w:szCs w:val="20"/>
          <w:lang w:eastAsia="en-US"/>
        </w:rPr>
        <w:instrText xml:space="preserve"> REF _Ref10452454 \h </w:instrText>
      </w:r>
      <w:r w:rsidRPr="00B35E47">
        <w:rPr>
          <w:rFonts w:ascii="Arial Narrow" w:hAnsi="Arial Narrow" w:cs="Arial"/>
          <w:snapToGrid w:val="0"/>
          <w:sz w:val="18"/>
          <w:szCs w:val="20"/>
          <w:lang w:eastAsia="en-US"/>
        </w:rPr>
      </w:r>
      <w:r w:rsidRPr="00B35E47">
        <w:rPr>
          <w:rFonts w:ascii="Arial Narrow" w:hAnsi="Arial Narrow" w:cs="Arial"/>
          <w:snapToGrid w:val="0"/>
          <w:sz w:val="18"/>
          <w:szCs w:val="20"/>
          <w:lang w:eastAsia="en-US"/>
        </w:rPr>
        <w:fldChar w:fldCharType="separate"/>
      </w:r>
      <w:r w:rsidR="006E2BA9" w:rsidRPr="00B35E47">
        <w:t xml:space="preserve">Table </w:t>
      </w:r>
      <w:r w:rsidR="006E2BA9">
        <w:rPr>
          <w:noProof/>
        </w:rPr>
        <w:t>86</w:t>
      </w:r>
      <w:r w:rsidRPr="00B35E47">
        <w:rPr>
          <w:rFonts w:ascii="Arial Narrow" w:hAnsi="Arial Narrow" w:cs="Arial"/>
          <w:snapToGrid w:val="0"/>
          <w:sz w:val="18"/>
          <w:szCs w:val="20"/>
          <w:lang w:eastAsia="en-US"/>
        </w:rPr>
        <w:fldChar w:fldCharType="end"/>
      </w:r>
      <w:r w:rsidRPr="00B35E47">
        <w:rPr>
          <w:rFonts w:ascii="Arial Narrow" w:hAnsi="Arial Narrow" w:cs="Arial"/>
          <w:snapToGrid w:val="0"/>
          <w:sz w:val="18"/>
          <w:szCs w:val="20"/>
          <w:lang w:eastAsia="en-US"/>
        </w:rPr>
        <w:t>.</w:t>
      </w:r>
    </w:p>
    <w:p w14:paraId="27D660BD"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AQP4-Ab = aquaporin 4 antibodies; MBS = Medicare Benefits Schedule; NSW = New South Wales; SA = South Australia; WA = Western Australia</w:t>
      </w:r>
    </w:p>
    <w:p w14:paraId="6649EA1B" w14:textId="77777777" w:rsidR="00095358" w:rsidRPr="00B35E47" w:rsidRDefault="00095358" w:rsidP="00095358">
      <w:pPr>
        <w:pStyle w:val="Heading4"/>
      </w:pPr>
      <w:r w:rsidRPr="00B35E47">
        <w:t>Sequential MOG-Ab testing</w:t>
      </w:r>
    </w:p>
    <w:p w14:paraId="3CA6F788" w14:textId="77777777" w:rsidR="00095358" w:rsidRPr="00B35E47" w:rsidRDefault="00095358" w:rsidP="00095358">
      <w:r w:rsidRPr="00B35E47">
        <w:t>PASC informed that MOG-Ab assays have greater variability and, from a clinical perspective, some are considered unreliable. In practice, these tests are mainly ordered together with AQP4-Ab tests for NMOSD diagnosis (advice from A/Prof Steve Reddel and Sonic Laboratories), and therefore it is estimated that approximately a similar number would be performed. Only PathWest provided the number of MOG-Ab tests performed in 2019, however they indicated that AQP4-Ab tests were performed in-house, whilst MOG-Ab tests were sent away to an external laboratory. It is unclear if the number of MOG-Ab tests (n= 157) performed were all for NMOSD (diagnosis/monitoring) or included broader indications for MARD.</w:t>
      </w:r>
    </w:p>
    <w:p w14:paraId="6C73018F" w14:textId="77777777" w:rsidR="00095358" w:rsidRPr="00B35E47" w:rsidRDefault="00095358" w:rsidP="00095358">
      <w:pPr>
        <w:rPr>
          <w:u w:val="words"/>
        </w:rPr>
      </w:pPr>
      <w:r w:rsidRPr="00B35E47">
        <w:t>The financial analysis assumes that with the proposed listing a small number of laboratories may initially perform/refer sequential MOG-Ab tests due to unavailability of the required resources. It is estimated that approximately 3% (157/5,033) of the additional services currently occur for sequential MOG-Ab tests (assuming all MOG-Ab tests were performed together with AQP4-Ab tests in NSW, Queensland and Sonic) in the estimated number of tests performed in 2019</w:t>
      </w:r>
      <w:r w:rsidRPr="00B35E47">
        <w:rPr>
          <w:vertAlign w:val="superscript"/>
        </w:rPr>
        <w:footnoteReference w:id="16"/>
      </w:r>
      <w:r w:rsidRPr="00B35E47">
        <w:t xml:space="preserve">. The base case analysis assumes that the sequential MOG-Ab testing will slightly increase to 5% with the proposed MBS listing. </w:t>
      </w:r>
    </w:p>
    <w:p w14:paraId="130FAD09" w14:textId="77777777" w:rsidR="00095358" w:rsidRPr="00B35E47" w:rsidRDefault="00095358" w:rsidP="00095358">
      <w:pPr>
        <w:pStyle w:val="Heading4"/>
      </w:pPr>
      <w:r w:rsidRPr="00B35E47">
        <w:t>Repeat tests (diagnosis/monitoring)</w:t>
      </w:r>
    </w:p>
    <w:p w14:paraId="5B6DDCE7" w14:textId="77777777" w:rsidR="00095358" w:rsidRPr="00B35E47" w:rsidRDefault="00095358" w:rsidP="00095358">
      <w:r w:rsidRPr="00B35E47">
        <w:t xml:space="preserve">The proposed item descriptor for antibody testing is for diagnosis or monitoring of NMOSD and is restricted to no more than four times in any 12 month period. </w:t>
      </w:r>
    </w:p>
    <w:p w14:paraId="20C07152" w14:textId="77777777" w:rsidR="00095358" w:rsidRPr="00B35E47" w:rsidRDefault="00095358" w:rsidP="00095358">
      <w:r w:rsidRPr="00B35E47">
        <w:t xml:space="preserve">A repeat test may be ordered if there is clinical inconsistency to the test result. Clinical advice regarding the use of repeat tests for monitoring is controversial. Some clinicians do not find NMOSD-Ab monitoring useful, while others suggesting that recurrent testing (once a year) is useful to confirm if a patient still has antibodies present, as going from positive to negative may in some cases indicate a reduced requirement for ongoing immunosuppression. </w:t>
      </w:r>
    </w:p>
    <w:p w14:paraId="11C823BE" w14:textId="77777777" w:rsidR="00095358" w:rsidRPr="00B35E47" w:rsidRDefault="00095358" w:rsidP="00095358">
      <w:r w:rsidRPr="00B35E47">
        <w:t xml:space="preserve">Repeat test rates were informed by PathWest (13% for AQP4-Ab and 16% for MOG-Ab) and Sonic laboratories (6% for AQP4 </w:t>
      </w:r>
      <w:r w:rsidRPr="00B35E47">
        <w:rPr>
          <w:rFonts w:cs="Calibri"/>
        </w:rPr>
        <w:t>±</w:t>
      </w:r>
      <w:r w:rsidRPr="00B35E47">
        <w:t xml:space="preserve"> MOG-Ab tests). However, it is unclear what proportion of these repeat tests were for diagnostic or monitoring purposes. Data from other providers did not indicate the number of repeat tests. The base case analysis presented assumes that around 10% of the AQP4-Ab tests currently performed (</w:t>
      </w:r>
      <w:r w:rsidRPr="006C1EB7">
        <w:fldChar w:fldCharType="begin"/>
      </w:r>
      <w:r w:rsidRPr="006C1EB7">
        <w:instrText xml:space="preserve"> REF _Ref33433383 \h </w:instrText>
      </w:r>
      <w:r>
        <w:instrText xml:space="preserve"> \* MERGEFORMAT </w:instrText>
      </w:r>
      <w:r w:rsidRPr="006C1EB7">
        <w:fldChar w:fldCharType="separate"/>
      </w:r>
      <w:r w:rsidR="006E2BA9" w:rsidRPr="00B35E47">
        <w:t xml:space="preserve">Table </w:t>
      </w:r>
      <w:r w:rsidR="006E2BA9">
        <w:t>87</w:t>
      </w:r>
      <w:r w:rsidRPr="006C1EB7">
        <w:fldChar w:fldCharType="end"/>
      </w:r>
      <w:r w:rsidRPr="00B35E47">
        <w:t>) are repeat tests.</w:t>
      </w:r>
    </w:p>
    <w:p w14:paraId="460FF867" w14:textId="77777777" w:rsidR="00095358" w:rsidRPr="00B35E47" w:rsidRDefault="00095358" w:rsidP="00095358">
      <w:pPr>
        <w:pStyle w:val="Heading4"/>
      </w:pPr>
      <w:r w:rsidRPr="00B35E47">
        <w:t>Growth rate</w:t>
      </w:r>
    </w:p>
    <w:p w14:paraId="6DB97316" w14:textId="77777777" w:rsidR="00095358" w:rsidRPr="00B35E47" w:rsidRDefault="00095358" w:rsidP="00095358">
      <w:r w:rsidRPr="00B35E47">
        <w:t xml:space="preserve">Market data suggested that a growth rate of 6–18% per annum has been observed in the number of AQP4-Ab tests requested in the last two–three years. The base case analysis assumes that the MBS listing of NMOSD-Ab test would increase the number of patients tested for AQP4 ± MOG-Ab tests by </w:t>
      </w:r>
      <w:r w:rsidRPr="00B35E47">
        <w:lastRenderedPageBreak/>
        <w:t>20% in the first year of listing, and then an ongoing growth rate of 15% p.a. is assumed over the next four years of listing. Considering NSW and Queensland markets are more mature compared with other states (NMOSD-Ab testing has been available in these states for over 10 years), this may be an overestimate and areas of lower resourcing may show a slower growth rate. Sensitivity analyses are presented assessing the impact of lower and higher growth rates (6 – 25%).</w:t>
      </w:r>
    </w:p>
    <w:p w14:paraId="7E8113DE" w14:textId="77777777" w:rsidR="00095358" w:rsidRPr="00B35E47" w:rsidRDefault="00095358" w:rsidP="00095358">
      <w:pPr>
        <w:keepNext/>
        <w:spacing w:before="240" w:after="120"/>
        <w:jc w:val="left"/>
        <w:outlineLvl w:val="3"/>
        <w:rPr>
          <w:b/>
          <w:szCs w:val="24"/>
        </w:rPr>
      </w:pPr>
      <w:r w:rsidRPr="00B35E47">
        <w:rPr>
          <w:b/>
          <w:szCs w:val="24"/>
        </w:rPr>
        <w:t>Estimated use of NMOSD-Ab tests</w:t>
      </w:r>
    </w:p>
    <w:p w14:paraId="38E415AC" w14:textId="77777777" w:rsidR="00095358" w:rsidRPr="00B35E47" w:rsidRDefault="00095358" w:rsidP="00095358">
      <w:r w:rsidRPr="00B35E47">
        <w:t xml:space="preserve">The number of patients currently tested for AQP4 ± MOG-Ab tests are estimated to be 7,303 with number of tests equalling 8,115 (accounting 10% of the repeat tests). An additional 3% of the tests performed are assumed to occur as sequential MOG-Ab tests. Repeat tests rates are assumed to be 10% for both for AQP4 ± MOG-Ab tests and sequential MOG-Ab tests. </w:t>
      </w:r>
      <w:r w:rsidRPr="006C1EB7">
        <w:fldChar w:fldCharType="begin"/>
      </w:r>
      <w:r w:rsidRPr="006C1EB7">
        <w:instrText xml:space="preserve"> REF _Ref10461885 \h </w:instrText>
      </w:r>
      <w:r>
        <w:instrText xml:space="preserve"> \* MERGEFORMAT </w:instrText>
      </w:r>
      <w:r w:rsidRPr="006C1EB7">
        <w:fldChar w:fldCharType="separate"/>
      </w:r>
      <w:r w:rsidR="006E2BA9" w:rsidRPr="00B35E47">
        <w:t xml:space="preserve">Table </w:t>
      </w:r>
      <w:r w:rsidR="006E2BA9">
        <w:t>88</w:t>
      </w:r>
      <w:r w:rsidRPr="006C1EB7">
        <w:fldChar w:fldCharType="end"/>
      </w:r>
      <w:r w:rsidRPr="00B35E47">
        <w:t xml:space="preserve"> presents the projected number of NMOSD tests that would be performed in the first five years of MBS listing. These numbers are estimated by applying growth rates and repeat testing rates on the current estimated utilisation data.</w:t>
      </w:r>
    </w:p>
    <w:p w14:paraId="2120423A" w14:textId="77777777" w:rsidR="00095358" w:rsidRPr="00B35E47" w:rsidRDefault="00095358" w:rsidP="00095358">
      <w:r w:rsidRPr="00B35E47">
        <w:t>All rows in the Tables below are labelled and referenced using the specified labels in the calculations.</w:t>
      </w:r>
    </w:p>
    <w:p w14:paraId="6D995D45" w14:textId="4531A9B8" w:rsidR="00095358" w:rsidRPr="00B35E47" w:rsidRDefault="00095358" w:rsidP="00095358">
      <w:pPr>
        <w:pStyle w:val="Caption"/>
      </w:pPr>
      <w:bookmarkStart w:id="547" w:name="_Ref10461885"/>
      <w:bookmarkStart w:id="548" w:name="_Toc11240577"/>
      <w:bookmarkStart w:id="549" w:name="_Toc36054861"/>
      <w:bookmarkStart w:id="550" w:name="_Toc39580869"/>
      <w:r w:rsidRPr="00B35E47">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88</w:t>
      </w:r>
      <w:r w:rsidRPr="00B35E47">
        <w:rPr>
          <w:noProof/>
        </w:rPr>
        <w:fldChar w:fldCharType="end"/>
      </w:r>
      <w:bookmarkEnd w:id="547"/>
      <w:r w:rsidRPr="00B35E47">
        <w:tab/>
        <w:t>Estimated use of NMOSD-Ab tests for the first five years of MBS listing</w:t>
      </w:r>
      <w:bookmarkEnd w:id="548"/>
      <w:bookmarkEnd w:id="549"/>
      <w:bookmarkEnd w:id="550"/>
    </w:p>
    <w:tbl>
      <w:tblPr>
        <w:tblStyle w:val="TableGrid11"/>
        <w:tblW w:w="0" w:type="auto"/>
        <w:tblLook w:val="04A0" w:firstRow="1" w:lastRow="0" w:firstColumn="1" w:lastColumn="0" w:noHBand="0" w:noVBand="1"/>
        <w:tblCaption w:val="Estimated use of FC tests for the first five years of MBS listing"/>
        <w:tblDescription w:val="Estimated use of FC tests for the first five years of MBS listing"/>
      </w:tblPr>
      <w:tblGrid>
        <w:gridCol w:w="563"/>
        <w:gridCol w:w="3543"/>
        <w:gridCol w:w="981"/>
        <w:gridCol w:w="1001"/>
        <w:gridCol w:w="995"/>
        <w:gridCol w:w="992"/>
        <w:gridCol w:w="941"/>
      </w:tblGrid>
      <w:tr w:rsidR="00095358" w:rsidRPr="00B35E47" w14:paraId="72DDB7EE" w14:textId="77777777" w:rsidTr="00095358">
        <w:trPr>
          <w:cnfStyle w:val="100000000000" w:firstRow="1" w:lastRow="0" w:firstColumn="0" w:lastColumn="0" w:oddVBand="0" w:evenVBand="0" w:oddHBand="0" w:evenHBand="0" w:firstRowFirstColumn="0" w:firstRowLastColumn="0" w:lastRowFirstColumn="0" w:lastRowLastColumn="0"/>
          <w:trHeight w:val="285"/>
          <w:tblHeader/>
        </w:trPr>
        <w:tc>
          <w:tcPr>
            <w:tcW w:w="0" w:type="auto"/>
            <w:vAlign w:val="center"/>
          </w:tcPr>
          <w:p w14:paraId="2F9C14BB"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Row</w:t>
            </w:r>
          </w:p>
        </w:tc>
        <w:tc>
          <w:tcPr>
            <w:tcW w:w="3543" w:type="dxa"/>
            <w:noWrap/>
            <w:vAlign w:val="center"/>
            <w:hideMark/>
          </w:tcPr>
          <w:p w14:paraId="11D41CBC"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Description</w:t>
            </w:r>
          </w:p>
        </w:tc>
        <w:tc>
          <w:tcPr>
            <w:tcW w:w="981" w:type="dxa"/>
            <w:noWrap/>
            <w:hideMark/>
          </w:tcPr>
          <w:p w14:paraId="115F00C3"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2020–21</w:t>
            </w:r>
          </w:p>
        </w:tc>
        <w:tc>
          <w:tcPr>
            <w:tcW w:w="1001" w:type="dxa"/>
            <w:noWrap/>
            <w:hideMark/>
          </w:tcPr>
          <w:p w14:paraId="04ACEF9E"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2021–22</w:t>
            </w:r>
          </w:p>
        </w:tc>
        <w:tc>
          <w:tcPr>
            <w:tcW w:w="995" w:type="dxa"/>
            <w:noWrap/>
            <w:hideMark/>
          </w:tcPr>
          <w:p w14:paraId="79712B67"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2022–23</w:t>
            </w:r>
          </w:p>
        </w:tc>
        <w:tc>
          <w:tcPr>
            <w:tcW w:w="992" w:type="dxa"/>
            <w:noWrap/>
            <w:hideMark/>
          </w:tcPr>
          <w:p w14:paraId="059B18AA"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2023–24</w:t>
            </w:r>
          </w:p>
        </w:tc>
        <w:tc>
          <w:tcPr>
            <w:tcW w:w="941" w:type="dxa"/>
            <w:noWrap/>
            <w:hideMark/>
          </w:tcPr>
          <w:p w14:paraId="2A0DEA2E"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2024–25</w:t>
            </w:r>
          </w:p>
        </w:tc>
      </w:tr>
      <w:tr w:rsidR="00095358" w:rsidRPr="00B35E47" w14:paraId="53565A81" w14:textId="77777777" w:rsidTr="00095358">
        <w:trPr>
          <w:trHeight w:val="270"/>
        </w:trPr>
        <w:tc>
          <w:tcPr>
            <w:tcW w:w="0" w:type="auto"/>
            <w:vAlign w:val="center"/>
          </w:tcPr>
          <w:p w14:paraId="3EE621C4"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A</w:t>
            </w:r>
          </w:p>
        </w:tc>
        <w:tc>
          <w:tcPr>
            <w:tcW w:w="3543" w:type="dxa"/>
            <w:noWrap/>
            <w:vAlign w:val="center"/>
            <w:hideMark/>
          </w:tcPr>
          <w:p w14:paraId="1DAA433B"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s="Calibri"/>
                <w:color w:val="000000"/>
                <w:lang w:eastAsia="en-US"/>
              </w:rPr>
              <w:t>Estimated number of unique tests for AQP4 ± MOG-Ab (Growth rate 20% in the first year; 15% thereafter)</w:t>
            </w:r>
          </w:p>
        </w:tc>
        <w:tc>
          <w:tcPr>
            <w:tcW w:w="981" w:type="dxa"/>
            <w:noWrap/>
            <w:vAlign w:val="center"/>
            <w:hideMark/>
          </w:tcPr>
          <w:p w14:paraId="27E1FEE9"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lang w:eastAsia="en-US"/>
              </w:rPr>
              <w:t>8,764</w:t>
            </w:r>
            <w:r w:rsidRPr="00B35E47">
              <w:rPr>
                <w:rFonts w:ascii="Arial Narrow" w:hAnsi="Arial Narrow"/>
                <w:vertAlign w:val="superscript"/>
                <w:lang w:eastAsia="en-US"/>
              </w:rPr>
              <w:t>a</w:t>
            </w:r>
          </w:p>
        </w:tc>
        <w:tc>
          <w:tcPr>
            <w:tcW w:w="1001" w:type="dxa"/>
            <w:noWrap/>
            <w:vAlign w:val="center"/>
            <w:hideMark/>
          </w:tcPr>
          <w:p w14:paraId="23FCE745"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lang w:eastAsia="en-US"/>
              </w:rPr>
              <w:t>10,079</w:t>
            </w:r>
          </w:p>
        </w:tc>
        <w:tc>
          <w:tcPr>
            <w:tcW w:w="995" w:type="dxa"/>
            <w:noWrap/>
            <w:vAlign w:val="center"/>
            <w:hideMark/>
          </w:tcPr>
          <w:p w14:paraId="38410581"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lang w:eastAsia="en-US"/>
              </w:rPr>
              <w:t>11,590</w:t>
            </w:r>
          </w:p>
        </w:tc>
        <w:tc>
          <w:tcPr>
            <w:tcW w:w="992" w:type="dxa"/>
            <w:noWrap/>
            <w:vAlign w:val="center"/>
            <w:hideMark/>
          </w:tcPr>
          <w:p w14:paraId="317CEB9F"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lang w:eastAsia="en-US"/>
              </w:rPr>
              <w:t>13,329</w:t>
            </w:r>
          </w:p>
        </w:tc>
        <w:tc>
          <w:tcPr>
            <w:tcW w:w="941" w:type="dxa"/>
            <w:noWrap/>
            <w:vAlign w:val="center"/>
            <w:hideMark/>
          </w:tcPr>
          <w:p w14:paraId="206810B9"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lang w:eastAsia="en-US"/>
              </w:rPr>
              <w:t>15,328</w:t>
            </w:r>
          </w:p>
        </w:tc>
      </w:tr>
      <w:tr w:rsidR="00095358" w:rsidRPr="00B35E47" w14:paraId="44BEDA05" w14:textId="77777777" w:rsidTr="00095358">
        <w:trPr>
          <w:trHeight w:val="255"/>
        </w:trPr>
        <w:tc>
          <w:tcPr>
            <w:tcW w:w="0" w:type="auto"/>
            <w:vAlign w:val="center"/>
          </w:tcPr>
          <w:p w14:paraId="32DAE3C7"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B</w:t>
            </w:r>
          </w:p>
        </w:tc>
        <w:tc>
          <w:tcPr>
            <w:tcW w:w="3543" w:type="dxa"/>
            <w:noWrap/>
            <w:vAlign w:val="center"/>
            <w:hideMark/>
          </w:tcPr>
          <w:p w14:paraId="126105C3"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s="Calibri"/>
                <w:color w:val="000000"/>
                <w:lang w:eastAsia="en-US"/>
              </w:rPr>
              <w:t>Sequential MOG-Ab tests (5%)</w:t>
            </w:r>
          </w:p>
        </w:tc>
        <w:tc>
          <w:tcPr>
            <w:tcW w:w="981" w:type="dxa"/>
            <w:noWrap/>
            <w:vAlign w:val="center"/>
            <w:hideMark/>
          </w:tcPr>
          <w:p w14:paraId="2F26D3B8"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lang w:eastAsia="en-US"/>
              </w:rPr>
              <w:t>438</w:t>
            </w:r>
          </w:p>
        </w:tc>
        <w:tc>
          <w:tcPr>
            <w:tcW w:w="1001" w:type="dxa"/>
            <w:noWrap/>
            <w:vAlign w:val="center"/>
            <w:hideMark/>
          </w:tcPr>
          <w:p w14:paraId="7F95176D"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lang w:eastAsia="en-US"/>
              </w:rPr>
              <w:t>504</w:t>
            </w:r>
          </w:p>
        </w:tc>
        <w:tc>
          <w:tcPr>
            <w:tcW w:w="995" w:type="dxa"/>
            <w:noWrap/>
            <w:vAlign w:val="center"/>
            <w:hideMark/>
          </w:tcPr>
          <w:p w14:paraId="15B0ABC8"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lang w:eastAsia="en-US"/>
              </w:rPr>
              <w:t>580</w:t>
            </w:r>
          </w:p>
        </w:tc>
        <w:tc>
          <w:tcPr>
            <w:tcW w:w="992" w:type="dxa"/>
            <w:noWrap/>
            <w:vAlign w:val="center"/>
            <w:hideMark/>
          </w:tcPr>
          <w:p w14:paraId="35BAE2CF"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lang w:eastAsia="en-US"/>
              </w:rPr>
              <w:t>666</w:t>
            </w:r>
          </w:p>
        </w:tc>
        <w:tc>
          <w:tcPr>
            <w:tcW w:w="941" w:type="dxa"/>
            <w:noWrap/>
            <w:vAlign w:val="center"/>
            <w:hideMark/>
          </w:tcPr>
          <w:p w14:paraId="5D9C0028"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lang w:eastAsia="en-US"/>
              </w:rPr>
              <w:t>766</w:t>
            </w:r>
          </w:p>
        </w:tc>
      </w:tr>
      <w:tr w:rsidR="00095358" w:rsidRPr="00B35E47" w14:paraId="0FE56E77" w14:textId="77777777" w:rsidTr="00095358">
        <w:trPr>
          <w:trHeight w:val="255"/>
        </w:trPr>
        <w:tc>
          <w:tcPr>
            <w:tcW w:w="0" w:type="auto"/>
            <w:vAlign w:val="center"/>
          </w:tcPr>
          <w:p w14:paraId="68BEC356"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C</w:t>
            </w:r>
          </w:p>
        </w:tc>
        <w:tc>
          <w:tcPr>
            <w:tcW w:w="3543" w:type="dxa"/>
            <w:noWrap/>
            <w:vAlign w:val="center"/>
          </w:tcPr>
          <w:p w14:paraId="7958AC0E"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s="Calibri"/>
                <w:color w:val="000000"/>
                <w:lang w:eastAsia="en-US"/>
              </w:rPr>
              <w:t>Repeat tests (monitoring or diagnostic) (C = 10%*(A+B))</w:t>
            </w:r>
          </w:p>
        </w:tc>
        <w:tc>
          <w:tcPr>
            <w:tcW w:w="981" w:type="dxa"/>
            <w:noWrap/>
            <w:vAlign w:val="center"/>
          </w:tcPr>
          <w:p w14:paraId="59CD91EA"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920</w:t>
            </w:r>
          </w:p>
        </w:tc>
        <w:tc>
          <w:tcPr>
            <w:tcW w:w="1001" w:type="dxa"/>
            <w:noWrap/>
            <w:vAlign w:val="center"/>
          </w:tcPr>
          <w:p w14:paraId="3E63AF8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1,058</w:t>
            </w:r>
          </w:p>
        </w:tc>
        <w:tc>
          <w:tcPr>
            <w:tcW w:w="995" w:type="dxa"/>
            <w:noWrap/>
            <w:vAlign w:val="center"/>
          </w:tcPr>
          <w:p w14:paraId="115188A4"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1,217</w:t>
            </w:r>
          </w:p>
        </w:tc>
        <w:tc>
          <w:tcPr>
            <w:tcW w:w="992" w:type="dxa"/>
            <w:noWrap/>
            <w:vAlign w:val="center"/>
          </w:tcPr>
          <w:p w14:paraId="7FF3B0B3"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1,400</w:t>
            </w:r>
          </w:p>
        </w:tc>
        <w:tc>
          <w:tcPr>
            <w:tcW w:w="941" w:type="dxa"/>
            <w:noWrap/>
            <w:vAlign w:val="center"/>
          </w:tcPr>
          <w:p w14:paraId="42CEBAEA"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1,609</w:t>
            </w:r>
          </w:p>
        </w:tc>
      </w:tr>
      <w:tr w:rsidR="00095358" w:rsidRPr="00B35E47" w14:paraId="468121FD" w14:textId="77777777" w:rsidTr="00095358">
        <w:trPr>
          <w:trHeight w:val="255"/>
        </w:trPr>
        <w:tc>
          <w:tcPr>
            <w:tcW w:w="0" w:type="auto"/>
            <w:vAlign w:val="center"/>
          </w:tcPr>
          <w:p w14:paraId="6FCB7B55" w14:textId="77777777" w:rsidR="00095358" w:rsidRPr="00B35E47" w:rsidRDefault="00095358" w:rsidP="00095358">
            <w:pPr>
              <w:contextualSpacing/>
              <w:jc w:val="left"/>
              <w:rPr>
                <w:rFonts w:ascii="Arial Narrow" w:hAnsi="Arial Narrow"/>
                <w:b/>
                <w:bCs/>
                <w:color w:val="000000"/>
                <w:lang w:eastAsia="en-US"/>
              </w:rPr>
            </w:pPr>
            <w:r w:rsidRPr="00B35E47">
              <w:rPr>
                <w:rFonts w:ascii="Arial Narrow" w:hAnsi="Arial Narrow"/>
                <w:b/>
                <w:bCs/>
                <w:color w:val="000000"/>
                <w:lang w:eastAsia="en-US"/>
              </w:rPr>
              <w:t>D</w:t>
            </w:r>
          </w:p>
        </w:tc>
        <w:tc>
          <w:tcPr>
            <w:tcW w:w="3543" w:type="dxa"/>
            <w:noWrap/>
            <w:vAlign w:val="center"/>
            <w:hideMark/>
          </w:tcPr>
          <w:p w14:paraId="6C475D3E" w14:textId="77777777" w:rsidR="00095358" w:rsidRPr="00B35E47" w:rsidRDefault="00095358" w:rsidP="00095358">
            <w:pPr>
              <w:contextualSpacing/>
              <w:jc w:val="left"/>
              <w:rPr>
                <w:rFonts w:ascii="Arial Narrow" w:hAnsi="Arial Narrow"/>
                <w:b/>
                <w:bCs/>
                <w:color w:val="000000"/>
                <w:lang w:eastAsia="en-US"/>
              </w:rPr>
            </w:pPr>
            <w:r w:rsidRPr="00B35E47">
              <w:rPr>
                <w:rFonts w:ascii="Arial Narrow" w:hAnsi="Arial Narrow" w:cs="Calibri"/>
                <w:b/>
                <w:bCs/>
                <w:color w:val="000000"/>
                <w:lang w:eastAsia="en-US"/>
              </w:rPr>
              <w:t>Estimated number of proposed services (D = A+B+C)</w:t>
            </w:r>
          </w:p>
        </w:tc>
        <w:tc>
          <w:tcPr>
            <w:tcW w:w="981" w:type="dxa"/>
            <w:noWrap/>
            <w:vAlign w:val="center"/>
            <w:hideMark/>
          </w:tcPr>
          <w:p w14:paraId="08D10CFC" w14:textId="77777777" w:rsidR="00095358" w:rsidRPr="00B35E47" w:rsidRDefault="00095358" w:rsidP="00095358">
            <w:pPr>
              <w:contextualSpacing/>
              <w:jc w:val="right"/>
              <w:rPr>
                <w:rFonts w:ascii="Arial Narrow" w:hAnsi="Arial Narrow"/>
                <w:b/>
                <w:bCs/>
                <w:color w:val="000000"/>
                <w:lang w:eastAsia="en-US"/>
              </w:rPr>
            </w:pPr>
            <w:r w:rsidRPr="00B35E47">
              <w:rPr>
                <w:rFonts w:ascii="Arial Narrow" w:hAnsi="Arial Narrow"/>
                <w:lang w:eastAsia="en-US"/>
              </w:rPr>
              <w:t>10,122</w:t>
            </w:r>
          </w:p>
        </w:tc>
        <w:tc>
          <w:tcPr>
            <w:tcW w:w="1001" w:type="dxa"/>
            <w:noWrap/>
            <w:vAlign w:val="center"/>
            <w:hideMark/>
          </w:tcPr>
          <w:p w14:paraId="56EBE3F5" w14:textId="77777777" w:rsidR="00095358" w:rsidRPr="00B35E47" w:rsidRDefault="00095358" w:rsidP="00095358">
            <w:pPr>
              <w:contextualSpacing/>
              <w:jc w:val="right"/>
              <w:rPr>
                <w:rFonts w:ascii="Arial Narrow" w:hAnsi="Arial Narrow"/>
                <w:b/>
                <w:bCs/>
                <w:color w:val="000000"/>
                <w:lang w:eastAsia="en-US"/>
              </w:rPr>
            </w:pPr>
            <w:r w:rsidRPr="00B35E47">
              <w:rPr>
                <w:rFonts w:ascii="Arial Narrow" w:hAnsi="Arial Narrow"/>
                <w:lang w:eastAsia="en-US"/>
              </w:rPr>
              <w:t>11,641</w:t>
            </w:r>
          </w:p>
        </w:tc>
        <w:tc>
          <w:tcPr>
            <w:tcW w:w="995" w:type="dxa"/>
            <w:noWrap/>
            <w:vAlign w:val="center"/>
            <w:hideMark/>
          </w:tcPr>
          <w:p w14:paraId="329501A0" w14:textId="77777777" w:rsidR="00095358" w:rsidRPr="00B35E47" w:rsidRDefault="00095358" w:rsidP="00095358">
            <w:pPr>
              <w:contextualSpacing/>
              <w:jc w:val="right"/>
              <w:rPr>
                <w:rFonts w:ascii="Arial Narrow" w:hAnsi="Arial Narrow"/>
                <w:b/>
                <w:bCs/>
                <w:color w:val="000000"/>
                <w:lang w:eastAsia="en-US"/>
              </w:rPr>
            </w:pPr>
            <w:r w:rsidRPr="00B35E47">
              <w:rPr>
                <w:rFonts w:ascii="Arial Narrow" w:hAnsi="Arial Narrow"/>
                <w:lang w:eastAsia="en-US"/>
              </w:rPr>
              <w:t>13,387</w:t>
            </w:r>
          </w:p>
        </w:tc>
        <w:tc>
          <w:tcPr>
            <w:tcW w:w="992" w:type="dxa"/>
            <w:noWrap/>
            <w:vAlign w:val="center"/>
            <w:hideMark/>
          </w:tcPr>
          <w:p w14:paraId="196C25E1" w14:textId="77777777" w:rsidR="00095358" w:rsidRPr="00B35E47" w:rsidRDefault="00095358" w:rsidP="00095358">
            <w:pPr>
              <w:contextualSpacing/>
              <w:jc w:val="right"/>
              <w:rPr>
                <w:rFonts w:ascii="Arial Narrow" w:hAnsi="Arial Narrow"/>
                <w:b/>
                <w:bCs/>
                <w:color w:val="000000"/>
                <w:lang w:eastAsia="en-US"/>
              </w:rPr>
            </w:pPr>
            <w:r w:rsidRPr="00B35E47">
              <w:rPr>
                <w:rFonts w:ascii="Arial Narrow" w:hAnsi="Arial Narrow"/>
                <w:lang w:eastAsia="en-US"/>
              </w:rPr>
              <w:t>15,395</w:t>
            </w:r>
          </w:p>
        </w:tc>
        <w:tc>
          <w:tcPr>
            <w:tcW w:w="941" w:type="dxa"/>
            <w:noWrap/>
            <w:vAlign w:val="center"/>
            <w:hideMark/>
          </w:tcPr>
          <w:p w14:paraId="64F5D88A" w14:textId="77777777" w:rsidR="00095358" w:rsidRPr="00B35E47" w:rsidRDefault="00095358" w:rsidP="00095358">
            <w:pPr>
              <w:contextualSpacing/>
              <w:jc w:val="right"/>
              <w:rPr>
                <w:rFonts w:ascii="Arial Narrow" w:hAnsi="Arial Narrow"/>
                <w:b/>
                <w:bCs/>
                <w:color w:val="000000"/>
                <w:lang w:eastAsia="en-US"/>
              </w:rPr>
            </w:pPr>
            <w:r w:rsidRPr="00B35E47">
              <w:rPr>
                <w:rFonts w:ascii="Arial Narrow" w:hAnsi="Arial Narrow"/>
                <w:lang w:eastAsia="en-US"/>
              </w:rPr>
              <w:t>17,704</w:t>
            </w:r>
          </w:p>
        </w:tc>
      </w:tr>
    </w:tbl>
    <w:p w14:paraId="6301CA6A" w14:textId="77777777" w:rsidR="00095358" w:rsidRPr="00B35E47"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 xml:space="preserve">a </w:t>
      </w:r>
      <w:r w:rsidRPr="00B35E47">
        <w:rPr>
          <w:rFonts w:ascii="Arial Narrow" w:hAnsi="Arial Narrow" w:cs="Arial"/>
          <w:snapToGrid w:val="0"/>
          <w:sz w:val="18"/>
          <w:szCs w:val="20"/>
          <w:lang w:eastAsia="en-US"/>
        </w:rPr>
        <w:t>Calculated by applying 20% growth rate to 7,303 unique tests in 2019</w:t>
      </w:r>
    </w:p>
    <w:p w14:paraId="56BF26BD" w14:textId="0025D167" w:rsidR="00095358"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Ab = antibody; AQP4-Ab = aquaporin 4 antibodies; MOG-Ab = Myelin Oligodendrocyte Glycoprotein antibodies; NMOSD = neuromyelitis optica spectrum disorders; MBS = Medicare Benefits Schedule</w:t>
      </w:r>
    </w:p>
    <w:p w14:paraId="45DF028E" w14:textId="77777777" w:rsidR="00665317" w:rsidRPr="00B35E47" w:rsidRDefault="00665317" w:rsidP="00095358">
      <w:pPr>
        <w:widowControl w:val="0"/>
        <w:spacing w:after="120" w:line="240" w:lineRule="auto"/>
        <w:contextualSpacing/>
        <w:jc w:val="left"/>
        <w:rPr>
          <w:rFonts w:ascii="Arial Narrow" w:hAnsi="Arial Narrow" w:cs="Arial"/>
          <w:snapToGrid w:val="0"/>
          <w:sz w:val="18"/>
          <w:szCs w:val="20"/>
          <w:lang w:eastAsia="en-US"/>
        </w:rPr>
      </w:pPr>
    </w:p>
    <w:p w14:paraId="7E3DFF84" w14:textId="77777777" w:rsidR="00095358" w:rsidRPr="00B35E47" w:rsidRDefault="00095358" w:rsidP="00095358">
      <w:pPr>
        <w:pStyle w:val="Heading3"/>
      </w:pPr>
      <w:bookmarkStart w:id="551" w:name="_Toc38031974"/>
      <w:bookmarkStart w:id="552" w:name="_Toc39588381"/>
      <w:r w:rsidRPr="00B35E47">
        <w:t>E.2.2</w:t>
      </w:r>
      <w:r w:rsidRPr="00B35E47">
        <w:tab/>
        <w:t>Estimated costs of NMOSD-Ab tests</w:t>
      </w:r>
      <w:bookmarkEnd w:id="551"/>
      <w:bookmarkEnd w:id="552"/>
    </w:p>
    <w:p w14:paraId="2B806982" w14:textId="0E7095C3" w:rsidR="00095358" w:rsidRPr="00B35E47" w:rsidRDefault="00095358" w:rsidP="00095358">
      <w:r w:rsidRPr="00B35E47">
        <w:t>The proposed MBS fee for the NMOSD-Ab test is $43. MBS utilisation data for items 71165 and 71119 indicated that approximately 96% of these services occur in outpatient settings with a 99% bulk-billing rate (</w:t>
      </w:r>
      <w:r w:rsidRPr="00B35E47">
        <w:fldChar w:fldCharType="begin"/>
      </w:r>
      <w:r w:rsidRPr="00B35E47">
        <w:instrText xml:space="preserve"> REF _Ref35943138 \h  \* MERGEFORMAT </w:instrText>
      </w:r>
      <w:r w:rsidRPr="00B35E47">
        <w:fldChar w:fldCharType="separate"/>
      </w:r>
      <w:r w:rsidR="006E2BA9" w:rsidRPr="006E2BA9">
        <w:t xml:space="preserve">Table </w:t>
      </w:r>
      <w:r w:rsidR="006E2BA9" w:rsidRPr="006E2BA9">
        <w:rPr>
          <w:noProof/>
        </w:rPr>
        <w:t>103</w:t>
      </w:r>
      <w:r w:rsidRPr="00B35E47">
        <w:fldChar w:fldCharType="end"/>
      </w:r>
      <w:r>
        <w:t xml:space="preserve">, </w:t>
      </w:r>
      <w:r w:rsidR="00B33B48">
        <w:fldChar w:fldCharType="begin"/>
      </w:r>
      <w:r w:rsidR="00B33B48">
        <w:instrText xml:space="preserve"> REF _Ref39584523 \h </w:instrText>
      </w:r>
      <w:r w:rsidR="00B33B48">
        <w:fldChar w:fldCharType="separate"/>
      </w:r>
      <w:r w:rsidR="00B33B48" w:rsidRPr="00B33B48">
        <w:rPr>
          <w:rStyle w:val="Heading1Char"/>
          <w:b w:val="0"/>
          <w:smallCaps w:val="0"/>
          <w:sz w:val="22"/>
        </w:rPr>
        <w:t>Appendix J</w:t>
      </w:r>
      <w:r w:rsidR="00B33B48">
        <w:fldChar w:fldCharType="end"/>
      </w:r>
      <w:r w:rsidRPr="00B35E47">
        <w:t>). Although these item number</w:t>
      </w:r>
      <w:r w:rsidR="004A4659">
        <w:t>s are not specific to</w:t>
      </w:r>
      <w:r w:rsidRPr="00B35E47">
        <w:t xml:space="preserve"> NMOSD-Ab testing, based on the estimated service numbers, NMOSD-Ab test would constitute a significant portion of these claims. It is noted that this data </w:t>
      </w:r>
      <w:r w:rsidR="008F2AFA">
        <w:t>are</w:t>
      </w:r>
      <w:r w:rsidRPr="00B35E47">
        <w:t xml:space="preserve"> inconsistent with the clinical advice that suggested that laboratories charged on average fees of $43 and that patients face high co-payments for NMO tests due to MBS rebates being lower than the average fee charged. </w:t>
      </w:r>
    </w:p>
    <w:p w14:paraId="785C721F" w14:textId="77777777" w:rsidR="00095358" w:rsidRPr="00B35E47" w:rsidRDefault="00095358" w:rsidP="00095358">
      <w:pPr>
        <w:rPr>
          <w:u w:color="FF0000"/>
        </w:rPr>
      </w:pPr>
      <w:r w:rsidRPr="00B35E47">
        <w:t xml:space="preserve">It is assumed that with higher rebates, NMOSD-Ab tests will be bulk-billed at similar rates to items 71165 and 71119 (99%) and that similar numbers would be performed in the outpatient testing (96%). The test performed in an outpatient setting will incur an 85% Medicare rebate and the one performed in an inpatient setting incurs 75% Medicare rebate. The MBS rebate and patient co-payment for each NMOSD-Ab test under the proposed listing with a fee of $43 would then be $36.38 and $0.07, respectively. </w:t>
      </w:r>
      <w:r w:rsidRPr="00B35E47">
        <w:rPr>
          <w:u w:color="FF0000"/>
        </w:rPr>
        <w:t>Advice provided in a pre-PASC teleconference was that if both AQP4-Ab and MOG-Ab testing occur at the same time, there would be no additional cost, compared to testing for only one antibody.</w:t>
      </w:r>
    </w:p>
    <w:p w14:paraId="0D92FD8F" w14:textId="77777777" w:rsidR="00095358" w:rsidRPr="00B35E47" w:rsidRDefault="00095358" w:rsidP="00095358">
      <w:r w:rsidRPr="00B35E47">
        <w:lastRenderedPageBreak/>
        <w:t xml:space="preserve">The base-case analysis assumes that 99% of the current/proposed NMOSD-Ab tests are bulk-billed, but alternative assumptions are tested in Section E.6. </w:t>
      </w:r>
    </w:p>
    <w:p w14:paraId="5B1618CF" w14:textId="77777777" w:rsidR="00095358" w:rsidRPr="00B35E47" w:rsidRDefault="00095358" w:rsidP="00095358">
      <w:r w:rsidRPr="006C1EB7">
        <w:fldChar w:fldCharType="begin"/>
      </w:r>
      <w:r w:rsidRPr="006C1EB7">
        <w:instrText xml:space="preserve"> REF _Ref10462391 \h </w:instrText>
      </w:r>
      <w:r>
        <w:instrText xml:space="preserve"> \* MERGEFORMAT </w:instrText>
      </w:r>
      <w:r w:rsidRPr="006C1EB7">
        <w:fldChar w:fldCharType="separate"/>
      </w:r>
      <w:r w:rsidR="006E2BA9" w:rsidRPr="00B35E47">
        <w:t xml:space="preserve">Table </w:t>
      </w:r>
      <w:r w:rsidR="006E2BA9">
        <w:t>89</w:t>
      </w:r>
      <w:r w:rsidRPr="006C1EB7">
        <w:fldChar w:fldCharType="end"/>
      </w:r>
      <w:r w:rsidRPr="006C1EB7">
        <w:t xml:space="preserve"> </w:t>
      </w:r>
      <w:r w:rsidRPr="00B35E47">
        <w:t>summarises the estimated costs to MBS and patient co-payments associated with NMOSD-Ab testing. It is estimated that the NMOSD-Ab testing will cost around $644,000 to MBS annually in the fifth year of the listing.</w:t>
      </w:r>
    </w:p>
    <w:p w14:paraId="79C2B070" w14:textId="48F6AAD7" w:rsidR="00095358" w:rsidRPr="00B35E47" w:rsidRDefault="00095358" w:rsidP="00095358">
      <w:pPr>
        <w:pStyle w:val="Caption"/>
      </w:pPr>
      <w:bookmarkStart w:id="553" w:name="_Ref10462391"/>
      <w:bookmarkStart w:id="554" w:name="_Toc11240578"/>
      <w:bookmarkStart w:id="555" w:name="_Toc36054862"/>
      <w:bookmarkStart w:id="556" w:name="_Toc39580870"/>
      <w:r w:rsidRPr="00B35E47">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89</w:t>
      </w:r>
      <w:r w:rsidRPr="00B35E47">
        <w:rPr>
          <w:noProof/>
        </w:rPr>
        <w:fldChar w:fldCharType="end"/>
      </w:r>
      <w:bookmarkEnd w:id="553"/>
      <w:r w:rsidRPr="00B35E47">
        <w:tab/>
        <w:t>Estimated costs of NMOSD-Ab tests for the first five years</w:t>
      </w:r>
      <w:bookmarkEnd w:id="554"/>
      <w:r w:rsidRPr="00B35E47">
        <w:t>, under proposed MBS listing</w:t>
      </w:r>
      <w:bookmarkEnd w:id="555"/>
      <w:bookmarkEnd w:id="556"/>
    </w:p>
    <w:tbl>
      <w:tblPr>
        <w:tblStyle w:val="TableGrid11"/>
        <w:tblW w:w="5000" w:type="pct"/>
        <w:tblLook w:val="04A0" w:firstRow="1" w:lastRow="0" w:firstColumn="1" w:lastColumn="0" w:noHBand="0" w:noVBand="1"/>
        <w:tblCaption w:val="Estimated costs of FC tests for the first five years of MBS listing"/>
        <w:tblDescription w:val="Estimated costs of FC tests for the first five years of MBS listing"/>
      </w:tblPr>
      <w:tblGrid>
        <w:gridCol w:w="563"/>
        <w:gridCol w:w="3858"/>
        <w:gridCol w:w="902"/>
        <w:gridCol w:w="902"/>
        <w:gridCol w:w="921"/>
        <w:gridCol w:w="936"/>
        <w:gridCol w:w="934"/>
      </w:tblGrid>
      <w:tr w:rsidR="00095358" w:rsidRPr="00B35E47" w14:paraId="1BF36D95" w14:textId="77777777" w:rsidTr="00095358">
        <w:trPr>
          <w:cnfStyle w:val="100000000000" w:firstRow="1" w:lastRow="0" w:firstColumn="0" w:lastColumn="0" w:oddVBand="0" w:evenVBand="0" w:oddHBand="0" w:evenHBand="0" w:firstRowFirstColumn="0" w:firstRowLastColumn="0" w:lastRowFirstColumn="0" w:lastRowLastColumn="0"/>
          <w:trHeight w:val="285"/>
          <w:tblHeader/>
        </w:trPr>
        <w:tc>
          <w:tcPr>
            <w:tcW w:w="312" w:type="pct"/>
            <w:vAlign w:val="center"/>
          </w:tcPr>
          <w:p w14:paraId="3CF7A077"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Row</w:t>
            </w:r>
          </w:p>
        </w:tc>
        <w:tc>
          <w:tcPr>
            <w:tcW w:w="2140" w:type="pct"/>
            <w:noWrap/>
            <w:vAlign w:val="center"/>
            <w:hideMark/>
          </w:tcPr>
          <w:p w14:paraId="02D3BEBD"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Description</w:t>
            </w:r>
          </w:p>
        </w:tc>
        <w:tc>
          <w:tcPr>
            <w:tcW w:w="500" w:type="pct"/>
            <w:noWrap/>
            <w:vAlign w:val="center"/>
            <w:hideMark/>
          </w:tcPr>
          <w:p w14:paraId="10491368"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2020–21</w:t>
            </w:r>
          </w:p>
        </w:tc>
        <w:tc>
          <w:tcPr>
            <w:tcW w:w="500" w:type="pct"/>
            <w:noWrap/>
            <w:vAlign w:val="center"/>
          </w:tcPr>
          <w:p w14:paraId="5E7A3FD8"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2021–22</w:t>
            </w:r>
          </w:p>
        </w:tc>
        <w:tc>
          <w:tcPr>
            <w:tcW w:w="511" w:type="pct"/>
            <w:noWrap/>
            <w:vAlign w:val="center"/>
          </w:tcPr>
          <w:p w14:paraId="12F021C1"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2022–23</w:t>
            </w:r>
          </w:p>
        </w:tc>
        <w:tc>
          <w:tcPr>
            <w:tcW w:w="519" w:type="pct"/>
            <w:noWrap/>
            <w:vAlign w:val="center"/>
          </w:tcPr>
          <w:p w14:paraId="214BAC40"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2023–24</w:t>
            </w:r>
          </w:p>
        </w:tc>
        <w:tc>
          <w:tcPr>
            <w:tcW w:w="518" w:type="pct"/>
            <w:noWrap/>
            <w:vAlign w:val="center"/>
          </w:tcPr>
          <w:p w14:paraId="6F1BE37F"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2024–25</w:t>
            </w:r>
          </w:p>
        </w:tc>
      </w:tr>
      <w:tr w:rsidR="00095358" w:rsidRPr="00B35E47" w14:paraId="4BFCDDE6" w14:textId="77777777" w:rsidTr="00095358">
        <w:trPr>
          <w:trHeight w:val="255"/>
        </w:trPr>
        <w:tc>
          <w:tcPr>
            <w:tcW w:w="312" w:type="pct"/>
          </w:tcPr>
          <w:p w14:paraId="64BFBD13" w14:textId="77777777" w:rsidR="00095358" w:rsidRPr="00B35E47" w:rsidRDefault="00095358" w:rsidP="00095358">
            <w:pPr>
              <w:contextualSpacing/>
              <w:jc w:val="left"/>
              <w:rPr>
                <w:rFonts w:ascii="Arial Narrow" w:hAnsi="Arial Narrow"/>
                <w:bCs/>
                <w:color w:val="000000"/>
                <w:lang w:eastAsia="en-US"/>
              </w:rPr>
            </w:pPr>
            <w:r w:rsidRPr="00B35E47">
              <w:rPr>
                <w:rFonts w:ascii="Arial Narrow" w:hAnsi="Arial Narrow"/>
                <w:bCs/>
                <w:color w:val="000000"/>
                <w:lang w:eastAsia="en-US"/>
              </w:rPr>
              <w:t>D</w:t>
            </w:r>
          </w:p>
        </w:tc>
        <w:tc>
          <w:tcPr>
            <w:tcW w:w="2140" w:type="pct"/>
            <w:noWrap/>
            <w:hideMark/>
          </w:tcPr>
          <w:p w14:paraId="2AC57AD7" w14:textId="77777777" w:rsidR="00095358" w:rsidRPr="00B35E47" w:rsidRDefault="00095358" w:rsidP="00095358">
            <w:pPr>
              <w:contextualSpacing/>
              <w:jc w:val="left"/>
              <w:rPr>
                <w:rFonts w:ascii="Arial Narrow" w:hAnsi="Arial Narrow"/>
                <w:bCs/>
                <w:color w:val="000000"/>
                <w:lang w:eastAsia="en-US"/>
              </w:rPr>
            </w:pPr>
            <w:r w:rsidRPr="00B35E47">
              <w:rPr>
                <w:rFonts w:ascii="Arial Narrow" w:hAnsi="Arial Narrow"/>
                <w:bCs/>
                <w:color w:val="000000"/>
                <w:lang w:eastAsia="en-US"/>
              </w:rPr>
              <w:t xml:space="preserve">Estimated number of </w:t>
            </w:r>
            <w:r w:rsidRPr="00B35E47">
              <w:rPr>
                <w:rFonts w:ascii="Arial Narrow" w:hAnsi="Arial Narrow"/>
                <w:lang w:eastAsia="en-US"/>
              </w:rPr>
              <w:t xml:space="preserve">NMOSD-Ab </w:t>
            </w:r>
            <w:r w:rsidRPr="00B35E47">
              <w:rPr>
                <w:rFonts w:ascii="Arial Narrow" w:hAnsi="Arial Narrow"/>
                <w:bCs/>
                <w:color w:val="000000"/>
                <w:lang w:eastAsia="en-US"/>
              </w:rPr>
              <w:t>tests (= A+B+C)</w:t>
            </w:r>
          </w:p>
        </w:tc>
        <w:tc>
          <w:tcPr>
            <w:tcW w:w="500" w:type="pct"/>
            <w:noWrap/>
            <w:vAlign w:val="center"/>
            <w:hideMark/>
          </w:tcPr>
          <w:p w14:paraId="75064406" w14:textId="77777777" w:rsidR="00095358" w:rsidRPr="00B35E47" w:rsidRDefault="00095358" w:rsidP="00095358">
            <w:pPr>
              <w:contextualSpacing/>
              <w:jc w:val="right"/>
              <w:rPr>
                <w:rFonts w:ascii="Arial Narrow" w:hAnsi="Arial Narrow"/>
                <w:bCs/>
                <w:color w:val="000000"/>
                <w:lang w:eastAsia="en-US"/>
              </w:rPr>
            </w:pPr>
            <w:r w:rsidRPr="00B35E47">
              <w:rPr>
                <w:rFonts w:ascii="Arial Narrow" w:hAnsi="Arial Narrow"/>
                <w:lang w:eastAsia="en-US"/>
              </w:rPr>
              <w:t>10,122</w:t>
            </w:r>
          </w:p>
        </w:tc>
        <w:tc>
          <w:tcPr>
            <w:tcW w:w="500" w:type="pct"/>
            <w:noWrap/>
            <w:vAlign w:val="center"/>
            <w:hideMark/>
          </w:tcPr>
          <w:p w14:paraId="0C6C83AF" w14:textId="77777777" w:rsidR="00095358" w:rsidRPr="00B35E47" w:rsidRDefault="00095358" w:rsidP="00095358">
            <w:pPr>
              <w:contextualSpacing/>
              <w:jc w:val="right"/>
              <w:rPr>
                <w:rFonts w:ascii="Arial Narrow" w:hAnsi="Arial Narrow"/>
                <w:bCs/>
                <w:color w:val="000000"/>
                <w:lang w:eastAsia="en-US"/>
              </w:rPr>
            </w:pPr>
            <w:r w:rsidRPr="00B35E47">
              <w:rPr>
                <w:rFonts w:ascii="Arial Narrow" w:hAnsi="Arial Narrow"/>
                <w:lang w:eastAsia="en-US"/>
              </w:rPr>
              <w:t>11,641</w:t>
            </w:r>
          </w:p>
        </w:tc>
        <w:tc>
          <w:tcPr>
            <w:tcW w:w="511" w:type="pct"/>
            <w:noWrap/>
            <w:vAlign w:val="center"/>
            <w:hideMark/>
          </w:tcPr>
          <w:p w14:paraId="3A047A76" w14:textId="77777777" w:rsidR="00095358" w:rsidRPr="00B35E47" w:rsidRDefault="00095358" w:rsidP="00095358">
            <w:pPr>
              <w:contextualSpacing/>
              <w:jc w:val="right"/>
              <w:rPr>
                <w:rFonts w:ascii="Arial Narrow" w:hAnsi="Arial Narrow"/>
                <w:bCs/>
                <w:color w:val="000000"/>
                <w:lang w:eastAsia="en-US"/>
              </w:rPr>
            </w:pPr>
            <w:r w:rsidRPr="00B35E47">
              <w:rPr>
                <w:rFonts w:ascii="Arial Narrow" w:hAnsi="Arial Narrow"/>
                <w:lang w:eastAsia="en-US"/>
              </w:rPr>
              <w:t>13,387</w:t>
            </w:r>
          </w:p>
        </w:tc>
        <w:tc>
          <w:tcPr>
            <w:tcW w:w="519" w:type="pct"/>
            <w:noWrap/>
            <w:vAlign w:val="center"/>
            <w:hideMark/>
          </w:tcPr>
          <w:p w14:paraId="58DAC8F2" w14:textId="77777777" w:rsidR="00095358" w:rsidRPr="00B35E47" w:rsidRDefault="00095358" w:rsidP="00095358">
            <w:pPr>
              <w:contextualSpacing/>
              <w:jc w:val="right"/>
              <w:rPr>
                <w:rFonts w:ascii="Arial Narrow" w:hAnsi="Arial Narrow"/>
                <w:bCs/>
                <w:color w:val="000000"/>
                <w:lang w:eastAsia="en-US"/>
              </w:rPr>
            </w:pPr>
            <w:r w:rsidRPr="00B35E47">
              <w:rPr>
                <w:rFonts w:ascii="Arial Narrow" w:hAnsi="Arial Narrow"/>
                <w:lang w:eastAsia="en-US"/>
              </w:rPr>
              <w:t>15,395</w:t>
            </w:r>
          </w:p>
        </w:tc>
        <w:tc>
          <w:tcPr>
            <w:tcW w:w="518" w:type="pct"/>
            <w:noWrap/>
            <w:vAlign w:val="center"/>
            <w:hideMark/>
          </w:tcPr>
          <w:p w14:paraId="5C5BE213" w14:textId="77777777" w:rsidR="00095358" w:rsidRPr="00B35E47" w:rsidRDefault="00095358" w:rsidP="00095358">
            <w:pPr>
              <w:contextualSpacing/>
              <w:jc w:val="right"/>
              <w:rPr>
                <w:rFonts w:ascii="Arial Narrow" w:hAnsi="Arial Narrow"/>
                <w:bCs/>
                <w:color w:val="000000"/>
                <w:lang w:eastAsia="en-US"/>
              </w:rPr>
            </w:pPr>
            <w:r w:rsidRPr="00B35E47">
              <w:rPr>
                <w:rFonts w:ascii="Arial Narrow" w:hAnsi="Arial Narrow"/>
                <w:lang w:eastAsia="en-US"/>
              </w:rPr>
              <w:t>17,704</w:t>
            </w:r>
          </w:p>
        </w:tc>
      </w:tr>
      <w:tr w:rsidR="00095358" w:rsidRPr="00B35E47" w14:paraId="7FEF679E" w14:textId="77777777" w:rsidTr="00095358">
        <w:trPr>
          <w:trHeight w:val="270"/>
        </w:trPr>
        <w:tc>
          <w:tcPr>
            <w:tcW w:w="312" w:type="pct"/>
          </w:tcPr>
          <w:p w14:paraId="3ED9A914"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E</w:t>
            </w:r>
          </w:p>
        </w:tc>
        <w:tc>
          <w:tcPr>
            <w:tcW w:w="2140" w:type="pct"/>
            <w:noWrap/>
            <w:hideMark/>
          </w:tcPr>
          <w:p w14:paraId="3F384D04"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Costs to MBS (= D*$37)</w:t>
            </w:r>
          </w:p>
        </w:tc>
        <w:tc>
          <w:tcPr>
            <w:tcW w:w="500" w:type="pct"/>
            <w:noWrap/>
            <w:vAlign w:val="bottom"/>
            <w:hideMark/>
          </w:tcPr>
          <w:p w14:paraId="6DEF69BE"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$368,230</w:t>
            </w:r>
          </w:p>
        </w:tc>
        <w:tc>
          <w:tcPr>
            <w:tcW w:w="500" w:type="pct"/>
            <w:noWrap/>
            <w:vAlign w:val="bottom"/>
            <w:hideMark/>
          </w:tcPr>
          <w:p w14:paraId="14B88F51"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$423,465</w:t>
            </w:r>
          </w:p>
        </w:tc>
        <w:tc>
          <w:tcPr>
            <w:tcW w:w="511" w:type="pct"/>
            <w:noWrap/>
            <w:vAlign w:val="bottom"/>
            <w:hideMark/>
          </w:tcPr>
          <w:p w14:paraId="075EE27B"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$486,984</w:t>
            </w:r>
          </w:p>
        </w:tc>
        <w:tc>
          <w:tcPr>
            <w:tcW w:w="519" w:type="pct"/>
            <w:noWrap/>
            <w:vAlign w:val="bottom"/>
            <w:hideMark/>
          </w:tcPr>
          <w:p w14:paraId="5E234A2B"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$560,032</w:t>
            </w:r>
          </w:p>
        </w:tc>
        <w:tc>
          <w:tcPr>
            <w:tcW w:w="518" w:type="pct"/>
            <w:noWrap/>
            <w:vAlign w:val="bottom"/>
            <w:hideMark/>
          </w:tcPr>
          <w:p w14:paraId="0AE14A63"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$644,037</w:t>
            </w:r>
          </w:p>
        </w:tc>
      </w:tr>
      <w:tr w:rsidR="00095358" w:rsidRPr="00B35E47" w14:paraId="1D6535A4" w14:textId="77777777" w:rsidTr="00095358">
        <w:trPr>
          <w:trHeight w:val="255"/>
        </w:trPr>
        <w:tc>
          <w:tcPr>
            <w:tcW w:w="312" w:type="pct"/>
          </w:tcPr>
          <w:p w14:paraId="1E670652"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F</w:t>
            </w:r>
          </w:p>
        </w:tc>
        <w:tc>
          <w:tcPr>
            <w:tcW w:w="2140" w:type="pct"/>
            <w:noWrap/>
            <w:hideMark/>
          </w:tcPr>
          <w:p w14:paraId="716A3D3F"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Co-payments (= D*$6)</w:t>
            </w:r>
          </w:p>
        </w:tc>
        <w:tc>
          <w:tcPr>
            <w:tcW w:w="500" w:type="pct"/>
            <w:noWrap/>
            <w:vAlign w:val="bottom"/>
            <w:hideMark/>
          </w:tcPr>
          <w:p w14:paraId="13BC8257"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$670</w:t>
            </w:r>
          </w:p>
        </w:tc>
        <w:tc>
          <w:tcPr>
            <w:tcW w:w="500" w:type="pct"/>
            <w:noWrap/>
            <w:vAlign w:val="bottom"/>
            <w:hideMark/>
          </w:tcPr>
          <w:p w14:paraId="41E0FF2C"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$771</w:t>
            </w:r>
          </w:p>
        </w:tc>
        <w:tc>
          <w:tcPr>
            <w:tcW w:w="511" w:type="pct"/>
            <w:noWrap/>
            <w:vAlign w:val="bottom"/>
            <w:hideMark/>
          </w:tcPr>
          <w:p w14:paraId="6FAA2455"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$886</w:t>
            </w:r>
          </w:p>
        </w:tc>
        <w:tc>
          <w:tcPr>
            <w:tcW w:w="519" w:type="pct"/>
            <w:noWrap/>
            <w:vAlign w:val="bottom"/>
            <w:hideMark/>
          </w:tcPr>
          <w:p w14:paraId="6D40B98D"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$1,019</w:t>
            </w:r>
          </w:p>
        </w:tc>
        <w:tc>
          <w:tcPr>
            <w:tcW w:w="518" w:type="pct"/>
            <w:noWrap/>
            <w:vAlign w:val="bottom"/>
            <w:hideMark/>
          </w:tcPr>
          <w:p w14:paraId="671B4CFB"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$1,172</w:t>
            </w:r>
          </w:p>
        </w:tc>
      </w:tr>
      <w:tr w:rsidR="00095358" w:rsidRPr="00B35E47" w14:paraId="016581F3" w14:textId="77777777" w:rsidTr="00095358">
        <w:trPr>
          <w:trHeight w:val="255"/>
        </w:trPr>
        <w:tc>
          <w:tcPr>
            <w:tcW w:w="312" w:type="pct"/>
          </w:tcPr>
          <w:p w14:paraId="4EC7A31A" w14:textId="77777777" w:rsidR="00095358" w:rsidRPr="00B35E47" w:rsidRDefault="00095358" w:rsidP="00095358">
            <w:pPr>
              <w:contextualSpacing/>
              <w:jc w:val="left"/>
              <w:rPr>
                <w:rFonts w:ascii="Arial Narrow" w:hAnsi="Arial Narrow"/>
                <w:b/>
                <w:color w:val="000000"/>
                <w:lang w:eastAsia="en-US"/>
              </w:rPr>
            </w:pPr>
            <w:r w:rsidRPr="00B35E47">
              <w:rPr>
                <w:rFonts w:ascii="Arial Narrow" w:hAnsi="Arial Narrow"/>
                <w:b/>
                <w:color w:val="000000"/>
                <w:lang w:eastAsia="en-US"/>
              </w:rPr>
              <w:t>G</w:t>
            </w:r>
          </w:p>
        </w:tc>
        <w:tc>
          <w:tcPr>
            <w:tcW w:w="2140" w:type="pct"/>
            <w:noWrap/>
          </w:tcPr>
          <w:p w14:paraId="5BC90412" w14:textId="77777777" w:rsidR="00095358" w:rsidRPr="00B35E47" w:rsidRDefault="00095358" w:rsidP="00095358">
            <w:pPr>
              <w:contextualSpacing/>
              <w:jc w:val="left"/>
              <w:rPr>
                <w:rFonts w:ascii="Arial Narrow" w:hAnsi="Arial Narrow"/>
                <w:b/>
                <w:color w:val="000000"/>
                <w:lang w:eastAsia="en-US"/>
              </w:rPr>
            </w:pPr>
            <w:r w:rsidRPr="00B35E47">
              <w:rPr>
                <w:rFonts w:ascii="Arial Narrow" w:hAnsi="Arial Narrow"/>
                <w:b/>
                <w:color w:val="000000"/>
                <w:lang w:eastAsia="en-US"/>
              </w:rPr>
              <w:t>Total costs of NMOSD-Ab testing (G = E+F)</w:t>
            </w:r>
          </w:p>
        </w:tc>
        <w:tc>
          <w:tcPr>
            <w:tcW w:w="500" w:type="pct"/>
            <w:noWrap/>
            <w:vAlign w:val="bottom"/>
          </w:tcPr>
          <w:p w14:paraId="49AE0865"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$368,900</w:t>
            </w:r>
          </w:p>
        </w:tc>
        <w:tc>
          <w:tcPr>
            <w:tcW w:w="500" w:type="pct"/>
            <w:noWrap/>
            <w:vAlign w:val="bottom"/>
          </w:tcPr>
          <w:p w14:paraId="3484ED13"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$424,236</w:t>
            </w:r>
          </w:p>
        </w:tc>
        <w:tc>
          <w:tcPr>
            <w:tcW w:w="511" w:type="pct"/>
            <w:noWrap/>
            <w:vAlign w:val="bottom"/>
          </w:tcPr>
          <w:p w14:paraId="6A87B855"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$487,871</w:t>
            </w:r>
          </w:p>
        </w:tc>
        <w:tc>
          <w:tcPr>
            <w:tcW w:w="519" w:type="pct"/>
            <w:noWrap/>
            <w:vAlign w:val="bottom"/>
          </w:tcPr>
          <w:p w14:paraId="73B78B30"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$561,051</w:t>
            </w:r>
          </w:p>
        </w:tc>
        <w:tc>
          <w:tcPr>
            <w:tcW w:w="518" w:type="pct"/>
            <w:noWrap/>
            <w:vAlign w:val="bottom"/>
          </w:tcPr>
          <w:p w14:paraId="6363A95F"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$645,209</w:t>
            </w:r>
          </w:p>
        </w:tc>
      </w:tr>
    </w:tbl>
    <w:p w14:paraId="2E36F1FD" w14:textId="2D8064E5" w:rsidR="00095358"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Ab = antibody; NMOSD = neuromyelitis optica spectrum disorders; MBS = Medicare Benefits Schedule</w:t>
      </w:r>
    </w:p>
    <w:p w14:paraId="31AB5DC3" w14:textId="77777777" w:rsidR="00665317" w:rsidRPr="00B35E47" w:rsidRDefault="00665317" w:rsidP="00665317">
      <w:pPr>
        <w:rPr>
          <w:snapToGrid w:val="0"/>
          <w:lang w:eastAsia="en-US"/>
        </w:rPr>
      </w:pPr>
    </w:p>
    <w:p w14:paraId="0CEE3EEC" w14:textId="77777777" w:rsidR="00095358" w:rsidRPr="00B35E47" w:rsidRDefault="00095358" w:rsidP="00095358">
      <w:pPr>
        <w:pStyle w:val="Heading2"/>
      </w:pPr>
      <w:bookmarkStart w:id="557" w:name="_Toc379118301"/>
      <w:bookmarkStart w:id="558" w:name="_Toc381796484"/>
      <w:bookmarkStart w:id="559" w:name="_Toc432677421"/>
      <w:bookmarkStart w:id="560" w:name="_Toc38031975"/>
      <w:bookmarkStart w:id="561" w:name="_Toc39588382"/>
      <w:r>
        <w:t>E3</w:t>
      </w:r>
      <w:r>
        <w:tab/>
      </w:r>
      <w:r w:rsidRPr="00B35E47">
        <w:t>Changes in Use and Cost of</w:t>
      </w:r>
      <w:bookmarkEnd w:id="557"/>
      <w:bookmarkEnd w:id="558"/>
      <w:r w:rsidRPr="00B35E47">
        <w:t xml:space="preserve"> Other Medical Services</w:t>
      </w:r>
      <w:bookmarkEnd w:id="559"/>
      <w:bookmarkEnd w:id="560"/>
      <w:bookmarkEnd w:id="561"/>
      <w:r w:rsidRPr="00B35E47">
        <w:t xml:space="preserve"> </w:t>
      </w:r>
    </w:p>
    <w:p w14:paraId="2AF091B4" w14:textId="77777777" w:rsidR="00095358" w:rsidRPr="00B35E47" w:rsidRDefault="00095358" w:rsidP="00095358">
      <w:r w:rsidRPr="00B35E47">
        <w:t>The number of NMOSD-Ab eligible tests in 2020–21 was estimated to be 10,122 and would grow to 17,704 in 2024–25. The total cost to the MBS is estimated to be $368,000 in 2020–21 and increase to $644,000 in 2024–25. However, this projected cost will likely be offset by the NMOSD-Ab services currently claimed under generic MBS items 71165 and 71119. The scheduled fees for MBS items 71165 and 71119 are $34.55 and $17.35 respectively.</w:t>
      </w:r>
    </w:p>
    <w:p w14:paraId="6A127DCB" w14:textId="77777777" w:rsidR="00095358" w:rsidRPr="006C1EB7" w:rsidRDefault="00095358" w:rsidP="00095358">
      <w:r w:rsidRPr="006C1EB7">
        <w:t xml:space="preserve">From the data available it is estimated that nearly 69% of the NMOSD-Ab tests happen in public sector, and are claimed under item 71165, except tests performed by SA pathology (see </w:t>
      </w:r>
      <w:r w:rsidRPr="006C1EB7">
        <w:fldChar w:fldCharType="begin"/>
      </w:r>
      <w:r w:rsidRPr="006C1EB7">
        <w:instrText xml:space="preserve"> REF _Ref10453737 \h  \* MERGEFORMAT </w:instrText>
      </w:r>
      <w:r w:rsidRPr="006C1EB7">
        <w:fldChar w:fldCharType="separate"/>
      </w:r>
      <w:r w:rsidR="006E2BA9" w:rsidRPr="00B35E47">
        <w:t xml:space="preserve">Table </w:t>
      </w:r>
      <w:r w:rsidR="006E2BA9">
        <w:t>85</w:t>
      </w:r>
      <w:r w:rsidRPr="006C1EB7">
        <w:fldChar w:fldCharType="end"/>
      </w:r>
      <w:r w:rsidRPr="006C1EB7">
        <w:t xml:space="preserve">). The private laboratory, SNL, indicated that they claim these services under item 71119. It is assumed that all tests performed in the public sector are claimed under MBS item 71165 (69%), whilst the private sector claims item 71119 (31%) for the same test. The projected usage of these items for NMOSD-Ab testing is estimated by applying 10% linear growth rate and additional 3% MOG-Ab testing to the number of tests (private + public sector) estimated in </w:t>
      </w:r>
      <w:r w:rsidRPr="006C1EB7">
        <w:fldChar w:fldCharType="begin"/>
      </w:r>
      <w:r w:rsidRPr="006C1EB7">
        <w:instrText xml:space="preserve"> REF _Ref33433383 \h  \* MERGEFORMAT </w:instrText>
      </w:r>
      <w:r w:rsidRPr="006C1EB7">
        <w:fldChar w:fldCharType="separate"/>
      </w:r>
      <w:r w:rsidR="006E2BA9" w:rsidRPr="00B35E47">
        <w:t xml:space="preserve">Table </w:t>
      </w:r>
      <w:r w:rsidR="006E2BA9">
        <w:t>87</w:t>
      </w:r>
      <w:r w:rsidRPr="006C1EB7">
        <w:fldChar w:fldCharType="end"/>
      </w:r>
      <w:r w:rsidRPr="006C1EB7">
        <w:t xml:space="preserve">. </w:t>
      </w:r>
    </w:p>
    <w:p w14:paraId="6270BD4F" w14:textId="77777777" w:rsidR="00095358" w:rsidRPr="006C1EB7" w:rsidRDefault="00095358" w:rsidP="00095358">
      <w:r w:rsidRPr="006C1EB7">
        <w:fldChar w:fldCharType="begin"/>
      </w:r>
      <w:r w:rsidRPr="006C1EB7">
        <w:instrText xml:space="preserve"> REF _Ref10535623 \h  \* MERGEFORMAT </w:instrText>
      </w:r>
      <w:r w:rsidRPr="006C1EB7">
        <w:fldChar w:fldCharType="separate"/>
      </w:r>
      <w:r w:rsidR="006E2BA9" w:rsidRPr="00B35E47">
        <w:t xml:space="preserve">Table </w:t>
      </w:r>
      <w:r w:rsidR="006E2BA9">
        <w:t>90</w:t>
      </w:r>
      <w:r w:rsidRPr="006C1EB7">
        <w:fldChar w:fldCharType="end"/>
      </w:r>
      <w:r w:rsidRPr="006C1EB7">
        <w:t xml:space="preserve"> summarises the number of comparator services offset due to the MBS listing of NMOSD-Ab testing. </w:t>
      </w:r>
    </w:p>
    <w:p w14:paraId="1A1B58B7" w14:textId="296D0E13" w:rsidR="00095358" w:rsidRPr="00B35E47" w:rsidRDefault="00095358" w:rsidP="00095358">
      <w:pPr>
        <w:pStyle w:val="Caption"/>
      </w:pPr>
      <w:bookmarkStart w:id="562" w:name="_Ref10535623"/>
      <w:bookmarkStart w:id="563" w:name="_Toc11240579"/>
      <w:bookmarkStart w:id="564" w:name="_Toc36054863"/>
      <w:bookmarkStart w:id="565" w:name="_Toc39580871"/>
      <w:r w:rsidRPr="00B35E47">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90</w:t>
      </w:r>
      <w:r w:rsidRPr="00B35E47">
        <w:rPr>
          <w:noProof/>
        </w:rPr>
        <w:fldChar w:fldCharType="end"/>
      </w:r>
      <w:bookmarkEnd w:id="562"/>
      <w:r w:rsidRPr="00B35E47">
        <w:tab/>
      </w:r>
      <w:bookmarkEnd w:id="563"/>
      <w:r w:rsidRPr="00B35E47">
        <w:t>Estimation of the number of comparator services offset</w:t>
      </w:r>
      <w:bookmarkEnd w:id="564"/>
      <w:bookmarkEnd w:id="565"/>
    </w:p>
    <w:tbl>
      <w:tblPr>
        <w:tblStyle w:val="TableGrid11"/>
        <w:tblW w:w="0" w:type="auto"/>
        <w:tblLayout w:type="fixed"/>
        <w:tblLook w:val="04A0" w:firstRow="1" w:lastRow="0" w:firstColumn="1" w:lastColumn="0" w:noHBand="0" w:noVBand="1"/>
        <w:tblCaption w:val="Change in use of other Medical services due to proposed FC testing"/>
        <w:tblDescription w:val="Change in use of other Medical services due to proposed FC testing"/>
      </w:tblPr>
      <w:tblGrid>
        <w:gridCol w:w="704"/>
        <w:gridCol w:w="3260"/>
        <w:gridCol w:w="993"/>
        <w:gridCol w:w="1134"/>
        <w:gridCol w:w="992"/>
        <w:gridCol w:w="992"/>
        <w:gridCol w:w="941"/>
      </w:tblGrid>
      <w:tr w:rsidR="00095358" w:rsidRPr="00B35E47" w14:paraId="37C6A470" w14:textId="77777777" w:rsidTr="00095358">
        <w:trPr>
          <w:cnfStyle w:val="100000000000" w:firstRow="1" w:lastRow="0" w:firstColumn="0" w:lastColumn="0" w:oddVBand="0" w:evenVBand="0" w:oddHBand="0" w:evenHBand="0" w:firstRowFirstColumn="0" w:firstRowLastColumn="0" w:lastRowFirstColumn="0" w:lastRowLastColumn="0"/>
          <w:trHeight w:val="270"/>
          <w:tblHeader/>
        </w:trPr>
        <w:tc>
          <w:tcPr>
            <w:tcW w:w="704" w:type="dxa"/>
            <w:vAlign w:val="center"/>
          </w:tcPr>
          <w:p w14:paraId="2627363B"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Row</w:t>
            </w:r>
          </w:p>
        </w:tc>
        <w:tc>
          <w:tcPr>
            <w:tcW w:w="3260" w:type="dxa"/>
            <w:noWrap/>
            <w:vAlign w:val="center"/>
            <w:hideMark/>
          </w:tcPr>
          <w:p w14:paraId="49582F6E"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Description</w:t>
            </w:r>
          </w:p>
        </w:tc>
        <w:tc>
          <w:tcPr>
            <w:tcW w:w="993" w:type="dxa"/>
            <w:noWrap/>
            <w:vAlign w:val="center"/>
            <w:hideMark/>
          </w:tcPr>
          <w:p w14:paraId="57205910" w14:textId="77777777" w:rsidR="00095358" w:rsidRPr="00B35E47" w:rsidRDefault="00095358" w:rsidP="00095358">
            <w:pPr>
              <w:keepNext/>
              <w:jc w:val="center"/>
              <w:rPr>
                <w:rFonts w:ascii="Arial Narrow" w:hAnsi="Arial Narrow"/>
                <w:b/>
                <w:bCs/>
                <w:i/>
                <w:lang w:eastAsia="en-US"/>
              </w:rPr>
            </w:pPr>
            <w:r w:rsidRPr="00B35E47">
              <w:rPr>
                <w:rFonts w:ascii="Arial Narrow" w:hAnsi="Arial Narrow"/>
                <w:b/>
                <w:lang w:eastAsia="en-US"/>
              </w:rPr>
              <w:t>2020–21</w:t>
            </w:r>
          </w:p>
        </w:tc>
        <w:tc>
          <w:tcPr>
            <w:tcW w:w="1134" w:type="dxa"/>
            <w:noWrap/>
            <w:vAlign w:val="center"/>
            <w:hideMark/>
          </w:tcPr>
          <w:p w14:paraId="0F05AD4E" w14:textId="77777777" w:rsidR="00095358" w:rsidRPr="00B35E47" w:rsidRDefault="00095358" w:rsidP="00095358">
            <w:pPr>
              <w:keepNext/>
              <w:jc w:val="center"/>
              <w:rPr>
                <w:rFonts w:ascii="Arial Narrow" w:hAnsi="Arial Narrow"/>
                <w:b/>
                <w:bCs/>
                <w:i/>
                <w:lang w:eastAsia="en-US"/>
              </w:rPr>
            </w:pPr>
            <w:r w:rsidRPr="00B35E47">
              <w:rPr>
                <w:rFonts w:ascii="Arial Narrow" w:hAnsi="Arial Narrow"/>
                <w:b/>
                <w:lang w:eastAsia="en-US"/>
              </w:rPr>
              <w:t>2021–22</w:t>
            </w:r>
          </w:p>
        </w:tc>
        <w:tc>
          <w:tcPr>
            <w:tcW w:w="992" w:type="dxa"/>
            <w:noWrap/>
            <w:vAlign w:val="center"/>
            <w:hideMark/>
          </w:tcPr>
          <w:p w14:paraId="67D651CA" w14:textId="77777777" w:rsidR="00095358" w:rsidRPr="00B35E47" w:rsidRDefault="00095358" w:rsidP="00095358">
            <w:pPr>
              <w:keepNext/>
              <w:jc w:val="center"/>
              <w:rPr>
                <w:rFonts w:ascii="Arial Narrow" w:hAnsi="Arial Narrow"/>
                <w:b/>
                <w:bCs/>
                <w:i/>
                <w:lang w:eastAsia="en-US"/>
              </w:rPr>
            </w:pPr>
            <w:r w:rsidRPr="00B35E47">
              <w:rPr>
                <w:rFonts w:ascii="Arial Narrow" w:hAnsi="Arial Narrow"/>
                <w:b/>
                <w:lang w:eastAsia="en-US"/>
              </w:rPr>
              <w:t>2022–23</w:t>
            </w:r>
          </w:p>
        </w:tc>
        <w:tc>
          <w:tcPr>
            <w:tcW w:w="992" w:type="dxa"/>
            <w:noWrap/>
            <w:vAlign w:val="center"/>
            <w:hideMark/>
          </w:tcPr>
          <w:p w14:paraId="240CA506" w14:textId="77777777" w:rsidR="00095358" w:rsidRPr="00B35E47" w:rsidRDefault="00095358" w:rsidP="00095358">
            <w:pPr>
              <w:keepNext/>
              <w:jc w:val="center"/>
              <w:rPr>
                <w:rFonts w:ascii="Arial Narrow" w:hAnsi="Arial Narrow"/>
                <w:b/>
                <w:bCs/>
                <w:i/>
                <w:lang w:eastAsia="en-US"/>
              </w:rPr>
            </w:pPr>
            <w:r w:rsidRPr="00B35E47">
              <w:rPr>
                <w:rFonts w:ascii="Arial Narrow" w:hAnsi="Arial Narrow"/>
                <w:b/>
                <w:lang w:eastAsia="en-US"/>
              </w:rPr>
              <w:t>2023–24</w:t>
            </w:r>
          </w:p>
        </w:tc>
        <w:tc>
          <w:tcPr>
            <w:tcW w:w="941" w:type="dxa"/>
            <w:noWrap/>
            <w:vAlign w:val="center"/>
            <w:hideMark/>
          </w:tcPr>
          <w:p w14:paraId="1423AD93" w14:textId="77777777" w:rsidR="00095358" w:rsidRPr="00B35E47" w:rsidRDefault="00095358" w:rsidP="00095358">
            <w:pPr>
              <w:keepNext/>
              <w:jc w:val="center"/>
              <w:rPr>
                <w:rFonts w:ascii="Arial Narrow" w:hAnsi="Arial Narrow"/>
                <w:b/>
                <w:bCs/>
                <w:i/>
                <w:lang w:eastAsia="en-US"/>
              </w:rPr>
            </w:pPr>
            <w:r w:rsidRPr="00B35E47">
              <w:rPr>
                <w:rFonts w:ascii="Arial Narrow" w:hAnsi="Arial Narrow"/>
                <w:b/>
                <w:lang w:eastAsia="en-US"/>
              </w:rPr>
              <w:t>2024–25</w:t>
            </w:r>
          </w:p>
        </w:tc>
      </w:tr>
      <w:tr w:rsidR="00095358" w:rsidRPr="00B35E47" w14:paraId="3F24BDFD" w14:textId="77777777" w:rsidTr="00095358">
        <w:trPr>
          <w:cnfStyle w:val="100000000000" w:firstRow="1" w:lastRow="0" w:firstColumn="0" w:lastColumn="0" w:oddVBand="0" w:evenVBand="0" w:oddHBand="0" w:evenHBand="0" w:firstRowFirstColumn="0" w:firstRowLastColumn="0" w:lastRowFirstColumn="0" w:lastRowLastColumn="0"/>
          <w:trHeight w:val="270"/>
          <w:tblHeader/>
        </w:trPr>
        <w:tc>
          <w:tcPr>
            <w:tcW w:w="704" w:type="dxa"/>
          </w:tcPr>
          <w:p w14:paraId="5A9F33D4" w14:textId="77777777" w:rsidR="00095358" w:rsidRPr="00B35E47" w:rsidRDefault="00095358" w:rsidP="00095358">
            <w:pPr>
              <w:widowControl w:val="0"/>
              <w:spacing w:before="0"/>
              <w:rPr>
                <w:rFonts w:ascii="Arial Narrow" w:hAnsi="Arial Narrow"/>
              </w:rPr>
            </w:pPr>
            <w:r w:rsidRPr="00B35E47">
              <w:rPr>
                <w:rFonts w:ascii="Arial Narrow" w:hAnsi="Arial Narrow"/>
              </w:rPr>
              <w:t>H</w:t>
            </w:r>
          </w:p>
        </w:tc>
        <w:tc>
          <w:tcPr>
            <w:tcW w:w="3260" w:type="dxa"/>
            <w:noWrap/>
            <w:vAlign w:val="bottom"/>
          </w:tcPr>
          <w:p w14:paraId="28942F5F" w14:textId="77777777" w:rsidR="00095358" w:rsidRPr="00B35E47" w:rsidRDefault="00095358" w:rsidP="00095358">
            <w:pPr>
              <w:widowControl w:val="0"/>
              <w:spacing w:before="0"/>
              <w:rPr>
                <w:rFonts w:ascii="Arial Narrow" w:hAnsi="Arial Narrow"/>
              </w:rPr>
            </w:pPr>
            <w:r w:rsidRPr="00B35E47">
              <w:rPr>
                <w:rFonts w:ascii="Arial Narrow" w:hAnsi="Arial Narrow" w:cs="Calibri"/>
                <w:color w:val="000000"/>
              </w:rPr>
              <w:t>Number of services, current funding scenario</w:t>
            </w:r>
          </w:p>
        </w:tc>
        <w:tc>
          <w:tcPr>
            <w:tcW w:w="993" w:type="dxa"/>
            <w:noWrap/>
            <w:vAlign w:val="center"/>
          </w:tcPr>
          <w:p w14:paraId="57EA23CE" w14:textId="77777777" w:rsidR="00095358" w:rsidRPr="00B35E47" w:rsidRDefault="00095358" w:rsidP="00095358">
            <w:pPr>
              <w:widowControl w:val="0"/>
              <w:spacing w:before="0"/>
              <w:jc w:val="right"/>
              <w:rPr>
                <w:rFonts w:ascii="Arial Narrow" w:hAnsi="Arial Narrow"/>
                <w:bCs/>
                <w:color w:val="000000"/>
              </w:rPr>
            </w:pPr>
            <w:r w:rsidRPr="00B35E47">
              <w:rPr>
                <w:rFonts w:ascii="Arial Narrow" w:hAnsi="Arial Narrow" w:cs="Calibri"/>
                <w:color w:val="000000"/>
              </w:rPr>
              <w:t>9,205</w:t>
            </w:r>
          </w:p>
        </w:tc>
        <w:tc>
          <w:tcPr>
            <w:tcW w:w="1134" w:type="dxa"/>
            <w:noWrap/>
            <w:vAlign w:val="center"/>
          </w:tcPr>
          <w:p w14:paraId="4C6C7CF0" w14:textId="77777777" w:rsidR="00095358" w:rsidRPr="00B35E47" w:rsidRDefault="00095358" w:rsidP="00095358">
            <w:pPr>
              <w:widowControl w:val="0"/>
              <w:spacing w:before="0"/>
              <w:jc w:val="right"/>
              <w:rPr>
                <w:rFonts w:ascii="Arial Narrow" w:hAnsi="Arial Narrow"/>
                <w:bCs/>
                <w:color w:val="000000"/>
              </w:rPr>
            </w:pPr>
            <w:r w:rsidRPr="00B35E47">
              <w:rPr>
                <w:rFonts w:ascii="Arial Narrow" w:hAnsi="Arial Narrow" w:cs="Calibri"/>
                <w:color w:val="000000"/>
              </w:rPr>
              <w:t>10,125</w:t>
            </w:r>
          </w:p>
        </w:tc>
        <w:tc>
          <w:tcPr>
            <w:tcW w:w="992" w:type="dxa"/>
            <w:noWrap/>
            <w:vAlign w:val="center"/>
          </w:tcPr>
          <w:p w14:paraId="7901DAA0" w14:textId="77777777" w:rsidR="00095358" w:rsidRPr="00B35E47" w:rsidRDefault="00095358" w:rsidP="00095358">
            <w:pPr>
              <w:widowControl w:val="0"/>
              <w:spacing w:before="0"/>
              <w:jc w:val="right"/>
              <w:rPr>
                <w:rFonts w:ascii="Arial Narrow" w:hAnsi="Arial Narrow"/>
                <w:bCs/>
                <w:color w:val="000000"/>
              </w:rPr>
            </w:pPr>
            <w:r w:rsidRPr="00B35E47">
              <w:rPr>
                <w:rFonts w:ascii="Arial Narrow" w:hAnsi="Arial Narrow" w:cs="Calibri"/>
                <w:color w:val="000000"/>
              </w:rPr>
              <w:t>11,138</w:t>
            </w:r>
          </w:p>
        </w:tc>
        <w:tc>
          <w:tcPr>
            <w:tcW w:w="992" w:type="dxa"/>
            <w:noWrap/>
            <w:vAlign w:val="center"/>
          </w:tcPr>
          <w:p w14:paraId="572D2B5A" w14:textId="77777777" w:rsidR="00095358" w:rsidRPr="00B35E47" w:rsidRDefault="00095358" w:rsidP="00095358">
            <w:pPr>
              <w:widowControl w:val="0"/>
              <w:spacing w:before="0"/>
              <w:jc w:val="right"/>
              <w:rPr>
                <w:rFonts w:ascii="Arial Narrow" w:hAnsi="Arial Narrow"/>
                <w:bCs/>
                <w:color w:val="000000"/>
              </w:rPr>
            </w:pPr>
            <w:r w:rsidRPr="00B35E47">
              <w:rPr>
                <w:rFonts w:ascii="Arial Narrow" w:hAnsi="Arial Narrow" w:cs="Calibri"/>
                <w:color w:val="000000"/>
              </w:rPr>
              <w:t>12,251</w:t>
            </w:r>
          </w:p>
        </w:tc>
        <w:tc>
          <w:tcPr>
            <w:tcW w:w="941" w:type="dxa"/>
            <w:noWrap/>
            <w:vAlign w:val="center"/>
          </w:tcPr>
          <w:p w14:paraId="7AE50604" w14:textId="77777777" w:rsidR="00095358" w:rsidRPr="00B35E47" w:rsidRDefault="00095358" w:rsidP="00095358">
            <w:pPr>
              <w:widowControl w:val="0"/>
              <w:spacing w:before="0"/>
              <w:jc w:val="right"/>
              <w:rPr>
                <w:rFonts w:ascii="Arial Narrow" w:hAnsi="Arial Narrow"/>
                <w:bCs/>
                <w:color w:val="000000"/>
              </w:rPr>
            </w:pPr>
            <w:r w:rsidRPr="00B35E47">
              <w:rPr>
                <w:rFonts w:ascii="Arial Narrow" w:hAnsi="Arial Narrow" w:cs="Calibri"/>
                <w:color w:val="000000"/>
              </w:rPr>
              <w:t>13,477</w:t>
            </w:r>
          </w:p>
        </w:tc>
      </w:tr>
      <w:tr w:rsidR="00095358" w:rsidRPr="00B35E47" w14:paraId="54BEC939" w14:textId="77777777" w:rsidTr="00095358">
        <w:trPr>
          <w:trHeight w:val="255"/>
        </w:trPr>
        <w:tc>
          <w:tcPr>
            <w:tcW w:w="704" w:type="dxa"/>
          </w:tcPr>
          <w:p w14:paraId="7F997A88"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I</w:t>
            </w:r>
          </w:p>
        </w:tc>
        <w:tc>
          <w:tcPr>
            <w:tcW w:w="3260" w:type="dxa"/>
            <w:noWrap/>
            <w:vAlign w:val="bottom"/>
            <w:hideMark/>
          </w:tcPr>
          <w:p w14:paraId="3DFEBBA0"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s="Calibri"/>
                <w:color w:val="000000"/>
                <w:lang w:eastAsia="en-US"/>
              </w:rPr>
              <w:t>Number of MBS 71165 offset (I = H*69%)</w:t>
            </w:r>
          </w:p>
        </w:tc>
        <w:tc>
          <w:tcPr>
            <w:tcW w:w="993" w:type="dxa"/>
            <w:noWrap/>
            <w:vAlign w:val="bottom"/>
            <w:hideMark/>
          </w:tcPr>
          <w:p w14:paraId="7070CBA7"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6,329</w:t>
            </w:r>
          </w:p>
        </w:tc>
        <w:tc>
          <w:tcPr>
            <w:tcW w:w="1134" w:type="dxa"/>
            <w:noWrap/>
            <w:vAlign w:val="bottom"/>
            <w:hideMark/>
          </w:tcPr>
          <w:p w14:paraId="3241C067"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6,962</w:t>
            </w:r>
          </w:p>
        </w:tc>
        <w:tc>
          <w:tcPr>
            <w:tcW w:w="992" w:type="dxa"/>
            <w:noWrap/>
            <w:vAlign w:val="bottom"/>
            <w:hideMark/>
          </w:tcPr>
          <w:p w14:paraId="1F7EF747"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7,658</w:t>
            </w:r>
          </w:p>
        </w:tc>
        <w:tc>
          <w:tcPr>
            <w:tcW w:w="992" w:type="dxa"/>
            <w:noWrap/>
            <w:vAlign w:val="bottom"/>
            <w:hideMark/>
          </w:tcPr>
          <w:p w14:paraId="64E119AF"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8,424</w:t>
            </w:r>
          </w:p>
        </w:tc>
        <w:tc>
          <w:tcPr>
            <w:tcW w:w="941" w:type="dxa"/>
            <w:noWrap/>
            <w:vAlign w:val="bottom"/>
            <w:hideMark/>
          </w:tcPr>
          <w:p w14:paraId="2AA345F0"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9,267</w:t>
            </w:r>
          </w:p>
        </w:tc>
      </w:tr>
      <w:tr w:rsidR="00095358" w:rsidRPr="00B35E47" w14:paraId="2E524536" w14:textId="77777777" w:rsidTr="00095358">
        <w:trPr>
          <w:trHeight w:val="255"/>
        </w:trPr>
        <w:tc>
          <w:tcPr>
            <w:tcW w:w="704" w:type="dxa"/>
          </w:tcPr>
          <w:p w14:paraId="363A8306"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J</w:t>
            </w:r>
          </w:p>
        </w:tc>
        <w:tc>
          <w:tcPr>
            <w:tcW w:w="3260" w:type="dxa"/>
            <w:noWrap/>
            <w:vAlign w:val="bottom"/>
            <w:hideMark/>
          </w:tcPr>
          <w:p w14:paraId="7DC1458F" w14:textId="77777777" w:rsidR="00095358" w:rsidRPr="00B35E47" w:rsidRDefault="00095358" w:rsidP="00095358">
            <w:pPr>
              <w:contextualSpacing/>
              <w:jc w:val="left"/>
              <w:rPr>
                <w:rFonts w:ascii="Arial Narrow" w:hAnsi="Arial Narrow"/>
                <w:b/>
                <w:bCs/>
                <w:color w:val="000000"/>
                <w:lang w:eastAsia="en-US"/>
              </w:rPr>
            </w:pPr>
            <w:r w:rsidRPr="00B35E47">
              <w:rPr>
                <w:rFonts w:ascii="Arial Narrow" w:hAnsi="Arial Narrow" w:cs="Calibri"/>
                <w:color w:val="000000"/>
                <w:lang w:eastAsia="en-US"/>
              </w:rPr>
              <w:t>Number of MBS 71119 offset (J = H*31%)</w:t>
            </w:r>
          </w:p>
        </w:tc>
        <w:tc>
          <w:tcPr>
            <w:tcW w:w="993" w:type="dxa"/>
            <w:noWrap/>
            <w:vAlign w:val="bottom"/>
            <w:hideMark/>
          </w:tcPr>
          <w:p w14:paraId="7A966A9E"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2,875</w:t>
            </w:r>
          </w:p>
        </w:tc>
        <w:tc>
          <w:tcPr>
            <w:tcW w:w="1134" w:type="dxa"/>
            <w:noWrap/>
            <w:vAlign w:val="bottom"/>
            <w:hideMark/>
          </w:tcPr>
          <w:p w14:paraId="77853059"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3,163</w:t>
            </w:r>
          </w:p>
        </w:tc>
        <w:tc>
          <w:tcPr>
            <w:tcW w:w="992" w:type="dxa"/>
            <w:noWrap/>
            <w:vAlign w:val="bottom"/>
            <w:hideMark/>
          </w:tcPr>
          <w:p w14:paraId="4B9CB766"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3,479</w:t>
            </w:r>
          </w:p>
        </w:tc>
        <w:tc>
          <w:tcPr>
            <w:tcW w:w="992" w:type="dxa"/>
            <w:noWrap/>
            <w:vAlign w:val="bottom"/>
            <w:hideMark/>
          </w:tcPr>
          <w:p w14:paraId="5634A1A4"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3,827</w:t>
            </w:r>
          </w:p>
        </w:tc>
        <w:tc>
          <w:tcPr>
            <w:tcW w:w="941" w:type="dxa"/>
            <w:noWrap/>
            <w:vAlign w:val="bottom"/>
            <w:hideMark/>
          </w:tcPr>
          <w:p w14:paraId="3C29E566"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4,210</w:t>
            </w:r>
          </w:p>
        </w:tc>
      </w:tr>
    </w:tbl>
    <w:p w14:paraId="2535E337" w14:textId="77777777" w:rsidR="00095358" w:rsidRPr="00B35E47" w:rsidRDefault="00095358" w:rsidP="00665317">
      <w:pPr>
        <w:widowControl w:val="0"/>
        <w:spacing w:after="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MBS = Medicare Benefits Schedule</w:t>
      </w:r>
    </w:p>
    <w:p w14:paraId="1F5A6A1B" w14:textId="77777777" w:rsidR="00095358" w:rsidRDefault="00095358" w:rsidP="00665317">
      <w:pPr>
        <w:pStyle w:val="Tablenotes0"/>
      </w:pPr>
    </w:p>
    <w:p w14:paraId="6AA55F54" w14:textId="77777777" w:rsidR="00095358" w:rsidRPr="00B35E47" w:rsidRDefault="00095358" w:rsidP="00095358">
      <w:r w:rsidRPr="00B35E47">
        <w:t>As discussed in section E.2, approximately 96% of these services occur in outpatient settings with 99% bulk-billing rate. Therefore, the estimated average MBS rebates for each service are $25.26 and $14.68 for MBS items 71165 and 71119, respectively. The respective average co-payments for each service are $0.05 and $0.03. The clinical advice received suggested that patients face higher co-payments for NMO tests due to MBS rebates being lower than the average fee charged ($43). The base-case analysis assumes that 99% of the current NMOSD-Ab tests are bulk-billed, but alternative assumptions are tested in Section E.6.</w:t>
      </w:r>
    </w:p>
    <w:p w14:paraId="65470B54" w14:textId="77777777" w:rsidR="00095358" w:rsidRPr="00B35E47" w:rsidRDefault="00095358" w:rsidP="00095358">
      <w:r w:rsidRPr="00AC71D1">
        <w:lastRenderedPageBreak/>
        <w:fldChar w:fldCharType="begin"/>
      </w:r>
      <w:r w:rsidRPr="00AC71D1">
        <w:instrText xml:space="preserve"> REF _Ref33522951 \h </w:instrText>
      </w:r>
      <w:r>
        <w:instrText xml:space="preserve"> \* MERGEFORMAT </w:instrText>
      </w:r>
      <w:r w:rsidRPr="00AC71D1">
        <w:fldChar w:fldCharType="separate"/>
      </w:r>
      <w:r w:rsidR="006E2BA9" w:rsidRPr="00B35E47">
        <w:t xml:space="preserve">Table </w:t>
      </w:r>
      <w:r w:rsidR="006E2BA9">
        <w:t>91</w:t>
      </w:r>
      <w:r w:rsidRPr="00AC71D1">
        <w:fldChar w:fldCharType="end"/>
      </w:r>
      <w:r w:rsidRPr="00AC71D1">
        <w:t xml:space="preserve"> </w:t>
      </w:r>
      <w:r w:rsidRPr="00B35E47">
        <w:rPr>
          <w:lang w:eastAsia="en-US"/>
        </w:rPr>
        <w:t xml:space="preserve">presents the estimated total costs offset by comparator services. </w:t>
      </w:r>
    </w:p>
    <w:p w14:paraId="718A9258" w14:textId="3EB276DE" w:rsidR="00095358" w:rsidRPr="00B35E47" w:rsidRDefault="00095358" w:rsidP="00095358">
      <w:pPr>
        <w:pStyle w:val="Caption"/>
      </w:pPr>
      <w:bookmarkStart w:id="566" w:name="_Ref33522951"/>
      <w:bookmarkStart w:id="567" w:name="_Toc11240581"/>
      <w:bookmarkStart w:id="568" w:name="_Toc36054864"/>
      <w:bookmarkStart w:id="569" w:name="_Toc39580872"/>
      <w:r w:rsidRPr="00B35E47">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91</w:t>
      </w:r>
      <w:r w:rsidRPr="00B35E47">
        <w:rPr>
          <w:noProof/>
        </w:rPr>
        <w:fldChar w:fldCharType="end"/>
      </w:r>
      <w:bookmarkEnd w:id="566"/>
      <w:r w:rsidRPr="00B35E47">
        <w:tab/>
        <w:t xml:space="preserve">Estimated MBS costs-offsets </w:t>
      </w:r>
      <w:bookmarkEnd w:id="567"/>
      <w:r w:rsidRPr="00B35E47">
        <w:t>(reduced claims on existing (comparator) services)</w:t>
      </w:r>
      <w:bookmarkEnd w:id="568"/>
      <w:bookmarkEnd w:id="569"/>
    </w:p>
    <w:tbl>
      <w:tblPr>
        <w:tblStyle w:val="TableGrid1"/>
        <w:tblW w:w="5000" w:type="pct"/>
        <w:tblLook w:val="04A0" w:firstRow="1" w:lastRow="0" w:firstColumn="1" w:lastColumn="0" w:noHBand="0" w:noVBand="1"/>
        <w:tblCaption w:val="Estimated cost-savings to the MBS associated with reduction in other Medical services due to the proposed listing of FC testing"/>
        <w:tblDescription w:val="This table provides a summary of the financial impact of the proposed new medical service over the next five years."/>
      </w:tblPr>
      <w:tblGrid>
        <w:gridCol w:w="563"/>
        <w:gridCol w:w="2689"/>
        <w:gridCol w:w="1244"/>
        <w:gridCol w:w="1129"/>
        <w:gridCol w:w="1131"/>
        <w:gridCol w:w="1129"/>
        <w:gridCol w:w="1131"/>
      </w:tblGrid>
      <w:tr w:rsidR="00095358" w:rsidRPr="00B35E47" w14:paraId="14AA8B0C" w14:textId="77777777" w:rsidTr="00095358">
        <w:trPr>
          <w:cnfStyle w:val="100000000000" w:firstRow="1" w:lastRow="0" w:firstColumn="0" w:lastColumn="0" w:oddVBand="0" w:evenVBand="0" w:oddHBand="0" w:evenHBand="0" w:firstRowFirstColumn="0" w:firstRowLastColumn="0" w:lastRowFirstColumn="0" w:lastRowLastColumn="0"/>
          <w:trHeight w:val="300"/>
          <w:tblHeader/>
        </w:trPr>
        <w:tc>
          <w:tcPr>
            <w:tcW w:w="312" w:type="pct"/>
            <w:tcBorders>
              <w:bottom w:val="single" w:sz="4" w:space="0" w:color="auto"/>
            </w:tcBorders>
            <w:vAlign w:val="center"/>
          </w:tcPr>
          <w:p w14:paraId="6C1D2B55"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Row</w:t>
            </w:r>
          </w:p>
        </w:tc>
        <w:tc>
          <w:tcPr>
            <w:tcW w:w="1491" w:type="pct"/>
            <w:tcBorders>
              <w:bottom w:val="single" w:sz="4" w:space="0" w:color="auto"/>
            </w:tcBorders>
            <w:shd w:val="clear" w:color="auto" w:fill="auto"/>
            <w:vAlign w:val="center"/>
          </w:tcPr>
          <w:p w14:paraId="36145557"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Description</w:t>
            </w:r>
          </w:p>
        </w:tc>
        <w:tc>
          <w:tcPr>
            <w:tcW w:w="690" w:type="pct"/>
            <w:tcBorders>
              <w:bottom w:val="single" w:sz="4" w:space="0" w:color="auto"/>
            </w:tcBorders>
            <w:vAlign w:val="center"/>
          </w:tcPr>
          <w:p w14:paraId="451AAF04"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2020–21</w:t>
            </w:r>
          </w:p>
        </w:tc>
        <w:tc>
          <w:tcPr>
            <w:tcW w:w="626" w:type="pct"/>
            <w:tcBorders>
              <w:bottom w:val="single" w:sz="4" w:space="0" w:color="auto"/>
            </w:tcBorders>
            <w:shd w:val="clear" w:color="auto" w:fill="auto"/>
            <w:vAlign w:val="center"/>
          </w:tcPr>
          <w:p w14:paraId="2BB90013"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2021–22</w:t>
            </w:r>
          </w:p>
        </w:tc>
        <w:tc>
          <w:tcPr>
            <w:tcW w:w="627" w:type="pct"/>
            <w:tcBorders>
              <w:bottom w:val="single" w:sz="4" w:space="0" w:color="auto"/>
            </w:tcBorders>
            <w:shd w:val="clear" w:color="auto" w:fill="auto"/>
            <w:vAlign w:val="center"/>
          </w:tcPr>
          <w:p w14:paraId="7344A7A6"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2022–23</w:t>
            </w:r>
          </w:p>
        </w:tc>
        <w:tc>
          <w:tcPr>
            <w:tcW w:w="626" w:type="pct"/>
            <w:tcBorders>
              <w:bottom w:val="single" w:sz="4" w:space="0" w:color="auto"/>
            </w:tcBorders>
            <w:shd w:val="clear" w:color="auto" w:fill="auto"/>
            <w:vAlign w:val="center"/>
          </w:tcPr>
          <w:p w14:paraId="2BE087D6"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2023–24</w:t>
            </w:r>
          </w:p>
        </w:tc>
        <w:tc>
          <w:tcPr>
            <w:tcW w:w="627" w:type="pct"/>
            <w:tcBorders>
              <w:bottom w:val="single" w:sz="4" w:space="0" w:color="auto"/>
            </w:tcBorders>
            <w:shd w:val="clear" w:color="auto" w:fill="auto"/>
            <w:vAlign w:val="center"/>
          </w:tcPr>
          <w:p w14:paraId="5FC7F262"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2024–25</w:t>
            </w:r>
          </w:p>
        </w:tc>
      </w:tr>
      <w:tr w:rsidR="00095358" w:rsidRPr="00B35E47" w14:paraId="6D6A23F4" w14:textId="77777777" w:rsidTr="00095358">
        <w:trPr>
          <w:cnfStyle w:val="100000000000" w:firstRow="1" w:lastRow="0" w:firstColumn="0" w:lastColumn="0" w:oddVBand="0" w:evenVBand="0" w:oddHBand="0" w:evenHBand="0" w:firstRowFirstColumn="0" w:firstRowLastColumn="0" w:lastRowFirstColumn="0" w:lastRowLastColumn="0"/>
          <w:trHeight w:val="300"/>
          <w:tblHeader/>
        </w:trPr>
        <w:tc>
          <w:tcPr>
            <w:tcW w:w="312" w:type="pct"/>
            <w:tcBorders>
              <w:bottom w:val="single" w:sz="4" w:space="0" w:color="auto"/>
            </w:tcBorders>
          </w:tcPr>
          <w:p w14:paraId="6DA4FEFC" w14:textId="77777777" w:rsidR="00095358" w:rsidRPr="00B35E47" w:rsidRDefault="00095358" w:rsidP="00095358">
            <w:pPr>
              <w:keepNext/>
              <w:jc w:val="center"/>
              <w:rPr>
                <w:rFonts w:ascii="Arial Narrow" w:hAnsi="Arial Narrow"/>
                <w:b/>
                <w:lang w:eastAsia="en-US"/>
              </w:rPr>
            </w:pPr>
          </w:p>
        </w:tc>
        <w:tc>
          <w:tcPr>
            <w:tcW w:w="1491" w:type="pct"/>
            <w:tcBorders>
              <w:bottom w:val="single" w:sz="4" w:space="0" w:color="auto"/>
              <w:right w:val="nil"/>
            </w:tcBorders>
            <w:shd w:val="clear" w:color="auto" w:fill="auto"/>
            <w:vAlign w:val="center"/>
          </w:tcPr>
          <w:p w14:paraId="6DD6E927"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Number of services offset</w:t>
            </w:r>
          </w:p>
        </w:tc>
        <w:tc>
          <w:tcPr>
            <w:tcW w:w="690" w:type="pct"/>
            <w:tcBorders>
              <w:left w:val="nil"/>
              <w:bottom w:val="single" w:sz="4" w:space="0" w:color="auto"/>
              <w:right w:val="nil"/>
            </w:tcBorders>
          </w:tcPr>
          <w:p w14:paraId="68BB74AD" w14:textId="77777777" w:rsidR="00095358" w:rsidRPr="00B35E47" w:rsidRDefault="00095358" w:rsidP="00095358">
            <w:pPr>
              <w:keepNext/>
              <w:jc w:val="center"/>
              <w:rPr>
                <w:rFonts w:ascii="Arial Narrow" w:hAnsi="Arial Narrow"/>
                <w:b/>
                <w:lang w:eastAsia="en-US"/>
              </w:rPr>
            </w:pPr>
          </w:p>
        </w:tc>
        <w:tc>
          <w:tcPr>
            <w:tcW w:w="626" w:type="pct"/>
            <w:tcBorders>
              <w:left w:val="nil"/>
              <w:bottom w:val="single" w:sz="4" w:space="0" w:color="auto"/>
              <w:right w:val="nil"/>
            </w:tcBorders>
            <w:shd w:val="clear" w:color="auto" w:fill="auto"/>
          </w:tcPr>
          <w:p w14:paraId="7A780642" w14:textId="77777777" w:rsidR="00095358" w:rsidRPr="00B35E47" w:rsidRDefault="00095358" w:rsidP="00095358">
            <w:pPr>
              <w:keepNext/>
              <w:jc w:val="center"/>
              <w:rPr>
                <w:rFonts w:ascii="Arial Narrow" w:hAnsi="Arial Narrow"/>
                <w:b/>
                <w:lang w:eastAsia="en-US"/>
              </w:rPr>
            </w:pPr>
          </w:p>
        </w:tc>
        <w:tc>
          <w:tcPr>
            <w:tcW w:w="627" w:type="pct"/>
            <w:tcBorders>
              <w:left w:val="nil"/>
              <w:bottom w:val="single" w:sz="4" w:space="0" w:color="auto"/>
              <w:right w:val="nil"/>
            </w:tcBorders>
            <w:shd w:val="clear" w:color="auto" w:fill="auto"/>
          </w:tcPr>
          <w:p w14:paraId="69950404" w14:textId="77777777" w:rsidR="00095358" w:rsidRPr="00B35E47" w:rsidRDefault="00095358" w:rsidP="00095358">
            <w:pPr>
              <w:keepNext/>
              <w:jc w:val="center"/>
              <w:rPr>
                <w:rFonts w:ascii="Arial Narrow" w:hAnsi="Arial Narrow"/>
                <w:b/>
                <w:lang w:eastAsia="en-US"/>
              </w:rPr>
            </w:pPr>
          </w:p>
        </w:tc>
        <w:tc>
          <w:tcPr>
            <w:tcW w:w="626" w:type="pct"/>
            <w:tcBorders>
              <w:left w:val="nil"/>
              <w:bottom w:val="single" w:sz="4" w:space="0" w:color="auto"/>
              <w:right w:val="nil"/>
            </w:tcBorders>
            <w:shd w:val="clear" w:color="auto" w:fill="auto"/>
          </w:tcPr>
          <w:p w14:paraId="14C7F8FA" w14:textId="77777777" w:rsidR="00095358" w:rsidRPr="00B35E47" w:rsidRDefault="00095358" w:rsidP="00095358">
            <w:pPr>
              <w:keepNext/>
              <w:jc w:val="center"/>
              <w:rPr>
                <w:rFonts w:ascii="Arial Narrow" w:hAnsi="Arial Narrow"/>
                <w:b/>
                <w:lang w:eastAsia="en-US"/>
              </w:rPr>
            </w:pPr>
          </w:p>
        </w:tc>
        <w:tc>
          <w:tcPr>
            <w:tcW w:w="627" w:type="pct"/>
            <w:tcBorders>
              <w:left w:val="nil"/>
              <w:bottom w:val="single" w:sz="4" w:space="0" w:color="auto"/>
            </w:tcBorders>
            <w:shd w:val="clear" w:color="auto" w:fill="auto"/>
          </w:tcPr>
          <w:p w14:paraId="56A75B65" w14:textId="77777777" w:rsidR="00095358" w:rsidRPr="00B35E47" w:rsidRDefault="00095358" w:rsidP="00095358">
            <w:pPr>
              <w:keepNext/>
              <w:jc w:val="center"/>
              <w:rPr>
                <w:rFonts w:ascii="Arial Narrow" w:hAnsi="Arial Narrow"/>
                <w:b/>
                <w:lang w:eastAsia="en-US"/>
              </w:rPr>
            </w:pPr>
          </w:p>
        </w:tc>
      </w:tr>
      <w:tr w:rsidR="00095358" w:rsidRPr="00B35E47" w14:paraId="380B670C" w14:textId="77777777" w:rsidTr="00095358">
        <w:trPr>
          <w:trHeight w:val="300"/>
        </w:trPr>
        <w:tc>
          <w:tcPr>
            <w:tcW w:w="312" w:type="pct"/>
          </w:tcPr>
          <w:p w14:paraId="1BF247EC"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I</w:t>
            </w:r>
          </w:p>
        </w:tc>
        <w:tc>
          <w:tcPr>
            <w:tcW w:w="1491" w:type="pct"/>
            <w:shd w:val="clear" w:color="auto" w:fill="auto"/>
          </w:tcPr>
          <w:p w14:paraId="38BDDB03"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MBS 71165</w:t>
            </w:r>
          </w:p>
        </w:tc>
        <w:tc>
          <w:tcPr>
            <w:tcW w:w="690" w:type="pct"/>
            <w:vAlign w:val="bottom"/>
          </w:tcPr>
          <w:p w14:paraId="6687D75B"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6,329</w:t>
            </w:r>
          </w:p>
        </w:tc>
        <w:tc>
          <w:tcPr>
            <w:tcW w:w="626" w:type="pct"/>
            <w:shd w:val="clear" w:color="auto" w:fill="auto"/>
            <w:vAlign w:val="bottom"/>
          </w:tcPr>
          <w:p w14:paraId="045DB30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6,962</w:t>
            </w:r>
          </w:p>
        </w:tc>
        <w:tc>
          <w:tcPr>
            <w:tcW w:w="627" w:type="pct"/>
            <w:shd w:val="clear" w:color="auto" w:fill="auto"/>
            <w:vAlign w:val="bottom"/>
          </w:tcPr>
          <w:p w14:paraId="19A9B56A"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7,658</w:t>
            </w:r>
          </w:p>
        </w:tc>
        <w:tc>
          <w:tcPr>
            <w:tcW w:w="626" w:type="pct"/>
            <w:shd w:val="clear" w:color="auto" w:fill="auto"/>
            <w:vAlign w:val="bottom"/>
          </w:tcPr>
          <w:p w14:paraId="1EA15AE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8,424</w:t>
            </w:r>
          </w:p>
        </w:tc>
        <w:tc>
          <w:tcPr>
            <w:tcW w:w="627" w:type="pct"/>
            <w:shd w:val="clear" w:color="auto" w:fill="auto"/>
            <w:vAlign w:val="bottom"/>
          </w:tcPr>
          <w:p w14:paraId="2F284C7F"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9,267</w:t>
            </w:r>
          </w:p>
        </w:tc>
      </w:tr>
      <w:tr w:rsidR="00095358" w:rsidRPr="00B35E47" w14:paraId="526F4084" w14:textId="77777777" w:rsidTr="00095358">
        <w:trPr>
          <w:trHeight w:val="300"/>
        </w:trPr>
        <w:tc>
          <w:tcPr>
            <w:tcW w:w="312" w:type="pct"/>
          </w:tcPr>
          <w:p w14:paraId="287D1911"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J</w:t>
            </w:r>
          </w:p>
        </w:tc>
        <w:tc>
          <w:tcPr>
            <w:tcW w:w="1491" w:type="pct"/>
            <w:shd w:val="clear" w:color="auto" w:fill="auto"/>
          </w:tcPr>
          <w:p w14:paraId="6237759E"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MBS 71119</w:t>
            </w:r>
          </w:p>
        </w:tc>
        <w:tc>
          <w:tcPr>
            <w:tcW w:w="690" w:type="pct"/>
            <w:vAlign w:val="bottom"/>
          </w:tcPr>
          <w:p w14:paraId="04A82371"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2,875</w:t>
            </w:r>
          </w:p>
        </w:tc>
        <w:tc>
          <w:tcPr>
            <w:tcW w:w="626" w:type="pct"/>
            <w:shd w:val="clear" w:color="auto" w:fill="auto"/>
            <w:vAlign w:val="bottom"/>
          </w:tcPr>
          <w:p w14:paraId="41644EE3"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3,163</w:t>
            </w:r>
          </w:p>
        </w:tc>
        <w:tc>
          <w:tcPr>
            <w:tcW w:w="627" w:type="pct"/>
            <w:shd w:val="clear" w:color="auto" w:fill="auto"/>
            <w:vAlign w:val="bottom"/>
          </w:tcPr>
          <w:p w14:paraId="40333414"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3,479</w:t>
            </w:r>
          </w:p>
        </w:tc>
        <w:tc>
          <w:tcPr>
            <w:tcW w:w="626" w:type="pct"/>
            <w:shd w:val="clear" w:color="auto" w:fill="auto"/>
            <w:vAlign w:val="bottom"/>
          </w:tcPr>
          <w:p w14:paraId="0761C66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3,827</w:t>
            </w:r>
          </w:p>
        </w:tc>
        <w:tc>
          <w:tcPr>
            <w:tcW w:w="627" w:type="pct"/>
            <w:shd w:val="clear" w:color="auto" w:fill="auto"/>
            <w:vAlign w:val="bottom"/>
          </w:tcPr>
          <w:p w14:paraId="4D04F67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4,210</w:t>
            </w:r>
          </w:p>
        </w:tc>
      </w:tr>
      <w:tr w:rsidR="00095358" w:rsidRPr="00B35E47" w14:paraId="3F6DE8E0" w14:textId="77777777" w:rsidTr="00095358">
        <w:trPr>
          <w:trHeight w:val="315"/>
        </w:trPr>
        <w:tc>
          <w:tcPr>
            <w:tcW w:w="312" w:type="pct"/>
            <w:tcBorders>
              <w:bottom w:val="single" w:sz="4" w:space="0" w:color="auto"/>
            </w:tcBorders>
          </w:tcPr>
          <w:p w14:paraId="110ADE46" w14:textId="77777777" w:rsidR="00095358" w:rsidRPr="00B35E47" w:rsidRDefault="00095358" w:rsidP="00095358">
            <w:pPr>
              <w:contextualSpacing/>
              <w:jc w:val="left"/>
              <w:rPr>
                <w:rFonts w:ascii="Arial Narrow" w:hAnsi="Arial Narrow"/>
                <w:lang w:eastAsia="en-US"/>
              </w:rPr>
            </w:pPr>
          </w:p>
        </w:tc>
        <w:tc>
          <w:tcPr>
            <w:tcW w:w="1491" w:type="pct"/>
            <w:tcBorders>
              <w:bottom w:val="single" w:sz="4" w:space="0" w:color="auto"/>
              <w:right w:val="nil"/>
            </w:tcBorders>
            <w:shd w:val="clear" w:color="auto" w:fill="auto"/>
          </w:tcPr>
          <w:p w14:paraId="68FDE07E" w14:textId="77777777" w:rsidR="00095358" w:rsidRPr="00B35E47" w:rsidRDefault="00095358" w:rsidP="00095358">
            <w:pPr>
              <w:contextualSpacing/>
              <w:jc w:val="left"/>
              <w:rPr>
                <w:rFonts w:ascii="Arial Narrow" w:hAnsi="Arial Narrow"/>
                <w:b/>
                <w:i/>
                <w:lang w:eastAsia="en-US"/>
              </w:rPr>
            </w:pPr>
            <w:r w:rsidRPr="00B35E47">
              <w:rPr>
                <w:rFonts w:ascii="Arial Narrow" w:hAnsi="Arial Narrow"/>
                <w:b/>
                <w:i/>
                <w:lang w:eastAsia="en-US"/>
              </w:rPr>
              <w:t>MBS costs offset</w:t>
            </w:r>
          </w:p>
        </w:tc>
        <w:tc>
          <w:tcPr>
            <w:tcW w:w="690" w:type="pct"/>
            <w:tcBorders>
              <w:left w:val="nil"/>
              <w:bottom w:val="single" w:sz="4" w:space="0" w:color="auto"/>
              <w:right w:val="nil"/>
            </w:tcBorders>
            <w:vAlign w:val="center"/>
          </w:tcPr>
          <w:p w14:paraId="6E9A4366" w14:textId="77777777" w:rsidR="00095358" w:rsidRPr="00B35E47" w:rsidRDefault="00095358" w:rsidP="00095358">
            <w:pPr>
              <w:tabs>
                <w:tab w:val="left" w:pos="564"/>
              </w:tabs>
              <w:contextualSpacing/>
              <w:jc w:val="right"/>
              <w:rPr>
                <w:rFonts w:ascii="Arial Narrow" w:hAnsi="Arial Narrow"/>
                <w:lang w:eastAsia="en-US"/>
              </w:rPr>
            </w:pPr>
          </w:p>
        </w:tc>
        <w:tc>
          <w:tcPr>
            <w:tcW w:w="626" w:type="pct"/>
            <w:tcBorders>
              <w:left w:val="nil"/>
              <w:bottom w:val="single" w:sz="4" w:space="0" w:color="auto"/>
              <w:right w:val="nil"/>
            </w:tcBorders>
            <w:shd w:val="clear" w:color="auto" w:fill="auto"/>
            <w:vAlign w:val="center"/>
          </w:tcPr>
          <w:p w14:paraId="2F188309" w14:textId="77777777" w:rsidR="00095358" w:rsidRPr="00B35E47" w:rsidRDefault="00095358" w:rsidP="00095358">
            <w:pPr>
              <w:contextualSpacing/>
              <w:jc w:val="right"/>
              <w:rPr>
                <w:rFonts w:ascii="Arial Narrow" w:hAnsi="Arial Narrow"/>
                <w:lang w:eastAsia="en-US"/>
              </w:rPr>
            </w:pPr>
          </w:p>
        </w:tc>
        <w:tc>
          <w:tcPr>
            <w:tcW w:w="627" w:type="pct"/>
            <w:tcBorders>
              <w:left w:val="nil"/>
              <w:bottom w:val="single" w:sz="4" w:space="0" w:color="auto"/>
              <w:right w:val="nil"/>
            </w:tcBorders>
            <w:shd w:val="clear" w:color="auto" w:fill="auto"/>
            <w:vAlign w:val="center"/>
          </w:tcPr>
          <w:p w14:paraId="5A67C829" w14:textId="77777777" w:rsidR="00095358" w:rsidRPr="00B35E47" w:rsidRDefault="00095358" w:rsidP="00095358">
            <w:pPr>
              <w:contextualSpacing/>
              <w:jc w:val="right"/>
              <w:rPr>
                <w:rFonts w:ascii="Arial Narrow" w:hAnsi="Arial Narrow"/>
                <w:lang w:eastAsia="en-US"/>
              </w:rPr>
            </w:pPr>
          </w:p>
        </w:tc>
        <w:tc>
          <w:tcPr>
            <w:tcW w:w="626" w:type="pct"/>
            <w:tcBorders>
              <w:left w:val="nil"/>
              <w:bottom w:val="single" w:sz="4" w:space="0" w:color="auto"/>
              <w:right w:val="nil"/>
            </w:tcBorders>
            <w:shd w:val="clear" w:color="auto" w:fill="auto"/>
            <w:vAlign w:val="center"/>
          </w:tcPr>
          <w:p w14:paraId="5A76A934" w14:textId="77777777" w:rsidR="00095358" w:rsidRPr="00B35E47" w:rsidRDefault="00095358" w:rsidP="00095358">
            <w:pPr>
              <w:contextualSpacing/>
              <w:jc w:val="right"/>
              <w:rPr>
                <w:rFonts w:ascii="Arial Narrow" w:hAnsi="Arial Narrow"/>
                <w:lang w:eastAsia="en-US"/>
              </w:rPr>
            </w:pPr>
          </w:p>
        </w:tc>
        <w:tc>
          <w:tcPr>
            <w:tcW w:w="627" w:type="pct"/>
            <w:tcBorders>
              <w:left w:val="nil"/>
              <w:bottom w:val="single" w:sz="4" w:space="0" w:color="auto"/>
            </w:tcBorders>
            <w:shd w:val="clear" w:color="auto" w:fill="auto"/>
            <w:vAlign w:val="center"/>
          </w:tcPr>
          <w:p w14:paraId="154627B4" w14:textId="77777777" w:rsidR="00095358" w:rsidRPr="00B35E47" w:rsidRDefault="00095358" w:rsidP="00095358">
            <w:pPr>
              <w:contextualSpacing/>
              <w:jc w:val="right"/>
              <w:rPr>
                <w:rFonts w:ascii="Arial Narrow" w:hAnsi="Arial Narrow"/>
                <w:lang w:eastAsia="en-US"/>
              </w:rPr>
            </w:pPr>
          </w:p>
        </w:tc>
      </w:tr>
      <w:tr w:rsidR="00095358" w:rsidRPr="00B35E47" w14:paraId="08D09B27" w14:textId="77777777" w:rsidTr="00095358">
        <w:trPr>
          <w:trHeight w:val="300"/>
        </w:trPr>
        <w:tc>
          <w:tcPr>
            <w:tcW w:w="312" w:type="pct"/>
            <w:tcBorders>
              <w:bottom w:val="single" w:sz="4" w:space="0" w:color="auto"/>
            </w:tcBorders>
          </w:tcPr>
          <w:p w14:paraId="768BB3F6"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K</w:t>
            </w:r>
          </w:p>
        </w:tc>
        <w:tc>
          <w:tcPr>
            <w:tcW w:w="1491" w:type="pct"/>
            <w:tcBorders>
              <w:bottom w:val="single" w:sz="4" w:space="0" w:color="auto"/>
            </w:tcBorders>
            <w:shd w:val="clear" w:color="auto" w:fill="auto"/>
          </w:tcPr>
          <w:p w14:paraId="6883D55B"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MBS 71165 (K = I*$29.26</w:t>
            </w:r>
            <w:r w:rsidRPr="00B35E47">
              <w:rPr>
                <w:rFonts w:ascii="Arial Narrow" w:hAnsi="Arial Narrow"/>
                <w:vertAlign w:val="superscript"/>
                <w:lang w:eastAsia="en-US"/>
              </w:rPr>
              <w:t>a</w:t>
            </w:r>
            <w:r w:rsidRPr="00B35E47">
              <w:rPr>
                <w:rFonts w:ascii="Arial Narrow" w:hAnsi="Arial Narrow"/>
                <w:lang w:eastAsia="en-US"/>
              </w:rPr>
              <w:t>)</w:t>
            </w:r>
          </w:p>
        </w:tc>
        <w:tc>
          <w:tcPr>
            <w:tcW w:w="690" w:type="pct"/>
            <w:tcBorders>
              <w:bottom w:val="single" w:sz="4" w:space="0" w:color="auto"/>
            </w:tcBorders>
            <w:vAlign w:val="bottom"/>
          </w:tcPr>
          <w:p w14:paraId="249D00F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$185,204</w:t>
            </w:r>
          </w:p>
        </w:tc>
        <w:tc>
          <w:tcPr>
            <w:tcW w:w="626" w:type="pct"/>
            <w:tcBorders>
              <w:bottom w:val="single" w:sz="4" w:space="0" w:color="auto"/>
            </w:tcBorders>
            <w:shd w:val="clear" w:color="auto" w:fill="auto"/>
            <w:vAlign w:val="bottom"/>
          </w:tcPr>
          <w:p w14:paraId="363AD5B4"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$203,725</w:t>
            </w:r>
          </w:p>
        </w:tc>
        <w:tc>
          <w:tcPr>
            <w:tcW w:w="627" w:type="pct"/>
            <w:tcBorders>
              <w:bottom w:val="single" w:sz="4" w:space="0" w:color="auto"/>
            </w:tcBorders>
            <w:shd w:val="clear" w:color="auto" w:fill="auto"/>
            <w:vAlign w:val="bottom"/>
          </w:tcPr>
          <w:p w14:paraId="0A25294B"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$224,097</w:t>
            </w:r>
          </w:p>
        </w:tc>
        <w:tc>
          <w:tcPr>
            <w:tcW w:w="626" w:type="pct"/>
            <w:tcBorders>
              <w:bottom w:val="single" w:sz="4" w:space="0" w:color="auto"/>
            </w:tcBorders>
            <w:shd w:val="clear" w:color="auto" w:fill="auto"/>
            <w:vAlign w:val="bottom"/>
          </w:tcPr>
          <w:p w14:paraId="4EADDFFD"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$246,507</w:t>
            </w:r>
          </w:p>
        </w:tc>
        <w:tc>
          <w:tcPr>
            <w:tcW w:w="627" w:type="pct"/>
            <w:tcBorders>
              <w:bottom w:val="single" w:sz="4" w:space="0" w:color="auto"/>
            </w:tcBorders>
            <w:shd w:val="clear" w:color="auto" w:fill="auto"/>
            <w:vAlign w:val="bottom"/>
          </w:tcPr>
          <w:p w14:paraId="7F76BA2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$271,158</w:t>
            </w:r>
          </w:p>
        </w:tc>
      </w:tr>
      <w:tr w:rsidR="00095358" w:rsidRPr="00B35E47" w14:paraId="4786F44B" w14:textId="77777777" w:rsidTr="00095358">
        <w:trPr>
          <w:trHeight w:val="300"/>
        </w:trPr>
        <w:tc>
          <w:tcPr>
            <w:tcW w:w="312" w:type="pct"/>
            <w:tcBorders>
              <w:bottom w:val="single" w:sz="4" w:space="0" w:color="auto"/>
            </w:tcBorders>
          </w:tcPr>
          <w:p w14:paraId="45DCDC24"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L</w:t>
            </w:r>
          </w:p>
        </w:tc>
        <w:tc>
          <w:tcPr>
            <w:tcW w:w="1491" w:type="pct"/>
            <w:tcBorders>
              <w:bottom w:val="single" w:sz="4" w:space="0" w:color="auto"/>
            </w:tcBorders>
            <w:shd w:val="clear" w:color="auto" w:fill="auto"/>
          </w:tcPr>
          <w:p w14:paraId="44F63B07" w14:textId="77777777" w:rsidR="00095358" w:rsidRPr="00B35E47" w:rsidRDefault="00095358" w:rsidP="00095358">
            <w:pPr>
              <w:contextualSpacing/>
              <w:jc w:val="left"/>
              <w:rPr>
                <w:rFonts w:ascii="Arial Narrow" w:hAnsi="Arial Narrow"/>
                <w:vertAlign w:val="superscript"/>
                <w:lang w:eastAsia="en-US"/>
              </w:rPr>
            </w:pPr>
            <w:r w:rsidRPr="00B35E47">
              <w:rPr>
                <w:rFonts w:ascii="Arial Narrow" w:hAnsi="Arial Narrow"/>
                <w:lang w:eastAsia="en-US"/>
              </w:rPr>
              <w:t>MBS 71119 (L = J*$14.68</w:t>
            </w:r>
            <w:r w:rsidRPr="00B35E47">
              <w:rPr>
                <w:rFonts w:ascii="Arial Narrow" w:hAnsi="Arial Narrow"/>
                <w:vertAlign w:val="superscript"/>
                <w:lang w:eastAsia="en-US"/>
              </w:rPr>
              <w:t>a</w:t>
            </w:r>
            <w:r w:rsidRPr="00B35E47">
              <w:rPr>
                <w:rFonts w:ascii="Arial Narrow" w:hAnsi="Arial Narrow"/>
                <w:lang w:eastAsia="en-US"/>
              </w:rPr>
              <w:t xml:space="preserve">) </w:t>
            </w:r>
          </w:p>
        </w:tc>
        <w:tc>
          <w:tcPr>
            <w:tcW w:w="690" w:type="pct"/>
            <w:tcBorders>
              <w:bottom w:val="single" w:sz="4" w:space="0" w:color="auto"/>
            </w:tcBorders>
            <w:vAlign w:val="bottom"/>
          </w:tcPr>
          <w:p w14:paraId="35434F3D"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$42,218</w:t>
            </w:r>
          </w:p>
        </w:tc>
        <w:tc>
          <w:tcPr>
            <w:tcW w:w="626" w:type="pct"/>
            <w:tcBorders>
              <w:bottom w:val="single" w:sz="4" w:space="0" w:color="auto"/>
            </w:tcBorders>
            <w:shd w:val="clear" w:color="auto" w:fill="auto"/>
            <w:vAlign w:val="bottom"/>
          </w:tcPr>
          <w:p w14:paraId="7243ACE0"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$46,440</w:t>
            </w:r>
          </w:p>
        </w:tc>
        <w:tc>
          <w:tcPr>
            <w:tcW w:w="627" w:type="pct"/>
            <w:tcBorders>
              <w:bottom w:val="single" w:sz="4" w:space="0" w:color="auto"/>
            </w:tcBorders>
            <w:shd w:val="clear" w:color="auto" w:fill="auto"/>
            <w:vAlign w:val="bottom"/>
          </w:tcPr>
          <w:p w14:paraId="294C05C9"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$51,084</w:t>
            </w:r>
          </w:p>
        </w:tc>
        <w:tc>
          <w:tcPr>
            <w:tcW w:w="626" w:type="pct"/>
            <w:tcBorders>
              <w:bottom w:val="single" w:sz="4" w:space="0" w:color="auto"/>
            </w:tcBorders>
            <w:shd w:val="clear" w:color="auto" w:fill="auto"/>
            <w:vAlign w:val="bottom"/>
          </w:tcPr>
          <w:p w14:paraId="6486C5F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$56,192</w:t>
            </w:r>
          </w:p>
        </w:tc>
        <w:tc>
          <w:tcPr>
            <w:tcW w:w="627" w:type="pct"/>
            <w:tcBorders>
              <w:bottom w:val="single" w:sz="4" w:space="0" w:color="auto"/>
            </w:tcBorders>
            <w:shd w:val="clear" w:color="auto" w:fill="auto"/>
            <w:vAlign w:val="bottom"/>
          </w:tcPr>
          <w:p w14:paraId="2165555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$61,811</w:t>
            </w:r>
          </w:p>
        </w:tc>
      </w:tr>
      <w:tr w:rsidR="00095358" w:rsidRPr="00B35E47" w14:paraId="31B9D5C1" w14:textId="77777777" w:rsidTr="00095358">
        <w:trPr>
          <w:trHeight w:val="315"/>
        </w:trPr>
        <w:tc>
          <w:tcPr>
            <w:tcW w:w="312" w:type="pct"/>
          </w:tcPr>
          <w:p w14:paraId="1F56C25B"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M</w:t>
            </w:r>
          </w:p>
        </w:tc>
        <w:tc>
          <w:tcPr>
            <w:tcW w:w="1491" w:type="pct"/>
            <w:tcBorders>
              <w:bottom w:val="single" w:sz="4" w:space="0" w:color="auto"/>
            </w:tcBorders>
            <w:shd w:val="clear" w:color="auto" w:fill="auto"/>
          </w:tcPr>
          <w:p w14:paraId="5E6AE01E" w14:textId="77777777" w:rsidR="00095358" w:rsidRPr="00B35E47" w:rsidRDefault="00095358" w:rsidP="00095358">
            <w:pPr>
              <w:contextualSpacing/>
              <w:jc w:val="left"/>
              <w:rPr>
                <w:rFonts w:ascii="Arial Narrow" w:hAnsi="Arial Narrow"/>
                <w:lang w:eastAsia="en-US"/>
              </w:rPr>
            </w:pPr>
            <w:r w:rsidRPr="00B35E47">
              <w:rPr>
                <w:rFonts w:ascii="Arial Narrow" w:hAnsi="Arial Narrow"/>
                <w:b/>
                <w:lang w:eastAsia="en-US"/>
              </w:rPr>
              <w:t>Total offsets to MBS</w:t>
            </w:r>
            <w:r w:rsidRPr="00B35E47">
              <w:rPr>
                <w:rFonts w:ascii="Arial Narrow" w:hAnsi="Arial Narrow"/>
                <w:lang w:eastAsia="en-US"/>
              </w:rPr>
              <w:t xml:space="preserve"> (M = K+L)</w:t>
            </w:r>
          </w:p>
        </w:tc>
        <w:tc>
          <w:tcPr>
            <w:tcW w:w="690" w:type="pct"/>
            <w:tcBorders>
              <w:bottom w:val="single" w:sz="4" w:space="0" w:color="auto"/>
            </w:tcBorders>
            <w:vAlign w:val="bottom"/>
          </w:tcPr>
          <w:p w14:paraId="4524CE8B"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$227,422</w:t>
            </w:r>
          </w:p>
        </w:tc>
        <w:tc>
          <w:tcPr>
            <w:tcW w:w="626" w:type="pct"/>
            <w:tcBorders>
              <w:bottom w:val="single" w:sz="4" w:space="0" w:color="auto"/>
            </w:tcBorders>
            <w:shd w:val="clear" w:color="auto" w:fill="auto"/>
            <w:vAlign w:val="bottom"/>
          </w:tcPr>
          <w:p w14:paraId="301476B3"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$250,165</w:t>
            </w:r>
          </w:p>
        </w:tc>
        <w:tc>
          <w:tcPr>
            <w:tcW w:w="627" w:type="pct"/>
            <w:tcBorders>
              <w:bottom w:val="single" w:sz="4" w:space="0" w:color="auto"/>
            </w:tcBorders>
            <w:shd w:val="clear" w:color="auto" w:fill="auto"/>
            <w:vAlign w:val="bottom"/>
          </w:tcPr>
          <w:p w14:paraId="1C1A8074"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$275,181</w:t>
            </w:r>
          </w:p>
        </w:tc>
        <w:tc>
          <w:tcPr>
            <w:tcW w:w="626" w:type="pct"/>
            <w:tcBorders>
              <w:bottom w:val="single" w:sz="4" w:space="0" w:color="auto"/>
            </w:tcBorders>
            <w:shd w:val="clear" w:color="auto" w:fill="auto"/>
            <w:vAlign w:val="bottom"/>
          </w:tcPr>
          <w:p w14:paraId="3FBEAA4C"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$302,699</w:t>
            </w:r>
          </w:p>
        </w:tc>
        <w:tc>
          <w:tcPr>
            <w:tcW w:w="627" w:type="pct"/>
            <w:tcBorders>
              <w:bottom w:val="single" w:sz="4" w:space="0" w:color="auto"/>
            </w:tcBorders>
            <w:shd w:val="clear" w:color="auto" w:fill="auto"/>
            <w:vAlign w:val="bottom"/>
          </w:tcPr>
          <w:p w14:paraId="1097FC61"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$332,969</w:t>
            </w:r>
          </w:p>
        </w:tc>
      </w:tr>
      <w:tr w:rsidR="00095358" w:rsidRPr="00B35E47" w14:paraId="75027834" w14:textId="77777777" w:rsidTr="00095358">
        <w:trPr>
          <w:trHeight w:val="315"/>
        </w:trPr>
        <w:tc>
          <w:tcPr>
            <w:tcW w:w="312" w:type="pct"/>
          </w:tcPr>
          <w:p w14:paraId="414A0FA6" w14:textId="77777777" w:rsidR="00095358" w:rsidRPr="00B35E47" w:rsidRDefault="00095358" w:rsidP="00095358">
            <w:pPr>
              <w:contextualSpacing/>
              <w:jc w:val="left"/>
              <w:rPr>
                <w:rFonts w:ascii="Arial Narrow" w:hAnsi="Arial Narrow"/>
                <w:lang w:eastAsia="en-US"/>
              </w:rPr>
            </w:pPr>
          </w:p>
        </w:tc>
        <w:tc>
          <w:tcPr>
            <w:tcW w:w="1491" w:type="pct"/>
            <w:tcBorders>
              <w:right w:val="nil"/>
            </w:tcBorders>
            <w:shd w:val="clear" w:color="auto" w:fill="auto"/>
          </w:tcPr>
          <w:p w14:paraId="51473888" w14:textId="77777777" w:rsidR="00095358" w:rsidRPr="00B35E47" w:rsidRDefault="00095358" w:rsidP="00095358">
            <w:pPr>
              <w:contextualSpacing/>
              <w:jc w:val="left"/>
              <w:rPr>
                <w:rFonts w:ascii="Arial Narrow" w:hAnsi="Arial Narrow"/>
                <w:lang w:eastAsia="en-US"/>
              </w:rPr>
            </w:pPr>
            <w:r w:rsidRPr="00B35E47">
              <w:rPr>
                <w:rFonts w:ascii="Arial Narrow" w:hAnsi="Arial Narrow"/>
                <w:b/>
                <w:i/>
                <w:lang w:eastAsia="en-US"/>
              </w:rPr>
              <w:t>Co-payment costs offset</w:t>
            </w:r>
          </w:p>
        </w:tc>
        <w:tc>
          <w:tcPr>
            <w:tcW w:w="690" w:type="pct"/>
            <w:tcBorders>
              <w:left w:val="nil"/>
              <w:right w:val="nil"/>
            </w:tcBorders>
            <w:vAlign w:val="center"/>
          </w:tcPr>
          <w:p w14:paraId="3450A275" w14:textId="77777777" w:rsidR="00095358" w:rsidRPr="00B35E47" w:rsidRDefault="00095358" w:rsidP="00095358">
            <w:pPr>
              <w:contextualSpacing/>
              <w:jc w:val="right"/>
              <w:rPr>
                <w:rFonts w:ascii="Arial Narrow" w:hAnsi="Arial Narrow"/>
                <w:lang w:eastAsia="en-US"/>
              </w:rPr>
            </w:pPr>
          </w:p>
        </w:tc>
        <w:tc>
          <w:tcPr>
            <w:tcW w:w="626" w:type="pct"/>
            <w:tcBorders>
              <w:left w:val="nil"/>
              <w:right w:val="nil"/>
            </w:tcBorders>
            <w:shd w:val="clear" w:color="auto" w:fill="auto"/>
            <w:vAlign w:val="center"/>
          </w:tcPr>
          <w:p w14:paraId="14752F4F" w14:textId="77777777" w:rsidR="00095358" w:rsidRPr="00B35E47" w:rsidRDefault="00095358" w:rsidP="00095358">
            <w:pPr>
              <w:contextualSpacing/>
              <w:jc w:val="right"/>
              <w:rPr>
                <w:rFonts w:ascii="Arial Narrow" w:hAnsi="Arial Narrow"/>
                <w:lang w:eastAsia="en-US"/>
              </w:rPr>
            </w:pPr>
          </w:p>
        </w:tc>
        <w:tc>
          <w:tcPr>
            <w:tcW w:w="627" w:type="pct"/>
            <w:tcBorders>
              <w:left w:val="nil"/>
              <w:right w:val="nil"/>
            </w:tcBorders>
            <w:shd w:val="clear" w:color="auto" w:fill="auto"/>
            <w:vAlign w:val="center"/>
          </w:tcPr>
          <w:p w14:paraId="6EA4A424" w14:textId="77777777" w:rsidR="00095358" w:rsidRPr="00B35E47" w:rsidRDefault="00095358" w:rsidP="00095358">
            <w:pPr>
              <w:contextualSpacing/>
              <w:jc w:val="right"/>
              <w:rPr>
                <w:rFonts w:ascii="Arial Narrow" w:hAnsi="Arial Narrow"/>
                <w:lang w:eastAsia="en-US"/>
              </w:rPr>
            </w:pPr>
          </w:p>
        </w:tc>
        <w:tc>
          <w:tcPr>
            <w:tcW w:w="626" w:type="pct"/>
            <w:tcBorders>
              <w:left w:val="nil"/>
              <w:right w:val="nil"/>
            </w:tcBorders>
            <w:shd w:val="clear" w:color="auto" w:fill="auto"/>
            <w:vAlign w:val="center"/>
          </w:tcPr>
          <w:p w14:paraId="3D39ECFE" w14:textId="77777777" w:rsidR="00095358" w:rsidRPr="00B35E47" w:rsidRDefault="00095358" w:rsidP="00095358">
            <w:pPr>
              <w:contextualSpacing/>
              <w:jc w:val="right"/>
              <w:rPr>
                <w:rFonts w:ascii="Arial Narrow" w:hAnsi="Arial Narrow"/>
                <w:lang w:eastAsia="en-US"/>
              </w:rPr>
            </w:pPr>
          </w:p>
        </w:tc>
        <w:tc>
          <w:tcPr>
            <w:tcW w:w="627" w:type="pct"/>
            <w:tcBorders>
              <w:left w:val="nil"/>
            </w:tcBorders>
            <w:shd w:val="clear" w:color="auto" w:fill="auto"/>
            <w:vAlign w:val="center"/>
          </w:tcPr>
          <w:p w14:paraId="7245A61C" w14:textId="77777777" w:rsidR="00095358" w:rsidRPr="00B35E47" w:rsidRDefault="00095358" w:rsidP="00095358">
            <w:pPr>
              <w:contextualSpacing/>
              <w:jc w:val="right"/>
              <w:rPr>
                <w:rFonts w:ascii="Arial Narrow" w:hAnsi="Arial Narrow"/>
                <w:lang w:eastAsia="en-US"/>
              </w:rPr>
            </w:pPr>
          </w:p>
        </w:tc>
      </w:tr>
      <w:tr w:rsidR="00095358" w:rsidRPr="00B35E47" w14:paraId="5C5B05BE" w14:textId="77777777" w:rsidTr="00095358">
        <w:trPr>
          <w:trHeight w:val="315"/>
        </w:trPr>
        <w:tc>
          <w:tcPr>
            <w:tcW w:w="312" w:type="pct"/>
          </w:tcPr>
          <w:p w14:paraId="7ACA62CA"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N</w:t>
            </w:r>
          </w:p>
        </w:tc>
        <w:tc>
          <w:tcPr>
            <w:tcW w:w="1491" w:type="pct"/>
            <w:shd w:val="clear" w:color="auto" w:fill="auto"/>
          </w:tcPr>
          <w:p w14:paraId="413CE1FC"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MBS 71165 (N = I*$0.05)</w:t>
            </w:r>
          </w:p>
        </w:tc>
        <w:tc>
          <w:tcPr>
            <w:tcW w:w="690" w:type="pct"/>
            <w:vAlign w:val="bottom"/>
          </w:tcPr>
          <w:p w14:paraId="57B64B19"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$338</w:t>
            </w:r>
          </w:p>
        </w:tc>
        <w:tc>
          <w:tcPr>
            <w:tcW w:w="626" w:type="pct"/>
            <w:shd w:val="clear" w:color="auto" w:fill="auto"/>
            <w:vAlign w:val="bottom"/>
          </w:tcPr>
          <w:p w14:paraId="076BF40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$372</w:t>
            </w:r>
          </w:p>
        </w:tc>
        <w:tc>
          <w:tcPr>
            <w:tcW w:w="627" w:type="pct"/>
            <w:shd w:val="clear" w:color="auto" w:fill="auto"/>
            <w:vAlign w:val="bottom"/>
          </w:tcPr>
          <w:p w14:paraId="537D39E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$409</w:t>
            </w:r>
          </w:p>
        </w:tc>
        <w:tc>
          <w:tcPr>
            <w:tcW w:w="626" w:type="pct"/>
            <w:shd w:val="clear" w:color="auto" w:fill="auto"/>
            <w:vAlign w:val="bottom"/>
          </w:tcPr>
          <w:p w14:paraId="06236E2C"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$450</w:t>
            </w:r>
          </w:p>
        </w:tc>
        <w:tc>
          <w:tcPr>
            <w:tcW w:w="627" w:type="pct"/>
            <w:shd w:val="clear" w:color="auto" w:fill="auto"/>
            <w:vAlign w:val="bottom"/>
          </w:tcPr>
          <w:p w14:paraId="18464F40"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$495</w:t>
            </w:r>
          </w:p>
        </w:tc>
      </w:tr>
      <w:tr w:rsidR="00095358" w:rsidRPr="00B35E47" w14:paraId="28B65D11" w14:textId="77777777" w:rsidTr="00095358">
        <w:trPr>
          <w:trHeight w:val="315"/>
        </w:trPr>
        <w:tc>
          <w:tcPr>
            <w:tcW w:w="312" w:type="pct"/>
          </w:tcPr>
          <w:p w14:paraId="2AF82C68"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O</w:t>
            </w:r>
          </w:p>
        </w:tc>
        <w:tc>
          <w:tcPr>
            <w:tcW w:w="1491" w:type="pct"/>
            <w:shd w:val="clear" w:color="auto" w:fill="auto"/>
          </w:tcPr>
          <w:p w14:paraId="0DCC5838"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MBS 71119 (O = J*$0.03)</w:t>
            </w:r>
          </w:p>
        </w:tc>
        <w:tc>
          <w:tcPr>
            <w:tcW w:w="690" w:type="pct"/>
            <w:vAlign w:val="bottom"/>
          </w:tcPr>
          <w:p w14:paraId="736105ED"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$78</w:t>
            </w:r>
          </w:p>
        </w:tc>
        <w:tc>
          <w:tcPr>
            <w:tcW w:w="626" w:type="pct"/>
            <w:shd w:val="clear" w:color="auto" w:fill="auto"/>
            <w:vAlign w:val="bottom"/>
          </w:tcPr>
          <w:p w14:paraId="6C2D4E0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$86</w:t>
            </w:r>
          </w:p>
        </w:tc>
        <w:tc>
          <w:tcPr>
            <w:tcW w:w="627" w:type="pct"/>
            <w:shd w:val="clear" w:color="auto" w:fill="auto"/>
            <w:vAlign w:val="bottom"/>
          </w:tcPr>
          <w:p w14:paraId="2117695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$95</w:t>
            </w:r>
          </w:p>
        </w:tc>
        <w:tc>
          <w:tcPr>
            <w:tcW w:w="626" w:type="pct"/>
            <w:shd w:val="clear" w:color="auto" w:fill="auto"/>
            <w:vAlign w:val="bottom"/>
          </w:tcPr>
          <w:p w14:paraId="1A30FFC1"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$104</w:t>
            </w:r>
          </w:p>
        </w:tc>
        <w:tc>
          <w:tcPr>
            <w:tcW w:w="627" w:type="pct"/>
            <w:shd w:val="clear" w:color="auto" w:fill="auto"/>
            <w:vAlign w:val="bottom"/>
          </w:tcPr>
          <w:p w14:paraId="64D05E1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$114</w:t>
            </w:r>
          </w:p>
        </w:tc>
      </w:tr>
      <w:tr w:rsidR="00095358" w:rsidRPr="00B35E47" w14:paraId="539C8391" w14:textId="77777777" w:rsidTr="00095358">
        <w:trPr>
          <w:trHeight w:val="315"/>
        </w:trPr>
        <w:tc>
          <w:tcPr>
            <w:tcW w:w="312" w:type="pct"/>
          </w:tcPr>
          <w:p w14:paraId="771D1E4E"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P</w:t>
            </w:r>
          </w:p>
        </w:tc>
        <w:tc>
          <w:tcPr>
            <w:tcW w:w="1491" w:type="pct"/>
            <w:shd w:val="clear" w:color="auto" w:fill="auto"/>
          </w:tcPr>
          <w:p w14:paraId="33207AF7" w14:textId="77777777" w:rsidR="00095358" w:rsidRPr="00B35E47" w:rsidRDefault="00095358" w:rsidP="00095358">
            <w:pPr>
              <w:contextualSpacing/>
              <w:jc w:val="left"/>
              <w:rPr>
                <w:rFonts w:ascii="Arial Narrow" w:hAnsi="Arial Narrow"/>
                <w:lang w:eastAsia="en-US"/>
              </w:rPr>
            </w:pPr>
            <w:r w:rsidRPr="00B35E47">
              <w:rPr>
                <w:rFonts w:ascii="Arial Narrow" w:hAnsi="Arial Narrow"/>
                <w:b/>
                <w:lang w:eastAsia="en-US"/>
              </w:rPr>
              <w:t>Total offsets to co-payments (P = N+O)</w:t>
            </w:r>
          </w:p>
        </w:tc>
        <w:tc>
          <w:tcPr>
            <w:tcW w:w="690" w:type="pct"/>
            <w:vAlign w:val="bottom"/>
          </w:tcPr>
          <w:p w14:paraId="001A2D7A"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$416</w:t>
            </w:r>
          </w:p>
        </w:tc>
        <w:tc>
          <w:tcPr>
            <w:tcW w:w="626" w:type="pct"/>
            <w:shd w:val="clear" w:color="auto" w:fill="auto"/>
            <w:vAlign w:val="bottom"/>
          </w:tcPr>
          <w:p w14:paraId="074F495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$458</w:t>
            </w:r>
          </w:p>
        </w:tc>
        <w:tc>
          <w:tcPr>
            <w:tcW w:w="627" w:type="pct"/>
            <w:shd w:val="clear" w:color="auto" w:fill="auto"/>
            <w:vAlign w:val="bottom"/>
          </w:tcPr>
          <w:p w14:paraId="07BD1B93"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$503</w:t>
            </w:r>
          </w:p>
        </w:tc>
        <w:tc>
          <w:tcPr>
            <w:tcW w:w="626" w:type="pct"/>
            <w:shd w:val="clear" w:color="auto" w:fill="auto"/>
            <w:vAlign w:val="bottom"/>
          </w:tcPr>
          <w:p w14:paraId="7CD7822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$554</w:t>
            </w:r>
          </w:p>
        </w:tc>
        <w:tc>
          <w:tcPr>
            <w:tcW w:w="627" w:type="pct"/>
            <w:shd w:val="clear" w:color="auto" w:fill="auto"/>
            <w:vAlign w:val="bottom"/>
          </w:tcPr>
          <w:p w14:paraId="72A8DFBE"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$609</w:t>
            </w:r>
          </w:p>
        </w:tc>
      </w:tr>
      <w:tr w:rsidR="00095358" w:rsidRPr="00B35E47" w14:paraId="4F55E3E7" w14:textId="77777777" w:rsidTr="00095358">
        <w:trPr>
          <w:trHeight w:val="315"/>
        </w:trPr>
        <w:tc>
          <w:tcPr>
            <w:tcW w:w="312" w:type="pct"/>
          </w:tcPr>
          <w:p w14:paraId="36704225"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Q</w:t>
            </w:r>
          </w:p>
        </w:tc>
        <w:tc>
          <w:tcPr>
            <w:tcW w:w="1491" w:type="pct"/>
            <w:shd w:val="clear" w:color="auto" w:fill="auto"/>
          </w:tcPr>
          <w:p w14:paraId="0BA65192" w14:textId="77777777" w:rsidR="00095358" w:rsidRPr="00B35E47" w:rsidRDefault="00095358" w:rsidP="00095358">
            <w:pPr>
              <w:contextualSpacing/>
              <w:jc w:val="left"/>
              <w:rPr>
                <w:rFonts w:ascii="Arial Narrow" w:hAnsi="Arial Narrow"/>
                <w:lang w:eastAsia="en-US"/>
              </w:rPr>
            </w:pPr>
            <w:r w:rsidRPr="00B35E47">
              <w:rPr>
                <w:rFonts w:ascii="Arial Narrow" w:hAnsi="Arial Narrow"/>
                <w:b/>
                <w:lang w:eastAsia="en-US"/>
              </w:rPr>
              <w:t>Total costs offset (Q = M+P)</w:t>
            </w:r>
          </w:p>
        </w:tc>
        <w:tc>
          <w:tcPr>
            <w:tcW w:w="690" w:type="pct"/>
            <w:vAlign w:val="bottom"/>
          </w:tcPr>
          <w:p w14:paraId="06941680"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$254</w:t>
            </w:r>
          </w:p>
        </w:tc>
        <w:tc>
          <w:tcPr>
            <w:tcW w:w="626" w:type="pct"/>
            <w:shd w:val="clear" w:color="auto" w:fill="auto"/>
            <w:vAlign w:val="bottom"/>
          </w:tcPr>
          <w:p w14:paraId="7A2FD269"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$313</w:t>
            </w:r>
          </w:p>
        </w:tc>
        <w:tc>
          <w:tcPr>
            <w:tcW w:w="627" w:type="pct"/>
            <w:shd w:val="clear" w:color="auto" w:fill="auto"/>
            <w:vAlign w:val="bottom"/>
          </w:tcPr>
          <w:p w14:paraId="17A802E7"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$383</w:t>
            </w:r>
          </w:p>
        </w:tc>
        <w:tc>
          <w:tcPr>
            <w:tcW w:w="626" w:type="pct"/>
            <w:shd w:val="clear" w:color="auto" w:fill="auto"/>
            <w:vAlign w:val="bottom"/>
          </w:tcPr>
          <w:p w14:paraId="23841C08"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$466</w:t>
            </w:r>
          </w:p>
        </w:tc>
        <w:tc>
          <w:tcPr>
            <w:tcW w:w="627" w:type="pct"/>
            <w:shd w:val="clear" w:color="auto" w:fill="auto"/>
            <w:vAlign w:val="bottom"/>
          </w:tcPr>
          <w:p w14:paraId="1E3416A8"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$563</w:t>
            </w:r>
          </w:p>
        </w:tc>
      </w:tr>
    </w:tbl>
    <w:p w14:paraId="2D14E997" w14:textId="77777777" w:rsidR="00095358" w:rsidRPr="00B35E47" w:rsidRDefault="00095358" w:rsidP="00095358">
      <w:pPr>
        <w:widowControl w:val="0"/>
        <w:spacing w:after="24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a</w:t>
      </w:r>
      <w:r w:rsidRPr="00B35E47">
        <w:rPr>
          <w:rFonts w:ascii="Arial Narrow" w:hAnsi="Arial Narrow" w:cs="Arial"/>
          <w:snapToGrid w:val="0"/>
          <w:sz w:val="18"/>
          <w:szCs w:val="20"/>
          <w:lang w:eastAsia="en-US"/>
        </w:rPr>
        <w:t xml:space="preserve"> scheduled fee multiplied by 85% (96%) and 75% (4%) MBS rebate</w:t>
      </w:r>
    </w:p>
    <w:p w14:paraId="16520313" w14:textId="16F59746" w:rsidR="00095358" w:rsidRDefault="00095358" w:rsidP="00095358">
      <w:pPr>
        <w:widowControl w:val="0"/>
        <w:spacing w:after="24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MBS = Medicare Benefits Schedule</w:t>
      </w:r>
    </w:p>
    <w:p w14:paraId="66B90409" w14:textId="77777777" w:rsidR="00665317" w:rsidRPr="00B35E47" w:rsidRDefault="00665317" w:rsidP="00665317">
      <w:pPr>
        <w:rPr>
          <w:snapToGrid w:val="0"/>
          <w:lang w:eastAsia="en-US"/>
        </w:rPr>
      </w:pPr>
    </w:p>
    <w:p w14:paraId="634CB2BD" w14:textId="77777777" w:rsidR="00095358" w:rsidRPr="00B35E47" w:rsidRDefault="00095358" w:rsidP="00095358">
      <w:pPr>
        <w:pStyle w:val="Heading2"/>
      </w:pPr>
      <w:bookmarkStart w:id="570" w:name="_Toc379118302"/>
      <w:bookmarkStart w:id="571" w:name="_Toc381796485"/>
      <w:bookmarkStart w:id="572" w:name="_Toc432677422"/>
      <w:bookmarkStart w:id="573" w:name="_Toc38031976"/>
      <w:bookmarkStart w:id="574" w:name="_Toc39588383"/>
      <w:r>
        <w:t>E4</w:t>
      </w:r>
      <w:r>
        <w:tab/>
      </w:r>
      <w:r w:rsidRPr="00B35E47">
        <w:t>Financial Implications for the MBS</w:t>
      </w:r>
      <w:bookmarkEnd w:id="570"/>
      <w:bookmarkEnd w:id="571"/>
      <w:bookmarkEnd w:id="572"/>
      <w:bookmarkEnd w:id="573"/>
      <w:bookmarkEnd w:id="574"/>
      <w:r w:rsidRPr="00B35E47">
        <w:t xml:space="preserve"> </w:t>
      </w:r>
    </w:p>
    <w:p w14:paraId="1071D767" w14:textId="77777777" w:rsidR="00095358" w:rsidRPr="00B35E47" w:rsidRDefault="00095358" w:rsidP="00095358">
      <w:r w:rsidRPr="00B35E47">
        <w:t xml:space="preserve">The financial implications to the MBS resulting from the proposed listing of NMOSD-Ab testing are summarised in </w:t>
      </w:r>
      <w:r w:rsidRPr="00B35E47">
        <w:fldChar w:fldCharType="begin"/>
      </w:r>
      <w:r w:rsidRPr="00B35E47">
        <w:instrText xml:space="preserve"> REF _Ref395200179 \h  \* MERGEFORMAT </w:instrText>
      </w:r>
      <w:r w:rsidRPr="00B35E47">
        <w:fldChar w:fldCharType="separate"/>
      </w:r>
      <w:r w:rsidR="006E2BA9" w:rsidRPr="00B35E47">
        <w:t xml:space="preserve">Table </w:t>
      </w:r>
      <w:r w:rsidR="006E2BA9">
        <w:rPr>
          <w:noProof/>
        </w:rPr>
        <w:t>92</w:t>
      </w:r>
      <w:r w:rsidRPr="00B35E47">
        <w:fldChar w:fldCharType="end"/>
      </w:r>
      <w:r w:rsidRPr="00B35E47">
        <w:t>. It is estimated that the proposed MBS listing of NMOSD-Ab testing will result in net cost to the MBS of $141,000 in first year increasing to $311,000 in the fifth year.</w:t>
      </w:r>
    </w:p>
    <w:p w14:paraId="7A613C9E" w14:textId="3CFC334C" w:rsidR="00095358" w:rsidRPr="00B35E47" w:rsidRDefault="00095358" w:rsidP="00095358">
      <w:pPr>
        <w:pStyle w:val="Caption"/>
      </w:pPr>
      <w:bookmarkStart w:id="575" w:name="_Ref395200179"/>
      <w:bookmarkStart w:id="576" w:name="_Toc432677306"/>
      <w:bookmarkStart w:id="577" w:name="_Toc36054865"/>
      <w:bookmarkStart w:id="578" w:name="_Toc39580873"/>
      <w:r w:rsidRPr="00B35E47">
        <w:t xml:space="preserve">Table </w:t>
      </w:r>
      <w:fldSimple w:instr=" SEQ Table \* ARABIC ">
        <w:r w:rsidR="00FA7BCD">
          <w:rPr>
            <w:noProof/>
          </w:rPr>
          <w:t>92</w:t>
        </w:r>
      </w:fldSimple>
      <w:bookmarkEnd w:id="575"/>
      <w:r w:rsidRPr="00B35E47">
        <w:tab/>
        <w:t xml:space="preserve">Total costs to the MBS associated with </w:t>
      </w:r>
      <w:bookmarkEnd w:id="576"/>
      <w:r w:rsidRPr="00B35E47">
        <w:t>NMOSD-Ab testing</w:t>
      </w:r>
      <w:bookmarkEnd w:id="577"/>
      <w:bookmarkEnd w:id="578"/>
    </w:p>
    <w:tbl>
      <w:tblPr>
        <w:tblStyle w:val="TableGrid1"/>
        <w:tblW w:w="4877" w:type="pct"/>
        <w:tblLook w:val="04A0" w:firstRow="1" w:lastRow="0" w:firstColumn="1" w:lastColumn="0" w:noHBand="0" w:noVBand="1"/>
        <w:tblCaption w:val="Table 25 Total costs to the MBS associated with XXX"/>
        <w:tblDescription w:val="This table provides a summary of the financial impact of the proposed new medical service over the next five years."/>
      </w:tblPr>
      <w:tblGrid>
        <w:gridCol w:w="2156"/>
        <w:gridCol w:w="1328"/>
        <w:gridCol w:w="1328"/>
        <w:gridCol w:w="1328"/>
        <w:gridCol w:w="1328"/>
        <w:gridCol w:w="1326"/>
      </w:tblGrid>
      <w:tr w:rsidR="00095358" w:rsidRPr="00B35E47" w14:paraId="58808AEC" w14:textId="77777777" w:rsidTr="00095358">
        <w:trPr>
          <w:cnfStyle w:val="100000000000" w:firstRow="1" w:lastRow="0" w:firstColumn="0" w:lastColumn="0" w:oddVBand="0" w:evenVBand="0" w:oddHBand="0" w:evenHBand="0" w:firstRowFirstColumn="0" w:firstRowLastColumn="0" w:lastRowFirstColumn="0" w:lastRowLastColumn="0"/>
          <w:trHeight w:val="300"/>
          <w:tblHeader/>
        </w:trPr>
        <w:tc>
          <w:tcPr>
            <w:tcW w:w="1226" w:type="pct"/>
            <w:tcBorders>
              <w:bottom w:val="single" w:sz="4" w:space="0" w:color="auto"/>
            </w:tcBorders>
            <w:shd w:val="clear" w:color="auto" w:fill="auto"/>
            <w:vAlign w:val="center"/>
          </w:tcPr>
          <w:p w14:paraId="7F5F6E0F" w14:textId="77777777" w:rsidR="00095358" w:rsidRPr="00B35E47" w:rsidRDefault="00095358" w:rsidP="00095358">
            <w:pPr>
              <w:keepNext/>
              <w:jc w:val="center"/>
              <w:rPr>
                <w:rFonts w:ascii="Arial Narrow" w:hAnsi="Arial Narrow"/>
                <w:b/>
                <w:lang w:eastAsia="en-US"/>
              </w:rPr>
            </w:pPr>
            <w:r w:rsidRPr="00B35E47">
              <w:rPr>
                <w:rFonts w:ascii="Arial Narrow" w:hAnsi="Arial Narrow"/>
                <w:b/>
                <w:color w:val="FFFFFF" w:themeColor="background1"/>
                <w:lang w:eastAsia="en-US"/>
              </w:rPr>
              <w:t>-</w:t>
            </w:r>
          </w:p>
        </w:tc>
        <w:tc>
          <w:tcPr>
            <w:tcW w:w="755" w:type="pct"/>
            <w:tcBorders>
              <w:bottom w:val="single" w:sz="4" w:space="0" w:color="auto"/>
            </w:tcBorders>
            <w:vAlign w:val="center"/>
          </w:tcPr>
          <w:p w14:paraId="0B0E2E9D"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2020–21</w:t>
            </w:r>
          </w:p>
        </w:tc>
        <w:tc>
          <w:tcPr>
            <w:tcW w:w="755" w:type="pct"/>
            <w:tcBorders>
              <w:bottom w:val="single" w:sz="4" w:space="0" w:color="auto"/>
            </w:tcBorders>
            <w:shd w:val="clear" w:color="auto" w:fill="auto"/>
            <w:vAlign w:val="center"/>
          </w:tcPr>
          <w:p w14:paraId="3A1EE592"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2021–22</w:t>
            </w:r>
          </w:p>
        </w:tc>
        <w:tc>
          <w:tcPr>
            <w:tcW w:w="755" w:type="pct"/>
            <w:tcBorders>
              <w:bottom w:val="single" w:sz="4" w:space="0" w:color="auto"/>
            </w:tcBorders>
            <w:shd w:val="clear" w:color="auto" w:fill="auto"/>
            <w:vAlign w:val="center"/>
          </w:tcPr>
          <w:p w14:paraId="4E59F625"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2022–23</w:t>
            </w:r>
          </w:p>
        </w:tc>
        <w:tc>
          <w:tcPr>
            <w:tcW w:w="755" w:type="pct"/>
            <w:tcBorders>
              <w:bottom w:val="single" w:sz="4" w:space="0" w:color="auto"/>
            </w:tcBorders>
            <w:shd w:val="clear" w:color="auto" w:fill="auto"/>
            <w:vAlign w:val="center"/>
          </w:tcPr>
          <w:p w14:paraId="6C44B6B1"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2023–24</w:t>
            </w:r>
          </w:p>
        </w:tc>
        <w:tc>
          <w:tcPr>
            <w:tcW w:w="754" w:type="pct"/>
            <w:tcBorders>
              <w:bottom w:val="single" w:sz="4" w:space="0" w:color="auto"/>
            </w:tcBorders>
            <w:shd w:val="clear" w:color="auto" w:fill="auto"/>
            <w:vAlign w:val="center"/>
          </w:tcPr>
          <w:p w14:paraId="2321888F"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2024–25</w:t>
            </w:r>
          </w:p>
        </w:tc>
      </w:tr>
      <w:tr w:rsidR="00095358" w:rsidRPr="00B35E47" w14:paraId="4F9D98E2" w14:textId="77777777" w:rsidTr="00095358">
        <w:trPr>
          <w:trHeight w:val="300"/>
        </w:trPr>
        <w:tc>
          <w:tcPr>
            <w:tcW w:w="1226" w:type="pct"/>
            <w:tcBorders>
              <w:bottom w:val="single" w:sz="4" w:space="0" w:color="auto"/>
              <w:right w:val="nil"/>
            </w:tcBorders>
            <w:shd w:val="clear" w:color="auto" w:fill="auto"/>
          </w:tcPr>
          <w:p w14:paraId="565E69AF" w14:textId="77777777" w:rsidR="00095358" w:rsidRPr="00B35E47" w:rsidRDefault="00095358" w:rsidP="00095358">
            <w:pPr>
              <w:contextualSpacing/>
              <w:jc w:val="left"/>
              <w:rPr>
                <w:rFonts w:ascii="Arial Narrow" w:hAnsi="Arial Narrow"/>
                <w:b/>
                <w:highlight w:val="cyan"/>
                <w:lang w:eastAsia="en-US"/>
              </w:rPr>
            </w:pPr>
            <w:r w:rsidRPr="00B35E47">
              <w:rPr>
                <w:rFonts w:ascii="Arial Narrow" w:hAnsi="Arial Narrow"/>
                <w:b/>
                <w:lang w:eastAsia="en-US"/>
              </w:rPr>
              <w:t>Proposed test</w:t>
            </w:r>
          </w:p>
        </w:tc>
        <w:tc>
          <w:tcPr>
            <w:tcW w:w="755" w:type="pct"/>
            <w:tcBorders>
              <w:left w:val="nil"/>
              <w:bottom w:val="single" w:sz="4" w:space="0" w:color="auto"/>
              <w:right w:val="nil"/>
            </w:tcBorders>
          </w:tcPr>
          <w:p w14:paraId="7F093244" w14:textId="77777777" w:rsidR="00095358" w:rsidRPr="00B35E47" w:rsidRDefault="00095358" w:rsidP="00095358">
            <w:pPr>
              <w:contextualSpacing/>
              <w:jc w:val="left"/>
              <w:rPr>
                <w:rFonts w:ascii="Arial Narrow" w:hAnsi="Arial Narrow"/>
                <w:b/>
                <w:color w:val="FFFFFF" w:themeColor="background1"/>
                <w:lang w:eastAsia="en-US"/>
              </w:rPr>
            </w:pPr>
          </w:p>
        </w:tc>
        <w:tc>
          <w:tcPr>
            <w:tcW w:w="755" w:type="pct"/>
            <w:tcBorders>
              <w:left w:val="nil"/>
              <w:bottom w:val="single" w:sz="4" w:space="0" w:color="auto"/>
              <w:right w:val="nil"/>
            </w:tcBorders>
            <w:shd w:val="clear" w:color="auto" w:fill="auto"/>
          </w:tcPr>
          <w:p w14:paraId="1EDA56C9" w14:textId="77777777" w:rsidR="00095358" w:rsidRPr="00B35E47" w:rsidRDefault="00095358" w:rsidP="00095358">
            <w:pPr>
              <w:contextualSpacing/>
              <w:jc w:val="left"/>
              <w:rPr>
                <w:rFonts w:ascii="Arial Narrow" w:hAnsi="Arial Narrow"/>
                <w:b/>
                <w:color w:val="FFFFFF" w:themeColor="background1"/>
                <w:lang w:eastAsia="en-US"/>
              </w:rPr>
            </w:pPr>
          </w:p>
        </w:tc>
        <w:tc>
          <w:tcPr>
            <w:tcW w:w="755" w:type="pct"/>
            <w:tcBorders>
              <w:left w:val="nil"/>
              <w:bottom w:val="single" w:sz="4" w:space="0" w:color="auto"/>
              <w:right w:val="nil"/>
            </w:tcBorders>
            <w:shd w:val="clear" w:color="auto" w:fill="auto"/>
          </w:tcPr>
          <w:p w14:paraId="39402F11" w14:textId="77777777" w:rsidR="00095358" w:rsidRPr="00B35E47" w:rsidRDefault="00095358" w:rsidP="00095358">
            <w:pPr>
              <w:contextualSpacing/>
              <w:jc w:val="left"/>
              <w:rPr>
                <w:rFonts w:ascii="Arial Narrow" w:hAnsi="Arial Narrow"/>
                <w:b/>
                <w:color w:val="FFFFFF" w:themeColor="background1"/>
                <w:lang w:eastAsia="en-US"/>
              </w:rPr>
            </w:pPr>
          </w:p>
        </w:tc>
        <w:tc>
          <w:tcPr>
            <w:tcW w:w="755" w:type="pct"/>
            <w:tcBorders>
              <w:left w:val="nil"/>
              <w:bottom w:val="single" w:sz="4" w:space="0" w:color="auto"/>
              <w:right w:val="nil"/>
            </w:tcBorders>
            <w:shd w:val="clear" w:color="auto" w:fill="auto"/>
          </w:tcPr>
          <w:p w14:paraId="6E5A750B" w14:textId="77777777" w:rsidR="00095358" w:rsidRPr="00B35E47" w:rsidRDefault="00095358" w:rsidP="00095358">
            <w:pPr>
              <w:contextualSpacing/>
              <w:jc w:val="left"/>
              <w:rPr>
                <w:rFonts w:ascii="Arial Narrow" w:hAnsi="Arial Narrow"/>
                <w:b/>
                <w:color w:val="FFFFFF" w:themeColor="background1"/>
                <w:lang w:eastAsia="en-US"/>
              </w:rPr>
            </w:pPr>
          </w:p>
        </w:tc>
        <w:tc>
          <w:tcPr>
            <w:tcW w:w="754" w:type="pct"/>
            <w:tcBorders>
              <w:left w:val="nil"/>
              <w:bottom w:val="single" w:sz="4" w:space="0" w:color="auto"/>
              <w:right w:val="single" w:sz="4" w:space="0" w:color="auto"/>
            </w:tcBorders>
            <w:shd w:val="clear" w:color="auto" w:fill="auto"/>
          </w:tcPr>
          <w:p w14:paraId="1F4906FB" w14:textId="77777777" w:rsidR="00095358" w:rsidRPr="00B35E47" w:rsidRDefault="00095358" w:rsidP="00095358">
            <w:pPr>
              <w:contextualSpacing/>
              <w:jc w:val="left"/>
              <w:rPr>
                <w:rFonts w:ascii="Arial Narrow" w:hAnsi="Arial Narrow"/>
                <w:b/>
                <w:color w:val="FFFFFF" w:themeColor="background1"/>
                <w:lang w:eastAsia="en-US"/>
              </w:rPr>
            </w:pPr>
          </w:p>
        </w:tc>
      </w:tr>
      <w:tr w:rsidR="00095358" w:rsidRPr="00B35E47" w14:paraId="0780FABA" w14:textId="77777777" w:rsidTr="00095358">
        <w:trPr>
          <w:trHeight w:val="300"/>
        </w:trPr>
        <w:tc>
          <w:tcPr>
            <w:tcW w:w="1226" w:type="pct"/>
            <w:tcBorders>
              <w:right w:val="single" w:sz="4" w:space="0" w:color="auto"/>
            </w:tcBorders>
            <w:shd w:val="clear" w:color="auto" w:fill="auto"/>
          </w:tcPr>
          <w:p w14:paraId="6BFEFDCD" w14:textId="77777777" w:rsidR="00095358" w:rsidRPr="00B35E47" w:rsidRDefault="00095358" w:rsidP="00095358">
            <w:pPr>
              <w:contextualSpacing/>
              <w:jc w:val="left"/>
              <w:rPr>
                <w:rFonts w:ascii="Arial Narrow" w:hAnsi="Arial Narrow"/>
                <w:highlight w:val="cyan"/>
                <w:lang w:eastAsia="en-US"/>
              </w:rPr>
            </w:pPr>
            <w:r w:rsidRPr="00B35E47">
              <w:rPr>
                <w:rFonts w:ascii="Arial Narrow" w:hAnsi="Arial Narrow"/>
                <w:lang w:eastAsia="en-US"/>
              </w:rPr>
              <w:t>Number of services</w:t>
            </w:r>
          </w:p>
        </w:tc>
        <w:tc>
          <w:tcPr>
            <w:tcW w:w="755" w:type="pct"/>
            <w:tcBorders>
              <w:left w:val="single" w:sz="4" w:space="0" w:color="auto"/>
              <w:right w:val="single" w:sz="4" w:space="0" w:color="auto"/>
            </w:tcBorders>
            <w:vAlign w:val="center"/>
          </w:tcPr>
          <w:p w14:paraId="305B8A4C"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lang w:eastAsia="en-US"/>
              </w:rPr>
              <w:t>10,122</w:t>
            </w:r>
          </w:p>
        </w:tc>
        <w:tc>
          <w:tcPr>
            <w:tcW w:w="755" w:type="pct"/>
            <w:tcBorders>
              <w:left w:val="single" w:sz="4" w:space="0" w:color="auto"/>
              <w:right w:val="single" w:sz="4" w:space="0" w:color="auto"/>
            </w:tcBorders>
            <w:shd w:val="clear" w:color="auto" w:fill="auto"/>
            <w:vAlign w:val="center"/>
          </w:tcPr>
          <w:p w14:paraId="42D563F2"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lang w:eastAsia="en-US"/>
              </w:rPr>
              <w:t>11,641</w:t>
            </w:r>
          </w:p>
        </w:tc>
        <w:tc>
          <w:tcPr>
            <w:tcW w:w="755" w:type="pct"/>
            <w:tcBorders>
              <w:left w:val="single" w:sz="4" w:space="0" w:color="auto"/>
              <w:right w:val="single" w:sz="4" w:space="0" w:color="auto"/>
            </w:tcBorders>
            <w:shd w:val="clear" w:color="auto" w:fill="auto"/>
            <w:vAlign w:val="center"/>
          </w:tcPr>
          <w:p w14:paraId="0F6808B1"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lang w:eastAsia="en-US"/>
              </w:rPr>
              <w:t>13,387</w:t>
            </w:r>
          </w:p>
        </w:tc>
        <w:tc>
          <w:tcPr>
            <w:tcW w:w="755" w:type="pct"/>
            <w:tcBorders>
              <w:left w:val="single" w:sz="4" w:space="0" w:color="auto"/>
              <w:right w:val="single" w:sz="4" w:space="0" w:color="auto"/>
            </w:tcBorders>
            <w:shd w:val="clear" w:color="auto" w:fill="auto"/>
            <w:vAlign w:val="center"/>
          </w:tcPr>
          <w:p w14:paraId="2522369C"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lang w:eastAsia="en-US"/>
              </w:rPr>
              <w:t>15,395</w:t>
            </w:r>
          </w:p>
        </w:tc>
        <w:tc>
          <w:tcPr>
            <w:tcW w:w="754" w:type="pct"/>
            <w:tcBorders>
              <w:left w:val="single" w:sz="4" w:space="0" w:color="auto"/>
              <w:right w:val="single" w:sz="4" w:space="0" w:color="auto"/>
            </w:tcBorders>
            <w:shd w:val="clear" w:color="auto" w:fill="auto"/>
            <w:vAlign w:val="center"/>
          </w:tcPr>
          <w:p w14:paraId="2C95BD04"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lang w:eastAsia="en-US"/>
              </w:rPr>
              <w:t>17,704</w:t>
            </w:r>
          </w:p>
        </w:tc>
      </w:tr>
      <w:tr w:rsidR="00095358" w:rsidRPr="00B35E47" w14:paraId="22F4DE61" w14:textId="77777777" w:rsidTr="00095358">
        <w:trPr>
          <w:trHeight w:val="300"/>
        </w:trPr>
        <w:tc>
          <w:tcPr>
            <w:tcW w:w="1226" w:type="pct"/>
            <w:tcBorders>
              <w:right w:val="single" w:sz="4" w:space="0" w:color="auto"/>
            </w:tcBorders>
            <w:shd w:val="clear" w:color="auto" w:fill="auto"/>
          </w:tcPr>
          <w:p w14:paraId="7A1F74DA" w14:textId="77777777" w:rsidR="00095358" w:rsidRPr="00B35E47" w:rsidRDefault="00095358" w:rsidP="00095358">
            <w:pPr>
              <w:contextualSpacing/>
              <w:jc w:val="left"/>
              <w:rPr>
                <w:rFonts w:ascii="Arial Narrow" w:hAnsi="Arial Narrow"/>
                <w:highlight w:val="cyan"/>
                <w:lang w:eastAsia="en-US"/>
              </w:rPr>
            </w:pPr>
            <w:r w:rsidRPr="00B35E47">
              <w:rPr>
                <w:rFonts w:ascii="Arial Narrow" w:hAnsi="Arial Narrow"/>
                <w:lang w:eastAsia="en-US"/>
              </w:rPr>
              <w:t>Cost to the MBS</w:t>
            </w:r>
          </w:p>
        </w:tc>
        <w:tc>
          <w:tcPr>
            <w:tcW w:w="755" w:type="pct"/>
            <w:tcBorders>
              <w:left w:val="single" w:sz="4" w:space="0" w:color="auto"/>
              <w:right w:val="single" w:sz="4" w:space="0" w:color="auto"/>
            </w:tcBorders>
            <w:vAlign w:val="bottom"/>
          </w:tcPr>
          <w:p w14:paraId="23D2D3BF"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cs="Calibri"/>
                <w:color w:val="000000"/>
                <w:lang w:eastAsia="en-US"/>
              </w:rPr>
              <w:t>$368,230</w:t>
            </w:r>
          </w:p>
        </w:tc>
        <w:tc>
          <w:tcPr>
            <w:tcW w:w="755" w:type="pct"/>
            <w:tcBorders>
              <w:left w:val="single" w:sz="4" w:space="0" w:color="auto"/>
              <w:right w:val="single" w:sz="4" w:space="0" w:color="auto"/>
            </w:tcBorders>
            <w:shd w:val="clear" w:color="auto" w:fill="auto"/>
            <w:vAlign w:val="bottom"/>
          </w:tcPr>
          <w:p w14:paraId="6A12064C"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cs="Calibri"/>
                <w:color w:val="000000"/>
                <w:lang w:eastAsia="en-US"/>
              </w:rPr>
              <w:t>$423,465</w:t>
            </w:r>
          </w:p>
        </w:tc>
        <w:tc>
          <w:tcPr>
            <w:tcW w:w="755" w:type="pct"/>
            <w:tcBorders>
              <w:left w:val="single" w:sz="4" w:space="0" w:color="auto"/>
              <w:right w:val="single" w:sz="4" w:space="0" w:color="auto"/>
            </w:tcBorders>
            <w:shd w:val="clear" w:color="auto" w:fill="auto"/>
            <w:vAlign w:val="bottom"/>
          </w:tcPr>
          <w:p w14:paraId="50888F7D"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cs="Calibri"/>
                <w:color w:val="000000"/>
                <w:lang w:eastAsia="en-US"/>
              </w:rPr>
              <w:t>$486,984</w:t>
            </w:r>
          </w:p>
        </w:tc>
        <w:tc>
          <w:tcPr>
            <w:tcW w:w="755" w:type="pct"/>
            <w:tcBorders>
              <w:left w:val="single" w:sz="4" w:space="0" w:color="auto"/>
              <w:bottom w:val="single" w:sz="4" w:space="0" w:color="auto"/>
              <w:right w:val="single" w:sz="4" w:space="0" w:color="auto"/>
            </w:tcBorders>
            <w:shd w:val="clear" w:color="auto" w:fill="auto"/>
            <w:vAlign w:val="bottom"/>
          </w:tcPr>
          <w:p w14:paraId="21F58E3F"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cs="Calibri"/>
                <w:color w:val="000000"/>
                <w:lang w:eastAsia="en-US"/>
              </w:rPr>
              <w:t>$560,032</w:t>
            </w:r>
          </w:p>
        </w:tc>
        <w:tc>
          <w:tcPr>
            <w:tcW w:w="754" w:type="pct"/>
            <w:tcBorders>
              <w:left w:val="single" w:sz="4" w:space="0" w:color="auto"/>
              <w:bottom w:val="single" w:sz="4" w:space="0" w:color="auto"/>
              <w:right w:val="single" w:sz="4" w:space="0" w:color="auto"/>
            </w:tcBorders>
            <w:shd w:val="clear" w:color="auto" w:fill="auto"/>
            <w:vAlign w:val="bottom"/>
          </w:tcPr>
          <w:p w14:paraId="645EC693"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cs="Calibri"/>
                <w:color w:val="000000"/>
                <w:lang w:eastAsia="en-US"/>
              </w:rPr>
              <w:t>$644,037</w:t>
            </w:r>
          </w:p>
        </w:tc>
      </w:tr>
      <w:tr w:rsidR="00095358" w:rsidRPr="00B35E47" w14:paraId="0B57C1F6" w14:textId="77777777" w:rsidTr="00095358">
        <w:trPr>
          <w:trHeight w:val="300"/>
        </w:trPr>
        <w:tc>
          <w:tcPr>
            <w:tcW w:w="1226" w:type="pct"/>
            <w:tcBorders>
              <w:right w:val="nil"/>
            </w:tcBorders>
            <w:shd w:val="clear" w:color="auto" w:fill="auto"/>
          </w:tcPr>
          <w:p w14:paraId="2703F513" w14:textId="77777777" w:rsidR="00095358" w:rsidRPr="00B35E47" w:rsidRDefault="00095358" w:rsidP="00095358">
            <w:pPr>
              <w:contextualSpacing/>
              <w:jc w:val="left"/>
              <w:rPr>
                <w:rFonts w:ascii="Arial Narrow" w:hAnsi="Arial Narrow"/>
                <w:b/>
                <w:lang w:eastAsia="en-US"/>
              </w:rPr>
            </w:pPr>
            <w:r w:rsidRPr="00B35E47">
              <w:rPr>
                <w:rFonts w:ascii="Arial Narrow" w:hAnsi="Arial Narrow"/>
                <w:b/>
                <w:lang w:eastAsia="en-US"/>
              </w:rPr>
              <w:t>MBS services offset</w:t>
            </w:r>
          </w:p>
        </w:tc>
        <w:tc>
          <w:tcPr>
            <w:tcW w:w="755" w:type="pct"/>
            <w:tcBorders>
              <w:left w:val="nil"/>
              <w:right w:val="nil"/>
            </w:tcBorders>
            <w:vAlign w:val="center"/>
          </w:tcPr>
          <w:p w14:paraId="5DDD9877"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b/>
                <w:color w:val="FFFFFF" w:themeColor="background1"/>
                <w:lang w:eastAsia="en-US"/>
              </w:rPr>
              <w:t>-</w:t>
            </w:r>
          </w:p>
        </w:tc>
        <w:tc>
          <w:tcPr>
            <w:tcW w:w="755" w:type="pct"/>
            <w:tcBorders>
              <w:left w:val="nil"/>
              <w:right w:val="nil"/>
            </w:tcBorders>
            <w:shd w:val="clear" w:color="auto" w:fill="auto"/>
            <w:vAlign w:val="center"/>
          </w:tcPr>
          <w:p w14:paraId="192F00C6"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b/>
                <w:color w:val="FFFFFF" w:themeColor="background1"/>
                <w:lang w:eastAsia="en-US"/>
              </w:rPr>
              <w:t>-</w:t>
            </w:r>
          </w:p>
        </w:tc>
        <w:tc>
          <w:tcPr>
            <w:tcW w:w="755" w:type="pct"/>
            <w:tcBorders>
              <w:left w:val="nil"/>
              <w:right w:val="nil"/>
            </w:tcBorders>
            <w:shd w:val="clear" w:color="auto" w:fill="auto"/>
            <w:vAlign w:val="center"/>
          </w:tcPr>
          <w:p w14:paraId="3B3D62DA"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b/>
                <w:color w:val="FFFFFF" w:themeColor="background1"/>
                <w:lang w:eastAsia="en-US"/>
              </w:rPr>
              <w:t>-</w:t>
            </w:r>
          </w:p>
        </w:tc>
        <w:tc>
          <w:tcPr>
            <w:tcW w:w="755" w:type="pct"/>
            <w:tcBorders>
              <w:left w:val="nil"/>
              <w:right w:val="nil"/>
            </w:tcBorders>
            <w:shd w:val="clear" w:color="auto" w:fill="auto"/>
            <w:vAlign w:val="center"/>
          </w:tcPr>
          <w:p w14:paraId="3D062481"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b/>
                <w:color w:val="FFFFFF" w:themeColor="background1"/>
                <w:lang w:eastAsia="en-US"/>
              </w:rPr>
              <w:t>-</w:t>
            </w:r>
          </w:p>
        </w:tc>
        <w:tc>
          <w:tcPr>
            <w:tcW w:w="754" w:type="pct"/>
            <w:tcBorders>
              <w:left w:val="nil"/>
              <w:right w:val="single" w:sz="4" w:space="0" w:color="auto"/>
            </w:tcBorders>
            <w:shd w:val="clear" w:color="auto" w:fill="auto"/>
            <w:vAlign w:val="center"/>
          </w:tcPr>
          <w:p w14:paraId="2FB34480" w14:textId="77777777" w:rsidR="00095358" w:rsidRPr="00B35E47" w:rsidRDefault="00095358" w:rsidP="00095358">
            <w:pPr>
              <w:contextualSpacing/>
              <w:jc w:val="right"/>
              <w:rPr>
                <w:rFonts w:ascii="Arial Narrow" w:hAnsi="Arial Narrow"/>
                <w:b/>
                <w:color w:val="FFFFFF" w:themeColor="background1"/>
                <w:lang w:eastAsia="en-US"/>
              </w:rPr>
            </w:pPr>
            <w:r w:rsidRPr="00B35E47">
              <w:rPr>
                <w:rFonts w:ascii="Arial Narrow" w:hAnsi="Arial Narrow"/>
                <w:b/>
                <w:color w:val="FFFFFF" w:themeColor="background1"/>
                <w:lang w:eastAsia="en-US"/>
              </w:rPr>
              <w:t>-</w:t>
            </w:r>
          </w:p>
        </w:tc>
      </w:tr>
      <w:tr w:rsidR="00095358" w:rsidRPr="00B35E47" w14:paraId="735C02A5" w14:textId="77777777" w:rsidTr="00095358">
        <w:trPr>
          <w:trHeight w:val="300"/>
        </w:trPr>
        <w:tc>
          <w:tcPr>
            <w:tcW w:w="1226" w:type="pct"/>
            <w:shd w:val="clear" w:color="auto" w:fill="auto"/>
          </w:tcPr>
          <w:p w14:paraId="40B8BD94"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Number of services</w:t>
            </w:r>
          </w:p>
        </w:tc>
        <w:tc>
          <w:tcPr>
            <w:tcW w:w="755" w:type="pct"/>
            <w:vAlign w:val="center"/>
          </w:tcPr>
          <w:p w14:paraId="0A4DADFC"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9,205</w:t>
            </w:r>
          </w:p>
        </w:tc>
        <w:tc>
          <w:tcPr>
            <w:tcW w:w="755" w:type="pct"/>
            <w:shd w:val="clear" w:color="auto" w:fill="auto"/>
            <w:vAlign w:val="center"/>
          </w:tcPr>
          <w:p w14:paraId="61186081"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10,125</w:t>
            </w:r>
          </w:p>
        </w:tc>
        <w:tc>
          <w:tcPr>
            <w:tcW w:w="755" w:type="pct"/>
            <w:shd w:val="clear" w:color="auto" w:fill="auto"/>
            <w:vAlign w:val="center"/>
          </w:tcPr>
          <w:p w14:paraId="7F3B2B65"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11,138</w:t>
            </w:r>
          </w:p>
        </w:tc>
        <w:tc>
          <w:tcPr>
            <w:tcW w:w="755" w:type="pct"/>
            <w:shd w:val="clear" w:color="auto" w:fill="auto"/>
            <w:vAlign w:val="center"/>
          </w:tcPr>
          <w:p w14:paraId="1BFCCF8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12,251</w:t>
            </w:r>
          </w:p>
        </w:tc>
        <w:tc>
          <w:tcPr>
            <w:tcW w:w="754" w:type="pct"/>
            <w:shd w:val="clear" w:color="auto" w:fill="auto"/>
            <w:vAlign w:val="center"/>
          </w:tcPr>
          <w:p w14:paraId="4CB2686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13,477</w:t>
            </w:r>
          </w:p>
        </w:tc>
      </w:tr>
      <w:tr w:rsidR="00095358" w:rsidRPr="00B35E47" w14:paraId="084680BA" w14:textId="77777777" w:rsidTr="00095358">
        <w:trPr>
          <w:trHeight w:val="315"/>
        </w:trPr>
        <w:tc>
          <w:tcPr>
            <w:tcW w:w="1226" w:type="pct"/>
            <w:tcBorders>
              <w:bottom w:val="single" w:sz="4" w:space="0" w:color="auto"/>
            </w:tcBorders>
            <w:shd w:val="clear" w:color="auto" w:fill="auto"/>
          </w:tcPr>
          <w:p w14:paraId="2BDE5BDE"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Cost to the MBS</w:t>
            </w:r>
          </w:p>
        </w:tc>
        <w:tc>
          <w:tcPr>
            <w:tcW w:w="755" w:type="pct"/>
            <w:tcBorders>
              <w:bottom w:val="single" w:sz="4" w:space="0" w:color="auto"/>
            </w:tcBorders>
            <w:vAlign w:val="bottom"/>
          </w:tcPr>
          <w:p w14:paraId="0C772B1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$227,422</w:t>
            </w:r>
          </w:p>
        </w:tc>
        <w:tc>
          <w:tcPr>
            <w:tcW w:w="755" w:type="pct"/>
            <w:tcBorders>
              <w:bottom w:val="single" w:sz="4" w:space="0" w:color="auto"/>
            </w:tcBorders>
            <w:shd w:val="clear" w:color="auto" w:fill="auto"/>
            <w:vAlign w:val="bottom"/>
          </w:tcPr>
          <w:p w14:paraId="52BCEA3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$250,165</w:t>
            </w:r>
          </w:p>
        </w:tc>
        <w:tc>
          <w:tcPr>
            <w:tcW w:w="755" w:type="pct"/>
            <w:tcBorders>
              <w:bottom w:val="single" w:sz="4" w:space="0" w:color="auto"/>
            </w:tcBorders>
            <w:shd w:val="clear" w:color="auto" w:fill="auto"/>
            <w:vAlign w:val="bottom"/>
          </w:tcPr>
          <w:p w14:paraId="34725085"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$275,181</w:t>
            </w:r>
          </w:p>
        </w:tc>
        <w:tc>
          <w:tcPr>
            <w:tcW w:w="755" w:type="pct"/>
            <w:tcBorders>
              <w:bottom w:val="single" w:sz="4" w:space="0" w:color="auto"/>
            </w:tcBorders>
            <w:shd w:val="clear" w:color="auto" w:fill="auto"/>
            <w:vAlign w:val="bottom"/>
          </w:tcPr>
          <w:p w14:paraId="2087C08E"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$302,699</w:t>
            </w:r>
          </w:p>
        </w:tc>
        <w:tc>
          <w:tcPr>
            <w:tcW w:w="754" w:type="pct"/>
            <w:tcBorders>
              <w:bottom w:val="single" w:sz="4" w:space="0" w:color="auto"/>
            </w:tcBorders>
            <w:shd w:val="clear" w:color="auto" w:fill="auto"/>
            <w:vAlign w:val="bottom"/>
          </w:tcPr>
          <w:p w14:paraId="12F2D0F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$332,969</w:t>
            </w:r>
          </w:p>
        </w:tc>
      </w:tr>
      <w:tr w:rsidR="00095358" w:rsidRPr="00B35E47" w14:paraId="6910E652" w14:textId="77777777" w:rsidTr="00095358">
        <w:trPr>
          <w:trHeight w:val="315"/>
        </w:trPr>
        <w:tc>
          <w:tcPr>
            <w:tcW w:w="1226" w:type="pct"/>
            <w:shd w:val="clear" w:color="auto" w:fill="auto"/>
          </w:tcPr>
          <w:p w14:paraId="13C50483" w14:textId="77777777" w:rsidR="00095358" w:rsidRPr="00B35E47" w:rsidRDefault="00095358" w:rsidP="00095358">
            <w:pPr>
              <w:contextualSpacing/>
              <w:jc w:val="left"/>
              <w:rPr>
                <w:rFonts w:ascii="Arial Narrow" w:hAnsi="Arial Narrow"/>
                <w:b/>
                <w:lang w:eastAsia="en-US"/>
              </w:rPr>
            </w:pPr>
            <w:r w:rsidRPr="00B35E47">
              <w:rPr>
                <w:rFonts w:ascii="Arial Narrow" w:hAnsi="Arial Narrow"/>
                <w:b/>
                <w:lang w:eastAsia="en-US"/>
              </w:rPr>
              <w:t>Net cost to the MBS</w:t>
            </w:r>
          </w:p>
        </w:tc>
        <w:tc>
          <w:tcPr>
            <w:tcW w:w="755" w:type="pct"/>
            <w:vAlign w:val="bottom"/>
          </w:tcPr>
          <w:p w14:paraId="084ADE20"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$140,808</w:t>
            </w:r>
          </w:p>
        </w:tc>
        <w:tc>
          <w:tcPr>
            <w:tcW w:w="755" w:type="pct"/>
            <w:shd w:val="clear" w:color="auto" w:fill="auto"/>
            <w:vAlign w:val="bottom"/>
          </w:tcPr>
          <w:p w14:paraId="3B381E82"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$173,300</w:t>
            </w:r>
          </w:p>
        </w:tc>
        <w:tc>
          <w:tcPr>
            <w:tcW w:w="755" w:type="pct"/>
            <w:shd w:val="clear" w:color="auto" w:fill="auto"/>
            <w:vAlign w:val="bottom"/>
          </w:tcPr>
          <w:p w14:paraId="72F7337F"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$211,803</w:t>
            </w:r>
          </w:p>
        </w:tc>
        <w:tc>
          <w:tcPr>
            <w:tcW w:w="755" w:type="pct"/>
            <w:shd w:val="clear" w:color="auto" w:fill="auto"/>
            <w:vAlign w:val="bottom"/>
          </w:tcPr>
          <w:p w14:paraId="107F79EA"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$257,333</w:t>
            </w:r>
          </w:p>
        </w:tc>
        <w:tc>
          <w:tcPr>
            <w:tcW w:w="754" w:type="pct"/>
            <w:shd w:val="clear" w:color="auto" w:fill="auto"/>
            <w:vAlign w:val="bottom"/>
          </w:tcPr>
          <w:p w14:paraId="0574B358"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b/>
                <w:bCs/>
                <w:color w:val="000000"/>
                <w:lang w:eastAsia="en-US"/>
              </w:rPr>
              <w:t>$311,068</w:t>
            </w:r>
          </w:p>
        </w:tc>
      </w:tr>
    </w:tbl>
    <w:p w14:paraId="4860D033" w14:textId="54EE6C45" w:rsidR="00095358"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NMOSD = neuromyelitis optica spectrum disorders; MBS = Medicare Benefits Schedule</w:t>
      </w:r>
    </w:p>
    <w:p w14:paraId="59BC6B2E" w14:textId="77777777" w:rsidR="00665317" w:rsidRPr="00B35E47" w:rsidRDefault="00665317" w:rsidP="00665317">
      <w:pPr>
        <w:rPr>
          <w:snapToGrid w:val="0"/>
          <w:lang w:eastAsia="en-US"/>
        </w:rPr>
      </w:pPr>
    </w:p>
    <w:p w14:paraId="45200A65" w14:textId="77777777" w:rsidR="00095358" w:rsidRPr="00B35E47" w:rsidRDefault="00095358" w:rsidP="00095358">
      <w:pPr>
        <w:pStyle w:val="Heading2"/>
      </w:pPr>
      <w:bookmarkStart w:id="579" w:name="_Toc432677423"/>
      <w:bookmarkStart w:id="580" w:name="_Toc38031977"/>
      <w:bookmarkStart w:id="581" w:name="_Toc39588384"/>
      <w:r>
        <w:t>E5</w:t>
      </w:r>
      <w:r>
        <w:tab/>
      </w:r>
      <w:r w:rsidRPr="00B35E47">
        <w:t>Financial Implications for Government Health Budgets</w:t>
      </w:r>
      <w:bookmarkEnd w:id="579"/>
      <w:bookmarkEnd w:id="580"/>
      <w:bookmarkEnd w:id="581"/>
      <w:r w:rsidRPr="00B35E47">
        <w:t xml:space="preserve"> </w:t>
      </w:r>
    </w:p>
    <w:p w14:paraId="793BA4AC" w14:textId="77777777" w:rsidR="00095358" w:rsidRPr="00B35E47" w:rsidRDefault="00095358" w:rsidP="00095358">
      <w:r w:rsidRPr="00B35E47">
        <w:t xml:space="preserve">There are other downstream benefits of early diagnosis with NMOSD-Ab testing such as reduction in number of additional diagnostic tests, relapses and associated hospitalisations. However, quantification of such cost savings is </w:t>
      </w:r>
      <w:r>
        <w:t xml:space="preserve">difficult and is unlikely to be informative given that </w:t>
      </w:r>
      <w:r w:rsidRPr="00B35E47">
        <w:t>both AQP4 and MOG-Ab testing are currently being performed in Australia.</w:t>
      </w:r>
    </w:p>
    <w:p w14:paraId="00294E7A" w14:textId="77777777" w:rsidR="00095358" w:rsidRPr="00B35E47" w:rsidRDefault="00095358" w:rsidP="00095358">
      <w:r w:rsidRPr="00AC71D1">
        <w:fldChar w:fldCharType="begin"/>
      </w:r>
      <w:r w:rsidRPr="00AC71D1">
        <w:instrText xml:space="preserve"> REF _Ref33528484 \h </w:instrText>
      </w:r>
      <w:r>
        <w:instrText xml:space="preserve"> \* MERGEFORMAT </w:instrText>
      </w:r>
      <w:r w:rsidRPr="00AC71D1">
        <w:fldChar w:fldCharType="separate"/>
      </w:r>
      <w:r w:rsidR="006E2BA9" w:rsidRPr="00B35E47">
        <w:t xml:space="preserve">Table </w:t>
      </w:r>
      <w:r w:rsidR="006E2BA9">
        <w:t>93</w:t>
      </w:r>
      <w:r w:rsidRPr="00AC71D1">
        <w:fldChar w:fldCharType="end"/>
      </w:r>
      <w:r w:rsidRPr="00B35E47">
        <w:t xml:space="preserve"> presents the financial implications to the patients (co-payments) of listing NMOSD-Ab tests. It is estimated that proposed listing will result in a slight increase in cost- to patient due to higher fee</w:t>
      </w:r>
      <w:r>
        <w:t>s</w:t>
      </w:r>
      <w:r w:rsidRPr="00B35E47">
        <w:t xml:space="preserve"> compared with currently claimed services.</w:t>
      </w:r>
    </w:p>
    <w:p w14:paraId="4BB458B0" w14:textId="31783E0D" w:rsidR="00095358" w:rsidRPr="00B35E47" w:rsidRDefault="00095358" w:rsidP="00095358">
      <w:pPr>
        <w:pStyle w:val="Caption"/>
      </w:pPr>
      <w:bookmarkStart w:id="582" w:name="_Ref33528484"/>
      <w:bookmarkStart w:id="583" w:name="_Toc36054866"/>
      <w:bookmarkStart w:id="584" w:name="_Toc39580874"/>
      <w:r w:rsidRPr="00B35E47">
        <w:lastRenderedPageBreak/>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93</w:t>
      </w:r>
      <w:r w:rsidRPr="00B35E47">
        <w:rPr>
          <w:noProof/>
        </w:rPr>
        <w:fldChar w:fldCharType="end"/>
      </w:r>
      <w:bookmarkEnd w:id="582"/>
      <w:r w:rsidRPr="00B35E47">
        <w:tab/>
        <w:t>Total costs to private sector associated with MBS listing of NMOSD-Ab tests</w:t>
      </w:r>
      <w:bookmarkEnd w:id="583"/>
      <w:bookmarkEnd w:id="584"/>
      <w:r w:rsidRPr="00B35E47">
        <w:t xml:space="preserve"> </w:t>
      </w:r>
    </w:p>
    <w:tbl>
      <w:tblPr>
        <w:tblStyle w:val="TableGrid11"/>
        <w:tblW w:w="5000" w:type="pct"/>
        <w:tblLook w:val="04A0" w:firstRow="1" w:lastRow="0" w:firstColumn="1" w:lastColumn="0" w:noHBand="0" w:noVBand="1"/>
        <w:tblCaption w:val="Estimated costs of FC tests for the first five years of MBS listing"/>
        <w:tblDescription w:val="Estimated costs of FC tests for the first five years of MBS listing"/>
      </w:tblPr>
      <w:tblGrid>
        <w:gridCol w:w="563"/>
        <w:gridCol w:w="3493"/>
        <w:gridCol w:w="992"/>
        <w:gridCol w:w="992"/>
        <w:gridCol w:w="992"/>
        <w:gridCol w:w="992"/>
        <w:gridCol w:w="992"/>
      </w:tblGrid>
      <w:tr w:rsidR="00095358" w:rsidRPr="00B35E47" w14:paraId="645508C6" w14:textId="77777777" w:rsidTr="00095358">
        <w:trPr>
          <w:cnfStyle w:val="100000000000" w:firstRow="1" w:lastRow="0" w:firstColumn="0" w:lastColumn="0" w:oddVBand="0" w:evenVBand="0" w:oddHBand="0" w:evenHBand="0" w:firstRowFirstColumn="0" w:firstRowLastColumn="0" w:lastRowFirstColumn="0" w:lastRowLastColumn="0"/>
          <w:trHeight w:val="285"/>
          <w:tblHeader/>
        </w:trPr>
        <w:tc>
          <w:tcPr>
            <w:tcW w:w="312" w:type="pct"/>
          </w:tcPr>
          <w:p w14:paraId="60BB44E2"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Row</w:t>
            </w:r>
          </w:p>
        </w:tc>
        <w:tc>
          <w:tcPr>
            <w:tcW w:w="1937" w:type="pct"/>
            <w:noWrap/>
            <w:hideMark/>
          </w:tcPr>
          <w:p w14:paraId="0B4E7E60"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Description</w:t>
            </w:r>
          </w:p>
        </w:tc>
        <w:tc>
          <w:tcPr>
            <w:tcW w:w="550" w:type="pct"/>
            <w:noWrap/>
            <w:hideMark/>
          </w:tcPr>
          <w:p w14:paraId="5D52EE68"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2020–21</w:t>
            </w:r>
          </w:p>
        </w:tc>
        <w:tc>
          <w:tcPr>
            <w:tcW w:w="550" w:type="pct"/>
            <w:noWrap/>
          </w:tcPr>
          <w:p w14:paraId="5190FB33"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2021–22</w:t>
            </w:r>
          </w:p>
        </w:tc>
        <w:tc>
          <w:tcPr>
            <w:tcW w:w="550" w:type="pct"/>
            <w:noWrap/>
          </w:tcPr>
          <w:p w14:paraId="4201B130"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2022–23</w:t>
            </w:r>
          </w:p>
        </w:tc>
        <w:tc>
          <w:tcPr>
            <w:tcW w:w="550" w:type="pct"/>
            <w:noWrap/>
          </w:tcPr>
          <w:p w14:paraId="55F75A39"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2023–24</w:t>
            </w:r>
          </w:p>
        </w:tc>
        <w:tc>
          <w:tcPr>
            <w:tcW w:w="550" w:type="pct"/>
            <w:noWrap/>
          </w:tcPr>
          <w:p w14:paraId="0D4D2A1B"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2024–25</w:t>
            </w:r>
          </w:p>
        </w:tc>
      </w:tr>
      <w:tr w:rsidR="00095358" w:rsidRPr="00B35E47" w14:paraId="7FD3A95B" w14:textId="77777777" w:rsidTr="00095358">
        <w:trPr>
          <w:trHeight w:val="255"/>
        </w:trPr>
        <w:tc>
          <w:tcPr>
            <w:tcW w:w="312" w:type="pct"/>
            <w:vAlign w:val="center"/>
          </w:tcPr>
          <w:p w14:paraId="2D3E9243" w14:textId="77777777" w:rsidR="00095358" w:rsidRPr="00B35E47" w:rsidRDefault="00095358" w:rsidP="00095358">
            <w:pPr>
              <w:contextualSpacing/>
              <w:jc w:val="left"/>
              <w:rPr>
                <w:rFonts w:ascii="Arial Narrow" w:hAnsi="Arial Narrow"/>
                <w:bCs/>
                <w:color w:val="000000"/>
                <w:lang w:eastAsia="en-US"/>
              </w:rPr>
            </w:pPr>
            <w:r w:rsidRPr="00B35E47">
              <w:rPr>
                <w:rFonts w:ascii="Arial Narrow" w:hAnsi="Arial Narrow"/>
                <w:bCs/>
                <w:color w:val="000000"/>
                <w:lang w:eastAsia="en-US"/>
              </w:rPr>
              <w:t>D</w:t>
            </w:r>
          </w:p>
        </w:tc>
        <w:tc>
          <w:tcPr>
            <w:tcW w:w="1937" w:type="pct"/>
            <w:noWrap/>
            <w:vAlign w:val="center"/>
            <w:hideMark/>
          </w:tcPr>
          <w:p w14:paraId="547DD141" w14:textId="77777777" w:rsidR="00095358" w:rsidRPr="00B35E47" w:rsidRDefault="00095358" w:rsidP="00095358">
            <w:pPr>
              <w:contextualSpacing/>
              <w:jc w:val="left"/>
              <w:rPr>
                <w:rFonts w:ascii="Arial Narrow" w:hAnsi="Arial Narrow"/>
                <w:bCs/>
                <w:color w:val="000000"/>
                <w:lang w:eastAsia="en-US"/>
              </w:rPr>
            </w:pPr>
            <w:r w:rsidRPr="00B35E47">
              <w:rPr>
                <w:rFonts w:ascii="Arial Narrow" w:hAnsi="Arial Narrow"/>
                <w:bCs/>
                <w:color w:val="000000"/>
                <w:lang w:eastAsia="en-US"/>
              </w:rPr>
              <w:t xml:space="preserve">Estimated number of </w:t>
            </w:r>
            <w:r w:rsidRPr="00B35E47">
              <w:rPr>
                <w:rFonts w:ascii="Arial Narrow" w:hAnsi="Arial Narrow"/>
                <w:lang w:eastAsia="en-US"/>
              </w:rPr>
              <w:t xml:space="preserve">NMOSD-Ab </w:t>
            </w:r>
            <w:r w:rsidRPr="00B35E47">
              <w:rPr>
                <w:rFonts w:ascii="Arial Narrow" w:hAnsi="Arial Narrow"/>
                <w:bCs/>
                <w:color w:val="000000"/>
                <w:lang w:eastAsia="en-US"/>
              </w:rPr>
              <w:t>services</w:t>
            </w:r>
          </w:p>
        </w:tc>
        <w:tc>
          <w:tcPr>
            <w:tcW w:w="550" w:type="pct"/>
            <w:noWrap/>
            <w:vAlign w:val="center"/>
            <w:hideMark/>
          </w:tcPr>
          <w:p w14:paraId="79D19E4D" w14:textId="77777777" w:rsidR="00095358" w:rsidRPr="00B35E47" w:rsidRDefault="00095358" w:rsidP="00095358">
            <w:pPr>
              <w:contextualSpacing/>
              <w:jc w:val="right"/>
              <w:rPr>
                <w:rFonts w:ascii="Arial Narrow" w:hAnsi="Arial Narrow"/>
                <w:bCs/>
                <w:color w:val="000000"/>
                <w:lang w:eastAsia="en-US"/>
              </w:rPr>
            </w:pPr>
            <w:r w:rsidRPr="00B35E47">
              <w:rPr>
                <w:rFonts w:ascii="Arial Narrow" w:hAnsi="Arial Narrow"/>
                <w:lang w:eastAsia="en-US"/>
              </w:rPr>
              <w:t>10,122</w:t>
            </w:r>
          </w:p>
        </w:tc>
        <w:tc>
          <w:tcPr>
            <w:tcW w:w="550" w:type="pct"/>
            <w:noWrap/>
            <w:vAlign w:val="center"/>
            <w:hideMark/>
          </w:tcPr>
          <w:p w14:paraId="79B2DB31" w14:textId="77777777" w:rsidR="00095358" w:rsidRPr="00B35E47" w:rsidRDefault="00095358" w:rsidP="00095358">
            <w:pPr>
              <w:contextualSpacing/>
              <w:jc w:val="right"/>
              <w:rPr>
                <w:rFonts w:ascii="Arial Narrow" w:hAnsi="Arial Narrow"/>
                <w:bCs/>
                <w:color w:val="000000"/>
                <w:lang w:eastAsia="en-US"/>
              </w:rPr>
            </w:pPr>
            <w:r w:rsidRPr="00B35E47">
              <w:rPr>
                <w:rFonts w:ascii="Arial Narrow" w:hAnsi="Arial Narrow"/>
                <w:lang w:eastAsia="en-US"/>
              </w:rPr>
              <w:t>11,641</w:t>
            </w:r>
          </w:p>
        </w:tc>
        <w:tc>
          <w:tcPr>
            <w:tcW w:w="550" w:type="pct"/>
            <w:noWrap/>
            <w:vAlign w:val="center"/>
            <w:hideMark/>
          </w:tcPr>
          <w:p w14:paraId="5D8FE44E" w14:textId="77777777" w:rsidR="00095358" w:rsidRPr="00B35E47" w:rsidRDefault="00095358" w:rsidP="00095358">
            <w:pPr>
              <w:contextualSpacing/>
              <w:jc w:val="right"/>
              <w:rPr>
                <w:rFonts w:ascii="Arial Narrow" w:hAnsi="Arial Narrow"/>
                <w:bCs/>
                <w:color w:val="000000"/>
                <w:lang w:eastAsia="en-US"/>
              </w:rPr>
            </w:pPr>
            <w:r w:rsidRPr="00B35E47">
              <w:rPr>
                <w:rFonts w:ascii="Arial Narrow" w:hAnsi="Arial Narrow"/>
                <w:lang w:eastAsia="en-US"/>
              </w:rPr>
              <w:t>13,387</w:t>
            </w:r>
          </w:p>
        </w:tc>
        <w:tc>
          <w:tcPr>
            <w:tcW w:w="550" w:type="pct"/>
            <w:noWrap/>
            <w:vAlign w:val="center"/>
            <w:hideMark/>
          </w:tcPr>
          <w:p w14:paraId="743667C3" w14:textId="77777777" w:rsidR="00095358" w:rsidRPr="00B35E47" w:rsidRDefault="00095358" w:rsidP="00095358">
            <w:pPr>
              <w:contextualSpacing/>
              <w:jc w:val="right"/>
              <w:rPr>
                <w:rFonts w:ascii="Arial Narrow" w:hAnsi="Arial Narrow"/>
                <w:bCs/>
                <w:color w:val="000000"/>
                <w:lang w:eastAsia="en-US"/>
              </w:rPr>
            </w:pPr>
            <w:r w:rsidRPr="00B35E47">
              <w:rPr>
                <w:rFonts w:ascii="Arial Narrow" w:hAnsi="Arial Narrow"/>
                <w:lang w:eastAsia="en-US"/>
              </w:rPr>
              <w:t>15,395</w:t>
            </w:r>
          </w:p>
        </w:tc>
        <w:tc>
          <w:tcPr>
            <w:tcW w:w="550" w:type="pct"/>
            <w:noWrap/>
            <w:vAlign w:val="center"/>
            <w:hideMark/>
          </w:tcPr>
          <w:p w14:paraId="6637A577" w14:textId="77777777" w:rsidR="00095358" w:rsidRPr="00B35E47" w:rsidRDefault="00095358" w:rsidP="00095358">
            <w:pPr>
              <w:contextualSpacing/>
              <w:jc w:val="right"/>
              <w:rPr>
                <w:rFonts w:ascii="Arial Narrow" w:hAnsi="Arial Narrow"/>
                <w:bCs/>
                <w:color w:val="000000"/>
                <w:lang w:eastAsia="en-US"/>
              </w:rPr>
            </w:pPr>
            <w:r w:rsidRPr="00B35E47">
              <w:rPr>
                <w:rFonts w:ascii="Arial Narrow" w:hAnsi="Arial Narrow"/>
                <w:lang w:eastAsia="en-US"/>
              </w:rPr>
              <w:t>17,704</w:t>
            </w:r>
          </w:p>
        </w:tc>
      </w:tr>
      <w:tr w:rsidR="00095358" w:rsidRPr="00B35E47" w14:paraId="2F4932C9" w14:textId="77777777" w:rsidTr="00095358">
        <w:trPr>
          <w:trHeight w:val="255"/>
        </w:trPr>
        <w:tc>
          <w:tcPr>
            <w:tcW w:w="312" w:type="pct"/>
            <w:vAlign w:val="center"/>
          </w:tcPr>
          <w:p w14:paraId="7615142C"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F</w:t>
            </w:r>
          </w:p>
        </w:tc>
        <w:tc>
          <w:tcPr>
            <w:tcW w:w="1937" w:type="pct"/>
            <w:tcBorders>
              <w:bottom w:val="single" w:sz="4" w:space="0" w:color="auto"/>
            </w:tcBorders>
            <w:noWrap/>
            <w:vAlign w:val="center"/>
            <w:hideMark/>
          </w:tcPr>
          <w:p w14:paraId="21B3CF9A"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Co-payments</w:t>
            </w:r>
          </w:p>
        </w:tc>
        <w:tc>
          <w:tcPr>
            <w:tcW w:w="550" w:type="pct"/>
            <w:tcBorders>
              <w:bottom w:val="single" w:sz="4" w:space="0" w:color="auto"/>
            </w:tcBorders>
            <w:noWrap/>
            <w:vAlign w:val="bottom"/>
          </w:tcPr>
          <w:p w14:paraId="0A3004EA"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$670</w:t>
            </w:r>
          </w:p>
        </w:tc>
        <w:tc>
          <w:tcPr>
            <w:tcW w:w="550" w:type="pct"/>
            <w:tcBorders>
              <w:bottom w:val="single" w:sz="4" w:space="0" w:color="auto"/>
            </w:tcBorders>
            <w:noWrap/>
            <w:vAlign w:val="bottom"/>
          </w:tcPr>
          <w:p w14:paraId="6F3940CC"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$771</w:t>
            </w:r>
          </w:p>
        </w:tc>
        <w:tc>
          <w:tcPr>
            <w:tcW w:w="550" w:type="pct"/>
            <w:tcBorders>
              <w:bottom w:val="single" w:sz="4" w:space="0" w:color="auto"/>
            </w:tcBorders>
            <w:noWrap/>
            <w:vAlign w:val="bottom"/>
          </w:tcPr>
          <w:p w14:paraId="0277D05E"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$886</w:t>
            </w:r>
          </w:p>
        </w:tc>
        <w:tc>
          <w:tcPr>
            <w:tcW w:w="550" w:type="pct"/>
            <w:tcBorders>
              <w:bottom w:val="single" w:sz="4" w:space="0" w:color="auto"/>
            </w:tcBorders>
            <w:noWrap/>
            <w:vAlign w:val="bottom"/>
          </w:tcPr>
          <w:p w14:paraId="49815C2C"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$1,019</w:t>
            </w:r>
          </w:p>
        </w:tc>
        <w:tc>
          <w:tcPr>
            <w:tcW w:w="550" w:type="pct"/>
            <w:tcBorders>
              <w:bottom w:val="single" w:sz="4" w:space="0" w:color="auto"/>
            </w:tcBorders>
            <w:noWrap/>
            <w:vAlign w:val="bottom"/>
          </w:tcPr>
          <w:p w14:paraId="02B9DC68"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$1,172</w:t>
            </w:r>
          </w:p>
        </w:tc>
      </w:tr>
      <w:tr w:rsidR="00095358" w:rsidRPr="00B35E47" w14:paraId="67E2A2E4" w14:textId="77777777" w:rsidTr="00095358">
        <w:trPr>
          <w:trHeight w:val="270"/>
        </w:trPr>
        <w:tc>
          <w:tcPr>
            <w:tcW w:w="312" w:type="pct"/>
            <w:vAlign w:val="center"/>
          </w:tcPr>
          <w:p w14:paraId="262E1AEC" w14:textId="77777777" w:rsidR="00095358" w:rsidRPr="00B35E47" w:rsidRDefault="00095358" w:rsidP="00095358">
            <w:pPr>
              <w:contextualSpacing/>
              <w:jc w:val="left"/>
              <w:rPr>
                <w:rFonts w:ascii="Arial Narrow" w:hAnsi="Arial Narrow"/>
                <w:color w:val="000000"/>
                <w:lang w:eastAsia="en-US"/>
              </w:rPr>
            </w:pPr>
          </w:p>
        </w:tc>
        <w:tc>
          <w:tcPr>
            <w:tcW w:w="1937" w:type="pct"/>
            <w:tcBorders>
              <w:right w:val="nil"/>
            </w:tcBorders>
            <w:noWrap/>
            <w:vAlign w:val="center"/>
          </w:tcPr>
          <w:p w14:paraId="51CB884E"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Offsets</w:t>
            </w:r>
          </w:p>
        </w:tc>
        <w:tc>
          <w:tcPr>
            <w:tcW w:w="550" w:type="pct"/>
            <w:tcBorders>
              <w:left w:val="nil"/>
              <w:right w:val="nil"/>
            </w:tcBorders>
            <w:noWrap/>
            <w:vAlign w:val="center"/>
          </w:tcPr>
          <w:p w14:paraId="0838F780" w14:textId="77777777" w:rsidR="00095358" w:rsidRPr="00B35E47" w:rsidRDefault="00095358" w:rsidP="00095358">
            <w:pPr>
              <w:contextualSpacing/>
              <w:jc w:val="right"/>
              <w:rPr>
                <w:rFonts w:ascii="Arial Narrow" w:hAnsi="Arial Narrow"/>
                <w:color w:val="000000"/>
                <w:lang w:eastAsia="en-US"/>
              </w:rPr>
            </w:pPr>
          </w:p>
        </w:tc>
        <w:tc>
          <w:tcPr>
            <w:tcW w:w="550" w:type="pct"/>
            <w:tcBorders>
              <w:left w:val="nil"/>
              <w:right w:val="nil"/>
            </w:tcBorders>
            <w:noWrap/>
            <w:vAlign w:val="center"/>
          </w:tcPr>
          <w:p w14:paraId="0C7B90D7" w14:textId="77777777" w:rsidR="00095358" w:rsidRPr="00B35E47" w:rsidRDefault="00095358" w:rsidP="00095358">
            <w:pPr>
              <w:contextualSpacing/>
              <w:jc w:val="right"/>
              <w:rPr>
                <w:rFonts w:ascii="Arial Narrow" w:hAnsi="Arial Narrow"/>
                <w:color w:val="000000"/>
                <w:lang w:eastAsia="en-US"/>
              </w:rPr>
            </w:pPr>
          </w:p>
        </w:tc>
        <w:tc>
          <w:tcPr>
            <w:tcW w:w="550" w:type="pct"/>
            <w:tcBorders>
              <w:left w:val="nil"/>
              <w:right w:val="nil"/>
            </w:tcBorders>
            <w:noWrap/>
            <w:vAlign w:val="center"/>
          </w:tcPr>
          <w:p w14:paraId="7B704971" w14:textId="77777777" w:rsidR="00095358" w:rsidRPr="00B35E47" w:rsidRDefault="00095358" w:rsidP="00095358">
            <w:pPr>
              <w:contextualSpacing/>
              <w:jc w:val="right"/>
              <w:rPr>
                <w:rFonts w:ascii="Arial Narrow" w:hAnsi="Arial Narrow"/>
                <w:color w:val="000000"/>
                <w:lang w:eastAsia="en-US"/>
              </w:rPr>
            </w:pPr>
          </w:p>
        </w:tc>
        <w:tc>
          <w:tcPr>
            <w:tcW w:w="550" w:type="pct"/>
            <w:tcBorders>
              <w:left w:val="nil"/>
              <w:right w:val="nil"/>
            </w:tcBorders>
            <w:noWrap/>
            <w:vAlign w:val="center"/>
          </w:tcPr>
          <w:p w14:paraId="1DBE5CE1" w14:textId="77777777" w:rsidR="00095358" w:rsidRPr="00B35E47" w:rsidRDefault="00095358" w:rsidP="00095358">
            <w:pPr>
              <w:contextualSpacing/>
              <w:jc w:val="right"/>
              <w:rPr>
                <w:rFonts w:ascii="Arial Narrow" w:hAnsi="Arial Narrow"/>
                <w:color w:val="000000"/>
                <w:lang w:eastAsia="en-US"/>
              </w:rPr>
            </w:pPr>
          </w:p>
        </w:tc>
        <w:tc>
          <w:tcPr>
            <w:tcW w:w="550" w:type="pct"/>
            <w:tcBorders>
              <w:left w:val="nil"/>
            </w:tcBorders>
            <w:noWrap/>
            <w:vAlign w:val="center"/>
          </w:tcPr>
          <w:p w14:paraId="2AFDDBB6" w14:textId="77777777" w:rsidR="00095358" w:rsidRPr="00B35E47" w:rsidRDefault="00095358" w:rsidP="00095358">
            <w:pPr>
              <w:contextualSpacing/>
              <w:jc w:val="right"/>
              <w:rPr>
                <w:rFonts w:ascii="Arial Narrow" w:hAnsi="Arial Narrow"/>
                <w:color w:val="000000"/>
                <w:lang w:eastAsia="en-US"/>
              </w:rPr>
            </w:pPr>
          </w:p>
        </w:tc>
      </w:tr>
      <w:tr w:rsidR="00095358" w:rsidRPr="00B35E47" w14:paraId="32F9FF0F" w14:textId="77777777" w:rsidTr="00095358">
        <w:trPr>
          <w:trHeight w:val="270"/>
        </w:trPr>
        <w:tc>
          <w:tcPr>
            <w:tcW w:w="312" w:type="pct"/>
            <w:vAlign w:val="center"/>
          </w:tcPr>
          <w:p w14:paraId="7C8FF37E"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color w:val="000000"/>
                <w:lang w:eastAsia="en-US"/>
              </w:rPr>
              <w:t>H</w:t>
            </w:r>
          </w:p>
        </w:tc>
        <w:tc>
          <w:tcPr>
            <w:tcW w:w="1937" w:type="pct"/>
            <w:noWrap/>
            <w:vAlign w:val="center"/>
          </w:tcPr>
          <w:p w14:paraId="397D33D7"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lang w:eastAsia="en-US"/>
              </w:rPr>
              <w:t>Number of services offset</w:t>
            </w:r>
          </w:p>
        </w:tc>
        <w:tc>
          <w:tcPr>
            <w:tcW w:w="550" w:type="pct"/>
            <w:noWrap/>
            <w:vAlign w:val="center"/>
          </w:tcPr>
          <w:p w14:paraId="133A9DBE"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9,205</w:t>
            </w:r>
          </w:p>
        </w:tc>
        <w:tc>
          <w:tcPr>
            <w:tcW w:w="550" w:type="pct"/>
            <w:noWrap/>
            <w:vAlign w:val="center"/>
          </w:tcPr>
          <w:p w14:paraId="4AC2454F"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10,125</w:t>
            </w:r>
          </w:p>
        </w:tc>
        <w:tc>
          <w:tcPr>
            <w:tcW w:w="550" w:type="pct"/>
            <w:noWrap/>
            <w:vAlign w:val="center"/>
          </w:tcPr>
          <w:p w14:paraId="19E9C5E3"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11,138</w:t>
            </w:r>
          </w:p>
        </w:tc>
        <w:tc>
          <w:tcPr>
            <w:tcW w:w="550" w:type="pct"/>
            <w:noWrap/>
            <w:vAlign w:val="center"/>
          </w:tcPr>
          <w:p w14:paraId="3859554E"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12,251</w:t>
            </w:r>
          </w:p>
        </w:tc>
        <w:tc>
          <w:tcPr>
            <w:tcW w:w="550" w:type="pct"/>
            <w:noWrap/>
            <w:vAlign w:val="center"/>
          </w:tcPr>
          <w:p w14:paraId="562A61E2"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13,477</w:t>
            </w:r>
          </w:p>
        </w:tc>
      </w:tr>
      <w:tr w:rsidR="00095358" w:rsidRPr="00B35E47" w14:paraId="6AFF46F0" w14:textId="77777777" w:rsidTr="00095358">
        <w:trPr>
          <w:trHeight w:val="270"/>
        </w:trPr>
        <w:tc>
          <w:tcPr>
            <w:tcW w:w="312" w:type="pct"/>
            <w:vAlign w:val="center"/>
          </w:tcPr>
          <w:p w14:paraId="3BBAA1C4" w14:textId="77777777" w:rsidR="00095358" w:rsidRPr="00B35E47" w:rsidRDefault="00095358" w:rsidP="00095358">
            <w:pPr>
              <w:contextualSpacing/>
              <w:jc w:val="left"/>
              <w:rPr>
                <w:rFonts w:ascii="Arial Narrow" w:hAnsi="Arial Narrow"/>
                <w:color w:val="000000"/>
                <w:lang w:eastAsia="en-US"/>
              </w:rPr>
            </w:pPr>
          </w:p>
        </w:tc>
        <w:tc>
          <w:tcPr>
            <w:tcW w:w="1937" w:type="pct"/>
            <w:noWrap/>
            <w:vAlign w:val="center"/>
          </w:tcPr>
          <w:p w14:paraId="01DCA257"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lang w:eastAsia="en-US"/>
              </w:rPr>
              <w:t>Costs offset</w:t>
            </w:r>
          </w:p>
        </w:tc>
        <w:tc>
          <w:tcPr>
            <w:tcW w:w="550" w:type="pct"/>
            <w:noWrap/>
            <w:vAlign w:val="bottom"/>
          </w:tcPr>
          <w:p w14:paraId="084C97AF"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$416</w:t>
            </w:r>
          </w:p>
        </w:tc>
        <w:tc>
          <w:tcPr>
            <w:tcW w:w="550" w:type="pct"/>
            <w:noWrap/>
            <w:vAlign w:val="bottom"/>
          </w:tcPr>
          <w:p w14:paraId="7D63D144"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$458</w:t>
            </w:r>
          </w:p>
        </w:tc>
        <w:tc>
          <w:tcPr>
            <w:tcW w:w="550" w:type="pct"/>
            <w:noWrap/>
            <w:vAlign w:val="bottom"/>
          </w:tcPr>
          <w:p w14:paraId="7960137A"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$503</w:t>
            </w:r>
          </w:p>
        </w:tc>
        <w:tc>
          <w:tcPr>
            <w:tcW w:w="550" w:type="pct"/>
            <w:noWrap/>
            <w:vAlign w:val="bottom"/>
          </w:tcPr>
          <w:p w14:paraId="75D83510"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$554</w:t>
            </w:r>
          </w:p>
        </w:tc>
        <w:tc>
          <w:tcPr>
            <w:tcW w:w="550" w:type="pct"/>
            <w:noWrap/>
            <w:vAlign w:val="bottom"/>
          </w:tcPr>
          <w:p w14:paraId="0278AFDC" w14:textId="77777777" w:rsidR="00095358" w:rsidRPr="00B35E47" w:rsidRDefault="00095358" w:rsidP="00095358">
            <w:pPr>
              <w:contextualSpacing/>
              <w:jc w:val="right"/>
              <w:rPr>
                <w:rFonts w:ascii="Arial Narrow" w:hAnsi="Arial Narrow"/>
                <w:color w:val="000000"/>
                <w:lang w:eastAsia="en-US"/>
              </w:rPr>
            </w:pPr>
            <w:r w:rsidRPr="00B35E47">
              <w:rPr>
                <w:rFonts w:ascii="Arial Narrow" w:hAnsi="Arial Narrow" w:cs="Calibri"/>
                <w:color w:val="000000"/>
                <w:lang w:eastAsia="en-US"/>
              </w:rPr>
              <w:t>$609</w:t>
            </w:r>
          </w:p>
        </w:tc>
      </w:tr>
      <w:tr w:rsidR="00095358" w:rsidRPr="00B35E47" w14:paraId="1C4445D7" w14:textId="77777777" w:rsidTr="00095358">
        <w:trPr>
          <w:trHeight w:val="270"/>
        </w:trPr>
        <w:tc>
          <w:tcPr>
            <w:tcW w:w="312" w:type="pct"/>
            <w:vAlign w:val="center"/>
          </w:tcPr>
          <w:p w14:paraId="5E5151FC" w14:textId="77777777" w:rsidR="00095358" w:rsidRPr="00B35E47" w:rsidRDefault="00095358" w:rsidP="00095358">
            <w:pPr>
              <w:contextualSpacing/>
              <w:jc w:val="left"/>
              <w:rPr>
                <w:rFonts w:ascii="Arial Narrow" w:hAnsi="Arial Narrow"/>
                <w:color w:val="000000"/>
                <w:lang w:eastAsia="en-US"/>
              </w:rPr>
            </w:pPr>
          </w:p>
        </w:tc>
        <w:tc>
          <w:tcPr>
            <w:tcW w:w="1937" w:type="pct"/>
            <w:noWrap/>
            <w:vAlign w:val="center"/>
          </w:tcPr>
          <w:p w14:paraId="70C31792" w14:textId="77777777" w:rsidR="00095358" w:rsidRPr="00B35E47" w:rsidRDefault="00095358" w:rsidP="00095358">
            <w:pPr>
              <w:contextualSpacing/>
              <w:jc w:val="left"/>
              <w:rPr>
                <w:rFonts w:ascii="Arial Narrow" w:hAnsi="Arial Narrow"/>
                <w:color w:val="000000"/>
                <w:lang w:eastAsia="en-US"/>
              </w:rPr>
            </w:pPr>
            <w:r w:rsidRPr="00B35E47">
              <w:rPr>
                <w:rFonts w:ascii="Arial Narrow" w:hAnsi="Arial Narrow"/>
                <w:lang w:eastAsia="en-US"/>
              </w:rPr>
              <w:t>Net co-payments</w:t>
            </w:r>
          </w:p>
        </w:tc>
        <w:tc>
          <w:tcPr>
            <w:tcW w:w="550" w:type="pct"/>
            <w:noWrap/>
            <w:vAlign w:val="bottom"/>
          </w:tcPr>
          <w:p w14:paraId="076C32E1"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b/>
                <w:bCs/>
                <w:color w:val="000000"/>
                <w:lang w:eastAsia="en-US"/>
              </w:rPr>
              <w:t>$254</w:t>
            </w:r>
          </w:p>
        </w:tc>
        <w:tc>
          <w:tcPr>
            <w:tcW w:w="550" w:type="pct"/>
            <w:noWrap/>
            <w:vAlign w:val="bottom"/>
          </w:tcPr>
          <w:p w14:paraId="5CE8988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b/>
                <w:bCs/>
                <w:color w:val="000000"/>
                <w:lang w:eastAsia="en-US"/>
              </w:rPr>
              <w:t>$313</w:t>
            </w:r>
          </w:p>
        </w:tc>
        <w:tc>
          <w:tcPr>
            <w:tcW w:w="550" w:type="pct"/>
            <w:noWrap/>
            <w:vAlign w:val="bottom"/>
          </w:tcPr>
          <w:p w14:paraId="622FAAF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b/>
                <w:bCs/>
                <w:color w:val="000000"/>
                <w:lang w:eastAsia="en-US"/>
              </w:rPr>
              <w:t>$383</w:t>
            </w:r>
          </w:p>
        </w:tc>
        <w:tc>
          <w:tcPr>
            <w:tcW w:w="550" w:type="pct"/>
            <w:noWrap/>
            <w:vAlign w:val="bottom"/>
          </w:tcPr>
          <w:p w14:paraId="59BE833F"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b/>
                <w:bCs/>
                <w:color w:val="000000"/>
                <w:lang w:eastAsia="en-US"/>
              </w:rPr>
              <w:t>$466</w:t>
            </w:r>
          </w:p>
        </w:tc>
        <w:tc>
          <w:tcPr>
            <w:tcW w:w="550" w:type="pct"/>
            <w:noWrap/>
            <w:vAlign w:val="bottom"/>
          </w:tcPr>
          <w:p w14:paraId="7CBDE69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b/>
                <w:bCs/>
                <w:color w:val="000000"/>
                <w:lang w:eastAsia="en-US"/>
              </w:rPr>
              <w:t>$563</w:t>
            </w:r>
          </w:p>
        </w:tc>
      </w:tr>
    </w:tbl>
    <w:p w14:paraId="0237FCE3" w14:textId="7CD2A184" w:rsidR="00095358" w:rsidRDefault="00095358" w:rsidP="00095358">
      <w:pPr>
        <w:widowControl w:val="0"/>
        <w:spacing w:after="12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Ab = antibody; NMOSD = neuromyelitis optica spectrum disorders; MBS = Medicare Benefits Schedule</w:t>
      </w:r>
    </w:p>
    <w:p w14:paraId="378B50FF" w14:textId="77777777" w:rsidR="00665317" w:rsidRPr="00B35E47" w:rsidRDefault="00665317" w:rsidP="00665317">
      <w:pPr>
        <w:rPr>
          <w:snapToGrid w:val="0"/>
          <w:lang w:eastAsia="en-US"/>
        </w:rPr>
      </w:pPr>
    </w:p>
    <w:p w14:paraId="38ED3149" w14:textId="77777777" w:rsidR="00095358" w:rsidRPr="00B35E47" w:rsidRDefault="00095358" w:rsidP="00095358">
      <w:pPr>
        <w:pStyle w:val="Heading2"/>
      </w:pPr>
      <w:bookmarkStart w:id="585" w:name="_Toc432677424"/>
      <w:bookmarkStart w:id="586" w:name="_Toc38031978"/>
      <w:bookmarkStart w:id="587" w:name="_Toc39588385"/>
      <w:r>
        <w:t>E6</w:t>
      </w:r>
      <w:r>
        <w:tab/>
      </w:r>
      <w:r w:rsidRPr="00B35E47">
        <w:t>Identification, Estimation and Reduction of Uncertainty</w:t>
      </w:r>
      <w:bookmarkEnd w:id="585"/>
      <w:bookmarkEnd w:id="586"/>
      <w:bookmarkEnd w:id="587"/>
    </w:p>
    <w:p w14:paraId="7E88866C" w14:textId="77777777" w:rsidR="00095358" w:rsidRPr="00B35E47" w:rsidRDefault="00095358" w:rsidP="00095358">
      <w:r w:rsidRPr="00B35E47">
        <w:t>NMOSD-Ab testing is currently performed in Australia and claimed under MBS items 71119 and 71165. However, these items are generic for antibody testing and NMOSD-Ab specific usage cannot be determined from the MBS utilisation data. The current usage of NMOSD-Ab testing across Australia was extrapolated from limited laboratory data provided by the applicant. A high growth rate of 20% was applied in the first year with 15% per annum growth in the subsequent four years to estimate cost implications of NMOSD-Ab testing, but these are uncertain. Sensitivity analysis was performed to assess the impact of constant lower (6%) and higher (25%) growth rates.</w:t>
      </w:r>
    </w:p>
    <w:p w14:paraId="5699EA53" w14:textId="77777777" w:rsidR="00095358" w:rsidRPr="00B35E47" w:rsidRDefault="00095358" w:rsidP="00095358">
      <w:r w:rsidRPr="00B35E47">
        <w:t xml:space="preserve">Base-case analysis assumes that additional 5% of the NMOSD-Ab tests would be claimed for MOG-Ab testing. In practice most of these tests are done together with AQP4-Ab tests with no extra cost. Sensitivity analyses were performed assuming additional NMOSD-Ab test rates (for sequential MOG-Ab testing) to be 2.5% and 10%. </w:t>
      </w:r>
    </w:p>
    <w:p w14:paraId="69BF4D30" w14:textId="77777777" w:rsidR="00095358" w:rsidRPr="00B35E47" w:rsidRDefault="00095358" w:rsidP="00095358">
      <w:r w:rsidRPr="00B35E47">
        <w:t>Base-case analysis assumes that Sonic laboratories cover the 40% of the outpatient serology market in Australia. This figure for market share is uncertain and may be higher than assumed. Sensitivity analysis was performed changing the market share of Sonic Laboratories in the private sector (60%–80%).</w:t>
      </w:r>
    </w:p>
    <w:p w14:paraId="6B011EE0" w14:textId="77777777" w:rsidR="00095358" w:rsidRPr="00B35E47" w:rsidRDefault="00095358" w:rsidP="00095358">
      <w:r w:rsidRPr="00B35E47">
        <w:t>Current proportionate use of items 71119 and 71165 is estimated to be 31% and 69% based on the items claimed by different laboratories. Sensitivity analysis varies the proportionate use of items 71119 and 71165 as 100%, that is only one item claimed as comparator. This will provide the lower and upper limit of costs offsets by the comparators.</w:t>
      </w:r>
    </w:p>
    <w:p w14:paraId="250A5B8E" w14:textId="77777777" w:rsidR="00095358" w:rsidRPr="00B35E47" w:rsidRDefault="00095358" w:rsidP="00095358">
      <w:r w:rsidRPr="00B35E47">
        <w:t>Net costs to the MBS due to the proposed listing are largely driven by the increase in the number of current services due to proposed listing. Growth rate in the expected number of NMOSD-Ab tests have high impact on the financial implications. Net costs to MBS are also sensitive to the assumption of proportionate claim of services for 71119 and 71165 due to the differences in MBS rebates associated with these items.</w:t>
      </w:r>
    </w:p>
    <w:p w14:paraId="19672AE2" w14:textId="77777777" w:rsidR="00095358" w:rsidRPr="00B35E47" w:rsidRDefault="00095358" w:rsidP="00095358">
      <w:r w:rsidRPr="00B35E47">
        <w:t xml:space="preserve">Results of the sensitivity analyses performed are summarised in </w:t>
      </w:r>
      <w:r w:rsidRPr="00AC71D1">
        <w:fldChar w:fldCharType="begin"/>
      </w:r>
      <w:r w:rsidRPr="00AC71D1">
        <w:instrText xml:space="preserve"> REF _Ref10549003 \h </w:instrText>
      </w:r>
      <w:r>
        <w:instrText xml:space="preserve"> \* MERGEFORMAT </w:instrText>
      </w:r>
      <w:r w:rsidRPr="00AC71D1">
        <w:fldChar w:fldCharType="separate"/>
      </w:r>
      <w:r w:rsidR="006E2BA9" w:rsidRPr="00AC71D1">
        <w:t xml:space="preserve">Table </w:t>
      </w:r>
      <w:r w:rsidR="006E2BA9">
        <w:t>94</w:t>
      </w:r>
      <w:r w:rsidRPr="00AC71D1">
        <w:fldChar w:fldCharType="end"/>
      </w:r>
      <w:r w:rsidRPr="00B35E47">
        <w:t>.</w:t>
      </w:r>
    </w:p>
    <w:p w14:paraId="25E4E0D7" w14:textId="3DD3A044" w:rsidR="00095358" w:rsidRPr="00AC71D1" w:rsidRDefault="00095358" w:rsidP="00095358">
      <w:pPr>
        <w:pStyle w:val="Caption"/>
      </w:pPr>
      <w:bookmarkStart w:id="588" w:name="_Ref10549003"/>
      <w:bookmarkStart w:id="589" w:name="_Toc11240586"/>
      <w:bookmarkStart w:id="590" w:name="_Toc36054867"/>
      <w:bookmarkStart w:id="591" w:name="_Toc39580875"/>
      <w:r w:rsidRPr="00AC71D1">
        <w:t xml:space="preserve">Table </w:t>
      </w:r>
      <w:fldSimple w:instr=" SEQ Table \* ARABIC ">
        <w:r w:rsidR="00FA7BCD">
          <w:rPr>
            <w:noProof/>
          </w:rPr>
          <w:t>94</w:t>
        </w:r>
      </w:fldSimple>
      <w:bookmarkEnd w:id="588"/>
      <w:r w:rsidRPr="00AC71D1">
        <w:tab/>
        <w:t>Sensitivity analyses</w:t>
      </w:r>
      <w:bookmarkEnd w:id="589"/>
      <w:bookmarkEnd w:id="590"/>
      <w:bookmarkEnd w:id="591"/>
    </w:p>
    <w:tbl>
      <w:tblPr>
        <w:tblStyle w:val="TableGrid22"/>
        <w:tblW w:w="5000" w:type="pct"/>
        <w:tblLayout w:type="fixed"/>
        <w:tblLook w:val="04A0" w:firstRow="1" w:lastRow="0" w:firstColumn="1" w:lastColumn="0" w:noHBand="0" w:noVBand="1"/>
        <w:tblCaption w:val="Sensitivity analyses"/>
        <w:tblDescription w:val="Sensitivity analyses"/>
      </w:tblPr>
      <w:tblGrid>
        <w:gridCol w:w="2546"/>
        <w:gridCol w:w="710"/>
        <w:gridCol w:w="141"/>
        <w:gridCol w:w="283"/>
        <w:gridCol w:w="283"/>
        <w:gridCol w:w="1277"/>
        <w:gridCol w:w="283"/>
        <w:gridCol w:w="426"/>
        <w:gridCol w:w="283"/>
        <w:gridCol w:w="283"/>
        <w:gridCol w:w="1277"/>
        <w:gridCol w:w="1224"/>
      </w:tblGrid>
      <w:tr w:rsidR="00095358" w:rsidRPr="00B35E47" w14:paraId="76D6C415" w14:textId="77777777" w:rsidTr="00095358">
        <w:trPr>
          <w:cnfStyle w:val="100000000000" w:firstRow="1" w:lastRow="0" w:firstColumn="0" w:lastColumn="0" w:oddVBand="0" w:evenVBand="0" w:oddHBand="0" w:evenHBand="0" w:firstRowFirstColumn="0" w:firstRowLastColumn="0" w:lastRowFirstColumn="0" w:lastRowLastColumn="0"/>
          <w:trHeight w:val="270"/>
          <w:tblHeader/>
        </w:trPr>
        <w:tc>
          <w:tcPr>
            <w:tcW w:w="1412" w:type="pct"/>
            <w:tcBorders>
              <w:bottom w:val="single" w:sz="4" w:space="0" w:color="auto"/>
            </w:tcBorders>
            <w:noWrap/>
            <w:hideMark/>
          </w:tcPr>
          <w:p w14:paraId="58926F8C"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Description</w:t>
            </w:r>
          </w:p>
        </w:tc>
        <w:tc>
          <w:tcPr>
            <w:tcW w:w="786" w:type="pct"/>
            <w:gridSpan w:val="4"/>
            <w:tcBorders>
              <w:bottom w:val="single" w:sz="4" w:space="0" w:color="auto"/>
            </w:tcBorders>
            <w:noWrap/>
            <w:hideMark/>
          </w:tcPr>
          <w:p w14:paraId="04CE26BA"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2020–21</w:t>
            </w:r>
          </w:p>
        </w:tc>
        <w:tc>
          <w:tcPr>
            <w:tcW w:w="708" w:type="pct"/>
            <w:tcBorders>
              <w:bottom w:val="single" w:sz="4" w:space="0" w:color="auto"/>
            </w:tcBorders>
            <w:noWrap/>
            <w:hideMark/>
          </w:tcPr>
          <w:p w14:paraId="73B07161"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2021–22</w:t>
            </w:r>
          </w:p>
        </w:tc>
        <w:tc>
          <w:tcPr>
            <w:tcW w:w="707" w:type="pct"/>
            <w:gridSpan w:val="4"/>
            <w:tcBorders>
              <w:bottom w:val="single" w:sz="4" w:space="0" w:color="auto"/>
            </w:tcBorders>
            <w:noWrap/>
            <w:hideMark/>
          </w:tcPr>
          <w:p w14:paraId="52FA7ED6"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2022–23</w:t>
            </w:r>
          </w:p>
        </w:tc>
        <w:tc>
          <w:tcPr>
            <w:tcW w:w="708" w:type="pct"/>
            <w:tcBorders>
              <w:bottom w:val="single" w:sz="4" w:space="0" w:color="auto"/>
            </w:tcBorders>
            <w:noWrap/>
            <w:hideMark/>
          </w:tcPr>
          <w:p w14:paraId="6EE0C775"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2023–24</w:t>
            </w:r>
          </w:p>
        </w:tc>
        <w:tc>
          <w:tcPr>
            <w:tcW w:w="679" w:type="pct"/>
            <w:tcBorders>
              <w:bottom w:val="single" w:sz="4" w:space="0" w:color="auto"/>
            </w:tcBorders>
            <w:noWrap/>
            <w:hideMark/>
          </w:tcPr>
          <w:p w14:paraId="4050CD0A"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2024–25</w:t>
            </w:r>
          </w:p>
        </w:tc>
      </w:tr>
      <w:tr w:rsidR="00095358" w:rsidRPr="00B35E47" w14:paraId="4DA63D50" w14:textId="77777777" w:rsidTr="00095358">
        <w:trPr>
          <w:trHeight w:val="255"/>
        </w:trPr>
        <w:tc>
          <w:tcPr>
            <w:tcW w:w="1412" w:type="pct"/>
            <w:tcBorders>
              <w:right w:val="nil"/>
            </w:tcBorders>
            <w:noWrap/>
            <w:hideMark/>
          </w:tcPr>
          <w:p w14:paraId="282D5676" w14:textId="77777777" w:rsidR="00095358" w:rsidRPr="00B35E47" w:rsidRDefault="00095358" w:rsidP="00095358">
            <w:pPr>
              <w:contextualSpacing/>
              <w:jc w:val="left"/>
              <w:rPr>
                <w:rFonts w:ascii="Arial Narrow" w:hAnsi="Arial Narrow"/>
                <w:i/>
                <w:lang w:eastAsia="en-US"/>
              </w:rPr>
            </w:pPr>
            <w:r w:rsidRPr="00B35E47">
              <w:rPr>
                <w:rFonts w:ascii="Arial Narrow" w:hAnsi="Arial Narrow"/>
                <w:i/>
                <w:lang w:eastAsia="en-US"/>
              </w:rPr>
              <w:t>Base-case</w:t>
            </w:r>
          </w:p>
        </w:tc>
        <w:tc>
          <w:tcPr>
            <w:tcW w:w="786" w:type="pct"/>
            <w:gridSpan w:val="4"/>
            <w:tcBorders>
              <w:left w:val="nil"/>
              <w:right w:val="nil"/>
            </w:tcBorders>
            <w:noWrap/>
            <w:hideMark/>
          </w:tcPr>
          <w:p w14:paraId="6E5AB805" w14:textId="77777777" w:rsidR="00095358" w:rsidRPr="00B35E47" w:rsidRDefault="00095358" w:rsidP="00095358">
            <w:pPr>
              <w:contextualSpacing/>
              <w:jc w:val="left"/>
              <w:rPr>
                <w:rFonts w:ascii="Arial Narrow" w:hAnsi="Arial Narrow"/>
                <w:i/>
                <w:lang w:eastAsia="en-US"/>
              </w:rPr>
            </w:pPr>
          </w:p>
        </w:tc>
        <w:tc>
          <w:tcPr>
            <w:tcW w:w="708" w:type="pct"/>
            <w:tcBorders>
              <w:left w:val="nil"/>
              <w:right w:val="nil"/>
            </w:tcBorders>
            <w:noWrap/>
            <w:hideMark/>
          </w:tcPr>
          <w:p w14:paraId="295278C6" w14:textId="77777777" w:rsidR="00095358" w:rsidRPr="00B35E47" w:rsidRDefault="00095358" w:rsidP="00095358">
            <w:pPr>
              <w:contextualSpacing/>
              <w:jc w:val="left"/>
              <w:rPr>
                <w:rFonts w:ascii="Arial Narrow" w:hAnsi="Arial Narrow"/>
                <w:i/>
                <w:lang w:eastAsia="en-US"/>
              </w:rPr>
            </w:pPr>
          </w:p>
        </w:tc>
        <w:tc>
          <w:tcPr>
            <w:tcW w:w="707" w:type="pct"/>
            <w:gridSpan w:val="4"/>
            <w:tcBorders>
              <w:left w:val="nil"/>
              <w:right w:val="nil"/>
            </w:tcBorders>
            <w:noWrap/>
            <w:hideMark/>
          </w:tcPr>
          <w:p w14:paraId="5BF01F91" w14:textId="77777777" w:rsidR="00095358" w:rsidRPr="00B35E47" w:rsidRDefault="00095358" w:rsidP="00095358">
            <w:pPr>
              <w:contextualSpacing/>
              <w:jc w:val="left"/>
              <w:rPr>
                <w:rFonts w:ascii="Arial Narrow" w:hAnsi="Arial Narrow"/>
                <w:i/>
                <w:lang w:eastAsia="en-US"/>
              </w:rPr>
            </w:pPr>
          </w:p>
        </w:tc>
        <w:tc>
          <w:tcPr>
            <w:tcW w:w="708" w:type="pct"/>
            <w:tcBorders>
              <w:left w:val="nil"/>
              <w:right w:val="nil"/>
            </w:tcBorders>
            <w:noWrap/>
            <w:hideMark/>
          </w:tcPr>
          <w:p w14:paraId="25F7DD23" w14:textId="77777777" w:rsidR="00095358" w:rsidRPr="00B35E47" w:rsidRDefault="00095358" w:rsidP="00095358">
            <w:pPr>
              <w:contextualSpacing/>
              <w:jc w:val="left"/>
              <w:rPr>
                <w:rFonts w:ascii="Arial Narrow" w:hAnsi="Arial Narrow"/>
                <w:i/>
                <w:lang w:eastAsia="en-US"/>
              </w:rPr>
            </w:pPr>
          </w:p>
        </w:tc>
        <w:tc>
          <w:tcPr>
            <w:tcW w:w="679" w:type="pct"/>
            <w:tcBorders>
              <w:left w:val="nil"/>
            </w:tcBorders>
            <w:noWrap/>
            <w:hideMark/>
          </w:tcPr>
          <w:p w14:paraId="30EB4AED" w14:textId="77777777" w:rsidR="00095358" w:rsidRPr="00B35E47" w:rsidRDefault="00095358" w:rsidP="00095358">
            <w:pPr>
              <w:contextualSpacing/>
              <w:jc w:val="left"/>
              <w:rPr>
                <w:rFonts w:ascii="Arial Narrow" w:hAnsi="Arial Narrow"/>
                <w:i/>
                <w:lang w:eastAsia="en-US"/>
              </w:rPr>
            </w:pPr>
          </w:p>
        </w:tc>
      </w:tr>
      <w:tr w:rsidR="00095358" w:rsidRPr="00B35E47" w14:paraId="386E6665" w14:textId="77777777" w:rsidTr="00095358">
        <w:trPr>
          <w:trHeight w:val="255"/>
        </w:trPr>
        <w:tc>
          <w:tcPr>
            <w:tcW w:w="1412" w:type="pct"/>
            <w:tcBorders>
              <w:bottom w:val="single" w:sz="4" w:space="0" w:color="auto"/>
            </w:tcBorders>
            <w:noWrap/>
            <w:hideMark/>
          </w:tcPr>
          <w:p w14:paraId="7D8B1062"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Net costs to MBS</w:t>
            </w:r>
          </w:p>
        </w:tc>
        <w:tc>
          <w:tcPr>
            <w:tcW w:w="786" w:type="pct"/>
            <w:gridSpan w:val="4"/>
            <w:tcBorders>
              <w:bottom w:val="single" w:sz="4" w:space="0" w:color="auto"/>
            </w:tcBorders>
            <w:noWrap/>
            <w:vAlign w:val="bottom"/>
          </w:tcPr>
          <w:p w14:paraId="5B007623"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$140,808</w:t>
            </w:r>
          </w:p>
        </w:tc>
        <w:tc>
          <w:tcPr>
            <w:tcW w:w="708" w:type="pct"/>
            <w:tcBorders>
              <w:bottom w:val="single" w:sz="4" w:space="0" w:color="auto"/>
            </w:tcBorders>
            <w:noWrap/>
            <w:vAlign w:val="bottom"/>
          </w:tcPr>
          <w:p w14:paraId="3BC1045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$173,300</w:t>
            </w:r>
          </w:p>
        </w:tc>
        <w:tc>
          <w:tcPr>
            <w:tcW w:w="707" w:type="pct"/>
            <w:gridSpan w:val="4"/>
            <w:tcBorders>
              <w:bottom w:val="single" w:sz="4" w:space="0" w:color="auto"/>
            </w:tcBorders>
            <w:noWrap/>
            <w:vAlign w:val="bottom"/>
          </w:tcPr>
          <w:p w14:paraId="76D05F75"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$211,803</w:t>
            </w:r>
          </w:p>
        </w:tc>
        <w:tc>
          <w:tcPr>
            <w:tcW w:w="708" w:type="pct"/>
            <w:tcBorders>
              <w:bottom w:val="single" w:sz="4" w:space="0" w:color="auto"/>
            </w:tcBorders>
            <w:noWrap/>
            <w:vAlign w:val="bottom"/>
          </w:tcPr>
          <w:p w14:paraId="32EB1440"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$257,333</w:t>
            </w:r>
          </w:p>
        </w:tc>
        <w:tc>
          <w:tcPr>
            <w:tcW w:w="679" w:type="pct"/>
            <w:tcBorders>
              <w:bottom w:val="single" w:sz="4" w:space="0" w:color="auto"/>
            </w:tcBorders>
            <w:noWrap/>
            <w:vAlign w:val="bottom"/>
          </w:tcPr>
          <w:p w14:paraId="7F74A1C1"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$311,068</w:t>
            </w:r>
          </w:p>
        </w:tc>
      </w:tr>
      <w:tr w:rsidR="00095358" w:rsidRPr="00B35E47" w14:paraId="4CDD26C9" w14:textId="77777777" w:rsidTr="00095358">
        <w:trPr>
          <w:trHeight w:val="255"/>
        </w:trPr>
        <w:tc>
          <w:tcPr>
            <w:tcW w:w="1412" w:type="pct"/>
            <w:tcBorders>
              <w:right w:val="nil"/>
            </w:tcBorders>
            <w:noWrap/>
            <w:vAlign w:val="bottom"/>
            <w:hideMark/>
          </w:tcPr>
          <w:p w14:paraId="7E5AFF23" w14:textId="77777777" w:rsidR="00095358" w:rsidRPr="00B35E47" w:rsidRDefault="00095358" w:rsidP="00095358">
            <w:pPr>
              <w:contextualSpacing/>
              <w:jc w:val="left"/>
              <w:rPr>
                <w:rFonts w:ascii="Arial Narrow" w:hAnsi="Arial Narrow"/>
                <w:i/>
                <w:iCs/>
                <w:lang w:eastAsia="en-US"/>
              </w:rPr>
            </w:pPr>
            <w:r w:rsidRPr="00B35E47">
              <w:rPr>
                <w:rFonts w:ascii="Arial Narrow" w:hAnsi="Arial Narrow" w:cs="Calibri"/>
                <w:i/>
                <w:iCs/>
                <w:color w:val="000000"/>
                <w:lang w:eastAsia="en-US"/>
              </w:rPr>
              <w:t>Lower growth rate - 6%</w:t>
            </w:r>
            <w:r w:rsidRPr="00B35E47">
              <w:rPr>
                <w:rFonts w:ascii="Arial Narrow" w:hAnsi="Arial Narrow" w:cs="Calibri"/>
                <w:i/>
                <w:iCs/>
                <w:color w:val="000000"/>
                <w:vertAlign w:val="superscript"/>
                <w:lang w:eastAsia="en-US"/>
              </w:rPr>
              <w:t>a</w:t>
            </w:r>
            <w:r w:rsidRPr="00B35E47">
              <w:rPr>
                <w:rFonts w:ascii="Arial Narrow" w:hAnsi="Arial Narrow" w:cs="Calibri"/>
                <w:i/>
                <w:iCs/>
                <w:color w:val="000000"/>
                <w:lang w:eastAsia="en-US"/>
              </w:rPr>
              <w:t xml:space="preserve"> </w:t>
            </w:r>
          </w:p>
        </w:tc>
        <w:tc>
          <w:tcPr>
            <w:tcW w:w="786" w:type="pct"/>
            <w:gridSpan w:val="4"/>
            <w:tcBorders>
              <w:left w:val="nil"/>
              <w:right w:val="nil"/>
            </w:tcBorders>
            <w:noWrap/>
            <w:hideMark/>
          </w:tcPr>
          <w:p w14:paraId="03FAE8BD" w14:textId="77777777" w:rsidR="00095358" w:rsidRPr="00B35E47" w:rsidRDefault="00095358" w:rsidP="00095358">
            <w:pPr>
              <w:contextualSpacing/>
              <w:jc w:val="right"/>
              <w:rPr>
                <w:rFonts w:ascii="Arial Narrow" w:hAnsi="Arial Narrow"/>
                <w:i/>
                <w:iCs/>
                <w:lang w:eastAsia="en-US"/>
              </w:rPr>
            </w:pPr>
          </w:p>
        </w:tc>
        <w:tc>
          <w:tcPr>
            <w:tcW w:w="708" w:type="pct"/>
            <w:tcBorders>
              <w:left w:val="nil"/>
              <w:right w:val="nil"/>
            </w:tcBorders>
            <w:noWrap/>
            <w:hideMark/>
          </w:tcPr>
          <w:p w14:paraId="4BBF5A6C" w14:textId="77777777" w:rsidR="00095358" w:rsidRPr="00B35E47" w:rsidRDefault="00095358" w:rsidP="00095358">
            <w:pPr>
              <w:contextualSpacing/>
              <w:jc w:val="right"/>
              <w:rPr>
                <w:rFonts w:ascii="Arial Narrow" w:hAnsi="Arial Narrow"/>
                <w:lang w:eastAsia="en-US"/>
              </w:rPr>
            </w:pPr>
          </w:p>
        </w:tc>
        <w:tc>
          <w:tcPr>
            <w:tcW w:w="707" w:type="pct"/>
            <w:gridSpan w:val="4"/>
            <w:tcBorders>
              <w:left w:val="nil"/>
              <w:right w:val="nil"/>
            </w:tcBorders>
            <w:noWrap/>
            <w:hideMark/>
          </w:tcPr>
          <w:p w14:paraId="06FCD12E" w14:textId="77777777" w:rsidR="00095358" w:rsidRPr="00B35E47" w:rsidRDefault="00095358" w:rsidP="00095358">
            <w:pPr>
              <w:contextualSpacing/>
              <w:jc w:val="right"/>
              <w:rPr>
                <w:rFonts w:ascii="Arial Narrow" w:hAnsi="Arial Narrow"/>
                <w:lang w:eastAsia="en-US"/>
              </w:rPr>
            </w:pPr>
          </w:p>
        </w:tc>
        <w:tc>
          <w:tcPr>
            <w:tcW w:w="708" w:type="pct"/>
            <w:tcBorders>
              <w:left w:val="nil"/>
              <w:right w:val="nil"/>
            </w:tcBorders>
            <w:noWrap/>
            <w:hideMark/>
          </w:tcPr>
          <w:p w14:paraId="2BF1936D" w14:textId="77777777" w:rsidR="00095358" w:rsidRPr="00B35E47" w:rsidRDefault="00095358" w:rsidP="00095358">
            <w:pPr>
              <w:contextualSpacing/>
              <w:jc w:val="right"/>
              <w:rPr>
                <w:rFonts w:ascii="Arial Narrow" w:hAnsi="Arial Narrow"/>
                <w:lang w:eastAsia="en-US"/>
              </w:rPr>
            </w:pPr>
          </w:p>
        </w:tc>
        <w:tc>
          <w:tcPr>
            <w:tcW w:w="679" w:type="pct"/>
            <w:tcBorders>
              <w:left w:val="nil"/>
            </w:tcBorders>
            <w:noWrap/>
            <w:hideMark/>
          </w:tcPr>
          <w:p w14:paraId="6DB17B89" w14:textId="77777777" w:rsidR="00095358" w:rsidRPr="00B35E47" w:rsidRDefault="00095358" w:rsidP="00095358">
            <w:pPr>
              <w:contextualSpacing/>
              <w:jc w:val="right"/>
              <w:rPr>
                <w:rFonts w:ascii="Arial Narrow" w:hAnsi="Arial Narrow"/>
                <w:lang w:eastAsia="en-US"/>
              </w:rPr>
            </w:pPr>
          </w:p>
        </w:tc>
      </w:tr>
      <w:tr w:rsidR="00095358" w:rsidRPr="00B35E47" w14:paraId="6F676B18" w14:textId="77777777" w:rsidTr="00095358">
        <w:trPr>
          <w:trHeight w:val="255"/>
        </w:trPr>
        <w:tc>
          <w:tcPr>
            <w:tcW w:w="1412" w:type="pct"/>
            <w:tcBorders>
              <w:bottom w:val="single" w:sz="4" w:space="0" w:color="auto"/>
            </w:tcBorders>
            <w:noWrap/>
            <w:vAlign w:val="bottom"/>
            <w:hideMark/>
          </w:tcPr>
          <w:p w14:paraId="5B25DC23" w14:textId="77777777" w:rsidR="00095358" w:rsidRPr="00B35E47" w:rsidRDefault="00095358" w:rsidP="00095358">
            <w:pPr>
              <w:contextualSpacing/>
              <w:jc w:val="left"/>
              <w:rPr>
                <w:rFonts w:ascii="Arial Narrow" w:hAnsi="Arial Narrow"/>
                <w:lang w:eastAsia="en-US"/>
              </w:rPr>
            </w:pPr>
            <w:r w:rsidRPr="00B35E47">
              <w:rPr>
                <w:rFonts w:ascii="Arial Narrow" w:hAnsi="Arial Narrow" w:cs="Calibri"/>
                <w:color w:val="000000"/>
                <w:lang w:eastAsia="en-US"/>
              </w:rPr>
              <w:t>Net costs to MBS</w:t>
            </w:r>
          </w:p>
        </w:tc>
        <w:tc>
          <w:tcPr>
            <w:tcW w:w="786" w:type="pct"/>
            <w:gridSpan w:val="4"/>
            <w:tcBorders>
              <w:bottom w:val="single" w:sz="4" w:space="0" w:color="auto"/>
            </w:tcBorders>
            <w:noWrap/>
            <w:vAlign w:val="bottom"/>
          </w:tcPr>
          <w:p w14:paraId="567B12DD"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$97,848</w:t>
            </w:r>
          </w:p>
        </w:tc>
        <w:tc>
          <w:tcPr>
            <w:tcW w:w="708" w:type="pct"/>
            <w:tcBorders>
              <w:bottom w:val="single" w:sz="4" w:space="0" w:color="auto"/>
            </w:tcBorders>
            <w:noWrap/>
            <w:vAlign w:val="bottom"/>
          </w:tcPr>
          <w:p w14:paraId="4A8F948E"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$94,622</w:t>
            </w:r>
          </w:p>
        </w:tc>
        <w:tc>
          <w:tcPr>
            <w:tcW w:w="707" w:type="pct"/>
            <w:gridSpan w:val="4"/>
            <w:tcBorders>
              <w:bottom w:val="single" w:sz="4" w:space="0" w:color="auto"/>
            </w:tcBorders>
            <w:noWrap/>
            <w:vAlign w:val="bottom"/>
          </w:tcPr>
          <w:p w14:paraId="0142F77D"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$90,292</w:t>
            </w:r>
          </w:p>
        </w:tc>
        <w:tc>
          <w:tcPr>
            <w:tcW w:w="708" w:type="pct"/>
            <w:tcBorders>
              <w:bottom w:val="single" w:sz="4" w:space="0" w:color="auto"/>
            </w:tcBorders>
            <w:noWrap/>
            <w:vAlign w:val="bottom"/>
          </w:tcPr>
          <w:p w14:paraId="011D191B"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$84,703</w:t>
            </w:r>
          </w:p>
        </w:tc>
        <w:tc>
          <w:tcPr>
            <w:tcW w:w="679" w:type="pct"/>
            <w:tcBorders>
              <w:bottom w:val="single" w:sz="4" w:space="0" w:color="auto"/>
            </w:tcBorders>
            <w:noWrap/>
            <w:vAlign w:val="bottom"/>
          </w:tcPr>
          <w:p w14:paraId="5458D81B"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$77,677</w:t>
            </w:r>
          </w:p>
        </w:tc>
      </w:tr>
      <w:tr w:rsidR="00095358" w:rsidRPr="00B35E47" w14:paraId="207DE0CE" w14:textId="77777777" w:rsidTr="00095358">
        <w:trPr>
          <w:trHeight w:val="255"/>
        </w:trPr>
        <w:tc>
          <w:tcPr>
            <w:tcW w:w="1806" w:type="pct"/>
            <w:gridSpan w:val="2"/>
            <w:tcBorders>
              <w:right w:val="nil"/>
            </w:tcBorders>
            <w:noWrap/>
            <w:vAlign w:val="bottom"/>
            <w:hideMark/>
          </w:tcPr>
          <w:p w14:paraId="6D845CCB" w14:textId="77777777" w:rsidR="00095358" w:rsidRPr="00B35E47" w:rsidRDefault="00095358" w:rsidP="00095358">
            <w:pPr>
              <w:contextualSpacing/>
              <w:jc w:val="left"/>
              <w:rPr>
                <w:rFonts w:ascii="Arial Narrow" w:hAnsi="Arial Narrow"/>
                <w:i/>
                <w:iCs/>
                <w:vertAlign w:val="superscript"/>
                <w:lang w:eastAsia="en-US"/>
              </w:rPr>
            </w:pPr>
            <w:r w:rsidRPr="00B35E47">
              <w:rPr>
                <w:rFonts w:ascii="Arial Narrow" w:hAnsi="Arial Narrow" w:cs="Calibri"/>
                <w:i/>
                <w:iCs/>
                <w:color w:val="000000"/>
                <w:lang w:eastAsia="en-US"/>
              </w:rPr>
              <w:t>Higher growth rate - 25%</w:t>
            </w:r>
            <w:r w:rsidRPr="00B35E47">
              <w:rPr>
                <w:rFonts w:ascii="Arial Narrow" w:hAnsi="Arial Narrow" w:cs="Calibri"/>
                <w:i/>
                <w:iCs/>
                <w:color w:val="000000"/>
                <w:vertAlign w:val="superscript"/>
                <w:lang w:eastAsia="en-US"/>
              </w:rPr>
              <w:t>b</w:t>
            </w:r>
          </w:p>
        </w:tc>
        <w:tc>
          <w:tcPr>
            <w:tcW w:w="392" w:type="pct"/>
            <w:gridSpan w:val="3"/>
            <w:tcBorders>
              <w:left w:val="nil"/>
              <w:right w:val="nil"/>
            </w:tcBorders>
            <w:noWrap/>
            <w:hideMark/>
          </w:tcPr>
          <w:p w14:paraId="09E8D94D" w14:textId="77777777" w:rsidR="00095358" w:rsidRPr="00B35E47" w:rsidRDefault="00095358" w:rsidP="00095358">
            <w:pPr>
              <w:contextualSpacing/>
              <w:jc w:val="left"/>
              <w:rPr>
                <w:rFonts w:ascii="Arial Narrow" w:hAnsi="Arial Narrow"/>
                <w:i/>
                <w:iCs/>
                <w:lang w:eastAsia="en-US"/>
              </w:rPr>
            </w:pPr>
          </w:p>
        </w:tc>
        <w:tc>
          <w:tcPr>
            <w:tcW w:w="708" w:type="pct"/>
            <w:tcBorders>
              <w:left w:val="nil"/>
              <w:right w:val="nil"/>
            </w:tcBorders>
            <w:noWrap/>
            <w:hideMark/>
          </w:tcPr>
          <w:p w14:paraId="44E514B2" w14:textId="77777777" w:rsidR="00095358" w:rsidRPr="00B35E47" w:rsidRDefault="00095358" w:rsidP="00095358">
            <w:pPr>
              <w:contextualSpacing/>
              <w:jc w:val="left"/>
              <w:rPr>
                <w:rFonts w:ascii="Arial Narrow" w:hAnsi="Arial Narrow"/>
                <w:lang w:eastAsia="en-US"/>
              </w:rPr>
            </w:pPr>
          </w:p>
        </w:tc>
        <w:tc>
          <w:tcPr>
            <w:tcW w:w="707" w:type="pct"/>
            <w:gridSpan w:val="4"/>
            <w:tcBorders>
              <w:left w:val="nil"/>
              <w:right w:val="nil"/>
            </w:tcBorders>
            <w:noWrap/>
            <w:hideMark/>
          </w:tcPr>
          <w:p w14:paraId="2357D392" w14:textId="77777777" w:rsidR="00095358" w:rsidRPr="00B35E47" w:rsidRDefault="00095358" w:rsidP="00095358">
            <w:pPr>
              <w:contextualSpacing/>
              <w:jc w:val="left"/>
              <w:rPr>
                <w:rFonts w:ascii="Arial Narrow" w:hAnsi="Arial Narrow"/>
                <w:lang w:eastAsia="en-US"/>
              </w:rPr>
            </w:pPr>
          </w:p>
        </w:tc>
        <w:tc>
          <w:tcPr>
            <w:tcW w:w="708" w:type="pct"/>
            <w:tcBorders>
              <w:left w:val="nil"/>
              <w:right w:val="nil"/>
            </w:tcBorders>
            <w:noWrap/>
            <w:hideMark/>
          </w:tcPr>
          <w:p w14:paraId="7B5C58E2" w14:textId="77777777" w:rsidR="00095358" w:rsidRPr="00B35E47" w:rsidRDefault="00095358" w:rsidP="00095358">
            <w:pPr>
              <w:contextualSpacing/>
              <w:jc w:val="left"/>
              <w:rPr>
                <w:rFonts w:ascii="Arial Narrow" w:hAnsi="Arial Narrow"/>
                <w:lang w:eastAsia="en-US"/>
              </w:rPr>
            </w:pPr>
          </w:p>
        </w:tc>
        <w:tc>
          <w:tcPr>
            <w:tcW w:w="679" w:type="pct"/>
            <w:tcBorders>
              <w:left w:val="nil"/>
            </w:tcBorders>
            <w:noWrap/>
            <w:hideMark/>
          </w:tcPr>
          <w:p w14:paraId="20CAD5EE" w14:textId="77777777" w:rsidR="00095358" w:rsidRPr="00B35E47" w:rsidRDefault="00095358" w:rsidP="00095358">
            <w:pPr>
              <w:contextualSpacing/>
              <w:jc w:val="left"/>
              <w:rPr>
                <w:rFonts w:ascii="Arial Narrow" w:hAnsi="Arial Narrow"/>
                <w:lang w:eastAsia="en-US"/>
              </w:rPr>
            </w:pPr>
          </w:p>
        </w:tc>
      </w:tr>
      <w:tr w:rsidR="00095358" w:rsidRPr="00B35E47" w14:paraId="41DA3856" w14:textId="77777777" w:rsidTr="00095358">
        <w:trPr>
          <w:trHeight w:val="255"/>
        </w:trPr>
        <w:tc>
          <w:tcPr>
            <w:tcW w:w="1412" w:type="pct"/>
            <w:tcBorders>
              <w:bottom w:val="single" w:sz="4" w:space="0" w:color="auto"/>
            </w:tcBorders>
            <w:noWrap/>
            <w:vAlign w:val="bottom"/>
            <w:hideMark/>
          </w:tcPr>
          <w:p w14:paraId="18261468" w14:textId="77777777" w:rsidR="00095358" w:rsidRPr="00B35E47" w:rsidRDefault="00095358" w:rsidP="00095358">
            <w:pPr>
              <w:contextualSpacing/>
              <w:jc w:val="left"/>
              <w:rPr>
                <w:rFonts w:ascii="Arial Narrow" w:hAnsi="Arial Narrow"/>
                <w:lang w:eastAsia="en-US"/>
              </w:rPr>
            </w:pPr>
            <w:r w:rsidRPr="00B35E47">
              <w:rPr>
                <w:rFonts w:ascii="Arial Narrow" w:hAnsi="Arial Narrow" w:cs="Calibri"/>
                <w:color w:val="000000"/>
                <w:lang w:eastAsia="en-US"/>
              </w:rPr>
              <w:lastRenderedPageBreak/>
              <w:t>Net costs to MBS</w:t>
            </w:r>
          </w:p>
        </w:tc>
        <w:tc>
          <w:tcPr>
            <w:tcW w:w="786" w:type="pct"/>
            <w:gridSpan w:val="4"/>
            <w:tcBorders>
              <w:bottom w:val="single" w:sz="4" w:space="0" w:color="auto"/>
            </w:tcBorders>
            <w:noWrap/>
            <w:vAlign w:val="bottom"/>
          </w:tcPr>
          <w:p w14:paraId="07E99DE5"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$156,151</w:t>
            </w:r>
          </w:p>
        </w:tc>
        <w:tc>
          <w:tcPr>
            <w:tcW w:w="708" w:type="pct"/>
            <w:tcBorders>
              <w:bottom w:val="single" w:sz="4" w:space="0" w:color="auto"/>
            </w:tcBorders>
            <w:noWrap/>
            <w:vAlign w:val="bottom"/>
          </w:tcPr>
          <w:p w14:paraId="285B11F1"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$229,302</w:t>
            </w:r>
          </w:p>
        </w:tc>
        <w:tc>
          <w:tcPr>
            <w:tcW w:w="707" w:type="pct"/>
            <w:gridSpan w:val="4"/>
            <w:tcBorders>
              <w:bottom w:val="single" w:sz="4" w:space="0" w:color="auto"/>
            </w:tcBorders>
            <w:noWrap/>
            <w:vAlign w:val="bottom"/>
          </w:tcPr>
          <w:p w14:paraId="48CC036C"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$324,152</w:t>
            </w:r>
          </w:p>
        </w:tc>
        <w:tc>
          <w:tcPr>
            <w:tcW w:w="708" w:type="pct"/>
            <w:tcBorders>
              <w:bottom w:val="single" w:sz="4" w:space="0" w:color="auto"/>
            </w:tcBorders>
            <w:noWrap/>
            <w:vAlign w:val="bottom"/>
          </w:tcPr>
          <w:p w14:paraId="55AC1AE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$446,467</w:t>
            </w:r>
          </w:p>
        </w:tc>
        <w:tc>
          <w:tcPr>
            <w:tcW w:w="679" w:type="pct"/>
            <w:tcBorders>
              <w:bottom w:val="single" w:sz="4" w:space="0" w:color="auto"/>
            </w:tcBorders>
            <w:noWrap/>
            <w:vAlign w:val="bottom"/>
          </w:tcPr>
          <w:p w14:paraId="4690F37F"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$603,489</w:t>
            </w:r>
          </w:p>
        </w:tc>
      </w:tr>
      <w:tr w:rsidR="00095358" w:rsidRPr="00B35E47" w14:paraId="4349D7E3" w14:textId="77777777" w:rsidTr="00095358">
        <w:trPr>
          <w:trHeight w:val="255"/>
        </w:trPr>
        <w:tc>
          <w:tcPr>
            <w:tcW w:w="3063" w:type="pct"/>
            <w:gridSpan w:val="7"/>
            <w:tcBorders>
              <w:bottom w:val="single" w:sz="4" w:space="0" w:color="auto"/>
              <w:right w:val="nil"/>
            </w:tcBorders>
            <w:noWrap/>
            <w:vAlign w:val="bottom"/>
          </w:tcPr>
          <w:p w14:paraId="6BB015FA" w14:textId="77777777" w:rsidR="00095358" w:rsidRPr="00B35E47" w:rsidRDefault="00095358" w:rsidP="00095358">
            <w:pPr>
              <w:contextualSpacing/>
              <w:jc w:val="left"/>
              <w:rPr>
                <w:rFonts w:ascii="Arial Narrow" w:hAnsi="Arial Narrow"/>
                <w:i/>
                <w:lang w:eastAsia="en-US"/>
              </w:rPr>
            </w:pPr>
            <w:r w:rsidRPr="00B35E47">
              <w:rPr>
                <w:rFonts w:ascii="Arial Narrow" w:hAnsi="Arial Narrow" w:cs="Calibri"/>
                <w:i/>
                <w:iCs/>
                <w:color w:val="000000"/>
                <w:lang w:eastAsia="en-US"/>
              </w:rPr>
              <w:t>Sequential MOG tests- 2.5%</w:t>
            </w:r>
          </w:p>
        </w:tc>
        <w:tc>
          <w:tcPr>
            <w:tcW w:w="236" w:type="pct"/>
            <w:tcBorders>
              <w:left w:val="nil"/>
              <w:bottom w:val="single" w:sz="4" w:space="0" w:color="auto"/>
              <w:right w:val="nil"/>
            </w:tcBorders>
            <w:noWrap/>
          </w:tcPr>
          <w:p w14:paraId="5D4816BF" w14:textId="77777777" w:rsidR="00095358" w:rsidRPr="00B35E47" w:rsidRDefault="00095358" w:rsidP="00095358">
            <w:pPr>
              <w:contextualSpacing/>
              <w:jc w:val="left"/>
              <w:rPr>
                <w:rFonts w:ascii="Arial Narrow" w:hAnsi="Arial Narrow"/>
                <w:i/>
                <w:lang w:eastAsia="en-US"/>
              </w:rPr>
            </w:pPr>
          </w:p>
        </w:tc>
        <w:tc>
          <w:tcPr>
            <w:tcW w:w="157" w:type="pct"/>
            <w:tcBorders>
              <w:left w:val="nil"/>
              <w:bottom w:val="single" w:sz="4" w:space="0" w:color="auto"/>
              <w:right w:val="nil"/>
            </w:tcBorders>
            <w:noWrap/>
          </w:tcPr>
          <w:p w14:paraId="319D9233" w14:textId="77777777" w:rsidR="00095358" w:rsidRPr="00B35E47" w:rsidRDefault="00095358" w:rsidP="00095358">
            <w:pPr>
              <w:contextualSpacing/>
              <w:jc w:val="left"/>
              <w:rPr>
                <w:rFonts w:ascii="Arial Narrow" w:hAnsi="Arial Narrow"/>
                <w:i/>
                <w:lang w:eastAsia="en-US"/>
              </w:rPr>
            </w:pPr>
          </w:p>
        </w:tc>
        <w:tc>
          <w:tcPr>
            <w:tcW w:w="157" w:type="pct"/>
            <w:tcBorders>
              <w:left w:val="nil"/>
              <w:bottom w:val="single" w:sz="4" w:space="0" w:color="auto"/>
              <w:right w:val="nil"/>
            </w:tcBorders>
            <w:noWrap/>
          </w:tcPr>
          <w:p w14:paraId="04FE8F30" w14:textId="77777777" w:rsidR="00095358" w:rsidRPr="00B35E47" w:rsidRDefault="00095358" w:rsidP="00095358">
            <w:pPr>
              <w:contextualSpacing/>
              <w:jc w:val="left"/>
              <w:rPr>
                <w:rFonts w:ascii="Arial Narrow" w:hAnsi="Arial Narrow"/>
                <w:i/>
                <w:lang w:eastAsia="en-US"/>
              </w:rPr>
            </w:pPr>
          </w:p>
        </w:tc>
        <w:tc>
          <w:tcPr>
            <w:tcW w:w="708" w:type="pct"/>
            <w:tcBorders>
              <w:left w:val="nil"/>
              <w:bottom w:val="single" w:sz="4" w:space="0" w:color="auto"/>
              <w:right w:val="nil"/>
            </w:tcBorders>
            <w:noWrap/>
          </w:tcPr>
          <w:p w14:paraId="34C7E40D" w14:textId="77777777" w:rsidR="00095358" w:rsidRPr="00B35E47" w:rsidRDefault="00095358" w:rsidP="00095358">
            <w:pPr>
              <w:contextualSpacing/>
              <w:jc w:val="left"/>
              <w:rPr>
                <w:rFonts w:ascii="Arial Narrow" w:hAnsi="Arial Narrow"/>
                <w:i/>
                <w:lang w:eastAsia="en-US"/>
              </w:rPr>
            </w:pPr>
          </w:p>
        </w:tc>
        <w:tc>
          <w:tcPr>
            <w:tcW w:w="679" w:type="pct"/>
            <w:tcBorders>
              <w:left w:val="nil"/>
              <w:bottom w:val="single" w:sz="4" w:space="0" w:color="auto"/>
            </w:tcBorders>
            <w:noWrap/>
          </w:tcPr>
          <w:p w14:paraId="7384A8BA" w14:textId="77777777" w:rsidR="00095358" w:rsidRPr="00B35E47" w:rsidRDefault="00095358" w:rsidP="00095358">
            <w:pPr>
              <w:contextualSpacing/>
              <w:jc w:val="left"/>
              <w:rPr>
                <w:rFonts w:ascii="Arial Narrow" w:hAnsi="Arial Narrow"/>
                <w:i/>
                <w:lang w:eastAsia="en-US"/>
              </w:rPr>
            </w:pPr>
          </w:p>
        </w:tc>
      </w:tr>
      <w:tr w:rsidR="00095358" w:rsidRPr="00B35E47" w14:paraId="0D24055B" w14:textId="77777777" w:rsidTr="00095358">
        <w:trPr>
          <w:trHeight w:val="255"/>
        </w:trPr>
        <w:tc>
          <w:tcPr>
            <w:tcW w:w="1412" w:type="pct"/>
            <w:tcBorders>
              <w:right w:val="single" w:sz="4" w:space="0" w:color="auto"/>
            </w:tcBorders>
            <w:noWrap/>
            <w:vAlign w:val="bottom"/>
          </w:tcPr>
          <w:p w14:paraId="02EC0419" w14:textId="77777777" w:rsidR="00095358" w:rsidRPr="00B35E47" w:rsidRDefault="00095358" w:rsidP="00095358">
            <w:pPr>
              <w:contextualSpacing/>
              <w:jc w:val="left"/>
              <w:rPr>
                <w:rFonts w:ascii="Arial Narrow" w:hAnsi="Arial Narrow"/>
                <w:lang w:eastAsia="en-US"/>
              </w:rPr>
            </w:pPr>
            <w:r w:rsidRPr="00B35E47">
              <w:rPr>
                <w:rFonts w:ascii="Arial Narrow" w:hAnsi="Arial Narrow" w:cs="Calibri"/>
                <w:color w:val="000000"/>
                <w:lang w:eastAsia="en-US"/>
              </w:rPr>
              <w:t>Net costs to MBS</w:t>
            </w:r>
          </w:p>
        </w:tc>
        <w:tc>
          <w:tcPr>
            <w:tcW w:w="786" w:type="pct"/>
            <w:gridSpan w:val="4"/>
            <w:tcBorders>
              <w:left w:val="single" w:sz="4" w:space="0" w:color="auto"/>
              <w:right w:val="single" w:sz="4" w:space="0" w:color="auto"/>
            </w:tcBorders>
            <w:noWrap/>
            <w:vAlign w:val="bottom"/>
          </w:tcPr>
          <w:p w14:paraId="3365E463"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$132,040</w:t>
            </w:r>
          </w:p>
        </w:tc>
        <w:tc>
          <w:tcPr>
            <w:tcW w:w="708" w:type="pct"/>
            <w:tcBorders>
              <w:left w:val="single" w:sz="4" w:space="0" w:color="auto"/>
              <w:right w:val="single" w:sz="4" w:space="0" w:color="auto"/>
            </w:tcBorders>
            <w:noWrap/>
            <w:vAlign w:val="bottom"/>
          </w:tcPr>
          <w:p w14:paraId="66F7715F"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$163,218</w:t>
            </w:r>
          </w:p>
        </w:tc>
        <w:tc>
          <w:tcPr>
            <w:tcW w:w="707" w:type="pct"/>
            <w:gridSpan w:val="4"/>
            <w:tcBorders>
              <w:left w:val="single" w:sz="4" w:space="0" w:color="auto"/>
              <w:right w:val="single" w:sz="4" w:space="0" w:color="auto"/>
            </w:tcBorders>
            <w:noWrap/>
            <w:vAlign w:val="bottom"/>
          </w:tcPr>
          <w:p w14:paraId="3DC53E53"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$200,209</w:t>
            </w:r>
          </w:p>
        </w:tc>
        <w:tc>
          <w:tcPr>
            <w:tcW w:w="708" w:type="pct"/>
            <w:tcBorders>
              <w:left w:val="single" w:sz="4" w:space="0" w:color="auto"/>
              <w:right w:val="single" w:sz="4" w:space="0" w:color="auto"/>
            </w:tcBorders>
            <w:noWrap/>
            <w:vAlign w:val="bottom"/>
          </w:tcPr>
          <w:p w14:paraId="52F4D6CF"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$243,999</w:t>
            </w:r>
          </w:p>
        </w:tc>
        <w:tc>
          <w:tcPr>
            <w:tcW w:w="679" w:type="pct"/>
            <w:tcBorders>
              <w:left w:val="single" w:sz="4" w:space="0" w:color="auto"/>
            </w:tcBorders>
            <w:noWrap/>
            <w:vAlign w:val="bottom"/>
          </w:tcPr>
          <w:p w14:paraId="15E1A92E"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$295,734</w:t>
            </w:r>
          </w:p>
        </w:tc>
      </w:tr>
      <w:tr w:rsidR="00095358" w:rsidRPr="00B35E47" w14:paraId="46B262F6" w14:textId="77777777" w:rsidTr="00095358">
        <w:trPr>
          <w:trHeight w:val="255"/>
        </w:trPr>
        <w:tc>
          <w:tcPr>
            <w:tcW w:w="1884" w:type="pct"/>
            <w:gridSpan w:val="3"/>
            <w:tcBorders>
              <w:right w:val="nil"/>
            </w:tcBorders>
            <w:noWrap/>
            <w:vAlign w:val="bottom"/>
            <w:hideMark/>
          </w:tcPr>
          <w:p w14:paraId="39EE3E03" w14:textId="77777777" w:rsidR="00095358" w:rsidRPr="00B35E47" w:rsidRDefault="00095358" w:rsidP="00095358">
            <w:pPr>
              <w:contextualSpacing/>
              <w:jc w:val="left"/>
              <w:rPr>
                <w:rFonts w:ascii="Arial Narrow" w:hAnsi="Arial Narrow"/>
                <w:i/>
                <w:iCs/>
                <w:lang w:eastAsia="en-US"/>
              </w:rPr>
            </w:pPr>
            <w:r w:rsidRPr="00B35E47">
              <w:rPr>
                <w:rFonts w:ascii="Arial Narrow" w:hAnsi="Arial Narrow" w:cs="Calibri"/>
                <w:i/>
                <w:iCs/>
                <w:color w:val="000000"/>
                <w:lang w:eastAsia="en-US"/>
              </w:rPr>
              <w:t>Sequential MOG tests- 10%</w:t>
            </w:r>
          </w:p>
        </w:tc>
        <w:tc>
          <w:tcPr>
            <w:tcW w:w="314" w:type="pct"/>
            <w:gridSpan w:val="2"/>
            <w:tcBorders>
              <w:left w:val="nil"/>
              <w:right w:val="nil"/>
            </w:tcBorders>
            <w:noWrap/>
            <w:hideMark/>
          </w:tcPr>
          <w:p w14:paraId="03CDDDA6" w14:textId="77777777" w:rsidR="00095358" w:rsidRPr="00B35E47" w:rsidRDefault="00095358" w:rsidP="00095358">
            <w:pPr>
              <w:contextualSpacing/>
              <w:jc w:val="left"/>
              <w:rPr>
                <w:rFonts w:ascii="Arial Narrow" w:hAnsi="Arial Narrow"/>
                <w:i/>
                <w:iCs/>
                <w:lang w:eastAsia="en-US"/>
              </w:rPr>
            </w:pPr>
          </w:p>
        </w:tc>
        <w:tc>
          <w:tcPr>
            <w:tcW w:w="708" w:type="pct"/>
            <w:tcBorders>
              <w:left w:val="nil"/>
              <w:right w:val="nil"/>
            </w:tcBorders>
            <w:noWrap/>
            <w:hideMark/>
          </w:tcPr>
          <w:p w14:paraId="0BBCD3A5" w14:textId="77777777" w:rsidR="00095358" w:rsidRPr="00B35E47" w:rsidRDefault="00095358" w:rsidP="00095358">
            <w:pPr>
              <w:contextualSpacing/>
              <w:jc w:val="left"/>
              <w:rPr>
                <w:rFonts w:ascii="Arial Narrow" w:hAnsi="Arial Narrow"/>
                <w:lang w:eastAsia="en-US"/>
              </w:rPr>
            </w:pPr>
          </w:p>
        </w:tc>
        <w:tc>
          <w:tcPr>
            <w:tcW w:w="707" w:type="pct"/>
            <w:gridSpan w:val="4"/>
            <w:tcBorders>
              <w:left w:val="nil"/>
              <w:right w:val="nil"/>
            </w:tcBorders>
            <w:noWrap/>
            <w:hideMark/>
          </w:tcPr>
          <w:p w14:paraId="6610061B" w14:textId="77777777" w:rsidR="00095358" w:rsidRPr="00B35E47" w:rsidRDefault="00095358" w:rsidP="00095358">
            <w:pPr>
              <w:contextualSpacing/>
              <w:jc w:val="left"/>
              <w:rPr>
                <w:rFonts w:ascii="Arial Narrow" w:hAnsi="Arial Narrow"/>
                <w:lang w:eastAsia="en-US"/>
              </w:rPr>
            </w:pPr>
          </w:p>
        </w:tc>
        <w:tc>
          <w:tcPr>
            <w:tcW w:w="708" w:type="pct"/>
            <w:tcBorders>
              <w:left w:val="nil"/>
              <w:right w:val="nil"/>
            </w:tcBorders>
            <w:noWrap/>
            <w:hideMark/>
          </w:tcPr>
          <w:p w14:paraId="0FC7173F" w14:textId="77777777" w:rsidR="00095358" w:rsidRPr="00B35E47" w:rsidRDefault="00095358" w:rsidP="00095358">
            <w:pPr>
              <w:contextualSpacing/>
              <w:jc w:val="left"/>
              <w:rPr>
                <w:rFonts w:ascii="Arial Narrow" w:hAnsi="Arial Narrow"/>
                <w:lang w:eastAsia="en-US"/>
              </w:rPr>
            </w:pPr>
          </w:p>
        </w:tc>
        <w:tc>
          <w:tcPr>
            <w:tcW w:w="679" w:type="pct"/>
            <w:tcBorders>
              <w:left w:val="nil"/>
            </w:tcBorders>
            <w:noWrap/>
            <w:hideMark/>
          </w:tcPr>
          <w:p w14:paraId="63D392C4" w14:textId="77777777" w:rsidR="00095358" w:rsidRPr="00B35E47" w:rsidRDefault="00095358" w:rsidP="00095358">
            <w:pPr>
              <w:contextualSpacing/>
              <w:jc w:val="left"/>
              <w:rPr>
                <w:rFonts w:ascii="Arial Narrow" w:hAnsi="Arial Narrow"/>
                <w:lang w:eastAsia="en-US"/>
              </w:rPr>
            </w:pPr>
          </w:p>
        </w:tc>
      </w:tr>
      <w:tr w:rsidR="00095358" w:rsidRPr="00B35E47" w14:paraId="59D5D38D" w14:textId="77777777" w:rsidTr="00095358">
        <w:trPr>
          <w:trHeight w:val="255"/>
        </w:trPr>
        <w:tc>
          <w:tcPr>
            <w:tcW w:w="1412" w:type="pct"/>
            <w:tcBorders>
              <w:bottom w:val="single" w:sz="4" w:space="0" w:color="auto"/>
            </w:tcBorders>
            <w:noWrap/>
            <w:vAlign w:val="bottom"/>
            <w:hideMark/>
          </w:tcPr>
          <w:p w14:paraId="448B5793" w14:textId="77777777" w:rsidR="00095358" w:rsidRPr="00B35E47" w:rsidRDefault="00095358" w:rsidP="00095358">
            <w:pPr>
              <w:contextualSpacing/>
              <w:jc w:val="left"/>
              <w:rPr>
                <w:rFonts w:ascii="Arial Narrow" w:hAnsi="Arial Narrow"/>
                <w:lang w:eastAsia="en-US"/>
              </w:rPr>
            </w:pPr>
            <w:r w:rsidRPr="00B35E47">
              <w:rPr>
                <w:rFonts w:ascii="Arial Narrow" w:hAnsi="Arial Narrow" w:cs="Calibri"/>
                <w:color w:val="000000"/>
                <w:lang w:eastAsia="en-US"/>
              </w:rPr>
              <w:t>Net costs to MBS</w:t>
            </w:r>
          </w:p>
        </w:tc>
        <w:tc>
          <w:tcPr>
            <w:tcW w:w="786" w:type="pct"/>
            <w:gridSpan w:val="4"/>
            <w:tcBorders>
              <w:bottom w:val="single" w:sz="4" w:space="0" w:color="auto"/>
            </w:tcBorders>
            <w:noWrap/>
            <w:vAlign w:val="bottom"/>
          </w:tcPr>
          <w:p w14:paraId="30AB84EF"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$158,343</w:t>
            </w:r>
          </w:p>
        </w:tc>
        <w:tc>
          <w:tcPr>
            <w:tcW w:w="708" w:type="pct"/>
            <w:tcBorders>
              <w:bottom w:val="single" w:sz="4" w:space="0" w:color="auto"/>
            </w:tcBorders>
            <w:noWrap/>
            <w:vAlign w:val="bottom"/>
          </w:tcPr>
          <w:p w14:paraId="3F17993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$193,465</w:t>
            </w:r>
          </w:p>
        </w:tc>
        <w:tc>
          <w:tcPr>
            <w:tcW w:w="707" w:type="pct"/>
            <w:gridSpan w:val="4"/>
            <w:tcBorders>
              <w:bottom w:val="single" w:sz="4" w:space="0" w:color="auto"/>
            </w:tcBorders>
            <w:noWrap/>
            <w:vAlign w:val="bottom"/>
          </w:tcPr>
          <w:p w14:paraId="075CDAE0"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$234,993</w:t>
            </w:r>
          </w:p>
        </w:tc>
        <w:tc>
          <w:tcPr>
            <w:tcW w:w="708" w:type="pct"/>
            <w:tcBorders>
              <w:bottom w:val="single" w:sz="4" w:space="0" w:color="auto"/>
            </w:tcBorders>
            <w:noWrap/>
            <w:vAlign w:val="bottom"/>
          </w:tcPr>
          <w:p w14:paraId="1045705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$284,001</w:t>
            </w:r>
          </w:p>
        </w:tc>
        <w:tc>
          <w:tcPr>
            <w:tcW w:w="679" w:type="pct"/>
            <w:tcBorders>
              <w:bottom w:val="single" w:sz="4" w:space="0" w:color="auto"/>
            </w:tcBorders>
            <w:noWrap/>
            <w:vAlign w:val="bottom"/>
          </w:tcPr>
          <w:p w14:paraId="52F3461E"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$341,736</w:t>
            </w:r>
          </w:p>
        </w:tc>
      </w:tr>
      <w:tr w:rsidR="00095358" w:rsidRPr="00B35E47" w14:paraId="545323B1" w14:textId="77777777" w:rsidTr="00095358">
        <w:trPr>
          <w:trHeight w:val="255"/>
        </w:trPr>
        <w:tc>
          <w:tcPr>
            <w:tcW w:w="2041" w:type="pct"/>
            <w:gridSpan w:val="4"/>
            <w:tcBorders>
              <w:right w:val="nil"/>
            </w:tcBorders>
            <w:noWrap/>
            <w:vAlign w:val="bottom"/>
            <w:hideMark/>
          </w:tcPr>
          <w:p w14:paraId="7B219C37" w14:textId="77777777" w:rsidR="00095358" w:rsidRPr="00B35E47" w:rsidRDefault="00095358" w:rsidP="00095358">
            <w:pPr>
              <w:contextualSpacing/>
              <w:jc w:val="left"/>
              <w:rPr>
                <w:rFonts w:ascii="Arial Narrow" w:hAnsi="Arial Narrow"/>
                <w:i/>
                <w:lang w:eastAsia="en-US"/>
              </w:rPr>
            </w:pPr>
            <w:r w:rsidRPr="00B35E47">
              <w:rPr>
                <w:rFonts w:ascii="Arial Narrow" w:hAnsi="Arial Narrow" w:cs="Calibri"/>
                <w:color w:val="000000"/>
                <w:lang w:eastAsia="en-US"/>
              </w:rPr>
              <w:t>Sonic's share in the private sector -60%</w:t>
            </w:r>
          </w:p>
        </w:tc>
        <w:tc>
          <w:tcPr>
            <w:tcW w:w="157" w:type="pct"/>
            <w:tcBorders>
              <w:left w:val="nil"/>
              <w:right w:val="nil"/>
            </w:tcBorders>
            <w:noWrap/>
            <w:hideMark/>
          </w:tcPr>
          <w:p w14:paraId="5372DB92" w14:textId="77777777" w:rsidR="00095358" w:rsidRPr="00B35E47" w:rsidRDefault="00095358" w:rsidP="00095358">
            <w:pPr>
              <w:contextualSpacing/>
              <w:jc w:val="right"/>
              <w:rPr>
                <w:rFonts w:ascii="Arial Narrow" w:hAnsi="Arial Narrow"/>
                <w:lang w:eastAsia="en-US"/>
              </w:rPr>
            </w:pPr>
          </w:p>
        </w:tc>
        <w:tc>
          <w:tcPr>
            <w:tcW w:w="708" w:type="pct"/>
            <w:tcBorders>
              <w:left w:val="nil"/>
              <w:right w:val="nil"/>
            </w:tcBorders>
            <w:noWrap/>
            <w:hideMark/>
          </w:tcPr>
          <w:p w14:paraId="785E57F6" w14:textId="77777777" w:rsidR="00095358" w:rsidRPr="00B35E47" w:rsidRDefault="00095358" w:rsidP="00095358">
            <w:pPr>
              <w:contextualSpacing/>
              <w:jc w:val="right"/>
              <w:rPr>
                <w:rFonts w:ascii="Arial Narrow" w:hAnsi="Arial Narrow"/>
                <w:lang w:eastAsia="en-US"/>
              </w:rPr>
            </w:pPr>
          </w:p>
        </w:tc>
        <w:tc>
          <w:tcPr>
            <w:tcW w:w="707" w:type="pct"/>
            <w:gridSpan w:val="4"/>
            <w:tcBorders>
              <w:left w:val="nil"/>
              <w:right w:val="nil"/>
            </w:tcBorders>
            <w:noWrap/>
            <w:hideMark/>
          </w:tcPr>
          <w:p w14:paraId="56617619" w14:textId="77777777" w:rsidR="00095358" w:rsidRPr="00B35E47" w:rsidRDefault="00095358" w:rsidP="00095358">
            <w:pPr>
              <w:contextualSpacing/>
              <w:jc w:val="right"/>
              <w:rPr>
                <w:rFonts w:ascii="Arial Narrow" w:hAnsi="Arial Narrow"/>
                <w:lang w:eastAsia="en-US"/>
              </w:rPr>
            </w:pPr>
          </w:p>
        </w:tc>
        <w:tc>
          <w:tcPr>
            <w:tcW w:w="708" w:type="pct"/>
            <w:tcBorders>
              <w:left w:val="nil"/>
              <w:right w:val="nil"/>
            </w:tcBorders>
            <w:noWrap/>
            <w:hideMark/>
          </w:tcPr>
          <w:p w14:paraId="73FC6F20" w14:textId="77777777" w:rsidR="00095358" w:rsidRPr="00B35E47" w:rsidRDefault="00095358" w:rsidP="00095358">
            <w:pPr>
              <w:contextualSpacing/>
              <w:jc w:val="right"/>
              <w:rPr>
                <w:rFonts w:ascii="Arial Narrow" w:hAnsi="Arial Narrow"/>
                <w:lang w:eastAsia="en-US"/>
              </w:rPr>
            </w:pPr>
          </w:p>
        </w:tc>
        <w:tc>
          <w:tcPr>
            <w:tcW w:w="679" w:type="pct"/>
            <w:tcBorders>
              <w:left w:val="nil"/>
            </w:tcBorders>
            <w:noWrap/>
            <w:hideMark/>
          </w:tcPr>
          <w:p w14:paraId="36401ADB" w14:textId="77777777" w:rsidR="00095358" w:rsidRPr="00B35E47" w:rsidRDefault="00095358" w:rsidP="00095358">
            <w:pPr>
              <w:contextualSpacing/>
              <w:jc w:val="right"/>
              <w:rPr>
                <w:rFonts w:ascii="Arial Narrow" w:hAnsi="Arial Narrow"/>
                <w:lang w:eastAsia="en-US"/>
              </w:rPr>
            </w:pPr>
          </w:p>
        </w:tc>
      </w:tr>
      <w:tr w:rsidR="00095358" w:rsidRPr="00B35E47" w14:paraId="186AEAA4" w14:textId="77777777" w:rsidTr="00095358">
        <w:trPr>
          <w:trHeight w:val="255"/>
        </w:trPr>
        <w:tc>
          <w:tcPr>
            <w:tcW w:w="1412" w:type="pct"/>
            <w:tcBorders>
              <w:bottom w:val="single" w:sz="4" w:space="0" w:color="auto"/>
            </w:tcBorders>
            <w:noWrap/>
            <w:vAlign w:val="bottom"/>
            <w:hideMark/>
          </w:tcPr>
          <w:p w14:paraId="148D18DE" w14:textId="77777777" w:rsidR="00095358" w:rsidRPr="00B35E47" w:rsidRDefault="00095358" w:rsidP="00095358">
            <w:pPr>
              <w:contextualSpacing/>
              <w:jc w:val="left"/>
              <w:rPr>
                <w:rFonts w:ascii="Arial Narrow" w:hAnsi="Arial Narrow"/>
                <w:lang w:eastAsia="en-US"/>
              </w:rPr>
            </w:pPr>
            <w:r w:rsidRPr="00B35E47">
              <w:rPr>
                <w:rFonts w:ascii="Arial Narrow" w:hAnsi="Arial Narrow" w:cs="Calibri"/>
                <w:color w:val="000000"/>
                <w:lang w:eastAsia="en-US"/>
              </w:rPr>
              <w:t>Net costs to MBS</w:t>
            </w:r>
          </w:p>
        </w:tc>
        <w:tc>
          <w:tcPr>
            <w:tcW w:w="786" w:type="pct"/>
            <w:gridSpan w:val="4"/>
            <w:tcBorders>
              <w:bottom w:val="single" w:sz="4" w:space="0" w:color="auto"/>
            </w:tcBorders>
            <w:noWrap/>
            <w:vAlign w:val="bottom"/>
          </w:tcPr>
          <w:p w14:paraId="03FFAEC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$116,536</w:t>
            </w:r>
          </w:p>
        </w:tc>
        <w:tc>
          <w:tcPr>
            <w:tcW w:w="708" w:type="pct"/>
            <w:tcBorders>
              <w:bottom w:val="single" w:sz="4" w:space="0" w:color="auto"/>
            </w:tcBorders>
            <w:noWrap/>
            <w:vAlign w:val="bottom"/>
          </w:tcPr>
          <w:p w14:paraId="02E0CFA1"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$144,684</w:t>
            </w:r>
          </w:p>
        </w:tc>
        <w:tc>
          <w:tcPr>
            <w:tcW w:w="707" w:type="pct"/>
            <w:gridSpan w:val="4"/>
            <w:tcBorders>
              <w:bottom w:val="single" w:sz="4" w:space="0" w:color="auto"/>
            </w:tcBorders>
            <w:noWrap/>
            <w:vAlign w:val="bottom"/>
          </w:tcPr>
          <w:p w14:paraId="058A03F9"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$178,121</w:t>
            </w:r>
          </w:p>
        </w:tc>
        <w:tc>
          <w:tcPr>
            <w:tcW w:w="708" w:type="pct"/>
            <w:tcBorders>
              <w:bottom w:val="single" w:sz="4" w:space="0" w:color="auto"/>
            </w:tcBorders>
            <w:noWrap/>
            <w:vAlign w:val="bottom"/>
          </w:tcPr>
          <w:p w14:paraId="1AC70895"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$217,747</w:t>
            </w:r>
          </w:p>
        </w:tc>
        <w:tc>
          <w:tcPr>
            <w:tcW w:w="679" w:type="pct"/>
            <w:tcBorders>
              <w:bottom w:val="single" w:sz="4" w:space="0" w:color="auto"/>
            </w:tcBorders>
            <w:noWrap/>
            <w:vAlign w:val="bottom"/>
          </w:tcPr>
          <w:p w14:paraId="60A0EB2C"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$264,607</w:t>
            </w:r>
          </w:p>
        </w:tc>
      </w:tr>
      <w:tr w:rsidR="00095358" w:rsidRPr="00B35E47" w14:paraId="0AB23FA6" w14:textId="77777777" w:rsidTr="00095358">
        <w:trPr>
          <w:trHeight w:val="255"/>
        </w:trPr>
        <w:tc>
          <w:tcPr>
            <w:tcW w:w="1884" w:type="pct"/>
            <w:gridSpan w:val="3"/>
            <w:tcBorders>
              <w:right w:val="nil"/>
            </w:tcBorders>
            <w:noWrap/>
            <w:vAlign w:val="bottom"/>
            <w:hideMark/>
          </w:tcPr>
          <w:p w14:paraId="58B843BC" w14:textId="77777777" w:rsidR="00095358" w:rsidRPr="00B35E47" w:rsidRDefault="00095358" w:rsidP="00095358">
            <w:pPr>
              <w:contextualSpacing/>
              <w:jc w:val="left"/>
              <w:rPr>
                <w:rFonts w:ascii="Arial Narrow" w:hAnsi="Arial Narrow"/>
                <w:i/>
                <w:lang w:eastAsia="en-US"/>
              </w:rPr>
            </w:pPr>
            <w:r w:rsidRPr="00B35E47">
              <w:rPr>
                <w:rFonts w:ascii="Arial Narrow" w:hAnsi="Arial Narrow" w:cs="Calibri"/>
                <w:color w:val="000000"/>
                <w:lang w:eastAsia="en-US"/>
              </w:rPr>
              <w:t>Sonic's share in the private sector -80%</w:t>
            </w:r>
          </w:p>
        </w:tc>
        <w:tc>
          <w:tcPr>
            <w:tcW w:w="314" w:type="pct"/>
            <w:gridSpan w:val="2"/>
            <w:tcBorders>
              <w:left w:val="nil"/>
              <w:right w:val="nil"/>
            </w:tcBorders>
            <w:noWrap/>
            <w:hideMark/>
          </w:tcPr>
          <w:p w14:paraId="300B58F1" w14:textId="77777777" w:rsidR="00095358" w:rsidRPr="00B35E47" w:rsidRDefault="00095358" w:rsidP="00095358">
            <w:pPr>
              <w:contextualSpacing/>
              <w:jc w:val="left"/>
              <w:rPr>
                <w:rFonts w:ascii="Arial Narrow" w:hAnsi="Arial Narrow"/>
                <w:i/>
                <w:lang w:eastAsia="en-US"/>
              </w:rPr>
            </w:pPr>
          </w:p>
        </w:tc>
        <w:tc>
          <w:tcPr>
            <w:tcW w:w="708" w:type="pct"/>
            <w:tcBorders>
              <w:left w:val="nil"/>
              <w:right w:val="nil"/>
            </w:tcBorders>
            <w:noWrap/>
            <w:hideMark/>
          </w:tcPr>
          <w:p w14:paraId="3E5FE0A1" w14:textId="77777777" w:rsidR="00095358" w:rsidRPr="00B35E47" w:rsidRDefault="00095358" w:rsidP="00095358">
            <w:pPr>
              <w:contextualSpacing/>
              <w:jc w:val="left"/>
              <w:rPr>
                <w:rFonts w:ascii="Arial Narrow" w:hAnsi="Arial Narrow"/>
                <w:i/>
                <w:lang w:eastAsia="en-US"/>
              </w:rPr>
            </w:pPr>
          </w:p>
        </w:tc>
        <w:tc>
          <w:tcPr>
            <w:tcW w:w="707" w:type="pct"/>
            <w:gridSpan w:val="4"/>
            <w:tcBorders>
              <w:left w:val="nil"/>
              <w:right w:val="nil"/>
            </w:tcBorders>
            <w:noWrap/>
            <w:hideMark/>
          </w:tcPr>
          <w:p w14:paraId="7F395A79" w14:textId="77777777" w:rsidR="00095358" w:rsidRPr="00B35E47" w:rsidRDefault="00095358" w:rsidP="00095358">
            <w:pPr>
              <w:contextualSpacing/>
              <w:jc w:val="left"/>
              <w:rPr>
                <w:rFonts w:ascii="Arial Narrow" w:hAnsi="Arial Narrow"/>
                <w:i/>
                <w:lang w:eastAsia="en-US"/>
              </w:rPr>
            </w:pPr>
          </w:p>
        </w:tc>
        <w:tc>
          <w:tcPr>
            <w:tcW w:w="708" w:type="pct"/>
            <w:tcBorders>
              <w:left w:val="nil"/>
              <w:right w:val="nil"/>
            </w:tcBorders>
            <w:noWrap/>
            <w:hideMark/>
          </w:tcPr>
          <w:p w14:paraId="5650D9EE" w14:textId="77777777" w:rsidR="00095358" w:rsidRPr="00B35E47" w:rsidRDefault="00095358" w:rsidP="00095358">
            <w:pPr>
              <w:contextualSpacing/>
              <w:jc w:val="left"/>
              <w:rPr>
                <w:rFonts w:ascii="Arial Narrow" w:hAnsi="Arial Narrow"/>
                <w:i/>
                <w:lang w:eastAsia="en-US"/>
              </w:rPr>
            </w:pPr>
          </w:p>
        </w:tc>
        <w:tc>
          <w:tcPr>
            <w:tcW w:w="679" w:type="pct"/>
            <w:tcBorders>
              <w:left w:val="nil"/>
            </w:tcBorders>
            <w:noWrap/>
            <w:hideMark/>
          </w:tcPr>
          <w:p w14:paraId="76C5509B" w14:textId="77777777" w:rsidR="00095358" w:rsidRPr="00B35E47" w:rsidRDefault="00095358" w:rsidP="00095358">
            <w:pPr>
              <w:contextualSpacing/>
              <w:jc w:val="left"/>
              <w:rPr>
                <w:rFonts w:ascii="Arial Narrow" w:hAnsi="Arial Narrow"/>
                <w:i/>
                <w:lang w:eastAsia="en-US"/>
              </w:rPr>
            </w:pPr>
          </w:p>
        </w:tc>
      </w:tr>
      <w:tr w:rsidR="00095358" w:rsidRPr="00B35E47" w14:paraId="7B98F459" w14:textId="77777777" w:rsidTr="00095358">
        <w:trPr>
          <w:trHeight w:val="255"/>
        </w:trPr>
        <w:tc>
          <w:tcPr>
            <w:tcW w:w="1412" w:type="pct"/>
            <w:tcBorders>
              <w:bottom w:val="single" w:sz="4" w:space="0" w:color="auto"/>
            </w:tcBorders>
            <w:noWrap/>
            <w:vAlign w:val="bottom"/>
            <w:hideMark/>
          </w:tcPr>
          <w:p w14:paraId="73408829" w14:textId="77777777" w:rsidR="00095358" w:rsidRPr="00B35E47" w:rsidRDefault="00095358" w:rsidP="00095358">
            <w:pPr>
              <w:contextualSpacing/>
              <w:jc w:val="left"/>
              <w:rPr>
                <w:rFonts w:ascii="Arial Narrow" w:hAnsi="Arial Narrow"/>
                <w:lang w:eastAsia="en-US"/>
              </w:rPr>
            </w:pPr>
            <w:r w:rsidRPr="00B35E47">
              <w:rPr>
                <w:rFonts w:ascii="Arial Narrow" w:hAnsi="Arial Narrow" w:cs="Calibri"/>
                <w:color w:val="000000"/>
                <w:lang w:eastAsia="en-US"/>
              </w:rPr>
              <w:t>Net costs to MBS</w:t>
            </w:r>
          </w:p>
        </w:tc>
        <w:tc>
          <w:tcPr>
            <w:tcW w:w="786" w:type="pct"/>
            <w:gridSpan w:val="4"/>
            <w:tcBorders>
              <w:bottom w:val="single" w:sz="4" w:space="0" w:color="auto"/>
            </w:tcBorders>
            <w:noWrap/>
            <w:vAlign w:val="bottom"/>
          </w:tcPr>
          <w:p w14:paraId="0DB48A54"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$104,400</w:t>
            </w:r>
          </w:p>
        </w:tc>
        <w:tc>
          <w:tcPr>
            <w:tcW w:w="708" w:type="pct"/>
            <w:tcBorders>
              <w:bottom w:val="single" w:sz="4" w:space="0" w:color="auto"/>
            </w:tcBorders>
            <w:noWrap/>
            <w:vAlign w:val="bottom"/>
          </w:tcPr>
          <w:p w14:paraId="622B6EB0"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$130,376</w:t>
            </w:r>
          </w:p>
        </w:tc>
        <w:tc>
          <w:tcPr>
            <w:tcW w:w="707" w:type="pct"/>
            <w:gridSpan w:val="4"/>
            <w:tcBorders>
              <w:bottom w:val="single" w:sz="4" w:space="0" w:color="auto"/>
            </w:tcBorders>
            <w:noWrap/>
            <w:vAlign w:val="bottom"/>
          </w:tcPr>
          <w:p w14:paraId="37423C4A"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$161,280</w:t>
            </w:r>
          </w:p>
        </w:tc>
        <w:tc>
          <w:tcPr>
            <w:tcW w:w="708" w:type="pct"/>
            <w:tcBorders>
              <w:bottom w:val="single" w:sz="4" w:space="0" w:color="auto"/>
            </w:tcBorders>
            <w:noWrap/>
            <w:vAlign w:val="bottom"/>
          </w:tcPr>
          <w:p w14:paraId="030FC15F"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$197,954</w:t>
            </w:r>
          </w:p>
        </w:tc>
        <w:tc>
          <w:tcPr>
            <w:tcW w:w="679" w:type="pct"/>
            <w:tcBorders>
              <w:bottom w:val="single" w:sz="4" w:space="0" w:color="auto"/>
            </w:tcBorders>
            <w:noWrap/>
            <w:vAlign w:val="bottom"/>
          </w:tcPr>
          <w:p w14:paraId="0E7A0EDD"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$241,377</w:t>
            </w:r>
          </w:p>
        </w:tc>
      </w:tr>
      <w:tr w:rsidR="00095358" w:rsidRPr="00B35E47" w14:paraId="6E184A8C" w14:textId="77777777" w:rsidTr="00095358">
        <w:trPr>
          <w:trHeight w:val="255"/>
        </w:trPr>
        <w:tc>
          <w:tcPr>
            <w:tcW w:w="1806" w:type="pct"/>
            <w:gridSpan w:val="2"/>
            <w:tcBorders>
              <w:right w:val="nil"/>
            </w:tcBorders>
            <w:noWrap/>
            <w:vAlign w:val="bottom"/>
            <w:hideMark/>
          </w:tcPr>
          <w:p w14:paraId="35E2F6CA" w14:textId="77777777" w:rsidR="00095358" w:rsidRPr="00B35E47" w:rsidRDefault="00095358" w:rsidP="00095358">
            <w:pPr>
              <w:contextualSpacing/>
              <w:jc w:val="left"/>
              <w:rPr>
                <w:rFonts w:ascii="Arial Narrow" w:hAnsi="Arial Narrow"/>
                <w:i/>
                <w:lang w:eastAsia="en-US"/>
              </w:rPr>
            </w:pPr>
            <w:r w:rsidRPr="00B35E47">
              <w:rPr>
                <w:rFonts w:ascii="Arial Narrow" w:hAnsi="Arial Narrow" w:cs="Calibri"/>
                <w:color w:val="000000"/>
                <w:lang w:eastAsia="en-US"/>
              </w:rPr>
              <w:t>Current share of MBS 71119 - 100%</w:t>
            </w:r>
          </w:p>
        </w:tc>
        <w:tc>
          <w:tcPr>
            <w:tcW w:w="392" w:type="pct"/>
            <w:gridSpan w:val="3"/>
            <w:tcBorders>
              <w:left w:val="nil"/>
              <w:right w:val="nil"/>
            </w:tcBorders>
            <w:noWrap/>
            <w:hideMark/>
          </w:tcPr>
          <w:p w14:paraId="5F2271FB" w14:textId="77777777" w:rsidR="00095358" w:rsidRPr="00B35E47" w:rsidRDefault="00095358" w:rsidP="00095358">
            <w:pPr>
              <w:contextualSpacing/>
              <w:jc w:val="left"/>
              <w:rPr>
                <w:rFonts w:ascii="Arial Narrow" w:hAnsi="Arial Narrow"/>
                <w:i/>
                <w:lang w:eastAsia="en-US"/>
              </w:rPr>
            </w:pPr>
          </w:p>
        </w:tc>
        <w:tc>
          <w:tcPr>
            <w:tcW w:w="708" w:type="pct"/>
            <w:tcBorders>
              <w:left w:val="nil"/>
              <w:right w:val="nil"/>
            </w:tcBorders>
            <w:noWrap/>
            <w:hideMark/>
          </w:tcPr>
          <w:p w14:paraId="477B98C7" w14:textId="77777777" w:rsidR="00095358" w:rsidRPr="00B35E47" w:rsidRDefault="00095358" w:rsidP="00095358">
            <w:pPr>
              <w:contextualSpacing/>
              <w:jc w:val="left"/>
              <w:rPr>
                <w:rFonts w:ascii="Arial Narrow" w:hAnsi="Arial Narrow"/>
                <w:i/>
                <w:lang w:eastAsia="en-US"/>
              </w:rPr>
            </w:pPr>
          </w:p>
        </w:tc>
        <w:tc>
          <w:tcPr>
            <w:tcW w:w="707" w:type="pct"/>
            <w:gridSpan w:val="4"/>
            <w:tcBorders>
              <w:left w:val="nil"/>
              <w:right w:val="nil"/>
            </w:tcBorders>
            <w:noWrap/>
            <w:hideMark/>
          </w:tcPr>
          <w:p w14:paraId="6BA0E807" w14:textId="77777777" w:rsidR="00095358" w:rsidRPr="00B35E47" w:rsidRDefault="00095358" w:rsidP="00095358">
            <w:pPr>
              <w:contextualSpacing/>
              <w:jc w:val="left"/>
              <w:rPr>
                <w:rFonts w:ascii="Arial Narrow" w:hAnsi="Arial Narrow"/>
                <w:i/>
                <w:lang w:eastAsia="en-US"/>
              </w:rPr>
            </w:pPr>
          </w:p>
        </w:tc>
        <w:tc>
          <w:tcPr>
            <w:tcW w:w="708" w:type="pct"/>
            <w:tcBorders>
              <w:left w:val="nil"/>
              <w:right w:val="nil"/>
            </w:tcBorders>
            <w:noWrap/>
            <w:hideMark/>
          </w:tcPr>
          <w:p w14:paraId="16F2374D" w14:textId="77777777" w:rsidR="00095358" w:rsidRPr="00B35E47" w:rsidRDefault="00095358" w:rsidP="00095358">
            <w:pPr>
              <w:contextualSpacing/>
              <w:jc w:val="left"/>
              <w:rPr>
                <w:rFonts w:ascii="Arial Narrow" w:hAnsi="Arial Narrow"/>
                <w:i/>
                <w:lang w:eastAsia="en-US"/>
              </w:rPr>
            </w:pPr>
          </w:p>
        </w:tc>
        <w:tc>
          <w:tcPr>
            <w:tcW w:w="679" w:type="pct"/>
            <w:tcBorders>
              <w:left w:val="nil"/>
            </w:tcBorders>
            <w:noWrap/>
            <w:hideMark/>
          </w:tcPr>
          <w:p w14:paraId="65404808" w14:textId="77777777" w:rsidR="00095358" w:rsidRPr="00B35E47" w:rsidRDefault="00095358" w:rsidP="00095358">
            <w:pPr>
              <w:contextualSpacing/>
              <w:jc w:val="left"/>
              <w:rPr>
                <w:rFonts w:ascii="Arial Narrow" w:hAnsi="Arial Narrow"/>
                <w:i/>
                <w:lang w:eastAsia="en-US"/>
              </w:rPr>
            </w:pPr>
          </w:p>
        </w:tc>
      </w:tr>
      <w:tr w:rsidR="00095358" w:rsidRPr="00B35E47" w14:paraId="6BEB459A" w14:textId="77777777" w:rsidTr="00095358">
        <w:trPr>
          <w:trHeight w:val="255"/>
        </w:trPr>
        <w:tc>
          <w:tcPr>
            <w:tcW w:w="1412" w:type="pct"/>
            <w:tcBorders>
              <w:bottom w:val="single" w:sz="4" w:space="0" w:color="auto"/>
            </w:tcBorders>
            <w:noWrap/>
            <w:vAlign w:val="bottom"/>
            <w:hideMark/>
          </w:tcPr>
          <w:p w14:paraId="34F0CF6D" w14:textId="77777777" w:rsidR="00095358" w:rsidRPr="00B35E47" w:rsidRDefault="00095358" w:rsidP="00095358">
            <w:pPr>
              <w:contextualSpacing/>
              <w:jc w:val="left"/>
              <w:rPr>
                <w:rFonts w:ascii="Arial Narrow" w:hAnsi="Arial Narrow"/>
                <w:lang w:eastAsia="en-US"/>
              </w:rPr>
            </w:pPr>
            <w:r w:rsidRPr="00B35E47">
              <w:rPr>
                <w:rFonts w:ascii="Arial Narrow" w:hAnsi="Arial Narrow" w:cs="Calibri"/>
                <w:color w:val="000000"/>
                <w:lang w:eastAsia="en-US"/>
              </w:rPr>
              <w:t>Net costs to MBS</w:t>
            </w:r>
          </w:p>
        </w:tc>
        <w:tc>
          <w:tcPr>
            <w:tcW w:w="786" w:type="pct"/>
            <w:gridSpan w:val="4"/>
            <w:tcBorders>
              <w:bottom w:val="single" w:sz="4" w:space="0" w:color="auto"/>
            </w:tcBorders>
            <w:noWrap/>
          </w:tcPr>
          <w:p w14:paraId="15525819"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$98,883</w:t>
            </w:r>
          </w:p>
        </w:tc>
        <w:tc>
          <w:tcPr>
            <w:tcW w:w="708" w:type="pct"/>
            <w:tcBorders>
              <w:bottom w:val="single" w:sz="4" w:space="0" w:color="auto"/>
            </w:tcBorders>
            <w:noWrap/>
          </w:tcPr>
          <w:p w14:paraId="130A863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$127,183</w:t>
            </w:r>
          </w:p>
        </w:tc>
        <w:tc>
          <w:tcPr>
            <w:tcW w:w="707" w:type="pct"/>
            <w:gridSpan w:val="4"/>
            <w:tcBorders>
              <w:bottom w:val="single" w:sz="4" w:space="0" w:color="auto"/>
            </w:tcBorders>
            <w:noWrap/>
          </w:tcPr>
          <w:p w14:paraId="15CB71E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$161,075</w:t>
            </w:r>
          </w:p>
        </w:tc>
        <w:tc>
          <w:tcPr>
            <w:tcW w:w="708" w:type="pct"/>
            <w:tcBorders>
              <w:bottom w:val="single" w:sz="4" w:space="0" w:color="auto"/>
            </w:tcBorders>
            <w:noWrap/>
          </w:tcPr>
          <w:p w14:paraId="38DD6BCE"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$201,531</w:t>
            </w:r>
          </w:p>
        </w:tc>
        <w:tc>
          <w:tcPr>
            <w:tcW w:w="679" w:type="pct"/>
            <w:tcBorders>
              <w:bottom w:val="single" w:sz="4" w:space="0" w:color="auto"/>
            </w:tcBorders>
            <w:noWrap/>
          </w:tcPr>
          <w:p w14:paraId="217DA33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$249,686</w:t>
            </w:r>
          </w:p>
        </w:tc>
      </w:tr>
      <w:tr w:rsidR="00095358" w:rsidRPr="00B35E47" w14:paraId="1627DC26" w14:textId="77777777" w:rsidTr="00095358">
        <w:trPr>
          <w:trHeight w:val="255"/>
        </w:trPr>
        <w:tc>
          <w:tcPr>
            <w:tcW w:w="1806" w:type="pct"/>
            <w:gridSpan w:val="2"/>
            <w:tcBorders>
              <w:right w:val="nil"/>
            </w:tcBorders>
            <w:noWrap/>
            <w:vAlign w:val="bottom"/>
          </w:tcPr>
          <w:p w14:paraId="3BDA0FDE" w14:textId="77777777" w:rsidR="00095358" w:rsidRPr="00B35E47" w:rsidRDefault="00095358" w:rsidP="00095358">
            <w:pPr>
              <w:contextualSpacing/>
              <w:jc w:val="left"/>
              <w:rPr>
                <w:rFonts w:ascii="Arial Narrow" w:hAnsi="Arial Narrow" w:cs="Calibri"/>
                <w:color w:val="000000"/>
                <w:lang w:eastAsia="en-US"/>
              </w:rPr>
            </w:pPr>
            <w:r w:rsidRPr="00B35E47">
              <w:rPr>
                <w:rFonts w:ascii="Arial Narrow" w:hAnsi="Arial Narrow" w:cs="Calibri"/>
                <w:color w:val="000000"/>
                <w:lang w:eastAsia="en-US"/>
              </w:rPr>
              <w:t>Current share of MBS 71165 - 100%</w:t>
            </w:r>
          </w:p>
        </w:tc>
        <w:tc>
          <w:tcPr>
            <w:tcW w:w="392" w:type="pct"/>
            <w:gridSpan w:val="3"/>
            <w:tcBorders>
              <w:left w:val="nil"/>
              <w:right w:val="nil"/>
            </w:tcBorders>
            <w:noWrap/>
            <w:vAlign w:val="bottom"/>
          </w:tcPr>
          <w:p w14:paraId="379F9948" w14:textId="77777777" w:rsidR="00095358" w:rsidRPr="00B35E47" w:rsidRDefault="00095358" w:rsidP="00095358">
            <w:pPr>
              <w:contextualSpacing/>
              <w:jc w:val="right"/>
              <w:rPr>
                <w:rFonts w:ascii="Arial Narrow" w:hAnsi="Arial Narrow"/>
                <w:lang w:eastAsia="en-US"/>
              </w:rPr>
            </w:pPr>
          </w:p>
        </w:tc>
        <w:tc>
          <w:tcPr>
            <w:tcW w:w="708" w:type="pct"/>
            <w:tcBorders>
              <w:left w:val="nil"/>
              <w:right w:val="nil"/>
            </w:tcBorders>
            <w:noWrap/>
            <w:vAlign w:val="bottom"/>
          </w:tcPr>
          <w:p w14:paraId="00C82CA3" w14:textId="77777777" w:rsidR="00095358" w:rsidRPr="00B35E47" w:rsidRDefault="00095358" w:rsidP="00095358">
            <w:pPr>
              <w:contextualSpacing/>
              <w:jc w:val="right"/>
              <w:rPr>
                <w:rFonts w:ascii="Arial Narrow" w:hAnsi="Arial Narrow"/>
                <w:lang w:eastAsia="en-US"/>
              </w:rPr>
            </w:pPr>
          </w:p>
        </w:tc>
        <w:tc>
          <w:tcPr>
            <w:tcW w:w="707" w:type="pct"/>
            <w:gridSpan w:val="4"/>
            <w:tcBorders>
              <w:left w:val="nil"/>
              <w:right w:val="nil"/>
            </w:tcBorders>
            <w:noWrap/>
            <w:vAlign w:val="bottom"/>
          </w:tcPr>
          <w:p w14:paraId="1A6515A6" w14:textId="77777777" w:rsidR="00095358" w:rsidRPr="00B35E47" w:rsidRDefault="00095358" w:rsidP="00095358">
            <w:pPr>
              <w:contextualSpacing/>
              <w:jc w:val="right"/>
              <w:rPr>
                <w:rFonts w:ascii="Arial Narrow" w:hAnsi="Arial Narrow"/>
                <w:lang w:eastAsia="en-US"/>
              </w:rPr>
            </w:pPr>
          </w:p>
        </w:tc>
        <w:tc>
          <w:tcPr>
            <w:tcW w:w="708" w:type="pct"/>
            <w:tcBorders>
              <w:left w:val="nil"/>
              <w:right w:val="nil"/>
            </w:tcBorders>
            <w:noWrap/>
            <w:vAlign w:val="bottom"/>
          </w:tcPr>
          <w:p w14:paraId="32FC5022" w14:textId="77777777" w:rsidR="00095358" w:rsidRPr="00B35E47" w:rsidRDefault="00095358" w:rsidP="00095358">
            <w:pPr>
              <w:contextualSpacing/>
              <w:jc w:val="right"/>
              <w:rPr>
                <w:rFonts w:ascii="Arial Narrow" w:hAnsi="Arial Narrow"/>
                <w:lang w:eastAsia="en-US"/>
              </w:rPr>
            </w:pPr>
          </w:p>
        </w:tc>
        <w:tc>
          <w:tcPr>
            <w:tcW w:w="679" w:type="pct"/>
            <w:tcBorders>
              <w:left w:val="nil"/>
            </w:tcBorders>
            <w:noWrap/>
            <w:vAlign w:val="bottom"/>
          </w:tcPr>
          <w:p w14:paraId="149AEAA1" w14:textId="77777777" w:rsidR="00095358" w:rsidRPr="00B35E47" w:rsidRDefault="00095358" w:rsidP="00095358">
            <w:pPr>
              <w:contextualSpacing/>
              <w:jc w:val="right"/>
              <w:rPr>
                <w:rFonts w:ascii="Arial Narrow" w:hAnsi="Arial Narrow"/>
                <w:lang w:eastAsia="en-US"/>
              </w:rPr>
            </w:pPr>
          </w:p>
        </w:tc>
      </w:tr>
      <w:tr w:rsidR="00095358" w:rsidRPr="00B35E47" w14:paraId="714A9DC2" w14:textId="77777777" w:rsidTr="00095358">
        <w:trPr>
          <w:trHeight w:val="255"/>
        </w:trPr>
        <w:tc>
          <w:tcPr>
            <w:tcW w:w="1412" w:type="pct"/>
            <w:noWrap/>
            <w:vAlign w:val="bottom"/>
          </w:tcPr>
          <w:p w14:paraId="12355BBC" w14:textId="77777777" w:rsidR="00095358" w:rsidRPr="00B35E47" w:rsidRDefault="00095358" w:rsidP="00095358">
            <w:pPr>
              <w:contextualSpacing/>
              <w:jc w:val="left"/>
              <w:rPr>
                <w:rFonts w:ascii="Arial Narrow" w:hAnsi="Arial Narrow" w:cs="Calibri"/>
                <w:color w:val="000000"/>
                <w:lang w:eastAsia="en-US"/>
              </w:rPr>
            </w:pPr>
            <w:r w:rsidRPr="00B35E47">
              <w:rPr>
                <w:rFonts w:ascii="Arial Narrow" w:hAnsi="Arial Narrow" w:cs="Calibri"/>
                <w:color w:val="000000"/>
                <w:lang w:eastAsia="en-US"/>
              </w:rPr>
              <w:t>Net costs to MBS</w:t>
            </w:r>
          </w:p>
        </w:tc>
        <w:tc>
          <w:tcPr>
            <w:tcW w:w="786" w:type="pct"/>
            <w:gridSpan w:val="4"/>
            <w:noWrap/>
            <w:vAlign w:val="bottom"/>
          </w:tcPr>
          <w:p w14:paraId="240D06CA"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$233,087</w:t>
            </w:r>
          </w:p>
        </w:tc>
        <w:tc>
          <w:tcPr>
            <w:tcW w:w="708" w:type="pct"/>
            <w:noWrap/>
            <w:vAlign w:val="bottom"/>
          </w:tcPr>
          <w:p w14:paraId="22CA3A2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$274,808</w:t>
            </w:r>
          </w:p>
        </w:tc>
        <w:tc>
          <w:tcPr>
            <w:tcW w:w="707" w:type="pct"/>
            <w:gridSpan w:val="4"/>
            <w:noWrap/>
            <w:vAlign w:val="bottom"/>
          </w:tcPr>
          <w:p w14:paraId="4325C64B"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$323,462</w:t>
            </w:r>
          </w:p>
        </w:tc>
        <w:tc>
          <w:tcPr>
            <w:tcW w:w="708" w:type="pct"/>
            <w:noWrap/>
            <w:vAlign w:val="bottom"/>
          </w:tcPr>
          <w:p w14:paraId="1B34FE75"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$380,157</w:t>
            </w:r>
          </w:p>
        </w:tc>
        <w:tc>
          <w:tcPr>
            <w:tcW w:w="679" w:type="pct"/>
            <w:noWrap/>
            <w:vAlign w:val="bottom"/>
          </w:tcPr>
          <w:p w14:paraId="5B128A25"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$446,174</w:t>
            </w:r>
          </w:p>
        </w:tc>
      </w:tr>
    </w:tbl>
    <w:p w14:paraId="56930007" w14:textId="77777777" w:rsidR="00095358" w:rsidRPr="00B35E47" w:rsidRDefault="00095358" w:rsidP="00095358">
      <w:pPr>
        <w:widowControl w:val="0"/>
        <w:spacing w:after="120" w:line="240" w:lineRule="auto"/>
        <w:contextualSpacing/>
        <w:jc w:val="left"/>
        <w:rPr>
          <w:rFonts w:ascii="Arial Narrow" w:hAnsi="Arial Narrow" w:cs="Calibri"/>
          <w:i/>
          <w:iCs/>
          <w:snapToGrid w:val="0"/>
          <w:color w:val="000000"/>
          <w:sz w:val="20"/>
          <w:szCs w:val="20"/>
          <w:lang w:eastAsia="en-US"/>
        </w:rPr>
      </w:pPr>
      <w:r w:rsidRPr="00B35E47">
        <w:rPr>
          <w:rFonts w:ascii="Arial Narrow" w:hAnsi="Arial Narrow" w:cs="Calibri"/>
          <w:i/>
          <w:iCs/>
          <w:snapToGrid w:val="0"/>
          <w:color w:val="000000"/>
          <w:sz w:val="20"/>
          <w:szCs w:val="20"/>
          <w:vertAlign w:val="superscript"/>
          <w:lang w:eastAsia="en-US"/>
        </w:rPr>
        <w:t>a</w:t>
      </w:r>
      <w:r w:rsidRPr="00B35E47">
        <w:rPr>
          <w:rFonts w:ascii="Arial Narrow" w:hAnsi="Arial Narrow" w:cs="Calibri"/>
          <w:i/>
          <w:iCs/>
          <w:snapToGrid w:val="0"/>
          <w:color w:val="000000"/>
          <w:sz w:val="20"/>
          <w:szCs w:val="20"/>
          <w:lang w:eastAsia="en-US"/>
        </w:rPr>
        <w:t>Assuming growth rate is 6% for each year for both current and proposed services.</w:t>
      </w:r>
    </w:p>
    <w:p w14:paraId="607503C1" w14:textId="77777777" w:rsidR="00095358" w:rsidRPr="00B35E47" w:rsidRDefault="00095358" w:rsidP="00095358">
      <w:pPr>
        <w:widowControl w:val="0"/>
        <w:spacing w:after="120" w:line="240" w:lineRule="auto"/>
        <w:contextualSpacing/>
        <w:jc w:val="left"/>
        <w:rPr>
          <w:rFonts w:ascii="Arial Narrow" w:hAnsi="Arial Narrow" w:cs="Calibri"/>
          <w:i/>
          <w:iCs/>
          <w:snapToGrid w:val="0"/>
          <w:color w:val="000000"/>
          <w:sz w:val="20"/>
          <w:szCs w:val="20"/>
          <w:lang w:eastAsia="en-US"/>
        </w:rPr>
      </w:pPr>
      <w:r w:rsidRPr="00B35E47">
        <w:rPr>
          <w:rFonts w:ascii="Arial Narrow" w:hAnsi="Arial Narrow" w:cs="Calibri"/>
          <w:i/>
          <w:iCs/>
          <w:snapToGrid w:val="0"/>
          <w:color w:val="000000"/>
          <w:sz w:val="20"/>
          <w:szCs w:val="20"/>
          <w:vertAlign w:val="superscript"/>
          <w:lang w:eastAsia="en-US"/>
        </w:rPr>
        <w:t>b</w:t>
      </w:r>
      <w:r w:rsidRPr="00B35E47">
        <w:rPr>
          <w:rFonts w:ascii="Arial Narrow" w:hAnsi="Arial Narrow" w:cs="Calibri"/>
          <w:i/>
          <w:iCs/>
          <w:snapToGrid w:val="0"/>
          <w:color w:val="000000"/>
          <w:sz w:val="20"/>
          <w:szCs w:val="20"/>
          <w:lang w:eastAsia="en-US"/>
        </w:rPr>
        <w:t>Assuming a constant growth rate of 10% for the current services and 25% for the proposed services.</w:t>
      </w:r>
    </w:p>
    <w:p w14:paraId="041DDC95" w14:textId="2B5E53BC" w:rsidR="00095358" w:rsidRDefault="00095358" w:rsidP="00095358">
      <w:pPr>
        <w:widowControl w:val="0"/>
        <w:spacing w:after="24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MBS = Medicare Benefits Schedule</w:t>
      </w:r>
    </w:p>
    <w:p w14:paraId="5CBF2BF0" w14:textId="77777777" w:rsidR="00665317" w:rsidRPr="00B35E47" w:rsidRDefault="00665317" w:rsidP="00095358">
      <w:pPr>
        <w:widowControl w:val="0"/>
        <w:spacing w:after="240" w:line="240" w:lineRule="auto"/>
        <w:contextualSpacing/>
        <w:jc w:val="left"/>
        <w:rPr>
          <w:rFonts w:ascii="Arial Narrow" w:hAnsi="Arial Narrow" w:cs="Arial"/>
          <w:snapToGrid w:val="0"/>
          <w:sz w:val="18"/>
          <w:szCs w:val="20"/>
          <w:lang w:eastAsia="en-US"/>
        </w:rPr>
      </w:pPr>
    </w:p>
    <w:p w14:paraId="08A3EEF6" w14:textId="77777777" w:rsidR="00095358" w:rsidRPr="00B35E47" w:rsidRDefault="00095358" w:rsidP="00095358">
      <w:r w:rsidRPr="00B35E47">
        <w:t xml:space="preserve">Analysis is also conducted which considers the different financial impact that may occur if bulk-billing is to occur and when the proposed item is claimed in conjunction with Patient episode initiation (PEI) 73928 (fee $5.95). This PEI item provides for collection of the specimen from an approved pathology collection centre. If the patient episode is bulk billed it will be eligible for bulk-billing incentive item 74995 (fee $4.00). PEI and bulk-bill incentive items are claimable for both intervention and comparator per patient episode. </w:t>
      </w:r>
    </w:p>
    <w:p w14:paraId="14131B00" w14:textId="77777777" w:rsidR="00095358" w:rsidRPr="00B35E47" w:rsidRDefault="00095358" w:rsidP="00095358">
      <w:r w:rsidRPr="00AC71D1">
        <w:fldChar w:fldCharType="begin"/>
      </w:r>
      <w:r w:rsidRPr="00AC71D1">
        <w:instrText xml:space="preserve"> REF _Ref33535647 \h </w:instrText>
      </w:r>
      <w:r>
        <w:instrText xml:space="preserve"> \* MERGEFORMAT </w:instrText>
      </w:r>
      <w:r w:rsidRPr="00AC71D1">
        <w:fldChar w:fldCharType="separate"/>
      </w:r>
      <w:r w:rsidR="006E2BA9" w:rsidRPr="00B35E47">
        <w:t xml:space="preserve">Table </w:t>
      </w:r>
      <w:r w:rsidR="006E2BA9">
        <w:t>95</w:t>
      </w:r>
      <w:r w:rsidRPr="00AC71D1">
        <w:fldChar w:fldCharType="end"/>
      </w:r>
      <w:r w:rsidRPr="00AC71D1">
        <w:t xml:space="preserve"> </w:t>
      </w:r>
      <w:r w:rsidRPr="00B35E47">
        <w:t xml:space="preserve">presents the net costs to MBS for the co-claimable services (items 73298 and 74995) assuming 99% of the current and proposed services are bulk-billed (as per the utilisation data for items 71119 and 71165). </w:t>
      </w:r>
    </w:p>
    <w:p w14:paraId="3BFF9B5A" w14:textId="386E86CF" w:rsidR="00095358" w:rsidRPr="00B35E47" w:rsidRDefault="00095358" w:rsidP="00095358">
      <w:pPr>
        <w:pStyle w:val="Caption"/>
      </w:pPr>
      <w:bookmarkStart w:id="592" w:name="_Ref33535647"/>
      <w:bookmarkStart w:id="593" w:name="_Toc36054868"/>
      <w:bookmarkStart w:id="594" w:name="_Toc39580876"/>
      <w:r w:rsidRPr="00B35E47">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95</w:t>
      </w:r>
      <w:r w:rsidRPr="00B35E47">
        <w:rPr>
          <w:noProof/>
        </w:rPr>
        <w:fldChar w:fldCharType="end"/>
      </w:r>
      <w:bookmarkEnd w:id="592"/>
      <w:r w:rsidRPr="00B35E47">
        <w:tab/>
        <w:t>Estimated costs associated with co-</w:t>
      </w:r>
      <w:r w:rsidRPr="00B35E47">
        <w:rPr>
          <w:szCs w:val="20"/>
        </w:rPr>
        <w:t xml:space="preserve">claimable </w:t>
      </w:r>
      <w:r w:rsidRPr="00B35E47">
        <w:t>services</w:t>
      </w:r>
      <w:bookmarkEnd w:id="593"/>
      <w:bookmarkEnd w:id="594"/>
    </w:p>
    <w:tbl>
      <w:tblPr>
        <w:tblStyle w:val="TableGrid1"/>
        <w:tblW w:w="5000" w:type="pct"/>
        <w:tblLook w:val="04A0" w:firstRow="1" w:lastRow="0" w:firstColumn="1" w:lastColumn="0" w:noHBand="0" w:noVBand="1"/>
        <w:tblCaption w:val="Estimated cost-savings to the MBS associated with reduction in other Medical services due to the proposed listing of FC testing"/>
        <w:tblDescription w:val="This table provides a summary of the financial impact of the proposed new medical service over the next five years."/>
      </w:tblPr>
      <w:tblGrid>
        <w:gridCol w:w="563"/>
        <w:gridCol w:w="3851"/>
        <w:gridCol w:w="994"/>
        <w:gridCol w:w="902"/>
        <w:gridCol w:w="902"/>
        <w:gridCol w:w="902"/>
        <w:gridCol w:w="902"/>
      </w:tblGrid>
      <w:tr w:rsidR="00095358" w:rsidRPr="00B35E47" w14:paraId="57439BCF" w14:textId="77777777" w:rsidTr="00095358">
        <w:trPr>
          <w:cnfStyle w:val="100000000000" w:firstRow="1" w:lastRow="0" w:firstColumn="0" w:lastColumn="0" w:oddVBand="0" w:evenVBand="0" w:oddHBand="0" w:evenHBand="0" w:firstRowFirstColumn="0" w:firstRowLastColumn="0" w:lastRowFirstColumn="0" w:lastRowLastColumn="0"/>
          <w:trHeight w:val="300"/>
          <w:tblHeader/>
        </w:trPr>
        <w:tc>
          <w:tcPr>
            <w:tcW w:w="312" w:type="pct"/>
            <w:tcBorders>
              <w:bottom w:val="single" w:sz="4" w:space="0" w:color="auto"/>
            </w:tcBorders>
          </w:tcPr>
          <w:p w14:paraId="57F7A90E" w14:textId="77777777" w:rsidR="00095358" w:rsidRPr="00B35E47" w:rsidRDefault="00095358" w:rsidP="00095358">
            <w:pPr>
              <w:keepNext/>
              <w:jc w:val="center"/>
              <w:rPr>
                <w:rFonts w:ascii="Arial Narrow" w:hAnsi="Arial Narrow"/>
                <w:b/>
                <w:lang w:eastAsia="en-US"/>
              </w:rPr>
            </w:pPr>
            <w:r w:rsidRPr="00B35E47">
              <w:rPr>
                <w:rFonts w:ascii="Arial Narrow" w:hAnsi="Arial Narrow"/>
                <w:b/>
                <w:lang w:eastAsia="en-US"/>
              </w:rPr>
              <w:t>Row</w:t>
            </w:r>
          </w:p>
        </w:tc>
        <w:tc>
          <w:tcPr>
            <w:tcW w:w="2136" w:type="pct"/>
            <w:tcBorders>
              <w:bottom w:val="single" w:sz="4" w:space="0" w:color="auto"/>
            </w:tcBorders>
            <w:shd w:val="clear" w:color="auto" w:fill="auto"/>
            <w:vAlign w:val="center"/>
          </w:tcPr>
          <w:p w14:paraId="531D645D"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Description</w:t>
            </w:r>
          </w:p>
        </w:tc>
        <w:tc>
          <w:tcPr>
            <w:tcW w:w="551" w:type="pct"/>
            <w:tcBorders>
              <w:bottom w:val="single" w:sz="4" w:space="0" w:color="auto"/>
            </w:tcBorders>
            <w:vAlign w:val="center"/>
          </w:tcPr>
          <w:p w14:paraId="29A01B4E"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2020–21</w:t>
            </w:r>
          </w:p>
        </w:tc>
        <w:tc>
          <w:tcPr>
            <w:tcW w:w="500" w:type="pct"/>
            <w:tcBorders>
              <w:bottom w:val="single" w:sz="4" w:space="0" w:color="auto"/>
            </w:tcBorders>
            <w:shd w:val="clear" w:color="auto" w:fill="auto"/>
            <w:vAlign w:val="center"/>
          </w:tcPr>
          <w:p w14:paraId="7E4438CD"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2021–22</w:t>
            </w:r>
          </w:p>
        </w:tc>
        <w:tc>
          <w:tcPr>
            <w:tcW w:w="500" w:type="pct"/>
            <w:tcBorders>
              <w:bottom w:val="single" w:sz="4" w:space="0" w:color="auto"/>
            </w:tcBorders>
            <w:shd w:val="clear" w:color="auto" w:fill="auto"/>
            <w:vAlign w:val="center"/>
          </w:tcPr>
          <w:p w14:paraId="1A441CE4"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2022–23</w:t>
            </w:r>
          </w:p>
        </w:tc>
        <w:tc>
          <w:tcPr>
            <w:tcW w:w="500" w:type="pct"/>
            <w:tcBorders>
              <w:bottom w:val="single" w:sz="4" w:space="0" w:color="auto"/>
            </w:tcBorders>
            <w:shd w:val="clear" w:color="auto" w:fill="auto"/>
            <w:vAlign w:val="center"/>
          </w:tcPr>
          <w:p w14:paraId="42151997"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2023–24</w:t>
            </w:r>
          </w:p>
        </w:tc>
        <w:tc>
          <w:tcPr>
            <w:tcW w:w="500" w:type="pct"/>
            <w:tcBorders>
              <w:bottom w:val="single" w:sz="4" w:space="0" w:color="auto"/>
            </w:tcBorders>
            <w:shd w:val="clear" w:color="auto" w:fill="auto"/>
            <w:vAlign w:val="center"/>
          </w:tcPr>
          <w:p w14:paraId="3E8389A0"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2024–25</w:t>
            </w:r>
          </w:p>
        </w:tc>
      </w:tr>
      <w:tr w:rsidR="00095358" w:rsidRPr="00B35E47" w14:paraId="1093CC4A" w14:textId="77777777" w:rsidTr="00095358">
        <w:trPr>
          <w:trHeight w:val="300"/>
        </w:trPr>
        <w:tc>
          <w:tcPr>
            <w:tcW w:w="312" w:type="pct"/>
          </w:tcPr>
          <w:p w14:paraId="57BD487D"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I</w:t>
            </w:r>
          </w:p>
        </w:tc>
        <w:tc>
          <w:tcPr>
            <w:tcW w:w="2136" w:type="pct"/>
            <w:shd w:val="clear" w:color="auto" w:fill="auto"/>
          </w:tcPr>
          <w:p w14:paraId="1392B9A8"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Number of proposed services</w:t>
            </w:r>
          </w:p>
        </w:tc>
        <w:tc>
          <w:tcPr>
            <w:tcW w:w="551" w:type="pct"/>
            <w:vAlign w:val="center"/>
          </w:tcPr>
          <w:p w14:paraId="7EE91820"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10,122</w:t>
            </w:r>
          </w:p>
        </w:tc>
        <w:tc>
          <w:tcPr>
            <w:tcW w:w="500" w:type="pct"/>
            <w:shd w:val="clear" w:color="auto" w:fill="auto"/>
            <w:vAlign w:val="center"/>
          </w:tcPr>
          <w:p w14:paraId="4F4F895F"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11,641</w:t>
            </w:r>
          </w:p>
        </w:tc>
        <w:tc>
          <w:tcPr>
            <w:tcW w:w="500" w:type="pct"/>
            <w:shd w:val="clear" w:color="auto" w:fill="auto"/>
            <w:vAlign w:val="center"/>
          </w:tcPr>
          <w:p w14:paraId="3955E431"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13,387</w:t>
            </w:r>
          </w:p>
        </w:tc>
        <w:tc>
          <w:tcPr>
            <w:tcW w:w="500" w:type="pct"/>
            <w:shd w:val="clear" w:color="auto" w:fill="auto"/>
            <w:vAlign w:val="center"/>
          </w:tcPr>
          <w:p w14:paraId="2F200E1C"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15,395</w:t>
            </w:r>
          </w:p>
        </w:tc>
        <w:tc>
          <w:tcPr>
            <w:tcW w:w="500" w:type="pct"/>
            <w:shd w:val="clear" w:color="auto" w:fill="auto"/>
            <w:vAlign w:val="center"/>
          </w:tcPr>
          <w:p w14:paraId="7BCA07A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17,704</w:t>
            </w:r>
          </w:p>
        </w:tc>
      </w:tr>
      <w:tr w:rsidR="00095358" w:rsidRPr="00B35E47" w14:paraId="0F49EAA5" w14:textId="77777777" w:rsidTr="00095358">
        <w:trPr>
          <w:trHeight w:val="300"/>
        </w:trPr>
        <w:tc>
          <w:tcPr>
            <w:tcW w:w="312" w:type="pct"/>
          </w:tcPr>
          <w:p w14:paraId="1110DEDE"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R</w:t>
            </w:r>
          </w:p>
        </w:tc>
        <w:tc>
          <w:tcPr>
            <w:tcW w:w="2136" w:type="pct"/>
            <w:shd w:val="clear" w:color="auto" w:fill="auto"/>
          </w:tcPr>
          <w:p w14:paraId="4F42B607" w14:textId="77777777" w:rsidR="00095358" w:rsidRPr="00B35E47" w:rsidRDefault="00095358" w:rsidP="00095358">
            <w:pPr>
              <w:contextualSpacing/>
              <w:jc w:val="left"/>
              <w:rPr>
                <w:rFonts w:ascii="Arial Narrow" w:hAnsi="Arial Narrow"/>
                <w:vertAlign w:val="superscript"/>
                <w:lang w:eastAsia="en-US"/>
              </w:rPr>
            </w:pPr>
            <w:r w:rsidRPr="00B35E47">
              <w:rPr>
                <w:rFonts w:ascii="Arial Narrow" w:hAnsi="Arial Narrow"/>
                <w:lang w:eastAsia="en-US"/>
              </w:rPr>
              <w:t>Cost of co-claimable services (= I*$9.91)</w:t>
            </w:r>
            <w:r w:rsidRPr="00B35E47">
              <w:rPr>
                <w:rFonts w:ascii="Arial Narrow" w:hAnsi="Arial Narrow"/>
                <w:vertAlign w:val="superscript"/>
                <w:lang w:eastAsia="en-US"/>
              </w:rPr>
              <w:t>a</w:t>
            </w:r>
          </w:p>
        </w:tc>
        <w:tc>
          <w:tcPr>
            <w:tcW w:w="551" w:type="pct"/>
            <w:vAlign w:val="center"/>
          </w:tcPr>
          <w:p w14:paraId="4D4DFA0B"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$100,312</w:t>
            </w:r>
          </w:p>
        </w:tc>
        <w:tc>
          <w:tcPr>
            <w:tcW w:w="500" w:type="pct"/>
            <w:shd w:val="clear" w:color="auto" w:fill="auto"/>
            <w:vAlign w:val="center"/>
          </w:tcPr>
          <w:p w14:paraId="437E471F"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$115,359</w:t>
            </w:r>
          </w:p>
        </w:tc>
        <w:tc>
          <w:tcPr>
            <w:tcW w:w="500" w:type="pct"/>
            <w:shd w:val="clear" w:color="auto" w:fill="auto"/>
            <w:vAlign w:val="center"/>
          </w:tcPr>
          <w:p w14:paraId="5E7B42E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$132,663</w:t>
            </w:r>
          </w:p>
        </w:tc>
        <w:tc>
          <w:tcPr>
            <w:tcW w:w="500" w:type="pct"/>
            <w:shd w:val="clear" w:color="auto" w:fill="auto"/>
            <w:vAlign w:val="center"/>
          </w:tcPr>
          <w:p w14:paraId="39C2A58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$152,562</w:t>
            </w:r>
          </w:p>
        </w:tc>
        <w:tc>
          <w:tcPr>
            <w:tcW w:w="500" w:type="pct"/>
            <w:shd w:val="clear" w:color="auto" w:fill="auto"/>
            <w:vAlign w:val="center"/>
          </w:tcPr>
          <w:p w14:paraId="7B5537C8"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$175,447</w:t>
            </w:r>
          </w:p>
        </w:tc>
      </w:tr>
      <w:tr w:rsidR="00095358" w:rsidRPr="00B35E47" w14:paraId="282858A7" w14:textId="77777777" w:rsidTr="00095358">
        <w:trPr>
          <w:trHeight w:val="300"/>
        </w:trPr>
        <w:tc>
          <w:tcPr>
            <w:tcW w:w="312" w:type="pct"/>
          </w:tcPr>
          <w:p w14:paraId="21BB8081"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J</w:t>
            </w:r>
          </w:p>
        </w:tc>
        <w:tc>
          <w:tcPr>
            <w:tcW w:w="2136" w:type="pct"/>
            <w:shd w:val="clear" w:color="auto" w:fill="auto"/>
          </w:tcPr>
          <w:p w14:paraId="313D900F"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Number of services, current funding</w:t>
            </w:r>
          </w:p>
        </w:tc>
        <w:tc>
          <w:tcPr>
            <w:tcW w:w="551" w:type="pct"/>
            <w:vAlign w:val="center"/>
          </w:tcPr>
          <w:p w14:paraId="21CC55F5"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9,205</w:t>
            </w:r>
          </w:p>
        </w:tc>
        <w:tc>
          <w:tcPr>
            <w:tcW w:w="500" w:type="pct"/>
            <w:shd w:val="clear" w:color="auto" w:fill="auto"/>
            <w:vAlign w:val="center"/>
          </w:tcPr>
          <w:p w14:paraId="370A6EEC"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10,125</w:t>
            </w:r>
          </w:p>
        </w:tc>
        <w:tc>
          <w:tcPr>
            <w:tcW w:w="500" w:type="pct"/>
            <w:shd w:val="clear" w:color="auto" w:fill="auto"/>
            <w:vAlign w:val="center"/>
          </w:tcPr>
          <w:p w14:paraId="264E2230"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11,138</w:t>
            </w:r>
          </w:p>
        </w:tc>
        <w:tc>
          <w:tcPr>
            <w:tcW w:w="500" w:type="pct"/>
            <w:shd w:val="clear" w:color="auto" w:fill="auto"/>
            <w:vAlign w:val="center"/>
          </w:tcPr>
          <w:p w14:paraId="1E8245BC"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12,251</w:t>
            </w:r>
          </w:p>
        </w:tc>
        <w:tc>
          <w:tcPr>
            <w:tcW w:w="500" w:type="pct"/>
            <w:shd w:val="clear" w:color="auto" w:fill="auto"/>
            <w:vAlign w:val="center"/>
          </w:tcPr>
          <w:p w14:paraId="06B9FCEA"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13,477</w:t>
            </w:r>
          </w:p>
        </w:tc>
      </w:tr>
      <w:tr w:rsidR="00095358" w:rsidRPr="00B35E47" w14:paraId="11F7DA60" w14:textId="77777777" w:rsidTr="00095358">
        <w:trPr>
          <w:trHeight w:val="300"/>
        </w:trPr>
        <w:tc>
          <w:tcPr>
            <w:tcW w:w="312" w:type="pct"/>
          </w:tcPr>
          <w:p w14:paraId="2EDDC8A0"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S</w:t>
            </w:r>
          </w:p>
        </w:tc>
        <w:tc>
          <w:tcPr>
            <w:tcW w:w="2136" w:type="pct"/>
            <w:shd w:val="clear" w:color="auto" w:fill="auto"/>
          </w:tcPr>
          <w:p w14:paraId="0D666052" w14:textId="77777777" w:rsidR="00095358" w:rsidRPr="00B35E47" w:rsidRDefault="00095358" w:rsidP="00095358">
            <w:pPr>
              <w:contextualSpacing/>
              <w:jc w:val="left"/>
              <w:rPr>
                <w:rFonts w:ascii="Arial Narrow" w:hAnsi="Arial Narrow"/>
                <w:vertAlign w:val="superscript"/>
                <w:lang w:eastAsia="en-US"/>
              </w:rPr>
            </w:pPr>
            <w:r w:rsidRPr="00B35E47">
              <w:rPr>
                <w:rFonts w:ascii="Arial Narrow" w:hAnsi="Arial Narrow"/>
                <w:lang w:eastAsia="en-US"/>
              </w:rPr>
              <w:t>Cost of co- claimable services (= J*$9.91)</w:t>
            </w:r>
            <w:r w:rsidRPr="00B35E47">
              <w:rPr>
                <w:rFonts w:ascii="Arial Narrow" w:hAnsi="Arial Narrow"/>
                <w:vertAlign w:val="superscript"/>
                <w:lang w:eastAsia="en-US"/>
              </w:rPr>
              <w:t>b</w:t>
            </w:r>
          </w:p>
        </w:tc>
        <w:tc>
          <w:tcPr>
            <w:tcW w:w="551" w:type="pct"/>
            <w:vAlign w:val="bottom"/>
          </w:tcPr>
          <w:p w14:paraId="2B89D420" w14:textId="77777777" w:rsidR="00095358" w:rsidRPr="00B35E47" w:rsidRDefault="00095358" w:rsidP="00095358">
            <w:pPr>
              <w:contextualSpacing/>
              <w:jc w:val="right"/>
              <w:rPr>
                <w:rFonts w:ascii="Arial Narrow" w:hAnsi="Arial Narrow" w:cs="Calibri"/>
                <w:color w:val="000000"/>
                <w:lang w:eastAsia="en-US"/>
              </w:rPr>
            </w:pPr>
            <w:r w:rsidRPr="00B35E47">
              <w:rPr>
                <w:rFonts w:ascii="Arial Narrow" w:hAnsi="Arial Narrow" w:cs="Calibri"/>
                <w:color w:val="000000"/>
                <w:lang w:eastAsia="en-US"/>
              </w:rPr>
              <w:t>$91,218</w:t>
            </w:r>
          </w:p>
        </w:tc>
        <w:tc>
          <w:tcPr>
            <w:tcW w:w="500" w:type="pct"/>
            <w:shd w:val="clear" w:color="auto" w:fill="auto"/>
            <w:vAlign w:val="bottom"/>
          </w:tcPr>
          <w:p w14:paraId="619B9B27" w14:textId="77777777" w:rsidR="00095358" w:rsidRPr="00B35E47" w:rsidRDefault="00095358" w:rsidP="00095358">
            <w:pPr>
              <w:contextualSpacing/>
              <w:jc w:val="right"/>
              <w:rPr>
                <w:rFonts w:ascii="Arial Narrow" w:hAnsi="Arial Narrow" w:cs="Calibri"/>
                <w:color w:val="000000"/>
                <w:lang w:eastAsia="en-US"/>
              </w:rPr>
            </w:pPr>
            <w:r w:rsidRPr="00B35E47">
              <w:rPr>
                <w:rFonts w:ascii="Arial Narrow" w:hAnsi="Arial Narrow" w:cs="Calibri"/>
                <w:color w:val="000000"/>
                <w:lang w:eastAsia="en-US"/>
              </w:rPr>
              <w:t>$100,340</w:t>
            </w:r>
          </w:p>
        </w:tc>
        <w:tc>
          <w:tcPr>
            <w:tcW w:w="500" w:type="pct"/>
            <w:shd w:val="clear" w:color="auto" w:fill="auto"/>
            <w:vAlign w:val="bottom"/>
          </w:tcPr>
          <w:p w14:paraId="299C049B" w14:textId="77777777" w:rsidR="00095358" w:rsidRPr="00B35E47" w:rsidRDefault="00095358" w:rsidP="00095358">
            <w:pPr>
              <w:contextualSpacing/>
              <w:jc w:val="right"/>
              <w:rPr>
                <w:rFonts w:ascii="Arial Narrow" w:hAnsi="Arial Narrow" w:cs="Calibri"/>
                <w:color w:val="000000"/>
                <w:lang w:eastAsia="en-US"/>
              </w:rPr>
            </w:pPr>
            <w:r w:rsidRPr="00B35E47">
              <w:rPr>
                <w:rFonts w:ascii="Arial Narrow" w:hAnsi="Arial Narrow" w:cs="Calibri"/>
                <w:color w:val="000000"/>
                <w:lang w:eastAsia="en-US"/>
              </w:rPr>
              <w:t>$110,374</w:t>
            </w:r>
          </w:p>
        </w:tc>
        <w:tc>
          <w:tcPr>
            <w:tcW w:w="500" w:type="pct"/>
            <w:shd w:val="clear" w:color="auto" w:fill="auto"/>
            <w:vAlign w:val="bottom"/>
          </w:tcPr>
          <w:p w14:paraId="61697530" w14:textId="77777777" w:rsidR="00095358" w:rsidRPr="00B35E47" w:rsidRDefault="00095358" w:rsidP="00095358">
            <w:pPr>
              <w:contextualSpacing/>
              <w:jc w:val="right"/>
              <w:rPr>
                <w:rFonts w:ascii="Arial Narrow" w:hAnsi="Arial Narrow" w:cs="Calibri"/>
                <w:color w:val="000000"/>
                <w:lang w:eastAsia="en-US"/>
              </w:rPr>
            </w:pPr>
            <w:r w:rsidRPr="00B35E47">
              <w:rPr>
                <w:rFonts w:ascii="Arial Narrow" w:hAnsi="Arial Narrow" w:cs="Calibri"/>
                <w:color w:val="000000"/>
                <w:lang w:eastAsia="en-US"/>
              </w:rPr>
              <w:t>$121,411</w:t>
            </w:r>
          </w:p>
        </w:tc>
        <w:tc>
          <w:tcPr>
            <w:tcW w:w="500" w:type="pct"/>
            <w:shd w:val="clear" w:color="auto" w:fill="auto"/>
            <w:vAlign w:val="bottom"/>
          </w:tcPr>
          <w:p w14:paraId="25C1AC33" w14:textId="77777777" w:rsidR="00095358" w:rsidRPr="00B35E47" w:rsidRDefault="00095358" w:rsidP="00095358">
            <w:pPr>
              <w:contextualSpacing/>
              <w:jc w:val="right"/>
              <w:rPr>
                <w:rFonts w:ascii="Arial Narrow" w:hAnsi="Arial Narrow" w:cs="Calibri"/>
                <w:color w:val="000000"/>
                <w:lang w:eastAsia="en-US"/>
              </w:rPr>
            </w:pPr>
            <w:r w:rsidRPr="00B35E47">
              <w:rPr>
                <w:rFonts w:ascii="Arial Narrow" w:hAnsi="Arial Narrow" w:cs="Calibri"/>
                <w:color w:val="000000"/>
                <w:lang w:eastAsia="en-US"/>
              </w:rPr>
              <w:t>$133,553</w:t>
            </w:r>
          </w:p>
        </w:tc>
      </w:tr>
      <w:tr w:rsidR="00095358" w:rsidRPr="00B35E47" w14:paraId="50C5C3AE" w14:textId="77777777" w:rsidTr="00095358">
        <w:trPr>
          <w:trHeight w:val="315"/>
        </w:trPr>
        <w:tc>
          <w:tcPr>
            <w:tcW w:w="312" w:type="pct"/>
            <w:tcBorders>
              <w:bottom w:val="single" w:sz="4" w:space="0" w:color="auto"/>
            </w:tcBorders>
          </w:tcPr>
          <w:p w14:paraId="6C81510A" w14:textId="77777777" w:rsidR="00095358" w:rsidRPr="00B35E47" w:rsidRDefault="00095358" w:rsidP="00095358">
            <w:pPr>
              <w:contextualSpacing/>
              <w:jc w:val="left"/>
              <w:rPr>
                <w:rFonts w:ascii="Arial Narrow" w:hAnsi="Arial Narrow"/>
                <w:b/>
                <w:lang w:eastAsia="en-US"/>
              </w:rPr>
            </w:pPr>
            <w:r w:rsidRPr="00B35E47">
              <w:rPr>
                <w:rFonts w:ascii="Arial Narrow" w:hAnsi="Arial Narrow"/>
                <w:b/>
                <w:lang w:eastAsia="en-US"/>
              </w:rPr>
              <w:t>T</w:t>
            </w:r>
          </w:p>
        </w:tc>
        <w:tc>
          <w:tcPr>
            <w:tcW w:w="2136" w:type="pct"/>
            <w:tcBorders>
              <w:bottom w:val="single" w:sz="4" w:space="0" w:color="auto"/>
            </w:tcBorders>
            <w:shd w:val="clear" w:color="auto" w:fill="auto"/>
          </w:tcPr>
          <w:p w14:paraId="380EE75E" w14:textId="77777777" w:rsidR="00095358" w:rsidRPr="00B35E47" w:rsidRDefault="00095358" w:rsidP="00095358">
            <w:pPr>
              <w:contextualSpacing/>
              <w:jc w:val="left"/>
              <w:rPr>
                <w:rFonts w:ascii="Arial Narrow" w:hAnsi="Arial Narrow"/>
                <w:lang w:eastAsia="en-US"/>
              </w:rPr>
            </w:pPr>
            <w:r w:rsidRPr="00B35E47">
              <w:rPr>
                <w:rFonts w:ascii="Arial Narrow" w:hAnsi="Arial Narrow"/>
                <w:b/>
                <w:lang w:eastAsia="en-US"/>
              </w:rPr>
              <w:t>Net cost offsets to MBS</w:t>
            </w:r>
            <w:r w:rsidRPr="00B35E47">
              <w:rPr>
                <w:rFonts w:ascii="Arial Narrow" w:hAnsi="Arial Narrow"/>
                <w:lang w:eastAsia="en-US"/>
              </w:rPr>
              <w:t xml:space="preserve"> </w:t>
            </w:r>
            <w:r w:rsidRPr="00B35E47">
              <w:rPr>
                <w:rFonts w:ascii="Arial Narrow" w:hAnsi="Arial Narrow"/>
                <w:b/>
                <w:lang w:eastAsia="en-US"/>
              </w:rPr>
              <w:t>for the co-claimable services</w:t>
            </w:r>
            <w:r w:rsidRPr="00B35E47">
              <w:rPr>
                <w:rFonts w:ascii="Arial Narrow" w:hAnsi="Arial Narrow"/>
                <w:lang w:eastAsia="en-US"/>
              </w:rPr>
              <w:t xml:space="preserve"> (T = R+S)</w:t>
            </w:r>
          </w:p>
        </w:tc>
        <w:tc>
          <w:tcPr>
            <w:tcW w:w="551" w:type="pct"/>
            <w:tcBorders>
              <w:bottom w:val="single" w:sz="4" w:space="0" w:color="auto"/>
            </w:tcBorders>
            <w:vAlign w:val="bottom"/>
          </w:tcPr>
          <w:p w14:paraId="2ECEC902"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color w:val="000000"/>
                <w:lang w:eastAsia="en-US"/>
              </w:rPr>
              <w:t>$9,094</w:t>
            </w:r>
          </w:p>
        </w:tc>
        <w:tc>
          <w:tcPr>
            <w:tcW w:w="500" w:type="pct"/>
            <w:tcBorders>
              <w:bottom w:val="single" w:sz="4" w:space="0" w:color="auto"/>
            </w:tcBorders>
            <w:shd w:val="clear" w:color="auto" w:fill="auto"/>
            <w:vAlign w:val="bottom"/>
          </w:tcPr>
          <w:p w14:paraId="4E020C9F"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color w:val="000000"/>
                <w:lang w:eastAsia="en-US"/>
              </w:rPr>
              <w:t>$15,019</w:t>
            </w:r>
          </w:p>
        </w:tc>
        <w:tc>
          <w:tcPr>
            <w:tcW w:w="500" w:type="pct"/>
            <w:tcBorders>
              <w:bottom w:val="single" w:sz="4" w:space="0" w:color="auto"/>
            </w:tcBorders>
            <w:shd w:val="clear" w:color="auto" w:fill="auto"/>
            <w:vAlign w:val="bottom"/>
          </w:tcPr>
          <w:p w14:paraId="3FAB00C2"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color w:val="000000"/>
                <w:lang w:eastAsia="en-US"/>
              </w:rPr>
              <w:t>$22,289</w:t>
            </w:r>
          </w:p>
        </w:tc>
        <w:tc>
          <w:tcPr>
            <w:tcW w:w="500" w:type="pct"/>
            <w:tcBorders>
              <w:bottom w:val="single" w:sz="4" w:space="0" w:color="auto"/>
            </w:tcBorders>
            <w:shd w:val="clear" w:color="auto" w:fill="auto"/>
            <w:vAlign w:val="bottom"/>
          </w:tcPr>
          <w:p w14:paraId="1E48F9E1"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color w:val="000000"/>
                <w:lang w:eastAsia="en-US"/>
              </w:rPr>
              <w:t>$31,151</w:t>
            </w:r>
          </w:p>
        </w:tc>
        <w:tc>
          <w:tcPr>
            <w:tcW w:w="500" w:type="pct"/>
            <w:tcBorders>
              <w:bottom w:val="single" w:sz="4" w:space="0" w:color="auto"/>
            </w:tcBorders>
            <w:shd w:val="clear" w:color="auto" w:fill="auto"/>
            <w:vAlign w:val="bottom"/>
          </w:tcPr>
          <w:p w14:paraId="70A6F9B0"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cs="Calibri"/>
                <w:color w:val="000000"/>
                <w:lang w:eastAsia="en-US"/>
              </w:rPr>
              <w:t>$41,894</w:t>
            </w:r>
          </w:p>
        </w:tc>
      </w:tr>
    </w:tbl>
    <w:p w14:paraId="0BCBFF76" w14:textId="0BF04125" w:rsidR="00665317" w:rsidRPr="00B35E47" w:rsidRDefault="00095358" w:rsidP="00095358">
      <w:pPr>
        <w:widowControl w:val="0"/>
        <w:spacing w:after="24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lang w:eastAsia="en-US"/>
        </w:rPr>
        <w:t>MBS = Medicare Benefits Schedule</w:t>
      </w:r>
    </w:p>
    <w:p w14:paraId="2B4FD95C" w14:textId="77777777" w:rsidR="00095358" w:rsidRPr="00B35E47" w:rsidRDefault="00095358" w:rsidP="00095358">
      <w:r w:rsidRPr="00AC71D1">
        <w:fldChar w:fldCharType="begin"/>
      </w:r>
      <w:r w:rsidRPr="00AC71D1">
        <w:instrText xml:space="preserve"> REF _Ref35956283 \h </w:instrText>
      </w:r>
      <w:r>
        <w:instrText xml:space="preserve"> \* MERGEFORMAT </w:instrText>
      </w:r>
      <w:r w:rsidRPr="00AC71D1">
        <w:fldChar w:fldCharType="separate"/>
      </w:r>
      <w:r w:rsidR="006E2BA9" w:rsidRPr="00B35E47">
        <w:t xml:space="preserve">Table </w:t>
      </w:r>
      <w:r w:rsidR="006E2BA9">
        <w:t>96</w:t>
      </w:r>
      <w:r w:rsidRPr="00AC71D1">
        <w:fldChar w:fldCharType="end"/>
      </w:r>
      <w:r w:rsidRPr="00B35E47">
        <w:t xml:space="preserve"> presents the net costs to MBS for the co-claimable services (items 73298 and 74995) assuming current bulk-billing rate is 0%. </w:t>
      </w:r>
    </w:p>
    <w:p w14:paraId="315259D7" w14:textId="673F74FE" w:rsidR="00095358" w:rsidRPr="00B35E47" w:rsidRDefault="00095358" w:rsidP="00095358">
      <w:pPr>
        <w:pStyle w:val="Caption"/>
      </w:pPr>
      <w:bookmarkStart w:id="595" w:name="_Ref35956283"/>
      <w:bookmarkStart w:id="596" w:name="_Toc36054869"/>
      <w:bookmarkStart w:id="597" w:name="_Toc39580877"/>
      <w:r w:rsidRPr="00B35E47">
        <w:t xml:space="preserve">Table </w:t>
      </w:r>
      <w:r w:rsidRPr="00B35E47">
        <w:rPr>
          <w:noProof/>
        </w:rPr>
        <w:fldChar w:fldCharType="begin"/>
      </w:r>
      <w:r w:rsidRPr="00B35E47">
        <w:rPr>
          <w:noProof/>
        </w:rPr>
        <w:instrText xml:space="preserve"> SEQ Table \* ARABIC </w:instrText>
      </w:r>
      <w:r w:rsidRPr="00B35E47">
        <w:rPr>
          <w:noProof/>
        </w:rPr>
        <w:fldChar w:fldCharType="separate"/>
      </w:r>
      <w:r w:rsidR="00FA7BCD">
        <w:rPr>
          <w:noProof/>
        </w:rPr>
        <w:t>96</w:t>
      </w:r>
      <w:r w:rsidRPr="00B35E47">
        <w:rPr>
          <w:noProof/>
        </w:rPr>
        <w:fldChar w:fldCharType="end"/>
      </w:r>
      <w:bookmarkEnd w:id="595"/>
      <w:r w:rsidRPr="00B35E47">
        <w:tab/>
        <w:t>Sensitivity analysis, costs associated with co-</w:t>
      </w:r>
      <w:r w:rsidRPr="00B35E47">
        <w:rPr>
          <w:szCs w:val="20"/>
        </w:rPr>
        <w:t xml:space="preserve">claimable </w:t>
      </w:r>
      <w:r w:rsidRPr="00B35E47">
        <w:t>services</w:t>
      </w:r>
      <w:bookmarkEnd w:id="596"/>
      <w:bookmarkEnd w:id="597"/>
    </w:p>
    <w:tbl>
      <w:tblPr>
        <w:tblStyle w:val="TableGrid1"/>
        <w:tblW w:w="5000" w:type="pct"/>
        <w:tblLook w:val="04A0" w:firstRow="1" w:lastRow="0" w:firstColumn="1" w:lastColumn="0" w:noHBand="0" w:noVBand="1"/>
        <w:tblCaption w:val="Estimated cost-savings to the MBS associated with reduction in other Medical services due to the proposed listing of FC testing"/>
        <w:tblDescription w:val="This table provides a summary of the financial impact of the proposed new medical service over the next five years."/>
      </w:tblPr>
      <w:tblGrid>
        <w:gridCol w:w="563"/>
        <w:gridCol w:w="3943"/>
        <w:gridCol w:w="902"/>
        <w:gridCol w:w="902"/>
        <w:gridCol w:w="902"/>
        <w:gridCol w:w="902"/>
        <w:gridCol w:w="902"/>
      </w:tblGrid>
      <w:tr w:rsidR="00095358" w:rsidRPr="00B35E47" w14:paraId="54C998F7" w14:textId="77777777" w:rsidTr="00095358">
        <w:trPr>
          <w:cnfStyle w:val="100000000000" w:firstRow="1" w:lastRow="0" w:firstColumn="0" w:lastColumn="0" w:oddVBand="0" w:evenVBand="0" w:oddHBand="0" w:evenHBand="0" w:firstRowFirstColumn="0" w:firstRowLastColumn="0" w:lastRowFirstColumn="0" w:lastRowLastColumn="0"/>
          <w:trHeight w:val="300"/>
          <w:tblHeader/>
        </w:trPr>
        <w:tc>
          <w:tcPr>
            <w:tcW w:w="312" w:type="pct"/>
            <w:tcBorders>
              <w:bottom w:val="single" w:sz="4" w:space="0" w:color="auto"/>
            </w:tcBorders>
            <w:vAlign w:val="center"/>
          </w:tcPr>
          <w:p w14:paraId="3F4D6885"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Row</w:t>
            </w:r>
          </w:p>
        </w:tc>
        <w:tc>
          <w:tcPr>
            <w:tcW w:w="2187" w:type="pct"/>
            <w:tcBorders>
              <w:bottom w:val="single" w:sz="4" w:space="0" w:color="auto"/>
            </w:tcBorders>
            <w:shd w:val="clear" w:color="auto" w:fill="auto"/>
            <w:vAlign w:val="center"/>
          </w:tcPr>
          <w:p w14:paraId="17AF80DF"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Description</w:t>
            </w:r>
          </w:p>
        </w:tc>
        <w:tc>
          <w:tcPr>
            <w:tcW w:w="500" w:type="pct"/>
            <w:tcBorders>
              <w:bottom w:val="single" w:sz="4" w:space="0" w:color="auto"/>
            </w:tcBorders>
            <w:vAlign w:val="center"/>
          </w:tcPr>
          <w:p w14:paraId="42EFBA96"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2020–21</w:t>
            </w:r>
          </w:p>
        </w:tc>
        <w:tc>
          <w:tcPr>
            <w:tcW w:w="500" w:type="pct"/>
            <w:tcBorders>
              <w:bottom w:val="single" w:sz="4" w:space="0" w:color="auto"/>
            </w:tcBorders>
            <w:shd w:val="clear" w:color="auto" w:fill="auto"/>
            <w:vAlign w:val="center"/>
          </w:tcPr>
          <w:p w14:paraId="01D5E297"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2021–22</w:t>
            </w:r>
          </w:p>
        </w:tc>
        <w:tc>
          <w:tcPr>
            <w:tcW w:w="500" w:type="pct"/>
            <w:tcBorders>
              <w:bottom w:val="single" w:sz="4" w:space="0" w:color="auto"/>
            </w:tcBorders>
            <w:shd w:val="clear" w:color="auto" w:fill="auto"/>
            <w:vAlign w:val="center"/>
          </w:tcPr>
          <w:p w14:paraId="05626305"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2022–23</w:t>
            </w:r>
          </w:p>
        </w:tc>
        <w:tc>
          <w:tcPr>
            <w:tcW w:w="500" w:type="pct"/>
            <w:tcBorders>
              <w:bottom w:val="single" w:sz="4" w:space="0" w:color="auto"/>
            </w:tcBorders>
            <w:shd w:val="clear" w:color="auto" w:fill="auto"/>
            <w:vAlign w:val="center"/>
          </w:tcPr>
          <w:p w14:paraId="2A7D7815"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2023–24</w:t>
            </w:r>
          </w:p>
        </w:tc>
        <w:tc>
          <w:tcPr>
            <w:tcW w:w="500" w:type="pct"/>
            <w:tcBorders>
              <w:bottom w:val="single" w:sz="4" w:space="0" w:color="auto"/>
            </w:tcBorders>
            <w:shd w:val="clear" w:color="auto" w:fill="auto"/>
            <w:vAlign w:val="center"/>
          </w:tcPr>
          <w:p w14:paraId="2A74901E" w14:textId="77777777" w:rsidR="00095358" w:rsidRPr="00B35E47" w:rsidRDefault="00095358" w:rsidP="00095358">
            <w:pPr>
              <w:keepNext/>
              <w:jc w:val="center"/>
              <w:rPr>
                <w:rFonts w:ascii="Arial Narrow" w:hAnsi="Arial Narrow"/>
                <w:b/>
                <w:i/>
                <w:lang w:eastAsia="en-US"/>
              </w:rPr>
            </w:pPr>
            <w:r w:rsidRPr="00B35E47">
              <w:rPr>
                <w:rFonts w:ascii="Arial Narrow" w:hAnsi="Arial Narrow"/>
                <w:b/>
                <w:lang w:eastAsia="en-US"/>
              </w:rPr>
              <w:t>2024–25</w:t>
            </w:r>
          </w:p>
        </w:tc>
      </w:tr>
      <w:tr w:rsidR="00095358" w:rsidRPr="00B35E47" w14:paraId="1C4B70A9" w14:textId="77777777" w:rsidTr="00095358">
        <w:trPr>
          <w:trHeight w:val="300"/>
        </w:trPr>
        <w:tc>
          <w:tcPr>
            <w:tcW w:w="312" w:type="pct"/>
          </w:tcPr>
          <w:p w14:paraId="54FE178E"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I</w:t>
            </w:r>
          </w:p>
        </w:tc>
        <w:tc>
          <w:tcPr>
            <w:tcW w:w="2187" w:type="pct"/>
            <w:shd w:val="clear" w:color="auto" w:fill="auto"/>
          </w:tcPr>
          <w:p w14:paraId="32DA803F"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Number of proposed services</w:t>
            </w:r>
          </w:p>
        </w:tc>
        <w:tc>
          <w:tcPr>
            <w:tcW w:w="500" w:type="pct"/>
            <w:vAlign w:val="center"/>
          </w:tcPr>
          <w:p w14:paraId="0376CCAE"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10,122</w:t>
            </w:r>
          </w:p>
        </w:tc>
        <w:tc>
          <w:tcPr>
            <w:tcW w:w="500" w:type="pct"/>
            <w:shd w:val="clear" w:color="auto" w:fill="auto"/>
            <w:vAlign w:val="center"/>
          </w:tcPr>
          <w:p w14:paraId="7F96CFE0"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11,641</w:t>
            </w:r>
          </w:p>
        </w:tc>
        <w:tc>
          <w:tcPr>
            <w:tcW w:w="500" w:type="pct"/>
            <w:shd w:val="clear" w:color="auto" w:fill="auto"/>
            <w:vAlign w:val="center"/>
          </w:tcPr>
          <w:p w14:paraId="57B1CC1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13,387</w:t>
            </w:r>
          </w:p>
        </w:tc>
        <w:tc>
          <w:tcPr>
            <w:tcW w:w="500" w:type="pct"/>
            <w:shd w:val="clear" w:color="auto" w:fill="auto"/>
            <w:vAlign w:val="center"/>
          </w:tcPr>
          <w:p w14:paraId="5AEEA694"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15,395</w:t>
            </w:r>
          </w:p>
        </w:tc>
        <w:tc>
          <w:tcPr>
            <w:tcW w:w="500" w:type="pct"/>
            <w:shd w:val="clear" w:color="auto" w:fill="auto"/>
            <w:vAlign w:val="center"/>
          </w:tcPr>
          <w:p w14:paraId="10796604" w14:textId="77777777" w:rsidR="00095358" w:rsidRPr="00B35E47" w:rsidRDefault="00095358" w:rsidP="00095358">
            <w:pPr>
              <w:contextualSpacing/>
              <w:jc w:val="right"/>
              <w:rPr>
                <w:rFonts w:ascii="Arial Narrow" w:hAnsi="Arial Narrow"/>
                <w:lang w:eastAsia="en-US"/>
              </w:rPr>
            </w:pPr>
            <w:r w:rsidRPr="00B35E47">
              <w:rPr>
                <w:rFonts w:ascii="Arial Narrow" w:hAnsi="Arial Narrow"/>
                <w:lang w:eastAsia="en-US"/>
              </w:rPr>
              <w:t>17,704</w:t>
            </w:r>
          </w:p>
        </w:tc>
      </w:tr>
      <w:tr w:rsidR="00095358" w:rsidRPr="00B35E47" w14:paraId="562215A0" w14:textId="77777777" w:rsidTr="00095358">
        <w:trPr>
          <w:trHeight w:val="300"/>
        </w:trPr>
        <w:tc>
          <w:tcPr>
            <w:tcW w:w="312" w:type="pct"/>
          </w:tcPr>
          <w:p w14:paraId="152DC8A2"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U</w:t>
            </w:r>
          </w:p>
        </w:tc>
        <w:tc>
          <w:tcPr>
            <w:tcW w:w="2187" w:type="pct"/>
            <w:shd w:val="clear" w:color="auto" w:fill="auto"/>
          </w:tcPr>
          <w:p w14:paraId="18769C09" w14:textId="77777777" w:rsidR="00095358" w:rsidRPr="00B35E47" w:rsidRDefault="00095358" w:rsidP="00095358">
            <w:pPr>
              <w:contextualSpacing/>
              <w:jc w:val="left"/>
              <w:rPr>
                <w:rFonts w:ascii="Arial Narrow" w:hAnsi="Arial Narrow"/>
                <w:vertAlign w:val="superscript"/>
                <w:lang w:eastAsia="en-US"/>
              </w:rPr>
            </w:pPr>
            <w:r w:rsidRPr="00B35E47">
              <w:rPr>
                <w:rFonts w:ascii="Arial Narrow" w:hAnsi="Arial Narrow"/>
                <w:lang w:eastAsia="en-US"/>
              </w:rPr>
              <w:t>Cost of co-claimable services (= I*$9.91)</w:t>
            </w:r>
            <w:r w:rsidRPr="00B35E47">
              <w:rPr>
                <w:rFonts w:ascii="Arial Narrow" w:hAnsi="Arial Narrow"/>
                <w:vertAlign w:val="superscript"/>
                <w:lang w:eastAsia="en-US"/>
              </w:rPr>
              <w:t>a</w:t>
            </w:r>
          </w:p>
        </w:tc>
        <w:tc>
          <w:tcPr>
            <w:tcW w:w="500" w:type="pct"/>
            <w:vAlign w:val="center"/>
          </w:tcPr>
          <w:p w14:paraId="194CCD0E"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$100,312</w:t>
            </w:r>
          </w:p>
        </w:tc>
        <w:tc>
          <w:tcPr>
            <w:tcW w:w="500" w:type="pct"/>
            <w:shd w:val="clear" w:color="auto" w:fill="auto"/>
            <w:vAlign w:val="center"/>
          </w:tcPr>
          <w:p w14:paraId="32634603"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$115,359</w:t>
            </w:r>
          </w:p>
        </w:tc>
        <w:tc>
          <w:tcPr>
            <w:tcW w:w="500" w:type="pct"/>
            <w:shd w:val="clear" w:color="auto" w:fill="auto"/>
            <w:vAlign w:val="center"/>
          </w:tcPr>
          <w:p w14:paraId="2581B636"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$132,663</w:t>
            </w:r>
          </w:p>
        </w:tc>
        <w:tc>
          <w:tcPr>
            <w:tcW w:w="500" w:type="pct"/>
            <w:shd w:val="clear" w:color="auto" w:fill="auto"/>
            <w:vAlign w:val="center"/>
          </w:tcPr>
          <w:p w14:paraId="7C37F64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$152,562</w:t>
            </w:r>
          </w:p>
        </w:tc>
        <w:tc>
          <w:tcPr>
            <w:tcW w:w="500" w:type="pct"/>
            <w:shd w:val="clear" w:color="auto" w:fill="auto"/>
            <w:vAlign w:val="center"/>
          </w:tcPr>
          <w:p w14:paraId="09EFF8A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$175,447</w:t>
            </w:r>
          </w:p>
        </w:tc>
      </w:tr>
      <w:tr w:rsidR="00095358" w:rsidRPr="00B35E47" w14:paraId="5C80ED43" w14:textId="77777777" w:rsidTr="00095358">
        <w:trPr>
          <w:trHeight w:val="300"/>
        </w:trPr>
        <w:tc>
          <w:tcPr>
            <w:tcW w:w="312" w:type="pct"/>
          </w:tcPr>
          <w:p w14:paraId="74A46C7F"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J</w:t>
            </w:r>
          </w:p>
        </w:tc>
        <w:tc>
          <w:tcPr>
            <w:tcW w:w="2187" w:type="pct"/>
            <w:shd w:val="clear" w:color="auto" w:fill="auto"/>
          </w:tcPr>
          <w:p w14:paraId="62E32804"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Number of services, current funding</w:t>
            </w:r>
          </w:p>
        </w:tc>
        <w:tc>
          <w:tcPr>
            <w:tcW w:w="500" w:type="pct"/>
            <w:vAlign w:val="center"/>
          </w:tcPr>
          <w:p w14:paraId="3F83003D"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9,205</w:t>
            </w:r>
          </w:p>
        </w:tc>
        <w:tc>
          <w:tcPr>
            <w:tcW w:w="500" w:type="pct"/>
            <w:shd w:val="clear" w:color="auto" w:fill="auto"/>
            <w:vAlign w:val="center"/>
          </w:tcPr>
          <w:p w14:paraId="1FACF56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10,125</w:t>
            </w:r>
          </w:p>
        </w:tc>
        <w:tc>
          <w:tcPr>
            <w:tcW w:w="500" w:type="pct"/>
            <w:shd w:val="clear" w:color="auto" w:fill="auto"/>
            <w:vAlign w:val="center"/>
          </w:tcPr>
          <w:p w14:paraId="494E868B"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11,138</w:t>
            </w:r>
          </w:p>
        </w:tc>
        <w:tc>
          <w:tcPr>
            <w:tcW w:w="500" w:type="pct"/>
            <w:shd w:val="clear" w:color="auto" w:fill="auto"/>
            <w:vAlign w:val="center"/>
          </w:tcPr>
          <w:p w14:paraId="648C6972"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12,251</w:t>
            </w:r>
          </w:p>
        </w:tc>
        <w:tc>
          <w:tcPr>
            <w:tcW w:w="500" w:type="pct"/>
            <w:shd w:val="clear" w:color="auto" w:fill="auto"/>
            <w:vAlign w:val="center"/>
          </w:tcPr>
          <w:p w14:paraId="79B62A47" w14:textId="77777777" w:rsidR="00095358" w:rsidRPr="00B35E47" w:rsidRDefault="00095358" w:rsidP="00095358">
            <w:pPr>
              <w:contextualSpacing/>
              <w:jc w:val="right"/>
              <w:rPr>
                <w:rFonts w:ascii="Arial Narrow" w:hAnsi="Arial Narrow"/>
                <w:lang w:eastAsia="en-US"/>
              </w:rPr>
            </w:pPr>
            <w:r w:rsidRPr="00B35E47">
              <w:rPr>
                <w:rFonts w:ascii="Arial Narrow" w:hAnsi="Arial Narrow" w:cs="Calibri"/>
                <w:color w:val="000000"/>
                <w:lang w:eastAsia="en-US"/>
              </w:rPr>
              <w:t>13,477</w:t>
            </w:r>
          </w:p>
        </w:tc>
      </w:tr>
      <w:tr w:rsidR="00095358" w:rsidRPr="00B35E47" w14:paraId="75A57B8D" w14:textId="77777777" w:rsidTr="00095358">
        <w:trPr>
          <w:trHeight w:val="300"/>
        </w:trPr>
        <w:tc>
          <w:tcPr>
            <w:tcW w:w="312" w:type="pct"/>
          </w:tcPr>
          <w:p w14:paraId="591B0CC3"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V</w:t>
            </w:r>
          </w:p>
        </w:tc>
        <w:tc>
          <w:tcPr>
            <w:tcW w:w="2187" w:type="pct"/>
            <w:shd w:val="clear" w:color="auto" w:fill="auto"/>
          </w:tcPr>
          <w:p w14:paraId="7DC5847B" w14:textId="77777777" w:rsidR="00095358" w:rsidRPr="00B35E47" w:rsidRDefault="00095358" w:rsidP="00095358">
            <w:pPr>
              <w:contextualSpacing/>
              <w:jc w:val="left"/>
              <w:rPr>
                <w:rFonts w:ascii="Arial Narrow" w:hAnsi="Arial Narrow"/>
                <w:vertAlign w:val="superscript"/>
                <w:lang w:eastAsia="en-US"/>
              </w:rPr>
            </w:pPr>
            <w:r w:rsidRPr="00B35E47">
              <w:rPr>
                <w:rFonts w:ascii="Arial Narrow" w:hAnsi="Arial Narrow"/>
                <w:lang w:eastAsia="en-US"/>
              </w:rPr>
              <w:t>Cost of co- claimable services (= J*$5.95)</w:t>
            </w:r>
            <w:r w:rsidRPr="00B35E47">
              <w:rPr>
                <w:rFonts w:ascii="Arial Narrow" w:hAnsi="Arial Narrow"/>
                <w:vertAlign w:val="superscript"/>
                <w:lang w:eastAsia="en-US"/>
              </w:rPr>
              <w:t>b</w:t>
            </w:r>
          </w:p>
        </w:tc>
        <w:tc>
          <w:tcPr>
            <w:tcW w:w="500" w:type="pct"/>
          </w:tcPr>
          <w:p w14:paraId="1D785540" w14:textId="77777777" w:rsidR="00095358" w:rsidRPr="00B35E47" w:rsidRDefault="00095358" w:rsidP="00095358">
            <w:pPr>
              <w:contextualSpacing/>
              <w:jc w:val="right"/>
              <w:rPr>
                <w:rFonts w:ascii="Arial Narrow" w:hAnsi="Arial Narrow" w:cs="Calibri"/>
                <w:color w:val="000000"/>
                <w:lang w:eastAsia="en-US"/>
              </w:rPr>
            </w:pPr>
            <w:r w:rsidRPr="00B35E47">
              <w:rPr>
                <w:rFonts w:ascii="Arial Narrow" w:hAnsi="Arial Narrow"/>
                <w:lang w:eastAsia="en-US"/>
              </w:rPr>
              <w:t>$54,768</w:t>
            </w:r>
          </w:p>
        </w:tc>
        <w:tc>
          <w:tcPr>
            <w:tcW w:w="500" w:type="pct"/>
            <w:shd w:val="clear" w:color="auto" w:fill="auto"/>
          </w:tcPr>
          <w:p w14:paraId="2C6B47C0" w14:textId="77777777" w:rsidR="00095358" w:rsidRPr="00B35E47" w:rsidRDefault="00095358" w:rsidP="00095358">
            <w:pPr>
              <w:contextualSpacing/>
              <w:jc w:val="right"/>
              <w:rPr>
                <w:rFonts w:ascii="Arial Narrow" w:hAnsi="Arial Narrow" w:cs="Calibri"/>
                <w:color w:val="000000"/>
                <w:lang w:eastAsia="en-US"/>
              </w:rPr>
            </w:pPr>
            <w:r w:rsidRPr="00B35E47">
              <w:rPr>
                <w:rFonts w:ascii="Arial Narrow" w:hAnsi="Arial Narrow"/>
                <w:lang w:eastAsia="en-US"/>
              </w:rPr>
              <w:t>$60,245</w:t>
            </w:r>
          </w:p>
        </w:tc>
        <w:tc>
          <w:tcPr>
            <w:tcW w:w="500" w:type="pct"/>
            <w:shd w:val="clear" w:color="auto" w:fill="auto"/>
          </w:tcPr>
          <w:p w14:paraId="2AAC5FE0" w14:textId="77777777" w:rsidR="00095358" w:rsidRPr="00B35E47" w:rsidRDefault="00095358" w:rsidP="00095358">
            <w:pPr>
              <w:contextualSpacing/>
              <w:jc w:val="right"/>
              <w:rPr>
                <w:rFonts w:ascii="Arial Narrow" w:hAnsi="Arial Narrow" w:cs="Calibri"/>
                <w:color w:val="000000"/>
                <w:lang w:eastAsia="en-US"/>
              </w:rPr>
            </w:pPr>
            <w:r w:rsidRPr="00B35E47">
              <w:rPr>
                <w:rFonts w:ascii="Arial Narrow" w:hAnsi="Arial Narrow"/>
                <w:lang w:eastAsia="en-US"/>
              </w:rPr>
              <w:t>$66,269</w:t>
            </w:r>
          </w:p>
        </w:tc>
        <w:tc>
          <w:tcPr>
            <w:tcW w:w="500" w:type="pct"/>
            <w:shd w:val="clear" w:color="auto" w:fill="auto"/>
          </w:tcPr>
          <w:p w14:paraId="31E6E706" w14:textId="77777777" w:rsidR="00095358" w:rsidRPr="00B35E47" w:rsidRDefault="00095358" w:rsidP="00095358">
            <w:pPr>
              <w:contextualSpacing/>
              <w:jc w:val="right"/>
              <w:rPr>
                <w:rFonts w:ascii="Arial Narrow" w:hAnsi="Arial Narrow" w:cs="Calibri"/>
                <w:color w:val="000000"/>
                <w:lang w:eastAsia="en-US"/>
              </w:rPr>
            </w:pPr>
            <w:r w:rsidRPr="00B35E47">
              <w:rPr>
                <w:rFonts w:ascii="Arial Narrow" w:hAnsi="Arial Narrow"/>
                <w:lang w:eastAsia="en-US"/>
              </w:rPr>
              <w:t>$72,896</w:t>
            </w:r>
          </w:p>
        </w:tc>
        <w:tc>
          <w:tcPr>
            <w:tcW w:w="500" w:type="pct"/>
            <w:shd w:val="clear" w:color="auto" w:fill="auto"/>
          </w:tcPr>
          <w:p w14:paraId="02399212" w14:textId="77777777" w:rsidR="00095358" w:rsidRPr="00B35E47" w:rsidRDefault="00095358" w:rsidP="00095358">
            <w:pPr>
              <w:contextualSpacing/>
              <w:jc w:val="right"/>
              <w:rPr>
                <w:rFonts w:ascii="Arial Narrow" w:hAnsi="Arial Narrow" w:cs="Calibri"/>
                <w:color w:val="000000"/>
                <w:lang w:eastAsia="en-US"/>
              </w:rPr>
            </w:pPr>
            <w:r w:rsidRPr="00B35E47">
              <w:rPr>
                <w:rFonts w:ascii="Arial Narrow" w:hAnsi="Arial Narrow"/>
                <w:lang w:eastAsia="en-US"/>
              </w:rPr>
              <w:t>$80,185</w:t>
            </w:r>
          </w:p>
        </w:tc>
      </w:tr>
      <w:tr w:rsidR="00095358" w:rsidRPr="00B35E47" w14:paraId="2BD9E353" w14:textId="77777777" w:rsidTr="00095358">
        <w:trPr>
          <w:trHeight w:val="315"/>
        </w:trPr>
        <w:tc>
          <w:tcPr>
            <w:tcW w:w="312" w:type="pct"/>
          </w:tcPr>
          <w:p w14:paraId="6881C735" w14:textId="77777777" w:rsidR="00095358" w:rsidRPr="00B35E47" w:rsidRDefault="00095358" w:rsidP="00095358">
            <w:pPr>
              <w:contextualSpacing/>
              <w:jc w:val="left"/>
              <w:rPr>
                <w:rFonts w:ascii="Arial Narrow" w:hAnsi="Arial Narrow"/>
                <w:lang w:eastAsia="en-US"/>
              </w:rPr>
            </w:pPr>
            <w:r w:rsidRPr="00B35E47">
              <w:rPr>
                <w:rFonts w:ascii="Arial Narrow" w:hAnsi="Arial Narrow"/>
                <w:lang w:eastAsia="en-US"/>
              </w:rPr>
              <w:t>W</w:t>
            </w:r>
          </w:p>
        </w:tc>
        <w:tc>
          <w:tcPr>
            <w:tcW w:w="2187" w:type="pct"/>
            <w:tcBorders>
              <w:bottom w:val="single" w:sz="4" w:space="0" w:color="auto"/>
            </w:tcBorders>
            <w:shd w:val="clear" w:color="auto" w:fill="auto"/>
          </w:tcPr>
          <w:p w14:paraId="55C43E41" w14:textId="77777777" w:rsidR="00095358" w:rsidRPr="00B35E47" w:rsidRDefault="00095358" w:rsidP="00095358">
            <w:pPr>
              <w:contextualSpacing/>
              <w:jc w:val="left"/>
              <w:rPr>
                <w:rFonts w:ascii="Arial Narrow" w:hAnsi="Arial Narrow"/>
                <w:lang w:eastAsia="en-US"/>
              </w:rPr>
            </w:pPr>
            <w:r w:rsidRPr="00B35E47">
              <w:rPr>
                <w:rFonts w:ascii="Arial Narrow" w:hAnsi="Arial Narrow"/>
                <w:b/>
                <w:lang w:eastAsia="en-US"/>
              </w:rPr>
              <w:t>Net cost offsets to MBS</w:t>
            </w:r>
            <w:r w:rsidRPr="00B35E47">
              <w:rPr>
                <w:rFonts w:ascii="Arial Narrow" w:hAnsi="Arial Narrow"/>
                <w:lang w:eastAsia="en-US"/>
              </w:rPr>
              <w:t xml:space="preserve"> </w:t>
            </w:r>
            <w:r w:rsidRPr="00B35E47">
              <w:rPr>
                <w:rFonts w:ascii="Arial Narrow" w:hAnsi="Arial Narrow"/>
                <w:b/>
                <w:lang w:eastAsia="en-US"/>
              </w:rPr>
              <w:t>for the co-claimable services</w:t>
            </w:r>
            <w:r w:rsidRPr="00B35E47">
              <w:rPr>
                <w:rFonts w:ascii="Arial Narrow" w:hAnsi="Arial Narrow"/>
                <w:lang w:eastAsia="en-US"/>
              </w:rPr>
              <w:t xml:space="preserve"> (W= U+V)</w:t>
            </w:r>
          </w:p>
        </w:tc>
        <w:tc>
          <w:tcPr>
            <w:tcW w:w="500" w:type="pct"/>
            <w:tcBorders>
              <w:bottom w:val="single" w:sz="4" w:space="0" w:color="auto"/>
            </w:tcBorders>
          </w:tcPr>
          <w:p w14:paraId="64952312"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lang w:eastAsia="en-US"/>
              </w:rPr>
              <w:t>$45,545</w:t>
            </w:r>
          </w:p>
        </w:tc>
        <w:tc>
          <w:tcPr>
            <w:tcW w:w="500" w:type="pct"/>
            <w:tcBorders>
              <w:bottom w:val="single" w:sz="4" w:space="0" w:color="auto"/>
            </w:tcBorders>
            <w:shd w:val="clear" w:color="auto" w:fill="auto"/>
          </w:tcPr>
          <w:p w14:paraId="486F531D"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lang w:eastAsia="en-US"/>
              </w:rPr>
              <w:t>$55,115</w:t>
            </w:r>
          </w:p>
        </w:tc>
        <w:tc>
          <w:tcPr>
            <w:tcW w:w="500" w:type="pct"/>
            <w:tcBorders>
              <w:bottom w:val="single" w:sz="4" w:space="0" w:color="auto"/>
            </w:tcBorders>
            <w:shd w:val="clear" w:color="auto" w:fill="auto"/>
          </w:tcPr>
          <w:p w14:paraId="71D456C0"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lang w:eastAsia="en-US"/>
              </w:rPr>
              <w:t>$66,394</w:t>
            </w:r>
          </w:p>
        </w:tc>
        <w:tc>
          <w:tcPr>
            <w:tcW w:w="500" w:type="pct"/>
            <w:tcBorders>
              <w:bottom w:val="single" w:sz="4" w:space="0" w:color="auto"/>
            </w:tcBorders>
            <w:shd w:val="clear" w:color="auto" w:fill="auto"/>
          </w:tcPr>
          <w:p w14:paraId="7A10EE12"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lang w:eastAsia="en-US"/>
              </w:rPr>
              <w:t>$79,667</w:t>
            </w:r>
          </w:p>
        </w:tc>
        <w:tc>
          <w:tcPr>
            <w:tcW w:w="500" w:type="pct"/>
            <w:tcBorders>
              <w:bottom w:val="single" w:sz="4" w:space="0" w:color="auto"/>
            </w:tcBorders>
            <w:shd w:val="clear" w:color="auto" w:fill="auto"/>
          </w:tcPr>
          <w:p w14:paraId="768A1F26" w14:textId="77777777" w:rsidR="00095358" w:rsidRPr="00B35E47" w:rsidRDefault="00095358" w:rsidP="00095358">
            <w:pPr>
              <w:contextualSpacing/>
              <w:jc w:val="right"/>
              <w:rPr>
                <w:rFonts w:ascii="Arial Narrow" w:hAnsi="Arial Narrow"/>
                <w:b/>
                <w:lang w:eastAsia="en-US"/>
              </w:rPr>
            </w:pPr>
            <w:r w:rsidRPr="00B35E47">
              <w:rPr>
                <w:rFonts w:ascii="Arial Narrow" w:hAnsi="Arial Narrow"/>
                <w:lang w:eastAsia="en-US"/>
              </w:rPr>
              <w:t>$95,261</w:t>
            </w:r>
          </w:p>
        </w:tc>
      </w:tr>
    </w:tbl>
    <w:p w14:paraId="011E734B" w14:textId="77777777" w:rsidR="006F2353" w:rsidRDefault="006F2353" w:rsidP="00095358">
      <w:pPr>
        <w:widowControl w:val="0"/>
        <w:spacing w:after="240" w:line="240" w:lineRule="auto"/>
        <w:contextualSpacing/>
        <w:jc w:val="left"/>
        <w:rPr>
          <w:rFonts w:ascii="Arial Narrow" w:hAnsi="Arial Narrow" w:cs="Arial"/>
          <w:snapToGrid w:val="0"/>
          <w:sz w:val="18"/>
          <w:szCs w:val="20"/>
          <w:vertAlign w:val="superscript"/>
          <w:lang w:eastAsia="en-US"/>
        </w:rPr>
      </w:pPr>
      <w:r w:rsidRPr="00B35E47">
        <w:rPr>
          <w:rFonts w:ascii="Arial Narrow" w:hAnsi="Arial Narrow" w:cs="Arial"/>
          <w:snapToGrid w:val="0"/>
          <w:sz w:val="18"/>
          <w:szCs w:val="20"/>
          <w:lang w:eastAsia="en-US"/>
        </w:rPr>
        <w:t>MBS = Medicare Benefits Schedule</w:t>
      </w:r>
      <w:r w:rsidRPr="00B35E47">
        <w:rPr>
          <w:rFonts w:ascii="Arial Narrow" w:hAnsi="Arial Narrow" w:cs="Arial"/>
          <w:snapToGrid w:val="0"/>
          <w:sz w:val="18"/>
          <w:szCs w:val="20"/>
          <w:vertAlign w:val="superscript"/>
          <w:lang w:eastAsia="en-US"/>
        </w:rPr>
        <w:t xml:space="preserve"> </w:t>
      </w:r>
    </w:p>
    <w:p w14:paraId="7065033B" w14:textId="77777777" w:rsidR="006F2353" w:rsidRDefault="00095358" w:rsidP="00095358">
      <w:pPr>
        <w:widowControl w:val="0"/>
        <w:spacing w:after="24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a</w:t>
      </w:r>
      <w:r w:rsidRPr="00B35E47">
        <w:rPr>
          <w:rFonts w:ascii="Arial Narrow" w:hAnsi="Arial Narrow" w:cs="Arial"/>
          <w:snapToGrid w:val="0"/>
          <w:sz w:val="18"/>
          <w:szCs w:val="20"/>
          <w:lang w:eastAsia="en-US"/>
        </w:rPr>
        <w:t>Estimated by adding fee for items 73298 ($5.95) and 74995 (99%* $4.00)</w:t>
      </w:r>
      <w:r w:rsidR="006F2353">
        <w:rPr>
          <w:rFonts w:ascii="Arial Narrow" w:hAnsi="Arial Narrow" w:cs="Arial"/>
          <w:snapToGrid w:val="0"/>
          <w:sz w:val="18"/>
          <w:szCs w:val="20"/>
          <w:lang w:eastAsia="en-US"/>
        </w:rPr>
        <w:t xml:space="preserve"> </w:t>
      </w:r>
    </w:p>
    <w:p w14:paraId="656B0EAD" w14:textId="32EAAFBF" w:rsidR="006B5954" w:rsidRDefault="00095358" w:rsidP="00095358">
      <w:pPr>
        <w:widowControl w:val="0"/>
        <w:spacing w:after="240" w:line="240" w:lineRule="auto"/>
        <w:contextualSpacing/>
        <w:jc w:val="left"/>
        <w:rPr>
          <w:rFonts w:ascii="Arial Narrow" w:hAnsi="Arial Narrow" w:cs="Arial"/>
          <w:snapToGrid w:val="0"/>
          <w:sz w:val="18"/>
          <w:szCs w:val="20"/>
          <w:lang w:eastAsia="en-US"/>
        </w:rPr>
      </w:pPr>
      <w:r w:rsidRPr="00B35E47">
        <w:rPr>
          <w:rFonts w:ascii="Arial Narrow" w:hAnsi="Arial Narrow" w:cs="Arial"/>
          <w:snapToGrid w:val="0"/>
          <w:sz w:val="18"/>
          <w:szCs w:val="20"/>
          <w:vertAlign w:val="superscript"/>
          <w:lang w:eastAsia="en-US"/>
        </w:rPr>
        <w:t>b</w:t>
      </w:r>
      <w:r w:rsidRPr="00B35E47">
        <w:rPr>
          <w:rFonts w:ascii="Arial Narrow" w:hAnsi="Arial Narrow" w:cs="Arial"/>
          <w:snapToGrid w:val="0"/>
          <w:sz w:val="18"/>
          <w:szCs w:val="20"/>
          <w:lang w:eastAsia="en-US"/>
        </w:rPr>
        <w:t>Patient episode initiation fee ($5.95)</w:t>
      </w:r>
      <w:r w:rsidR="006F2353">
        <w:rPr>
          <w:rFonts w:ascii="Arial Narrow" w:hAnsi="Arial Narrow" w:cs="Arial"/>
          <w:snapToGrid w:val="0"/>
          <w:sz w:val="18"/>
          <w:szCs w:val="20"/>
          <w:lang w:eastAsia="en-US"/>
        </w:rPr>
        <w:t xml:space="preserve"> </w:t>
      </w:r>
      <w:r w:rsidR="006B5954">
        <w:rPr>
          <w:rFonts w:ascii="Arial Narrow" w:hAnsi="Arial Narrow" w:cs="Arial"/>
          <w:snapToGrid w:val="0"/>
          <w:sz w:val="18"/>
          <w:szCs w:val="20"/>
          <w:lang w:eastAsia="en-US"/>
        </w:rPr>
        <w:br w:type="page"/>
      </w:r>
    </w:p>
    <w:p w14:paraId="571EE873" w14:textId="17AAE134" w:rsidR="00ED65EE" w:rsidRPr="00183E4D" w:rsidRDefault="00ED65EE" w:rsidP="00ED65EE">
      <w:pPr>
        <w:keepNext/>
        <w:pageBreakBefore/>
        <w:pBdr>
          <w:bottom w:val="single" w:sz="4" w:space="1" w:color="auto"/>
        </w:pBdr>
        <w:spacing w:after="360" w:line="240" w:lineRule="auto"/>
        <w:ind w:left="2835" w:hanging="2835"/>
        <w:outlineLvl w:val="0"/>
        <w:rPr>
          <w:b/>
          <w:sz w:val="44"/>
        </w:rPr>
      </w:pPr>
      <w:bookmarkStart w:id="598" w:name="_Toc39588386"/>
      <w:bookmarkEnd w:id="510"/>
      <w:bookmarkEnd w:id="511"/>
      <w:bookmarkEnd w:id="512"/>
      <w:bookmarkEnd w:id="513"/>
      <w:r w:rsidRPr="00183E4D">
        <w:rPr>
          <w:b/>
          <w:sz w:val="44"/>
        </w:rPr>
        <w:lastRenderedPageBreak/>
        <w:t xml:space="preserve">Appendix </w:t>
      </w:r>
      <w:r w:rsidRPr="00183E4D">
        <w:rPr>
          <w:b/>
          <w:sz w:val="44"/>
        </w:rPr>
        <w:fldChar w:fldCharType="begin"/>
      </w:r>
      <w:r w:rsidRPr="00183E4D">
        <w:rPr>
          <w:b/>
          <w:sz w:val="44"/>
        </w:rPr>
        <w:instrText xml:space="preserve"> SEQ Appendix \* ALPHABETIC </w:instrText>
      </w:r>
      <w:r w:rsidRPr="00183E4D">
        <w:rPr>
          <w:b/>
          <w:sz w:val="44"/>
        </w:rPr>
        <w:fldChar w:fldCharType="separate"/>
      </w:r>
      <w:r w:rsidR="005E0404">
        <w:rPr>
          <w:b/>
          <w:noProof/>
          <w:sz w:val="44"/>
        </w:rPr>
        <w:t>A</w:t>
      </w:r>
      <w:r w:rsidRPr="00183E4D">
        <w:rPr>
          <w:b/>
          <w:sz w:val="44"/>
        </w:rPr>
        <w:fldChar w:fldCharType="end"/>
      </w:r>
      <w:bookmarkEnd w:id="514"/>
      <w:bookmarkEnd w:id="515"/>
      <w:bookmarkEnd w:id="516"/>
      <w:r w:rsidRPr="00183E4D">
        <w:rPr>
          <w:b/>
          <w:sz w:val="44"/>
        </w:rPr>
        <w:tab/>
      </w:r>
      <w:r>
        <w:rPr>
          <w:b/>
          <w:sz w:val="44"/>
        </w:rPr>
        <w:t>Clinical Experts</w:t>
      </w:r>
      <w:r w:rsidRPr="00183E4D">
        <w:rPr>
          <w:b/>
          <w:sz w:val="44"/>
        </w:rPr>
        <w:t xml:space="preserve"> and Assessment Group</w:t>
      </w:r>
      <w:bookmarkEnd w:id="517"/>
      <w:bookmarkEnd w:id="518"/>
      <w:bookmarkEnd w:id="519"/>
      <w:bookmarkEnd w:id="598"/>
    </w:p>
    <w:p w14:paraId="57C8694E" w14:textId="77777777" w:rsidR="00706BE3" w:rsidRPr="00183E4D" w:rsidRDefault="00706BE3" w:rsidP="00706BE3">
      <w:pPr>
        <w:pStyle w:val="Heading2"/>
        <w:jc w:val="both"/>
      </w:pPr>
      <w:bookmarkStart w:id="599" w:name="_Toc39588387"/>
      <w:bookmarkStart w:id="600" w:name="_Toc379118100"/>
      <w:bookmarkStart w:id="601" w:name="_Toc381796499"/>
      <w:bookmarkEnd w:id="520"/>
      <w:r>
        <w:t>C</w:t>
      </w:r>
      <w:r w:rsidR="00315EBD">
        <w:t>l</w:t>
      </w:r>
      <w:r>
        <w:t xml:space="preserve">inical </w:t>
      </w:r>
      <w:r w:rsidRPr="00183E4D">
        <w:t>Expert</w:t>
      </w:r>
      <w:r>
        <w:t>s</w:t>
      </w:r>
      <w:r w:rsidRPr="00183E4D">
        <w:t xml:space="preserve"> </w:t>
      </w:r>
      <w:r>
        <w:t>providing input</w:t>
      </w:r>
      <w:bookmarkEnd w:id="599"/>
    </w:p>
    <w:p w14:paraId="3E7CB3E5" w14:textId="77777777" w:rsidR="00706BE3" w:rsidRPr="00183E4D" w:rsidRDefault="00706BE3" w:rsidP="00706BE3">
      <w:pPr>
        <w:tabs>
          <w:tab w:val="left" w:pos="4111"/>
        </w:tabs>
        <w:spacing w:after="40"/>
        <w:rPr>
          <w:u w:val="single"/>
        </w:rPr>
      </w:pPr>
      <w:r w:rsidRPr="00183E4D">
        <w:rPr>
          <w:u w:val="single"/>
        </w:rPr>
        <w:t>Name</w:t>
      </w:r>
      <w:r w:rsidRPr="00183E4D">
        <w:tab/>
      </w:r>
      <w:r>
        <w:rPr>
          <w:u w:val="single"/>
        </w:rPr>
        <w:t>Expertise</w:t>
      </w:r>
    </w:p>
    <w:p w14:paraId="510E3ADF" w14:textId="77777777" w:rsidR="00706BE3" w:rsidRDefault="00706BE3" w:rsidP="00706BE3">
      <w:pPr>
        <w:tabs>
          <w:tab w:val="left" w:pos="4111"/>
        </w:tabs>
        <w:spacing w:line="26" w:lineRule="atLeast"/>
        <w:ind w:left="4110" w:hanging="4110"/>
      </w:pPr>
      <w:r>
        <w:t xml:space="preserve">Stephen </w:t>
      </w:r>
      <w:r w:rsidR="00E6217C">
        <w:t>Re</w:t>
      </w:r>
      <w:r>
        <w:t>ddel</w:t>
      </w:r>
      <w:r>
        <w:tab/>
        <w:t>Neurologist</w:t>
      </w:r>
    </w:p>
    <w:p w14:paraId="29F55F52" w14:textId="77777777" w:rsidR="00706BE3" w:rsidRPr="00873FCB" w:rsidRDefault="00706BE3" w:rsidP="00706BE3">
      <w:pPr>
        <w:tabs>
          <w:tab w:val="left" w:pos="4111"/>
        </w:tabs>
        <w:spacing w:line="26" w:lineRule="atLeast"/>
        <w:ind w:left="4110" w:hanging="4110"/>
        <w:rPr>
          <w:b/>
          <w:bCs/>
        </w:rPr>
      </w:pPr>
      <w:r>
        <w:t xml:space="preserve">Andrew </w:t>
      </w:r>
      <w:r w:rsidRPr="00873FCB">
        <w:rPr>
          <w:lang w:val="en-US"/>
        </w:rPr>
        <w:t>McLean-Tooke</w:t>
      </w:r>
      <w:r>
        <w:rPr>
          <w:lang w:val="en-US"/>
        </w:rPr>
        <w:tab/>
      </w:r>
      <w:r>
        <w:rPr>
          <w:bCs/>
        </w:rPr>
        <w:t>Pathology</w:t>
      </w:r>
    </w:p>
    <w:p w14:paraId="45568C41" w14:textId="77777777" w:rsidR="00706BE3" w:rsidRDefault="00706BE3" w:rsidP="00706BE3">
      <w:pPr>
        <w:tabs>
          <w:tab w:val="left" w:pos="4111"/>
        </w:tabs>
        <w:spacing w:line="26" w:lineRule="atLeast"/>
        <w:ind w:left="4110" w:hanging="4110"/>
      </w:pPr>
      <w:r w:rsidRPr="00873FCB">
        <w:t>Daman Langguth</w:t>
      </w:r>
      <w:r>
        <w:tab/>
        <w:t>Clinical Immunologist</w:t>
      </w:r>
    </w:p>
    <w:p w14:paraId="244F6DAF" w14:textId="77777777" w:rsidR="00706BE3" w:rsidRPr="00183E4D" w:rsidRDefault="00706BE3" w:rsidP="00706BE3">
      <w:pPr>
        <w:tabs>
          <w:tab w:val="left" w:pos="4111"/>
        </w:tabs>
        <w:spacing w:line="26" w:lineRule="atLeast"/>
        <w:ind w:left="4110" w:hanging="4110"/>
      </w:pPr>
      <w:r>
        <w:t>Simon Broadley</w:t>
      </w:r>
      <w:r>
        <w:tab/>
        <w:t>Neurologist</w:t>
      </w:r>
    </w:p>
    <w:p w14:paraId="162FA4C6" w14:textId="77777777" w:rsidR="00706BE3" w:rsidRPr="00183E4D" w:rsidRDefault="00706BE3" w:rsidP="00706BE3">
      <w:pPr>
        <w:tabs>
          <w:tab w:val="left" w:pos="4111"/>
        </w:tabs>
        <w:spacing w:line="26" w:lineRule="atLeast"/>
        <w:ind w:left="4110" w:hanging="4110"/>
      </w:pPr>
    </w:p>
    <w:p w14:paraId="3CD0FD5F" w14:textId="77777777" w:rsidR="00706BE3" w:rsidRPr="00183E4D" w:rsidRDefault="00706BE3" w:rsidP="00706BE3">
      <w:pPr>
        <w:pStyle w:val="Heading2"/>
        <w:jc w:val="both"/>
      </w:pPr>
      <w:bookmarkStart w:id="602" w:name="_Toc379118099"/>
      <w:bookmarkStart w:id="603" w:name="_Toc381796498"/>
      <w:bookmarkStart w:id="604" w:name="_Toc39588388"/>
      <w:r w:rsidRPr="00183E4D">
        <w:t>Assessment group</w:t>
      </w:r>
      <w:bookmarkEnd w:id="602"/>
      <w:bookmarkEnd w:id="603"/>
      <w:bookmarkEnd w:id="604"/>
      <w:r>
        <w:t xml:space="preserve"> </w:t>
      </w:r>
    </w:p>
    <w:p w14:paraId="3894FD41" w14:textId="77777777" w:rsidR="00706BE3" w:rsidRPr="00183E4D" w:rsidRDefault="00706BE3" w:rsidP="00706BE3">
      <w:pPr>
        <w:spacing w:line="240" w:lineRule="auto"/>
        <w:rPr>
          <w:b/>
        </w:rPr>
      </w:pPr>
      <w:r>
        <w:rPr>
          <w:b/>
        </w:rPr>
        <w:t>Adelaide Health Technology Assessment</w:t>
      </w:r>
    </w:p>
    <w:p w14:paraId="46C474FD" w14:textId="77777777" w:rsidR="00706BE3" w:rsidRPr="00183E4D" w:rsidRDefault="00706BE3" w:rsidP="00706BE3">
      <w:pPr>
        <w:tabs>
          <w:tab w:val="left" w:pos="4111"/>
        </w:tabs>
        <w:spacing w:after="40"/>
        <w:rPr>
          <w:u w:val="single"/>
        </w:rPr>
      </w:pPr>
      <w:r w:rsidRPr="00183E4D">
        <w:rPr>
          <w:u w:val="single"/>
        </w:rPr>
        <w:t>Name</w:t>
      </w:r>
      <w:r w:rsidRPr="00183E4D">
        <w:tab/>
      </w:r>
      <w:r w:rsidRPr="00183E4D">
        <w:rPr>
          <w:u w:val="single"/>
        </w:rPr>
        <w:t>Position</w:t>
      </w:r>
    </w:p>
    <w:p w14:paraId="79C8E799" w14:textId="77777777" w:rsidR="00706BE3" w:rsidRDefault="00706BE3" w:rsidP="00706BE3">
      <w:pPr>
        <w:tabs>
          <w:tab w:val="left" w:pos="4111"/>
        </w:tabs>
      </w:pPr>
      <w:r>
        <w:t>Joanne Milverton</w:t>
      </w:r>
      <w:r>
        <w:tab/>
        <w:t>Senior Health Technology Assessment Analyst</w:t>
      </w:r>
    </w:p>
    <w:p w14:paraId="2A439B3B" w14:textId="77777777" w:rsidR="00722D09" w:rsidRDefault="00722D09" w:rsidP="00722D09">
      <w:pPr>
        <w:tabs>
          <w:tab w:val="left" w:pos="4111"/>
        </w:tabs>
      </w:pPr>
      <w:r>
        <w:t>Ruchi Mittal</w:t>
      </w:r>
      <w:r>
        <w:tab/>
        <w:t>Senior Health Economist</w:t>
      </w:r>
    </w:p>
    <w:p w14:paraId="2B69C2AF" w14:textId="77777777" w:rsidR="00706BE3" w:rsidRDefault="00706BE3" w:rsidP="00706BE3">
      <w:pPr>
        <w:tabs>
          <w:tab w:val="left" w:pos="4111"/>
        </w:tabs>
      </w:pPr>
      <w:r>
        <w:t>Susan Bellman</w:t>
      </w:r>
      <w:r>
        <w:tab/>
        <w:t>Senior Health Technology Assessment Analyst</w:t>
      </w:r>
    </w:p>
    <w:p w14:paraId="28CF21F2" w14:textId="77777777" w:rsidR="00706BE3" w:rsidRDefault="00706BE3" w:rsidP="00706BE3">
      <w:pPr>
        <w:tabs>
          <w:tab w:val="left" w:pos="4111"/>
        </w:tabs>
      </w:pPr>
      <w:r>
        <w:t>Jaqueline Parsons</w:t>
      </w:r>
      <w:r>
        <w:tab/>
        <w:t>Team Leader – Special Projects</w:t>
      </w:r>
    </w:p>
    <w:p w14:paraId="2D5613B6" w14:textId="77777777" w:rsidR="00706BE3" w:rsidRPr="00183E4D" w:rsidRDefault="00706BE3" w:rsidP="00706BE3">
      <w:pPr>
        <w:tabs>
          <w:tab w:val="left" w:pos="4111"/>
        </w:tabs>
      </w:pPr>
      <w:r>
        <w:t>Camille Schubert</w:t>
      </w:r>
      <w:r>
        <w:tab/>
        <w:t>Team Leader – Health Economics</w:t>
      </w:r>
    </w:p>
    <w:p w14:paraId="5A3EFBF1" w14:textId="77777777" w:rsidR="00706BE3" w:rsidRPr="00183E4D" w:rsidRDefault="00706BE3" w:rsidP="00706BE3">
      <w:pPr>
        <w:tabs>
          <w:tab w:val="left" w:pos="4111"/>
        </w:tabs>
      </w:pPr>
    </w:p>
    <w:p w14:paraId="3D5429B0" w14:textId="77777777" w:rsidR="00706BE3" w:rsidRPr="00183E4D" w:rsidRDefault="00706BE3" w:rsidP="00706BE3">
      <w:pPr>
        <w:spacing w:line="240" w:lineRule="auto"/>
        <w:rPr>
          <w:b/>
          <w:sz w:val="28"/>
          <w:szCs w:val="28"/>
        </w:rPr>
      </w:pPr>
      <w:bookmarkStart w:id="605" w:name="_Toc352254679"/>
      <w:bookmarkStart w:id="606" w:name="_Toc352672951"/>
      <w:bookmarkStart w:id="607" w:name="_Toc352761736"/>
      <w:r w:rsidRPr="00183E4D">
        <w:rPr>
          <w:b/>
          <w:sz w:val="28"/>
          <w:szCs w:val="28"/>
        </w:rPr>
        <w:t>Noted conflicts of interest</w:t>
      </w:r>
      <w:bookmarkEnd w:id="605"/>
      <w:bookmarkEnd w:id="606"/>
      <w:bookmarkEnd w:id="607"/>
    </w:p>
    <w:p w14:paraId="60D0164F" w14:textId="77777777" w:rsidR="00706BE3" w:rsidRPr="00183E4D" w:rsidRDefault="00706BE3" w:rsidP="00706BE3">
      <w:pPr>
        <w:spacing w:line="240" w:lineRule="auto"/>
      </w:pPr>
      <w:r w:rsidRPr="00183E4D">
        <w:t>There were no conflicts of interest.</w:t>
      </w:r>
    </w:p>
    <w:p w14:paraId="29F4B895" w14:textId="0816E17E" w:rsidR="00ED65EE" w:rsidRPr="00183E4D" w:rsidRDefault="00ED65EE" w:rsidP="00ED65EE">
      <w:pPr>
        <w:pStyle w:val="Heading1"/>
        <w:jc w:val="both"/>
      </w:pPr>
      <w:bookmarkStart w:id="608" w:name="_Ref39580420"/>
      <w:bookmarkStart w:id="609" w:name="_Toc39588389"/>
      <w:r w:rsidRPr="00183E4D">
        <w:lastRenderedPageBreak/>
        <w:t xml:space="preserve">Appendix </w:t>
      </w:r>
      <w:r w:rsidR="00E66384">
        <w:rPr>
          <w:noProof/>
        </w:rPr>
        <w:fldChar w:fldCharType="begin"/>
      </w:r>
      <w:r w:rsidR="00E66384">
        <w:rPr>
          <w:noProof/>
        </w:rPr>
        <w:instrText xml:space="preserve"> SEQ Appendix \* ALPHABETIC </w:instrText>
      </w:r>
      <w:r w:rsidR="00E66384">
        <w:rPr>
          <w:noProof/>
        </w:rPr>
        <w:fldChar w:fldCharType="separate"/>
      </w:r>
      <w:r w:rsidR="005E0404">
        <w:rPr>
          <w:noProof/>
        </w:rPr>
        <w:t>B</w:t>
      </w:r>
      <w:r w:rsidR="00E66384">
        <w:rPr>
          <w:noProof/>
        </w:rPr>
        <w:fldChar w:fldCharType="end"/>
      </w:r>
      <w:r w:rsidRPr="00183E4D">
        <w:tab/>
        <w:t>Search strategies</w:t>
      </w:r>
      <w:bookmarkEnd w:id="600"/>
      <w:bookmarkEnd w:id="601"/>
      <w:bookmarkEnd w:id="608"/>
      <w:bookmarkEnd w:id="609"/>
    </w:p>
    <w:p w14:paraId="2C59E47A" w14:textId="77777777" w:rsidR="00ED65EE" w:rsidRPr="00183E4D" w:rsidRDefault="00ED65EE" w:rsidP="00ED65EE">
      <w:pPr>
        <w:pStyle w:val="Heading3"/>
        <w:jc w:val="both"/>
      </w:pPr>
      <w:bookmarkStart w:id="610" w:name="_Toc294256148"/>
      <w:bookmarkStart w:id="611" w:name="_Toc301358577"/>
      <w:bookmarkStart w:id="612" w:name="_Toc303677590"/>
      <w:bookmarkStart w:id="613" w:name="_Toc303677762"/>
      <w:bookmarkStart w:id="614" w:name="_Toc381796500"/>
      <w:bookmarkStart w:id="615" w:name="_Toc39588390"/>
      <w:r w:rsidRPr="00183E4D">
        <w:t>Bibliographic databases</w:t>
      </w:r>
      <w:bookmarkEnd w:id="610"/>
      <w:bookmarkEnd w:id="611"/>
      <w:bookmarkEnd w:id="612"/>
      <w:bookmarkEnd w:id="613"/>
      <w:bookmarkEnd w:id="614"/>
      <w:bookmarkEnd w:id="615"/>
    </w:p>
    <w:tbl>
      <w:tblPr>
        <w:tblStyle w:val="TableGrid1"/>
        <w:tblW w:w="8931" w:type="dxa"/>
        <w:tblInd w:w="108" w:type="dxa"/>
        <w:tblLayout w:type="fixed"/>
        <w:tblLook w:val="0020" w:firstRow="1" w:lastRow="0" w:firstColumn="0" w:lastColumn="0" w:noHBand="0" w:noVBand="0"/>
        <w:tblCaption w:val="Bibliographic databases"/>
        <w:tblDescription w:val="List of electronic databases searched for the systematic review."/>
      </w:tblPr>
      <w:tblGrid>
        <w:gridCol w:w="5670"/>
        <w:gridCol w:w="3261"/>
      </w:tblGrid>
      <w:tr w:rsidR="00ED65EE" w:rsidRPr="00183E4D" w14:paraId="51C10ECE" w14:textId="77777777" w:rsidTr="00F21581">
        <w:trPr>
          <w:cnfStyle w:val="100000000000" w:firstRow="1" w:lastRow="0" w:firstColumn="0" w:lastColumn="0" w:oddVBand="0" w:evenVBand="0" w:oddHBand="0" w:evenHBand="0" w:firstRowFirstColumn="0" w:firstRowLastColumn="0" w:lastRowFirstColumn="0" w:lastRowLastColumn="0"/>
          <w:trHeight w:val="303"/>
          <w:tblHeader/>
        </w:trPr>
        <w:tc>
          <w:tcPr>
            <w:tcW w:w="5670" w:type="dxa"/>
          </w:tcPr>
          <w:p w14:paraId="0F9EE694" w14:textId="77777777" w:rsidR="00ED65EE" w:rsidRPr="00183E4D" w:rsidRDefault="00ED65EE" w:rsidP="00A87AE2">
            <w:pPr>
              <w:pStyle w:val="TableHeading"/>
            </w:pPr>
            <w:r w:rsidRPr="00183E4D">
              <w:t>Electronic database</w:t>
            </w:r>
          </w:p>
        </w:tc>
        <w:tc>
          <w:tcPr>
            <w:tcW w:w="3261" w:type="dxa"/>
          </w:tcPr>
          <w:p w14:paraId="5E006F77" w14:textId="77777777" w:rsidR="00ED65EE" w:rsidRPr="00183E4D" w:rsidRDefault="00ED65EE" w:rsidP="00A87AE2">
            <w:pPr>
              <w:pStyle w:val="TableHeading"/>
            </w:pPr>
            <w:r w:rsidRPr="00183E4D">
              <w:t>Time period searched</w:t>
            </w:r>
          </w:p>
        </w:tc>
      </w:tr>
      <w:tr w:rsidR="00ED65EE" w:rsidRPr="00183E4D" w14:paraId="7613987E" w14:textId="77777777" w:rsidTr="00F21581">
        <w:tc>
          <w:tcPr>
            <w:tcW w:w="5670" w:type="dxa"/>
          </w:tcPr>
          <w:p w14:paraId="7661E839" w14:textId="77777777" w:rsidR="00ED65EE" w:rsidRPr="00183E4D" w:rsidRDefault="00ED65EE" w:rsidP="004E5C57">
            <w:pPr>
              <w:pStyle w:val="TableText0"/>
              <w:rPr>
                <w:vanish/>
                <w:color w:val="C00000"/>
              </w:rPr>
            </w:pPr>
            <w:r w:rsidRPr="00183E4D">
              <w:t>Embase</w:t>
            </w:r>
          </w:p>
        </w:tc>
        <w:tc>
          <w:tcPr>
            <w:tcW w:w="3261" w:type="dxa"/>
            <w:shd w:val="clear" w:color="auto" w:fill="auto"/>
          </w:tcPr>
          <w:p w14:paraId="2516C86C" w14:textId="77777777" w:rsidR="00ED65EE" w:rsidRPr="00B6782D" w:rsidRDefault="00B6782D" w:rsidP="004E5C57">
            <w:pPr>
              <w:pStyle w:val="TableText0"/>
            </w:pPr>
            <w:r w:rsidRPr="00B6782D">
              <w:t>Inception of database to 23/10/2019</w:t>
            </w:r>
          </w:p>
        </w:tc>
      </w:tr>
      <w:tr w:rsidR="00ED65EE" w:rsidRPr="00183E4D" w14:paraId="23CE8635" w14:textId="77777777" w:rsidTr="00F21581">
        <w:tc>
          <w:tcPr>
            <w:tcW w:w="5670" w:type="dxa"/>
            <w:tcBorders>
              <w:top w:val="single" w:sz="4" w:space="0" w:color="auto"/>
              <w:left w:val="single" w:sz="4" w:space="0" w:color="auto"/>
              <w:bottom w:val="single" w:sz="4" w:space="0" w:color="auto"/>
              <w:right w:val="single" w:sz="4" w:space="0" w:color="auto"/>
            </w:tcBorders>
          </w:tcPr>
          <w:p w14:paraId="68CE21FE" w14:textId="77777777" w:rsidR="00ED65EE" w:rsidRPr="00183E4D" w:rsidRDefault="00B6782D" w:rsidP="004E5C57">
            <w:pPr>
              <w:pStyle w:val="TableText0"/>
            </w:pPr>
            <w:r>
              <w:t>PubMed</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6FAEFCE" w14:textId="77777777" w:rsidR="00ED65EE" w:rsidRPr="00B6782D" w:rsidRDefault="00B6782D" w:rsidP="004E5C57">
            <w:pPr>
              <w:pStyle w:val="TableText0"/>
            </w:pPr>
            <w:r w:rsidRPr="00B6782D">
              <w:t>Inception of database to 23/10/2019</w:t>
            </w:r>
          </w:p>
        </w:tc>
      </w:tr>
      <w:tr w:rsidR="00ED65EE" w:rsidRPr="00183E4D" w14:paraId="31293F2E" w14:textId="77777777" w:rsidTr="00F21581">
        <w:tc>
          <w:tcPr>
            <w:tcW w:w="5670" w:type="dxa"/>
          </w:tcPr>
          <w:p w14:paraId="44FF66F6" w14:textId="77777777" w:rsidR="00ED65EE" w:rsidRPr="00183E4D" w:rsidRDefault="00ED65EE" w:rsidP="004E5C57">
            <w:pPr>
              <w:pStyle w:val="TableText0"/>
            </w:pPr>
            <w:r w:rsidRPr="00183E4D">
              <w:t>The Cochrane Library (CDSR, Central, DARE, HTA, HEED)</w:t>
            </w:r>
          </w:p>
        </w:tc>
        <w:tc>
          <w:tcPr>
            <w:tcW w:w="3261" w:type="dxa"/>
            <w:shd w:val="clear" w:color="auto" w:fill="auto"/>
          </w:tcPr>
          <w:p w14:paraId="151DBEB1" w14:textId="77777777" w:rsidR="00ED65EE" w:rsidRPr="00B6782D" w:rsidRDefault="00B6782D" w:rsidP="004E5C57">
            <w:pPr>
              <w:pStyle w:val="TableText0"/>
            </w:pPr>
            <w:r w:rsidRPr="00B6782D">
              <w:t>Inception of database to 23/10/2019</w:t>
            </w:r>
          </w:p>
        </w:tc>
      </w:tr>
    </w:tbl>
    <w:p w14:paraId="16698801" w14:textId="39C62928" w:rsidR="00ED65EE" w:rsidRPr="00183E4D" w:rsidRDefault="00ED65EE" w:rsidP="00ED65EE">
      <w:pPr>
        <w:pStyle w:val="Heading3"/>
        <w:jc w:val="both"/>
      </w:pPr>
      <w:bookmarkStart w:id="616" w:name="_Toc294256149"/>
      <w:bookmarkStart w:id="617" w:name="_Toc301358578"/>
      <w:bookmarkStart w:id="618" w:name="_Toc303677591"/>
      <w:bookmarkStart w:id="619" w:name="_Toc303677763"/>
      <w:bookmarkStart w:id="620" w:name="_Toc381796501"/>
      <w:bookmarkStart w:id="621" w:name="_Toc39588391"/>
      <w:r w:rsidRPr="00183E4D">
        <w:t>Additional sources of literature</w:t>
      </w:r>
      <w:bookmarkEnd w:id="616"/>
      <w:bookmarkEnd w:id="617"/>
      <w:bookmarkEnd w:id="618"/>
      <w:bookmarkEnd w:id="619"/>
      <w:bookmarkEnd w:id="620"/>
      <w:r w:rsidRPr="00183E4D">
        <w:t xml:space="preserve"> (including </w:t>
      </w:r>
      <w:r w:rsidR="00CF37A8">
        <w:t xml:space="preserve">specialty </w:t>
      </w:r>
      <w:r w:rsidRPr="00183E4D">
        <w:t>websites)</w:t>
      </w:r>
      <w:bookmarkEnd w:id="621"/>
    </w:p>
    <w:tbl>
      <w:tblPr>
        <w:tblStyle w:val="TableGrid1"/>
        <w:tblW w:w="8931" w:type="dxa"/>
        <w:tblInd w:w="108" w:type="dxa"/>
        <w:tblBorders>
          <w:insideV w:val="none" w:sz="0" w:space="0" w:color="auto"/>
        </w:tblBorders>
        <w:tblLayout w:type="fixed"/>
        <w:tblLook w:val="0020" w:firstRow="1" w:lastRow="0" w:firstColumn="0" w:lastColumn="0" w:noHBand="0" w:noVBand="0"/>
        <w:tblCaption w:val="Additional sources of literature (including websites)"/>
        <w:tblDescription w:val="List of additional sources of information used in the systematic literature review."/>
      </w:tblPr>
      <w:tblGrid>
        <w:gridCol w:w="4950"/>
        <w:gridCol w:w="3981"/>
      </w:tblGrid>
      <w:tr w:rsidR="00ED65EE" w:rsidRPr="00183E4D" w14:paraId="2B03B636" w14:textId="77777777" w:rsidTr="00F21581">
        <w:trPr>
          <w:cnfStyle w:val="100000000000" w:firstRow="1" w:lastRow="0" w:firstColumn="0" w:lastColumn="0" w:oddVBand="0" w:evenVBand="0" w:oddHBand="0" w:evenHBand="0" w:firstRowFirstColumn="0" w:firstRowLastColumn="0" w:lastRowFirstColumn="0" w:lastRowLastColumn="0"/>
        </w:trPr>
        <w:tc>
          <w:tcPr>
            <w:tcW w:w="4950" w:type="dxa"/>
            <w:tcBorders>
              <w:bottom w:val="single" w:sz="4" w:space="0" w:color="auto"/>
            </w:tcBorders>
          </w:tcPr>
          <w:p w14:paraId="69933BFE" w14:textId="77777777" w:rsidR="00ED65EE" w:rsidRPr="00183E4D" w:rsidRDefault="00ED65EE" w:rsidP="00A87AE2">
            <w:pPr>
              <w:pStyle w:val="TableHeading"/>
            </w:pPr>
            <w:r w:rsidRPr="00183E4D">
              <w:t>Source</w:t>
            </w:r>
          </w:p>
        </w:tc>
        <w:tc>
          <w:tcPr>
            <w:tcW w:w="3981" w:type="dxa"/>
            <w:tcBorders>
              <w:bottom w:val="single" w:sz="4" w:space="0" w:color="auto"/>
            </w:tcBorders>
          </w:tcPr>
          <w:p w14:paraId="507170DD" w14:textId="77777777" w:rsidR="00ED65EE" w:rsidRPr="00183E4D" w:rsidRDefault="00ED65EE" w:rsidP="00A87AE2">
            <w:pPr>
              <w:pStyle w:val="TableHeading"/>
            </w:pPr>
            <w:r w:rsidRPr="00183E4D">
              <w:t>Location</w:t>
            </w:r>
          </w:p>
        </w:tc>
      </w:tr>
      <w:tr w:rsidR="00ED65EE" w:rsidRPr="00183E4D" w14:paraId="07036A59" w14:textId="77777777" w:rsidTr="00F21581">
        <w:tc>
          <w:tcPr>
            <w:tcW w:w="4950" w:type="dxa"/>
            <w:tcBorders>
              <w:top w:val="single" w:sz="4" w:space="0" w:color="auto"/>
              <w:left w:val="single" w:sz="4" w:space="0" w:color="auto"/>
              <w:bottom w:val="single" w:sz="4" w:space="0" w:color="auto"/>
              <w:right w:val="nil"/>
            </w:tcBorders>
          </w:tcPr>
          <w:p w14:paraId="48720CFC" w14:textId="77777777" w:rsidR="00ED65EE" w:rsidRPr="00183E4D" w:rsidRDefault="00ED65EE" w:rsidP="004E5C57">
            <w:pPr>
              <w:pStyle w:val="TableText0"/>
            </w:pPr>
            <w:r w:rsidRPr="00183E4D">
              <w:t>Australian Clinical Trials Registry</w:t>
            </w:r>
          </w:p>
        </w:tc>
        <w:tc>
          <w:tcPr>
            <w:tcW w:w="3981" w:type="dxa"/>
            <w:tcBorders>
              <w:top w:val="single" w:sz="4" w:space="0" w:color="auto"/>
              <w:left w:val="nil"/>
              <w:bottom w:val="single" w:sz="4" w:space="0" w:color="auto"/>
              <w:right w:val="single" w:sz="4" w:space="0" w:color="auto"/>
            </w:tcBorders>
          </w:tcPr>
          <w:p w14:paraId="5A68F171" w14:textId="77777777" w:rsidR="00ED65EE" w:rsidRPr="00183E4D" w:rsidRDefault="004B21EF" w:rsidP="004E5C57">
            <w:pPr>
              <w:pStyle w:val="TableText0"/>
            </w:pPr>
            <w:hyperlink r:id="rId49" w:history="1">
              <w:r w:rsidR="00FB4B47" w:rsidRPr="00FF3AA1">
                <w:rPr>
                  <w:rStyle w:val="Hyperlink"/>
                </w:rPr>
                <w:t>https://www.australianclinicaltrials.gov.au/</w:t>
              </w:r>
            </w:hyperlink>
            <w:r w:rsidR="00FB4B47">
              <w:t xml:space="preserve"> </w:t>
            </w:r>
          </w:p>
        </w:tc>
      </w:tr>
      <w:tr w:rsidR="00692540" w:rsidRPr="00183E4D" w14:paraId="13A59069" w14:textId="77777777" w:rsidTr="00F21581">
        <w:tc>
          <w:tcPr>
            <w:tcW w:w="4950" w:type="dxa"/>
            <w:tcBorders>
              <w:top w:val="single" w:sz="4" w:space="0" w:color="auto"/>
              <w:left w:val="single" w:sz="4" w:space="0" w:color="auto"/>
              <w:bottom w:val="single" w:sz="4" w:space="0" w:color="auto"/>
              <w:right w:val="nil"/>
            </w:tcBorders>
          </w:tcPr>
          <w:p w14:paraId="29139A32" w14:textId="77777777" w:rsidR="00692540" w:rsidRPr="00183E4D" w:rsidRDefault="00692540" w:rsidP="004E5C57">
            <w:pPr>
              <w:pStyle w:val="TableText0"/>
            </w:pPr>
            <w:r w:rsidRPr="00D431F7">
              <w:t>Australian and New Zealand Clinical Trials Registry</w:t>
            </w:r>
          </w:p>
        </w:tc>
        <w:tc>
          <w:tcPr>
            <w:tcW w:w="3981" w:type="dxa"/>
            <w:tcBorders>
              <w:top w:val="single" w:sz="4" w:space="0" w:color="auto"/>
              <w:left w:val="nil"/>
              <w:bottom w:val="single" w:sz="4" w:space="0" w:color="auto"/>
              <w:right w:val="single" w:sz="4" w:space="0" w:color="auto"/>
            </w:tcBorders>
          </w:tcPr>
          <w:p w14:paraId="700F3D0A" w14:textId="77777777" w:rsidR="00692540" w:rsidRDefault="004B21EF" w:rsidP="004E5C57">
            <w:pPr>
              <w:pStyle w:val="TableText0"/>
            </w:pPr>
            <w:hyperlink r:id="rId50" w:history="1">
              <w:r w:rsidR="00692540" w:rsidRPr="00FF3AA1">
                <w:rPr>
                  <w:rStyle w:val="Hyperlink"/>
                </w:rPr>
                <w:t>www.anzctr.org.au</w:t>
              </w:r>
            </w:hyperlink>
            <w:r w:rsidR="00692540">
              <w:t xml:space="preserve"> </w:t>
            </w:r>
          </w:p>
        </w:tc>
      </w:tr>
      <w:tr w:rsidR="00ED65EE" w:rsidRPr="00183E4D" w14:paraId="0FCAFF92" w14:textId="77777777" w:rsidTr="00F21581">
        <w:tc>
          <w:tcPr>
            <w:tcW w:w="4950" w:type="dxa"/>
          </w:tcPr>
          <w:p w14:paraId="51A1D5A6" w14:textId="77777777" w:rsidR="00ED65EE" w:rsidRPr="00183E4D" w:rsidRDefault="00ED65EE" w:rsidP="004E5C57">
            <w:pPr>
              <w:pStyle w:val="TableText0"/>
              <w:rPr>
                <w:i/>
              </w:rPr>
            </w:pPr>
            <w:r w:rsidRPr="00183E4D">
              <w:t>National Institutes of Health</w:t>
            </w:r>
          </w:p>
        </w:tc>
        <w:tc>
          <w:tcPr>
            <w:tcW w:w="3981" w:type="dxa"/>
          </w:tcPr>
          <w:p w14:paraId="488E2269" w14:textId="77777777" w:rsidR="00ED65EE" w:rsidRPr="00183E4D" w:rsidRDefault="004B21EF" w:rsidP="004E5C57">
            <w:pPr>
              <w:pStyle w:val="TableText0"/>
            </w:pPr>
            <w:hyperlink r:id="rId51" w:history="1">
              <w:r w:rsidR="00FB4B47" w:rsidRPr="00FF3AA1">
                <w:rPr>
                  <w:rStyle w:val="Hyperlink"/>
                </w:rPr>
                <w:t>https://www.nihlibrary.nih.gov/resources</w:t>
              </w:r>
            </w:hyperlink>
            <w:r w:rsidR="00FB4B47">
              <w:t xml:space="preserve"> </w:t>
            </w:r>
          </w:p>
        </w:tc>
      </w:tr>
      <w:tr w:rsidR="00ED65EE" w:rsidRPr="00183E4D" w14:paraId="7B55F5C5" w14:textId="77777777" w:rsidTr="00F21581">
        <w:tc>
          <w:tcPr>
            <w:tcW w:w="4950" w:type="dxa"/>
          </w:tcPr>
          <w:p w14:paraId="79BB4D51" w14:textId="77777777" w:rsidR="00ED65EE" w:rsidRPr="00183E4D" w:rsidRDefault="00692540" w:rsidP="004E5C57">
            <w:pPr>
              <w:pStyle w:val="TableText0"/>
            </w:pPr>
            <w:r w:rsidRPr="00D431F7">
              <w:t>NHMRC- National Health and Medical Research Council (Australia)</w:t>
            </w:r>
          </w:p>
        </w:tc>
        <w:tc>
          <w:tcPr>
            <w:tcW w:w="3981" w:type="dxa"/>
          </w:tcPr>
          <w:p w14:paraId="21920EFE" w14:textId="77777777" w:rsidR="00ED65EE" w:rsidRPr="00183E4D" w:rsidRDefault="004B21EF" w:rsidP="004E5C57">
            <w:pPr>
              <w:pStyle w:val="TableText0"/>
            </w:pPr>
            <w:hyperlink r:id="rId52" w:history="1">
              <w:r w:rsidR="00692540" w:rsidRPr="00FF3AA1">
                <w:rPr>
                  <w:rStyle w:val="Hyperlink"/>
                </w:rPr>
                <w:t>http://www.nhmrc.gov.au/</w:t>
              </w:r>
            </w:hyperlink>
            <w:r w:rsidR="00692540">
              <w:t xml:space="preserve"> </w:t>
            </w:r>
          </w:p>
        </w:tc>
      </w:tr>
      <w:tr w:rsidR="00ED65EE" w:rsidRPr="00183E4D" w14:paraId="1BB5A830" w14:textId="77777777" w:rsidTr="00F21581">
        <w:tc>
          <w:tcPr>
            <w:tcW w:w="4950" w:type="dxa"/>
          </w:tcPr>
          <w:p w14:paraId="2BC27C0E" w14:textId="77777777" w:rsidR="00ED65EE" w:rsidRPr="00183E4D" w:rsidRDefault="00987ADE" w:rsidP="004E5C57">
            <w:pPr>
              <w:pStyle w:val="TableText0"/>
            </w:pPr>
            <w:r w:rsidRPr="00D431F7">
              <w:t>National Library of Medicine Health Services/Technology Assessment Text</w:t>
            </w:r>
          </w:p>
        </w:tc>
        <w:tc>
          <w:tcPr>
            <w:tcW w:w="3981" w:type="dxa"/>
          </w:tcPr>
          <w:p w14:paraId="5F1DF7BB" w14:textId="77777777" w:rsidR="00ED65EE" w:rsidRPr="00183E4D" w:rsidRDefault="004B21EF" w:rsidP="004E5C57">
            <w:pPr>
              <w:pStyle w:val="TableText0"/>
            </w:pPr>
            <w:hyperlink r:id="rId53" w:history="1">
              <w:r w:rsidR="00987ADE" w:rsidRPr="00FF3AA1">
                <w:rPr>
                  <w:rStyle w:val="Hyperlink"/>
                </w:rPr>
                <w:t>https://www.ncbi.nlm.nih.gov/books/NBK16710/</w:t>
              </w:r>
            </w:hyperlink>
            <w:r w:rsidR="00987ADE">
              <w:t xml:space="preserve"> </w:t>
            </w:r>
          </w:p>
        </w:tc>
      </w:tr>
      <w:tr w:rsidR="00ED65EE" w:rsidRPr="00183E4D" w14:paraId="693205C3" w14:textId="77777777" w:rsidTr="00F21581">
        <w:tc>
          <w:tcPr>
            <w:tcW w:w="4950" w:type="dxa"/>
          </w:tcPr>
          <w:p w14:paraId="2301F874" w14:textId="77777777" w:rsidR="00ED65EE" w:rsidRPr="00183E4D" w:rsidRDefault="00CF37A8" w:rsidP="004E5C57">
            <w:pPr>
              <w:pStyle w:val="TableText0"/>
            </w:pPr>
            <w:r>
              <w:t>National Multiple Sclerosis Society</w:t>
            </w:r>
          </w:p>
        </w:tc>
        <w:tc>
          <w:tcPr>
            <w:tcW w:w="3981" w:type="dxa"/>
          </w:tcPr>
          <w:p w14:paraId="1DA54AC4" w14:textId="77777777" w:rsidR="00ED65EE" w:rsidRPr="00183E4D" w:rsidRDefault="00CF37A8" w:rsidP="004E5C57">
            <w:pPr>
              <w:pStyle w:val="TableText0"/>
              <w:rPr>
                <w:rStyle w:val="Hyperlink"/>
              </w:rPr>
            </w:pPr>
            <w:r w:rsidRPr="00CF37A8">
              <w:rPr>
                <w:rStyle w:val="Hyperlink"/>
              </w:rPr>
              <w:t>https://www.nationalmssociety.org/</w:t>
            </w:r>
          </w:p>
        </w:tc>
      </w:tr>
      <w:tr w:rsidR="00ED65EE" w:rsidRPr="00183E4D" w14:paraId="2EB0613B" w14:textId="77777777" w:rsidTr="00F21581">
        <w:tc>
          <w:tcPr>
            <w:tcW w:w="4950" w:type="dxa"/>
          </w:tcPr>
          <w:p w14:paraId="3F13EB66" w14:textId="77777777" w:rsidR="00ED65EE" w:rsidRPr="00183E4D" w:rsidRDefault="00CF37A8" w:rsidP="004E5C57">
            <w:pPr>
              <w:pStyle w:val="TableText0"/>
            </w:pPr>
            <w:r>
              <w:t>Royal Australian and New Zealand College of Ophthalmologists</w:t>
            </w:r>
          </w:p>
        </w:tc>
        <w:tc>
          <w:tcPr>
            <w:tcW w:w="3981" w:type="dxa"/>
          </w:tcPr>
          <w:p w14:paraId="7A3A6E8F" w14:textId="77777777" w:rsidR="00ED65EE" w:rsidRPr="00183E4D" w:rsidRDefault="00CF37A8" w:rsidP="004E5C57">
            <w:pPr>
              <w:pStyle w:val="TableText0"/>
              <w:rPr>
                <w:rStyle w:val="Hyperlink"/>
              </w:rPr>
            </w:pPr>
            <w:r w:rsidRPr="00CF37A8">
              <w:rPr>
                <w:rStyle w:val="Hyperlink"/>
              </w:rPr>
              <w:t>https://ranzco.edu/</w:t>
            </w:r>
          </w:p>
        </w:tc>
      </w:tr>
      <w:tr w:rsidR="00ED65EE" w:rsidRPr="00183E4D" w14:paraId="6D627074" w14:textId="77777777" w:rsidTr="00F21581">
        <w:tc>
          <w:tcPr>
            <w:tcW w:w="4950" w:type="dxa"/>
          </w:tcPr>
          <w:p w14:paraId="3F8EE2E2" w14:textId="77777777" w:rsidR="00ED65EE" w:rsidRPr="00183E4D" w:rsidRDefault="00CF37A8" w:rsidP="004E5C57">
            <w:pPr>
              <w:pStyle w:val="TableText0"/>
            </w:pPr>
            <w:r>
              <w:t>Australian and New Zealand Association of Neurologists</w:t>
            </w:r>
          </w:p>
        </w:tc>
        <w:tc>
          <w:tcPr>
            <w:tcW w:w="3981" w:type="dxa"/>
          </w:tcPr>
          <w:p w14:paraId="67A2D8C2" w14:textId="77777777" w:rsidR="00ED65EE" w:rsidRPr="00183E4D" w:rsidRDefault="00CF37A8" w:rsidP="004E5C57">
            <w:pPr>
              <w:pStyle w:val="TableText0"/>
              <w:rPr>
                <w:rStyle w:val="Hyperlink"/>
              </w:rPr>
            </w:pPr>
            <w:r w:rsidRPr="00CF37A8">
              <w:rPr>
                <w:rStyle w:val="Hyperlink"/>
              </w:rPr>
              <w:t>https://www.anzan.org.au/</w:t>
            </w:r>
          </w:p>
        </w:tc>
      </w:tr>
      <w:tr w:rsidR="00ED65EE" w:rsidRPr="00183E4D" w14:paraId="68863A1A" w14:textId="77777777" w:rsidTr="00F21581">
        <w:tc>
          <w:tcPr>
            <w:tcW w:w="4950" w:type="dxa"/>
          </w:tcPr>
          <w:p w14:paraId="7480F425" w14:textId="77777777" w:rsidR="00ED65EE" w:rsidRPr="00183E4D" w:rsidRDefault="00ED65EE" w:rsidP="004E5C57">
            <w:pPr>
              <w:pStyle w:val="TableText0"/>
            </w:pPr>
          </w:p>
        </w:tc>
        <w:tc>
          <w:tcPr>
            <w:tcW w:w="3981" w:type="dxa"/>
          </w:tcPr>
          <w:p w14:paraId="12231FC3" w14:textId="77777777" w:rsidR="00ED65EE" w:rsidRPr="00183E4D" w:rsidRDefault="00ED65EE" w:rsidP="004E5C57">
            <w:pPr>
              <w:pStyle w:val="TableText0"/>
            </w:pPr>
          </w:p>
        </w:tc>
      </w:tr>
      <w:tr w:rsidR="00ED65EE" w:rsidRPr="00183E4D" w14:paraId="5C738D61" w14:textId="77777777" w:rsidTr="00F21581">
        <w:tc>
          <w:tcPr>
            <w:tcW w:w="4950" w:type="dxa"/>
          </w:tcPr>
          <w:p w14:paraId="006FF57B" w14:textId="77777777" w:rsidR="00ED65EE" w:rsidRPr="00987ADE" w:rsidRDefault="00987ADE" w:rsidP="004E5C57">
            <w:pPr>
              <w:pStyle w:val="TableText0"/>
            </w:pPr>
            <w:r>
              <w:t>Pearling</w:t>
            </w:r>
          </w:p>
        </w:tc>
        <w:tc>
          <w:tcPr>
            <w:tcW w:w="3981" w:type="dxa"/>
          </w:tcPr>
          <w:p w14:paraId="622910BA" w14:textId="77777777" w:rsidR="00ED65EE" w:rsidRPr="00183E4D" w:rsidRDefault="00ED65EE" w:rsidP="004E5C57">
            <w:pPr>
              <w:pStyle w:val="TableText0"/>
            </w:pPr>
          </w:p>
        </w:tc>
      </w:tr>
      <w:tr w:rsidR="00ED65EE" w:rsidRPr="00183E4D" w14:paraId="2C35D6AC" w14:textId="77777777" w:rsidTr="00F21581">
        <w:tc>
          <w:tcPr>
            <w:tcW w:w="4950" w:type="dxa"/>
          </w:tcPr>
          <w:p w14:paraId="5803B76D" w14:textId="77777777" w:rsidR="00ED65EE" w:rsidRPr="00183E4D" w:rsidRDefault="00987ADE" w:rsidP="004E5C57">
            <w:pPr>
              <w:pStyle w:val="TableText0"/>
            </w:pPr>
            <w:r w:rsidRPr="00D431F7">
              <w:t xml:space="preserve">All included articles </w:t>
            </w:r>
            <w:r>
              <w:t xml:space="preserve">had their reference lists </w:t>
            </w:r>
            <w:r w:rsidRPr="00D431F7">
              <w:t>searched for additional relevant source material</w:t>
            </w:r>
          </w:p>
        </w:tc>
        <w:tc>
          <w:tcPr>
            <w:tcW w:w="3981" w:type="dxa"/>
          </w:tcPr>
          <w:p w14:paraId="21A0ADBC" w14:textId="77777777" w:rsidR="00ED65EE" w:rsidRPr="00183E4D" w:rsidRDefault="00ED65EE" w:rsidP="004E5C57">
            <w:pPr>
              <w:pStyle w:val="TableText0"/>
            </w:pPr>
          </w:p>
        </w:tc>
      </w:tr>
    </w:tbl>
    <w:p w14:paraId="28794201" w14:textId="78EA740D" w:rsidR="00ED65EE" w:rsidRDefault="00692540" w:rsidP="00692540">
      <w:pPr>
        <w:pStyle w:val="Heading3"/>
        <w:jc w:val="both"/>
      </w:pPr>
      <w:bookmarkStart w:id="622" w:name="_Toc39588392"/>
      <w:r>
        <w:t>HTA websites</w:t>
      </w:r>
      <w:bookmarkEnd w:id="622"/>
    </w:p>
    <w:tbl>
      <w:tblPr>
        <w:tblStyle w:val="TableGrid1"/>
        <w:tblpPr w:leftFromText="180" w:rightFromText="180" w:vertAnchor="text" w:horzAnchor="margin" w:tblpXSpec="right" w:tblpY="37"/>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HTA websites"/>
        <w:tblDescription w:val="List of HTA websites "/>
      </w:tblPr>
      <w:tblGrid>
        <w:gridCol w:w="4957"/>
        <w:gridCol w:w="3945"/>
      </w:tblGrid>
      <w:tr w:rsidR="00692540" w:rsidRPr="00692540" w14:paraId="35F77E94" w14:textId="77777777" w:rsidTr="00987ADE">
        <w:trPr>
          <w:cnfStyle w:val="100000000000" w:firstRow="1" w:lastRow="0" w:firstColumn="0" w:lastColumn="0" w:oddVBand="0" w:evenVBand="0" w:oddHBand="0" w:evenHBand="0" w:firstRowFirstColumn="0" w:firstRowLastColumn="0" w:lastRowFirstColumn="0" w:lastRowLastColumn="0"/>
        </w:trPr>
        <w:tc>
          <w:tcPr>
            <w:tcW w:w="4957" w:type="dxa"/>
            <w:shd w:val="clear" w:color="auto" w:fill="auto"/>
          </w:tcPr>
          <w:p w14:paraId="4EE5D8B5" w14:textId="77777777" w:rsidR="00692540" w:rsidRPr="00692540" w:rsidRDefault="00692540" w:rsidP="00692540">
            <w:pPr>
              <w:keepNext/>
              <w:tabs>
                <w:tab w:val="left" w:pos="993"/>
              </w:tabs>
              <w:contextualSpacing/>
              <w:rPr>
                <w:rFonts w:ascii="Arial Narrow" w:hAnsi="Arial Narrow"/>
                <w:b/>
                <w:lang w:eastAsia="en-US"/>
              </w:rPr>
            </w:pPr>
            <w:r w:rsidRPr="00692540">
              <w:rPr>
                <w:rFonts w:ascii="Arial Narrow" w:hAnsi="Arial Narrow"/>
                <w:b/>
                <w:lang w:eastAsia="en-US"/>
              </w:rPr>
              <w:t>AUSTRALIA</w:t>
            </w:r>
          </w:p>
        </w:tc>
        <w:tc>
          <w:tcPr>
            <w:tcW w:w="3945" w:type="dxa"/>
            <w:shd w:val="clear" w:color="auto" w:fill="auto"/>
          </w:tcPr>
          <w:p w14:paraId="62B7885F" w14:textId="77777777" w:rsidR="00692540" w:rsidRPr="00692540" w:rsidRDefault="00692540" w:rsidP="00692540">
            <w:pPr>
              <w:keepNext/>
              <w:tabs>
                <w:tab w:val="left" w:pos="993"/>
              </w:tabs>
              <w:contextualSpacing/>
              <w:rPr>
                <w:rFonts w:ascii="Arial Narrow" w:hAnsi="Arial Narrow"/>
                <w:b/>
                <w:lang w:eastAsia="en-US"/>
              </w:rPr>
            </w:pPr>
          </w:p>
        </w:tc>
      </w:tr>
      <w:tr w:rsidR="00692540" w:rsidRPr="00692540" w14:paraId="24CBF3F8" w14:textId="77777777" w:rsidTr="00987ADE">
        <w:tc>
          <w:tcPr>
            <w:tcW w:w="4957" w:type="dxa"/>
            <w:shd w:val="clear" w:color="auto" w:fill="auto"/>
          </w:tcPr>
          <w:p w14:paraId="72BFB3FA" w14:textId="7077F7B7" w:rsidR="00692540" w:rsidRPr="00692540" w:rsidRDefault="00692540" w:rsidP="00D643C9">
            <w:pPr>
              <w:keepNext/>
              <w:rPr>
                <w:rFonts w:ascii="Arial Narrow" w:hAnsi="Arial Narrow"/>
              </w:rPr>
            </w:pPr>
            <w:r w:rsidRPr="00692540">
              <w:rPr>
                <w:rFonts w:ascii="Arial Narrow" w:hAnsi="Arial Narrow"/>
              </w:rPr>
              <w:t xml:space="preserve">Australian Safety and Efficacy Register of New Interventional Procedures – Surgical (ASERNIP-S) </w:t>
            </w:r>
          </w:p>
        </w:tc>
        <w:tc>
          <w:tcPr>
            <w:tcW w:w="3945" w:type="dxa"/>
            <w:shd w:val="clear" w:color="auto" w:fill="auto"/>
          </w:tcPr>
          <w:p w14:paraId="3F687136" w14:textId="77777777" w:rsidR="00692540" w:rsidRPr="00692540" w:rsidRDefault="004B21EF" w:rsidP="00692540">
            <w:pPr>
              <w:keepNext/>
              <w:rPr>
                <w:rFonts w:ascii="Arial Narrow" w:hAnsi="Arial Narrow"/>
              </w:rPr>
            </w:pPr>
            <w:hyperlink r:id="rId54" w:history="1">
              <w:r w:rsidR="00692540" w:rsidRPr="00692540">
                <w:rPr>
                  <w:rFonts w:ascii="Arial Narrow" w:hAnsi="Arial Narrow"/>
                  <w:color w:val="0000FF"/>
                  <w:u w:val="single"/>
                </w:rPr>
                <w:t>http://www.surgeons.org/for-health-professionals/audits-and-surgical-research/asernip-s/</w:t>
              </w:r>
            </w:hyperlink>
            <w:r w:rsidR="00692540" w:rsidRPr="00692540">
              <w:rPr>
                <w:rFonts w:ascii="Arial Narrow" w:hAnsi="Arial Narrow"/>
              </w:rPr>
              <w:t xml:space="preserve"> </w:t>
            </w:r>
          </w:p>
        </w:tc>
      </w:tr>
      <w:tr w:rsidR="00692540" w:rsidRPr="00692540" w14:paraId="55A7BF7F" w14:textId="77777777" w:rsidTr="00987ADE">
        <w:tc>
          <w:tcPr>
            <w:tcW w:w="4957" w:type="dxa"/>
            <w:shd w:val="clear" w:color="auto" w:fill="auto"/>
          </w:tcPr>
          <w:p w14:paraId="3F5B3248" w14:textId="77777777" w:rsidR="00692540" w:rsidRPr="00692540" w:rsidRDefault="00692540" w:rsidP="00692540">
            <w:pPr>
              <w:keepNext/>
              <w:rPr>
                <w:rFonts w:ascii="Arial Narrow" w:hAnsi="Arial Narrow"/>
              </w:rPr>
            </w:pPr>
            <w:r w:rsidRPr="00692540">
              <w:rPr>
                <w:rFonts w:ascii="Arial Narrow" w:hAnsi="Arial Narrow"/>
              </w:rPr>
              <w:t xml:space="preserve">Centre for Clinical Effectiveness, Monash University </w:t>
            </w:r>
          </w:p>
        </w:tc>
        <w:tc>
          <w:tcPr>
            <w:tcW w:w="3945" w:type="dxa"/>
            <w:shd w:val="clear" w:color="auto" w:fill="auto"/>
          </w:tcPr>
          <w:p w14:paraId="28A4CF0C" w14:textId="77777777" w:rsidR="00692540" w:rsidRPr="00692540" w:rsidRDefault="004B21EF" w:rsidP="00692540">
            <w:pPr>
              <w:keepNext/>
              <w:rPr>
                <w:rFonts w:ascii="Arial Narrow" w:hAnsi="Arial Narrow"/>
              </w:rPr>
            </w:pPr>
            <w:hyperlink r:id="rId55" w:history="1">
              <w:r w:rsidR="00692540" w:rsidRPr="00692540">
                <w:rPr>
                  <w:rFonts w:ascii="Arial Narrow" w:hAnsi="Arial Narrow"/>
                  <w:color w:val="0000FF"/>
                  <w:u w:val="single"/>
                </w:rPr>
                <w:t>http://www.med.monash.edu.au/sphpm/divisions/mars/cce.html</w:t>
              </w:r>
            </w:hyperlink>
            <w:r w:rsidR="00692540" w:rsidRPr="00692540">
              <w:rPr>
                <w:rFonts w:ascii="Arial Narrow" w:hAnsi="Arial Narrow"/>
              </w:rPr>
              <w:t xml:space="preserve"> </w:t>
            </w:r>
          </w:p>
        </w:tc>
      </w:tr>
      <w:tr w:rsidR="00692540" w:rsidRPr="00692540" w14:paraId="21EDDC0D" w14:textId="77777777" w:rsidTr="00987ADE">
        <w:tc>
          <w:tcPr>
            <w:tcW w:w="4957" w:type="dxa"/>
            <w:shd w:val="clear" w:color="auto" w:fill="auto"/>
          </w:tcPr>
          <w:p w14:paraId="1F6A578F" w14:textId="77777777" w:rsidR="00692540" w:rsidRPr="00692540" w:rsidRDefault="00692540" w:rsidP="00692540">
            <w:pPr>
              <w:keepNext/>
              <w:rPr>
                <w:rFonts w:ascii="Arial Narrow" w:hAnsi="Arial Narrow"/>
              </w:rPr>
            </w:pPr>
            <w:r w:rsidRPr="00692540">
              <w:rPr>
                <w:rFonts w:ascii="Arial Narrow" w:hAnsi="Arial Narrow"/>
              </w:rPr>
              <w:t xml:space="preserve">Centre for Health Economics, Monash University  </w:t>
            </w:r>
          </w:p>
        </w:tc>
        <w:tc>
          <w:tcPr>
            <w:tcW w:w="3945" w:type="dxa"/>
            <w:shd w:val="clear" w:color="auto" w:fill="auto"/>
          </w:tcPr>
          <w:p w14:paraId="4DADDC6B" w14:textId="77777777" w:rsidR="00692540" w:rsidRPr="00692540" w:rsidRDefault="004B21EF" w:rsidP="00692540">
            <w:pPr>
              <w:keepNext/>
              <w:rPr>
                <w:rFonts w:ascii="Arial Narrow" w:hAnsi="Arial Narrow"/>
              </w:rPr>
            </w:pPr>
            <w:hyperlink r:id="rId56" w:history="1">
              <w:r w:rsidR="00692540" w:rsidRPr="00692540">
                <w:rPr>
                  <w:rFonts w:ascii="Arial Narrow" w:hAnsi="Arial Narrow"/>
                  <w:color w:val="0000FF"/>
                  <w:u w:val="single"/>
                </w:rPr>
                <w:t>https://www.monash.edu/business/che</w:t>
              </w:r>
            </w:hyperlink>
            <w:r w:rsidR="00692540" w:rsidRPr="00692540">
              <w:rPr>
                <w:rFonts w:ascii="Arial Narrow" w:hAnsi="Arial Narrow"/>
              </w:rPr>
              <w:t xml:space="preserve"> </w:t>
            </w:r>
          </w:p>
        </w:tc>
      </w:tr>
      <w:tr w:rsidR="00692540" w:rsidRPr="00692540" w14:paraId="7C62393E" w14:textId="77777777" w:rsidTr="00987ADE">
        <w:tc>
          <w:tcPr>
            <w:tcW w:w="4957" w:type="dxa"/>
            <w:shd w:val="clear" w:color="auto" w:fill="auto"/>
          </w:tcPr>
          <w:p w14:paraId="3D1F96C5" w14:textId="77777777" w:rsidR="00692540" w:rsidRPr="00692540" w:rsidRDefault="00692540" w:rsidP="00692540">
            <w:pPr>
              <w:keepNext/>
              <w:tabs>
                <w:tab w:val="left" w:pos="993"/>
              </w:tabs>
              <w:contextualSpacing/>
              <w:rPr>
                <w:rFonts w:ascii="Arial Narrow" w:hAnsi="Arial Narrow"/>
                <w:b/>
                <w:lang w:eastAsia="en-US"/>
              </w:rPr>
            </w:pPr>
            <w:r w:rsidRPr="00692540">
              <w:rPr>
                <w:rFonts w:ascii="Arial Narrow" w:hAnsi="Arial Narrow"/>
                <w:b/>
                <w:lang w:eastAsia="en-US"/>
              </w:rPr>
              <w:t>CANADA</w:t>
            </w:r>
          </w:p>
        </w:tc>
        <w:tc>
          <w:tcPr>
            <w:tcW w:w="3945" w:type="dxa"/>
            <w:shd w:val="clear" w:color="auto" w:fill="auto"/>
          </w:tcPr>
          <w:p w14:paraId="7FE7D84F" w14:textId="77777777" w:rsidR="00692540" w:rsidRPr="00692540" w:rsidRDefault="00692540" w:rsidP="00692540">
            <w:pPr>
              <w:keepNext/>
              <w:tabs>
                <w:tab w:val="left" w:pos="993"/>
              </w:tabs>
              <w:contextualSpacing/>
              <w:rPr>
                <w:rFonts w:ascii="Arial Narrow" w:hAnsi="Arial Narrow"/>
                <w:b/>
                <w:lang w:eastAsia="en-US"/>
              </w:rPr>
            </w:pPr>
          </w:p>
        </w:tc>
      </w:tr>
      <w:tr w:rsidR="00692540" w:rsidRPr="00692540" w14:paraId="118B672B" w14:textId="77777777" w:rsidTr="00987ADE">
        <w:tc>
          <w:tcPr>
            <w:tcW w:w="4957" w:type="dxa"/>
            <w:shd w:val="clear" w:color="auto" w:fill="auto"/>
          </w:tcPr>
          <w:p w14:paraId="5F3B0B1D" w14:textId="77777777" w:rsidR="00692540" w:rsidRPr="00692540" w:rsidRDefault="00692540" w:rsidP="00692540">
            <w:pPr>
              <w:keepNext/>
              <w:rPr>
                <w:rFonts w:ascii="Arial Narrow" w:hAnsi="Arial Narrow"/>
              </w:rPr>
            </w:pPr>
            <w:r w:rsidRPr="00692540">
              <w:rPr>
                <w:rFonts w:ascii="Arial Narrow" w:hAnsi="Arial Narrow"/>
              </w:rPr>
              <w:t>The Canadian Agency for Drugs And Technologies in Health (CADTH)</w:t>
            </w:r>
          </w:p>
        </w:tc>
        <w:tc>
          <w:tcPr>
            <w:tcW w:w="3945" w:type="dxa"/>
            <w:shd w:val="clear" w:color="auto" w:fill="auto"/>
          </w:tcPr>
          <w:p w14:paraId="772640A8" w14:textId="77777777" w:rsidR="00692540" w:rsidRPr="00692540" w:rsidRDefault="004B21EF" w:rsidP="00692540">
            <w:pPr>
              <w:keepNext/>
              <w:rPr>
                <w:rFonts w:ascii="Arial Narrow" w:hAnsi="Arial Narrow"/>
              </w:rPr>
            </w:pPr>
            <w:hyperlink r:id="rId57" w:history="1">
              <w:r w:rsidR="00692540" w:rsidRPr="00692540">
                <w:rPr>
                  <w:rFonts w:ascii="Arial Narrow" w:hAnsi="Arial Narrow"/>
                  <w:color w:val="0000FF"/>
                  <w:u w:val="single"/>
                </w:rPr>
                <w:t>https://www.cadth.ca/</w:t>
              </w:r>
            </w:hyperlink>
            <w:r w:rsidR="00692540" w:rsidRPr="00692540">
              <w:rPr>
                <w:rFonts w:ascii="Arial Narrow" w:hAnsi="Arial Narrow"/>
              </w:rPr>
              <w:t xml:space="preserve"> </w:t>
            </w:r>
          </w:p>
        </w:tc>
      </w:tr>
      <w:tr w:rsidR="00692540" w:rsidRPr="00692540" w14:paraId="4518B121" w14:textId="77777777" w:rsidTr="00987ADE">
        <w:tc>
          <w:tcPr>
            <w:tcW w:w="4957" w:type="dxa"/>
            <w:shd w:val="clear" w:color="auto" w:fill="auto"/>
          </w:tcPr>
          <w:p w14:paraId="2C019318" w14:textId="77777777" w:rsidR="00692540" w:rsidRPr="00692540" w:rsidRDefault="00692540" w:rsidP="00692540">
            <w:pPr>
              <w:keepNext/>
              <w:rPr>
                <w:rFonts w:ascii="Arial Narrow" w:hAnsi="Arial Narrow"/>
              </w:rPr>
            </w:pPr>
            <w:r w:rsidRPr="00692540">
              <w:rPr>
                <w:rFonts w:ascii="Arial Narrow" w:hAnsi="Arial Narrow"/>
              </w:rPr>
              <w:t xml:space="preserve">Centre for Health Economics and Policy Analysis (CHEPA), McMaster University  </w:t>
            </w:r>
          </w:p>
        </w:tc>
        <w:tc>
          <w:tcPr>
            <w:tcW w:w="3945" w:type="dxa"/>
            <w:shd w:val="clear" w:color="auto" w:fill="auto"/>
          </w:tcPr>
          <w:p w14:paraId="5374DB94" w14:textId="77777777" w:rsidR="00692540" w:rsidRPr="00692540" w:rsidRDefault="004B21EF" w:rsidP="00692540">
            <w:pPr>
              <w:keepNext/>
              <w:rPr>
                <w:rFonts w:ascii="Arial Narrow" w:hAnsi="Arial Narrow"/>
              </w:rPr>
            </w:pPr>
            <w:hyperlink r:id="rId58" w:history="1">
              <w:r w:rsidR="00692540" w:rsidRPr="00692540">
                <w:rPr>
                  <w:rFonts w:ascii="Arial Narrow" w:hAnsi="Arial Narrow"/>
                  <w:color w:val="0000FF"/>
                  <w:u w:val="single"/>
                </w:rPr>
                <w:t>http://www.chepa.org/</w:t>
              </w:r>
            </w:hyperlink>
            <w:r w:rsidR="00692540" w:rsidRPr="00692540">
              <w:rPr>
                <w:rFonts w:ascii="Arial Narrow" w:hAnsi="Arial Narrow"/>
              </w:rPr>
              <w:t xml:space="preserve"> </w:t>
            </w:r>
          </w:p>
        </w:tc>
      </w:tr>
      <w:tr w:rsidR="00692540" w:rsidRPr="00692540" w14:paraId="5A992C68" w14:textId="77777777" w:rsidTr="00987ADE">
        <w:tc>
          <w:tcPr>
            <w:tcW w:w="4957" w:type="dxa"/>
            <w:shd w:val="clear" w:color="auto" w:fill="auto"/>
          </w:tcPr>
          <w:p w14:paraId="5F501C33" w14:textId="77777777" w:rsidR="00692540" w:rsidRPr="00692540" w:rsidRDefault="00692540" w:rsidP="00692540">
            <w:pPr>
              <w:keepNext/>
              <w:rPr>
                <w:rFonts w:ascii="Arial Narrow" w:hAnsi="Arial Narrow"/>
              </w:rPr>
            </w:pPr>
            <w:r w:rsidRPr="00692540">
              <w:rPr>
                <w:rFonts w:ascii="Arial Narrow" w:hAnsi="Arial Narrow"/>
              </w:rPr>
              <w:t xml:space="preserve">Institute for Clinical and Evaluative Studies (ICES)   </w:t>
            </w:r>
          </w:p>
        </w:tc>
        <w:tc>
          <w:tcPr>
            <w:tcW w:w="3945" w:type="dxa"/>
            <w:shd w:val="clear" w:color="auto" w:fill="auto"/>
          </w:tcPr>
          <w:p w14:paraId="1F56A8DF" w14:textId="77777777" w:rsidR="00692540" w:rsidRPr="00692540" w:rsidRDefault="004B21EF" w:rsidP="00692540">
            <w:pPr>
              <w:keepNext/>
              <w:rPr>
                <w:rFonts w:ascii="Arial Narrow" w:hAnsi="Arial Narrow"/>
              </w:rPr>
            </w:pPr>
            <w:hyperlink r:id="rId59" w:history="1">
              <w:r w:rsidR="00692540" w:rsidRPr="00692540">
                <w:rPr>
                  <w:rFonts w:ascii="Arial Narrow" w:hAnsi="Arial Narrow"/>
                  <w:color w:val="0000FF"/>
                  <w:u w:val="single"/>
                </w:rPr>
                <w:t>http://www.ices.on.ca/</w:t>
              </w:r>
            </w:hyperlink>
            <w:r w:rsidR="00692540" w:rsidRPr="00692540">
              <w:rPr>
                <w:rFonts w:ascii="Arial Narrow" w:hAnsi="Arial Narrow"/>
              </w:rPr>
              <w:t xml:space="preserve"> </w:t>
            </w:r>
          </w:p>
        </w:tc>
      </w:tr>
      <w:tr w:rsidR="00692540" w:rsidRPr="00692540" w14:paraId="5AD0640F" w14:textId="77777777" w:rsidTr="00987ADE">
        <w:tc>
          <w:tcPr>
            <w:tcW w:w="4957" w:type="dxa"/>
            <w:shd w:val="clear" w:color="auto" w:fill="auto"/>
          </w:tcPr>
          <w:p w14:paraId="414970DE" w14:textId="77777777" w:rsidR="00692540" w:rsidRPr="00692540" w:rsidRDefault="00692540" w:rsidP="00692540">
            <w:pPr>
              <w:keepNext/>
              <w:rPr>
                <w:rFonts w:ascii="Arial Narrow" w:hAnsi="Arial Narrow"/>
              </w:rPr>
            </w:pPr>
            <w:r w:rsidRPr="00692540">
              <w:rPr>
                <w:rFonts w:ascii="Arial Narrow" w:hAnsi="Arial Narrow"/>
              </w:rPr>
              <w:t>Saskatchewan Health Quality Council (Canada)</w:t>
            </w:r>
          </w:p>
        </w:tc>
        <w:tc>
          <w:tcPr>
            <w:tcW w:w="3945" w:type="dxa"/>
            <w:shd w:val="clear" w:color="auto" w:fill="auto"/>
          </w:tcPr>
          <w:p w14:paraId="397BBB62" w14:textId="77777777" w:rsidR="00692540" w:rsidRPr="00692540" w:rsidRDefault="004B21EF" w:rsidP="00692540">
            <w:pPr>
              <w:keepNext/>
              <w:rPr>
                <w:rFonts w:ascii="Arial Narrow" w:hAnsi="Arial Narrow"/>
              </w:rPr>
            </w:pPr>
            <w:hyperlink r:id="rId60" w:history="1">
              <w:r w:rsidR="00692540" w:rsidRPr="00692540">
                <w:rPr>
                  <w:rFonts w:ascii="Arial Narrow" w:hAnsi="Arial Narrow"/>
                  <w:color w:val="0000FF"/>
                  <w:u w:val="single"/>
                </w:rPr>
                <w:t>http://www.hqc.sk.ca/</w:t>
              </w:r>
            </w:hyperlink>
            <w:r w:rsidR="00692540" w:rsidRPr="00692540">
              <w:rPr>
                <w:rFonts w:ascii="Arial Narrow" w:hAnsi="Arial Narrow"/>
              </w:rPr>
              <w:t xml:space="preserve"> </w:t>
            </w:r>
          </w:p>
        </w:tc>
      </w:tr>
      <w:tr w:rsidR="00692540" w:rsidRPr="00692540" w14:paraId="0A65A6A9" w14:textId="77777777" w:rsidTr="00987ADE">
        <w:tc>
          <w:tcPr>
            <w:tcW w:w="4957" w:type="dxa"/>
            <w:shd w:val="clear" w:color="auto" w:fill="auto"/>
          </w:tcPr>
          <w:p w14:paraId="079B7BE7" w14:textId="77777777" w:rsidR="00692540" w:rsidRPr="00692540" w:rsidRDefault="00692540" w:rsidP="00692540">
            <w:pPr>
              <w:keepNext/>
              <w:tabs>
                <w:tab w:val="left" w:pos="993"/>
              </w:tabs>
              <w:contextualSpacing/>
              <w:rPr>
                <w:rFonts w:ascii="Arial Narrow" w:hAnsi="Arial Narrow"/>
                <w:b/>
                <w:lang w:eastAsia="en-US"/>
              </w:rPr>
            </w:pPr>
            <w:r w:rsidRPr="00692540">
              <w:rPr>
                <w:rFonts w:ascii="Arial Narrow" w:hAnsi="Arial Narrow"/>
                <w:b/>
                <w:lang w:eastAsia="en-US"/>
              </w:rPr>
              <w:t>FRANCE</w:t>
            </w:r>
          </w:p>
        </w:tc>
        <w:tc>
          <w:tcPr>
            <w:tcW w:w="3945" w:type="dxa"/>
            <w:shd w:val="clear" w:color="auto" w:fill="auto"/>
          </w:tcPr>
          <w:p w14:paraId="72ED0855" w14:textId="77777777" w:rsidR="00692540" w:rsidRPr="00692540" w:rsidRDefault="00692540" w:rsidP="00692540">
            <w:pPr>
              <w:keepNext/>
              <w:tabs>
                <w:tab w:val="left" w:pos="993"/>
              </w:tabs>
              <w:contextualSpacing/>
              <w:rPr>
                <w:rFonts w:ascii="Arial Narrow" w:hAnsi="Arial Narrow"/>
                <w:b/>
                <w:lang w:eastAsia="en-US"/>
              </w:rPr>
            </w:pPr>
          </w:p>
        </w:tc>
      </w:tr>
      <w:tr w:rsidR="00692540" w:rsidRPr="00692540" w14:paraId="44B3716B" w14:textId="77777777" w:rsidTr="00987ADE">
        <w:tc>
          <w:tcPr>
            <w:tcW w:w="4957" w:type="dxa"/>
            <w:shd w:val="clear" w:color="auto" w:fill="auto"/>
          </w:tcPr>
          <w:p w14:paraId="78B74595" w14:textId="77777777" w:rsidR="00692540" w:rsidRPr="00692540" w:rsidRDefault="00692540" w:rsidP="00692540">
            <w:pPr>
              <w:keepNext/>
              <w:rPr>
                <w:rFonts w:ascii="Arial Narrow" w:hAnsi="Arial Narrow"/>
              </w:rPr>
            </w:pPr>
            <w:r w:rsidRPr="00692540">
              <w:rPr>
                <w:rFonts w:ascii="Arial Narrow" w:hAnsi="Arial Narrow"/>
              </w:rPr>
              <w:t xml:space="preserve">L’Agence Nationale d’Accréditation et d’Evaluation en Santé (ANAES) </w:t>
            </w:r>
          </w:p>
        </w:tc>
        <w:tc>
          <w:tcPr>
            <w:tcW w:w="3945" w:type="dxa"/>
            <w:shd w:val="clear" w:color="auto" w:fill="auto"/>
          </w:tcPr>
          <w:p w14:paraId="29F55B11" w14:textId="77777777" w:rsidR="00692540" w:rsidRPr="00692540" w:rsidRDefault="004B21EF" w:rsidP="00692540">
            <w:pPr>
              <w:keepNext/>
              <w:rPr>
                <w:rFonts w:ascii="Arial Narrow" w:hAnsi="Arial Narrow"/>
              </w:rPr>
            </w:pPr>
            <w:hyperlink r:id="rId61" w:history="1">
              <w:r w:rsidR="00692540" w:rsidRPr="00692540">
                <w:rPr>
                  <w:rFonts w:ascii="Arial Narrow" w:hAnsi="Arial Narrow"/>
                </w:rPr>
                <w:t>http://www.anaes.fr/</w:t>
              </w:r>
            </w:hyperlink>
          </w:p>
        </w:tc>
      </w:tr>
      <w:tr w:rsidR="00692540" w:rsidRPr="00692540" w14:paraId="65169AF2" w14:textId="77777777" w:rsidTr="00987ADE">
        <w:tc>
          <w:tcPr>
            <w:tcW w:w="4957" w:type="dxa"/>
            <w:shd w:val="clear" w:color="auto" w:fill="auto"/>
          </w:tcPr>
          <w:p w14:paraId="3312F255" w14:textId="77777777" w:rsidR="00692540" w:rsidRPr="00692540" w:rsidRDefault="00692540" w:rsidP="00692540">
            <w:pPr>
              <w:keepNext/>
              <w:tabs>
                <w:tab w:val="left" w:pos="993"/>
              </w:tabs>
              <w:contextualSpacing/>
              <w:rPr>
                <w:rFonts w:ascii="Arial Narrow" w:hAnsi="Arial Narrow"/>
                <w:b/>
                <w:lang w:eastAsia="en-US"/>
              </w:rPr>
            </w:pPr>
            <w:r w:rsidRPr="00692540">
              <w:rPr>
                <w:rFonts w:ascii="Arial Narrow" w:hAnsi="Arial Narrow"/>
                <w:b/>
                <w:lang w:eastAsia="en-US"/>
              </w:rPr>
              <w:t>GERMANY</w:t>
            </w:r>
          </w:p>
        </w:tc>
        <w:tc>
          <w:tcPr>
            <w:tcW w:w="3945" w:type="dxa"/>
            <w:shd w:val="clear" w:color="auto" w:fill="auto"/>
          </w:tcPr>
          <w:p w14:paraId="78E78642" w14:textId="77777777" w:rsidR="00692540" w:rsidRPr="00692540" w:rsidRDefault="00692540" w:rsidP="00692540">
            <w:pPr>
              <w:keepNext/>
              <w:tabs>
                <w:tab w:val="left" w:pos="993"/>
              </w:tabs>
              <w:contextualSpacing/>
              <w:rPr>
                <w:rFonts w:ascii="Arial Narrow" w:hAnsi="Arial Narrow"/>
                <w:b/>
                <w:lang w:eastAsia="en-US"/>
              </w:rPr>
            </w:pPr>
          </w:p>
        </w:tc>
      </w:tr>
      <w:tr w:rsidR="00692540" w:rsidRPr="00692540" w14:paraId="179CAE3A" w14:textId="77777777" w:rsidTr="00987ADE">
        <w:tc>
          <w:tcPr>
            <w:tcW w:w="4957" w:type="dxa"/>
            <w:shd w:val="clear" w:color="auto" w:fill="auto"/>
          </w:tcPr>
          <w:p w14:paraId="2F431141" w14:textId="77777777" w:rsidR="00692540" w:rsidRPr="00692540" w:rsidRDefault="00692540" w:rsidP="00692540">
            <w:pPr>
              <w:keepNext/>
              <w:tabs>
                <w:tab w:val="left" w:pos="993"/>
              </w:tabs>
              <w:contextualSpacing/>
              <w:rPr>
                <w:rFonts w:ascii="Arial Narrow" w:hAnsi="Arial Narrow"/>
                <w:lang w:eastAsia="en-US"/>
              </w:rPr>
            </w:pPr>
            <w:r w:rsidRPr="00692540">
              <w:rPr>
                <w:rFonts w:ascii="Arial Narrow" w:hAnsi="Arial Narrow"/>
                <w:lang w:eastAsia="en-US"/>
              </w:rPr>
              <w:t>Institute for Quality and Efficiency in Health Care (IQWiG)</w:t>
            </w:r>
          </w:p>
        </w:tc>
        <w:tc>
          <w:tcPr>
            <w:tcW w:w="3945" w:type="dxa"/>
            <w:shd w:val="clear" w:color="auto" w:fill="auto"/>
          </w:tcPr>
          <w:p w14:paraId="3AF9AE33" w14:textId="77777777" w:rsidR="00692540" w:rsidRPr="00692540" w:rsidRDefault="004B21EF" w:rsidP="00692540">
            <w:pPr>
              <w:keepNext/>
              <w:tabs>
                <w:tab w:val="left" w:pos="993"/>
              </w:tabs>
              <w:contextualSpacing/>
              <w:rPr>
                <w:rFonts w:ascii="Arial Narrow" w:hAnsi="Arial Narrow"/>
                <w:b/>
                <w:lang w:eastAsia="en-US"/>
              </w:rPr>
            </w:pPr>
            <w:hyperlink r:id="rId62" w:history="1">
              <w:r w:rsidR="00692540" w:rsidRPr="00692540">
                <w:rPr>
                  <w:rFonts w:ascii="Arial Narrow" w:hAnsi="Arial Narrow"/>
                  <w:color w:val="0000FF"/>
                  <w:u w:val="single"/>
                  <w:lang w:eastAsia="en-US"/>
                </w:rPr>
                <w:t>http://www.iqwig.de/</w:t>
              </w:r>
            </w:hyperlink>
            <w:r w:rsidR="00692540" w:rsidRPr="00692540">
              <w:rPr>
                <w:rFonts w:ascii="Arial Narrow" w:hAnsi="Arial Narrow"/>
                <w:b/>
                <w:lang w:eastAsia="en-US"/>
              </w:rPr>
              <w:t xml:space="preserve"> </w:t>
            </w:r>
          </w:p>
        </w:tc>
      </w:tr>
      <w:tr w:rsidR="00692540" w:rsidRPr="00692540" w14:paraId="3C2E80E2" w14:textId="77777777" w:rsidTr="00987ADE">
        <w:tc>
          <w:tcPr>
            <w:tcW w:w="4957" w:type="dxa"/>
            <w:shd w:val="clear" w:color="auto" w:fill="auto"/>
          </w:tcPr>
          <w:p w14:paraId="70D4966C" w14:textId="77777777" w:rsidR="00692540" w:rsidRPr="00692540" w:rsidRDefault="00692540" w:rsidP="00692540">
            <w:pPr>
              <w:keepNext/>
              <w:tabs>
                <w:tab w:val="left" w:pos="993"/>
              </w:tabs>
              <w:contextualSpacing/>
              <w:rPr>
                <w:rFonts w:ascii="Arial Narrow" w:hAnsi="Arial Narrow"/>
                <w:b/>
                <w:lang w:eastAsia="en-US"/>
              </w:rPr>
            </w:pPr>
            <w:r w:rsidRPr="00692540">
              <w:rPr>
                <w:rFonts w:ascii="Arial Narrow" w:hAnsi="Arial Narrow"/>
                <w:b/>
                <w:lang w:eastAsia="en-US"/>
              </w:rPr>
              <w:t>THE NETHERLANDS</w:t>
            </w:r>
          </w:p>
        </w:tc>
        <w:tc>
          <w:tcPr>
            <w:tcW w:w="3945" w:type="dxa"/>
            <w:shd w:val="clear" w:color="auto" w:fill="auto"/>
          </w:tcPr>
          <w:p w14:paraId="269BA5A5" w14:textId="77777777" w:rsidR="00692540" w:rsidRPr="00692540" w:rsidRDefault="00692540" w:rsidP="00692540">
            <w:pPr>
              <w:keepNext/>
              <w:tabs>
                <w:tab w:val="left" w:pos="993"/>
              </w:tabs>
              <w:contextualSpacing/>
              <w:rPr>
                <w:rFonts w:ascii="Arial Narrow" w:hAnsi="Arial Narrow"/>
                <w:b/>
                <w:lang w:eastAsia="en-US"/>
              </w:rPr>
            </w:pPr>
          </w:p>
        </w:tc>
      </w:tr>
      <w:tr w:rsidR="00692540" w:rsidRPr="00692540" w14:paraId="0029C8F7" w14:textId="77777777" w:rsidTr="00987ADE">
        <w:tc>
          <w:tcPr>
            <w:tcW w:w="4957" w:type="dxa"/>
            <w:shd w:val="clear" w:color="auto" w:fill="auto"/>
          </w:tcPr>
          <w:p w14:paraId="5F13450D" w14:textId="77777777" w:rsidR="00692540" w:rsidRPr="00692540" w:rsidRDefault="00692540" w:rsidP="00692540">
            <w:pPr>
              <w:keepNext/>
              <w:rPr>
                <w:rFonts w:ascii="Arial Narrow" w:hAnsi="Arial Narrow"/>
              </w:rPr>
            </w:pPr>
            <w:r w:rsidRPr="00692540">
              <w:rPr>
                <w:rFonts w:ascii="Arial Narrow" w:hAnsi="Arial Narrow"/>
              </w:rPr>
              <w:t>Institute for Medical Technology Assessment (Netherlands)</w:t>
            </w:r>
          </w:p>
        </w:tc>
        <w:tc>
          <w:tcPr>
            <w:tcW w:w="3945" w:type="dxa"/>
            <w:shd w:val="clear" w:color="auto" w:fill="auto"/>
          </w:tcPr>
          <w:p w14:paraId="014CF398" w14:textId="77777777" w:rsidR="00692540" w:rsidRPr="00692540" w:rsidRDefault="004B21EF" w:rsidP="00692540">
            <w:pPr>
              <w:keepNext/>
              <w:rPr>
                <w:rFonts w:ascii="Arial Narrow" w:hAnsi="Arial Narrow"/>
              </w:rPr>
            </w:pPr>
            <w:hyperlink r:id="rId63" w:history="1">
              <w:r w:rsidR="00692540" w:rsidRPr="00692540">
                <w:rPr>
                  <w:rFonts w:ascii="Arial Narrow" w:hAnsi="Arial Narrow"/>
                  <w:color w:val="0000FF"/>
                  <w:u w:val="single"/>
                </w:rPr>
                <w:t>http://www.imta.nl/</w:t>
              </w:r>
            </w:hyperlink>
            <w:r w:rsidR="00692540" w:rsidRPr="00692540">
              <w:rPr>
                <w:rFonts w:ascii="Arial Narrow" w:hAnsi="Arial Narrow"/>
              </w:rPr>
              <w:t xml:space="preserve"> </w:t>
            </w:r>
          </w:p>
        </w:tc>
      </w:tr>
      <w:tr w:rsidR="00692540" w:rsidRPr="00692540" w14:paraId="35AA9FC7" w14:textId="77777777" w:rsidTr="00987ADE">
        <w:tc>
          <w:tcPr>
            <w:tcW w:w="4957" w:type="dxa"/>
            <w:shd w:val="clear" w:color="auto" w:fill="auto"/>
          </w:tcPr>
          <w:p w14:paraId="5E0F6ECA" w14:textId="77777777" w:rsidR="00692540" w:rsidRPr="00692540" w:rsidRDefault="00692540" w:rsidP="00692540">
            <w:pPr>
              <w:keepNext/>
              <w:rPr>
                <w:rFonts w:ascii="Arial Narrow" w:hAnsi="Arial Narrow"/>
                <w:b/>
              </w:rPr>
            </w:pPr>
            <w:r w:rsidRPr="00692540">
              <w:rPr>
                <w:rFonts w:ascii="Arial Narrow" w:hAnsi="Arial Narrow"/>
                <w:b/>
              </w:rPr>
              <w:lastRenderedPageBreak/>
              <w:t>NEW ZEALAND</w:t>
            </w:r>
          </w:p>
        </w:tc>
        <w:tc>
          <w:tcPr>
            <w:tcW w:w="3945" w:type="dxa"/>
            <w:shd w:val="clear" w:color="auto" w:fill="auto"/>
          </w:tcPr>
          <w:p w14:paraId="111A3687" w14:textId="77777777" w:rsidR="00692540" w:rsidRPr="00692540" w:rsidRDefault="00692540" w:rsidP="00692540">
            <w:pPr>
              <w:keepNext/>
              <w:rPr>
                <w:rFonts w:ascii="Arial Narrow" w:hAnsi="Arial Narrow"/>
                <w:b/>
                <w:color w:val="0000FF"/>
                <w:u w:val="single"/>
              </w:rPr>
            </w:pPr>
          </w:p>
        </w:tc>
      </w:tr>
      <w:tr w:rsidR="00692540" w:rsidRPr="00692540" w14:paraId="7D856675" w14:textId="77777777" w:rsidTr="00987ADE">
        <w:tc>
          <w:tcPr>
            <w:tcW w:w="4957" w:type="dxa"/>
            <w:shd w:val="clear" w:color="auto" w:fill="auto"/>
          </w:tcPr>
          <w:p w14:paraId="6DC05AC0" w14:textId="77777777" w:rsidR="00692540" w:rsidRPr="00692540" w:rsidRDefault="00692540" w:rsidP="00692540">
            <w:pPr>
              <w:keepNext/>
              <w:rPr>
                <w:rFonts w:ascii="Arial Narrow" w:hAnsi="Arial Narrow"/>
              </w:rPr>
            </w:pPr>
            <w:r w:rsidRPr="00692540">
              <w:rPr>
                <w:rFonts w:ascii="Arial Narrow" w:hAnsi="Arial Narrow"/>
              </w:rPr>
              <w:t xml:space="preserve">New Zealand Health Technology Assessment (NZHTA) </w:t>
            </w:r>
          </w:p>
        </w:tc>
        <w:tc>
          <w:tcPr>
            <w:tcW w:w="3945" w:type="dxa"/>
            <w:shd w:val="clear" w:color="auto" w:fill="auto"/>
          </w:tcPr>
          <w:p w14:paraId="07666034" w14:textId="77777777" w:rsidR="00692540" w:rsidRPr="00692540" w:rsidRDefault="004B21EF" w:rsidP="00692540">
            <w:pPr>
              <w:keepNext/>
              <w:rPr>
                <w:rFonts w:ascii="Arial Narrow" w:hAnsi="Arial Narrow"/>
                <w:color w:val="0000FF"/>
                <w:u w:val="single"/>
              </w:rPr>
            </w:pPr>
            <w:hyperlink r:id="rId64" w:history="1">
              <w:r w:rsidR="00692540" w:rsidRPr="00692540">
                <w:rPr>
                  <w:rFonts w:ascii="Arial Narrow" w:hAnsi="Arial Narrow"/>
                  <w:color w:val="0000FF"/>
                  <w:u w:val="single"/>
                </w:rPr>
                <w:t>http://www.otago.ac.nz/christchurch/research/nzhta/</w:t>
              </w:r>
            </w:hyperlink>
            <w:r w:rsidR="00692540" w:rsidRPr="00692540">
              <w:rPr>
                <w:rFonts w:ascii="Arial Narrow" w:hAnsi="Arial Narrow"/>
              </w:rPr>
              <w:t xml:space="preserve"> </w:t>
            </w:r>
          </w:p>
        </w:tc>
      </w:tr>
      <w:tr w:rsidR="00692540" w:rsidRPr="00692540" w14:paraId="0F331915" w14:textId="77777777" w:rsidTr="00987ADE">
        <w:tc>
          <w:tcPr>
            <w:tcW w:w="4957" w:type="dxa"/>
            <w:shd w:val="clear" w:color="auto" w:fill="auto"/>
          </w:tcPr>
          <w:p w14:paraId="01B87FDB" w14:textId="77777777" w:rsidR="00692540" w:rsidRPr="00692540" w:rsidRDefault="00692540" w:rsidP="00692540">
            <w:pPr>
              <w:keepNext/>
              <w:rPr>
                <w:rFonts w:ascii="Arial Narrow" w:hAnsi="Arial Narrow"/>
                <w:b/>
              </w:rPr>
            </w:pPr>
            <w:r w:rsidRPr="00692540">
              <w:rPr>
                <w:rFonts w:ascii="Arial Narrow" w:hAnsi="Arial Narrow"/>
                <w:b/>
              </w:rPr>
              <w:t>NORWAY</w:t>
            </w:r>
          </w:p>
        </w:tc>
        <w:tc>
          <w:tcPr>
            <w:tcW w:w="3945" w:type="dxa"/>
            <w:shd w:val="clear" w:color="auto" w:fill="auto"/>
          </w:tcPr>
          <w:p w14:paraId="1E0DB706" w14:textId="77777777" w:rsidR="00692540" w:rsidRPr="00692540" w:rsidRDefault="00692540" w:rsidP="00692540">
            <w:pPr>
              <w:keepNext/>
              <w:rPr>
                <w:rFonts w:ascii="Arial Narrow" w:hAnsi="Arial Narrow"/>
                <w:b/>
                <w:color w:val="0000FF"/>
                <w:u w:val="single"/>
              </w:rPr>
            </w:pPr>
          </w:p>
        </w:tc>
      </w:tr>
      <w:tr w:rsidR="00692540" w:rsidRPr="00692540" w14:paraId="71CF5B47" w14:textId="77777777" w:rsidTr="00987ADE">
        <w:tc>
          <w:tcPr>
            <w:tcW w:w="4957" w:type="dxa"/>
            <w:shd w:val="clear" w:color="auto" w:fill="auto"/>
          </w:tcPr>
          <w:p w14:paraId="3655F214" w14:textId="77777777" w:rsidR="00692540" w:rsidRPr="00692540" w:rsidRDefault="00692540" w:rsidP="00692540">
            <w:pPr>
              <w:keepNext/>
              <w:rPr>
                <w:rFonts w:ascii="Arial Narrow" w:hAnsi="Arial Narrow"/>
              </w:rPr>
            </w:pPr>
            <w:r w:rsidRPr="00692540">
              <w:rPr>
                <w:rFonts w:ascii="Arial Narrow" w:hAnsi="Arial Narrow"/>
              </w:rPr>
              <w:t>Norwegian Knowledge Centre for the Health Services</w:t>
            </w:r>
          </w:p>
        </w:tc>
        <w:tc>
          <w:tcPr>
            <w:tcW w:w="3945" w:type="dxa"/>
            <w:shd w:val="clear" w:color="auto" w:fill="auto"/>
          </w:tcPr>
          <w:p w14:paraId="1A34ACA1" w14:textId="77777777" w:rsidR="00692540" w:rsidRPr="00692540" w:rsidRDefault="004B21EF" w:rsidP="00692540">
            <w:pPr>
              <w:keepNext/>
              <w:rPr>
                <w:rFonts w:ascii="Arial Narrow" w:hAnsi="Arial Narrow"/>
                <w:color w:val="0000FF"/>
                <w:u w:val="single"/>
              </w:rPr>
            </w:pPr>
            <w:hyperlink r:id="rId65" w:history="1">
              <w:r w:rsidR="00692540" w:rsidRPr="00692540">
                <w:rPr>
                  <w:rFonts w:ascii="Arial Narrow" w:hAnsi="Arial Narrow"/>
                  <w:color w:val="0000FF"/>
                  <w:u w:val="single"/>
                </w:rPr>
                <w:t>http://www.kunnskapssenteret.no</w:t>
              </w:r>
            </w:hyperlink>
          </w:p>
        </w:tc>
      </w:tr>
      <w:tr w:rsidR="00692540" w:rsidRPr="00692540" w14:paraId="744DF1E9" w14:textId="77777777" w:rsidTr="00987ADE">
        <w:tc>
          <w:tcPr>
            <w:tcW w:w="4957" w:type="dxa"/>
            <w:shd w:val="clear" w:color="auto" w:fill="auto"/>
          </w:tcPr>
          <w:p w14:paraId="3AED94E0" w14:textId="77777777" w:rsidR="00692540" w:rsidRPr="00692540" w:rsidRDefault="00692540" w:rsidP="00692540">
            <w:pPr>
              <w:keepNext/>
              <w:rPr>
                <w:rFonts w:ascii="Arial Narrow" w:hAnsi="Arial Narrow"/>
                <w:b/>
              </w:rPr>
            </w:pPr>
            <w:r w:rsidRPr="00692540">
              <w:rPr>
                <w:rFonts w:ascii="Arial Narrow" w:hAnsi="Arial Narrow"/>
                <w:b/>
              </w:rPr>
              <w:t>SPAIN</w:t>
            </w:r>
          </w:p>
        </w:tc>
        <w:tc>
          <w:tcPr>
            <w:tcW w:w="3945" w:type="dxa"/>
            <w:shd w:val="clear" w:color="auto" w:fill="auto"/>
          </w:tcPr>
          <w:p w14:paraId="4775265F" w14:textId="77777777" w:rsidR="00692540" w:rsidRPr="00692540" w:rsidRDefault="00692540" w:rsidP="00692540">
            <w:pPr>
              <w:keepNext/>
              <w:rPr>
                <w:rFonts w:ascii="Arial Narrow" w:hAnsi="Arial Narrow"/>
                <w:b/>
                <w:color w:val="0000FF"/>
                <w:u w:val="single"/>
              </w:rPr>
            </w:pPr>
          </w:p>
        </w:tc>
      </w:tr>
      <w:tr w:rsidR="00987ADE" w:rsidRPr="00692540" w14:paraId="393E9601" w14:textId="77777777" w:rsidTr="00987ADE">
        <w:tc>
          <w:tcPr>
            <w:tcW w:w="4957" w:type="dxa"/>
            <w:shd w:val="clear" w:color="auto" w:fill="auto"/>
          </w:tcPr>
          <w:p w14:paraId="6D466AF5" w14:textId="77777777" w:rsidR="00987ADE" w:rsidRPr="00692540" w:rsidRDefault="00987ADE" w:rsidP="00692540">
            <w:pPr>
              <w:keepNext/>
              <w:rPr>
                <w:rFonts w:ascii="Arial Narrow" w:hAnsi="Arial Narrow"/>
              </w:rPr>
            </w:pPr>
            <w:r w:rsidRPr="00692540">
              <w:rPr>
                <w:rFonts w:ascii="Arial Narrow" w:hAnsi="Arial Narrow"/>
              </w:rPr>
              <w:t>Andalusian Agency for Health Technology Assessment (Spain)</w:t>
            </w:r>
          </w:p>
        </w:tc>
        <w:tc>
          <w:tcPr>
            <w:tcW w:w="3945" w:type="dxa"/>
            <w:shd w:val="clear" w:color="auto" w:fill="auto"/>
          </w:tcPr>
          <w:p w14:paraId="418227D3" w14:textId="77777777" w:rsidR="00987ADE" w:rsidRPr="00692540" w:rsidRDefault="004B21EF" w:rsidP="00692540">
            <w:pPr>
              <w:keepNext/>
              <w:rPr>
                <w:rFonts w:ascii="Arial Narrow" w:hAnsi="Arial Narrow"/>
                <w:color w:val="0000FF"/>
                <w:u w:val="single"/>
              </w:rPr>
            </w:pPr>
            <w:hyperlink r:id="rId66" w:history="1">
              <w:r w:rsidR="00987ADE" w:rsidRPr="00692540">
                <w:rPr>
                  <w:rFonts w:ascii="Arial Narrow" w:hAnsi="Arial Narrow"/>
                  <w:color w:val="0000FF"/>
                  <w:u w:val="single"/>
                </w:rPr>
                <w:t>http://www.juntadeandalucia.es/</w:t>
              </w:r>
            </w:hyperlink>
          </w:p>
        </w:tc>
      </w:tr>
      <w:tr w:rsidR="00987ADE" w:rsidRPr="00692540" w14:paraId="3B527890" w14:textId="77777777" w:rsidTr="00987ADE">
        <w:tc>
          <w:tcPr>
            <w:tcW w:w="4957" w:type="dxa"/>
            <w:shd w:val="clear" w:color="auto" w:fill="auto"/>
          </w:tcPr>
          <w:p w14:paraId="310D81BA" w14:textId="77777777" w:rsidR="00987ADE" w:rsidRPr="00692540" w:rsidRDefault="00987ADE" w:rsidP="00692540">
            <w:pPr>
              <w:keepNext/>
              <w:rPr>
                <w:rFonts w:ascii="Arial Narrow" w:hAnsi="Arial Narrow"/>
              </w:rPr>
            </w:pPr>
            <w:r w:rsidRPr="00692540">
              <w:rPr>
                <w:rFonts w:ascii="Arial Narrow" w:hAnsi="Arial Narrow"/>
              </w:rPr>
              <w:t xml:space="preserve">Catalan Agency for Health Technology Assessment  (CAHTA)  </w:t>
            </w:r>
          </w:p>
        </w:tc>
        <w:tc>
          <w:tcPr>
            <w:tcW w:w="3945" w:type="dxa"/>
            <w:shd w:val="clear" w:color="auto" w:fill="auto"/>
          </w:tcPr>
          <w:p w14:paraId="6E367C7B" w14:textId="77777777" w:rsidR="00987ADE" w:rsidRPr="00692540" w:rsidRDefault="004B21EF" w:rsidP="00692540">
            <w:pPr>
              <w:keepNext/>
              <w:rPr>
                <w:rFonts w:ascii="Arial Narrow" w:hAnsi="Arial Narrow"/>
                <w:color w:val="0000FF"/>
                <w:u w:val="single"/>
              </w:rPr>
            </w:pPr>
            <w:hyperlink r:id="rId67" w:history="1">
              <w:r w:rsidR="00987ADE" w:rsidRPr="00692540">
                <w:rPr>
                  <w:rFonts w:ascii="Arial Narrow" w:hAnsi="Arial Narrow"/>
                  <w:color w:val="0000FF"/>
                  <w:u w:val="single"/>
                </w:rPr>
                <w:t>http://www.gencat.cat</w:t>
              </w:r>
            </w:hyperlink>
          </w:p>
        </w:tc>
      </w:tr>
      <w:tr w:rsidR="00987ADE" w:rsidRPr="00692540" w14:paraId="75A643BF" w14:textId="77777777" w:rsidTr="00987ADE">
        <w:tc>
          <w:tcPr>
            <w:tcW w:w="4957" w:type="dxa"/>
            <w:shd w:val="clear" w:color="auto" w:fill="auto"/>
          </w:tcPr>
          <w:p w14:paraId="65E80C25" w14:textId="77777777" w:rsidR="00987ADE" w:rsidRPr="00692540" w:rsidRDefault="00987ADE" w:rsidP="00692540">
            <w:pPr>
              <w:keepNext/>
              <w:rPr>
                <w:rFonts w:ascii="Arial Narrow" w:hAnsi="Arial Narrow"/>
              </w:rPr>
            </w:pPr>
            <w:r w:rsidRPr="00692540">
              <w:rPr>
                <w:rFonts w:ascii="Arial Narrow" w:hAnsi="Arial Narrow"/>
                <w:b/>
              </w:rPr>
              <w:t>SWEDEN</w:t>
            </w:r>
          </w:p>
        </w:tc>
        <w:tc>
          <w:tcPr>
            <w:tcW w:w="3945" w:type="dxa"/>
            <w:shd w:val="clear" w:color="auto" w:fill="auto"/>
          </w:tcPr>
          <w:p w14:paraId="1226CD7F" w14:textId="77777777" w:rsidR="00987ADE" w:rsidRPr="00692540" w:rsidRDefault="00987ADE" w:rsidP="00692540">
            <w:pPr>
              <w:keepNext/>
              <w:rPr>
                <w:rFonts w:ascii="Arial Narrow" w:hAnsi="Arial Narrow"/>
                <w:color w:val="0000FF"/>
                <w:u w:val="single"/>
              </w:rPr>
            </w:pPr>
          </w:p>
        </w:tc>
      </w:tr>
      <w:tr w:rsidR="00987ADE" w:rsidRPr="00692540" w14:paraId="4F2533A0" w14:textId="77777777" w:rsidTr="00987ADE">
        <w:tc>
          <w:tcPr>
            <w:tcW w:w="4957" w:type="dxa"/>
            <w:shd w:val="clear" w:color="auto" w:fill="auto"/>
          </w:tcPr>
          <w:p w14:paraId="0681E296" w14:textId="77777777" w:rsidR="00987ADE" w:rsidRPr="00692540" w:rsidRDefault="00987ADE" w:rsidP="00692540">
            <w:pPr>
              <w:keepNext/>
              <w:rPr>
                <w:rFonts w:ascii="Arial Narrow" w:hAnsi="Arial Narrow"/>
                <w:b/>
              </w:rPr>
            </w:pPr>
            <w:r w:rsidRPr="00692540">
              <w:rPr>
                <w:rFonts w:ascii="Arial Narrow" w:hAnsi="Arial Narrow"/>
              </w:rPr>
              <w:t xml:space="preserve">Center for Medical Health Technology Assessment </w:t>
            </w:r>
          </w:p>
        </w:tc>
        <w:tc>
          <w:tcPr>
            <w:tcW w:w="3945" w:type="dxa"/>
            <w:shd w:val="clear" w:color="auto" w:fill="auto"/>
          </w:tcPr>
          <w:p w14:paraId="3FDE530F" w14:textId="77777777" w:rsidR="00987ADE" w:rsidRPr="00692540" w:rsidRDefault="004B21EF" w:rsidP="00692540">
            <w:pPr>
              <w:keepNext/>
              <w:rPr>
                <w:rFonts w:ascii="Arial Narrow" w:hAnsi="Arial Narrow"/>
                <w:b/>
                <w:color w:val="0000FF"/>
                <w:u w:val="single"/>
              </w:rPr>
            </w:pPr>
            <w:hyperlink r:id="rId68" w:history="1">
              <w:r w:rsidR="00987ADE" w:rsidRPr="00692540">
                <w:rPr>
                  <w:rFonts w:ascii="Arial Narrow" w:hAnsi="Arial Narrow"/>
                  <w:color w:val="0000FF"/>
                  <w:u w:val="single"/>
                </w:rPr>
                <w:t>http://www.cmt.liu.se/?l=en&amp;sc=true</w:t>
              </w:r>
            </w:hyperlink>
            <w:r w:rsidR="00987ADE" w:rsidRPr="00692540">
              <w:rPr>
                <w:rFonts w:ascii="Arial Narrow" w:hAnsi="Arial Narrow"/>
              </w:rPr>
              <w:t xml:space="preserve"> </w:t>
            </w:r>
          </w:p>
        </w:tc>
      </w:tr>
      <w:tr w:rsidR="00987ADE" w:rsidRPr="00692540" w14:paraId="43BE5AC7" w14:textId="77777777" w:rsidTr="00987ADE">
        <w:tc>
          <w:tcPr>
            <w:tcW w:w="4957" w:type="dxa"/>
            <w:shd w:val="clear" w:color="auto" w:fill="auto"/>
          </w:tcPr>
          <w:p w14:paraId="613A5E69" w14:textId="77777777" w:rsidR="00987ADE" w:rsidRPr="00692540" w:rsidRDefault="00987ADE" w:rsidP="00692540">
            <w:pPr>
              <w:keepNext/>
              <w:rPr>
                <w:rFonts w:ascii="Arial Narrow" w:hAnsi="Arial Narrow"/>
              </w:rPr>
            </w:pPr>
            <w:r w:rsidRPr="00692540">
              <w:rPr>
                <w:rFonts w:ascii="Arial Narrow" w:hAnsi="Arial Narrow"/>
                <w:b/>
              </w:rPr>
              <w:t>SWITZERLAND</w:t>
            </w:r>
          </w:p>
        </w:tc>
        <w:tc>
          <w:tcPr>
            <w:tcW w:w="3945" w:type="dxa"/>
            <w:shd w:val="clear" w:color="auto" w:fill="auto"/>
          </w:tcPr>
          <w:p w14:paraId="1744C175" w14:textId="77777777" w:rsidR="00987ADE" w:rsidRPr="00692540" w:rsidRDefault="00987ADE" w:rsidP="00692540">
            <w:pPr>
              <w:keepNext/>
              <w:rPr>
                <w:rFonts w:ascii="Arial Narrow" w:hAnsi="Arial Narrow"/>
                <w:color w:val="0000FF"/>
                <w:u w:val="single"/>
              </w:rPr>
            </w:pPr>
          </w:p>
        </w:tc>
      </w:tr>
      <w:tr w:rsidR="00987ADE" w:rsidRPr="00692540" w14:paraId="48719572" w14:textId="77777777" w:rsidTr="00987ADE">
        <w:tc>
          <w:tcPr>
            <w:tcW w:w="4957" w:type="dxa"/>
            <w:shd w:val="clear" w:color="auto" w:fill="auto"/>
          </w:tcPr>
          <w:p w14:paraId="78AD63C0" w14:textId="77777777" w:rsidR="00987ADE" w:rsidRPr="00692540" w:rsidRDefault="00987ADE" w:rsidP="00692540">
            <w:pPr>
              <w:keepNext/>
              <w:rPr>
                <w:rFonts w:ascii="Arial Narrow" w:hAnsi="Arial Narrow"/>
                <w:b/>
              </w:rPr>
            </w:pPr>
            <w:r w:rsidRPr="00692540">
              <w:rPr>
                <w:rFonts w:ascii="Arial Narrow" w:hAnsi="Arial Narrow"/>
              </w:rPr>
              <w:t xml:space="preserve">Swiss Network on Health Technology Assessment (SNHTA)  </w:t>
            </w:r>
          </w:p>
        </w:tc>
        <w:tc>
          <w:tcPr>
            <w:tcW w:w="3945" w:type="dxa"/>
            <w:shd w:val="clear" w:color="auto" w:fill="auto"/>
          </w:tcPr>
          <w:p w14:paraId="2ED8A653" w14:textId="77777777" w:rsidR="00987ADE" w:rsidRPr="00692540" w:rsidRDefault="004B21EF" w:rsidP="00692540">
            <w:pPr>
              <w:keepNext/>
              <w:rPr>
                <w:rFonts w:ascii="Arial Narrow" w:hAnsi="Arial Narrow"/>
                <w:color w:val="0000FF"/>
                <w:u w:val="single"/>
              </w:rPr>
            </w:pPr>
            <w:hyperlink r:id="rId69" w:history="1">
              <w:r w:rsidR="00987ADE" w:rsidRPr="00692540">
                <w:rPr>
                  <w:rFonts w:ascii="Arial Narrow" w:hAnsi="Arial Narrow"/>
                </w:rPr>
                <w:t>http://www.snhta.ch/</w:t>
              </w:r>
            </w:hyperlink>
          </w:p>
        </w:tc>
      </w:tr>
      <w:tr w:rsidR="00987ADE" w:rsidRPr="00692540" w14:paraId="3D5AFCAB" w14:textId="77777777" w:rsidTr="00987ADE">
        <w:tc>
          <w:tcPr>
            <w:tcW w:w="4957" w:type="dxa"/>
            <w:shd w:val="clear" w:color="auto" w:fill="auto"/>
          </w:tcPr>
          <w:p w14:paraId="487F0158" w14:textId="77777777" w:rsidR="00987ADE" w:rsidRPr="00692540" w:rsidRDefault="00987ADE" w:rsidP="00692540">
            <w:pPr>
              <w:keepNext/>
              <w:rPr>
                <w:rFonts w:ascii="Arial Narrow" w:hAnsi="Arial Narrow"/>
              </w:rPr>
            </w:pPr>
            <w:r w:rsidRPr="00692540">
              <w:rPr>
                <w:rFonts w:ascii="Arial Narrow" w:hAnsi="Arial Narrow"/>
                <w:b/>
              </w:rPr>
              <w:t>UNITED KINGDOM</w:t>
            </w:r>
          </w:p>
        </w:tc>
        <w:tc>
          <w:tcPr>
            <w:tcW w:w="3945" w:type="dxa"/>
            <w:shd w:val="clear" w:color="auto" w:fill="auto"/>
          </w:tcPr>
          <w:p w14:paraId="4B635905" w14:textId="77777777" w:rsidR="00987ADE" w:rsidRPr="00692540" w:rsidRDefault="00987ADE" w:rsidP="00692540">
            <w:pPr>
              <w:keepNext/>
              <w:rPr>
                <w:rFonts w:ascii="Arial Narrow" w:hAnsi="Arial Narrow"/>
                <w:color w:val="0000FF"/>
                <w:u w:val="single"/>
              </w:rPr>
            </w:pPr>
          </w:p>
        </w:tc>
      </w:tr>
      <w:tr w:rsidR="00987ADE" w:rsidRPr="00692540" w14:paraId="109DBACD" w14:textId="77777777" w:rsidTr="00987ADE">
        <w:tc>
          <w:tcPr>
            <w:tcW w:w="4957" w:type="dxa"/>
            <w:shd w:val="clear" w:color="auto" w:fill="auto"/>
          </w:tcPr>
          <w:p w14:paraId="669BFC84" w14:textId="77777777" w:rsidR="00987ADE" w:rsidRPr="00692540" w:rsidRDefault="00987ADE" w:rsidP="00692540">
            <w:pPr>
              <w:keepNext/>
              <w:rPr>
                <w:rFonts w:ascii="Arial Narrow" w:hAnsi="Arial Narrow"/>
                <w:b/>
              </w:rPr>
            </w:pPr>
            <w:r w:rsidRPr="00692540">
              <w:rPr>
                <w:rFonts w:ascii="Arial Narrow" w:hAnsi="Arial Narrow"/>
              </w:rPr>
              <w:t xml:space="preserve">National Health Service Health Technology Assessment (UK) / National Coordinating Centre for Health Technology Assessment (NCCHTA) </w:t>
            </w:r>
          </w:p>
        </w:tc>
        <w:tc>
          <w:tcPr>
            <w:tcW w:w="3945" w:type="dxa"/>
            <w:shd w:val="clear" w:color="auto" w:fill="auto"/>
          </w:tcPr>
          <w:p w14:paraId="09335056" w14:textId="77777777" w:rsidR="00987ADE" w:rsidRPr="00692540" w:rsidRDefault="004B21EF" w:rsidP="00692540">
            <w:pPr>
              <w:keepNext/>
              <w:rPr>
                <w:rFonts w:ascii="Arial Narrow" w:hAnsi="Arial Narrow"/>
                <w:b/>
              </w:rPr>
            </w:pPr>
            <w:hyperlink r:id="rId70" w:history="1">
              <w:r w:rsidR="00987ADE" w:rsidRPr="00FF3AA1">
                <w:rPr>
                  <w:rStyle w:val="Hyperlink"/>
                  <w:rFonts w:ascii="Arial Narrow" w:hAnsi="Arial Narrow"/>
                </w:rPr>
                <w:t>https://www.nihr.ac.uk/funding-and-support/funding-for-research-studies/funding-programmes/health-technology-assessment/</w:t>
              </w:r>
            </w:hyperlink>
            <w:r w:rsidR="00987ADE">
              <w:rPr>
                <w:rFonts w:ascii="Arial Narrow" w:hAnsi="Arial Narrow"/>
              </w:rPr>
              <w:t xml:space="preserve"> </w:t>
            </w:r>
          </w:p>
        </w:tc>
      </w:tr>
      <w:tr w:rsidR="00987ADE" w:rsidRPr="00692540" w14:paraId="510D3389" w14:textId="77777777" w:rsidTr="00987ADE">
        <w:tc>
          <w:tcPr>
            <w:tcW w:w="4957" w:type="dxa"/>
            <w:shd w:val="clear" w:color="auto" w:fill="auto"/>
          </w:tcPr>
          <w:p w14:paraId="0E140FDC" w14:textId="77777777" w:rsidR="00987ADE" w:rsidRPr="00692540" w:rsidRDefault="00987ADE" w:rsidP="00692540">
            <w:pPr>
              <w:keepNext/>
              <w:rPr>
                <w:rFonts w:ascii="Arial Narrow" w:hAnsi="Arial Narrow"/>
              </w:rPr>
            </w:pPr>
            <w:r w:rsidRPr="00692540">
              <w:rPr>
                <w:rFonts w:ascii="Arial Narrow" w:hAnsi="Arial Narrow"/>
              </w:rPr>
              <w:t xml:space="preserve">NHS Quality Improvement Scotland </w:t>
            </w:r>
          </w:p>
        </w:tc>
        <w:tc>
          <w:tcPr>
            <w:tcW w:w="3945" w:type="dxa"/>
            <w:shd w:val="clear" w:color="auto" w:fill="auto"/>
          </w:tcPr>
          <w:p w14:paraId="32B1260B" w14:textId="77777777" w:rsidR="00987ADE" w:rsidRPr="00692540" w:rsidRDefault="004B21EF" w:rsidP="00692540">
            <w:pPr>
              <w:keepNext/>
              <w:rPr>
                <w:rFonts w:ascii="Arial Narrow" w:hAnsi="Arial Narrow"/>
              </w:rPr>
            </w:pPr>
            <w:hyperlink r:id="rId71" w:history="1">
              <w:r w:rsidR="00987ADE" w:rsidRPr="00692540">
                <w:rPr>
                  <w:rFonts w:ascii="Arial Narrow" w:hAnsi="Arial Narrow"/>
                  <w:color w:val="0000FF"/>
                  <w:u w:val="single"/>
                </w:rPr>
                <w:t>http://www.nhshealthquality.org/</w:t>
              </w:r>
            </w:hyperlink>
            <w:r w:rsidR="00987ADE" w:rsidRPr="00692540">
              <w:rPr>
                <w:rFonts w:ascii="Arial Narrow" w:hAnsi="Arial Narrow"/>
              </w:rPr>
              <w:t xml:space="preserve"> </w:t>
            </w:r>
          </w:p>
        </w:tc>
      </w:tr>
      <w:tr w:rsidR="00987ADE" w:rsidRPr="00692540" w14:paraId="79FEF99C" w14:textId="77777777" w:rsidTr="00987ADE">
        <w:tc>
          <w:tcPr>
            <w:tcW w:w="4957" w:type="dxa"/>
            <w:shd w:val="clear" w:color="auto" w:fill="auto"/>
          </w:tcPr>
          <w:p w14:paraId="027EE9D0" w14:textId="77777777" w:rsidR="00987ADE" w:rsidRPr="00692540" w:rsidRDefault="00987ADE" w:rsidP="00692540">
            <w:pPr>
              <w:keepNext/>
              <w:rPr>
                <w:rFonts w:ascii="Arial Narrow" w:hAnsi="Arial Narrow"/>
              </w:rPr>
            </w:pPr>
            <w:r w:rsidRPr="00692540">
              <w:rPr>
                <w:rFonts w:ascii="Arial Narrow" w:hAnsi="Arial Narrow"/>
              </w:rPr>
              <w:t xml:space="preserve">National Institute for Clinical Excellence (NICE) </w:t>
            </w:r>
          </w:p>
        </w:tc>
        <w:tc>
          <w:tcPr>
            <w:tcW w:w="3945" w:type="dxa"/>
            <w:shd w:val="clear" w:color="auto" w:fill="auto"/>
          </w:tcPr>
          <w:p w14:paraId="59DC7846" w14:textId="77777777" w:rsidR="00987ADE" w:rsidRPr="00692540" w:rsidRDefault="004B21EF" w:rsidP="00692540">
            <w:pPr>
              <w:keepNext/>
              <w:rPr>
                <w:rFonts w:ascii="Arial Narrow" w:hAnsi="Arial Narrow"/>
              </w:rPr>
            </w:pPr>
            <w:hyperlink r:id="rId72" w:history="1">
              <w:r w:rsidR="00987ADE" w:rsidRPr="00692540">
                <w:rPr>
                  <w:rFonts w:ascii="Arial Narrow" w:hAnsi="Arial Narrow"/>
                  <w:color w:val="0000FF"/>
                  <w:u w:val="single"/>
                </w:rPr>
                <w:t>http://www.nice.org.uk/</w:t>
              </w:r>
            </w:hyperlink>
          </w:p>
        </w:tc>
      </w:tr>
      <w:tr w:rsidR="00987ADE" w:rsidRPr="00692540" w14:paraId="5A8BE83C" w14:textId="77777777" w:rsidTr="00987ADE">
        <w:tc>
          <w:tcPr>
            <w:tcW w:w="4957" w:type="dxa"/>
            <w:shd w:val="clear" w:color="auto" w:fill="auto"/>
          </w:tcPr>
          <w:p w14:paraId="45BAC0E5" w14:textId="77777777" w:rsidR="00987ADE" w:rsidRPr="00692540" w:rsidRDefault="00987ADE" w:rsidP="00692540">
            <w:pPr>
              <w:keepNext/>
              <w:rPr>
                <w:rFonts w:ascii="Arial Narrow" w:hAnsi="Arial Narrow"/>
              </w:rPr>
            </w:pPr>
            <w:r w:rsidRPr="00692540">
              <w:rPr>
                <w:rFonts w:ascii="Arial Narrow" w:hAnsi="Arial Narrow"/>
              </w:rPr>
              <w:t xml:space="preserve">University of York NHS Centre for Reviews and Dissemination (NHS CRD) </w:t>
            </w:r>
          </w:p>
        </w:tc>
        <w:tc>
          <w:tcPr>
            <w:tcW w:w="3945" w:type="dxa"/>
            <w:shd w:val="clear" w:color="auto" w:fill="auto"/>
          </w:tcPr>
          <w:p w14:paraId="2886E856" w14:textId="77777777" w:rsidR="00987ADE" w:rsidRPr="00692540" w:rsidRDefault="004B21EF" w:rsidP="00692540">
            <w:pPr>
              <w:keepNext/>
              <w:rPr>
                <w:rFonts w:ascii="Arial Narrow" w:hAnsi="Arial Narrow"/>
                <w:color w:val="0000FF"/>
                <w:u w:val="single"/>
              </w:rPr>
            </w:pPr>
            <w:hyperlink r:id="rId73" w:history="1">
              <w:r w:rsidR="00987ADE" w:rsidRPr="00692540">
                <w:rPr>
                  <w:rFonts w:ascii="Arial Narrow" w:hAnsi="Arial Narrow"/>
                </w:rPr>
                <w:t>http://www.york.ac.uk/inst/crd/</w:t>
              </w:r>
            </w:hyperlink>
            <w:r w:rsidR="00987ADE">
              <w:rPr>
                <w:rFonts w:ascii="Arial Narrow" w:hAnsi="Arial Narrow"/>
              </w:rPr>
              <w:t xml:space="preserve"> </w:t>
            </w:r>
          </w:p>
        </w:tc>
      </w:tr>
      <w:tr w:rsidR="00987ADE" w:rsidRPr="00692540" w14:paraId="356C1EF2" w14:textId="77777777" w:rsidTr="00987ADE">
        <w:tc>
          <w:tcPr>
            <w:tcW w:w="4957" w:type="dxa"/>
            <w:shd w:val="clear" w:color="auto" w:fill="auto"/>
          </w:tcPr>
          <w:p w14:paraId="44591A17" w14:textId="77777777" w:rsidR="00987ADE" w:rsidRPr="00692540" w:rsidRDefault="00987ADE" w:rsidP="00692540">
            <w:pPr>
              <w:keepNext/>
              <w:rPr>
                <w:rFonts w:ascii="Arial Narrow" w:hAnsi="Arial Narrow"/>
              </w:rPr>
            </w:pPr>
            <w:r w:rsidRPr="00692540">
              <w:rPr>
                <w:rFonts w:ascii="Arial Narrow" w:hAnsi="Arial Narrow"/>
                <w:b/>
              </w:rPr>
              <w:t>UNITED STATES</w:t>
            </w:r>
          </w:p>
        </w:tc>
        <w:tc>
          <w:tcPr>
            <w:tcW w:w="3945" w:type="dxa"/>
            <w:shd w:val="clear" w:color="auto" w:fill="auto"/>
          </w:tcPr>
          <w:p w14:paraId="294ACB75" w14:textId="77777777" w:rsidR="00987ADE" w:rsidRPr="00692540" w:rsidRDefault="00987ADE" w:rsidP="00692540">
            <w:pPr>
              <w:keepNext/>
              <w:rPr>
                <w:rFonts w:ascii="Arial Narrow" w:hAnsi="Arial Narrow"/>
              </w:rPr>
            </w:pPr>
          </w:p>
        </w:tc>
      </w:tr>
      <w:tr w:rsidR="00987ADE" w:rsidRPr="00692540" w14:paraId="0D549BD5" w14:textId="77777777" w:rsidTr="00987ADE">
        <w:tc>
          <w:tcPr>
            <w:tcW w:w="4957" w:type="dxa"/>
            <w:shd w:val="clear" w:color="auto" w:fill="auto"/>
          </w:tcPr>
          <w:p w14:paraId="0FEC02C8" w14:textId="77777777" w:rsidR="00987ADE" w:rsidRPr="00692540" w:rsidRDefault="00987ADE" w:rsidP="00692540">
            <w:pPr>
              <w:keepNext/>
              <w:rPr>
                <w:rFonts w:ascii="Arial Narrow" w:hAnsi="Arial Narrow"/>
                <w:b/>
              </w:rPr>
            </w:pPr>
            <w:r w:rsidRPr="00692540">
              <w:rPr>
                <w:rFonts w:ascii="Arial Narrow" w:hAnsi="Arial Narrow"/>
              </w:rPr>
              <w:t xml:space="preserve">Agency for Healthcare Research and Quality  (AHRQ) </w:t>
            </w:r>
          </w:p>
        </w:tc>
        <w:tc>
          <w:tcPr>
            <w:tcW w:w="3945" w:type="dxa"/>
            <w:shd w:val="clear" w:color="auto" w:fill="auto"/>
          </w:tcPr>
          <w:p w14:paraId="6C337677" w14:textId="77777777" w:rsidR="00987ADE" w:rsidRPr="00692540" w:rsidRDefault="004B21EF" w:rsidP="00692540">
            <w:pPr>
              <w:keepNext/>
              <w:rPr>
                <w:rFonts w:ascii="Arial Narrow" w:hAnsi="Arial Narrow"/>
                <w:b/>
              </w:rPr>
            </w:pPr>
            <w:hyperlink r:id="rId74" w:history="1">
              <w:r w:rsidR="00987ADE" w:rsidRPr="00692540">
                <w:rPr>
                  <w:rFonts w:ascii="Arial Narrow" w:hAnsi="Arial Narrow"/>
                  <w:color w:val="0000FF"/>
                  <w:u w:val="single"/>
                </w:rPr>
                <w:t>http://www.ahrq.gov/clinic/techix.htm</w:t>
              </w:r>
            </w:hyperlink>
          </w:p>
        </w:tc>
      </w:tr>
      <w:tr w:rsidR="00987ADE" w:rsidRPr="00692540" w14:paraId="4E99C4E6" w14:textId="77777777" w:rsidTr="00987ADE">
        <w:tc>
          <w:tcPr>
            <w:tcW w:w="4957" w:type="dxa"/>
            <w:shd w:val="clear" w:color="auto" w:fill="auto"/>
          </w:tcPr>
          <w:p w14:paraId="01EB03BD" w14:textId="77777777" w:rsidR="00987ADE" w:rsidRPr="00692540" w:rsidRDefault="00987ADE" w:rsidP="00692540">
            <w:pPr>
              <w:keepNext/>
              <w:rPr>
                <w:rFonts w:ascii="Arial Narrow" w:hAnsi="Arial Narrow"/>
              </w:rPr>
            </w:pPr>
            <w:r w:rsidRPr="00692540">
              <w:rPr>
                <w:rFonts w:ascii="Arial Narrow" w:hAnsi="Arial Narrow"/>
              </w:rPr>
              <w:t>Harvard School of Public Health</w:t>
            </w:r>
          </w:p>
        </w:tc>
        <w:tc>
          <w:tcPr>
            <w:tcW w:w="3945" w:type="dxa"/>
            <w:shd w:val="clear" w:color="auto" w:fill="auto"/>
          </w:tcPr>
          <w:p w14:paraId="2FFB1678" w14:textId="77777777" w:rsidR="00987ADE" w:rsidRPr="00692540" w:rsidRDefault="004B21EF" w:rsidP="00692540">
            <w:pPr>
              <w:keepNext/>
              <w:rPr>
                <w:rFonts w:ascii="Arial Narrow" w:hAnsi="Arial Narrow"/>
              </w:rPr>
            </w:pPr>
            <w:hyperlink r:id="rId75" w:history="1">
              <w:r w:rsidR="00987ADE" w:rsidRPr="00692540">
                <w:rPr>
                  <w:rFonts w:ascii="Arial Narrow" w:hAnsi="Arial Narrow"/>
                  <w:color w:val="0000FF"/>
                  <w:u w:val="single"/>
                </w:rPr>
                <w:t>http://www.hsph.harvard.edu/</w:t>
              </w:r>
            </w:hyperlink>
          </w:p>
        </w:tc>
      </w:tr>
      <w:tr w:rsidR="00987ADE" w:rsidRPr="00692540" w14:paraId="43764A04" w14:textId="77777777" w:rsidTr="00987ADE">
        <w:tc>
          <w:tcPr>
            <w:tcW w:w="4957" w:type="dxa"/>
            <w:shd w:val="clear" w:color="auto" w:fill="auto"/>
          </w:tcPr>
          <w:p w14:paraId="7C238B16" w14:textId="77777777" w:rsidR="00987ADE" w:rsidRPr="00692540" w:rsidRDefault="00987ADE" w:rsidP="00692540">
            <w:pPr>
              <w:keepNext/>
              <w:rPr>
                <w:rFonts w:ascii="Arial Narrow" w:hAnsi="Arial Narrow"/>
              </w:rPr>
            </w:pPr>
            <w:r w:rsidRPr="00692540">
              <w:rPr>
                <w:rFonts w:ascii="Arial Narrow" w:hAnsi="Arial Narrow"/>
              </w:rPr>
              <w:t>National Information Centre of Health Services Research and Health Care Technology (US)</w:t>
            </w:r>
          </w:p>
        </w:tc>
        <w:tc>
          <w:tcPr>
            <w:tcW w:w="3945" w:type="dxa"/>
            <w:shd w:val="clear" w:color="auto" w:fill="auto"/>
          </w:tcPr>
          <w:p w14:paraId="7A9BBB88" w14:textId="77777777" w:rsidR="00987ADE" w:rsidRPr="00692540" w:rsidRDefault="004B21EF" w:rsidP="00692540">
            <w:pPr>
              <w:keepNext/>
              <w:rPr>
                <w:rFonts w:ascii="Arial Narrow" w:hAnsi="Arial Narrow"/>
                <w:color w:val="0000FF"/>
                <w:u w:val="single"/>
              </w:rPr>
            </w:pPr>
            <w:hyperlink r:id="rId76" w:history="1">
              <w:r w:rsidR="00987ADE" w:rsidRPr="00FF3AA1">
                <w:rPr>
                  <w:rStyle w:val="Hyperlink"/>
                  <w:rFonts w:ascii="Arial Narrow" w:hAnsi="Arial Narrow"/>
                </w:rPr>
                <w:t>http://www.nlm.nih.gov/hsrph.html</w:t>
              </w:r>
            </w:hyperlink>
            <w:r w:rsidR="00987ADE">
              <w:rPr>
                <w:rFonts w:ascii="Arial Narrow" w:hAnsi="Arial Narrow"/>
              </w:rPr>
              <w:t xml:space="preserve"> </w:t>
            </w:r>
          </w:p>
        </w:tc>
      </w:tr>
      <w:tr w:rsidR="00987ADE" w:rsidRPr="00692540" w14:paraId="231586B2" w14:textId="77777777" w:rsidTr="00987ADE">
        <w:tc>
          <w:tcPr>
            <w:tcW w:w="4957" w:type="dxa"/>
            <w:shd w:val="clear" w:color="auto" w:fill="auto"/>
          </w:tcPr>
          <w:p w14:paraId="2C024DCD" w14:textId="77777777" w:rsidR="00987ADE" w:rsidRPr="00692540" w:rsidRDefault="00987ADE" w:rsidP="00692540">
            <w:pPr>
              <w:keepNext/>
              <w:rPr>
                <w:rFonts w:ascii="Arial Narrow" w:hAnsi="Arial Narrow"/>
              </w:rPr>
            </w:pPr>
            <w:r w:rsidRPr="00692540">
              <w:rPr>
                <w:rFonts w:ascii="Arial Narrow" w:hAnsi="Arial Narrow"/>
              </w:rPr>
              <w:t>Veteran’s Affairs Research and Development Technology Assessment Program (US)</w:t>
            </w:r>
          </w:p>
        </w:tc>
        <w:tc>
          <w:tcPr>
            <w:tcW w:w="3945" w:type="dxa"/>
            <w:shd w:val="clear" w:color="auto" w:fill="auto"/>
          </w:tcPr>
          <w:p w14:paraId="6F6F7CD9" w14:textId="77777777" w:rsidR="00987ADE" w:rsidRPr="00692540" w:rsidRDefault="004B21EF" w:rsidP="00692540">
            <w:pPr>
              <w:keepNext/>
              <w:rPr>
                <w:rFonts w:ascii="Arial Narrow" w:hAnsi="Arial Narrow"/>
                <w:color w:val="0000FF"/>
                <w:u w:val="single"/>
              </w:rPr>
            </w:pPr>
            <w:hyperlink r:id="rId77" w:history="1">
              <w:r w:rsidR="00987ADE" w:rsidRPr="00692540">
                <w:rPr>
                  <w:rFonts w:ascii="Arial Narrow" w:hAnsi="Arial Narrow"/>
                  <w:color w:val="0000FF"/>
                  <w:u w:val="single"/>
                </w:rPr>
                <w:t>http://www.research.va.gov/default.cfm</w:t>
              </w:r>
            </w:hyperlink>
          </w:p>
        </w:tc>
      </w:tr>
    </w:tbl>
    <w:p w14:paraId="0BDD29DE" w14:textId="77777777" w:rsidR="00ED65EE" w:rsidRPr="00183E4D" w:rsidRDefault="00ED65EE" w:rsidP="00ED65EE"/>
    <w:p w14:paraId="3E9BDCE6" w14:textId="77777777" w:rsidR="00ED65EE" w:rsidRPr="00183E4D" w:rsidRDefault="00ED65EE" w:rsidP="00ED65EE">
      <w:pPr>
        <w:pStyle w:val="Heading1"/>
        <w:jc w:val="both"/>
        <w:sectPr w:rsidR="00ED65EE" w:rsidRPr="00183E4D" w:rsidSect="001229D7">
          <w:footerReference w:type="even" r:id="rId78"/>
          <w:type w:val="oddPage"/>
          <w:pgSz w:w="11906" w:h="16838"/>
          <w:pgMar w:top="1440" w:right="1440" w:bottom="1440" w:left="1440" w:header="720" w:footer="720" w:gutter="0"/>
          <w:paperSrc w:first="7" w:other="7"/>
          <w:cols w:space="720"/>
        </w:sectPr>
      </w:pPr>
      <w:bookmarkStart w:id="623" w:name="_Ref170808567"/>
      <w:bookmarkStart w:id="624" w:name="_Toc460813781"/>
      <w:bookmarkStart w:id="625" w:name="_Ref170792604"/>
    </w:p>
    <w:p w14:paraId="7C7646AE" w14:textId="57377CA3" w:rsidR="00ED65EE" w:rsidRPr="00183E4D" w:rsidRDefault="00ED65EE" w:rsidP="00ED65EE">
      <w:pPr>
        <w:pStyle w:val="Heading1"/>
        <w:jc w:val="both"/>
      </w:pPr>
      <w:bookmarkStart w:id="626" w:name="_Ref364237249"/>
      <w:bookmarkStart w:id="627" w:name="_Ref190841600"/>
      <w:bookmarkStart w:id="628" w:name="_Toc379118101"/>
      <w:bookmarkStart w:id="629" w:name="_Toc381796504"/>
      <w:bookmarkStart w:id="630" w:name="_Toc39588393"/>
      <w:bookmarkEnd w:id="623"/>
      <w:r w:rsidRPr="00183E4D">
        <w:lastRenderedPageBreak/>
        <w:t xml:space="preserve">Appendix </w:t>
      </w:r>
      <w:r w:rsidR="00E66384">
        <w:rPr>
          <w:noProof/>
        </w:rPr>
        <w:fldChar w:fldCharType="begin"/>
      </w:r>
      <w:r w:rsidR="00E66384">
        <w:rPr>
          <w:noProof/>
        </w:rPr>
        <w:instrText xml:space="preserve"> SEQ Appendix \* ALPHABETIC </w:instrText>
      </w:r>
      <w:r w:rsidR="00E66384">
        <w:rPr>
          <w:noProof/>
        </w:rPr>
        <w:fldChar w:fldCharType="separate"/>
      </w:r>
      <w:r w:rsidR="005E0404">
        <w:rPr>
          <w:noProof/>
        </w:rPr>
        <w:t>C</w:t>
      </w:r>
      <w:r w:rsidR="00E66384">
        <w:rPr>
          <w:noProof/>
        </w:rPr>
        <w:fldChar w:fldCharType="end"/>
      </w:r>
      <w:bookmarkEnd w:id="626"/>
      <w:r w:rsidRPr="00183E4D">
        <w:tab/>
        <w:t>Studies included in the Systematic Review</w:t>
      </w:r>
      <w:bookmarkEnd w:id="624"/>
      <w:bookmarkEnd w:id="625"/>
      <w:bookmarkEnd w:id="627"/>
      <w:bookmarkEnd w:id="628"/>
      <w:bookmarkEnd w:id="629"/>
      <w:bookmarkEnd w:id="630"/>
      <w:r w:rsidRPr="00183E4D">
        <w:t xml:space="preserve"> </w:t>
      </w:r>
    </w:p>
    <w:p w14:paraId="60828D53" w14:textId="020B5AE6" w:rsidR="00085515" w:rsidRDefault="00E96E0A" w:rsidP="00E96E0A">
      <w:pPr>
        <w:pStyle w:val="Caption"/>
      </w:pPr>
      <w:bookmarkStart w:id="631" w:name="_Toc39580878"/>
      <w:bookmarkStart w:id="632" w:name="_Ref30684823"/>
      <w:bookmarkStart w:id="633" w:name="_Toc381796505"/>
      <w:r>
        <w:t xml:space="preserve">Table </w:t>
      </w:r>
      <w:fldSimple w:instr=" SEQ Table \* ARABIC ">
        <w:r w:rsidR="00FA7BCD">
          <w:rPr>
            <w:noProof/>
          </w:rPr>
          <w:t>97</w:t>
        </w:r>
      </w:fldSimple>
      <w:r>
        <w:tab/>
      </w:r>
      <w:r w:rsidRPr="00183E4D">
        <w:t xml:space="preserve">Profiles of </w:t>
      </w:r>
      <w:r>
        <w:t>systematic reviews</w:t>
      </w:r>
      <w:r w:rsidRPr="00183E4D">
        <w:t xml:space="preserve"> on </w:t>
      </w:r>
      <w:r>
        <w:t>AQP4-Ab and MOG-Ab testing for diagnosis and monitoring of NMOSD</w:t>
      </w:r>
      <w:r w:rsidRPr="00183E4D">
        <w:t xml:space="preserve"> included in the systematic literature review</w:t>
      </w:r>
      <w:bookmarkEnd w:id="631"/>
    </w:p>
    <w:tbl>
      <w:tblPr>
        <w:tblStyle w:val="TableGrid1"/>
        <w:tblW w:w="145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Caption w:val="Table 97"/>
        <w:tblDescription w:val="Profiles of systematic reviews on AQP4-Ab and MOG-Ab testing for diagnosis and monitoring of NMOSD included in the systematic literature review"/>
      </w:tblPr>
      <w:tblGrid>
        <w:gridCol w:w="1335"/>
        <w:gridCol w:w="1476"/>
        <w:gridCol w:w="1576"/>
        <w:gridCol w:w="1984"/>
        <w:gridCol w:w="1843"/>
        <w:gridCol w:w="1701"/>
        <w:gridCol w:w="1276"/>
        <w:gridCol w:w="1134"/>
        <w:gridCol w:w="2268"/>
      </w:tblGrid>
      <w:tr w:rsidR="00E96E0A" w:rsidRPr="00106312" w14:paraId="7BD815A5" w14:textId="77777777" w:rsidTr="00543113">
        <w:trPr>
          <w:cnfStyle w:val="100000000000" w:firstRow="1" w:lastRow="0" w:firstColumn="0" w:lastColumn="0" w:oddVBand="0" w:evenVBand="0" w:oddHBand="0" w:evenHBand="0" w:firstRowFirstColumn="0" w:firstRowLastColumn="0" w:lastRowFirstColumn="0" w:lastRowLastColumn="0"/>
        </w:trPr>
        <w:tc>
          <w:tcPr>
            <w:tcW w:w="13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B749CC5"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Study ID</w:t>
            </w:r>
          </w:p>
          <w:p w14:paraId="13AEEF76"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Country</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92536B1"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Study Design</w:t>
            </w:r>
          </w:p>
          <w:p w14:paraId="63B00050"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Level of evidence</w:t>
            </w:r>
          </w:p>
          <w:p w14:paraId="7208D8FF"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Risk of bias</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879A9F8"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Sample Size (n)</w:t>
            </w:r>
          </w:p>
          <w:p w14:paraId="4E7A6855"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Study setting</w:t>
            </w:r>
          </w:p>
          <w:p w14:paraId="49016B88"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Mean age (y)</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6871466"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Inclusion criteria</w:t>
            </w:r>
            <w:r>
              <w:rPr>
                <w:rFonts w:ascii="Arial Narrow" w:hAnsi="Arial Narrow" w:cs="Times New Roman"/>
                <w:b/>
                <w:sz w:val="16"/>
                <w:szCs w:val="16"/>
              </w:rPr>
              <w:t xml:space="preserve"> (and population description)</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7267EA6"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Exclusion criteria</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AD567DE"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Intervention</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FE8704"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Comparator</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A8E7659"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Outcomes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65F22A0"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Source of funding</w:t>
            </w:r>
          </w:p>
          <w:p w14:paraId="3AC03C5A" w14:textId="77777777" w:rsidR="00E96E0A" w:rsidRPr="00106312" w:rsidRDefault="00E96E0A" w:rsidP="00543113">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Conflicts of interest</w:t>
            </w:r>
          </w:p>
        </w:tc>
      </w:tr>
      <w:tr w:rsidR="00E96E0A" w:rsidRPr="00106312" w14:paraId="312AF937" w14:textId="77777777" w:rsidTr="00543113">
        <w:tc>
          <w:tcPr>
            <w:tcW w:w="13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A31520C" w14:textId="4539BA96" w:rsidR="003E265F" w:rsidRDefault="003E265F" w:rsidP="00543113">
            <w:pPr>
              <w:spacing w:before="30" w:after="30"/>
              <w:ind w:right="60"/>
              <w:jc w:val="left"/>
              <w:rPr>
                <w:rFonts w:ascii="Arial Narrow" w:hAnsi="Arial Narrow" w:cs="Times New Roman"/>
                <w:sz w:val="16"/>
                <w:szCs w:val="16"/>
              </w:rPr>
            </w:pPr>
            <w:r>
              <w:rPr>
                <w:rFonts w:ascii="Arial Narrow" w:hAnsi="Arial Narrow" w:cs="Times New Roman"/>
                <w:sz w:val="16"/>
                <w:szCs w:val="16"/>
              </w:rPr>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rPr>
                <w:rFonts w:ascii="Arial Narrow" w:hAnsi="Arial Narrow" w:cs="Times New Roman"/>
                <w:sz w:val="16"/>
                <w:szCs w:val="16"/>
              </w:rPr>
              <w:instrText xml:space="preserve"> ADDIN EN.CITE </w:instrText>
            </w:r>
            <w:r w:rsidR="00511EDB">
              <w:rPr>
                <w:rFonts w:ascii="Arial Narrow" w:hAnsi="Arial Narrow" w:cs="Times New Roman"/>
                <w:sz w:val="16"/>
                <w:szCs w:val="16"/>
              </w:rPr>
              <w:fldChar w:fldCharType="begin">
                <w:fldData xml:space="preserve">PEVuZE5vdGU+PENpdGU+PEF1dGhvcj5HYW88L0F1dGhvcj48WWVhcj4yMDE5PC9ZZWFyPjxSZWNO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</w:fldData>
              </w:fldChar>
            </w:r>
            <w:r w:rsidR="00511EDB">
              <w:rPr>
                <w:rFonts w:ascii="Arial Narrow" w:hAnsi="Arial Narrow" w:cs="Times New Roman"/>
                <w:sz w:val="16"/>
                <w:szCs w:val="16"/>
              </w:rPr>
              <w:instrText xml:space="preserve"> ADDIN EN.CITE.DATA </w:instrText>
            </w:r>
            <w:r w:rsidR="00511EDB">
              <w:rPr>
                <w:rFonts w:ascii="Arial Narrow" w:hAnsi="Arial Narrow" w:cs="Times New Roman"/>
                <w:sz w:val="16"/>
                <w:szCs w:val="16"/>
              </w:rPr>
            </w:r>
            <w:r w:rsidR="00511EDB">
              <w:rPr>
                <w:rFonts w:ascii="Arial Narrow" w:hAnsi="Arial Narrow" w:cs="Times New Roman"/>
                <w:sz w:val="16"/>
                <w:szCs w:val="16"/>
              </w:rPr>
              <w:fldChar w:fldCharType="end"/>
            </w:r>
            <w:r>
              <w:rPr>
                <w:rFonts w:ascii="Arial Narrow" w:hAnsi="Arial Narrow" w:cs="Times New Roman"/>
                <w:sz w:val="16"/>
                <w:szCs w:val="16"/>
              </w:rPr>
            </w:r>
            <w:r>
              <w:rPr>
                <w:rFonts w:ascii="Arial Narrow" w:hAnsi="Arial Narrow" w:cs="Times New Roman"/>
                <w:sz w:val="16"/>
                <w:szCs w:val="16"/>
              </w:rPr>
              <w:fldChar w:fldCharType="separate"/>
            </w:r>
            <w:r w:rsidR="00511EDB">
              <w:rPr>
                <w:rFonts w:ascii="Arial Narrow" w:hAnsi="Arial Narrow" w:cs="Times New Roman"/>
                <w:noProof/>
                <w:sz w:val="16"/>
                <w:szCs w:val="16"/>
              </w:rPr>
              <w:t>(Gao et al. 2019)</w:t>
            </w:r>
            <w:r>
              <w:rPr>
                <w:rFonts w:ascii="Arial Narrow" w:hAnsi="Arial Narrow" w:cs="Times New Roman"/>
                <w:sz w:val="16"/>
                <w:szCs w:val="16"/>
              </w:rPr>
              <w:fldChar w:fldCharType="end"/>
            </w:r>
          </w:p>
          <w:p w14:paraId="7DEEAA64" w14:textId="4FE4DE4F"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Multiple</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80BCD24"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Systematic review</w:t>
            </w:r>
          </w:p>
          <w:p w14:paraId="07C9C003"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IV</w:t>
            </w:r>
          </w:p>
          <w:p w14:paraId="61D7F613"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High</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5081F94"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577</w:t>
            </w:r>
          </w:p>
          <w:p w14:paraId="13B04117"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Was not reported</w:t>
            </w:r>
          </w:p>
          <w:p w14:paraId="6BBDDE67"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41.1</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0A0775"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NMO irrespective of whether they had received treatment before</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1CCFF07"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Case reports and studies that included fewer than 2 patients, review, meta-analysis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0607C33"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Rituximab</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0895D0A"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Not reported</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0C2F811"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Therapeutic effectiveness (RTX)</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2B36532"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No funding was received</w:t>
            </w:r>
          </w:p>
          <w:p w14:paraId="473E03F7"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Authors declare that there is no conflict of interest</w:t>
            </w:r>
          </w:p>
        </w:tc>
      </w:tr>
      <w:tr w:rsidR="00E96E0A" w:rsidRPr="00106312" w14:paraId="7E3D0014" w14:textId="77777777" w:rsidTr="00543113">
        <w:tc>
          <w:tcPr>
            <w:tcW w:w="13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8A78EB1"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fldChar w:fldCharType="begin">
                <w:fldData xml:space="preserve">PEVuZE5vdGU+PENpdGU+PEF1dGhvcj5MaW48L0F1dGhvcj48WWVhcj4yMDE3PC9ZZWFyPjxSZWNO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</w:fldData>
              </w:fldChar>
            </w:r>
            <w:r w:rsidR="00AC01FD">
              <w:rPr>
                <w:rFonts w:ascii="Arial Narrow" w:hAnsi="Arial Narrow" w:cs="Times New Roman"/>
                <w:sz w:val="16"/>
                <w:szCs w:val="16"/>
              </w:rPr>
              <w:instrText xml:space="preserve"> ADDIN EN.CITE </w:instrText>
            </w:r>
            <w:r w:rsidR="00AC01FD">
              <w:rPr>
                <w:rFonts w:ascii="Arial Narrow" w:hAnsi="Arial Narrow" w:cs="Times New Roman"/>
                <w:sz w:val="16"/>
                <w:szCs w:val="16"/>
              </w:rPr>
              <w:fldChar w:fldCharType="begin">
                <w:fldData xml:space="preserve">PEVuZE5vdGU+PENpdGU+PEF1dGhvcj5MaW48L0F1dGhvcj48WWVhcj4yMDE3PC9ZZWFyPjxSZWNO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</w:fldData>
              </w:fldChar>
            </w:r>
            <w:r w:rsidR="00AC01FD">
              <w:rPr>
                <w:rFonts w:ascii="Arial Narrow" w:hAnsi="Arial Narrow" w:cs="Times New Roman"/>
                <w:sz w:val="16"/>
                <w:szCs w:val="16"/>
              </w:rPr>
              <w:instrText xml:space="preserve"> ADDIN EN.CITE.DATA </w:instrText>
            </w:r>
            <w:r w:rsidR="00AC01FD">
              <w:rPr>
                <w:rFonts w:ascii="Arial Narrow" w:hAnsi="Arial Narrow" w:cs="Times New Roman"/>
                <w:sz w:val="16"/>
                <w:szCs w:val="16"/>
              </w:rPr>
            </w:r>
            <w:r w:rsidR="00AC01FD">
              <w:rPr>
                <w:rFonts w:ascii="Arial Narrow" w:hAnsi="Arial Narrow" w:cs="Times New Roman"/>
                <w:sz w:val="16"/>
                <w:szCs w:val="16"/>
              </w:rPr>
              <w:fldChar w:fldCharType="end"/>
            </w:r>
            <w:r w:rsidRPr="00543113">
              <w:rPr>
                <w:rFonts w:ascii="Arial Narrow" w:hAnsi="Arial Narrow" w:cs="Times New Roman"/>
                <w:sz w:val="16"/>
                <w:szCs w:val="16"/>
              </w:rPr>
            </w:r>
            <w:r w:rsidRPr="00543113">
              <w:rPr>
                <w:rFonts w:ascii="Arial Narrow" w:hAnsi="Arial Narrow" w:cs="Times New Roman"/>
                <w:sz w:val="16"/>
                <w:szCs w:val="16"/>
              </w:rPr>
              <w:fldChar w:fldCharType="separate"/>
            </w:r>
            <w:r w:rsidRPr="00543113">
              <w:rPr>
                <w:rFonts w:ascii="Arial Narrow" w:hAnsi="Arial Narrow" w:cs="Times New Roman"/>
                <w:noProof/>
                <w:sz w:val="16"/>
                <w:szCs w:val="16"/>
              </w:rPr>
              <w:t>(Lin, N et al. 2017)</w:t>
            </w:r>
            <w:r w:rsidRPr="00543113">
              <w:rPr>
                <w:rFonts w:ascii="Arial Narrow" w:hAnsi="Arial Narrow" w:cs="Times New Roman"/>
                <w:sz w:val="16"/>
                <w:szCs w:val="16"/>
              </w:rPr>
              <w:fldChar w:fldCharType="end"/>
            </w:r>
          </w:p>
          <w:p w14:paraId="2F1A02BB"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Europe and Asia, multiple</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3E77F07"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Systematic review</w:t>
            </w:r>
          </w:p>
          <w:p w14:paraId="3300E0C6"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I</w:t>
            </w:r>
          </w:p>
          <w:p w14:paraId="43BBCC5E"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69C1415"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1198</w:t>
            </w:r>
          </w:p>
          <w:p w14:paraId="7CBB2C9D"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Hospital clinics</w:t>
            </w:r>
          </w:p>
          <w:p w14:paraId="33AB6BB6"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NA</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24FF584"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original article of cohort design; NMO defined according to 1999 or 2006 criteria, AQP4-Ab status known; visual outcome was reported; English language articles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08A9EF8"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literature reviews; abstracts; meeting proceedings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1017E04"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AQP4-Ab testing</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14C24D6"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No testing</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12E073A"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Prognosis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DD7FBB0"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National Natural Science Foundation of China (No. 61302030 and No. 81271322) and the Research Fund of Doctoral Program for Higher Education (No. 220122105110002)</w:t>
            </w:r>
          </w:p>
          <w:p w14:paraId="51DF4A94" w14:textId="77777777" w:rsidR="00E96E0A" w:rsidRPr="00543113" w:rsidRDefault="00E96E0A" w:rsidP="00543113">
            <w:pPr>
              <w:spacing w:before="30" w:after="30"/>
              <w:ind w:right="60"/>
              <w:jc w:val="left"/>
              <w:rPr>
                <w:rFonts w:ascii="Arial Narrow" w:hAnsi="Arial Narrow" w:cs="Times New Roman"/>
                <w:sz w:val="16"/>
                <w:szCs w:val="16"/>
              </w:rPr>
            </w:pPr>
            <w:r w:rsidRPr="00543113">
              <w:rPr>
                <w:rFonts w:ascii="Arial Narrow" w:hAnsi="Arial Narrow" w:cs="Times New Roman"/>
                <w:sz w:val="16"/>
                <w:szCs w:val="16"/>
              </w:rPr>
              <w:t>Authors reported that there was no conflicts</w:t>
            </w:r>
          </w:p>
        </w:tc>
      </w:tr>
    </w:tbl>
    <w:p w14:paraId="05390A30" w14:textId="77777777" w:rsidR="00E96E0A" w:rsidRDefault="00543113" w:rsidP="00543113">
      <w:pPr>
        <w:pStyle w:val="Tablenotes0"/>
      </w:pPr>
      <w:r>
        <w:t>AQP4-Ab = aquaporin 4 antibodies; MOG-Ab = myelin oligodendrocyte glycoprotein antibodies; NA = not available; NMOSD = neuromyelitis optica spectrum disorders; NMO = neuromyelitis optica; RTX = rituximab</w:t>
      </w:r>
    </w:p>
    <w:p w14:paraId="78487DEB" w14:textId="77777777" w:rsidR="00706BE3" w:rsidRDefault="00706BE3" w:rsidP="00543113">
      <w:pPr>
        <w:pStyle w:val="Tablenotes0"/>
      </w:pPr>
    </w:p>
    <w:p w14:paraId="1013A034" w14:textId="0F6721BF" w:rsidR="00ED65EE" w:rsidRPr="00183E4D" w:rsidRDefault="00DE3014" w:rsidP="00085515">
      <w:pPr>
        <w:pStyle w:val="Caption"/>
        <w:keepLines/>
      </w:pPr>
      <w:bookmarkStart w:id="634" w:name="_Toc39580879"/>
      <w:r>
        <w:t xml:space="preserve">Table </w:t>
      </w:r>
      <w:fldSimple w:instr=" SEQ Table \* ARABIC ">
        <w:r w:rsidR="00FA7BCD">
          <w:rPr>
            <w:noProof/>
          </w:rPr>
          <w:t>98</w:t>
        </w:r>
      </w:fldSimple>
      <w:bookmarkEnd w:id="632"/>
      <w:r>
        <w:tab/>
      </w:r>
      <w:r w:rsidR="00ED65EE" w:rsidRPr="00183E4D">
        <w:t xml:space="preserve">Profiles of </w:t>
      </w:r>
      <w:r w:rsidR="00BB7633">
        <w:t xml:space="preserve">primary </w:t>
      </w:r>
      <w:r w:rsidR="00ED65EE" w:rsidRPr="00183E4D">
        <w:t>studies on</w:t>
      </w:r>
      <w:bookmarkEnd w:id="633"/>
      <w:r w:rsidR="00ED65EE" w:rsidRPr="00183E4D">
        <w:t xml:space="preserve"> </w:t>
      </w:r>
      <w:r w:rsidR="00085515">
        <w:t>A</w:t>
      </w:r>
      <w:r w:rsidR="00E96E0A">
        <w:t>QP</w:t>
      </w:r>
      <w:r w:rsidR="00085515">
        <w:t>4-Ab and MOG-Ab testing for diagnosis and monitoring of NMOSD</w:t>
      </w:r>
      <w:r w:rsidR="00ED65EE" w:rsidRPr="00183E4D">
        <w:t xml:space="preserve"> included in the systematic literature review</w:t>
      </w:r>
      <w:bookmarkEnd w:id="634"/>
    </w:p>
    <w:tbl>
      <w:tblPr>
        <w:tblStyle w:val="TableGrid1"/>
        <w:tblW w:w="14459" w:type="dxa"/>
        <w:tblInd w:w="134"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Caption w:val="Table 98"/>
        <w:tblDescription w:val="Profiles of primary studies on AQP4-Ab and MOG-Ab testing for diagnosis and monitoring of NMOSD included in the systematic literature review"/>
      </w:tblPr>
      <w:tblGrid>
        <w:gridCol w:w="1201"/>
        <w:gridCol w:w="1476"/>
        <w:gridCol w:w="1576"/>
        <w:gridCol w:w="1984"/>
        <w:gridCol w:w="1843"/>
        <w:gridCol w:w="1701"/>
        <w:gridCol w:w="1276"/>
        <w:gridCol w:w="1134"/>
        <w:gridCol w:w="2268"/>
      </w:tblGrid>
      <w:tr w:rsidR="00106312" w:rsidRPr="00106312" w14:paraId="1552C28D" w14:textId="77777777" w:rsidTr="00A400A2">
        <w:trPr>
          <w:cnfStyle w:val="100000000000" w:firstRow="1" w:lastRow="0" w:firstColumn="0" w:lastColumn="0" w:oddVBand="0" w:evenVBand="0" w:oddHBand="0" w:evenHBand="0" w:firstRowFirstColumn="0" w:firstRowLastColumn="0" w:lastRowFirstColumn="0" w:lastRowLastColumn="0"/>
        </w:trPr>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BF599DF" w14:textId="77777777" w:rsidR="00106312" w:rsidRPr="00106312" w:rsidRDefault="00106312" w:rsidP="00085515">
            <w:pPr>
              <w:keepNext/>
              <w:keepLines/>
              <w:spacing w:before="30" w:after="30"/>
              <w:ind w:right="60"/>
              <w:jc w:val="left"/>
              <w:rPr>
                <w:rFonts w:ascii="Arial Narrow" w:hAnsi="Arial Narrow" w:cs="Times New Roman"/>
                <w:b/>
                <w:sz w:val="16"/>
                <w:szCs w:val="16"/>
              </w:rPr>
            </w:pPr>
            <w:bookmarkStart w:id="635" w:name="_Ref192056948"/>
            <w:bookmarkStart w:id="636" w:name="_Ref169423889"/>
            <w:r w:rsidRPr="00106312">
              <w:rPr>
                <w:rFonts w:ascii="Arial Narrow" w:hAnsi="Arial Narrow" w:cs="Times New Roman"/>
                <w:b/>
                <w:sz w:val="16"/>
                <w:szCs w:val="16"/>
              </w:rPr>
              <w:t>Study ID</w:t>
            </w:r>
          </w:p>
          <w:p w14:paraId="781CD594"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Country</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53A793E"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Study Design</w:t>
            </w:r>
          </w:p>
          <w:p w14:paraId="2F49F759"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Level of evidence</w:t>
            </w:r>
          </w:p>
          <w:p w14:paraId="43A2D12C"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Risk of bias</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83F5588"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Sample Size (n)</w:t>
            </w:r>
          </w:p>
          <w:p w14:paraId="10C1265D"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Study setting</w:t>
            </w:r>
          </w:p>
          <w:p w14:paraId="5CE97D19"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Mean age (y)</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4711495"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Inclusion criteria</w:t>
            </w:r>
            <w:r w:rsidR="00085515">
              <w:rPr>
                <w:rFonts w:ascii="Arial Narrow" w:hAnsi="Arial Narrow" w:cs="Times New Roman"/>
                <w:b/>
                <w:sz w:val="16"/>
                <w:szCs w:val="16"/>
              </w:rPr>
              <w:t xml:space="preserve"> (and population description)</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12F4C35"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Exclusion criteria</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E8B49F3"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Intervention</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0A0A7B4"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Comparator</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E4E5ABF"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Outcomes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EFC5C58"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Source of funding</w:t>
            </w:r>
          </w:p>
          <w:p w14:paraId="526F5D15" w14:textId="77777777" w:rsidR="00106312" w:rsidRPr="00106312" w:rsidRDefault="00106312" w:rsidP="00085515">
            <w:pPr>
              <w:keepNext/>
              <w:keepLines/>
              <w:spacing w:before="30" w:after="30"/>
              <w:ind w:right="60"/>
              <w:jc w:val="left"/>
              <w:rPr>
                <w:rFonts w:ascii="Arial Narrow" w:hAnsi="Arial Narrow" w:cs="Times New Roman"/>
                <w:b/>
                <w:sz w:val="16"/>
                <w:szCs w:val="16"/>
              </w:rPr>
            </w:pPr>
            <w:r w:rsidRPr="00106312">
              <w:rPr>
                <w:rFonts w:ascii="Arial Narrow" w:hAnsi="Arial Narrow" w:cs="Times New Roman"/>
                <w:b/>
                <w:sz w:val="16"/>
                <w:szCs w:val="16"/>
              </w:rPr>
              <w:t>Conflicts of interest</w:t>
            </w:r>
          </w:p>
        </w:tc>
      </w:tr>
      <w:tr w:rsidR="00106312" w:rsidRPr="00106312" w14:paraId="2F12301D"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2FE5F7C" w14:textId="654B5A48"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PEVuZE5vdGU+PENpdGU+PEF1dGhvcj5Ba21hbi1EZW1pcjwvQXV0aG9yPjxZZWFyPjIwMTE8L1ll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(Akman-Demir et al. 2011)</w:t>
            </w:r>
            <w:r w:rsidRPr="00106312">
              <w:rPr>
                <w:rFonts w:ascii="Arial Narrow" w:hAnsi="Arial Narrow" w:cs="Times New Roman"/>
                <w:sz w:val="16"/>
                <w:szCs w:val="16"/>
              </w:rPr>
              <w:fldChar w:fldCharType="end"/>
            </w:r>
          </w:p>
          <w:p w14:paraId="13A1DDBC"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Turkey</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3C425ED"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56EFCA84"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4839067D"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EBACFC3"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35</w:t>
            </w:r>
          </w:p>
          <w:p w14:paraId="6FC14A52"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MS and Myelin Disorders Unit</w:t>
            </w:r>
          </w:p>
          <w:p w14:paraId="654D2DDD"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33.1</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CE55DB6"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NMO</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648F491"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concomitant disease</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7DB5CA2"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EDSS</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57D734A"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 reported</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8BCBFD0"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Time to diagnosis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C1777EA"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 reported</w:t>
            </w:r>
          </w:p>
          <w:p w14:paraId="7B600E51" w14:textId="77777777" w:rsidR="00106312" w:rsidRPr="00106312" w:rsidRDefault="00106312" w:rsidP="00085515">
            <w:pPr>
              <w:keepNext/>
              <w:keepLines/>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 reported</w:t>
            </w:r>
          </w:p>
        </w:tc>
      </w:tr>
      <w:tr w:rsidR="00106312" w:rsidRPr="00106312" w14:paraId="7732DD63"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7CC9795" w14:textId="1F3089DD"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PEVuZE5vdGU+PENpdGU+PEF1dGhvcj5Bc2h0YXJpPC9BdXRob3I+PFllYXI+MjAxOTwvWWVhcj48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(Ashtari et al. 2019)</w:t>
            </w:r>
            <w:r w:rsidRPr="00106312">
              <w:rPr>
                <w:rFonts w:ascii="Arial Narrow" w:hAnsi="Arial Narrow" w:cs="Times New Roman"/>
                <w:sz w:val="16"/>
                <w:szCs w:val="16"/>
              </w:rPr>
              <w:fldChar w:fldCharType="end"/>
            </w:r>
          </w:p>
          <w:p w14:paraId="2EE0212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Iran</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76559F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Prospective cohort study</w:t>
            </w:r>
          </w:p>
          <w:p w14:paraId="363A4A4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III2</w:t>
            </w:r>
          </w:p>
          <w:p w14:paraId="754059E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0C7255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56</w:t>
            </w:r>
          </w:p>
          <w:p w14:paraId="32F0CD8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Kashani Hospital MS clinic, Isfahan University of Medical Science</w:t>
            </w:r>
          </w:p>
          <w:p w14:paraId="5B099A1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36.86</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A6973B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NMOSD based on 2015 criteria ≥18 years; received the first dose of rituximab in clinic for 6 months or less prior to study; MOG-Ab -ve</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A88397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None reported</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712A21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RTX 4 x weekly injections repeating the same schedule after 6 and 12 months according to CD19 level in serum. </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0E0335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comparator was included in study</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41EE0F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Change in EDSS</w:t>
            </w:r>
          </w:p>
          <w:p w14:paraId="7FA9DC7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Change in ARR</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27CA96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Isfahan University of Medical Sciences</w:t>
            </w:r>
          </w:p>
          <w:p w14:paraId="737C00A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state that there is no conflict of interest</w:t>
            </w:r>
          </w:p>
        </w:tc>
      </w:tr>
      <w:tr w:rsidR="00106312" w:rsidRPr="00106312" w14:paraId="4A5E24EA"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2FA141C" w14:textId="6F584F02" w:rsidR="00AB2520" w:rsidRDefault="00AB2520"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rPr>
                <w:rFonts w:ascii="Arial Narrow" w:hAnsi="Arial Narrow" w:cs="Times New Roman"/>
                <w:sz w:val="16"/>
                <w:szCs w:val="16"/>
              </w:rPr>
              <w:instrText xml:space="preserve"> ADDIN EN.CITE </w:instrText>
            </w:r>
            <w:r w:rsidR="00024910">
              <w:rPr>
                <w:rFonts w:ascii="Arial Narrow" w:hAnsi="Arial Narrow" w:cs="Times New Roman"/>
                <w:sz w:val="16"/>
                <w:szCs w:val="16"/>
              </w:rPr>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rPr>
                <w:rFonts w:ascii="Arial Narrow" w:hAnsi="Arial Narrow" w:cs="Times New Roman"/>
                <w:sz w:val="16"/>
                <w:szCs w:val="16"/>
              </w:rPr>
              <w:instrText xml:space="preserve"> ADDIN EN.CITE.DATA </w:instrText>
            </w:r>
            <w:r w:rsidR="00024910">
              <w:rPr>
                <w:rFonts w:ascii="Arial Narrow" w:hAnsi="Arial Narrow" w:cs="Times New Roman"/>
                <w:sz w:val="16"/>
                <w:szCs w:val="16"/>
              </w:rPr>
            </w:r>
            <w:r w:rsidR="00024910">
              <w:rPr>
                <w:rFonts w:ascii="Arial Narrow" w:hAnsi="Arial Narrow" w:cs="Times New Roman"/>
                <w:sz w:val="16"/>
                <w:szCs w:val="16"/>
              </w:rPr>
              <w:fldChar w:fldCharType="end"/>
            </w:r>
            <w:r>
              <w:rPr>
                <w:rFonts w:ascii="Arial Narrow" w:hAnsi="Arial Narrow" w:cs="Times New Roman"/>
                <w:sz w:val="16"/>
                <w:szCs w:val="16"/>
              </w:rPr>
            </w:r>
            <w:r>
              <w:rPr>
                <w:rFonts w:ascii="Arial Narrow" w:hAnsi="Arial Narrow" w:cs="Times New Roman"/>
                <w:sz w:val="16"/>
                <w:szCs w:val="16"/>
              </w:rPr>
              <w:fldChar w:fldCharType="separate"/>
            </w:r>
            <w:r w:rsidR="00024910">
              <w:rPr>
                <w:rFonts w:ascii="Arial Narrow" w:hAnsi="Arial Narrow" w:cs="Times New Roman"/>
                <w:noProof/>
                <w:sz w:val="16"/>
                <w:szCs w:val="16"/>
              </w:rPr>
              <w:t>(Beekman et al. 2019)</w:t>
            </w:r>
            <w:r>
              <w:rPr>
                <w:rFonts w:ascii="Arial Narrow" w:hAnsi="Arial Narrow" w:cs="Times New Roman"/>
                <w:sz w:val="16"/>
                <w:szCs w:val="16"/>
              </w:rPr>
              <w:fldChar w:fldCharType="end"/>
            </w:r>
          </w:p>
          <w:p w14:paraId="1C0F91C0" w14:textId="36FAEA44"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USA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C573E3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Comparative study without concurrent controls</w:t>
            </w:r>
          </w:p>
          <w:p w14:paraId="59FA275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III3</w:t>
            </w:r>
          </w:p>
          <w:p w14:paraId="6CC4BF6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2F08B9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193</w:t>
            </w:r>
          </w:p>
          <w:p w14:paraId="7129102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NMOSD</w:t>
            </w:r>
          </w:p>
          <w:p w14:paraId="4F5C92C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49.2</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D77157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Self-reported, diagnosis of NMO or NMOSD; ability to respond to questions.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C801D4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exclusion criteria were reported</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9F0D1F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Role-Physical and Role-Emotional subscales of the Short Form -36 (SF-36)</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6B4A78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QoL data were compared with data from another published study that examined other </w:t>
            </w:r>
            <w:r w:rsidRPr="00106312">
              <w:rPr>
                <w:rFonts w:ascii="Arial Narrow" w:hAnsi="Arial Narrow" w:cs="Times New Roman"/>
                <w:sz w:val="16"/>
                <w:szCs w:val="16"/>
              </w:rPr>
              <w:lastRenderedPageBreak/>
              <w:t>autoimmune/inflammatory disorders</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B8BF75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Change in diagnosis</w:t>
            </w:r>
          </w:p>
          <w:p w14:paraId="739C331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QoL</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A60268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The Guthy-Jackson Charitable Foundation, Alexion Pharmaceuticals, Chugai Pharmaceuticals,Viela Bio and MedImmune</w:t>
            </w:r>
          </w:p>
          <w:p w14:paraId="65B420E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Authors provided information on possible sources of conflict of interest</w:t>
            </w:r>
          </w:p>
        </w:tc>
      </w:tr>
      <w:tr w:rsidR="00106312" w:rsidRPr="00106312" w14:paraId="57BD04C0"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8BB024C" w14:textId="4AB4CA21"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fldChar w:fldCharType="begin">
                <w:fldData xml:space="preserve">PEVuZE5vdGU+PENpdGU+PEF1dGhvcj5CaWNodWV0dGk8L0F1dGhvcj48WWVhcj4yMDE5PC9ZZWFy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==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PEVuZE5vdGU+PENpdGU+PEF1dGhvcj5CaWNodWV0dGk8L0F1dGhvcj48WWVhcj4yMDE5PC9ZZWFy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==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(Bichuetti et al. 2019)</w:t>
            </w:r>
            <w:r w:rsidRPr="00106312">
              <w:rPr>
                <w:rFonts w:ascii="Arial Narrow" w:hAnsi="Arial Narrow" w:cs="Times New Roman"/>
                <w:sz w:val="16"/>
                <w:szCs w:val="16"/>
              </w:rPr>
              <w:fldChar w:fldCharType="end"/>
            </w:r>
          </w:p>
          <w:p w14:paraId="5953D68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Brazil</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05AE13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397F272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5E0E5FD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87F53F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158</w:t>
            </w:r>
          </w:p>
          <w:p w14:paraId="77C5A9B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from Neuroimmunology Clinic</w:t>
            </w:r>
          </w:p>
          <w:p w14:paraId="750C89A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33</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D0A94A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Clinical presentation compatible with NMOSD by IPND 2015 criteria; follow-up &gt; 6 months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9F6A12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Presence of any infectious syndrome and incomplete medical record</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591ACE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Azathioprine + prednisone</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0A2582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comparator</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F1BD7C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Adverse events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A310B4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reported no financial support was received</w:t>
            </w:r>
          </w:p>
          <w:p w14:paraId="468AD93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declared possible conflict of interest</w:t>
            </w:r>
          </w:p>
        </w:tc>
      </w:tr>
      <w:tr w:rsidR="00106312" w:rsidRPr="00106312" w14:paraId="146B5D9E"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96C22CE" w14:textId="7C49D20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PEVuZE5vdGU+PENpdGU+PEF1dGhvcj5Cb25uYW48L0F1dGhvcj48WWVhcj4yMDE4PC9ZZWFyPjxS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</w:fldData>
              </w:fldChar>
            </w:r>
            <w:r w:rsidR="00591217">
              <w:rPr>
                <w:rFonts w:ascii="Arial Narrow" w:hAnsi="Arial Narrow" w:cs="Times New Roman"/>
                <w:sz w:val="16"/>
                <w:szCs w:val="16"/>
              </w:rPr>
              <w:instrText xml:space="preserve"> ADDIN EN.CITE </w:instrText>
            </w:r>
            <w:r w:rsidR="00591217">
              <w:rPr>
                <w:rFonts w:ascii="Arial Narrow" w:hAnsi="Arial Narrow" w:cs="Times New Roman"/>
                <w:sz w:val="16"/>
                <w:szCs w:val="16"/>
              </w:rPr>
              <w:fldChar w:fldCharType="begin">
                <w:fldData xml:space="preserve">PEVuZE5vdGU+PENpdGU+PEF1dGhvcj5Cb25uYW48L0F1dGhvcj48WWVhcj4yMDE4PC9ZZWFyPjxS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</w:fldData>
              </w:fldChar>
            </w:r>
            <w:r w:rsidR="00591217">
              <w:rPr>
                <w:rFonts w:ascii="Arial Narrow" w:hAnsi="Arial Narrow" w:cs="Times New Roman"/>
                <w:sz w:val="16"/>
                <w:szCs w:val="16"/>
              </w:rPr>
              <w:instrText xml:space="preserve"> ADDIN EN.CITE.DATA </w:instrText>
            </w:r>
            <w:r w:rsidR="00591217">
              <w:rPr>
                <w:rFonts w:ascii="Arial Narrow" w:hAnsi="Arial Narrow" w:cs="Times New Roman"/>
                <w:sz w:val="16"/>
                <w:szCs w:val="16"/>
              </w:rPr>
            </w:r>
            <w:r w:rsidR="00591217">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00591217">
              <w:rPr>
                <w:rFonts w:ascii="Arial Narrow" w:hAnsi="Arial Narrow" w:cs="Times New Roman"/>
                <w:noProof/>
                <w:sz w:val="16"/>
                <w:szCs w:val="16"/>
              </w:rPr>
              <w:t>(Bonnan, M. et al. 2018)</w:t>
            </w:r>
            <w:r w:rsidRPr="00106312">
              <w:rPr>
                <w:rFonts w:ascii="Arial Narrow" w:hAnsi="Arial Narrow" w:cs="Times New Roman"/>
                <w:sz w:val="16"/>
                <w:szCs w:val="16"/>
              </w:rPr>
              <w:fldChar w:fldCharType="end"/>
            </w:r>
          </w:p>
          <w:p w14:paraId="147FDF4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France</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A5613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4B902EB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755CD5E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58609C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60</w:t>
            </w:r>
          </w:p>
          <w:p w14:paraId="0233016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Medical centre</w:t>
            </w:r>
          </w:p>
          <w:p w14:paraId="79CA610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39</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3FA213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Monophasic or relapsing NMOSD, LETM or severe ON highly suggestive of NMOSD</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DA192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Subintrant attack pattern, incomplete clinical data, non-severe attacks defined by acute EDSS &lt;4.0 for spinal cord attacks or visual acuity &gt;20/200.</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3028CB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Plasma exchange (PLEX)</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3DBE7E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comparator</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65D141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Early versus late treatment</w:t>
            </w:r>
          </w:p>
          <w:p w14:paraId="6BD9830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Change in EDSS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284DCB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declared no funding</w:t>
            </w:r>
          </w:p>
          <w:p w14:paraId="0E1345D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 declared no competing interests</w:t>
            </w:r>
          </w:p>
        </w:tc>
      </w:tr>
      <w:tr w:rsidR="00106312" w:rsidRPr="00106312" w14:paraId="19FDDBAE"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F8A5B00" w14:textId="4FA99A1B" w:rsidR="00133C7F" w:rsidRDefault="000967CF"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fldChar w:fldCharType="begin"/>
            </w:r>
            <w:r w:rsidR="004E3B71">
              <w:rPr>
                <w:rFonts w:ascii="Arial Narrow" w:hAnsi="Arial Narrow" w:cs="Times New Roman"/>
                <w:sz w:val="16"/>
                <w:szCs w:val="16"/>
              </w:rPr>
              <w:instrText xml:space="preserve"> ADDIN EN.CITE &lt;EndNote&gt;&lt;Cite&gt;&lt;Author&gt;Bonnan&lt;/Author&gt;&lt;Year&gt;2009&lt;/Year&gt;&lt;RecNum&gt;104&lt;/RecNum&gt;&lt;DisplayText&gt;(Bonnan, M et al. 2009)&lt;/DisplayText&gt;&lt;record&gt;&lt;rec-number&gt;104&lt;/rec-number&gt;&lt;foreign-keys&gt;&lt;key app="EN" db-id="r25zptaswpdzade29ws5pf9gx55ztppatt20" timestamp="1588575151"&gt;104&lt;/key&gt;&lt;/foreign-keys&gt;&lt;ref-type name="Journal Article"&gt;17&lt;/ref-type&gt;&lt;contributors&gt;&lt;authors&gt;&lt;author&gt;Bonnan, M&lt;/author&gt;&lt;author&gt;Valentino, R.&lt;/author&gt;&lt;author&gt;Olindo, S.&lt;/author&gt;&lt;author&gt;Mehdaoui, H.&lt;/author&gt;&lt;author&gt;Smadja, D.&lt;/author&gt;&lt;author&gt;Cabre, P.&lt;/author&gt;&lt;/authors&gt;&lt;/contributors&gt;&lt;auth-address&gt;Service de neurologie, Hopital Zobda Quitman, 97261 Fort-de-France, Martinique, French West Indies. mickael_bonnan@yahoo.fr&lt;/auth-address&gt;&lt;titles&gt;&lt;title&gt;Plasma exchange in severe spinal attacks associated with neuromyelitis optica spectrum disorder&lt;/title&gt;&lt;secondary-title&gt;Mult Scler&lt;/secondary-title&gt;&lt;/titles&gt;&lt;periodical&gt;&lt;full-title&gt;Mult Scler&lt;/full-title&gt;&lt;/periodical&gt;&lt;pages&gt;487-92&lt;/pages&gt;&lt;volume&gt;15&lt;/volume&gt;&lt;number&gt;4&lt;/number&gt;&lt;edition&gt;2009/03/28&lt;/edition&gt;&lt;keywords&gt;&lt;keyword&gt;Adolescent&lt;/keyword&gt;&lt;keyword&gt;Adult&lt;/keyword&gt;&lt;keyword&gt;Aged&lt;/keyword&gt;&lt;keyword&gt;Aged, 80 and over&lt;/keyword&gt;&lt;keyword&gt;Combined Modality Therapy&lt;/keyword&gt;&lt;keyword&gt;Female&lt;/keyword&gt;&lt;keyword&gt;Humans&lt;/keyword&gt;&lt;keyword&gt;Male&lt;/keyword&gt;&lt;keyword&gt;Middle Aged&lt;/keyword&gt;&lt;keyword&gt;Myelitis, Transverse/ drug therapy&lt;/keyword&gt;&lt;keyword&gt;Neuromyelitis Optica/ drug therapy&lt;/keyword&gt;&lt;keyword&gt;Plasma Exchange/adverse effects&lt;/keyword&gt;&lt;keyword&gt;Recurrence&lt;/keyword&gt;&lt;keyword&gt;Retrospective Studies&lt;/keyword&gt;&lt;keyword&gt;Severity of Illness Index&lt;/keyword&gt;&lt;keyword&gt;Steroids/ therapeutic use&lt;/keyword&gt;&lt;keyword&gt;Young Adult&lt;/keyword&gt;&lt;/keywords&gt;&lt;dates&gt;&lt;year&gt;2009&lt;/year&gt;&lt;pub-dates&gt;&lt;date&gt;Apr&lt;/date&gt;&lt;/pub-dates&gt;&lt;/dates&gt;&lt;isbn&gt;1352-4585 (Print)&amp;#xD;1352-4585 (Linking)&lt;/isbn&gt;&lt;accession-num&gt;19324982&lt;/accession-num&gt;&lt;urls&gt;&lt;/urls&gt;&lt;electronic-resource-num&gt;10.1177/1352458508100837&lt;/electronic-resource-num&gt;&lt;remote-database-provider&gt;NLM&lt;/remote-database-provider&gt;&lt;language&gt;eng&lt;/language&gt;&lt;/record&gt;&lt;/Cite&gt;&lt;/EndNote&gt;</w:instrText>
            </w:r>
            <w:r>
              <w:rPr>
                <w:rFonts w:ascii="Arial Narrow" w:hAnsi="Arial Narrow" w:cs="Times New Roman"/>
                <w:sz w:val="16"/>
                <w:szCs w:val="16"/>
              </w:rPr>
              <w:fldChar w:fldCharType="separate"/>
            </w:r>
            <w:r w:rsidR="004E3B71">
              <w:rPr>
                <w:rFonts w:ascii="Arial Narrow" w:hAnsi="Arial Narrow" w:cs="Times New Roman"/>
                <w:noProof/>
                <w:sz w:val="16"/>
                <w:szCs w:val="16"/>
              </w:rPr>
              <w:t>(Bonnan, M et al. 2009)</w:t>
            </w:r>
            <w:r>
              <w:rPr>
                <w:rFonts w:ascii="Arial Narrow" w:hAnsi="Arial Narrow" w:cs="Times New Roman"/>
                <w:sz w:val="16"/>
                <w:szCs w:val="16"/>
              </w:rPr>
              <w:fldChar w:fldCharType="end"/>
            </w:r>
          </w:p>
          <w:p w14:paraId="0CAB8746" w14:textId="704E1BB8"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France</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B71491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340DEE3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1577AAC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ADFCAD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43</w:t>
            </w:r>
          </w:p>
          <w:p w14:paraId="6674A00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Hospital ward</w:t>
            </w:r>
          </w:p>
          <w:p w14:paraId="232CCA5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34.3</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5A7D1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Relapsing NMO or extensive transverse myelitis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27D91E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MS, spinal infarction, granulomatous diseases, infections and tumours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6532DB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Plasma exchange plus steroid treatment</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00EE8A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Steroid treatment only</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6FF463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Adverse events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A35DB8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Not reported</w:t>
            </w:r>
          </w:p>
          <w:p w14:paraId="4F34070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information was provided</w:t>
            </w:r>
          </w:p>
        </w:tc>
      </w:tr>
      <w:tr w:rsidR="00106312" w:rsidRPr="00106312" w14:paraId="6CF4C247"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AE150AB" w14:textId="03982B8C"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PEVuZE5vdGU+PENpdGU+PEF1dGhvcj5Cb3V6YXI8L0F1dGhvcj48WWVhcj4yMDE3PC9ZZWFyPjxS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=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PEVuZE5vdGU+PENpdGU+PEF1dGhvcj5Cb3V6YXI8L0F1dGhvcj48WWVhcj4yMDE3PC9ZZWFyPjxS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=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(Bouzar et al. 2017)</w:t>
            </w:r>
            <w:r w:rsidRPr="00106312">
              <w:rPr>
                <w:rFonts w:ascii="Arial Narrow" w:hAnsi="Arial Narrow" w:cs="Times New Roman"/>
                <w:sz w:val="16"/>
                <w:szCs w:val="16"/>
              </w:rPr>
              <w:fldChar w:fldCharType="end"/>
            </w:r>
          </w:p>
          <w:p w14:paraId="70E07B4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Algeria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E60D6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yield study</w:t>
            </w:r>
          </w:p>
          <w:p w14:paraId="0A9C6A9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2DB2757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High</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251B9D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43</w:t>
            </w:r>
          </w:p>
          <w:p w14:paraId="0454266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Hospital treatment centre medical files</w:t>
            </w:r>
          </w:p>
          <w:p w14:paraId="2B5141F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33</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75B60D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treated for monophasic or recurrent ID affecting the optic nerve and/or spinal cord</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79EEAF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Infectious and systemic disease</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6A94E9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 and MOG antibody testing</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39B60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909E27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7B41F5F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C855BB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Bridge I EDNA (FFG and Euroimmun); “BIG-WIG MS” (Austrian Federal Ministry of Science, Research and Economy)</w:t>
            </w:r>
          </w:p>
          <w:p w14:paraId="131D7A9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Stated</w:t>
            </w:r>
          </w:p>
        </w:tc>
      </w:tr>
      <w:tr w:rsidR="005E6E11" w:rsidRPr="00106312" w14:paraId="2F59F4E5"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92DAD5D" w14:textId="0D41FB35" w:rsidR="005E6E11" w:rsidRDefault="00B956D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fldChar w:fldCharType="begin">
                <w:fldData xml:space="preserve">PEVuZE5vdGU+PENpdGU+PEF1dGhvcj5CdWtoYXJpPC9BdXRob3I+PFllYXI+MjAxNzwvWWVhcj48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</w:fldData>
              </w:fldChar>
            </w:r>
            <w:r>
              <w:rPr>
                <w:rFonts w:ascii="Arial Narrow" w:hAnsi="Arial Narrow" w:cs="Times New Roman"/>
                <w:sz w:val="16"/>
                <w:szCs w:val="16"/>
              </w:rPr>
              <w:instrText xml:space="preserve"> ADDIN EN.CITE </w:instrText>
            </w:r>
            <w:r>
              <w:rPr>
                <w:rFonts w:ascii="Arial Narrow" w:hAnsi="Arial Narrow" w:cs="Times New Roman"/>
                <w:sz w:val="16"/>
                <w:szCs w:val="16"/>
              </w:rPr>
              <w:fldChar w:fldCharType="begin">
                <w:fldData xml:space="preserve">PEVuZE5vdGU+PENpdGU+PEF1dGhvcj5CdWtoYXJpPC9BdXRob3I+PFllYXI+MjAxNzwvWWVhcj48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</w:fldData>
              </w:fldChar>
            </w:r>
            <w:r>
              <w:rPr>
                <w:rFonts w:ascii="Arial Narrow" w:hAnsi="Arial Narrow" w:cs="Times New Roman"/>
                <w:sz w:val="16"/>
                <w:szCs w:val="16"/>
              </w:rPr>
              <w:instrText xml:space="preserve"> ADDIN EN.CITE.DATA </w:instrText>
            </w:r>
            <w:r>
              <w:rPr>
                <w:rFonts w:ascii="Arial Narrow" w:hAnsi="Arial Narrow" w:cs="Times New Roman"/>
                <w:sz w:val="16"/>
                <w:szCs w:val="16"/>
              </w:rPr>
            </w:r>
            <w:r>
              <w:rPr>
                <w:rFonts w:ascii="Arial Narrow" w:hAnsi="Arial Narrow" w:cs="Times New Roman"/>
                <w:sz w:val="16"/>
                <w:szCs w:val="16"/>
              </w:rPr>
              <w:fldChar w:fldCharType="end"/>
            </w:r>
            <w:r>
              <w:rPr>
                <w:rFonts w:ascii="Arial Narrow" w:hAnsi="Arial Narrow" w:cs="Times New Roman"/>
                <w:sz w:val="16"/>
                <w:szCs w:val="16"/>
              </w:rPr>
            </w:r>
            <w:r>
              <w:rPr>
                <w:rFonts w:ascii="Arial Narrow" w:hAnsi="Arial Narrow" w:cs="Times New Roman"/>
                <w:sz w:val="16"/>
                <w:szCs w:val="16"/>
              </w:rPr>
              <w:fldChar w:fldCharType="separate"/>
            </w:r>
            <w:r>
              <w:rPr>
                <w:rFonts w:ascii="Arial Narrow" w:hAnsi="Arial Narrow" w:cs="Times New Roman"/>
                <w:noProof/>
                <w:sz w:val="16"/>
                <w:szCs w:val="16"/>
              </w:rPr>
              <w:t>(Bukhari et al. 2017)</w:t>
            </w:r>
            <w:r>
              <w:rPr>
                <w:rFonts w:ascii="Arial Narrow" w:hAnsi="Arial Narrow" w:cs="Times New Roman"/>
                <w:sz w:val="16"/>
                <w:szCs w:val="16"/>
              </w:rPr>
              <w:fldChar w:fldCharType="end"/>
            </w:r>
          </w:p>
          <w:p w14:paraId="48C22ADE" w14:textId="77777777" w:rsidR="00993E92" w:rsidRDefault="00993E92"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Australia</w:t>
            </w:r>
          </w:p>
          <w:p w14:paraId="04CE0C51" w14:textId="72B38F26" w:rsidR="00993E92" w:rsidRPr="00106312" w:rsidRDefault="00993E92"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New Zealand</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BDB4747" w14:textId="77777777" w:rsidR="005E6E11"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Diagnostic yield study</w:t>
            </w:r>
          </w:p>
          <w:p w14:paraId="3F18D6B6" w14:textId="77777777" w:rsidR="000A263B"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IV</w:t>
            </w:r>
          </w:p>
          <w:p w14:paraId="6FBB2FE7" w14:textId="781FF8C8" w:rsidR="000A263B" w:rsidRPr="00106312"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1E06490" w14:textId="77777777" w:rsidR="005E6E11"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170</w:t>
            </w:r>
          </w:p>
          <w:p w14:paraId="7B299EC2" w14:textId="0895FC43" w:rsidR="000A263B" w:rsidRPr="00106312"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Patients who were possible cases of NMOSD were identified through a network of 23 clinics</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6BC83C6" w14:textId="61D68C31" w:rsidR="005E6E11" w:rsidRPr="00106312" w:rsidRDefault="000A263B" w:rsidP="00106312">
            <w:pPr>
              <w:spacing w:before="30" w:after="30"/>
              <w:ind w:right="60"/>
              <w:jc w:val="left"/>
              <w:rPr>
                <w:rFonts w:ascii="Arial Narrow" w:hAnsi="Arial Narrow" w:cs="Times New Roman"/>
                <w:sz w:val="16"/>
                <w:szCs w:val="16"/>
              </w:rPr>
            </w:pPr>
            <w:r w:rsidRPr="000A263B">
              <w:rPr>
                <w:rFonts w:ascii="Arial Narrow" w:hAnsi="Arial Narrow" w:cs="Times New Roman"/>
                <w:sz w:val="16"/>
                <w:szCs w:val="16"/>
              </w:rPr>
              <w:t>Patients with severe ON, severe LETM, or other symptoms meeting 2015 IPND criteria for testing</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0917E9D2" w14:textId="7EBFCF5B" w:rsidR="005E6E11" w:rsidRPr="00106312" w:rsidRDefault="000A263B" w:rsidP="000A263B">
            <w:pPr>
              <w:spacing w:before="30" w:after="30"/>
              <w:ind w:right="60"/>
              <w:jc w:val="left"/>
              <w:rPr>
                <w:rFonts w:ascii="Arial Narrow" w:hAnsi="Arial Narrow" w:cs="Times New Roman"/>
                <w:sz w:val="16"/>
                <w:szCs w:val="16"/>
              </w:rPr>
            </w:pPr>
            <w:r>
              <w:rPr>
                <w:rFonts w:ascii="Arial Narrow" w:hAnsi="Arial Narrow" w:cs="Times New Roman"/>
                <w:sz w:val="16"/>
                <w:szCs w:val="16"/>
              </w:rPr>
              <w:t>Clinical criteria not met, alternate diagnosis apparent</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7571DB2D" w14:textId="66463187" w:rsidR="005E6E11" w:rsidRPr="00106312"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AQP4-Ab testing</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2BF24EE6" w14:textId="34406FBB" w:rsidR="005E6E11" w:rsidRPr="00106312"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D8A1FF0" w14:textId="77777777" w:rsidR="005E6E11"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Prevalence, incidence</w:t>
            </w:r>
          </w:p>
          <w:p w14:paraId="09C9A9A5" w14:textId="19794C77" w:rsidR="000A263B" w:rsidRPr="00106312"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955C7F9" w14:textId="6160F4D4" w:rsidR="000A263B"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Funded by ANZ NMO Collaboration, multiple Sclerosis Research Australia, the Brain Foundation Griffith University and the Gold Coast Hospital Foundation</w:t>
            </w:r>
          </w:p>
          <w:p w14:paraId="187DDB7C" w14:textId="5F757D53" w:rsidR="005E6E11" w:rsidRPr="00106312" w:rsidRDefault="000A263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Multiple conflicts reported</w:t>
            </w:r>
          </w:p>
        </w:tc>
      </w:tr>
      <w:tr w:rsidR="00106312" w:rsidRPr="00106312" w14:paraId="7611E6FB"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914CEA8" w14:textId="04021E81"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PEVuZE5vdGU+PENpdGU+PEF1dGhvcj5DaGFuc29uPC9BdXRob3I+PFllYXI+MjAxMTwvWWVhcj48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PEVuZE5vdGU+PENpdGU+PEF1dGhvcj5DaGFuc29uPC9BdXRob3I+PFllYXI+MjAxMTwvWWVhcj48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(Chanson et al. 2011)</w:t>
            </w:r>
            <w:r w:rsidRPr="00106312">
              <w:rPr>
                <w:rFonts w:ascii="Arial Narrow" w:hAnsi="Arial Narrow" w:cs="Times New Roman"/>
                <w:sz w:val="16"/>
                <w:szCs w:val="16"/>
              </w:rPr>
              <w:fldChar w:fldCharType="end"/>
            </w:r>
          </w:p>
          <w:p w14:paraId="1E48D83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France</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B9BF0B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Comparative study without concurrent controls</w:t>
            </w:r>
          </w:p>
          <w:p w14:paraId="586DF5B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III3</w:t>
            </w:r>
          </w:p>
          <w:p w14:paraId="0D79577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31D10C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40 NMO, 1007 healthy subjects and 431 MS</w:t>
            </w:r>
          </w:p>
          <w:p w14:paraId="0D18692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University Hospitals of Strasbourg and Lille</w:t>
            </w:r>
          </w:p>
          <w:p w14:paraId="7C8690A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45.2</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16829D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Consecutive patients with NMO, diagnosed according to revised 2006 criteria</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4198C8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exclusion criteria were reported</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331AB3C" w14:textId="77777777" w:rsidR="00106312" w:rsidRPr="00106312" w:rsidRDefault="00106312" w:rsidP="00543113">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SEP-59 the French version of MS QoL; EMIF-SEP </w:t>
            </w:r>
            <w:r w:rsidR="00543113" w:rsidRPr="00106312">
              <w:rPr>
                <w:rFonts w:ascii="Arial Narrow" w:hAnsi="Arial Narrow" w:cs="Times New Roman"/>
                <w:sz w:val="16"/>
                <w:szCs w:val="16"/>
              </w:rPr>
              <w:t xml:space="preserve">the French version of the Fatigue Impact Scale </w:t>
            </w:r>
            <w:r w:rsidRPr="00106312">
              <w:rPr>
                <w:rFonts w:ascii="Arial Narrow" w:hAnsi="Arial Narrow" w:cs="Times New Roman"/>
                <w:sz w:val="16"/>
                <w:szCs w:val="16"/>
              </w:rPr>
              <w:t xml:space="preserve">to assess fatigue, and </w:t>
            </w:r>
            <w:r w:rsidR="00904CBB">
              <w:rPr>
                <w:rFonts w:ascii="Arial Narrow" w:hAnsi="Arial Narrow" w:cs="Times New Roman"/>
                <w:sz w:val="16"/>
                <w:szCs w:val="16"/>
              </w:rPr>
              <w:t xml:space="preserve">French </w:t>
            </w:r>
            <w:r w:rsidRPr="00106312">
              <w:rPr>
                <w:rFonts w:ascii="Arial Narrow" w:hAnsi="Arial Narrow" w:cs="Times New Roman"/>
                <w:sz w:val="16"/>
                <w:szCs w:val="16"/>
              </w:rPr>
              <w:t xml:space="preserve">EHD </w:t>
            </w:r>
            <w:r w:rsidR="007E4506">
              <w:rPr>
                <w:rFonts w:ascii="Arial Narrow" w:hAnsi="Arial Narrow" w:cs="Times New Roman"/>
                <w:sz w:val="16"/>
                <w:szCs w:val="16"/>
              </w:rPr>
              <w:t xml:space="preserve">Depressive Mood Scale </w:t>
            </w:r>
            <w:r w:rsidRPr="00106312">
              <w:rPr>
                <w:rFonts w:ascii="Arial Narrow" w:hAnsi="Arial Narrow" w:cs="Times New Roman"/>
                <w:sz w:val="16"/>
                <w:szCs w:val="16"/>
              </w:rPr>
              <w:t xml:space="preserve">to evaluate depression </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382BE2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Results of study were compared with equivalent data in MS and normal subjects derived from previous studies.</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9C53E6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QoL</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EF7BF4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None reported</w:t>
            </w:r>
          </w:p>
          <w:p w14:paraId="1172A43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None reported</w:t>
            </w:r>
          </w:p>
        </w:tc>
      </w:tr>
      <w:tr w:rsidR="00106312" w:rsidRPr="00106312" w14:paraId="154C718B"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11FD641" w14:textId="576C9F30" w:rsidR="00557788" w:rsidRDefault="0055778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fldChar w:fldCharType="begin"/>
            </w:r>
            <w:r>
              <w:rPr>
                <w:rFonts w:ascii="Arial Narrow" w:hAnsi="Arial Narrow" w:cs="Times New Roman"/>
                <w:sz w:val="16"/>
                <w:szCs w:val="16"/>
              </w:rPr>
              <w:instrText xml:space="preserve"> ADDIN EN.CITE &lt;EndNote&gt;&lt;Cite&gt;&lt;Author&gt;Chen&lt;/Author&gt;&lt;Year&gt;2017&lt;/Year&gt;&lt;RecNum&gt;64&lt;/RecNum&gt;&lt;DisplayText&gt;(Chen, B et al. 2017)&lt;/DisplayText&gt;&lt;record&gt;&lt;rec-number&gt;64&lt;/rec-number&gt;&lt;foreign-keys&gt;&lt;key app="EN" db-id="r25zptaswpdzade29ws5pf9gx55ztppatt20" timestamp="1580268434"&gt;64&lt;/key&gt;&lt;/foreign-keys&gt;&lt;ref-type name="Journal Article"&gt;17&lt;/ref-type&gt;&lt;contributors&gt;&lt;authors&gt;&lt;author&gt;Chen, B.&lt;/author&gt;&lt;author&gt;Wu, Q.&lt;/author&gt;&lt;author&gt;Ke, G.&lt;/author&gt;&lt;author&gt;Bu, B.&lt;/author&gt;&lt;/authors&gt;&lt;/contributors&gt;&lt;auth-address&gt;Department of Neurology, Tongji Hospital of Tongji Medical College, Huazhong University of Science and Technology, Wuhan, Hubei, China. Department of Radiology, Tongji Hospital of Tongji Medical College, Huazhong University of Science and Technology, Wuhan, Hubei, China. Department of Neurology, Tongji Hospital of Tongji Medical College, Huazhong University of Science and Technology, Wuhan, Hubei, China. bubitao@tjh.tjmu.edu.cn.&lt;/auth-address&gt;&lt;titles&gt;&lt;title&gt;Efficacy and safety of tacrolimus treatment for neuromyelitis optica spectrum disorder&lt;/title&gt;&lt;secondary-title&gt;Sci Rep&lt;/secondary-title&gt;&lt;/titles&gt;&lt;periodical&gt;&lt;full-title&gt;Sci Rep&lt;/full-title&gt;&lt;/periodical&gt;&lt;pages&gt;1-8&lt;/pages&gt;&lt;volume&gt;7&lt;/volume&gt;&lt;number&gt;1&lt;/number&gt;&lt;keywords&gt;&lt;keyword&gt;Adolescent&lt;/keyword&gt;&lt;keyword&gt;Adult&lt;/keyword&gt;&lt;keyword&gt;Child&lt;/keyword&gt;&lt;keyword&gt;Female&lt;/keyword&gt;&lt;keyword&gt;Humans&lt;/keyword&gt;&lt;keyword&gt;Immunosuppressive Agents/administration &amp;amp; dosage/adverse effects/ therapeutic use&lt;/keyword&gt;&lt;keyword&gt;Male&lt;/keyword&gt;&lt;keyword&gt;Middle Aged&lt;/keyword&gt;&lt;keyword&gt;Neuromyelitis Optica/ drug therapy&lt;/keyword&gt;&lt;keyword&gt;Tacrolimus/administration &amp;amp; dosage/adverse effects/ therapeutic use&lt;/keyword&gt;&lt;/keywords&gt;&lt;dates&gt;&lt;year&gt;2017&lt;/year&gt;&lt;pub-dates&gt;&lt;date&gt;Apr 11&lt;/date&gt;&lt;/pub-dates&gt;&lt;/dates&gt;&lt;accession-num&gt;28400553&lt;/accession-num&gt;&lt;urls&gt;&lt;related-urls&gt;&lt;url&gt;https://www.ncbi.nlm.nih.gov/pmc/articles/PMC5429791/pdf/41598_2017_Article_860.pdf&lt;/url&gt;&lt;/related-urls&gt;&lt;/urls&gt;&lt;remote-database-provider&gt;Nlm&lt;/remote-database-provider&gt;&lt;research-notes&gt;Include&lt;/research-notes&gt;&lt;language&gt;eng&lt;/language&gt;&lt;/record&gt;&lt;/Cite&gt;&lt;/EndNote&gt;</w:instrText>
            </w:r>
            <w:r>
              <w:rPr>
                <w:rFonts w:ascii="Arial Narrow" w:hAnsi="Arial Narrow" w:cs="Times New Roman"/>
                <w:sz w:val="16"/>
                <w:szCs w:val="16"/>
              </w:rPr>
              <w:fldChar w:fldCharType="separate"/>
            </w:r>
            <w:r>
              <w:rPr>
                <w:rFonts w:ascii="Arial Narrow" w:hAnsi="Arial Narrow" w:cs="Times New Roman"/>
                <w:noProof/>
                <w:sz w:val="16"/>
                <w:szCs w:val="16"/>
              </w:rPr>
              <w:t>(Chen, B et al. 2017)</w:t>
            </w:r>
            <w:r>
              <w:rPr>
                <w:rFonts w:ascii="Arial Narrow" w:hAnsi="Arial Narrow" w:cs="Times New Roman"/>
                <w:sz w:val="16"/>
                <w:szCs w:val="16"/>
              </w:rPr>
              <w:fldChar w:fldCharType="end"/>
            </w:r>
          </w:p>
          <w:p w14:paraId="0274E010" w14:textId="1F378CC3"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8C481E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Retrospective cohort study</w:t>
            </w:r>
          </w:p>
          <w:p w14:paraId="05B86EB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III-2</w:t>
            </w:r>
          </w:p>
          <w:p w14:paraId="0F7B126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High</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F7DE9A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25</w:t>
            </w:r>
          </w:p>
          <w:p w14:paraId="1C79D5F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University hospital clinic</w:t>
            </w:r>
          </w:p>
          <w:p w14:paraId="0912D31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31</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238786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NMOSD diagnosis based on 2015 IPND criteria and treated for more than 6 months. with immunosuppressants or immunomodulators </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B6F4AC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None reported</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795765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2-3 mg/day of oral tacrolimus (1mg/day for children)</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BE98F3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r w:rsidR="007E4506">
              <w:rPr>
                <w:rFonts w:ascii="Arial Narrow" w:hAnsi="Arial Narrow" w:cs="Times New Roman"/>
                <w:sz w:val="16"/>
                <w:szCs w:val="16"/>
              </w:rPr>
              <w:t xml:space="preserve"> </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A291AB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Correlation between high and low AQP4-Ab titre and relapse</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5F376A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Kindstar Global company (tested the titres)</w:t>
            </w:r>
          </w:p>
          <w:p w14:paraId="081B2AF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declare they have no competing interests</w:t>
            </w:r>
          </w:p>
        </w:tc>
      </w:tr>
      <w:tr w:rsidR="00106312" w:rsidRPr="00106312" w14:paraId="37DB35FE"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0ACA83B" w14:textId="78E74B5A"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PEVuZE5vdGU+PENpdGU+PEF1dGhvcj5DaGVuPC9BdXRob3I+PFllYXI+MjAxODwvWWVhcj48UmVj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PEVuZE5vdGU+PENpdGU+PEF1dGhvcj5DaGVuPC9BdXRob3I+PFllYXI+MjAxODwvWWVhcj48UmVj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(Chen, Q et al. 2018)</w:t>
            </w:r>
            <w:r w:rsidRPr="00106312">
              <w:rPr>
                <w:rFonts w:ascii="Arial Narrow" w:hAnsi="Arial Narrow" w:cs="Times New Roman"/>
                <w:sz w:val="16"/>
                <w:szCs w:val="16"/>
              </w:rPr>
              <w:fldChar w:fldCharType="end"/>
            </w:r>
          </w:p>
          <w:p w14:paraId="6ABEA4E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EC8A74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Diagnostic yield study</w:t>
            </w:r>
          </w:p>
          <w:p w14:paraId="62C6309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684252D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36FE67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87</w:t>
            </w:r>
          </w:p>
          <w:p w14:paraId="06E9CC4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Hospital ophthalmology department</w:t>
            </w:r>
          </w:p>
          <w:p w14:paraId="524DD61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F1A3F1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Patients ≤18 years-old with acute-onset optic neuritis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CF2306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Uncooperativeness during ophthalmic examinations; </w:t>
            </w:r>
            <w:r w:rsidRPr="00106312">
              <w:rPr>
                <w:rFonts w:ascii="Arial Narrow" w:hAnsi="Arial Narrow" w:cs="Times New Roman"/>
                <w:sz w:val="16"/>
                <w:szCs w:val="16"/>
              </w:rPr>
              <w:lastRenderedPageBreak/>
              <w:t>unavailability of serum MOG and AQP4 antibodies; refusal to sign the consent form; incomplete clinical data; inability to participate six months of follow-up.</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2391A8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AQP4-Ab and MOG-Ab testing</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3BC290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47EC5F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E7E499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National Natural Science Foundation of China, 8130102; Talent Doctor </w:t>
            </w:r>
            <w:r w:rsidRPr="00106312">
              <w:rPr>
                <w:rFonts w:ascii="Arial Narrow" w:hAnsi="Arial Narrow" w:cs="Times New Roman"/>
                <w:sz w:val="16"/>
                <w:szCs w:val="16"/>
              </w:rPr>
              <w:lastRenderedPageBreak/>
              <w:t>Project at Fudan University, Shanghai, China</w:t>
            </w:r>
          </w:p>
          <w:p w14:paraId="4DD9CEB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It was reported that there were no conflicts to declare</w:t>
            </w:r>
          </w:p>
        </w:tc>
      </w:tr>
      <w:tr w:rsidR="00106312" w:rsidRPr="00106312" w14:paraId="75E285EF"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FB3150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rPr>
                <w:rFonts w:ascii="Arial Narrow" w:hAnsi="Arial Narrow" w:cs="Times New Roman"/>
                <w:sz w:val="16"/>
                <w:szCs w:val="16"/>
              </w:rPr>
              <w:instrText xml:space="preserve"> ADDIN EN.CITE </w:instrText>
            </w:r>
            <w:r w:rsidR="00AC01FD">
              <w:rPr>
                <w:rFonts w:ascii="Arial Narrow" w:hAnsi="Arial Narrow" w:cs="Times New Roman"/>
                <w:sz w:val="16"/>
                <w:szCs w:val="16"/>
              </w:rPr>
              <w:fldChar w:fldCharType="begin">
                <w:fldData xml:space="preserve">PEVuZE5vdGU+PENpdGU+PEF1dGhvcj5DaGVuZzwvQXV0aG9yPjxZZWFyPjIwMTY8L1llYXI+PFJl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</w:fldData>
              </w:fldChar>
            </w:r>
            <w:r w:rsidR="00AC01FD">
              <w:rPr>
                <w:rFonts w:ascii="Arial Narrow" w:hAnsi="Arial Narrow" w:cs="Times New Roman"/>
                <w:sz w:val="16"/>
                <w:szCs w:val="16"/>
              </w:rPr>
              <w:instrText xml:space="preserve"> ADDIN EN.CITE.DATA </w:instrText>
            </w:r>
            <w:r w:rsidR="00AC01FD">
              <w:rPr>
                <w:rFonts w:ascii="Arial Narrow" w:hAnsi="Arial Narrow" w:cs="Times New Roman"/>
                <w:sz w:val="16"/>
                <w:szCs w:val="16"/>
              </w:rPr>
            </w:r>
            <w:r w:rsidR="00AC01FD">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(Cheng et al. 2016)</w:t>
            </w:r>
            <w:r w:rsidRPr="00106312">
              <w:rPr>
                <w:rFonts w:ascii="Arial Narrow" w:hAnsi="Arial Narrow" w:cs="Times New Roman"/>
                <w:sz w:val="16"/>
                <w:szCs w:val="16"/>
              </w:rPr>
              <w:fldChar w:fldCharType="end"/>
            </w:r>
          </w:p>
          <w:p w14:paraId="4439CF5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8D4C9F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16552F3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5D01688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A15216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31</w:t>
            </w:r>
          </w:p>
          <w:p w14:paraId="37AF0BA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University Hospital clinic</w:t>
            </w:r>
          </w:p>
          <w:p w14:paraId="515F48C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31</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F77FA3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Adults tested for NMO-IgG; single clinical episode of ABS; no other neurologic signs or symptoms which suggested the diagnosis of MS or NMO before NMO-IgG testing.</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8C62C5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previous or concomitant systemic autoimmune diseases, metabolic etiology, vascular disorders and infections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59F560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diagnosis by clinical criteria (2015) and AQP4 status</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CB4174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diagnosis by clinical criteria (pre 2015) and no AQP4-Ab testing</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3ED8BE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6B1D150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p w14:paraId="55BC8DE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D9CA12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Medical Research Foundation of Guangdong Province (A2014233); Natural Science Foundation of Guangdong Province (2016A030313228)</w:t>
            </w:r>
          </w:p>
          <w:p w14:paraId="3CDFEF0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Reported that there were none</w:t>
            </w:r>
          </w:p>
        </w:tc>
      </w:tr>
      <w:tr w:rsidR="00106312" w:rsidRPr="00106312" w14:paraId="331A686B"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E39153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rPr>
                <w:rFonts w:ascii="Arial Narrow" w:hAnsi="Arial Narrow" w:cs="Times New Roman"/>
                <w:sz w:val="16"/>
                <w:szCs w:val="16"/>
              </w:rPr>
              <w:instrText xml:space="preserve"> ADDIN EN.CITE </w:instrText>
            </w:r>
            <w:r w:rsidR="00AC01FD">
              <w:rPr>
                <w:rFonts w:ascii="Arial Narrow" w:hAnsi="Arial Narrow" w:cs="Times New Roman"/>
                <w:sz w:val="16"/>
                <w:szCs w:val="16"/>
              </w:rPr>
              <w:fldChar w:fldCharType="begin">
                <w:fldData xml:space="preserve">PEVuZE5vdGU+PENpdGU+PEF1dGhvcj5Db2JvLUNhbHZvPC9BdXRob3I+PFllYXI+MjAxNjwvWWVh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</w:fldData>
              </w:fldChar>
            </w:r>
            <w:r w:rsidR="00AC01FD">
              <w:rPr>
                <w:rFonts w:ascii="Arial Narrow" w:hAnsi="Arial Narrow" w:cs="Times New Roman"/>
                <w:sz w:val="16"/>
                <w:szCs w:val="16"/>
              </w:rPr>
              <w:instrText xml:space="preserve"> ADDIN EN.CITE.DATA </w:instrText>
            </w:r>
            <w:r w:rsidR="00AC01FD">
              <w:rPr>
                <w:rFonts w:ascii="Arial Narrow" w:hAnsi="Arial Narrow" w:cs="Times New Roman"/>
                <w:sz w:val="16"/>
                <w:szCs w:val="16"/>
              </w:rPr>
            </w:r>
            <w:r w:rsidR="00AC01FD">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(Cobo-Calvo et al. 2016)</w:t>
            </w:r>
            <w:r w:rsidRPr="00106312">
              <w:rPr>
                <w:rFonts w:ascii="Arial Narrow" w:hAnsi="Arial Narrow" w:cs="Times New Roman"/>
                <w:sz w:val="16"/>
                <w:szCs w:val="16"/>
              </w:rPr>
              <w:fldChar w:fldCharType="end"/>
            </w:r>
          </w:p>
          <w:p w14:paraId="3EEFAE5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France, Spain</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BFFB41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6BABCB1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389A0B5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B0E87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56</w:t>
            </w:r>
          </w:p>
          <w:p w14:paraId="05D3B08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data from three European Neuroimmunology Centres</w:t>
            </w:r>
          </w:p>
          <w:p w14:paraId="25279F2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40</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C10936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first episode of LETM and negative for AQP4-Ab</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2F384C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33A70B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EDSS; AQP4-AB and MOG-Ab testing; OCB; conversion of diagnosis to NMO</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403A1F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Previous clinical characteristics</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A69F15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5BE08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Association pour la recherche sur la Sclérose en plaques (ARSEP) ; French Agence Nationale de la Recherche (ERA-Net ERARE-2; EDEN project); la Marató de TV3 (AS; 101610), Red Española de Esclerosis Múltiple, Fondo Europeo de Desarrollo Regional (FEDER), Unión Europea, Una forma de hacer Europa (AS; RD12/0032/0002)</w:t>
            </w:r>
          </w:p>
          <w:p w14:paraId="18C0AF8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Multiple author disclosures reported</w:t>
            </w:r>
          </w:p>
        </w:tc>
      </w:tr>
      <w:tr w:rsidR="00106312" w:rsidRPr="00106312" w14:paraId="5EBB3B19"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724A851" w14:textId="14E2BCDC"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PEVuZE5vdGU+PENpdGU+PEF1dGhvcj5Db250ZW50dGk8L0F1dGhvcj48WWVhcj4yMDE5PC9ZZWFy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PEVuZE5vdGU+PENpdGU+PEF1dGhvcj5Db250ZW50dGk8L0F1dGhvcj48WWVhcj4yMDE5PC9ZZWFy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(Contentti, EC et al. 2019)</w:t>
            </w:r>
            <w:r w:rsidRPr="00106312">
              <w:rPr>
                <w:rFonts w:ascii="Arial Narrow" w:hAnsi="Arial Narrow" w:cs="Times New Roman"/>
                <w:sz w:val="16"/>
                <w:szCs w:val="16"/>
              </w:rPr>
              <w:fldChar w:fldCharType="end"/>
            </w:r>
          </w:p>
          <w:p w14:paraId="7459DDE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Argentina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6A3B74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yield study</w:t>
            </w:r>
          </w:p>
          <w:p w14:paraId="41BABAB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339ADB5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6DDB46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57</w:t>
            </w:r>
          </w:p>
          <w:p w14:paraId="125DDF4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Department of Neurology and Neuro-ophthalmology patients</w:t>
            </w:r>
          </w:p>
          <w:p w14:paraId="364B922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35</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C333A4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Diagnosis with a first episode of clinically acute ON</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44EF07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36C9E3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AQP4-Ab testing; disease progression; diagnostic categorisation </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8FE5D4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14E2B1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3ED7DC3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Yield </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A27C8B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p w14:paraId="634B66F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r>
      <w:tr w:rsidR="00106312" w:rsidRPr="00106312" w14:paraId="34370E49"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FD70E9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PEVuZE5vdGU+PENpdGU+PEF1dGhvcj5Db250ZW50dGk8L0F1dGhvcj48WWVhcj4yMDE3PC9ZZWFy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=
</w:fldData>
              </w:fldChar>
            </w:r>
            <w:r w:rsidRPr="00106312">
              <w:rPr>
                <w:rFonts w:ascii="Arial Narrow" w:hAnsi="Arial Narrow" w:cs="Times New Roman"/>
                <w:sz w:val="16"/>
                <w:szCs w:val="16"/>
              </w:rPr>
              <w:instrText xml:space="preserve"> ADDIN EN.CITE </w:instrText>
            </w:r>
            <w:r w:rsidRPr="00106312">
              <w:rPr>
                <w:rFonts w:ascii="Arial Narrow" w:hAnsi="Arial Narrow" w:cs="Times New Roman"/>
                <w:sz w:val="16"/>
                <w:szCs w:val="16"/>
              </w:rPr>
              <w:fldChar w:fldCharType="begin">
                <w:fldData xml:space="preserve">PEVuZE5vdGU+PENpdGU+PEF1dGhvcj5Db250ZW50dGk8L0F1dGhvcj48WWVhcj4yMDE3PC9ZZWFy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=
</w:fldData>
              </w:fldChar>
            </w:r>
            <w:r w:rsidRPr="00106312">
              <w:rPr>
                <w:rFonts w:ascii="Arial Narrow" w:hAnsi="Arial Narrow" w:cs="Times New Roman"/>
                <w:sz w:val="16"/>
                <w:szCs w:val="16"/>
              </w:rPr>
              <w:instrText xml:space="preserve"> ADDIN EN.CITE.DATA </w:instrText>
            </w:r>
            <w:r w:rsidRPr="00106312">
              <w:rPr>
                <w:rFonts w:ascii="Arial Narrow" w:hAnsi="Arial Narrow" w:cs="Times New Roman"/>
                <w:sz w:val="16"/>
                <w:szCs w:val="16"/>
              </w:rPr>
            </w:r>
            <w:r w:rsidRPr="00106312">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(Contentti, CE et al. 2017)</w:t>
            </w:r>
            <w:r w:rsidRPr="00106312">
              <w:rPr>
                <w:rFonts w:ascii="Arial Narrow" w:hAnsi="Arial Narrow" w:cs="Times New Roman"/>
                <w:sz w:val="16"/>
                <w:szCs w:val="16"/>
              </w:rPr>
              <w:fldChar w:fldCharType="end"/>
            </w:r>
          </w:p>
          <w:p w14:paraId="08578EE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Argentina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211D17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209CA54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347C9A3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B34DD2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30</w:t>
            </w:r>
          </w:p>
          <w:p w14:paraId="26155C0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Hospital database</w:t>
            </w:r>
          </w:p>
          <w:p w14:paraId="1C78C5E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38</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04DC3D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attending a hospital with LETM at presentation; data available for at least one year follow-up</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25F693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compressive or vascular lesions identified by spinal MRI; LETM patients with well-established causes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154802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testing; MRI; clinical assessment, diagnosis at follow-up</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1C641B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original diagnosis</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D3337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7A6A21F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p w14:paraId="54A6C4D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CDB707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p w14:paraId="2976235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r>
      <w:tr w:rsidR="00106312" w:rsidRPr="00106312" w14:paraId="156DBE27"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F2BD126" w14:textId="7D55D496"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PEVuZE5vdGU+PENpdGU+PEF1dGhvcj5EcnVsb3ZpYzwvQXV0aG9yPjxZZWFyPjIwMTk8L1llYXI+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PEVuZE5vdGU+PENpdGU+PEF1dGhvcj5EcnVsb3ZpYzwvQXV0aG9yPjxZZWFyPjIwMTk8L1llYXI+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(Drulovic et al. 2019)</w:t>
            </w:r>
            <w:r w:rsidRPr="00106312">
              <w:rPr>
                <w:rFonts w:ascii="Arial Narrow" w:hAnsi="Arial Narrow" w:cs="Times New Roman"/>
                <w:sz w:val="16"/>
                <w:szCs w:val="16"/>
              </w:rPr>
              <w:fldChar w:fldCharType="end"/>
            </w:r>
          </w:p>
          <w:p w14:paraId="0F03755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Serbia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2B9A94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yield study</w:t>
            </w:r>
          </w:p>
          <w:p w14:paraId="77A0E43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7260B5E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32F2C2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74</w:t>
            </w:r>
          </w:p>
          <w:p w14:paraId="43BE51F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Clinic of Neurology</w:t>
            </w:r>
          </w:p>
          <w:p w14:paraId="775AB96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40</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88C63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who fulfilled the 2015 diagnostic criteria</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029259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593E43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Clinical examination</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5A66A4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C47A89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41A91C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Ministry of Education, Science and Technological Development of the Republic of Serbia (Grants no. 175031 and 175087)</w:t>
            </w:r>
          </w:p>
          <w:p w14:paraId="2A58381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Multiple author disclosures were reported</w:t>
            </w:r>
          </w:p>
        </w:tc>
      </w:tr>
      <w:tr w:rsidR="00106312" w:rsidRPr="00106312" w14:paraId="068BF759"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E249D2F" w14:textId="7B1C9C52"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PEVuZE5vdGU+PENpdGU+PEF1dGhvcj5EdWlnbmFuPC9BdXRob3I+PFllYXI+MjAxODwvWWVhcj48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PEVuZE5vdGU+PENpdGU+PEF1dGhvcj5EdWlnbmFuPC9BdXRob3I+PFllYXI+MjAxODwvWWVhcj48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(Duignan et al. 2018)</w:t>
            </w:r>
            <w:r w:rsidRPr="00106312">
              <w:rPr>
                <w:rFonts w:ascii="Arial Narrow" w:hAnsi="Arial Narrow" w:cs="Times New Roman"/>
                <w:sz w:val="16"/>
                <w:szCs w:val="16"/>
              </w:rPr>
              <w:fldChar w:fldCharType="end"/>
            </w:r>
          </w:p>
          <w:p w14:paraId="4DAEE4B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UK</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9886B9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yield study</w:t>
            </w:r>
          </w:p>
          <w:p w14:paraId="11943B0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7EAA283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0D6365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371</w:t>
            </w:r>
          </w:p>
          <w:p w14:paraId="14EFE92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identified through pathology department databases</w:t>
            </w:r>
          </w:p>
          <w:p w14:paraId="52D0111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32CD21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Suspected of ADS; AQP4-Ab and MOG-Ab testing requested</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9836B7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1BE317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assessment following AQP4-Ab and MOG-testing (live sell assays)</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87C3A0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0CC222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4246EE5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6322D9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p w14:paraId="3E0CA7B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r>
      <w:tr w:rsidR="005E6E11" w:rsidRPr="00106312" w14:paraId="586CC951"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540A90B" w14:textId="127880F8" w:rsidR="005E6E11" w:rsidRDefault="00B956D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lastRenderedPageBreak/>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Pr>
                <w:rFonts w:ascii="Arial Narrow" w:hAnsi="Arial Narrow" w:cs="Times New Roman"/>
                <w:sz w:val="16"/>
                <w:szCs w:val="16"/>
              </w:rPr>
              <w:instrText xml:space="preserve"> ADDIN EN.CITE </w:instrText>
            </w:r>
            <w:r>
              <w:rPr>
                <w:rFonts w:ascii="Arial Narrow" w:hAnsi="Arial Narrow" w:cs="Times New Roman"/>
                <w:sz w:val="16"/>
                <w:szCs w:val="16"/>
              </w:rPr>
              <w:fldChar w:fldCharType="begin">
                <w:fldData xml:space="preserve">PEVuZE5vdGU+PENpdGU+PEF1dGhvcj5FbHNvbmU8L0F1dGhvcj48WWVhcj4yMDE0PC9ZZWFyPjxS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</w:fldData>
              </w:fldChar>
            </w:r>
            <w:r>
              <w:rPr>
                <w:rFonts w:ascii="Arial Narrow" w:hAnsi="Arial Narrow" w:cs="Times New Roman"/>
                <w:sz w:val="16"/>
                <w:szCs w:val="16"/>
              </w:rPr>
              <w:instrText xml:space="preserve"> ADDIN EN.CITE.DATA </w:instrText>
            </w:r>
            <w:r>
              <w:rPr>
                <w:rFonts w:ascii="Arial Narrow" w:hAnsi="Arial Narrow" w:cs="Times New Roman"/>
                <w:sz w:val="16"/>
                <w:szCs w:val="16"/>
              </w:rPr>
            </w:r>
            <w:r>
              <w:rPr>
                <w:rFonts w:ascii="Arial Narrow" w:hAnsi="Arial Narrow" w:cs="Times New Roman"/>
                <w:sz w:val="16"/>
                <w:szCs w:val="16"/>
              </w:rPr>
              <w:fldChar w:fldCharType="end"/>
            </w:r>
            <w:r>
              <w:rPr>
                <w:rFonts w:ascii="Arial Narrow" w:hAnsi="Arial Narrow" w:cs="Times New Roman"/>
                <w:sz w:val="16"/>
                <w:szCs w:val="16"/>
              </w:rPr>
            </w:r>
            <w:r>
              <w:rPr>
                <w:rFonts w:ascii="Arial Narrow" w:hAnsi="Arial Narrow" w:cs="Times New Roman"/>
                <w:sz w:val="16"/>
                <w:szCs w:val="16"/>
              </w:rPr>
              <w:fldChar w:fldCharType="separate"/>
            </w:r>
            <w:r>
              <w:rPr>
                <w:rFonts w:ascii="Arial Narrow" w:hAnsi="Arial Narrow" w:cs="Times New Roman"/>
                <w:noProof/>
                <w:sz w:val="16"/>
                <w:szCs w:val="16"/>
              </w:rPr>
              <w:t>(Elsone et al. 2014)</w:t>
            </w:r>
            <w:r>
              <w:rPr>
                <w:rFonts w:ascii="Arial Narrow" w:hAnsi="Arial Narrow" w:cs="Times New Roman"/>
                <w:sz w:val="16"/>
                <w:szCs w:val="16"/>
              </w:rPr>
              <w:fldChar w:fldCharType="end"/>
            </w:r>
          </w:p>
          <w:p w14:paraId="429CC435" w14:textId="72BFF2A4" w:rsidR="00990428" w:rsidRPr="00106312"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UK</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17A4649" w14:textId="4847470D" w:rsidR="00990428"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Case series</w:t>
            </w:r>
          </w:p>
          <w:p w14:paraId="63F2D63A" w14:textId="77777777" w:rsidR="005E6E11"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IV</w:t>
            </w:r>
          </w:p>
          <w:p w14:paraId="13200BE9" w14:textId="683DA345" w:rsidR="00990428" w:rsidRPr="00106312"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5F7FD1F" w14:textId="77777777" w:rsidR="005E6E11"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103</w:t>
            </w:r>
          </w:p>
          <w:p w14:paraId="4F759746" w14:textId="1DE53F49" w:rsidR="00990428" w:rsidRPr="00106312"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Patients identified from four tertiary centres</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D394A05" w14:textId="4AE3F17F" w:rsidR="005E6E11" w:rsidRPr="00106312" w:rsidRDefault="00990428" w:rsidP="00990428">
            <w:pPr>
              <w:spacing w:before="30" w:after="30"/>
              <w:ind w:right="60"/>
              <w:jc w:val="left"/>
              <w:rPr>
                <w:rFonts w:ascii="Arial Narrow" w:hAnsi="Arial Narrow" w:cs="Times New Roman"/>
                <w:sz w:val="16"/>
                <w:szCs w:val="16"/>
              </w:rPr>
            </w:pPr>
            <w:r w:rsidRPr="00990428">
              <w:rPr>
                <w:rFonts w:ascii="Arial Narrow" w:hAnsi="Arial Narrow" w:cs="Times New Roman"/>
                <w:sz w:val="16"/>
                <w:szCs w:val="16"/>
              </w:rPr>
              <w:t xml:space="preserve">Patients with AQP4-Ab positive with </w:t>
            </w:r>
            <w:r>
              <w:rPr>
                <w:rFonts w:ascii="Arial Narrow" w:hAnsi="Arial Narrow" w:cs="Times New Roman"/>
                <w:sz w:val="16"/>
                <w:szCs w:val="16"/>
              </w:rPr>
              <w:t xml:space="preserve">NMO or </w:t>
            </w:r>
            <w:r w:rsidRPr="00990428">
              <w:rPr>
                <w:rFonts w:ascii="Arial Narrow" w:hAnsi="Arial Narrow" w:cs="Times New Roman"/>
                <w:sz w:val="16"/>
                <w:szCs w:val="16"/>
              </w:rPr>
              <w:t>NMOSD</w:t>
            </w:r>
            <w:r>
              <w:rPr>
                <w:rFonts w:ascii="Arial Narrow" w:hAnsi="Arial Narrow" w:cs="Times New Roman"/>
                <w:sz w:val="16"/>
                <w:szCs w:val="16"/>
              </w:rPr>
              <w:t xml:space="preserve"> and </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49D989BE" w14:textId="2FCBE266" w:rsidR="005E6E11" w:rsidRPr="00106312"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9861577" w14:textId="6AA1F01E" w:rsidR="005E6E11" w:rsidRPr="00106312"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AZA</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7F24F18" w14:textId="0783328D" w:rsidR="005E6E11" w:rsidRPr="00106312"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55D135E4" w14:textId="48EA7C41" w:rsidR="005E6E11" w:rsidRPr="00106312"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Change in EDSS and ARR</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559AE57" w14:textId="77777777" w:rsidR="005E6E11"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Funded by NHS through the Mational Specialized Commissioning Team</w:t>
            </w:r>
          </w:p>
          <w:p w14:paraId="560D546D" w14:textId="4062579A" w:rsidR="00990428" w:rsidRPr="00106312" w:rsidRDefault="00990428"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t>Multiple conflicts stated</w:t>
            </w:r>
          </w:p>
        </w:tc>
      </w:tr>
      <w:tr w:rsidR="00106312" w:rsidRPr="00106312" w14:paraId="078343F5"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073FB98" w14:textId="5EE67BA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PEVuZE5vdGU+PENpdGU+PEF1dGhvcj5IYWNvaGVuPC9BdXRob3I+PFllYXI+MjAxNzwvWWVhcj48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PEVuZE5vdGU+PENpdGU+PEF1dGhvcj5IYWNvaGVuPC9BdXRob3I+PFllYXI+MjAxNzwvWWVhcj48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(Hacohen et al. 2017)</w:t>
            </w:r>
            <w:r w:rsidRPr="00106312">
              <w:rPr>
                <w:rFonts w:ascii="Arial Narrow" w:hAnsi="Arial Narrow" w:cs="Times New Roman"/>
                <w:sz w:val="16"/>
                <w:szCs w:val="16"/>
              </w:rPr>
              <w:fldChar w:fldCharType="end"/>
            </w:r>
          </w:p>
          <w:p w14:paraId="5C87E7E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UK</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4D7B7F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yield study</w:t>
            </w:r>
          </w:p>
          <w:p w14:paraId="42BA84E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0888A46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D16BB4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110</w:t>
            </w:r>
          </w:p>
          <w:p w14:paraId="6C1BB32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Panel review of clinical assessment data from three centres</w:t>
            </w:r>
          </w:p>
          <w:p w14:paraId="7DB43AD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641AD4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children attending CNS Inflammatory Demyelination Work Group Centers diagnosed with relapsing DS </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0A0998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Monophasic ADEM and CIS (even if meeting McDonald criteria after first event)</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C2E1CF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and MOG-Ab testing; clinical assessment</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019280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021BCF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295BCF9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238792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NIHR University College London Hospitals Biomedical Research Centre (OC); NIHR Great Ormond Street Hospital Biomedical Research Centre (YH, CH)</w:t>
            </w:r>
          </w:p>
          <w:p w14:paraId="0B8BA69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Multiple reported</w:t>
            </w:r>
          </w:p>
        </w:tc>
      </w:tr>
      <w:tr w:rsidR="00106312" w:rsidRPr="00106312" w14:paraId="10114931"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1D2B198" w14:textId="65DD232C"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PEVuZE5vdGU+PENpdGU+PEF1dGhvcj5IYW1pZDwvQXV0aG9yPjxZZWFyPjIwMTc8L1llYXI+PFJl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PEVuZE5vdGU+PENpdGU+PEF1dGhvcj5IYW1pZDwvQXV0aG9yPjxZZWFyPjIwMTc8L1llYXI+PFJl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(Hamid et al. 2017)</w:t>
            </w:r>
            <w:r w:rsidRPr="00106312">
              <w:rPr>
                <w:rFonts w:ascii="Arial Narrow" w:hAnsi="Arial Narrow" w:cs="Times New Roman"/>
                <w:sz w:val="16"/>
                <w:szCs w:val="16"/>
              </w:rPr>
              <w:fldChar w:fldCharType="end"/>
            </w:r>
          </w:p>
          <w:p w14:paraId="1AF3F8C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UK</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C9B94A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yield study</w:t>
            </w:r>
          </w:p>
          <w:p w14:paraId="17A1B00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30EA66E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High</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B79FFB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261</w:t>
            </w:r>
          </w:p>
          <w:p w14:paraId="0253BC8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University hospital clinic that is part of the UK NMOSD service</w:t>
            </w:r>
          </w:p>
          <w:p w14:paraId="6173CDC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18</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2AAEDA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seen in the clinic over the last 4 years (after the availability of MOG-IgG testing), that could provide clinical information, MRI, and antibody test results.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26B97F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4B12A4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and MOG-Ab testing</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BAFE04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53CC32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5716F56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6D1222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It was reported that there was no industry sponsorship</w:t>
            </w:r>
          </w:p>
          <w:p w14:paraId="4018BCD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It was reported that there was no conflicts</w:t>
            </w:r>
          </w:p>
        </w:tc>
      </w:tr>
      <w:tr w:rsidR="00106312" w:rsidRPr="00106312" w14:paraId="45B2F76D"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231A26A" w14:textId="3DDB9443"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PEVuZE5vdGU+PENpdGU+PEF1dGhvcj5IZW5uZXM8L0F1dGhvcj48WWVhcj4yMDE3PC9ZZWFyPjxS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PEVuZE5vdGU+PENpdGU+PEF1dGhvcj5IZW5uZXM8L0F1dGhvcj48WWVhcj4yMDE3PC9ZZWFyPjxS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(Hennes et al. 2017)</w:t>
            </w:r>
            <w:r w:rsidRPr="00106312">
              <w:rPr>
                <w:rFonts w:ascii="Arial Narrow" w:hAnsi="Arial Narrow" w:cs="Times New Roman"/>
                <w:sz w:val="16"/>
                <w:szCs w:val="16"/>
              </w:rPr>
              <w:fldChar w:fldCharType="end"/>
            </w:r>
          </w:p>
          <w:p w14:paraId="4530662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Europe, multiple</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CCC592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76856D0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77B5B95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Low</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193C67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210</w:t>
            </w:r>
          </w:p>
          <w:p w14:paraId="6D31ECA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Medical centres in participating countries</w:t>
            </w:r>
          </w:p>
          <w:p w14:paraId="2F5043D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12</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54871E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Children with ADS and a complete data set </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746144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Diagnosis with other neurological diseases </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6853A4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 and MOG-Ab testing; application of new diagnostic criteria</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019255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Diagnosis by earlier criteria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FB9230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Change in </w:t>
            </w:r>
            <w:r w:rsidR="00315EBD" w:rsidRPr="00106312">
              <w:rPr>
                <w:rFonts w:ascii="Arial Narrow" w:hAnsi="Arial Narrow" w:cs="Times New Roman"/>
                <w:sz w:val="16"/>
                <w:szCs w:val="16"/>
              </w:rPr>
              <w:t>diagnosis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C81FA3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Grant numbers 14158 and 15918 (Jubilaeumsfonds of the Austrian National Bank); “BIG WIG MS” (Austrian Federal Ministry of Science, Research and Economy).</w:t>
            </w:r>
          </w:p>
          <w:p w14:paraId="51690A0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Multiple affiliations and disclosures reported</w:t>
            </w:r>
          </w:p>
        </w:tc>
      </w:tr>
      <w:tr w:rsidR="00106312" w:rsidRPr="00106312" w14:paraId="0BC98118"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DCAE99C" w14:textId="0E8AD31A"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PEVuZE5vdGU+PENpdGU+PEF1dGhvcj5Ib3V6ZW48L0F1dGhvcj48WWVhcj4yMDE3PC9ZZWFyPjxS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PEVuZE5vdGU+PENpdGU+PEF1dGhvcj5Ib3V6ZW48L0F1dGhvcj48WWVhcj4yMDE3PC9ZZWFyPjxS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(Houzen et al. 2017)</w:t>
            </w:r>
            <w:r w:rsidRPr="00106312">
              <w:rPr>
                <w:rFonts w:ascii="Arial Narrow" w:hAnsi="Arial Narrow" w:cs="Times New Roman"/>
                <w:sz w:val="16"/>
                <w:szCs w:val="16"/>
              </w:rPr>
              <w:fldChar w:fldCharType="end"/>
            </w:r>
          </w:p>
          <w:p w14:paraId="6C70FDC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Japan</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5C4C21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yield study</w:t>
            </w:r>
          </w:p>
          <w:p w14:paraId="2856BD8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22B0CCD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3AF18D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14</w:t>
            </w:r>
          </w:p>
          <w:p w14:paraId="1F57D30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Clinical cent</w:t>
            </w:r>
            <w:r w:rsidR="0057193F">
              <w:rPr>
                <w:rFonts w:ascii="Arial Narrow" w:hAnsi="Arial Narrow" w:cs="Times New Roman"/>
                <w:sz w:val="16"/>
                <w:szCs w:val="16"/>
              </w:rPr>
              <w:t>res</w:t>
            </w:r>
            <w:r w:rsidRPr="00106312">
              <w:rPr>
                <w:rFonts w:ascii="Arial Narrow" w:hAnsi="Arial Narrow" w:cs="Times New Roman"/>
                <w:sz w:val="16"/>
                <w:szCs w:val="16"/>
              </w:rPr>
              <w:t xml:space="preserve"> in a Japanese province</w:t>
            </w:r>
          </w:p>
          <w:p w14:paraId="0748A4B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45</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E3D82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Diagnosis with NMOSD</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E7F13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1D826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and MOG-Ab testing</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F21795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23823F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C7B6C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targeted funding reported.</w:t>
            </w:r>
          </w:p>
          <w:p w14:paraId="7EBBF59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Multiple disclosures reported</w:t>
            </w:r>
          </w:p>
        </w:tc>
      </w:tr>
      <w:tr w:rsidR="00106312" w:rsidRPr="00106312" w14:paraId="21DCCE19"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E849C73" w14:textId="12014776" w:rsidR="00A400A2" w:rsidRDefault="00A400A2"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fldChar w:fldCharType="begin">
                <w:fldData xml:space="preserve">PEVuZE5vdGU+PENpdGU+PEF1dGhvcj5IdWFuZzwvQXV0aG9yPjxZZWFyPjIwMTg8L1llYXI+PFJl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</w:fldData>
              </w:fldChar>
            </w:r>
            <w:r>
              <w:rPr>
                <w:rFonts w:ascii="Arial Narrow" w:hAnsi="Arial Narrow" w:cs="Times New Roman"/>
                <w:sz w:val="16"/>
                <w:szCs w:val="16"/>
              </w:rPr>
              <w:instrText xml:space="preserve"> ADDIN EN.CITE </w:instrText>
            </w:r>
            <w:r>
              <w:rPr>
                <w:rFonts w:ascii="Arial Narrow" w:hAnsi="Arial Narrow" w:cs="Times New Roman"/>
                <w:sz w:val="16"/>
                <w:szCs w:val="16"/>
              </w:rPr>
              <w:fldChar w:fldCharType="begin">
                <w:fldData xml:space="preserve">PEVuZE5vdGU+PENpdGU+PEF1dGhvcj5IdWFuZzwvQXV0aG9yPjxZZWFyPjIwMTg8L1llYXI+PFJl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</w:fldData>
              </w:fldChar>
            </w:r>
            <w:r>
              <w:rPr>
                <w:rFonts w:ascii="Arial Narrow" w:hAnsi="Arial Narrow" w:cs="Times New Roman"/>
                <w:sz w:val="16"/>
                <w:szCs w:val="16"/>
              </w:rPr>
              <w:instrText xml:space="preserve"> ADDIN EN.CITE.DATA </w:instrText>
            </w:r>
            <w:r>
              <w:rPr>
                <w:rFonts w:ascii="Arial Narrow" w:hAnsi="Arial Narrow" w:cs="Times New Roman"/>
                <w:sz w:val="16"/>
                <w:szCs w:val="16"/>
              </w:rPr>
            </w:r>
            <w:r>
              <w:rPr>
                <w:rFonts w:ascii="Arial Narrow" w:hAnsi="Arial Narrow" w:cs="Times New Roman"/>
                <w:sz w:val="16"/>
                <w:szCs w:val="16"/>
              </w:rPr>
              <w:fldChar w:fldCharType="end"/>
            </w:r>
            <w:r>
              <w:rPr>
                <w:rFonts w:ascii="Arial Narrow" w:hAnsi="Arial Narrow" w:cs="Times New Roman"/>
                <w:sz w:val="16"/>
                <w:szCs w:val="16"/>
              </w:rPr>
            </w:r>
            <w:r>
              <w:rPr>
                <w:rFonts w:ascii="Arial Narrow" w:hAnsi="Arial Narrow" w:cs="Times New Roman"/>
                <w:sz w:val="16"/>
                <w:szCs w:val="16"/>
              </w:rPr>
              <w:fldChar w:fldCharType="separate"/>
            </w:r>
            <w:r>
              <w:rPr>
                <w:rFonts w:ascii="Arial Narrow" w:hAnsi="Arial Narrow" w:cs="Times New Roman"/>
                <w:noProof/>
                <w:sz w:val="16"/>
                <w:szCs w:val="16"/>
              </w:rPr>
              <w:t>(Huang et al. 2018)</w:t>
            </w:r>
            <w:r>
              <w:rPr>
                <w:rFonts w:ascii="Arial Narrow" w:hAnsi="Arial Narrow" w:cs="Times New Roman"/>
                <w:sz w:val="16"/>
                <w:szCs w:val="16"/>
              </w:rPr>
              <w:fldChar w:fldCharType="end"/>
            </w:r>
          </w:p>
          <w:p w14:paraId="1EF7BDA2" w14:textId="20EC9108"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132AE9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Prospective cohort study</w:t>
            </w:r>
          </w:p>
          <w:p w14:paraId="305FCBC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III2</w:t>
            </w:r>
          </w:p>
          <w:p w14:paraId="6619D96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B70AA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90</w:t>
            </w:r>
          </w:p>
          <w:p w14:paraId="7120A39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Not clearly stated</w:t>
            </w:r>
          </w:p>
          <w:p w14:paraId="0C320DB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36</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745D29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diagnosed with 2006 NMO or 2015 NMOSD criteria, AQP4-Abs +ve, ≥18 years, more than 2 relapses within 2 years prior to MM</w:t>
            </w:r>
            <w:r w:rsidR="0057193F">
              <w:rPr>
                <w:rFonts w:ascii="Arial Narrow" w:hAnsi="Arial Narrow" w:cs="Times New Roman"/>
                <w:sz w:val="16"/>
                <w:szCs w:val="16"/>
              </w:rPr>
              <w:t>F</w:t>
            </w:r>
            <w:r w:rsidRPr="00106312">
              <w:rPr>
                <w:rFonts w:ascii="Arial Narrow" w:hAnsi="Arial Narrow" w:cs="Times New Roman"/>
                <w:sz w:val="16"/>
                <w:szCs w:val="16"/>
              </w:rPr>
              <w:t xml:space="preserve"> treatment or more than 1 attack in the 1 year prior to treatment</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CADD1C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Patients with transaminase and haematological levels beyond the upper limit of normal values or study criteria </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355021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IV dose of 500mg/day for the first 2 weeks; adjusted to 1,000mg/day </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F3D83B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comparator</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5F3FEF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Adverse events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C8A307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Zhongshan University Clinical Medicine Research</w:t>
            </w:r>
          </w:p>
          <w:p w14:paraId="3C72F99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declared that there was no conflict of interest</w:t>
            </w:r>
          </w:p>
        </w:tc>
      </w:tr>
      <w:tr w:rsidR="00106312" w:rsidRPr="00106312" w14:paraId="6CC77450"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EDB652F" w14:textId="5C47C973"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r>
            <w:r w:rsidR="00D96694">
              <w:rPr>
                <w:rFonts w:ascii="Arial Narrow" w:hAnsi="Arial Narrow" w:cs="Times New Roman"/>
                <w:sz w:val="16"/>
                <w:szCs w:val="16"/>
              </w:rPr>
              <w:instrText xml:space="preserve"> ADDIN EN.CITE &lt;EndNote&gt;&lt;Cite&gt;&lt;Author&gt;Hyun&lt;/Author&gt;&lt;Year&gt;2016&lt;/Year&gt;&lt;RecNum&gt;90&lt;/RecNum&gt;&lt;DisplayText&gt;(Hyun et al. 2016)&lt;/DisplayText&gt;&lt;record&gt;&lt;rec-number&gt;90&lt;/rec-number&gt;&lt;foreign-keys&gt;&lt;key app="EN" db-id="r25zptaswpdzade29ws5pf9gx55ztppatt20" timestamp="1582849117"&gt;90&lt;/key&gt;&lt;/foreign-keys&gt;&lt;ref-type name="Journal Article"&gt;17&lt;/ref-type&gt;&lt;contributors&gt;&lt;authors&gt;&lt;author&gt;Hyun, J. W.&lt;/author&gt;&lt;author&gt;Jeong, I. H.&lt;/author&gt;&lt;author&gt;Joung, A.&lt;/author&gt;&lt;author&gt;Kim, S. H.&lt;/author&gt;&lt;author&gt;Kim, H. J.&lt;/author&gt;&lt;/authors&gt;&lt;/contributors&gt;&lt;auth-address&gt;From the Department of Neurology, Research Institute and Hospital of National Cancer Center, Goyang, Korea. From the Department of Neurology, Research Institute and Hospital of National Cancer Center, Goyang, Korea. hojinkim@ncc.re.kr.&lt;/auth-address&gt;&lt;titles&gt;&lt;title&gt;Evaluation of the 2015 diagnostic criteria for neuromyelitis optica spectrum disorder&lt;/title&gt;&lt;secondary-title&gt;Neurology&lt;/secondary-title&gt;&lt;/titles&gt;&lt;periodical&gt;&lt;full-title&gt;Neurology&lt;/full-title&gt;&lt;/periodical&gt;&lt;pages&gt;1772-9&lt;/pages&gt;&lt;volume&gt;86&lt;/volume&gt;&lt;number&gt;19&lt;/number&gt;&lt;keywords&gt;&lt;keyword&gt;Adult&lt;/keyword&gt;&lt;keyword&gt;Aquaporin 4/immunology&lt;/keyword&gt;&lt;keyword&gt;Diagnosis, Differential&lt;/keyword&gt;&lt;keyword&gt;Enzyme-Linked Immunosorbent Assay&lt;/keyword&gt;&lt;keyword&gt;Female&lt;/keyword&gt;&lt;keyword&gt;Follow-Up Studies&lt;/keyword&gt;&lt;keyword&gt;Humans&lt;/keyword&gt;&lt;keyword&gt;Immunoglobulin G/metabolism&lt;/keyword&gt;&lt;keyword&gt;Male&lt;/keyword&gt;&lt;keyword&gt;Neuromyelitis Optica/ diagnosis/physiopathology&lt;/keyword&gt;&lt;keyword&gt;Retrospective Studies&lt;/keyword&gt;&lt;/keywords&gt;&lt;dates&gt;&lt;year&gt;2016&lt;/year&gt;&lt;pub-dates&gt;&lt;date&gt;May 10&lt;/date&gt;&lt;/pub-dates&gt;&lt;/dates&gt;&lt;accession-num&gt;27164713&lt;/accession-num&gt;&lt;urls&gt;&lt;related-urls&gt;&lt;url&gt;https://n.neurology.org/content/86/19/1772.long&lt;/url&gt;&lt;/related-urls&gt;&lt;/urls&gt;&lt;remote-database-provider&gt;Nlm&lt;/remote-database-provider&gt;&lt;research-notes&gt;pop: adults, NMOSD&amp;#xD;inter: diagnosis by 2015 criteria,&amp;#xD;reported: AQP4 status, agreement between 2006 (with assumed unknown AQP4 status) and 2015 diagnoses&lt;/research-notes&gt;&lt;language&gt;eng&lt;/language&gt;&lt;/record&gt;&lt;/Cite&gt;&lt;/EndNote&gt;</w:instrText>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(Hyun et al. 2016)</w:t>
            </w:r>
            <w:r w:rsidRPr="00106312">
              <w:rPr>
                <w:rFonts w:ascii="Arial Narrow" w:hAnsi="Arial Narrow" w:cs="Times New Roman"/>
                <w:sz w:val="16"/>
                <w:szCs w:val="16"/>
              </w:rPr>
              <w:fldChar w:fldCharType="end"/>
            </w:r>
          </w:p>
          <w:p w14:paraId="31C5763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South Korea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F551A6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Comparative study with concurrent controls</w:t>
            </w:r>
          </w:p>
          <w:p w14:paraId="7EE20BD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III2</w:t>
            </w:r>
          </w:p>
          <w:p w14:paraId="40ED738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076BB7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594</w:t>
            </w:r>
          </w:p>
          <w:p w14:paraId="1602BCD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National Cancer Centre registry</w:t>
            </w:r>
          </w:p>
          <w:p w14:paraId="0214553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33</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115B3C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possible CNS inflammatory diseases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89FF91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known causes including neoplastic, vascular, compressive, infectious, and metabolic etiologies; 34 patients with inappropriate medical records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C231575" w14:textId="77777777" w:rsidR="00106312" w:rsidRPr="00106312" w:rsidRDefault="00106312" w:rsidP="0057193F">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w:t>
            </w:r>
            <w:r w:rsidR="0057193F">
              <w:rPr>
                <w:rFonts w:ascii="Arial Narrow" w:hAnsi="Arial Narrow" w:cs="Times New Roman"/>
                <w:sz w:val="16"/>
                <w:szCs w:val="16"/>
              </w:rPr>
              <w:t>b</w:t>
            </w:r>
            <w:r w:rsidRPr="00106312">
              <w:rPr>
                <w:rFonts w:ascii="Arial Narrow" w:hAnsi="Arial Narrow" w:cs="Times New Roman"/>
                <w:sz w:val="16"/>
                <w:szCs w:val="16"/>
              </w:rPr>
              <w:t xml:space="preserve"> testing; Diagnosis by 2015 criteria</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8FB153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diagnosis without AQP4-Ab testing</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36B19B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Time to diagnosis</w:t>
            </w:r>
          </w:p>
          <w:p w14:paraId="4EC700E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Change in diagnosis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37ACCA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targeted funding reported.</w:t>
            </w:r>
          </w:p>
          <w:p w14:paraId="5909EC9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Multiple disclosures reported</w:t>
            </w:r>
          </w:p>
        </w:tc>
      </w:tr>
      <w:tr w:rsidR="00106312" w:rsidRPr="00106312" w14:paraId="6D40D594"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AC61820" w14:textId="619CCA3D"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PEVuZE5vdGU+PENpdGU+PEF1dGhvcj5IeXVuPC9BdXRob3I+PFllYXI+MjAxNzwvWWVhcj48UmVj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PEVuZE5vdGU+PENpdGU+PEF1dGhvcj5IeXVuPC9BdXRob3I+PFllYXI+MjAxNzwvWWVhcj48UmVj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(Hyun et al. 2017)</w:t>
            </w:r>
            <w:r w:rsidRPr="00106312">
              <w:rPr>
                <w:rFonts w:ascii="Arial Narrow" w:hAnsi="Arial Narrow" w:cs="Times New Roman"/>
                <w:sz w:val="16"/>
                <w:szCs w:val="16"/>
              </w:rPr>
              <w:fldChar w:fldCharType="end"/>
            </w:r>
          </w:p>
          <w:p w14:paraId="5C984F3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South Korea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A24487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yield study</w:t>
            </w:r>
          </w:p>
          <w:p w14:paraId="3CFD331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589D806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High</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D53A5B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505</w:t>
            </w:r>
          </w:p>
          <w:p w14:paraId="7D0A37F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Neurology Department of the National Cancer Center</w:t>
            </w:r>
          </w:p>
          <w:p w14:paraId="0C113B8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NA</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C2539D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Consecutive patients with suspected CNS IDD who had available serum samples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B29468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984475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and MOG-Ab testing</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2B1D6A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B85B7A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43E2CDB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FBD09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p w14:paraId="4D7DC6C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Multiple reported</w:t>
            </w:r>
          </w:p>
        </w:tc>
      </w:tr>
      <w:tr w:rsidR="00106312" w:rsidRPr="00106312" w14:paraId="1579F8E6"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B4E7B8F" w14:textId="66F3D39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PEVuZE5vdGU+PENpdGU+PEF1dGhvcj5KYWluPC9BdXRob3I+PFllYXI+MjAxNjwvWWVhcj48UmVj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PEVuZE5vdGU+PENpdGU+PEF1dGhvcj5KYWluPC9BdXRob3I+PFllYXI+MjAxNjwvWWVhcj48UmVj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(Jain et al. 2016)</w:t>
            </w:r>
            <w:r w:rsidRPr="00106312">
              <w:rPr>
                <w:rFonts w:ascii="Arial Narrow" w:hAnsi="Arial Narrow" w:cs="Times New Roman"/>
                <w:sz w:val="16"/>
                <w:szCs w:val="16"/>
              </w:rPr>
              <w:fldChar w:fldCharType="end"/>
            </w:r>
          </w:p>
          <w:p w14:paraId="3CE7134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India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7DAC3F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6E9D81C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2B89547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High</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E7B101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64</w:t>
            </w:r>
          </w:p>
          <w:p w14:paraId="6225CDB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Tertiary care centre</w:t>
            </w:r>
          </w:p>
          <w:p w14:paraId="5F51297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7B0811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LETM of three or more segments of spinal cord on MRI</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95608E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4A172A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testing by ELISA; MOG-Ab testing; clinical assessment and diagnosis</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0B8ECA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previous clinical assessment</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15B970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11BE225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63836E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Reported as none</w:t>
            </w:r>
          </w:p>
          <w:p w14:paraId="759FFB5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Reported that there were no disclosures to declare</w:t>
            </w:r>
          </w:p>
        </w:tc>
      </w:tr>
      <w:tr w:rsidR="00106312" w:rsidRPr="00106312" w14:paraId="1F000261"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34E3D57" w14:textId="7B24DC29"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PEVuZE5vdGU+PENpdGU+PEF1dGhvcj5KYXJpdXM8L0F1dGhvcj48WWVhcj4yMDEwPC9ZZWFyPjxS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PEVuZE5vdGU+PENpdGU+PEF1dGhvcj5KYXJpdXM8L0F1dGhvcj48WWVhcj4yMDEwPC9ZZWFyPjxS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00AC01FD">
              <w:rPr>
                <w:rFonts w:ascii="Arial Narrow" w:hAnsi="Arial Narrow" w:cs="Times New Roman"/>
                <w:noProof/>
                <w:sz w:val="16"/>
                <w:szCs w:val="16"/>
              </w:rPr>
              <w:t>(Jarius et al. 2010)</w:t>
            </w:r>
            <w:r w:rsidRPr="00106312">
              <w:rPr>
                <w:rFonts w:ascii="Arial Narrow" w:hAnsi="Arial Narrow" w:cs="Times New Roman"/>
                <w:sz w:val="16"/>
                <w:szCs w:val="16"/>
              </w:rPr>
              <w:fldChar w:fldCharType="end"/>
            </w:r>
          </w:p>
          <w:p w14:paraId="6B93E56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Austria, Germany, Italy</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3D4A67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case-control study</w:t>
            </w:r>
          </w:p>
          <w:p w14:paraId="3003125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III3</w:t>
            </w:r>
          </w:p>
          <w:p w14:paraId="00E3C87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D8F02F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79.</w:t>
            </w:r>
          </w:p>
          <w:p w14:paraId="3271368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p w14:paraId="3C4620A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95F7C4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NMOSD (AQP4-Ab +ve or -ve); controls with MS and other neurological diseases.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F30D42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F47431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Cerebrospinal fluid samples tested in a cell-based assay.</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BE4C2C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Serum AQP4-Ab samples.</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2116A2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Test agreement</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122C29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European Committee for Treatment and Research in Multiple Sclerosis, Bayer Schering Pharma, Merck Serono and German Research Foundation.</w:t>
            </w:r>
          </w:p>
          <w:p w14:paraId="7D902C4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declared no competing interests.</w:t>
            </w:r>
          </w:p>
        </w:tc>
      </w:tr>
      <w:tr w:rsidR="00106312" w:rsidRPr="00106312" w14:paraId="13400A29"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5B9103F" w14:textId="7C343BCF" w:rsidR="00E33BFB" w:rsidRDefault="00E33BFB"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rPr>
                <w:rFonts w:ascii="Arial Narrow" w:hAnsi="Arial Narrow" w:cs="Times New Roman"/>
                <w:sz w:val="16"/>
                <w:szCs w:val="16"/>
              </w:rPr>
              <w:instrText xml:space="preserve"> ADDIN EN.CITE </w:instrText>
            </w:r>
            <w:r w:rsidR="00557788">
              <w:rPr>
                <w:rFonts w:ascii="Arial Narrow" w:hAnsi="Arial Narrow" w:cs="Times New Roman"/>
                <w:sz w:val="16"/>
                <w:szCs w:val="16"/>
              </w:rPr>
              <w:fldChar w:fldCharType="begin">
                <w:fldData xml:space="preserve">PEVuZE5vdGU+PENpdGU+PEF1dGhvcj5KaWFvPC9BdXRob3I+PFllYXI+MjAxODwvWWVhcj48UmVj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</w:fldData>
              </w:fldChar>
            </w:r>
            <w:r w:rsidR="00557788">
              <w:rPr>
                <w:rFonts w:ascii="Arial Narrow" w:hAnsi="Arial Narrow" w:cs="Times New Roman"/>
                <w:sz w:val="16"/>
                <w:szCs w:val="16"/>
              </w:rPr>
              <w:instrText xml:space="preserve"> ADDIN EN.CITE.DATA </w:instrText>
            </w:r>
            <w:r w:rsidR="00557788">
              <w:rPr>
                <w:rFonts w:ascii="Arial Narrow" w:hAnsi="Arial Narrow" w:cs="Times New Roman"/>
                <w:sz w:val="16"/>
                <w:szCs w:val="16"/>
              </w:rPr>
            </w:r>
            <w:r w:rsidR="00557788">
              <w:rPr>
                <w:rFonts w:ascii="Arial Narrow" w:hAnsi="Arial Narrow" w:cs="Times New Roman"/>
                <w:sz w:val="16"/>
                <w:szCs w:val="16"/>
              </w:rPr>
              <w:fldChar w:fldCharType="end"/>
            </w:r>
            <w:r>
              <w:rPr>
                <w:rFonts w:ascii="Arial Narrow" w:hAnsi="Arial Narrow" w:cs="Times New Roman"/>
                <w:sz w:val="16"/>
                <w:szCs w:val="16"/>
              </w:rPr>
            </w:r>
            <w:r>
              <w:rPr>
                <w:rFonts w:ascii="Arial Narrow" w:hAnsi="Arial Narrow" w:cs="Times New Roman"/>
                <w:sz w:val="16"/>
                <w:szCs w:val="16"/>
              </w:rPr>
              <w:fldChar w:fldCharType="separate"/>
            </w:r>
            <w:r w:rsidR="00557788">
              <w:rPr>
                <w:rFonts w:ascii="Arial Narrow" w:hAnsi="Arial Narrow" w:cs="Times New Roman"/>
                <w:noProof/>
                <w:sz w:val="16"/>
                <w:szCs w:val="16"/>
              </w:rPr>
              <w:t>(Jiao, Cui, Zhang, Zhang, Zhang, et al. 2018)</w:t>
            </w:r>
            <w:r>
              <w:rPr>
                <w:rFonts w:ascii="Arial Narrow" w:hAnsi="Arial Narrow" w:cs="Times New Roman"/>
                <w:sz w:val="16"/>
                <w:szCs w:val="16"/>
              </w:rPr>
              <w:fldChar w:fldCharType="end"/>
            </w:r>
          </w:p>
          <w:p w14:paraId="570E8987" w14:textId="3792CC6C"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3BEEDD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2EB6226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1C51803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High</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DB162F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109</w:t>
            </w:r>
          </w:p>
          <w:p w14:paraId="192DE65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China-Japan Friendship Hospital</w:t>
            </w:r>
          </w:p>
          <w:p w14:paraId="10EB286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51.3</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87A7846" w14:textId="77777777" w:rsidR="00106312" w:rsidRPr="00106312" w:rsidRDefault="00106312" w:rsidP="0017177A">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NMO or NMOSD and AQP4-Ab +ve who had received MM</w:t>
            </w:r>
            <w:r w:rsidR="0017177A">
              <w:rPr>
                <w:rFonts w:ascii="Arial Narrow" w:hAnsi="Arial Narrow" w:cs="Times New Roman"/>
                <w:sz w:val="16"/>
                <w:szCs w:val="16"/>
              </w:rPr>
              <w:t>F</w:t>
            </w:r>
            <w:r w:rsidR="0087214D">
              <w:rPr>
                <w:rFonts w:ascii="Arial Narrow" w:hAnsi="Arial Narrow" w:cs="Times New Roman"/>
                <w:sz w:val="16"/>
                <w:szCs w:val="16"/>
              </w:rPr>
              <w:t xml:space="preserve"> </w:t>
            </w:r>
            <w:r w:rsidRPr="00106312">
              <w:rPr>
                <w:rFonts w:ascii="Arial Narrow" w:hAnsi="Arial Narrow" w:cs="Times New Roman"/>
                <w:sz w:val="16"/>
                <w:szCs w:val="16"/>
              </w:rPr>
              <w:t>for six months or longer</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D64E26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None reported</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24D91F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MM</w:t>
            </w:r>
            <w:r w:rsidR="0017177A">
              <w:rPr>
                <w:rFonts w:ascii="Arial Narrow" w:hAnsi="Arial Narrow" w:cs="Times New Roman"/>
                <w:sz w:val="16"/>
                <w:szCs w:val="16"/>
              </w:rPr>
              <w:t>F</w:t>
            </w:r>
            <w:r w:rsidRPr="00106312">
              <w:rPr>
                <w:rFonts w:ascii="Arial Narrow" w:hAnsi="Arial Narrow" w:cs="Times New Roman"/>
                <w:sz w:val="16"/>
                <w:szCs w:val="16"/>
              </w:rPr>
              <w:t xml:space="preserve"> at different dosages; low ≤1000mg/day; moderate 1250mg/day and 1500mg/day; high 1750mg/day and 2000mg/day</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4E6360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comparator group</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EB2ACD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Adverse events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79C895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China-Japan Friendship Hospital and Foundation of Capital Characteristic Clinical Application Research</w:t>
            </w:r>
          </w:p>
          <w:p w14:paraId="1B4DD06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state that they have no conflict of interest</w:t>
            </w:r>
          </w:p>
        </w:tc>
      </w:tr>
      <w:tr w:rsidR="00106312" w:rsidRPr="00106312" w14:paraId="017629F2"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AD2701C" w14:textId="0A19FF1E"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PEVuZE5vdGU+PENpdGU+PEF1dGhvcj5KaWFvPC9BdXRob3I+PFllYXI+MjAxODwvWWVhcj48UmVj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==
</w:fldData>
              </w:fldChar>
            </w:r>
            <w:r w:rsidR="00B76BB1">
              <w:rPr>
                <w:rFonts w:ascii="Arial Narrow" w:hAnsi="Arial Narrow" w:cs="Times New Roman"/>
                <w:sz w:val="16"/>
                <w:szCs w:val="16"/>
              </w:rPr>
              <w:instrText xml:space="preserve"> ADDIN EN.CITE </w:instrText>
            </w:r>
            <w:r w:rsidR="00B76BB1">
              <w:rPr>
                <w:rFonts w:ascii="Arial Narrow" w:hAnsi="Arial Narrow" w:cs="Times New Roman"/>
                <w:sz w:val="16"/>
                <w:szCs w:val="16"/>
              </w:rPr>
              <w:fldChar w:fldCharType="begin">
                <w:fldData xml:space="preserve">PEVuZE5vdGU+PENpdGU+PEF1dGhvcj5KaWFvPC9BdXRob3I+PFllYXI+MjAxODwvWWVhcj48UmVj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==
</w:fldData>
              </w:fldChar>
            </w:r>
            <w:r w:rsidR="00B76BB1">
              <w:rPr>
                <w:rFonts w:ascii="Arial Narrow" w:hAnsi="Arial Narrow" w:cs="Times New Roman"/>
                <w:sz w:val="16"/>
                <w:szCs w:val="16"/>
              </w:rPr>
              <w:instrText xml:space="preserve"> ADDIN EN.CITE.DATA </w:instrText>
            </w:r>
            <w:r w:rsidR="00B76BB1">
              <w:rPr>
                <w:rFonts w:ascii="Arial Narrow" w:hAnsi="Arial Narrow" w:cs="Times New Roman"/>
                <w:sz w:val="16"/>
                <w:szCs w:val="16"/>
              </w:rPr>
            </w:r>
            <w:r w:rsidR="00B76BB1">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00B76BB1">
              <w:rPr>
                <w:rFonts w:ascii="Arial Narrow" w:hAnsi="Arial Narrow" w:cs="Times New Roman"/>
                <w:noProof/>
                <w:sz w:val="16"/>
                <w:szCs w:val="16"/>
              </w:rPr>
              <w:t>(Y. et al. 2018)</w:t>
            </w:r>
            <w:r w:rsidRPr="00106312">
              <w:rPr>
                <w:rFonts w:ascii="Arial Narrow" w:hAnsi="Arial Narrow" w:cs="Times New Roman"/>
                <w:sz w:val="16"/>
                <w:szCs w:val="16"/>
              </w:rPr>
              <w:fldChar w:fldCharType="end"/>
            </w:r>
          </w:p>
          <w:p w14:paraId="162391E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DA1197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5859EBA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0CB32DC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0F014A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29</w:t>
            </w:r>
          </w:p>
          <w:p w14:paraId="2554C04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China-Japan Friendship Hospital</w:t>
            </w:r>
          </w:p>
          <w:p w14:paraId="3F604DF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35.5</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C9ABF3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NMOSD receiving PLEX</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7A752D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921C74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PLEX No other information was provided</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FE6484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comparator</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06FBE1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Adverse events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9DB1F5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Foundation of Capital Characteristic Clinical Application Research and Youth Foundation of China-Japan Friendship Hospital</w:t>
            </w:r>
          </w:p>
          <w:p w14:paraId="664F0B6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declared there was no conflict of interest</w:t>
            </w:r>
          </w:p>
        </w:tc>
      </w:tr>
      <w:tr w:rsidR="00106312" w:rsidRPr="00106312" w14:paraId="51B70353"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D33D81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PEVuZE5vdGU+PENpdGU+PEF1dGhvcj5KdXJ5bmN6eWs8L0F1dGhvcj48WWVhcj4yMDE2PC9ZZWFy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</w:fldData>
              </w:fldChar>
            </w:r>
            <w:r w:rsidR="00AC01FD">
              <w:rPr>
                <w:rFonts w:ascii="Arial Narrow" w:hAnsi="Arial Narrow" w:cs="Times New Roman"/>
                <w:sz w:val="16"/>
                <w:szCs w:val="16"/>
              </w:rPr>
              <w:instrText xml:space="preserve"> ADDIN EN.CITE </w:instrText>
            </w:r>
            <w:r w:rsidR="00AC01FD">
              <w:rPr>
                <w:rFonts w:ascii="Arial Narrow" w:hAnsi="Arial Narrow" w:cs="Times New Roman"/>
                <w:sz w:val="16"/>
                <w:szCs w:val="16"/>
              </w:rPr>
              <w:fldChar w:fldCharType="begin">
                <w:fldData xml:space="preserve">PEVuZE5vdGU+PENpdGU+PEF1dGhvcj5KdXJ5bmN6eWs8L0F1dGhvcj48WWVhcj4yMDE2PC9ZZWFy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</w:fldData>
              </w:fldChar>
            </w:r>
            <w:r w:rsidR="00AC01FD">
              <w:rPr>
                <w:rFonts w:ascii="Arial Narrow" w:hAnsi="Arial Narrow" w:cs="Times New Roman"/>
                <w:sz w:val="16"/>
                <w:szCs w:val="16"/>
              </w:rPr>
              <w:instrText xml:space="preserve"> ADDIN EN.CITE.DATA </w:instrText>
            </w:r>
            <w:r w:rsidR="00AC01FD">
              <w:rPr>
                <w:rFonts w:ascii="Arial Narrow" w:hAnsi="Arial Narrow" w:cs="Times New Roman"/>
                <w:sz w:val="16"/>
                <w:szCs w:val="16"/>
              </w:rPr>
            </w:r>
            <w:r w:rsidR="00AC01FD">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(Jurynczyk et al. 2016)</w:t>
            </w:r>
            <w:r w:rsidRPr="00106312">
              <w:rPr>
                <w:rFonts w:ascii="Arial Narrow" w:hAnsi="Arial Narrow" w:cs="Times New Roman"/>
                <w:sz w:val="16"/>
                <w:szCs w:val="16"/>
              </w:rPr>
              <w:fldChar w:fldCharType="end"/>
            </w:r>
          </w:p>
          <w:p w14:paraId="38F6E16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UK</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230E31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58860A1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293E92B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High</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09029D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12</w:t>
            </w:r>
          </w:p>
          <w:p w14:paraId="15A1D40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The Oxford NMO service patients</w:t>
            </w:r>
          </w:p>
          <w:p w14:paraId="7C4FEFD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35</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1B159D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specifically selected who had clinical presentations with overlapping features of NMO and MS and to be representative of different clinical dilemmas.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BD01FE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A651E2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Opinions of 27 clinical experts on diagnosis and treatment based on provided clinical information</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443EA88" w14:textId="77777777" w:rsidR="00106312" w:rsidRPr="00106312" w:rsidRDefault="0087214D" w:rsidP="0087214D">
            <w:pPr>
              <w:spacing w:before="30" w:after="30"/>
              <w:ind w:right="60"/>
              <w:jc w:val="left"/>
              <w:rPr>
                <w:rFonts w:ascii="Arial Narrow" w:hAnsi="Arial Narrow" w:cs="Times New Roman"/>
                <w:sz w:val="16"/>
                <w:szCs w:val="16"/>
              </w:rPr>
            </w:pPr>
            <w:r>
              <w:rPr>
                <w:rFonts w:ascii="Arial Narrow" w:hAnsi="Arial Narrow" w:cs="Times New Roman"/>
                <w:sz w:val="16"/>
                <w:szCs w:val="16"/>
              </w:rPr>
              <w:t>P</w:t>
            </w:r>
            <w:r w:rsidR="00106312" w:rsidRPr="00106312">
              <w:rPr>
                <w:rFonts w:ascii="Arial Narrow" w:hAnsi="Arial Narrow" w:cs="Times New Roman"/>
                <w:sz w:val="16"/>
                <w:szCs w:val="16"/>
              </w:rPr>
              <w:t>revious diagnosis and treatment; diagnosis by 2015 criteria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C894E1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Clinician agreement in diagnosis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A862E7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p w14:paraId="48B137D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Multiple disclosures reported</w:t>
            </w:r>
          </w:p>
        </w:tc>
      </w:tr>
      <w:tr w:rsidR="00106312" w:rsidRPr="00106312" w14:paraId="02C7AF2D"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5075C0B" w14:textId="56C7F37A"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PEVuZE5vdGU+PENpdGU+PEF1dGhvcj5LYW5hbW9yaTwvQXV0aG9yPjxZZWFyPjIwMTE8L1llYXI+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PEVuZE5vdGU+PENpdGU+PEF1dGhvcj5LYW5hbW9yaTwvQXV0aG9yPjxZZWFyPjIwMTE8L1llYXI+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(Kanamori et al. 2011)</w:t>
            </w:r>
            <w:r w:rsidRPr="00106312">
              <w:rPr>
                <w:rFonts w:ascii="Arial Narrow" w:hAnsi="Arial Narrow" w:cs="Times New Roman"/>
                <w:sz w:val="16"/>
                <w:szCs w:val="16"/>
              </w:rPr>
              <w:fldChar w:fldCharType="end"/>
            </w:r>
          </w:p>
          <w:p w14:paraId="36630A7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Japan</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095ED8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Comparative study without concurrent controls</w:t>
            </w:r>
          </w:p>
          <w:p w14:paraId="62C5E32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III3</w:t>
            </w:r>
          </w:p>
          <w:p w14:paraId="5CA929B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0B2085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37 NMO; 51 MS</w:t>
            </w:r>
          </w:p>
          <w:p w14:paraId="28F656D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Tohoku University Hospital</w:t>
            </w:r>
          </w:p>
          <w:p w14:paraId="0D6EEF5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50.8</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3DFD58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Consecutive patients with NMO or NMOSD diagnosed using 2006 criteria and 58 consecutive patients with MS using 2005 McDonald criteria</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D0EC95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dementia</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B4E3A9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Short Form-36 (SF-36)</w:t>
            </w:r>
            <w:r w:rsidRPr="00106312">
              <w:rPr>
                <w:rFonts w:ascii="Arial Narrow" w:hAnsi="Arial Narrow" w:cs="Times New Roman"/>
                <w:sz w:val="16"/>
                <w:szCs w:val="16"/>
              </w:rPr>
              <w:br/>
              <w:t>Short Form Brief Pain Inventory (BPI)</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32B5B3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comparator was included</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15675F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QoL</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CF9492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Ministry of Education, Culture, Sports, Science and Technology and Ministry of Health, Labour and Welfare of Japan</w:t>
            </w:r>
          </w:p>
          <w:p w14:paraId="5278E3C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Possible conflict of interests were reported</w:t>
            </w:r>
          </w:p>
        </w:tc>
      </w:tr>
      <w:tr w:rsidR="00106312" w:rsidRPr="00106312" w14:paraId="54F477F9"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1980F50" w14:textId="1E1FA1DF"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PEVuZE5vdGU+PENpdGU+PEF1dGhvcj5LYW5nPC9BdXRob3I+PFllYXI+MjAxOTwvWWVhcj48UmVj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PEVuZE5vdGU+PENpdGU+PEF1dGhvcj5LYW5nPC9BdXRob3I+PFllYXI+MjAxOTwvWWVhcj48UmVj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(Kang et al. 2019)</w:t>
            </w:r>
            <w:r w:rsidRPr="00106312">
              <w:rPr>
                <w:rFonts w:ascii="Arial Narrow" w:hAnsi="Arial Narrow" w:cs="Times New Roman"/>
                <w:sz w:val="16"/>
                <w:szCs w:val="16"/>
              </w:rPr>
              <w:fldChar w:fldCharType="end"/>
            </w:r>
          </w:p>
          <w:p w14:paraId="0190523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8AF1D3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yield study</w:t>
            </w:r>
          </w:p>
          <w:p w14:paraId="1101806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01A7F38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33761A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51</w:t>
            </w:r>
          </w:p>
          <w:p w14:paraId="1EA9CAF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Ophthalmology department at a Chinese </w:t>
            </w:r>
            <w:r w:rsidR="00315EBD" w:rsidRPr="00106312">
              <w:rPr>
                <w:rFonts w:ascii="Arial Narrow" w:hAnsi="Arial Narrow" w:cs="Times New Roman"/>
                <w:sz w:val="16"/>
                <w:szCs w:val="16"/>
              </w:rPr>
              <w:t>hospital</w:t>
            </w:r>
          </w:p>
          <w:p w14:paraId="72DC9FD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4ED4F8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Presentation with simultaneous or nearly simultaneous bilateral ON; ON confirmed by using the optic neuritis treatment trial criteria (ONTT) (Waschbisch et al. 2013)</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F10C61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Compressive, vascular, toxic, metabolic, infiltrative or hereditary optic neuropathy; hepatitis viral or other systemic infection; other causative ocular diseases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18BFDE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(live cell assay) and MOG- Ab testing (fixed cell-based assay)</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2976A1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5CDEDF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682EEF0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B93BDC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p w14:paraId="1DE4288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r>
      <w:tr w:rsidR="00106312" w:rsidRPr="00106312" w14:paraId="239A5F36"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1AB61A0" w14:textId="403924F2"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PEVuZE5vdGU+PENpdGU+PEF1dGhvcj5MaTwvQXV0aG9yPjxZZWFyPjIwMTU8L1llYXI+PFJlY051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(Li et al. 2015)</w:t>
            </w:r>
            <w:r w:rsidRPr="00106312">
              <w:rPr>
                <w:rFonts w:ascii="Arial Narrow" w:hAnsi="Arial Narrow" w:cs="Times New Roman"/>
                <w:sz w:val="16"/>
                <w:szCs w:val="16"/>
              </w:rPr>
              <w:fldChar w:fldCharType="end"/>
            </w:r>
          </w:p>
          <w:p w14:paraId="66CD0C9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369ECE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71B23C2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5DBA5CA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Low</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181BE1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125 patients (220 eyes) </w:t>
            </w:r>
          </w:p>
          <w:p w14:paraId="7966A4D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Ophthalmology Department of a university hospital </w:t>
            </w:r>
          </w:p>
          <w:p w14:paraId="71CEAB3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38.98</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08A3D9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recurrent and bilateral optic neuritis with simultaneous attacks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26A562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Compressive, vascular, toxic, metabolic, infiltrative or hereditary optic neuropathy; hepatitis viral or other systemic infection; other causative ocular diseases; recent ON attack less than 6 months previously.</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478C14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Well described neuro-op</w:t>
            </w:r>
            <w:r w:rsidR="00315EBD">
              <w:rPr>
                <w:rFonts w:ascii="Arial Narrow" w:hAnsi="Arial Narrow" w:cs="Times New Roman"/>
                <w:sz w:val="16"/>
                <w:szCs w:val="16"/>
              </w:rPr>
              <w:t>h</w:t>
            </w:r>
            <w:r w:rsidRPr="00106312">
              <w:rPr>
                <w:rFonts w:ascii="Arial Narrow" w:hAnsi="Arial Narrow" w:cs="Times New Roman"/>
                <w:sz w:val="16"/>
                <w:szCs w:val="16"/>
              </w:rPr>
              <w:t>thalmology testing (including visual acuity) in patients seropositive for AQP4-Ab</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79BC53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Well described neuro-</w:t>
            </w:r>
            <w:r w:rsidR="00315EBD" w:rsidRPr="00106312">
              <w:rPr>
                <w:rFonts w:ascii="Arial Narrow" w:hAnsi="Arial Narrow" w:cs="Times New Roman"/>
                <w:sz w:val="16"/>
                <w:szCs w:val="16"/>
              </w:rPr>
              <w:t>ophthalmology</w:t>
            </w:r>
            <w:r w:rsidRPr="00106312">
              <w:rPr>
                <w:rFonts w:ascii="Arial Narrow" w:hAnsi="Arial Narrow" w:cs="Times New Roman"/>
                <w:sz w:val="16"/>
                <w:szCs w:val="16"/>
              </w:rPr>
              <w:t xml:space="preserve"> testing (including visual acuity) in patients seronegative for AQP4-Ab</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E8C12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Prognosis</w:t>
            </w:r>
          </w:p>
          <w:p w14:paraId="354661D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Time to diagnosis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8242DD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National the 12th Five-Year Plan Science and Technology support project and China Postdoctoral Science Foundation</w:t>
            </w:r>
          </w:p>
          <w:p w14:paraId="4EFEE4B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None declared</w:t>
            </w:r>
          </w:p>
        </w:tc>
      </w:tr>
      <w:tr w:rsidR="00106312" w:rsidRPr="00106312" w14:paraId="4E254D0A"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4435CB3" w14:textId="437D1ED2"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PEVuZE5vdGU+PENpdGU+PEF1dGhvcj5MaW48L0F1dGhvcj48WWVhcj4yMDE3PC9ZZWFyPjxSZWNO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=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PEVuZE5vdGU+PENpdGU+PEF1dGhvcj5MaW48L0F1dGhvcj48WWVhcj4yMDE3PC9ZZWFyPjxSZWNO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=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(Lin, J et al. 2017)</w:t>
            </w:r>
            <w:r w:rsidRPr="00106312">
              <w:rPr>
                <w:rFonts w:ascii="Arial Narrow" w:hAnsi="Arial Narrow" w:cs="Times New Roman"/>
                <w:sz w:val="16"/>
                <w:szCs w:val="16"/>
              </w:rPr>
              <w:fldChar w:fldCharType="end"/>
            </w:r>
          </w:p>
          <w:p w14:paraId="5748472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ADF3E7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316C797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297D2F2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286282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32</w:t>
            </w:r>
          </w:p>
          <w:p w14:paraId="2FC05E1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The First Affiliated Hospital of Wenzhou Medical University</w:t>
            </w:r>
          </w:p>
          <w:p w14:paraId="01E5F84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36.8</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72EC3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relapsed LETM, ON and postrema syndrome who could be traced, the date of relapse and treatment</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9DE240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Patients who did not meet the diagnosis criteria, and could not be traced, </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A18E3C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Group 1 IV glucocorticoids + </w:t>
            </w:r>
            <w:r w:rsidR="00315EBD" w:rsidRPr="00106312">
              <w:rPr>
                <w:rFonts w:ascii="Arial Narrow" w:hAnsi="Arial Narrow" w:cs="Times New Roman"/>
                <w:sz w:val="16"/>
                <w:szCs w:val="16"/>
              </w:rPr>
              <w:t>azathioprine</w:t>
            </w:r>
            <w:r w:rsidRPr="00106312">
              <w:rPr>
                <w:rFonts w:ascii="Arial Narrow" w:hAnsi="Arial Narrow" w:cs="Times New Roman"/>
                <w:sz w:val="16"/>
                <w:szCs w:val="16"/>
              </w:rPr>
              <w:t xml:space="preserve"> </w:t>
            </w:r>
            <w:r w:rsidRPr="00106312">
              <w:rPr>
                <w:rFonts w:ascii="Arial Narrow" w:hAnsi="Arial Narrow" w:cs="Times New Roman"/>
                <w:sz w:val="16"/>
                <w:szCs w:val="16"/>
              </w:rPr>
              <w:br/>
              <w:t xml:space="preserve">Group 2 </w:t>
            </w:r>
            <w:r w:rsidR="00315EBD" w:rsidRPr="00106312">
              <w:rPr>
                <w:rFonts w:ascii="Arial Narrow" w:hAnsi="Arial Narrow" w:cs="Times New Roman"/>
                <w:sz w:val="16"/>
                <w:szCs w:val="16"/>
              </w:rPr>
              <w:t>Azathioprine</w:t>
            </w:r>
            <w:r w:rsidRPr="00106312">
              <w:rPr>
                <w:rFonts w:ascii="Arial Narrow" w:hAnsi="Arial Narrow" w:cs="Times New Roman"/>
                <w:sz w:val="16"/>
                <w:szCs w:val="16"/>
              </w:rPr>
              <w:t xml:space="preserve"> after IV glucorticoids</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7E63A5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 glucocorticoids</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65892D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Early versus late treatment</w:t>
            </w:r>
          </w:p>
          <w:p w14:paraId="7F06124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Time to next relapse</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6F8154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did not say whether study was funded</w:t>
            </w:r>
          </w:p>
          <w:p w14:paraId="1654CC1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declared no conflict of interest</w:t>
            </w:r>
          </w:p>
        </w:tc>
      </w:tr>
      <w:tr w:rsidR="00106312" w:rsidRPr="00106312" w14:paraId="4805B1A9"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096090" w14:textId="50D846C3"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PEVuZE5vdGU+PENpdGU+PEF1dGhvcj5MaXU8L0F1dGhvcj48WWVhcj4yMDE5PC9ZZWFyPjxSZWNO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PEVuZE5vdGU+PENpdGU+PEF1dGhvcj5MaXU8L0F1dGhvcj48WWVhcj4yMDE5PC9ZZWFyPjxSZWNO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(Liu et al. 2019)</w:t>
            </w:r>
            <w:r w:rsidRPr="00106312">
              <w:rPr>
                <w:rFonts w:ascii="Arial Narrow" w:hAnsi="Arial Narrow" w:cs="Times New Roman"/>
                <w:sz w:val="16"/>
                <w:szCs w:val="16"/>
              </w:rPr>
              <w:fldChar w:fldCharType="end"/>
            </w:r>
          </w:p>
          <w:p w14:paraId="6ACA255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806665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5890462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31E05BB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72BB75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158</w:t>
            </w:r>
          </w:p>
          <w:p w14:paraId="3324D34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Hospital clinic</w:t>
            </w:r>
          </w:p>
          <w:p w14:paraId="26CB1D3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38</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92DBF6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ON presenting with acute or subacute visual loss; age of ON onset ≥18 years; ≥ two of: ocular pain during eye movement, afferent pupillary defect, abnormal visual evoked response, dyschromatopsia and field defect</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B155B4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Unknown AQP4-Ab or MOG-Ab serum status, existing MS, or NMO prior to the first onset of ON or incomplete clinical and follow-up data.</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5C038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Assessment of visual acuity; MS and NMO diagnosis according to the current criteria: (1) MS: fulfilling 2017 McDonald criteria; (2) NMO: fulfilling the 2015 IPND</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E00C74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EEA028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1270BC8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p w14:paraId="09FE6B8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070E38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863 Plan Biological and Medical</w:t>
            </w:r>
            <w:r w:rsidRPr="00106312">
              <w:rPr>
                <w:rFonts w:ascii="Arial Narrow" w:hAnsi="Arial Narrow" w:cs="Times New Roman"/>
                <w:sz w:val="16"/>
                <w:szCs w:val="16"/>
              </w:rPr>
              <w:br/>
              <w:t>Technology project “Development of equipments in diagnosis and visual function evaluation for optic neuritis”, China (NO: 2015AA020511)</w:t>
            </w:r>
          </w:p>
          <w:p w14:paraId="05D4993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It was reported that there were none</w:t>
            </w:r>
          </w:p>
        </w:tc>
      </w:tr>
      <w:tr w:rsidR="00106312" w:rsidRPr="00106312" w14:paraId="0F554638"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D7D82F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PEVuZE5vdGU+PENpdGU+PEF1dGhvcj5NYXRzdWRhPC9BdXRob3I+PFllYXI+MjAxNTwvWWVhcj48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</w:fldData>
              </w:fldChar>
            </w:r>
            <w:r w:rsidR="00AC01FD">
              <w:rPr>
                <w:rFonts w:ascii="Arial Narrow" w:hAnsi="Arial Narrow" w:cs="Times New Roman"/>
                <w:sz w:val="16"/>
                <w:szCs w:val="16"/>
              </w:rPr>
              <w:instrText xml:space="preserve"> ADDIN EN.CITE </w:instrText>
            </w:r>
            <w:r w:rsidR="00AC01FD">
              <w:rPr>
                <w:rFonts w:ascii="Arial Narrow" w:hAnsi="Arial Narrow" w:cs="Times New Roman"/>
                <w:sz w:val="16"/>
                <w:szCs w:val="16"/>
              </w:rPr>
              <w:fldChar w:fldCharType="begin">
                <w:fldData xml:space="preserve">PEVuZE5vdGU+PENpdGU+PEF1dGhvcj5NYXRzdWRhPC9BdXRob3I+PFllYXI+MjAxNTwvWWVhcj48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</w:fldData>
              </w:fldChar>
            </w:r>
            <w:r w:rsidR="00AC01FD">
              <w:rPr>
                <w:rFonts w:ascii="Arial Narrow" w:hAnsi="Arial Narrow" w:cs="Times New Roman"/>
                <w:sz w:val="16"/>
                <w:szCs w:val="16"/>
              </w:rPr>
              <w:instrText xml:space="preserve"> ADDIN EN.CITE.DATA </w:instrText>
            </w:r>
            <w:r w:rsidR="00AC01FD">
              <w:rPr>
                <w:rFonts w:ascii="Arial Narrow" w:hAnsi="Arial Narrow" w:cs="Times New Roman"/>
                <w:sz w:val="16"/>
                <w:szCs w:val="16"/>
              </w:rPr>
            </w:r>
            <w:r w:rsidR="00AC01FD">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(Matsuda et al. 2015)</w:t>
            </w:r>
            <w:r w:rsidRPr="00106312">
              <w:rPr>
                <w:rFonts w:ascii="Arial Narrow" w:hAnsi="Arial Narrow" w:cs="Times New Roman"/>
                <w:sz w:val="16"/>
                <w:szCs w:val="16"/>
              </w:rPr>
              <w:fldChar w:fldCharType="end"/>
            </w:r>
          </w:p>
          <w:p w14:paraId="7315D46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Japan</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83819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7B0F3A9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1248CB8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B4543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70</w:t>
            </w:r>
          </w:p>
          <w:p w14:paraId="5A0F332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Department of Ophthalmology Department at a University Hospital</w:t>
            </w:r>
          </w:p>
          <w:p w14:paraId="1429EDA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43</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8E158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MOG-Ab seropositive</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0DBAB7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64CBCA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and MOG-Ab testing</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8EE521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Before and after comparison</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9D147F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CC31E0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Grant-in-Aid for Scientific Research (C), Grant-inAid for Young Scientists (B) (Japan Society for the Promotion of Science); Health and Labour Sciences Research Grants for research on intractable diseases from the Ministry of Health, Labour, and Welfare of Japan.</w:t>
            </w:r>
          </w:p>
          <w:p w14:paraId="6464EFE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NR</w:t>
            </w:r>
          </w:p>
        </w:tc>
      </w:tr>
      <w:tr w:rsidR="00106312" w:rsidRPr="00106312" w14:paraId="0359E3E6"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5739421" w14:textId="75A50175"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PEVuZE5vdGU+PENpdGU+PEF1dGhvcj5NZWFseTwvQXV0aG9yPjxZZWFyPjIwMTk8L1llYXI+PFJl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</w:fldData>
              </w:fldChar>
            </w:r>
            <w:r w:rsidR="000967CF">
              <w:rPr>
                <w:rFonts w:ascii="Arial Narrow" w:hAnsi="Arial Narrow" w:cs="Times New Roman"/>
                <w:sz w:val="16"/>
                <w:szCs w:val="16"/>
              </w:rPr>
              <w:instrText xml:space="preserve"> ADDIN EN.CITE </w:instrText>
            </w:r>
            <w:r w:rsidR="000967CF">
              <w:rPr>
                <w:rFonts w:ascii="Arial Narrow" w:hAnsi="Arial Narrow" w:cs="Times New Roman"/>
                <w:sz w:val="16"/>
                <w:szCs w:val="16"/>
              </w:rPr>
              <w:fldChar w:fldCharType="begin">
                <w:fldData xml:space="preserve">PEVuZE5vdGU+PENpdGU+PEF1dGhvcj5NZWFseTwvQXV0aG9yPjxZZWFyPjIwMTk8L1llYXI+PFJl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</w:fldData>
              </w:fldChar>
            </w:r>
            <w:r w:rsidR="000967CF">
              <w:rPr>
                <w:rFonts w:ascii="Arial Narrow" w:hAnsi="Arial Narrow" w:cs="Times New Roman"/>
                <w:sz w:val="16"/>
                <w:szCs w:val="16"/>
              </w:rPr>
              <w:instrText xml:space="preserve"> ADDIN EN.CITE.DATA </w:instrText>
            </w:r>
            <w:r w:rsidR="000967CF">
              <w:rPr>
                <w:rFonts w:ascii="Arial Narrow" w:hAnsi="Arial Narrow" w:cs="Times New Roman"/>
                <w:sz w:val="16"/>
                <w:szCs w:val="16"/>
              </w:rPr>
            </w:r>
            <w:r w:rsidR="000967CF">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000967CF">
              <w:rPr>
                <w:rFonts w:ascii="Arial Narrow" w:hAnsi="Arial Narrow" w:cs="Times New Roman"/>
                <w:noProof/>
                <w:sz w:val="16"/>
                <w:szCs w:val="16"/>
              </w:rPr>
              <w:t>(Mealy, M et al. 2019)</w:t>
            </w:r>
            <w:r w:rsidRPr="00106312">
              <w:rPr>
                <w:rFonts w:ascii="Arial Narrow" w:hAnsi="Arial Narrow" w:cs="Times New Roman"/>
                <w:sz w:val="16"/>
                <w:szCs w:val="16"/>
              </w:rPr>
              <w:fldChar w:fldCharType="end"/>
            </w:r>
          </w:p>
          <w:p w14:paraId="4E06A24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Asia, Europe America, Multiple</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F8BA9D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5C00BF6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23BCBCB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A9FDB6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182</w:t>
            </w:r>
          </w:p>
          <w:p w14:paraId="01B1812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Five NMOSD centres worldwide</w:t>
            </w:r>
          </w:p>
          <w:p w14:paraId="11B44A2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39.2</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C8D684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NMOSD diagnosis by 2015 criteria and AQP4-Ab +ve at least one year of records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7E544E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without a history of myelitis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192249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NMOSD-specific immunotherapy</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E92B5A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comparator was described</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D4FD11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Early versus late diagnosis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A1517C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National Institutes of Health</w:t>
            </w:r>
          </w:p>
          <w:p w14:paraId="363DFE8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reported that there was no potential conflicts of interest</w:t>
            </w:r>
          </w:p>
        </w:tc>
      </w:tr>
      <w:tr w:rsidR="00106312" w:rsidRPr="00106312" w14:paraId="3D4D64A8"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A88AF25" w14:textId="068534F8"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PEVuZE5vdGU+PENpdGU+PEF1dGhvcj5NdXRjaDwvQXV0aG9yPjxZZWFyPjIwMTU8L1llYXI+PFJl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PEVuZE5vdGU+PENpdGU+PEF1dGhvcj5NdXRjaDwvQXV0aG9yPjxZZWFyPjIwMTU8L1llYXI+PFJl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(Mutch et al. 2015)</w:t>
            </w:r>
            <w:r w:rsidRPr="00106312">
              <w:rPr>
                <w:rFonts w:ascii="Arial Narrow" w:hAnsi="Arial Narrow" w:cs="Times New Roman"/>
                <w:sz w:val="16"/>
                <w:szCs w:val="16"/>
              </w:rPr>
              <w:fldChar w:fldCharType="end"/>
            </w:r>
          </w:p>
          <w:p w14:paraId="58B3E7F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UK</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D6100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Comparative study without concurrent controls</w:t>
            </w:r>
          </w:p>
          <w:p w14:paraId="1731793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III3</w:t>
            </w:r>
          </w:p>
          <w:p w14:paraId="600508C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C2F930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60</w:t>
            </w:r>
          </w:p>
          <w:p w14:paraId="0828B60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Walton Centre NMO clinic (a national referral centre)</w:t>
            </w:r>
          </w:p>
          <w:p w14:paraId="1CDD259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49</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AF8821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AQP4-IgG positive NMO or NMOSD</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AA2F9C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exclusion criteria were reported</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955304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Bladder Control Scale; Female Lower Urinary Tract Scale; Male Lower urinary Tract Scale; Bowel Control Scale; Short Form-36 (SF-36);</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4298CE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None reported</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90F387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QoL</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7F6BA3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United Kingdom's Department of Health NIHR Biomedical Research Centres funding scheme</w:t>
            </w:r>
          </w:p>
          <w:p w14:paraId="4F52F9F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All possible conflict of interest has been declared</w:t>
            </w:r>
          </w:p>
        </w:tc>
      </w:tr>
      <w:tr w:rsidR="00106312" w:rsidRPr="00106312" w14:paraId="4B81ADA1"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D1B63A3" w14:textId="72202E1F"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PEVuZE5vdGU+PENpdGU+PEF1dGhvcj5QYXBhaXMtQWx2YXJlbmdhPC9BdXRob3I+PFllYXI+MjAx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PEVuZE5vdGU+PENpdGU+PEF1dGhvcj5QYXBhaXMtQWx2YXJlbmdhPC9BdXRob3I+PFllYXI+MjAx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(Papais-Alvarenga et al. 2018)</w:t>
            </w:r>
            <w:r w:rsidRPr="00106312">
              <w:rPr>
                <w:rFonts w:ascii="Arial Narrow" w:hAnsi="Arial Narrow" w:cs="Times New Roman"/>
                <w:sz w:val="16"/>
                <w:szCs w:val="16"/>
              </w:rPr>
              <w:fldChar w:fldCharType="end"/>
            </w:r>
          </w:p>
          <w:p w14:paraId="7ECA3F8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Brazil</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FF4EE2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yield study</w:t>
            </w:r>
          </w:p>
          <w:p w14:paraId="6261E1D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602165A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C46414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200</w:t>
            </w:r>
          </w:p>
          <w:p w14:paraId="2E438A8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Neurological clinics in Rio de Janeiro</w:t>
            </w:r>
          </w:p>
          <w:p w14:paraId="7025297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00</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CB39ED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 xml:space="preserve">Adults ≥16 years, with confirmed diagnosis of NMO (2006 criteria), LETM, Bilateral ON, or ABS (Wingerchuk et al., </w:t>
            </w:r>
            <w:r w:rsidRPr="00106312">
              <w:rPr>
                <w:rFonts w:ascii="Arial Narrow" w:hAnsi="Arial Narrow" w:cs="Times New Roman"/>
                <w:sz w:val="16"/>
                <w:szCs w:val="16"/>
              </w:rPr>
              <w:lastRenderedPageBreak/>
              <w:t>2007), MS and CIS (Polman et al., 2011), non-extensive LETM or ADEM</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1E10FA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NR</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222049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and MOG-Ab testing; application of 2015 diagnostic criteria</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E179C3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AD148D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accuracy</w:t>
            </w:r>
          </w:p>
          <w:p w14:paraId="49E35B6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p w14:paraId="32368AC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Change in diagnosis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176167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t>NR</w:t>
            </w:r>
          </w:p>
          <w:p w14:paraId="5A495D0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It was reported that there were no conflicts</w:t>
            </w:r>
          </w:p>
        </w:tc>
      </w:tr>
      <w:tr w:rsidR="00106312" w:rsidRPr="00106312" w14:paraId="5C5BB6B6"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8EED12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PEVuZE5vdGU+PENpdGU+PEF1dGhvcj5QYXBhaXMtQWx2YXJlbmdhPC9BdXRob3I+PFllYXI+MjAx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</w:fldData>
              </w:fldChar>
            </w:r>
            <w:r w:rsidR="00AC01FD">
              <w:rPr>
                <w:rFonts w:ascii="Arial Narrow" w:hAnsi="Arial Narrow" w:cs="Times New Roman"/>
                <w:sz w:val="16"/>
                <w:szCs w:val="16"/>
              </w:rPr>
              <w:instrText xml:space="preserve"> ADDIN EN.CITE </w:instrText>
            </w:r>
            <w:r w:rsidR="00AC01FD">
              <w:rPr>
                <w:rFonts w:ascii="Arial Narrow" w:hAnsi="Arial Narrow" w:cs="Times New Roman"/>
                <w:sz w:val="16"/>
                <w:szCs w:val="16"/>
              </w:rPr>
              <w:fldChar w:fldCharType="begin">
                <w:fldData xml:space="preserve">PEVuZE5vdGU+PENpdGU+PEF1dGhvcj5QYXBhaXMtQWx2YXJlbmdhPC9BdXRob3I+PFllYXI+MjAx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</w:fldData>
              </w:fldChar>
            </w:r>
            <w:r w:rsidR="00AC01FD">
              <w:rPr>
                <w:rFonts w:ascii="Arial Narrow" w:hAnsi="Arial Narrow" w:cs="Times New Roman"/>
                <w:sz w:val="16"/>
                <w:szCs w:val="16"/>
              </w:rPr>
              <w:instrText xml:space="preserve"> ADDIN EN.CITE.DATA </w:instrText>
            </w:r>
            <w:r w:rsidR="00AC01FD">
              <w:rPr>
                <w:rFonts w:ascii="Arial Narrow" w:hAnsi="Arial Narrow" w:cs="Times New Roman"/>
                <w:sz w:val="16"/>
                <w:szCs w:val="16"/>
              </w:rPr>
            </w:r>
            <w:r w:rsidR="00AC01FD">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(Papais-Alvarenga et al. 2015)</w:t>
            </w:r>
            <w:r w:rsidRPr="00106312">
              <w:rPr>
                <w:rFonts w:ascii="Arial Narrow" w:hAnsi="Arial Narrow" w:cs="Times New Roman"/>
                <w:sz w:val="16"/>
                <w:szCs w:val="16"/>
              </w:rPr>
              <w:fldChar w:fldCharType="end"/>
            </w:r>
          </w:p>
          <w:p w14:paraId="0CDAB2F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Brazil</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D0F7F0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1687E65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769D3C9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929B57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1,917</w:t>
            </w:r>
          </w:p>
          <w:p w14:paraId="2024270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South American MS centres</w:t>
            </w:r>
          </w:p>
          <w:p w14:paraId="25FAB86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32.7</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E80EE0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Confirmed diagnosis of IIDD </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3378B1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still under investigation, those not meeting the criteria for diagnosis, those who lived in cities outside the location of the treatment centre.</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4E0767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Spectrum of idiopathic inflammatory demyelinating disorder</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22E273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None reported</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FA2933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Yield</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AF5731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reported that they received no funding</w:t>
            </w:r>
          </w:p>
          <w:p w14:paraId="154D950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declared possible conflict of interests</w:t>
            </w:r>
          </w:p>
        </w:tc>
      </w:tr>
      <w:tr w:rsidR="00106312" w:rsidRPr="00106312" w14:paraId="05F5978B"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603352E" w14:textId="3B1FA945" w:rsidR="001E4BD1" w:rsidRDefault="001E4BD1"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fldChar w:fldCharType="begin"/>
            </w:r>
            <w:r>
              <w:rPr>
                <w:rFonts w:ascii="Arial Narrow" w:hAnsi="Arial Narrow" w:cs="Times New Roman"/>
                <w:sz w:val="16"/>
                <w:szCs w:val="16"/>
              </w:rPr>
              <w:instrText xml:space="preserve"> ADDIN EN.CITE &lt;EndNote&gt;&lt;Cite&gt;&lt;Author&gt;Pittock&lt;/Author&gt;&lt;Year&gt;2019&lt;/Year&gt;&lt;RecNum&gt;103&lt;/RecNum&gt;&lt;DisplayText&gt;(Pittock et al. 2019)&lt;/DisplayText&gt;&lt;record&gt;&lt;rec-number&gt;103&lt;/rec-number&gt;&lt;foreign-keys&gt;&lt;key app="EN" db-id="r25zptaswpdzade29ws5pf9gx55ztppatt20" timestamp="1588570602"&gt;103&lt;/key&gt;&lt;/foreign-keys&gt;&lt;ref-type name="Journal Article"&gt;17&lt;/ref-type&gt;&lt;contributors&gt;&lt;authors&gt;&lt;author&gt;Pittock, Sean.&lt;/author&gt;&lt;author&gt;Berthele, Achim&lt;/author&gt;&lt;author&gt;Fujihara, Kazuo&lt;/author&gt;&lt;author&gt;Kim, Ho Jin&lt;/author&gt;&lt;author&gt;Levy, Michael&lt;/author&gt;&lt;author&gt;Palace, Jacqueline&lt;/author&gt;&lt;author&gt;Nakashima, Ichiro&lt;/author&gt;&lt;author&gt;Terzi, Murat&lt;/author&gt;&lt;author&gt;Totolyan, Natalia&lt;/author&gt;&lt;author&gt;Viswanathan, Shanthi&lt;/author&gt;&lt;author&gt;Wang, Kai-Chen&lt;/author&gt;&lt;author&gt;Pace, Amy&lt;/author&gt;&lt;author&gt;Fujita, Kenji P.&lt;/author&gt;&lt;author&gt;Armstrong, Róisín&lt;/author&gt;&lt;author&gt;Wingerchuk, Dean M.&lt;/author&gt;&lt;/authors&gt;&lt;/contributors&gt;&lt;titles&gt;&lt;title&gt;Eculizumab in Aquaporin-4–Positive Neuromyelitis Optica Spectrum Disorder&lt;/title&gt;&lt;secondary-title&gt;New England Journal of Medicine&lt;/secondary-title&gt;&lt;/titles&gt;&lt;periodical&gt;&lt;full-title&gt;New England Journal of Medicine&lt;/full-title&gt;&lt;/periodical&gt;&lt;pages&gt;614-625&lt;/pages&gt;&lt;volume&gt;381&lt;/volume&gt;&lt;number&gt;7&lt;/number&gt;&lt;dates&gt;&lt;year&gt;2019&lt;/year&gt;&lt;/dates&gt;&lt;accession-num&gt;31050279&lt;/accession-num&gt;&lt;urls&gt;&lt;related-urls&gt;&lt;url&gt;https://www.nejm.org/doi/full/10.1056/NEJMoa1900866&lt;/url&gt;&lt;/related-urls&gt;&lt;/urls&gt;&lt;electronic-resource-num&gt;10.1056/NEJMoa1900866&lt;/electronic-resource-num&gt;&lt;/record&gt;&lt;/Cite&gt;&lt;/EndNote&gt;</w:instrText>
            </w:r>
            <w:r>
              <w:rPr>
                <w:rFonts w:ascii="Arial Narrow" w:hAnsi="Arial Narrow" w:cs="Times New Roman"/>
                <w:sz w:val="16"/>
                <w:szCs w:val="16"/>
              </w:rPr>
              <w:fldChar w:fldCharType="separate"/>
            </w:r>
            <w:r>
              <w:rPr>
                <w:rFonts w:ascii="Arial Narrow" w:hAnsi="Arial Narrow" w:cs="Times New Roman"/>
                <w:noProof/>
                <w:sz w:val="16"/>
                <w:szCs w:val="16"/>
              </w:rPr>
              <w:t>(Pittock et al. 2019)</w:t>
            </w:r>
            <w:r>
              <w:rPr>
                <w:rFonts w:ascii="Arial Narrow" w:hAnsi="Arial Narrow" w:cs="Times New Roman"/>
                <w:sz w:val="16"/>
                <w:szCs w:val="16"/>
              </w:rPr>
              <w:fldChar w:fldCharType="end"/>
            </w:r>
          </w:p>
          <w:p w14:paraId="757E9AF8" w14:textId="5871EFA3"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Europe, South America, Australia, Multiple</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50C0AF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Randomized controlled trial</w:t>
            </w:r>
          </w:p>
          <w:p w14:paraId="0A0E5F2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w:t>
            </w:r>
          </w:p>
          <w:p w14:paraId="646553C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Low</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E4CCA3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143</w:t>
            </w:r>
          </w:p>
          <w:p w14:paraId="02F7A68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70 sites in hospital clinics in 18 countries</w:t>
            </w:r>
          </w:p>
          <w:p w14:paraId="71BB97F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36.6</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4C227F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≥18 years with diagnosis of NMOSD according to 2006 or 2007 criteria, AQP4 +ve </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785017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Previous treatment with MX, RTX or IVIg, prednisone doses greater than 20mg/day, unresolved meningococcal disease or systemic bacterial infections </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496AD1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 ECZ 900 mg/week x 4; maintenance regimen of 1200 mg / 2 weeks until relapse, trial discontinuation or the end of trial</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37B2A4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Matched Placebo</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712381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Change in EDSS</w:t>
            </w:r>
          </w:p>
          <w:p w14:paraId="50FFAB9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Change in ARR</w:t>
            </w:r>
          </w:p>
          <w:p w14:paraId="7B65BD4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Adverse events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91A4FD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Alexion Pharmaceuticals</w:t>
            </w:r>
          </w:p>
          <w:p w14:paraId="5174B94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provided details of possible conflict of interest</w:t>
            </w:r>
          </w:p>
        </w:tc>
      </w:tr>
      <w:tr w:rsidR="00106312" w:rsidRPr="00106312" w14:paraId="2DC5FBF9"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9C3576F" w14:textId="1B8A0093"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PEVuZE5vdGU+PENpdGU+PEF1dGhvcj5TaGF5Z2FubmVqYWQ8L0F1dGhvcj48WWVhcj4yMDE5PC9Z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(Shaygannejad et al. 2019)</w:t>
            </w:r>
            <w:r w:rsidRPr="00106312">
              <w:rPr>
                <w:rFonts w:ascii="Arial Narrow" w:hAnsi="Arial Narrow" w:cs="Times New Roman"/>
                <w:sz w:val="16"/>
                <w:szCs w:val="16"/>
              </w:rPr>
              <w:fldChar w:fldCharType="end"/>
            </w:r>
          </w:p>
          <w:p w14:paraId="15FE100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Iran</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EBA643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Prospective cohort study</w:t>
            </w:r>
          </w:p>
          <w:p w14:paraId="5FA3733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III2</w:t>
            </w:r>
          </w:p>
          <w:p w14:paraId="1C88BC2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4A731E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44</w:t>
            </w:r>
          </w:p>
          <w:p w14:paraId="5D336AC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MS and related disorders clinic at Kashani University Hospital in Isfahan</w:t>
            </w:r>
          </w:p>
          <w:p w14:paraId="18941CA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37.2</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51CDE2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Consecutive NMOSD patients based on 2015 diagnostic criteria</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F837F0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prior or concomitant diseases that prompted the use of rituximab</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2ADB30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500 mg RTX delivered in sodium chloride via IV line for one hour /week x 4 (2g in total); 1g RTX divided for two consecutive weeks (500mg/week every six months</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CB9A17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comparator</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74BD4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Change in EDSS</w:t>
            </w:r>
          </w:p>
          <w:p w14:paraId="018E459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Change in ARR</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A10111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reported no funding was received</w:t>
            </w:r>
          </w:p>
          <w:p w14:paraId="656D50E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declared that there was no conflict of interest</w:t>
            </w:r>
          </w:p>
        </w:tc>
      </w:tr>
      <w:tr w:rsidR="00106312" w:rsidRPr="00106312" w14:paraId="51926DE9"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F604691" w14:textId="323CDD8A"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PEVuZE5vdGU+PENpdGU+PEF1dGhvcj5TdGVsbG1hbm48L0F1dGhvcj48WWVhcj4yMDE3PC9ZZWFy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(Stellmann et al. 2017)</w:t>
            </w:r>
            <w:r w:rsidRPr="00106312">
              <w:rPr>
                <w:rFonts w:ascii="Arial Narrow" w:hAnsi="Arial Narrow" w:cs="Times New Roman"/>
                <w:sz w:val="16"/>
                <w:szCs w:val="16"/>
              </w:rPr>
              <w:fldChar w:fldCharType="end"/>
            </w:r>
          </w:p>
          <w:p w14:paraId="4B7FEA9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Germany</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5585CE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Retrospective cohort study</w:t>
            </w:r>
          </w:p>
          <w:p w14:paraId="29F0076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III2</w:t>
            </w:r>
          </w:p>
          <w:p w14:paraId="7858777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4ED19C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144 patients and 265 treatments</w:t>
            </w:r>
          </w:p>
          <w:p w14:paraId="4701DA0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NMOSD registry of the German Neuromyelitis Optica Study group (MEMOS)</w:t>
            </w:r>
          </w:p>
          <w:p w14:paraId="2D1715F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40.9</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9B183A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NMO diagnosed according to 2006 criteria or with AQP4-Ab +ve NMOSD</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A13C9D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Insufficient baseline or treatment data; with short-term steroid treatments (&lt;60 days)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43273A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Therapeutic interventions: alemtuzumab, rituximab, interferon-beta, mitoxantrone, glatiramer acetate</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E8C8D6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Treatments were compared to each other</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118EB2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Effectiveness for NMOSD vs MS </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401148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German Ministry for Education and Research</w:t>
            </w:r>
          </w:p>
          <w:p w14:paraId="787C3F3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Possible conflict of interests were documented</w:t>
            </w:r>
          </w:p>
        </w:tc>
      </w:tr>
      <w:tr w:rsidR="00106312" w:rsidRPr="00106312" w14:paraId="29E3E7EA"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98F5563" w14:textId="34C63563"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PEVuZE5vdGU+PENpdGU+PEF1dGhvcj5TdGllYmVsLUthbGlzaDwvQXV0aG9yPjxZZWFyPjIwMTk8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==
</w:fldData>
              </w:fldChar>
            </w:r>
            <w:r w:rsidR="00AB2520">
              <w:rPr>
                <w:rFonts w:ascii="Arial Narrow" w:hAnsi="Arial Narrow" w:cs="Times New Roman"/>
                <w:sz w:val="16"/>
                <w:szCs w:val="16"/>
              </w:rPr>
              <w:instrText xml:space="preserve"> ADDIN EN.CITE </w:instrText>
            </w:r>
            <w:r w:rsidR="00AB2520">
              <w:rPr>
                <w:rFonts w:ascii="Arial Narrow" w:hAnsi="Arial Narrow" w:cs="Times New Roman"/>
                <w:sz w:val="16"/>
                <w:szCs w:val="16"/>
              </w:rPr>
              <w:fldChar w:fldCharType="begin">
                <w:fldData xml:space="preserve">PEVuZE5vdGU+PENpdGU+PEF1dGhvcj5TdGllYmVsLUthbGlzaDwvQXV0aG9yPjxZZWFyPjIwMTk8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==
</w:fldData>
              </w:fldChar>
            </w:r>
            <w:r w:rsidR="00AB2520">
              <w:rPr>
                <w:rFonts w:ascii="Arial Narrow" w:hAnsi="Arial Narrow" w:cs="Times New Roman"/>
                <w:sz w:val="16"/>
                <w:szCs w:val="16"/>
              </w:rPr>
              <w:instrText xml:space="preserve"> ADDIN EN.CITE.DATA </w:instrText>
            </w:r>
            <w:r w:rsidR="00AB2520">
              <w:rPr>
                <w:rFonts w:ascii="Arial Narrow" w:hAnsi="Arial Narrow" w:cs="Times New Roman"/>
                <w:sz w:val="16"/>
                <w:szCs w:val="16"/>
              </w:rPr>
            </w:r>
            <w:r w:rsidR="00AB2520">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00AB2520">
              <w:rPr>
                <w:rFonts w:ascii="Arial Narrow" w:hAnsi="Arial Narrow" w:cs="Times New Roman"/>
                <w:noProof/>
                <w:sz w:val="16"/>
                <w:szCs w:val="16"/>
              </w:rPr>
              <w:t>(Stiebel-Kalish et al. 2019)</w:t>
            </w:r>
            <w:r w:rsidRPr="00106312">
              <w:rPr>
                <w:rFonts w:ascii="Arial Narrow" w:hAnsi="Arial Narrow" w:cs="Times New Roman"/>
                <w:sz w:val="16"/>
                <w:szCs w:val="16"/>
              </w:rPr>
              <w:fldChar w:fldCharType="end"/>
            </w:r>
          </w:p>
          <w:p w14:paraId="0ACBBDB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Israel</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538D33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300AD8D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2B2E7CD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178F75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36</w:t>
            </w:r>
          </w:p>
          <w:p w14:paraId="08B4876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 neuro-ophthalmology and neuroimmunology centre</w:t>
            </w:r>
          </w:p>
          <w:p w14:paraId="10BBAEB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37</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B29BD8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Diagnosis of NMOSD (2015 criteria) or AQP4-Ab or MOG-Ab associated ON; AQP4-Ab or MOG-Ab positive</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B59B0B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ocular causes of poor visual acuity and treatment refusal</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ADD95A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treatment after symptom onset</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1C214F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late treatment</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DAAE22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Early vs late treatment (&lt; or &gt; 4 or 7 days)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FB3DD1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targeted funding</w:t>
            </w:r>
          </w:p>
          <w:p w14:paraId="2236C30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Multiple disclosures reported</w:t>
            </w:r>
          </w:p>
        </w:tc>
      </w:tr>
      <w:tr w:rsidR="00106312" w:rsidRPr="00106312" w14:paraId="4A58A4CA"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015E569" w14:textId="0B954137" w:rsidR="0087595F" w:rsidRDefault="0087595F" w:rsidP="00106312">
            <w:pPr>
              <w:spacing w:before="30" w:after="30"/>
              <w:ind w:right="60"/>
              <w:jc w:val="left"/>
              <w:rPr>
                <w:rFonts w:ascii="Arial Narrow" w:hAnsi="Arial Narrow" w:cs="Times New Roman"/>
                <w:sz w:val="16"/>
                <w:szCs w:val="16"/>
              </w:rPr>
            </w:pPr>
            <w:r>
              <w:rPr>
                <w:rFonts w:ascii="Arial Narrow" w:hAnsi="Arial Narrow" w:cs="Times New Roman"/>
                <w:sz w:val="16"/>
                <w:szCs w:val="16"/>
              </w:rPr>
              <w:fldChar w:fldCharType="begin">
                <w:fldData xml:space="preserve">PEVuZE5vdGU+PENpdGU+PEF1dGhvcj5WYWxlbnRpbm88L0F1dGhvcj48WWVhcj4yMDE3PC9ZZWFy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</w:fldData>
              </w:fldChar>
            </w:r>
            <w:r>
              <w:rPr>
                <w:rFonts w:ascii="Arial Narrow" w:hAnsi="Arial Narrow" w:cs="Times New Roman"/>
                <w:sz w:val="16"/>
                <w:szCs w:val="16"/>
              </w:rPr>
              <w:instrText xml:space="preserve"> ADDIN EN.CITE </w:instrText>
            </w:r>
            <w:r>
              <w:rPr>
                <w:rFonts w:ascii="Arial Narrow" w:hAnsi="Arial Narrow" w:cs="Times New Roman"/>
                <w:sz w:val="16"/>
                <w:szCs w:val="16"/>
              </w:rPr>
              <w:fldChar w:fldCharType="begin">
                <w:fldData xml:space="preserve">PEVuZE5vdGU+PENpdGU+PEF1dGhvcj5WYWxlbnRpbm88L0F1dGhvcj48WWVhcj4yMDE3PC9ZZWFy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</w:fldData>
              </w:fldChar>
            </w:r>
            <w:r>
              <w:rPr>
                <w:rFonts w:ascii="Arial Narrow" w:hAnsi="Arial Narrow" w:cs="Times New Roman"/>
                <w:sz w:val="16"/>
                <w:szCs w:val="16"/>
              </w:rPr>
              <w:instrText xml:space="preserve"> ADDIN EN.CITE.DATA </w:instrText>
            </w:r>
            <w:r>
              <w:rPr>
                <w:rFonts w:ascii="Arial Narrow" w:hAnsi="Arial Narrow" w:cs="Times New Roman"/>
                <w:sz w:val="16"/>
                <w:szCs w:val="16"/>
              </w:rPr>
            </w:r>
            <w:r>
              <w:rPr>
                <w:rFonts w:ascii="Arial Narrow" w:hAnsi="Arial Narrow" w:cs="Times New Roman"/>
                <w:sz w:val="16"/>
                <w:szCs w:val="16"/>
              </w:rPr>
              <w:fldChar w:fldCharType="end"/>
            </w:r>
            <w:r>
              <w:rPr>
                <w:rFonts w:ascii="Arial Narrow" w:hAnsi="Arial Narrow" w:cs="Times New Roman"/>
                <w:sz w:val="16"/>
                <w:szCs w:val="16"/>
              </w:rPr>
            </w:r>
            <w:r>
              <w:rPr>
                <w:rFonts w:ascii="Arial Narrow" w:hAnsi="Arial Narrow" w:cs="Times New Roman"/>
                <w:sz w:val="16"/>
                <w:szCs w:val="16"/>
              </w:rPr>
              <w:fldChar w:fldCharType="separate"/>
            </w:r>
            <w:r>
              <w:rPr>
                <w:rFonts w:ascii="Arial Narrow" w:hAnsi="Arial Narrow" w:cs="Times New Roman"/>
                <w:noProof/>
                <w:sz w:val="16"/>
                <w:szCs w:val="16"/>
              </w:rPr>
              <w:t>(Valentino et al. 2017)</w:t>
            </w:r>
            <w:r>
              <w:rPr>
                <w:rFonts w:ascii="Arial Narrow" w:hAnsi="Arial Narrow" w:cs="Times New Roman"/>
                <w:sz w:val="16"/>
                <w:szCs w:val="16"/>
              </w:rPr>
              <w:fldChar w:fldCharType="end"/>
            </w:r>
          </w:p>
          <w:p w14:paraId="12BC2653" w14:textId="0EB7110D"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Italy</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716ECD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2588877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01C0A849"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704AEC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7</w:t>
            </w:r>
          </w:p>
          <w:p w14:paraId="69B1828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Regional Referring Centre for Multiple Sclerosis</w:t>
            </w:r>
          </w:p>
          <w:p w14:paraId="59E9400C"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35</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44ADF6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diagnosed with NMO and positive for AQP4-Abs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686FF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a follow-up period of less than 2 years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C9C4DDD"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testing</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364102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 comparator reported</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0CC34D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 xml:space="preserve">Correlation between AQP4-Ab titre and disease activity </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5139D9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Fondazione Italiana Sclerosi Multipla and Fondazione Ricerca Biomedica Onlus</w:t>
            </w:r>
          </w:p>
          <w:p w14:paraId="3C920F1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disclosed all possible sources of conflict of interest</w:t>
            </w:r>
          </w:p>
        </w:tc>
      </w:tr>
      <w:tr w:rsidR="00106312" w:rsidRPr="00106312" w14:paraId="261F2676" w14:textId="77777777" w:rsidTr="00A400A2">
        <w:trPr>
          <w:trHeight w:val="2652"/>
        </w:trPr>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5B6BA44" w14:textId="3C51E1D9"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lastRenderedPageBreak/>
              <w:fldChar w:fldCharType="begin">
                <w:fldData xml:space="preserve">PEVuZE5vdGU+PENpdGU+PEF1dGhvcj5XYXRlcnM8L0F1dGhvcj48WWVhcj4yMDE2PC9ZZWFyPjxS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=
</w:fldData>
              </w:fldChar>
            </w:r>
            <w:r w:rsidR="000967CF">
              <w:rPr>
                <w:rFonts w:ascii="Arial Narrow" w:hAnsi="Arial Narrow" w:cs="Times New Roman"/>
                <w:sz w:val="16"/>
                <w:szCs w:val="16"/>
              </w:rPr>
              <w:instrText xml:space="preserve"> ADDIN EN.CITE </w:instrText>
            </w:r>
            <w:r w:rsidR="000967CF">
              <w:rPr>
                <w:rFonts w:ascii="Arial Narrow" w:hAnsi="Arial Narrow" w:cs="Times New Roman"/>
                <w:sz w:val="16"/>
                <w:szCs w:val="16"/>
              </w:rPr>
              <w:fldChar w:fldCharType="begin">
                <w:fldData xml:space="preserve">PEVuZE5vdGU+PENpdGU+PEF1dGhvcj5XYXRlcnM8L0F1dGhvcj48WWVhcj4yMDE2PC9ZZWFyPjxS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=
</w:fldData>
              </w:fldChar>
            </w:r>
            <w:r w:rsidR="000967CF">
              <w:rPr>
                <w:rFonts w:ascii="Arial Narrow" w:hAnsi="Arial Narrow" w:cs="Times New Roman"/>
                <w:sz w:val="16"/>
                <w:szCs w:val="16"/>
              </w:rPr>
              <w:instrText xml:space="preserve"> ADDIN EN.CITE.DATA </w:instrText>
            </w:r>
            <w:r w:rsidR="000967CF">
              <w:rPr>
                <w:rFonts w:ascii="Arial Narrow" w:hAnsi="Arial Narrow" w:cs="Times New Roman"/>
                <w:sz w:val="16"/>
                <w:szCs w:val="16"/>
              </w:rPr>
            </w:r>
            <w:r w:rsidR="000967CF">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000967CF">
              <w:rPr>
                <w:rFonts w:ascii="Arial Narrow" w:hAnsi="Arial Narrow" w:cs="Times New Roman"/>
                <w:noProof/>
                <w:sz w:val="16"/>
                <w:szCs w:val="16"/>
              </w:rPr>
              <w:t>(Waters et al. 2016)</w:t>
            </w:r>
            <w:r w:rsidRPr="00106312">
              <w:rPr>
                <w:rFonts w:ascii="Arial Narrow" w:hAnsi="Arial Narrow" w:cs="Times New Roman"/>
                <w:sz w:val="16"/>
                <w:szCs w:val="16"/>
              </w:rPr>
              <w:fldChar w:fldCharType="end"/>
            </w:r>
          </w:p>
          <w:p w14:paraId="0E14973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Europe, multiple</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6FA3B5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Diagnostic case-control study</w:t>
            </w:r>
          </w:p>
          <w:p w14:paraId="08C3B6C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III-3</w:t>
            </w:r>
          </w:p>
          <w:p w14:paraId="5747A3E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High</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2684DF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193 patients 92 controls.</w:t>
            </w:r>
          </w:p>
          <w:p w14:paraId="2684675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15 European diagnostic centres</w:t>
            </w:r>
          </w:p>
          <w:p w14:paraId="407CF6E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NA</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519D42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AQP4-Ab +ve or –ve NMO or NMOSD; control group of patients with clearly defined neurological conditions (e.g. MS).</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AEC2E1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Patients with unclear diagnoses or diagnoses complicated by related pathologies.</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1B0E6FE" w14:textId="77777777" w:rsidR="00106312" w:rsidRPr="00106312" w:rsidRDefault="00106312" w:rsidP="0087214D">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21 assays including live cell-based assays, fixed commercial cell-based assays (Euroimmum), in-house assays at different diagnostic centres, flow cytometry assays, tissue-based assays using IIF, IH technique and ELISA.</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A9A98C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Assayed sera/plasma samples from the included patient group which had previously been coded by Euroimmum AG, Germany.</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7E409E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Test agreement</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25C7CD8"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Eugene Devic European Network project; National Health Service National Specialised Commissioning Group for Neuromyelitis Optica; National Institute for Health Research Oxford Biomedical Research Centre.</w:t>
            </w:r>
          </w:p>
          <w:p w14:paraId="412E3E7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Sources of possible conflict of interest were acknowledged.</w:t>
            </w:r>
          </w:p>
        </w:tc>
      </w:tr>
      <w:tr w:rsidR="00106312" w:rsidRPr="00106312" w14:paraId="38836FAB"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4133E6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PEVuZE5vdGU+PENpdGU+PEF1dGhvcj5XZWluc2hlbmtlcjwvQXV0aG9yPjxZZWFyPjIwMDY8L1ll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</w:fldData>
              </w:fldChar>
            </w:r>
            <w:r w:rsidR="00AC01FD">
              <w:rPr>
                <w:rFonts w:ascii="Arial Narrow" w:hAnsi="Arial Narrow" w:cs="Times New Roman"/>
                <w:sz w:val="16"/>
                <w:szCs w:val="16"/>
              </w:rPr>
              <w:instrText xml:space="preserve"> ADDIN EN.CITE </w:instrText>
            </w:r>
            <w:r w:rsidR="00AC01FD">
              <w:rPr>
                <w:rFonts w:ascii="Arial Narrow" w:hAnsi="Arial Narrow" w:cs="Times New Roman"/>
                <w:sz w:val="16"/>
                <w:szCs w:val="16"/>
              </w:rPr>
              <w:fldChar w:fldCharType="begin">
                <w:fldData xml:space="preserve">PEVuZE5vdGU+PENpdGU+PEF1dGhvcj5XZWluc2hlbmtlcjwvQXV0aG9yPjxZZWFyPjIwMDY8L1ll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</w:fldData>
              </w:fldChar>
            </w:r>
            <w:r w:rsidR="00AC01FD">
              <w:rPr>
                <w:rFonts w:ascii="Arial Narrow" w:hAnsi="Arial Narrow" w:cs="Times New Roman"/>
                <w:sz w:val="16"/>
                <w:szCs w:val="16"/>
              </w:rPr>
              <w:instrText xml:space="preserve"> ADDIN EN.CITE.DATA </w:instrText>
            </w:r>
            <w:r w:rsidR="00AC01FD">
              <w:rPr>
                <w:rFonts w:ascii="Arial Narrow" w:hAnsi="Arial Narrow" w:cs="Times New Roman"/>
                <w:sz w:val="16"/>
                <w:szCs w:val="16"/>
              </w:rPr>
            </w:r>
            <w:r w:rsidR="00AC01FD">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(Weinshenker et al. 2006)</w:t>
            </w:r>
            <w:r w:rsidRPr="00106312">
              <w:rPr>
                <w:rFonts w:ascii="Arial Narrow" w:hAnsi="Arial Narrow" w:cs="Times New Roman"/>
                <w:sz w:val="16"/>
                <w:szCs w:val="16"/>
              </w:rPr>
              <w:fldChar w:fldCharType="end"/>
            </w:r>
          </w:p>
          <w:p w14:paraId="414ED95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USA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8F43D6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1CE4D37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119057E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Moderate</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98978E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29</w:t>
            </w:r>
          </w:p>
          <w:p w14:paraId="59EF5DE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Mayo Clinic and non-Mayo Clinic patients</w:t>
            </w:r>
          </w:p>
          <w:p w14:paraId="4EF14A2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49.3</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9B72DC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Single episode of LETM and no evidence of ON or recurrent LETM before testing or NMO-IgG</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363590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None described</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55B0416"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Relapse rate in AQP4-Ab +ve (method was not described)</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FB88FB6" w14:textId="77777777" w:rsidR="00106312" w:rsidRPr="00106312" w:rsidRDefault="00106312" w:rsidP="0087214D">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Relapse rate in A</w:t>
            </w:r>
            <w:r w:rsidR="0087214D">
              <w:rPr>
                <w:rFonts w:ascii="Arial Narrow" w:hAnsi="Arial Narrow" w:cs="Times New Roman"/>
                <w:sz w:val="16"/>
                <w:szCs w:val="16"/>
              </w:rPr>
              <w:t>QP4</w:t>
            </w:r>
            <w:r w:rsidRPr="00106312">
              <w:rPr>
                <w:rFonts w:ascii="Arial Narrow" w:hAnsi="Arial Narrow" w:cs="Times New Roman"/>
                <w:sz w:val="16"/>
                <w:szCs w:val="16"/>
              </w:rPr>
              <w:t>-Ab –ve (method not described)</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66E438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F20BEF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There was no mention of funding in publication</w:t>
            </w:r>
          </w:p>
          <w:p w14:paraId="164A3943"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There was no mention of conflict of interest in publication</w:t>
            </w:r>
          </w:p>
        </w:tc>
      </w:tr>
      <w:tr w:rsidR="00106312" w:rsidRPr="00106312" w14:paraId="33EEB04E" w14:textId="77777777" w:rsidTr="00A400A2">
        <w:tc>
          <w:tcPr>
            <w:tcW w:w="12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55FD308" w14:textId="5CC1895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fldChar w:fldCharType="begin">
                <w:fldData xml:space="preserve">PEVuZE5vdGU+PENpdGU+PEF1dGhvcj5aaG91PC9BdXRob3I+PFllYXI+MjAxNjwvWWVhcj48UmVj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==
</w:fldData>
              </w:fldChar>
            </w:r>
            <w:r w:rsidR="00D96694">
              <w:rPr>
                <w:rFonts w:ascii="Arial Narrow" w:hAnsi="Arial Narrow" w:cs="Times New Roman"/>
                <w:sz w:val="16"/>
                <w:szCs w:val="16"/>
              </w:rPr>
              <w:instrText xml:space="preserve"> ADDIN EN.CITE </w:instrText>
            </w:r>
            <w:r w:rsidR="00D96694">
              <w:rPr>
                <w:rFonts w:ascii="Arial Narrow" w:hAnsi="Arial Narrow" w:cs="Times New Roman"/>
                <w:sz w:val="16"/>
                <w:szCs w:val="16"/>
              </w:rPr>
              <w:fldChar w:fldCharType="begin">
                <w:fldData xml:space="preserve">PEVuZE5vdGU+PENpdGU+PEF1dGhvcj5aaG91PC9BdXRob3I+PFllYXI+MjAxNjwvWWVhcj48UmVj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==
</w:fldData>
              </w:fldChar>
            </w:r>
            <w:r w:rsidR="00D96694">
              <w:rPr>
                <w:rFonts w:ascii="Arial Narrow" w:hAnsi="Arial Narrow" w:cs="Times New Roman"/>
                <w:sz w:val="16"/>
                <w:szCs w:val="16"/>
              </w:rPr>
              <w:instrText xml:space="preserve"> ADDIN EN.CITE.DATA </w:instrText>
            </w:r>
            <w:r w:rsidR="00D96694">
              <w:rPr>
                <w:rFonts w:ascii="Arial Narrow" w:hAnsi="Arial Narrow" w:cs="Times New Roman"/>
                <w:sz w:val="16"/>
                <w:szCs w:val="16"/>
              </w:rPr>
            </w:r>
            <w:r w:rsidR="00D96694">
              <w:rPr>
                <w:rFonts w:ascii="Arial Narrow" w:hAnsi="Arial Narrow" w:cs="Times New Roman"/>
                <w:sz w:val="16"/>
                <w:szCs w:val="16"/>
              </w:rPr>
              <w:fldChar w:fldCharType="end"/>
            </w:r>
            <w:r w:rsidRPr="00106312">
              <w:rPr>
                <w:rFonts w:ascii="Arial Narrow" w:hAnsi="Arial Narrow" w:cs="Times New Roman"/>
                <w:sz w:val="16"/>
                <w:szCs w:val="16"/>
              </w:rPr>
            </w:r>
            <w:r w:rsidRPr="00106312">
              <w:rPr>
                <w:rFonts w:ascii="Arial Narrow" w:hAnsi="Arial Narrow" w:cs="Times New Roman"/>
                <w:sz w:val="16"/>
                <w:szCs w:val="16"/>
              </w:rPr>
              <w:fldChar w:fldCharType="separate"/>
            </w:r>
            <w:r w:rsidRPr="00106312">
              <w:rPr>
                <w:rFonts w:ascii="Arial Narrow" w:hAnsi="Arial Narrow" w:cs="Times New Roman"/>
                <w:noProof/>
                <w:sz w:val="16"/>
                <w:szCs w:val="16"/>
              </w:rPr>
              <w:t>(Zhou et al. 2016)</w:t>
            </w:r>
            <w:r w:rsidRPr="00106312">
              <w:rPr>
                <w:rFonts w:ascii="Arial Narrow" w:hAnsi="Arial Narrow" w:cs="Times New Roman"/>
                <w:sz w:val="16"/>
                <w:szCs w:val="16"/>
              </w:rPr>
              <w:fldChar w:fldCharType="end"/>
            </w:r>
          </w:p>
          <w:p w14:paraId="682FA09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China</w:t>
            </w:r>
          </w:p>
        </w:tc>
        <w:tc>
          <w:tcPr>
            <w:tcW w:w="14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62F992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Case series</w:t>
            </w:r>
          </w:p>
          <w:p w14:paraId="6B13CCD4"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IV</w:t>
            </w:r>
          </w:p>
          <w:p w14:paraId="71A5C26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Low</w:t>
            </w:r>
          </w:p>
        </w:tc>
        <w:tc>
          <w:tcPr>
            <w:tcW w:w="15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F20882A"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128</w:t>
            </w:r>
          </w:p>
          <w:p w14:paraId="1E14B8DB"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Neuro-ophthalmology department of a general Hospital, Beijing</w:t>
            </w:r>
          </w:p>
          <w:p w14:paraId="1C047E4E"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36.8</w:t>
            </w:r>
          </w:p>
        </w:tc>
        <w:tc>
          <w:tcPr>
            <w:tcW w:w="198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36E3A8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≥18 years ON dia</w:t>
            </w:r>
            <w:r w:rsidR="00325A37">
              <w:rPr>
                <w:rFonts w:ascii="Arial Narrow" w:hAnsi="Arial Narrow" w:cs="Times New Roman"/>
                <w:sz w:val="16"/>
                <w:szCs w:val="16"/>
              </w:rPr>
              <w:t>g</w:t>
            </w:r>
            <w:r w:rsidRPr="00106312">
              <w:rPr>
                <w:rFonts w:ascii="Arial Narrow" w:hAnsi="Arial Narrow" w:cs="Times New Roman"/>
                <w:sz w:val="16"/>
                <w:szCs w:val="16"/>
              </w:rPr>
              <w:t xml:space="preserve">nosis </w:t>
            </w: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6C7E565"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Unknown serum status of AQP4-Ab; existing MS or NMO prior onset ON; incomplete clinical or follow-up data</w:t>
            </w:r>
          </w:p>
        </w:tc>
        <w:tc>
          <w:tcPr>
            <w:tcW w:w="170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DB82EE2"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SD-optical coherence tomography examinations in AQP4-Ab +ve patients</w:t>
            </w:r>
          </w:p>
        </w:tc>
        <w:tc>
          <w:tcPr>
            <w:tcW w:w="127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DEB49C0"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SD-optical coherence tomography examinations in AQP4-Ab –ve patients</w:t>
            </w:r>
          </w:p>
        </w:tc>
        <w:tc>
          <w:tcPr>
            <w:tcW w:w="113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67926B1"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Prognosis</w:t>
            </w:r>
          </w:p>
        </w:tc>
        <w:tc>
          <w:tcPr>
            <w:tcW w:w="226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0CE02E7"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Plan Biological and Medical Technology project</w:t>
            </w:r>
          </w:p>
          <w:p w14:paraId="2A52575F" w14:textId="77777777" w:rsidR="00106312" w:rsidRPr="00106312" w:rsidRDefault="00106312" w:rsidP="00106312">
            <w:pPr>
              <w:spacing w:before="30" w:after="30"/>
              <w:ind w:right="60"/>
              <w:jc w:val="left"/>
              <w:rPr>
                <w:rFonts w:ascii="Arial Narrow" w:hAnsi="Arial Narrow" w:cs="Times New Roman"/>
                <w:sz w:val="16"/>
                <w:szCs w:val="16"/>
              </w:rPr>
            </w:pPr>
            <w:r w:rsidRPr="00106312">
              <w:rPr>
                <w:rFonts w:ascii="Arial Narrow" w:hAnsi="Arial Narrow" w:cs="Times New Roman"/>
                <w:sz w:val="16"/>
                <w:szCs w:val="16"/>
              </w:rPr>
              <w:t>Authors declared no conflict of interest</w:t>
            </w:r>
          </w:p>
        </w:tc>
      </w:tr>
    </w:tbl>
    <w:p w14:paraId="66EE5D2D" w14:textId="77777777" w:rsidR="00ED65EE" w:rsidRDefault="00CD0179" w:rsidP="00325A37">
      <w:pPr>
        <w:pStyle w:val="Tablenotes0"/>
      </w:pPr>
      <w:r>
        <w:t xml:space="preserve">ABS = acute brainstem syndrome; </w:t>
      </w:r>
      <w:r w:rsidR="00FD4E1F">
        <w:t xml:space="preserve">ADEM = acute disseminated encephalomyelitis; ADS = acquired demyelination syndrome; </w:t>
      </w:r>
      <w:r w:rsidR="00325A37">
        <w:t xml:space="preserve">ARR = annualised relapse rate; </w:t>
      </w:r>
      <w:r w:rsidR="00FD4E1F">
        <w:t xml:space="preserve">CIS = clinically isolated syndrome; CNS = central nervous system; DS = demyelinating syndromes; ECZ = eculizumab; </w:t>
      </w:r>
      <w:r w:rsidR="00325A37">
        <w:t xml:space="preserve">EDSS = expanded disability status scale; </w:t>
      </w:r>
      <w:r w:rsidR="00FD4E1F">
        <w:t xml:space="preserve">ELISA = enzyme-linked immunosorbent assay; </w:t>
      </w:r>
      <w:r w:rsidR="00325A37">
        <w:t xml:space="preserve">ID = inflammatory disease; </w:t>
      </w:r>
      <w:r w:rsidR="00FD4E1F">
        <w:t xml:space="preserve">IDD = inflammatory demyelinating disorder; IIDD = idiopathic inflammatory demyelinating disease; IIF = indirect immunofluorescence; IgG = immunoglobulin G; </w:t>
      </w:r>
      <w:r w:rsidR="006C5784">
        <w:t xml:space="preserve">IH = immunohistochemistry; </w:t>
      </w:r>
      <w:r w:rsidR="00325A37">
        <w:t xml:space="preserve">IPND = International Panel for NMO Diagnosis; </w:t>
      </w:r>
      <w:r w:rsidR="00FD4E1F">
        <w:t xml:space="preserve">IV = intravenous; IVIg = intravenous immune globulin; </w:t>
      </w:r>
      <w:r w:rsidR="00325A37">
        <w:t xml:space="preserve">LETM = longitudinally extensive transverse myelitis; </w:t>
      </w:r>
      <w:r w:rsidR="00FD4E1F">
        <w:t xml:space="preserve">MMF = mycophenolate mofetil; </w:t>
      </w:r>
      <w:r w:rsidR="00325A37">
        <w:t xml:space="preserve">MOG-Ab = myelin oligodendrocyte glycoprotein antibodies; </w:t>
      </w:r>
      <w:r w:rsidR="00FD4E1F">
        <w:t xml:space="preserve">MRI = magnetic resonance imaging; </w:t>
      </w:r>
      <w:r w:rsidR="00325A37">
        <w:t xml:space="preserve">MS = multiple sclerosis; </w:t>
      </w:r>
      <w:r w:rsidR="00FD4E1F">
        <w:t xml:space="preserve">MX = mitoxantrone; </w:t>
      </w:r>
      <w:r>
        <w:t xml:space="preserve">NA = not available; </w:t>
      </w:r>
      <w:r w:rsidR="00325A37">
        <w:t xml:space="preserve">NMO = neuromyelitis optica; NMOSD = neuromyelitis optica spectrum disorders; NR = not reported; </w:t>
      </w:r>
      <w:r w:rsidR="00FD4E1F">
        <w:t xml:space="preserve">PLEX = plasma exchange; OCB = oligoclonal bands; </w:t>
      </w:r>
      <w:r w:rsidR="00325A37">
        <w:t xml:space="preserve">ON = optic neuritis; QoL = quality of life; RTX = rituximab; </w:t>
      </w:r>
      <w:r w:rsidR="006C5784">
        <w:t>SD = spectrum domain.</w:t>
      </w:r>
    </w:p>
    <w:p w14:paraId="61797411" w14:textId="58C7BC63" w:rsidR="00ED65EE" w:rsidRPr="00A869F4" w:rsidRDefault="00ED65EE" w:rsidP="00ED65EE">
      <w:pPr>
        <w:pStyle w:val="Heading1"/>
        <w:jc w:val="both"/>
      </w:pPr>
      <w:bookmarkStart w:id="637" w:name="_Ref421611175"/>
      <w:bookmarkStart w:id="638" w:name="_Ref39580576"/>
      <w:bookmarkStart w:id="639" w:name="_Toc39588394"/>
      <w:r>
        <w:lastRenderedPageBreak/>
        <w:t xml:space="preserve">Appendix </w:t>
      </w:r>
      <w:r w:rsidR="00E66384">
        <w:rPr>
          <w:noProof/>
        </w:rPr>
        <w:fldChar w:fldCharType="begin"/>
      </w:r>
      <w:r w:rsidR="00E66384">
        <w:rPr>
          <w:noProof/>
        </w:rPr>
        <w:instrText xml:space="preserve"> SEQ Appendix \* ALPHABETIC </w:instrText>
      </w:r>
      <w:r w:rsidR="00E66384">
        <w:rPr>
          <w:noProof/>
        </w:rPr>
        <w:fldChar w:fldCharType="separate"/>
      </w:r>
      <w:r w:rsidR="005E0404">
        <w:rPr>
          <w:noProof/>
        </w:rPr>
        <w:t>D</w:t>
      </w:r>
      <w:r w:rsidR="00E66384">
        <w:rPr>
          <w:noProof/>
        </w:rPr>
        <w:fldChar w:fldCharType="end"/>
      </w:r>
      <w:bookmarkEnd w:id="637"/>
      <w:r>
        <w:tab/>
        <w:t>Evidence Profile Tables</w:t>
      </w:r>
      <w:bookmarkEnd w:id="638"/>
      <w:bookmarkEnd w:id="639"/>
    </w:p>
    <w:p w14:paraId="0B669F86" w14:textId="03E65B38" w:rsidR="00ED65EE" w:rsidRDefault="00ED65EE" w:rsidP="00ED65EE">
      <w:pPr>
        <w:pStyle w:val="Caption"/>
      </w:pPr>
      <w:bookmarkStart w:id="640" w:name="_Ref421016257"/>
      <w:bookmarkStart w:id="641" w:name="_Toc39580880"/>
      <w:r w:rsidRPr="00706BE3">
        <w:t xml:space="preserve">Table </w:t>
      </w:r>
      <w:r w:rsidR="00E66384" w:rsidRPr="00706BE3">
        <w:rPr>
          <w:noProof/>
        </w:rPr>
        <w:fldChar w:fldCharType="begin"/>
      </w:r>
      <w:r w:rsidR="00E66384" w:rsidRPr="00706BE3">
        <w:rPr>
          <w:noProof/>
        </w:rPr>
        <w:instrText xml:space="preserve"> SEQ Table \* ARABIC </w:instrText>
      </w:r>
      <w:r w:rsidR="00E66384" w:rsidRPr="00706BE3">
        <w:rPr>
          <w:noProof/>
        </w:rPr>
        <w:fldChar w:fldCharType="separate"/>
      </w:r>
      <w:r w:rsidR="00FA7BCD">
        <w:rPr>
          <w:noProof/>
        </w:rPr>
        <w:t>99</w:t>
      </w:r>
      <w:r w:rsidR="00E66384" w:rsidRPr="00706BE3">
        <w:rPr>
          <w:noProof/>
        </w:rPr>
        <w:fldChar w:fldCharType="end"/>
      </w:r>
      <w:bookmarkEnd w:id="640"/>
      <w:r w:rsidRPr="00706BE3">
        <w:tab/>
        <w:t>Evidence</w:t>
      </w:r>
      <w:r>
        <w:t xml:space="preserve"> profile table for the accuracy of </w:t>
      </w:r>
      <w:r w:rsidR="00EC1E4D">
        <w:t>AQP4-Ab testing</w:t>
      </w:r>
      <w:r>
        <w:t xml:space="preserve"> compared to </w:t>
      </w:r>
      <w:r w:rsidR="00EC1E4D">
        <w:t>2015 IPND criteria</w:t>
      </w:r>
      <w:r>
        <w:t xml:space="preserve"> for </w:t>
      </w:r>
      <w:r w:rsidR="00EC1E4D">
        <w:t>diagnosis of NMOSD</w:t>
      </w:r>
      <w:r>
        <w:t xml:space="preserve"> (prevalence </w:t>
      </w:r>
      <w:r w:rsidR="00EC1E4D">
        <w:t>34</w:t>
      </w:r>
      <w:r>
        <w:t>%)</w:t>
      </w:r>
      <w:bookmarkEnd w:id="641"/>
    </w:p>
    <w:tbl>
      <w:tblPr>
        <w:tblW w:w="5000" w:type="pct"/>
        <w:tblBorders>
          <w:top w:val="single" w:sz="2" w:space="0" w:color="FFFFFF"/>
          <w:left w:val="single" w:sz="2" w:space="0" w:color="FFFFFF"/>
          <w:bottom w:val="single" w:sz="2" w:space="0" w:color="FFFFFF"/>
          <w:right w:val="single" w:sz="2" w:space="0" w:color="FFFFFF"/>
        </w:tblBorders>
        <w:tblCellMar>
          <w:left w:w="0" w:type="dxa"/>
          <w:right w:w="0" w:type="dxa"/>
        </w:tblCellMar>
        <w:tblLook w:val="04A0" w:firstRow="1" w:lastRow="0" w:firstColumn="1" w:lastColumn="0" w:noHBand="0" w:noVBand="1"/>
        <w:tblCaption w:val="Table 99"/>
        <w:tblDescription w:val="Evidence profile table for the accuracy of AQP4-Ab testing compared to 2015 IPND criteria for diagnosis of NMOSD (prevalence 34%)"/>
      </w:tblPr>
      <w:tblGrid>
        <w:gridCol w:w="3956"/>
        <w:gridCol w:w="1142"/>
        <w:gridCol w:w="1245"/>
        <w:gridCol w:w="1106"/>
        <w:gridCol w:w="1103"/>
        <w:gridCol w:w="1103"/>
        <w:gridCol w:w="1100"/>
        <w:gridCol w:w="1109"/>
        <w:gridCol w:w="679"/>
        <w:gridCol w:w="680"/>
        <w:gridCol w:w="1104"/>
        <w:gridCol w:w="803"/>
      </w:tblGrid>
      <w:tr w:rsidR="004568D6" w:rsidRPr="004568D6" w14:paraId="05814918" w14:textId="77777777" w:rsidTr="00706BE3">
        <w:tc>
          <w:tcPr>
            <w:tcW w:w="2500" w:type="pct"/>
            <w:gridSpan w:val="4"/>
            <w:tcBorders>
              <w:top w:val="single" w:sz="2" w:space="0" w:color="FFFFFF"/>
              <w:left w:val="single" w:sz="2" w:space="0" w:color="FFFFFF"/>
              <w:bottom w:val="single" w:sz="2" w:space="0" w:color="FFFFFF"/>
              <w:right w:val="single" w:sz="2" w:space="0" w:color="FFFFFF"/>
            </w:tcBorders>
            <w:vAlign w:val="center"/>
            <w:hideMark/>
          </w:tcPr>
          <w:tbl>
            <w:tblPr>
              <w:tblW w:w="2063" w:type="pct"/>
              <w:tblBorders>
                <w:top w:val="single" w:sz="4" w:space="0" w:color="AEAAAA" w:themeColor="background2" w:themeShade="BF"/>
                <w:bottom w:val="single" w:sz="4" w:space="0" w:color="AEAAAA" w:themeColor="background2" w:themeShade="BF"/>
                <w:insideH w:val="single" w:sz="4" w:space="0" w:color="AEAAAA" w:themeColor="background2" w:themeShade="BF"/>
              </w:tblBorders>
              <w:tblCellMar>
                <w:left w:w="0" w:type="dxa"/>
                <w:right w:w="0" w:type="dxa"/>
              </w:tblCellMar>
              <w:tblLook w:val="04A0" w:firstRow="1" w:lastRow="0" w:firstColumn="1" w:lastColumn="0" w:noHBand="0" w:noVBand="1"/>
            </w:tblPr>
            <w:tblGrid>
              <w:gridCol w:w="1536"/>
              <w:gridCol w:w="1535"/>
            </w:tblGrid>
            <w:tr w:rsidR="004568D6" w:rsidRPr="004568D6" w14:paraId="4EDAF7DF" w14:textId="77777777" w:rsidTr="00EC1E4D">
              <w:trPr>
                <w:trHeight w:val="360"/>
              </w:trPr>
              <w:tc>
                <w:tcPr>
                  <w:tcW w:w="2501" w:type="pct"/>
                  <w:shd w:val="clear" w:color="auto" w:fill="E9E9E9"/>
                  <w:tcMar>
                    <w:top w:w="75" w:type="dxa"/>
                    <w:left w:w="75" w:type="dxa"/>
                    <w:bottom w:w="75" w:type="dxa"/>
                    <w:right w:w="75" w:type="dxa"/>
                  </w:tcMar>
                  <w:hideMark/>
                </w:tcPr>
                <w:p w14:paraId="7B028801" w14:textId="77777777" w:rsidR="004568D6" w:rsidRPr="004568D6" w:rsidRDefault="004568D6" w:rsidP="00EC1E4D">
                  <w:pPr>
                    <w:jc w:val="right"/>
                    <w:rPr>
                      <w:rFonts w:ascii="Arial Narrow" w:hAnsi="Arial Narrow"/>
                      <w:sz w:val="16"/>
                      <w:szCs w:val="16"/>
                    </w:rPr>
                  </w:pPr>
                  <w:r w:rsidRPr="004568D6">
                    <w:rPr>
                      <w:rFonts w:ascii="Arial Narrow" w:hAnsi="Arial Narrow"/>
                      <w:sz w:val="16"/>
                      <w:szCs w:val="16"/>
                    </w:rPr>
                    <w:t xml:space="preserve">Sensitivity </w:t>
                  </w:r>
                </w:p>
              </w:tc>
              <w:tc>
                <w:tcPr>
                  <w:tcW w:w="2499" w:type="pct"/>
                  <w:tcMar>
                    <w:top w:w="75" w:type="dxa"/>
                    <w:left w:w="75" w:type="dxa"/>
                    <w:bottom w:w="75" w:type="dxa"/>
                    <w:right w:w="75" w:type="dxa"/>
                  </w:tcMar>
                  <w:vAlign w:val="center"/>
                  <w:hideMark/>
                </w:tcPr>
                <w:p w14:paraId="2B2894A3" w14:textId="77777777" w:rsidR="004568D6" w:rsidRPr="004568D6" w:rsidRDefault="004568D6" w:rsidP="004568D6">
                  <w:pPr>
                    <w:rPr>
                      <w:rFonts w:ascii="Arial Narrow" w:hAnsi="Arial Narrow"/>
                      <w:sz w:val="16"/>
                      <w:szCs w:val="16"/>
                    </w:rPr>
                  </w:pPr>
                  <w:r w:rsidRPr="004568D6">
                    <w:rPr>
                      <w:rFonts w:ascii="Arial Narrow" w:hAnsi="Arial Narrow"/>
                      <w:sz w:val="16"/>
                      <w:szCs w:val="16"/>
                    </w:rPr>
                    <w:t>0.29 to 0.88</w:t>
                  </w:r>
                </w:p>
              </w:tc>
            </w:tr>
            <w:tr w:rsidR="004568D6" w:rsidRPr="004568D6" w14:paraId="79512EF6" w14:textId="77777777" w:rsidTr="00EC1E4D">
              <w:tc>
                <w:tcPr>
                  <w:tcW w:w="2501" w:type="pct"/>
                  <w:shd w:val="clear" w:color="auto" w:fill="E9E9E9"/>
                  <w:tcMar>
                    <w:top w:w="75" w:type="dxa"/>
                    <w:left w:w="75" w:type="dxa"/>
                    <w:bottom w:w="75" w:type="dxa"/>
                    <w:right w:w="75" w:type="dxa"/>
                  </w:tcMar>
                  <w:hideMark/>
                </w:tcPr>
                <w:p w14:paraId="41640ADE" w14:textId="77777777" w:rsidR="004568D6" w:rsidRPr="004568D6" w:rsidRDefault="004568D6" w:rsidP="00EC1E4D">
                  <w:pPr>
                    <w:jc w:val="right"/>
                    <w:rPr>
                      <w:rFonts w:ascii="Arial Narrow" w:hAnsi="Arial Narrow"/>
                      <w:sz w:val="16"/>
                      <w:szCs w:val="16"/>
                    </w:rPr>
                  </w:pPr>
                  <w:r w:rsidRPr="004568D6">
                    <w:rPr>
                      <w:rFonts w:ascii="Arial Narrow" w:hAnsi="Arial Narrow"/>
                      <w:sz w:val="16"/>
                      <w:szCs w:val="16"/>
                    </w:rPr>
                    <w:t xml:space="preserve">Specificity </w:t>
                  </w:r>
                </w:p>
              </w:tc>
              <w:tc>
                <w:tcPr>
                  <w:tcW w:w="2499" w:type="pct"/>
                  <w:tcMar>
                    <w:top w:w="75" w:type="dxa"/>
                    <w:left w:w="75" w:type="dxa"/>
                    <w:bottom w:w="75" w:type="dxa"/>
                    <w:right w:w="75" w:type="dxa"/>
                  </w:tcMar>
                  <w:vAlign w:val="center"/>
                  <w:hideMark/>
                </w:tcPr>
                <w:p w14:paraId="3601ACDB" w14:textId="77777777" w:rsidR="004568D6" w:rsidRPr="004568D6" w:rsidRDefault="004568D6" w:rsidP="004568D6">
                  <w:pPr>
                    <w:rPr>
                      <w:rFonts w:ascii="Arial Narrow" w:hAnsi="Arial Narrow"/>
                      <w:sz w:val="16"/>
                      <w:szCs w:val="16"/>
                    </w:rPr>
                  </w:pPr>
                  <w:r w:rsidRPr="004568D6">
                    <w:rPr>
                      <w:rFonts w:ascii="Arial Narrow" w:hAnsi="Arial Narrow"/>
                      <w:sz w:val="16"/>
                      <w:szCs w:val="16"/>
                    </w:rPr>
                    <w:t>0.63 to 1.00</w:t>
                  </w:r>
                </w:p>
              </w:tc>
            </w:tr>
          </w:tbl>
          <w:tbl>
            <w:tblPr>
              <w:tblpPr w:leftFromText="180" w:rightFromText="180" w:vertAnchor="text" w:horzAnchor="page" w:tblpX="3953" w:tblpY="-1252"/>
              <w:tblOverlap w:val="never"/>
              <w:tblW w:w="1992" w:type="pct"/>
              <w:tblBorders>
                <w:top w:val="single" w:sz="6" w:space="0" w:color="BFBFBF"/>
                <w:left w:val="single" w:sz="6" w:space="0" w:color="BFBFBF"/>
                <w:bottom w:val="single" w:sz="6" w:space="0" w:color="BFBFBF"/>
                <w:right w:val="single" w:sz="6" w:space="0" w:color="BFBFBF"/>
              </w:tblBorders>
              <w:tblCellMar>
                <w:left w:w="0" w:type="dxa"/>
                <w:right w:w="0" w:type="dxa"/>
              </w:tblCellMar>
              <w:tblLook w:val="04A0" w:firstRow="1" w:lastRow="0" w:firstColumn="1" w:lastColumn="0" w:noHBand="0" w:noVBand="1"/>
            </w:tblPr>
            <w:tblGrid>
              <w:gridCol w:w="861"/>
              <w:gridCol w:w="715"/>
              <w:gridCol w:w="695"/>
              <w:gridCol w:w="695"/>
            </w:tblGrid>
            <w:tr w:rsidR="00EC1E4D" w:rsidRPr="004568D6" w14:paraId="07650C31" w14:textId="77777777" w:rsidTr="00EC1E4D">
              <w:tc>
                <w:tcPr>
                  <w:tcW w:w="1453" w:type="pct"/>
                  <w:tcBorders>
                    <w:top w:val="nil"/>
                    <w:left w:val="nil"/>
                    <w:bottom w:val="nil"/>
                    <w:right w:val="nil"/>
                  </w:tcBorders>
                  <w:shd w:val="clear" w:color="auto" w:fill="E9E9E9"/>
                  <w:tcMar>
                    <w:top w:w="75" w:type="dxa"/>
                    <w:left w:w="75" w:type="dxa"/>
                    <w:bottom w:w="75" w:type="dxa"/>
                    <w:right w:w="75" w:type="dxa"/>
                  </w:tcMar>
                  <w:vAlign w:val="center"/>
                  <w:hideMark/>
                </w:tcPr>
                <w:p w14:paraId="3A8398AA" w14:textId="77777777" w:rsidR="00EC1E4D" w:rsidRPr="004568D6" w:rsidRDefault="00EC1E4D" w:rsidP="00EC1E4D">
                  <w:pPr>
                    <w:rPr>
                      <w:rFonts w:ascii="Arial Narrow" w:hAnsi="Arial Narrow"/>
                      <w:sz w:val="16"/>
                      <w:szCs w:val="16"/>
                    </w:rPr>
                  </w:pPr>
                  <w:r>
                    <w:rPr>
                      <w:rFonts w:ascii="Arial Narrow" w:hAnsi="Arial Narrow"/>
                      <w:sz w:val="16"/>
                      <w:szCs w:val="16"/>
                    </w:rPr>
                    <w:t>Prevalence</w:t>
                  </w:r>
                  <w:r w:rsidRPr="004568D6">
                    <w:rPr>
                      <w:rFonts w:ascii="Arial Narrow" w:hAnsi="Arial Narrow"/>
                      <w:sz w:val="16"/>
                      <w:szCs w:val="16"/>
                    </w:rPr>
                    <w:t xml:space="preserve"> </w:t>
                  </w:r>
                </w:p>
              </w:tc>
              <w:tc>
                <w:tcPr>
                  <w:tcW w:w="1205" w:type="pct"/>
                  <w:tcBorders>
                    <w:top w:val="nil"/>
                    <w:left w:val="nil"/>
                    <w:bottom w:val="nil"/>
                    <w:right w:val="nil"/>
                  </w:tcBorders>
                  <w:tcMar>
                    <w:top w:w="75" w:type="dxa"/>
                    <w:left w:w="75" w:type="dxa"/>
                    <w:bottom w:w="75" w:type="dxa"/>
                    <w:right w:w="75" w:type="dxa"/>
                  </w:tcMar>
                  <w:vAlign w:val="center"/>
                  <w:hideMark/>
                </w:tcPr>
                <w:p w14:paraId="658490FD" w14:textId="77777777" w:rsidR="00EC1E4D" w:rsidRPr="004568D6" w:rsidRDefault="00EC1E4D" w:rsidP="00EC1E4D">
                  <w:pPr>
                    <w:rPr>
                      <w:rFonts w:ascii="Arial Narrow" w:hAnsi="Arial Narrow"/>
                      <w:sz w:val="16"/>
                      <w:szCs w:val="16"/>
                    </w:rPr>
                  </w:pPr>
                  <w:r w:rsidRPr="004568D6">
                    <w:rPr>
                      <w:rFonts w:ascii="Arial Narrow" w:hAnsi="Arial Narrow"/>
                      <w:sz w:val="16"/>
                      <w:szCs w:val="16"/>
                    </w:rPr>
                    <w:t>34%</w:t>
                  </w:r>
                </w:p>
              </w:tc>
              <w:tc>
                <w:tcPr>
                  <w:tcW w:w="1171" w:type="pct"/>
                  <w:tcBorders>
                    <w:top w:val="nil"/>
                    <w:left w:val="nil"/>
                    <w:bottom w:val="nil"/>
                    <w:right w:val="nil"/>
                  </w:tcBorders>
                  <w:tcMar>
                    <w:top w:w="75" w:type="dxa"/>
                    <w:left w:w="75" w:type="dxa"/>
                    <w:bottom w:w="75" w:type="dxa"/>
                    <w:right w:w="75" w:type="dxa"/>
                  </w:tcMar>
                  <w:vAlign w:val="center"/>
                  <w:hideMark/>
                </w:tcPr>
                <w:p w14:paraId="29BB34F2" w14:textId="77777777" w:rsidR="00EC1E4D" w:rsidRPr="004568D6" w:rsidRDefault="00EC1E4D" w:rsidP="00EC1E4D">
                  <w:pPr>
                    <w:rPr>
                      <w:rFonts w:ascii="Arial Narrow" w:hAnsi="Arial Narrow"/>
                      <w:sz w:val="16"/>
                      <w:szCs w:val="16"/>
                    </w:rPr>
                  </w:pPr>
                </w:p>
              </w:tc>
              <w:tc>
                <w:tcPr>
                  <w:tcW w:w="1171" w:type="pct"/>
                  <w:tcBorders>
                    <w:top w:val="nil"/>
                    <w:left w:val="nil"/>
                    <w:bottom w:val="nil"/>
                    <w:right w:val="nil"/>
                  </w:tcBorders>
                  <w:tcMar>
                    <w:top w:w="75" w:type="dxa"/>
                    <w:left w:w="75" w:type="dxa"/>
                    <w:bottom w:w="75" w:type="dxa"/>
                    <w:right w:w="75" w:type="dxa"/>
                  </w:tcMar>
                  <w:vAlign w:val="center"/>
                  <w:hideMark/>
                </w:tcPr>
                <w:p w14:paraId="0DEAE522" w14:textId="77777777" w:rsidR="00EC1E4D" w:rsidRPr="004568D6" w:rsidRDefault="00EC1E4D" w:rsidP="00EC1E4D">
                  <w:pPr>
                    <w:rPr>
                      <w:rFonts w:ascii="Arial Narrow" w:hAnsi="Arial Narrow"/>
                      <w:sz w:val="16"/>
                      <w:szCs w:val="16"/>
                    </w:rPr>
                  </w:pPr>
                </w:p>
              </w:tc>
            </w:tr>
          </w:tbl>
          <w:p w14:paraId="4A91682D" w14:textId="77777777" w:rsidR="004568D6" w:rsidRPr="004568D6" w:rsidRDefault="004568D6" w:rsidP="004568D6">
            <w:pPr>
              <w:rPr>
                <w:rFonts w:ascii="Arial Narrow" w:hAnsi="Arial Narrow"/>
                <w:sz w:val="16"/>
                <w:szCs w:val="16"/>
              </w:rPr>
            </w:pPr>
          </w:p>
        </w:tc>
        <w:tc>
          <w:tcPr>
            <w:tcW w:w="250" w:type="pct"/>
            <w:tcBorders>
              <w:top w:val="single" w:sz="2" w:space="0" w:color="FFFFFF"/>
              <w:left w:val="single" w:sz="2" w:space="0" w:color="FFFFFF"/>
              <w:bottom w:val="single" w:sz="2" w:space="0" w:color="FFFFFF"/>
              <w:right w:val="single" w:sz="2" w:space="0" w:color="FFFFFF"/>
            </w:tcBorders>
            <w:vAlign w:val="center"/>
            <w:hideMark/>
          </w:tcPr>
          <w:p w14:paraId="47565EEA" w14:textId="77777777" w:rsidR="004568D6" w:rsidRPr="004568D6" w:rsidRDefault="004568D6" w:rsidP="004568D6">
            <w:pPr>
              <w:rPr>
                <w:rFonts w:ascii="Arial Narrow" w:hAnsi="Arial Narrow"/>
                <w:sz w:val="16"/>
                <w:szCs w:val="16"/>
              </w:rPr>
            </w:pPr>
          </w:p>
        </w:tc>
        <w:tc>
          <w:tcPr>
            <w:tcW w:w="0" w:type="auto"/>
            <w:gridSpan w:val="4"/>
            <w:tcBorders>
              <w:top w:val="single" w:sz="2" w:space="0" w:color="FFFFFF"/>
              <w:left w:val="single" w:sz="2" w:space="0" w:color="FFFFFF"/>
              <w:bottom w:val="single" w:sz="2" w:space="0" w:color="FFFFFF"/>
              <w:right w:val="single" w:sz="2" w:space="0" w:color="FFFFFF"/>
            </w:tcBorders>
            <w:vAlign w:val="center"/>
            <w:hideMark/>
          </w:tcPr>
          <w:p w14:paraId="5784054F" w14:textId="77777777" w:rsidR="004568D6" w:rsidRPr="004568D6" w:rsidRDefault="004568D6" w:rsidP="004568D6">
            <w:pPr>
              <w:rPr>
                <w:rFonts w:ascii="Arial Narrow" w:hAnsi="Arial Narrow"/>
                <w:sz w:val="16"/>
                <w:szCs w:val="16"/>
              </w:rPr>
            </w:pPr>
          </w:p>
        </w:tc>
        <w:tc>
          <w:tcPr>
            <w:tcW w:w="1250" w:type="pct"/>
            <w:gridSpan w:val="3"/>
            <w:tcBorders>
              <w:top w:val="single" w:sz="2" w:space="0" w:color="FFFFFF"/>
              <w:left w:val="single" w:sz="2" w:space="0" w:color="FFFFFF"/>
              <w:bottom w:val="single" w:sz="2" w:space="0" w:color="FFFFFF"/>
              <w:right w:val="single" w:sz="2" w:space="0" w:color="FFFFFF"/>
            </w:tcBorders>
            <w:vAlign w:val="center"/>
            <w:hideMark/>
          </w:tcPr>
          <w:p w14:paraId="7ECC7A6B" w14:textId="77777777" w:rsidR="004568D6" w:rsidRPr="004568D6" w:rsidRDefault="004568D6" w:rsidP="004568D6">
            <w:pPr>
              <w:rPr>
                <w:rFonts w:ascii="Arial Narrow" w:hAnsi="Arial Narrow"/>
                <w:sz w:val="16"/>
                <w:szCs w:val="16"/>
              </w:rPr>
            </w:pPr>
          </w:p>
        </w:tc>
      </w:tr>
      <w:tr w:rsidR="00165145" w:rsidRPr="00EC1E4D" w14:paraId="73D050D1" w14:textId="77777777" w:rsidTr="00706BE3">
        <w:tblPrEx>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PrEx>
        <w:trPr>
          <w:trHeight w:val="368"/>
          <w:tblHeader/>
        </w:trPr>
        <w:tc>
          <w:tcPr>
            <w:tcW w:w="0" w:type="auto"/>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BDDD8B0" w14:textId="77777777" w:rsidR="00165145" w:rsidRPr="00EC1E4D" w:rsidRDefault="00165145" w:rsidP="00706BE3">
            <w:pPr>
              <w:jc w:val="center"/>
              <w:rPr>
                <w:rFonts w:ascii="Arial Narrow" w:hAnsi="Arial Narrow"/>
                <w:b/>
                <w:sz w:val="16"/>
                <w:szCs w:val="16"/>
              </w:rPr>
            </w:pPr>
            <w:r w:rsidRPr="00EC1E4D">
              <w:rPr>
                <w:rFonts w:ascii="Arial Narrow" w:hAnsi="Arial Narrow"/>
                <w:b/>
                <w:sz w:val="16"/>
                <w:szCs w:val="16"/>
              </w:rPr>
              <w:t>Outcome</w:t>
            </w:r>
          </w:p>
        </w:tc>
        <w:tc>
          <w:tcPr>
            <w:tcW w:w="387" w:type="pct"/>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18CEAFE8" w14:textId="77777777" w:rsidR="00165145" w:rsidRPr="00EC1E4D" w:rsidRDefault="00165145" w:rsidP="00706BE3">
            <w:pPr>
              <w:jc w:val="center"/>
              <w:rPr>
                <w:rFonts w:ascii="Arial Narrow" w:hAnsi="Arial Narrow"/>
                <w:b/>
                <w:sz w:val="16"/>
                <w:szCs w:val="16"/>
              </w:rPr>
            </w:pPr>
            <w:r w:rsidRPr="00EC1E4D">
              <w:rPr>
                <w:rFonts w:ascii="Arial Narrow" w:hAnsi="Arial Narrow"/>
                <w:b/>
                <w:sz w:val="16"/>
                <w:szCs w:val="16"/>
              </w:rPr>
              <w:t>№ of studies (№ of patients)</w:t>
            </w:r>
          </w:p>
        </w:tc>
        <w:tc>
          <w:tcPr>
            <w:tcW w:w="421" w:type="pct"/>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4C3F1433" w14:textId="77777777" w:rsidR="00165145" w:rsidRPr="00EC1E4D" w:rsidRDefault="00165145" w:rsidP="00706BE3">
            <w:pPr>
              <w:jc w:val="center"/>
              <w:rPr>
                <w:rFonts w:ascii="Arial Narrow" w:hAnsi="Arial Narrow"/>
                <w:b/>
                <w:sz w:val="16"/>
                <w:szCs w:val="16"/>
              </w:rPr>
            </w:pPr>
            <w:r w:rsidRPr="00EC1E4D">
              <w:rPr>
                <w:rFonts w:ascii="Arial Narrow" w:hAnsi="Arial Narrow"/>
                <w:b/>
                <w:sz w:val="16"/>
                <w:szCs w:val="16"/>
              </w:rPr>
              <w:t>Study design</w:t>
            </w:r>
          </w:p>
        </w:tc>
        <w:tc>
          <w:tcPr>
            <w:tcW w:w="1872" w:type="pct"/>
            <w:gridSpan w:val="5"/>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2AF6B5DB" w14:textId="77777777" w:rsidR="00165145" w:rsidRPr="00EC1E4D" w:rsidRDefault="00165145" w:rsidP="00706BE3">
            <w:pPr>
              <w:jc w:val="center"/>
              <w:rPr>
                <w:rFonts w:ascii="Arial Narrow" w:hAnsi="Arial Narrow"/>
                <w:b/>
                <w:sz w:val="16"/>
                <w:szCs w:val="16"/>
              </w:rPr>
            </w:pPr>
            <w:r w:rsidRPr="00EC1E4D">
              <w:rPr>
                <w:rFonts w:ascii="Arial Narrow" w:hAnsi="Arial Narrow"/>
                <w:b/>
                <w:sz w:val="16"/>
                <w:szCs w:val="16"/>
              </w:rPr>
              <w:t>Factors that may decrease certainty of evidence</w:t>
            </w:r>
          </w:p>
        </w:tc>
        <w:tc>
          <w:tcPr>
            <w:tcW w:w="468" w:type="pct"/>
            <w:gridSpan w:val="2"/>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55AB576B" w14:textId="77777777" w:rsidR="00165145" w:rsidRPr="00EC1E4D" w:rsidRDefault="00165145" w:rsidP="004568D6">
            <w:pPr>
              <w:jc w:val="left"/>
              <w:rPr>
                <w:rFonts w:ascii="Arial Narrow" w:hAnsi="Arial Narrow"/>
                <w:b/>
                <w:sz w:val="16"/>
                <w:szCs w:val="16"/>
              </w:rPr>
            </w:pPr>
            <w:r w:rsidRPr="00EC1E4D">
              <w:rPr>
                <w:rFonts w:ascii="Arial Narrow" w:hAnsi="Arial Narrow"/>
                <w:b/>
                <w:sz w:val="16"/>
                <w:szCs w:val="16"/>
              </w:rPr>
              <w:t>Effect per 1,000 patients tested</w:t>
            </w:r>
          </w:p>
        </w:tc>
        <w:tc>
          <w:tcPr>
            <w:tcW w:w="374" w:type="pct"/>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vAlign w:val="center"/>
            <w:hideMark/>
          </w:tcPr>
          <w:p w14:paraId="29457AF1" w14:textId="77777777" w:rsidR="00165145" w:rsidRPr="00EC1E4D" w:rsidRDefault="00165145" w:rsidP="00165145">
            <w:pPr>
              <w:jc w:val="center"/>
              <w:rPr>
                <w:rFonts w:ascii="Arial Narrow" w:hAnsi="Arial Narrow"/>
                <w:b/>
                <w:sz w:val="16"/>
                <w:szCs w:val="16"/>
              </w:rPr>
            </w:pPr>
            <w:r w:rsidRPr="00EC1E4D">
              <w:rPr>
                <w:rFonts w:ascii="Arial Narrow" w:hAnsi="Arial Narrow"/>
                <w:b/>
                <w:sz w:val="16"/>
                <w:szCs w:val="16"/>
              </w:rPr>
              <w:t>Test accuracy CoE</w:t>
            </w:r>
          </w:p>
        </w:tc>
        <w:tc>
          <w:tcPr>
            <w:tcW w:w="422" w:type="pct"/>
            <w:vMerge w:val="restart"/>
            <w:tcBorders>
              <w:top w:val="single" w:sz="6" w:space="0" w:color="BFBFBF"/>
              <w:left w:val="single" w:sz="6" w:space="0" w:color="BFBFBF"/>
              <w:right w:val="single" w:sz="6" w:space="0" w:color="BFBFBF"/>
            </w:tcBorders>
            <w:shd w:val="clear" w:color="auto" w:fill="DDDDDD"/>
            <w:vAlign w:val="center"/>
          </w:tcPr>
          <w:p w14:paraId="698A2592" w14:textId="77777777" w:rsidR="00165145" w:rsidRPr="00EC1E4D" w:rsidRDefault="00165145" w:rsidP="00165145">
            <w:pPr>
              <w:jc w:val="center"/>
              <w:rPr>
                <w:rFonts w:ascii="Arial Narrow" w:hAnsi="Arial Narrow"/>
                <w:b/>
                <w:sz w:val="16"/>
                <w:szCs w:val="16"/>
              </w:rPr>
            </w:pPr>
            <w:r w:rsidRPr="00EC1E4D">
              <w:rPr>
                <w:rFonts w:ascii="Arial Narrow" w:hAnsi="Arial Narrow"/>
                <w:b/>
                <w:sz w:val="16"/>
                <w:szCs w:val="16"/>
              </w:rPr>
              <w:t>Importance</w:t>
            </w:r>
          </w:p>
        </w:tc>
      </w:tr>
      <w:tr w:rsidR="00165145" w:rsidRPr="00EC1E4D" w14:paraId="4952DA0E" w14:textId="77777777" w:rsidTr="004F4ACD">
        <w:tblPrEx>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PrEx>
        <w:trPr>
          <w:trHeight w:val="364"/>
          <w:tblHeader/>
        </w:trPr>
        <w:tc>
          <w:tcPr>
            <w:tcW w:w="0" w:type="auto"/>
            <w:vMerge/>
            <w:tcBorders>
              <w:top w:val="single" w:sz="6" w:space="0" w:color="BFBFBF"/>
              <w:left w:val="single" w:sz="6" w:space="0" w:color="BFBFBF"/>
              <w:bottom w:val="single" w:sz="6" w:space="0" w:color="BFBFBF"/>
              <w:right w:val="single" w:sz="6" w:space="0" w:color="BFBFBF"/>
            </w:tcBorders>
            <w:hideMark/>
          </w:tcPr>
          <w:p w14:paraId="19B948A8" w14:textId="77777777" w:rsidR="00165145" w:rsidRPr="00EC1E4D" w:rsidRDefault="00165145" w:rsidP="004568D6">
            <w:pPr>
              <w:jc w:val="left"/>
              <w:rPr>
                <w:rFonts w:ascii="Arial Narrow" w:hAnsi="Arial Narrow"/>
                <w:b/>
                <w:sz w:val="16"/>
                <w:szCs w:val="16"/>
              </w:rPr>
            </w:pPr>
          </w:p>
        </w:tc>
        <w:tc>
          <w:tcPr>
            <w:tcW w:w="387" w:type="pct"/>
            <w:vMerge/>
            <w:tcBorders>
              <w:top w:val="single" w:sz="6" w:space="0" w:color="BFBFBF"/>
              <w:left w:val="single" w:sz="6" w:space="0" w:color="BFBFBF"/>
              <w:bottom w:val="single" w:sz="6" w:space="0" w:color="BFBFBF"/>
              <w:right w:val="single" w:sz="6" w:space="0" w:color="BFBFBF"/>
            </w:tcBorders>
            <w:hideMark/>
          </w:tcPr>
          <w:p w14:paraId="742509B4" w14:textId="77777777" w:rsidR="00165145" w:rsidRPr="00EC1E4D" w:rsidRDefault="00165145" w:rsidP="004568D6">
            <w:pPr>
              <w:jc w:val="left"/>
              <w:rPr>
                <w:rFonts w:ascii="Arial Narrow" w:hAnsi="Arial Narrow"/>
                <w:b/>
                <w:sz w:val="16"/>
                <w:szCs w:val="16"/>
              </w:rPr>
            </w:pPr>
          </w:p>
        </w:tc>
        <w:tc>
          <w:tcPr>
            <w:tcW w:w="421" w:type="pct"/>
            <w:vMerge/>
            <w:tcBorders>
              <w:top w:val="single" w:sz="6" w:space="0" w:color="BFBFBF"/>
              <w:left w:val="single" w:sz="6" w:space="0" w:color="BFBFBF"/>
              <w:bottom w:val="single" w:sz="6" w:space="0" w:color="BFBFBF"/>
              <w:right w:val="single" w:sz="6" w:space="0" w:color="BFBFBF"/>
            </w:tcBorders>
            <w:hideMark/>
          </w:tcPr>
          <w:p w14:paraId="4BF232D4" w14:textId="77777777" w:rsidR="00165145" w:rsidRPr="00EC1E4D" w:rsidRDefault="00165145" w:rsidP="004568D6">
            <w:pPr>
              <w:jc w:val="left"/>
              <w:rPr>
                <w:rFonts w:ascii="Arial Narrow" w:hAnsi="Arial Narrow"/>
                <w:b/>
                <w:sz w:val="16"/>
                <w:szCs w:val="16"/>
              </w:rPr>
            </w:pPr>
          </w:p>
        </w:tc>
        <w:tc>
          <w:tcPr>
            <w:tcW w:w="375" w:type="pc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2594D359" w14:textId="77777777" w:rsidR="00165145" w:rsidRPr="00EC1E4D" w:rsidRDefault="00165145" w:rsidP="004568D6">
            <w:pPr>
              <w:jc w:val="left"/>
              <w:rPr>
                <w:rFonts w:ascii="Arial Narrow" w:hAnsi="Arial Narrow"/>
                <w:b/>
                <w:sz w:val="16"/>
                <w:szCs w:val="16"/>
              </w:rPr>
            </w:pPr>
            <w:r w:rsidRPr="00EC1E4D">
              <w:rPr>
                <w:rFonts w:ascii="Arial Narrow" w:hAnsi="Arial Narrow"/>
                <w:b/>
                <w:sz w:val="16"/>
                <w:szCs w:val="16"/>
              </w:rPr>
              <w:t>Risk of bias</w:t>
            </w:r>
          </w:p>
        </w:tc>
        <w:tc>
          <w:tcPr>
            <w:tcW w:w="374" w:type="pc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597CB920" w14:textId="77777777" w:rsidR="00165145" w:rsidRPr="00EC1E4D" w:rsidRDefault="00165145" w:rsidP="004568D6">
            <w:pPr>
              <w:jc w:val="left"/>
              <w:rPr>
                <w:rFonts w:ascii="Arial Narrow" w:hAnsi="Arial Narrow"/>
                <w:b/>
                <w:sz w:val="16"/>
                <w:szCs w:val="16"/>
              </w:rPr>
            </w:pPr>
            <w:r w:rsidRPr="00EC1E4D">
              <w:rPr>
                <w:rFonts w:ascii="Arial Narrow" w:hAnsi="Arial Narrow"/>
                <w:b/>
                <w:sz w:val="16"/>
                <w:szCs w:val="16"/>
              </w:rPr>
              <w:t>Indirectness</w:t>
            </w:r>
          </w:p>
        </w:tc>
        <w:tc>
          <w:tcPr>
            <w:tcW w:w="374" w:type="pc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20D6D885" w14:textId="77777777" w:rsidR="00165145" w:rsidRPr="00EC1E4D" w:rsidRDefault="00165145" w:rsidP="004568D6">
            <w:pPr>
              <w:jc w:val="left"/>
              <w:rPr>
                <w:rFonts w:ascii="Arial Narrow" w:hAnsi="Arial Narrow"/>
                <w:b/>
                <w:sz w:val="16"/>
                <w:szCs w:val="16"/>
              </w:rPr>
            </w:pPr>
            <w:r w:rsidRPr="00EC1E4D">
              <w:rPr>
                <w:rFonts w:ascii="Arial Narrow" w:hAnsi="Arial Narrow"/>
                <w:b/>
                <w:sz w:val="16"/>
                <w:szCs w:val="16"/>
              </w:rPr>
              <w:t>Inconsistency</w:t>
            </w:r>
          </w:p>
        </w:tc>
        <w:tc>
          <w:tcPr>
            <w:tcW w:w="373" w:type="pc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6D3D1C43" w14:textId="77777777" w:rsidR="00165145" w:rsidRPr="00EC1E4D" w:rsidRDefault="00165145" w:rsidP="004568D6">
            <w:pPr>
              <w:jc w:val="left"/>
              <w:rPr>
                <w:rFonts w:ascii="Arial Narrow" w:hAnsi="Arial Narrow"/>
                <w:b/>
                <w:sz w:val="16"/>
                <w:szCs w:val="16"/>
              </w:rPr>
            </w:pPr>
            <w:r w:rsidRPr="00EC1E4D">
              <w:rPr>
                <w:rFonts w:ascii="Arial Narrow" w:hAnsi="Arial Narrow"/>
                <w:b/>
                <w:sz w:val="16"/>
                <w:szCs w:val="16"/>
              </w:rPr>
              <w:t>Imprecision</w:t>
            </w:r>
          </w:p>
        </w:tc>
        <w:tc>
          <w:tcPr>
            <w:tcW w:w="376" w:type="pc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5C722E26" w14:textId="77777777" w:rsidR="00165145" w:rsidRPr="00EC1E4D" w:rsidRDefault="00165145" w:rsidP="004568D6">
            <w:pPr>
              <w:jc w:val="left"/>
              <w:rPr>
                <w:rFonts w:ascii="Arial Narrow" w:hAnsi="Arial Narrow"/>
                <w:b/>
                <w:sz w:val="16"/>
                <w:szCs w:val="16"/>
              </w:rPr>
            </w:pPr>
            <w:r w:rsidRPr="00EC1E4D">
              <w:rPr>
                <w:rFonts w:ascii="Arial Narrow" w:hAnsi="Arial Narrow"/>
                <w:b/>
                <w:sz w:val="16"/>
                <w:szCs w:val="16"/>
              </w:rPr>
              <w:t>Publication bias</w:t>
            </w:r>
          </w:p>
        </w:tc>
        <w:tc>
          <w:tcPr>
            <w:tcW w:w="468" w:type="pct"/>
            <w:gridSpan w:val="2"/>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236152BB" w14:textId="77777777" w:rsidR="00165145" w:rsidRPr="00EC1E4D" w:rsidRDefault="00165145" w:rsidP="004568D6">
            <w:pPr>
              <w:jc w:val="left"/>
              <w:rPr>
                <w:rFonts w:ascii="Arial Narrow" w:hAnsi="Arial Narrow"/>
                <w:b/>
                <w:sz w:val="16"/>
                <w:szCs w:val="16"/>
              </w:rPr>
            </w:pPr>
            <w:r w:rsidRPr="00EC1E4D">
              <w:rPr>
                <w:rFonts w:ascii="Arial Narrow" w:hAnsi="Arial Narrow"/>
                <w:b/>
                <w:sz w:val="16"/>
                <w:szCs w:val="16"/>
              </w:rPr>
              <w:t xml:space="preserve">pre-test probability of 34% </w:t>
            </w:r>
          </w:p>
        </w:tc>
        <w:tc>
          <w:tcPr>
            <w:tcW w:w="374" w:type="pct"/>
            <w:vMerge/>
            <w:tcBorders>
              <w:top w:val="single" w:sz="6" w:space="0" w:color="BFBFBF"/>
              <w:left w:val="single" w:sz="6" w:space="0" w:color="BFBFBF"/>
              <w:bottom w:val="single" w:sz="6" w:space="0" w:color="BFBFBF"/>
              <w:right w:val="single" w:sz="6" w:space="0" w:color="BFBFBF"/>
            </w:tcBorders>
            <w:hideMark/>
          </w:tcPr>
          <w:p w14:paraId="67AF8B20" w14:textId="77777777" w:rsidR="00165145" w:rsidRPr="00EC1E4D" w:rsidRDefault="00165145" w:rsidP="004568D6">
            <w:pPr>
              <w:jc w:val="left"/>
              <w:rPr>
                <w:rFonts w:ascii="Arial Narrow" w:hAnsi="Arial Narrow"/>
                <w:b/>
                <w:sz w:val="16"/>
                <w:szCs w:val="16"/>
              </w:rPr>
            </w:pPr>
          </w:p>
        </w:tc>
        <w:tc>
          <w:tcPr>
            <w:tcW w:w="422" w:type="pct"/>
            <w:vMerge/>
            <w:tcBorders>
              <w:left w:val="single" w:sz="6" w:space="0" w:color="BFBFBF"/>
              <w:bottom w:val="single" w:sz="6" w:space="0" w:color="BFBFBF"/>
              <w:right w:val="single" w:sz="6" w:space="0" w:color="BFBFBF"/>
            </w:tcBorders>
          </w:tcPr>
          <w:p w14:paraId="5479377F" w14:textId="77777777" w:rsidR="00165145" w:rsidRPr="00EC1E4D" w:rsidRDefault="00165145" w:rsidP="004568D6">
            <w:pPr>
              <w:jc w:val="left"/>
              <w:rPr>
                <w:rFonts w:ascii="Arial Narrow" w:hAnsi="Arial Narrow"/>
                <w:b/>
                <w:sz w:val="16"/>
                <w:szCs w:val="16"/>
              </w:rPr>
            </w:pPr>
          </w:p>
        </w:tc>
      </w:tr>
      <w:tr w:rsidR="004568D6" w:rsidRPr="00165145" w14:paraId="0EDF7FE7" w14:textId="77777777" w:rsidTr="00706BE3">
        <w:tblPrEx>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PrEx>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0A84198A" w14:textId="77777777" w:rsidR="004568D6" w:rsidRPr="00165145" w:rsidRDefault="004568D6" w:rsidP="004568D6">
            <w:pPr>
              <w:jc w:val="left"/>
              <w:rPr>
                <w:rFonts w:ascii="Arial Narrow" w:hAnsi="Arial Narrow"/>
                <w:sz w:val="16"/>
                <w:szCs w:val="16"/>
              </w:rPr>
            </w:pPr>
            <w:r w:rsidRPr="00165145">
              <w:rPr>
                <w:rFonts w:ascii="Arial Narrow" w:hAnsi="Arial Narrow"/>
                <w:b/>
                <w:bCs/>
                <w:sz w:val="16"/>
                <w:szCs w:val="16"/>
              </w:rPr>
              <w:t>True positives</w:t>
            </w:r>
            <w:r w:rsidRPr="00165145">
              <w:rPr>
                <w:rFonts w:ascii="Arial Narrow" w:hAnsi="Arial Narrow"/>
                <w:sz w:val="16"/>
                <w:szCs w:val="16"/>
              </w:rPr>
              <w:br/>
              <w:t xml:space="preserve">(patients with NMOSD) </w:t>
            </w:r>
          </w:p>
        </w:tc>
        <w:tc>
          <w:tcPr>
            <w:tcW w:w="387"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8D47D6E"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12 studies</w:t>
            </w:r>
            <w:r w:rsidRPr="00165145">
              <w:rPr>
                <w:rFonts w:ascii="Arial Narrow" w:hAnsi="Arial Narrow"/>
                <w:sz w:val="16"/>
                <w:szCs w:val="16"/>
              </w:rPr>
              <w:br/>
              <w:t xml:space="preserve">1684 patients </w:t>
            </w:r>
          </w:p>
        </w:tc>
        <w:tc>
          <w:tcPr>
            <w:tcW w:w="421"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ADCA493"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 xml:space="preserve">cross-sectional (cohort type accuracy study) </w:t>
            </w:r>
          </w:p>
        </w:tc>
        <w:tc>
          <w:tcPr>
            <w:tcW w:w="375"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DA27D68"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 xml:space="preserve">very serious </w:t>
            </w:r>
            <w:r w:rsidRPr="00165145">
              <w:rPr>
                <w:rFonts w:ascii="Arial Narrow" w:hAnsi="Arial Narrow"/>
                <w:sz w:val="16"/>
                <w:szCs w:val="16"/>
                <w:vertAlign w:val="superscript"/>
              </w:rPr>
              <w:t>a,b</w:t>
            </w:r>
          </w:p>
        </w:tc>
        <w:tc>
          <w:tcPr>
            <w:tcW w:w="374"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DB1EF19" w14:textId="77777777" w:rsidR="004568D6" w:rsidRPr="00165145" w:rsidRDefault="00483BE3" w:rsidP="004568D6">
            <w:pPr>
              <w:jc w:val="left"/>
              <w:rPr>
                <w:rFonts w:ascii="Arial Narrow" w:hAnsi="Arial Narrow"/>
                <w:sz w:val="16"/>
                <w:szCs w:val="16"/>
              </w:rPr>
            </w:pPr>
            <w:r>
              <w:rPr>
                <w:rFonts w:ascii="Arial Narrow" w:hAnsi="Arial Narrow"/>
                <w:sz w:val="16"/>
                <w:szCs w:val="16"/>
              </w:rPr>
              <w:t>NA</w:t>
            </w:r>
            <w:r w:rsidR="004568D6" w:rsidRPr="00165145">
              <w:rPr>
                <w:rFonts w:ascii="Arial Narrow" w:hAnsi="Arial Narrow"/>
                <w:sz w:val="16"/>
                <w:szCs w:val="16"/>
              </w:rPr>
              <w:t xml:space="preserve"> </w:t>
            </w:r>
          </w:p>
        </w:tc>
        <w:tc>
          <w:tcPr>
            <w:tcW w:w="374"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E2E76A2"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 xml:space="preserve">not serious </w:t>
            </w:r>
          </w:p>
        </w:tc>
        <w:tc>
          <w:tcPr>
            <w:tcW w:w="373"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78A1BEB"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 xml:space="preserve">not serious </w:t>
            </w:r>
          </w:p>
        </w:tc>
        <w:tc>
          <w:tcPr>
            <w:tcW w:w="376"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85DAB9C"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 xml:space="preserve">none </w:t>
            </w:r>
          </w:p>
        </w:tc>
        <w:tc>
          <w:tcPr>
            <w:tcW w:w="468" w:type="pct"/>
            <w:gridSpan w:val="2"/>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C8D6414"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99 to 299</w:t>
            </w:r>
          </w:p>
        </w:tc>
        <w:tc>
          <w:tcPr>
            <w:tcW w:w="374" w:type="pct"/>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77451606" w14:textId="77777777" w:rsidR="004568D6" w:rsidRPr="00165145" w:rsidRDefault="00165145" w:rsidP="004568D6">
            <w:pPr>
              <w:jc w:val="left"/>
              <w:rPr>
                <w:rFonts w:ascii="Arial Narrow" w:hAnsi="Arial Narrow"/>
                <w:sz w:val="16"/>
                <w:szCs w:val="16"/>
              </w:rPr>
            </w:pPr>
            <w:r w:rsidRPr="00165145">
              <w:rPr>
                <w:rFonts w:ascii="Cambria Math" w:hAnsi="Cambria Math"/>
                <w:color w:val="00B050"/>
              </w:rPr>
              <w:t>⨁⨁</w:t>
            </w:r>
            <w:r w:rsidRPr="00165145">
              <w:rPr>
                <w:rFonts w:ascii="Cambria Math" w:hAnsi="Cambria Math" w:cs="Cambria Math"/>
                <w:color w:val="C00000"/>
              </w:rPr>
              <w:t>⨀⨀</w:t>
            </w:r>
            <w:r w:rsidR="004568D6" w:rsidRPr="00165145">
              <w:rPr>
                <w:rFonts w:ascii="Arial Narrow" w:hAnsi="Arial Narrow"/>
                <w:sz w:val="16"/>
                <w:szCs w:val="16"/>
              </w:rPr>
              <w:br/>
              <w:t xml:space="preserve">LOW </w:t>
            </w:r>
          </w:p>
        </w:tc>
        <w:tc>
          <w:tcPr>
            <w:tcW w:w="422" w:type="pct"/>
            <w:tcBorders>
              <w:top w:val="single" w:sz="6" w:space="0" w:color="BFBFBF"/>
              <w:left w:val="single" w:sz="6" w:space="0" w:color="BFBFBF"/>
              <w:bottom w:val="single" w:sz="6" w:space="0" w:color="BFBFBF"/>
              <w:right w:val="single" w:sz="6" w:space="0" w:color="BFBFBF"/>
            </w:tcBorders>
            <w:shd w:val="clear" w:color="auto" w:fill="DDDDDD"/>
          </w:tcPr>
          <w:p w14:paraId="306ADE50" w14:textId="77777777" w:rsidR="004568D6" w:rsidRPr="00EA096D" w:rsidRDefault="00D33288" w:rsidP="004568D6">
            <w:pPr>
              <w:jc w:val="left"/>
              <w:rPr>
                <w:rFonts w:ascii="Cambria Math" w:hAnsi="Cambria Math" w:cs="Cambria Math"/>
                <w:sz w:val="16"/>
                <w:szCs w:val="16"/>
              </w:rPr>
            </w:pPr>
            <w:r w:rsidRPr="00EA096D">
              <w:rPr>
                <w:rFonts w:ascii="Arial Narrow" w:hAnsi="Arial Narrow"/>
                <w:bCs/>
                <w:sz w:val="16"/>
                <w:szCs w:val="16"/>
              </w:rPr>
              <w:t>IMPORTANT</w:t>
            </w:r>
          </w:p>
        </w:tc>
      </w:tr>
      <w:tr w:rsidR="004568D6" w:rsidRPr="00165145" w14:paraId="700CA8D2" w14:textId="77777777" w:rsidTr="00706BE3">
        <w:tblPrEx>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PrEx>
        <w:trPr>
          <w:trHeight w:val="662"/>
        </w:trPr>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2F3A766B" w14:textId="77777777" w:rsidR="004568D6" w:rsidRPr="00165145" w:rsidRDefault="004568D6" w:rsidP="004568D6">
            <w:pPr>
              <w:jc w:val="left"/>
              <w:rPr>
                <w:rFonts w:ascii="Arial Narrow" w:hAnsi="Arial Narrow"/>
                <w:sz w:val="16"/>
                <w:szCs w:val="16"/>
              </w:rPr>
            </w:pPr>
            <w:r w:rsidRPr="00165145">
              <w:rPr>
                <w:rFonts w:ascii="Arial Narrow" w:hAnsi="Arial Narrow"/>
                <w:b/>
                <w:bCs/>
                <w:sz w:val="16"/>
                <w:szCs w:val="16"/>
              </w:rPr>
              <w:t>False negatives</w:t>
            </w:r>
            <w:r w:rsidRPr="00165145">
              <w:rPr>
                <w:rFonts w:ascii="Arial Narrow" w:hAnsi="Arial Narrow"/>
                <w:sz w:val="16"/>
                <w:szCs w:val="16"/>
              </w:rPr>
              <w:br/>
              <w:t xml:space="preserve">(patients incorrectly classified as not having NMOSD) </w:t>
            </w:r>
          </w:p>
        </w:tc>
        <w:tc>
          <w:tcPr>
            <w:tcW w:w="387" w:type="pct"/>
            <w:vMerge/>
            <w:tcBorders>
              <w:top w:val="single" w:sz="6" w:space="0" w:color="BFBFBF"/>
              <w:left w:val="single" w:sz="6" w:space="0" w:color="BFBFBF"/>
              <w:bottom w:val="single" w:sz="6" w:space="0" w:color="BFBFBF"/>
              <w:right w:val="single" w:sz="6" w:space="0" w:color="BFBFBF"/>
            </w:tcBorders>
            <w:hideMark/>
          </w:tcPr>
          <w:p w14:paraId="70DDB4DE" w14:textId="77777777" w:rsidR="004568D6" w:rsidRPr="00165145" w:rsidRDefault="004568D6" w:rsidP="004568D6">
            <w:pPr>
              <w:jc w:val="left"/>
              <w:rPr>
                <w:rFonts w:ascii="Arial Narrow" w:hAnsi="Arial Narrow"/>
                <w:sz w:val="16"/>
                <w:szCs w:val="16"/>
              </w:rPr>
            </w:pPr>
          </w:p>
        </w:tc>
        <w:tc>
          <w:tcPr>
            <w:tcW w:w="421" w:type="pct"/>
            <w:vMerge/>
            <w:tcBorders>
              <w:top w:val="single" w:sz="6" w:space="0" w:color="BFBFBF"/>
              <w:left w:val="single" w:sz="6" w:space="0" w:color="BFBFBF"/>
              <w:bottom w:val="single" w:sz="6" w:space="0" w:color="BFBFBF"/>
              <w:right w:val="single" w:sz="6" w:space="0" w:color="BFBFBF"/>
            </w:tcBorders>
            <w:hideMark/>
          </w:tcPr>
          <w:p w14:paraId="0470AC3A" w14:textId="77777777" w:rsidR="004568D6" w:rsidRPr="00165145" w:rsidRDefault="004568D6" w:rsidP="004568D6">
            <w:pPr>
              <w:jc w:val="left"/>
              <w:rPr>
                <w:rFonts w:ascii="Arial Narrow" w:hAnsi="Arial Narrow"/>
                <w:sz w:val="16"/>
                <w:szCs w:val="16"/>
              </w:rPr>
            </w:pPr>
          </w:p>
        </w:tc>
        <w:tc>
          <w:tcPr>
            <w:tcW w:w="375" w:type="pct"/>
            <w:vMerge/>
            <w:tcBorders>
              <w:top w:val="single" w:sz="6" w:space="0" w:color="BFBFBF"/>
              <w:left w:val="single" w:sz="6" w:space="0" w:color="BFBFBF"/>
              <w:bottom w:val="single" w:sz="6" w:space="0" w:color="BFBFBF"/>
              <w:right w:val="single" w:sz="6" w:space="0" w:color="BFBFBF"/>
            </w:tcBorders>
            <w:hideMark/>
          </w:tcPr>
          <w:p w14:paraId="718BDF0B" w14:textId="77777777" w:rsidR="004568D6" w:rsidRPr="00165145" w:rsidRDefault="004568D6" w:rsidP="004568D6">
            <w:pPr>
              <w:jc w:val="left"/>
              <w:rPr>
                <w:rFonts w:ascii="Arial Narrow" w:hAnsi="Arial Narrow"/>
                <w:sz w:val="16"/>
                <w:szCs w:val="16"/>
              </w:rPr>
            </w:pPr>
          </w:p>
        </w:tc>
        <w:tc>
          <w:tcPr>
            <w:tcW w:w="374" w:type="pct"/>
            <w:vMerge/>
            <w:tcBorders>
              <w:top w:val="single" w:sz="6" w:space="0" w:color="BFBFBF"/>
              <w:left w:val="single" w:sz="6" w:space="0" w:color="BFBFBF"/>
              <w:bottom w:val="single" w:sz="6" w:space="0" w:color="BFBFBF"/>
              <w:right w:val="single" w:sz="6" w:space="0" w:color="BFBFBF"/>
            </w:tcBorders>
            <w:hideMark/>
          </w:tcPr>
          <w:p w14:paraId="1DF8AF1F" w14:textId="77777777" w:rsidR="004568D6" w:rsidRPr="00165145" w:rsidRDefault="004568D6" w:rsidP="004568D6">
            <w:pPr>
              <w:jc w:val="left"/>
              <w:rPr>
                <w:rFonts w:ascii="Arial Narrow" w:hAnsi="Arial Narrow"/>
                <w:sz w:val="16"/>
                <w:szCs w:val="16"/>
              </w:rPr>
            </w:pPr>
          </w:p>
        </w:tc>
        <w:tc>
          <w:tcPr>
            <w:tcW w:w="374" w:type="pct"/>
            <w:vMerge/>
            <w:tcBorders>
              <w:top w:val="single" w:sz="6" w:space="0" w:color="BFBFBF"/>
              <w:left w:val="single" w:sz="6" w:space="0" w:color="BFBFBF"/>
              <w:bottom w:val="single" w:sz="6" w:space="0" w:color="BFBFBF"/>
              <w:right w:val="single" w:sz="6" w:space="0" w:color="BFBFBF"/>
            </w:tcBorders>
            <w:hideMark/>
          </w:tcPr>
          <w:p w14:paraId="6862F121" w14:textId="77777777" w:rsidR="004568D6" w:rsidRPr="00165145" w:rsidRDefault="004568D6" w:rsidP="004568D6">
            <w:pPr>
              <w:jc w:val="left"/>
              <w:rPr>
                <w:rFonts w:ascii="Arial Narrow" w:hAnsi="Arial Narrow"/>
                <w:sz w:val="16"/>
                <w:szCs w:val="16"/>
              </w:rPr>
            </w:pPr>
          </w:p>
        </w:tc>
        <w:tc>
          <w:tcPr>
            <w:tcW w:w="373" w:type="pct"/>
            <w:vMerge/>
            <w:tcBorders>
              <w:top w:val="single" w:sz="6" w:space="0" w:color="BFBFBF"/>
              <w:left w:val="single" w:sz="6" w:space="0" w:color="BFBFBF"/>
              <w:bottom w:val="single" w:sz="6" w:space="0" w:color="BFBFBF"/>
              <w:right w:val="single" w:sz="6" w:space="0" w:color="BFBFBF"/>
            </w:tcBorders>
            <w:hideMark/>
          </w:tcPr>
          <w:p w14:paraId="36C97A05" w14:textId="77777777" w:rsidR="004568D6" w:rsidRPr="00165145" w:rsidRDefault="004568D6" w:rsidP="004568D6">
            <w:pPr>
              <w:jc w:val="left"/>
              <w:rPr>
                <w:rFonts w:ascii="Arial Narrow" w:hAnsi="Arial Narrow"/>
                <w:sz w:val="16"/>
                <w:szCs w:val="16"/>
              </w:rPr>
            </w:pPr>
          </w:p>
        </w:tc>
        <w:tc>
          <w:tcPr>
            <w:tcW w:w="376" w:type="pct"/>
            <w:vMerge/>
            <w:tcBorders>
              <w:top w:val="single" w:sz="6" w:space="0" w:color="BFBFBF"/>
              <w:left w:val="single" w:sz="6" w:space="0" w:color="BFBFBF"/>
              <w:bottom w:val="single" w:sz="6" w:space="0" w:color="BFBFBF"/>
              <w:right w:val="single" w:sz="6" w:space="0" w:color="BFBFBF"/>
            </w:tcBorders>
            <w:hideMark/>
          </w:tcPr>
          <w:p w14:paraId="6A5AF565" w14:textId="77777777" w:rsidR="004568D6" w:rsidRPr="00165145" w:rsidRDefault="004568D6" w:rsidP="004568D6">
            <w:pPr>
              <w:jc w:val="left"/>
              <w:rPr>
                <w:rFonts w:ascii="Arial Narrow" w:hAnsi="Arial Narrow"/>
                <w:sz w:val="16"/>
                <w:szCs w:val="16"/>
              </w:rPr>
            </w:pPr>
          </w:p>
        </w:tc>
        <w:tc>
          <w:tcPr>
            <w:tcW w:w="468" w:type="pct"/>
            <w:gridSpan w:val="2"/>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E850CE4"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41 to 241</w:t>
            </w:r>
          </w:p>
        </w:tc>
        <w:tc>
          <w:tcPr>
            <w:tcW w:w="374" w:type="pct"/>
            <w:vMerge/>
            <w:tcBorders>
              <w:top w:val="single" w:sz="6" w:space="0" w:color="BFBFBF"/>
              <w:left w:val="single" w:sz="6" w:space="0" w:color="BFBFBF"/>
              <w:bottom w:val="single" w:sz="6" w:space="0" w:color="BFBFBF"/>
              <w:right w:val="single" w:sz="6" w:space="0" w:color="BFBFBF"/>
            </w:tcBorders>
            <w:hideMark/>
          </w:tcPr>
          <w:p w14:paraId="114C6192" w14:textId="77777777" w:rsidR="004568D6" w:rsidRPr="00165145" w:rsidRDefault="004568D6" w:rsidP="004568D6">
            <w:pPr>
              <w:jc w:val="left"/>
              <w:rPr>
                <w:rFonts w:ascii="Arial Narrow" w:hAnsi="Arial Narrow"/>
                <w:sz w:val="16"/>
                <w:szCs w:val="16"/>
              </w:rPr>
            </w:pPr>
          </w:p>
        </w:tc>
        <w:tc>
          <w:tcPr>
            <w:tcW w:w="422" w:type="pct"/>
            <w:tcBorders>
              <w:top w:val="single" w:sz="6" w:space="0" w:color="BFBFBF"/>
              <w:left w:val="single" w:sz="6" w:space="0" w:color="BFBFBF"/>
              <w:bottom w:val="single" w:sz="6" w:space="0" w:color="BFBFBF"/>
              <w:right w:val="single" w:sz="6" w:space="0" w:color="BFBFBF"/>
            </w:tcBorders>
          </w:tcPr>
          <w:p w14:paraId="3A47D03E" w14:textId="77777777" w:rsidR="004568D6" w:rsidRPr="00EA096D" w:rsidRDefault="00D33288" w:rsidP="004568D6">
            <w:pPr>
              <w:jc w:val="left"/>
              <w:rPr>
                <w:rFonts w:ascii="Arial Narrow" w:hAnsi="Arial Narrow"/>
                <w:sz w:val="16"/>
                <w:szCs w:val="16"/>
              </w:rPr>
            </w:pPr>
            <w:r w:rsidRPr="00EA096D">
              <w:rPr>
                <w:rFonts w:ascii="Arial Narrow" w:hAnsi="Arial Narrow"/>
                <w:bCs/>
                <w:sz w:val="16"/>
                <w:szCs w:val="16"/>
              </w:rPr>
              <w:t>IMPORTANT</w:t>
            </w:r>
          </w:p>
        </w:tc>
      </w:tr>
      <w:tr w:rsidR="004568D6" w:rsidRPr="00165145" w14:paraId="78F1093B" w14:textId="77777777" w:rsidTr="00706BE3">
        <w:tblPrEx>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PrEx>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30B57960" w14:textId="77777777" w:rsidR="004568D6" w:rsidRPr="00165145" w:rsidRDefault="004568D6" w:rsidP="004568D6">
            <w:pPr>
              <w:jc w:val="left"/>
              <w:rPr>
                <w:rFonts w:ascii="Arial Narrow" w:hAnsi="Arial Narrow"/>
                <w:sz w:val="16"/>
                <w:szCs w:val="16"/>
              </w:rPr>
            </w:pPr>
            <w:r w:rsidRPr="00165145">
              <w:rPr>
                <w:rFonts w:ascii="Arial Narrow" w:hAnsi="Arial Narrow"/>
                <w:b/>
                <w:bCs/>
                <w:sz w:val="16"/>
                <w:szCs w:val="16"/>
              </w:rPr>
              <w:t>True negatives</w:t>
            </w:r>
            <w:r w:rsidRPr="00165145">
              <w:rPr>
                <w:rFonts w:ascii="Arial Narrow" w:hAnsi="Arial Narrow"/>
                <w:sz w:val="16"/>
                <w:szCs w:val="16"/>
              </w:rPr>
              <w:br/>
              <w:t xml:space="preserve">(patients without NMOSD) </w:t>
            </w:r>
          </w:p>
        </w:tc>
        <w:tc>
          <w:tcPr>
            <w:tcW w:w="387"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FE1FBB"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12 studies</w:t>
            </w:r>
            <w:r w:rsidRPr="00165145">
              <w:rPr>
                <w:rFonts w:ascii="Arial Narrow" w:hAnsi="Arial Narrow"/>
                <w:sz w:val="16"/>
                <w:szCs w:val="16"/>
              </w:rPr>
              <w:br/>
              <w:t xml:space="preserve">1684 patients </w:t>
            </w:r>
          </w:p>
        </w:tc>
        <w:tc>
          <w:tcPr>
            <w:tcW w:w="421"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C142A30"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 xml:space="preserve">cross-sectional (cohort type accuracy study) </w:t>
            </w:r>
          </w:p>
        </w:tc>
        <w:tc>
          <w:tcPr>
            <w:tcW w:w="375"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CA36ACD"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 xml:space="preserve">very serious </w:t>
            </w:r>
            <w:r w:rsidRPr="00165145">
              <w:rPr>
                <w:rFonts w:ascii="Arial Narrow" w:hAnsi="Arial Narrow"/>
                <w:sz w:val="16"/>
                <w:szCs w:val="16"/>
                <w:vertAlign w:val="superscript"/>
              </w:rPr>
              <w:t>a,b</w:t>
            </w:r>
          </w:p>
        </w:tc>
        <w:tc>
          <w:tcPr>
            <w:tcW w:w="374"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444FB97" w14:textId="77777777" w:rsidR="004568D6" w:rsidRPr="00165145" w:rsidRDefault="00483BE3" w:rsidP="004568D6">
            <w:pPr>
              <w:jc w:val="left"/>
              <w:rPr>
                <w:rFonts w:ascii="Arial Narrow" w:hAnsi="Arial Narrow"/>
                <w:sz w:val="16"/>
                <w:szCs w:val="16"/>
              </w:rPr>
            </w:pPr>
            <w:r>
              <w:rPr>
                <w:rFonts w:ascii="Arial Narrow" w:hAnsi="Arial Narrow"/>
                <w:sz w:val="16"/>
                <w:szCs w:val="16"/>
              </w:rPr>
              <w:t>NA</w:t>
            </w:r>
            <w:r w:rsidR="004568D6" w:rsidRPr="00165145">
              <w:rPr>
                <w:rFonts w:ascii="Arial Narrow" w:hAnsi="Arial Narrow"/>
                <w:sz w:val="16"/>
                <w:szCs w:val="16"/>
              </w:rPr>
              <w:t xml:space="preserve"> </w:t>
            </w:r>
          </w:p>
        </w:tc>
        <w:tc>
          <w:tcPr>
            <w:tcW w:w="374"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5747D6A"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 xml:space="preserve">not serious </w:t>
            </w:r>
          </w:p>
        </w:tc>
        <w:tc>
          <w:tcPr>
            <w:tcW w:w="373"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0FC0FC4"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 xml:space="preserve">not serious </w:t>
            </w:r>
          </w:p>
        </w:tc>
        <w:tc>
          <w:tcPr>
            <w:tcW w:w="376" w:type="pct"/>
            <w:vMerge w:val="restar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0F5BE3F"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 xml:space="preserve">none </w:t>
            </w:r>
          </w:p>
        </w:tc>
        <w:tc>
          <w:tcPr>
            <w:tcW w:w="468" w:type="pct"/>
            <w:gridSpan w:val="2"/>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E90743E"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416 to 660</w:t>
            </w:r>
          </w:p>
        </w:tc>
        <w:tc>
          <w:tcPr>
            <w:tcW w:w="374" w:type="pct"/>
            <w:vMerge w:val="restart"/>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26C84405" w14:textId="77777777" w:rsidR="004568D6" w:rsidRPr="00165145" w:rsidRDefault="00165145" w:rsidP="004568D6">
            <w:pPr>
              <w:jc w:val="left"/>
              <w:rPr>
                <w:rFonts w:ascii="Arial Narrow" w:hAnsi="Arial Narrow"/>
                <w:sz w:val="16"/>
                <w:szCs w:val="16"/>
              </w:rPr>
            </w:pPr>
            <w:r w:rsidRPr="00165145">
              <w:rPr>
                <w:rFonts w:ascii="Cambria Math" w:hAnsi="Cambria Math"/>
                <w:color w:val="00B050"/>
              </w:rPr>
              <w:t>⨁⨁</w:t>
            </w:r>
            <w:r w:rsidRPr="00165145">
              <w:rPr>
                <w:rFonts w:ascii="Cambria Math" w:hAnsi="Cambria Math" w:cs="Cambria Math"/>
                <w:color w:val="C00000"/>
              </w:rPr>
              <w:t>⨀⨀</w:t>
            </w:r>
            <w:r w:rsidR="004568D6" w:rsidRPr="00165145">
              <w:rPr>
                <w:rFonts w:ascii="Arial Narrow" w:hAnsi="Arial Narrow"/>
                <w:sz w:val="16"/>
                <w:szCs w:val="16"/>
              </w:rPr>
              <w:br/>
              <w:t xml:space="preserve">LOW </w:t>
            </w:r>
          </w:p>
        </w:tc>
        <w:tc>
          <w:tcPr>
            <w:tcW w:w="422" w:type="pct"/>
            <w:tcBorders>
              <w:top w:val="single" w:sz="6" w:space="0" w:color="BFBFBF"/>
              <w:left w:val="single" w:sz="6" w:space="0" w:color="BFBFBF"/>
              <w:bottom w:val="single" w:sz="6" w:space="0" w:color="BFBFBF"/>
              <w:right w:val="single" w:sz="6" w:space="0" w:color="BFBFBF"/>
            </w:tcBorders>
            <w:shd w:val="clear" w:color="auto" w:fill="DDDDDD"/>
          </w:tcPr>
          <w:p w14:paraId="6BE630F5" w14:textId="77777777" w:rsidR="004568D6" w:rsidRPr="00EA096D" w:rsidRDefault="00D33288" w:rsidP="004568D6">
            <w:pPr>
              <w:jc w:val="left"/>
              <w:rPr>
                <w:rFonts w:ascii="Cambria Math" w:hAnsi="Cambria Math" w:cs="Cambria Math"/>
                <w:sz w:val="16"/>
                <w:szCs w:val="16"/>
              </w:rPr>
            </w:pPr>
            <w:r w:rsidRPr="00EA096D">
              <w:rPr>
                <w:rFonts w:ascii="Arial Narrow" w:hAnsi="Arial Narrow"/>
                <w:bCs/>
                <w:sz w:val="16"/>
                <w:szCs w:val="16"/>
              </w:rPr>
              <w:t>IMPORTANT</w:t>
            </w:r>
          </w:p>
        </w:tc>
      </w:tr>
      <w:tr w:rsidR="004568D6" w:rsidRPr="004568D6" w14:paraId="430B1565" w14:textId="77777777" w:rsidTr="00706BE3">
        <w:tblPrEx>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PrEx>
        <w:tc>
          <w:tcPr>
            <w:tcW w:w="0" w:type="auto"/>
            <w:tcBorders>
              <w:top w:val="single" w:sz="6" w:space="0" w:color="BFBFBF"/>
              <w:left w:val="single" w:sz="6" w:space="0" w:color="BFBFBF"/>
              <w:bottom w:val="single" w:sz="6" w:space="0" w:color="BFBFBF"/>
              <w:right w:val="single" w:sz="6" w:space="0" w:color="BFBFBF"/>
            </w:tcBorders>
            <w:shd w:val="clear" w:color="auto" w:fill="DDDDDD"/>
            <w:tcMar>
              <w:top w:w="75" w:type="dxa"/>
              <w:left w:w="75" w:type="dxa"/>
              <w:bottom w:w="75" w:type="dxa"/>
              <w:right w:w="75" w:type="dxa"/>
            </w:tcMar>
            <w:hideMark/>
          </w:tcPr>
          <w:p w14:paraId="51FC21BB" w14:textId="77777777" w:rsidR="004568D6" w:rsidRPr="00165145" w:rsidRDefault="004568D6" w:rsidP="004568D6">
            <w:pPr>
              <w:jc w:val="left"/>
              <w:rPr>
                <w:rFonts w:ascii="Arial Narrow" w:hAnsi="Arial Narrow"/>
                <w:sz w:val="16"/>
                <w:szCs w:val="16"/>
              </w:rPr>
            </w:pPr>
            <w:r w:rsidRPr="00165145">
              <w:rPr>
                <w:rFonts w:ascii="Arial Narrow" w:hAnsi="Arial Narrow"/>
                <w:b/>
                <w:bCs/>
                <w:sz w:val="16"/>
                <w:szCs w:val="16"/>
              </w:rPr>
              <w:t>False positives</w:t>
            </w:r>
            <w:r w:rsidRPr="00165145">
              <w:rPr>
                <w:rFonts w:ascii="Arial Narrow" w:hAnsi="Arial Narrow"/>
                <w:sz w:val="16"/>
                <w:szCs w:val="16"/>
              </w:rPr>
              <w:br/>
              <w:t xml:space="preserve">(patients incorrectly classified as having NMOSD) </w:t>
            </w:r>
          </w:p>
        </w:tc>
        <w:tc>
          <w:tcPr>
            <w:tcW w:w="387" w:type="pct"/>
            <w:vMerge/>
            <w:tcBorders>
              <w:top w:val="single" w:sz="6" w:space="0" w:color="BFBFBF"/>
              <w:left w:val="single" w:sz="6" w:space="0" w:color="BFBFBF"/>
              <w:bottom w:val="single" w:sz="6" w:space="0" w:color="BFBFBF"/>
              <w:right w:val="single" w:sz="6" w:space="0" w:color="BFBFBF"/>
            </w:tcBorders>
            <w:hideMark/>
          </w:tcPr>
          <w:p w14:paraId="50A6E22B" w14:textId="77777777" w:rsidR="004568D6" w:rsidRPr="00165145" w:rsidRDefault="004568D6" w:rsidP="004568D6">
            <w:pPr>
              <w:jc w:val="left"/>
              <w:rPr>
                <w:rFonts w:ascii="Arial Narrow" w:hAnsi="Arial Narrow"/>
                <w:sz w:val="16"/>
                <w:szCs w:val="16"/>
              </w:rPr>
            </w:pPr>
          </w:p>
        </w:tc>
        <w:tc>
          <w:tcPr>
            <w:tcW w:w="421" w:type="pct"/>
            <w:vMerge/>
            <w:tcBorders>
              <w:top w:val="single" w:sz="6" w:space="0" w:color="BFBFBF"/>
              <w:left w:val="single" w:sz="6" w:space="0" w:color="BFBFBF"/>
              <w:bottom w:val="single" w:sz="6" w:space="0" w:color="BFBFBF"/>
              <w:right w:val="single" w:sz="6" w:space="0" w:color="BFBFBF"/>
            </w:tcBorders>
            <w:hideMark/>
          </w:tcPr>
          <w:p w14:paraId="2D3F604B" w14:textId="77777777" w:rsidR="004568D6" w:rsidRPr="00165145" w:rsidRDefault="004568D6" w:rsidP="004568D6">
            <w:pPr>
              <w:jc w:val="left"/>
              <w:rPr>
                <w:rFonts w:ascii="Arial Narrow" w:hAnsi="Arial Narrow"/>
                <w:sz w:val="16"/>
                <w:szCs w:val="16"/>
              </w:rPr>
            </w:pPr>
          </w:p>
        </w:tc>
        <w:tc>
          <w:tcPr>
            <w:tcW w:w="375" w:type="pct"/>
            <w:vMerge/>
            <w:tcBorders>
              <w:top w:val="single" w:sz="6" w:space="0" w:color="BFBFBF"/>
              <w:left w:val="single" w:sz="6" w:space="0" w:color="BFBFBF"/>
              <w:bottom w:val="single" w:sz="6" w:space="0" w:color="BFBFBF"/>
              <w:right w:val="single" w:sz="6" w:space="0" w:color="BFBFBF"/>
            </w:tcBorders>
            <w:hideMark/>
          </w:tcPr>
          <w:p w14:paraId="735DDA76" w14:textId="77777777" w:rsidR="004568D6" w:rsidRPr="00165145" w:rsidRDefault="004568D6" w:rsidP="004568D6">
            <w:pPr>
              <w:jc w:val="left"/>
              <w:rPr>
                <w:rFonts w:ascii="Arial Narrow" w:hAnsi="Arial Narrow"/>
                <w:sz w:val="16"/>
                <w:szCs w:val="16"/>
              </w:rPr>
            </w:pPr>
          </w:p>
        </w:tc>
        <w:tc>
          <w:tcPr>
            <w:tcW w:w="374" w:type="pct"/>
            <w:vMerge/>
            <w:tcBorders>
              <w:top w:val="single" w:sz="6" w:space="0" w:color="BFBFBF"/>
              <w:left w:val="single" w:sz="6" w:space="0" w:color="BFBFBF"/>
              <w:bottom w:val="single" w:sz="6" w:space="0" w:color="BFBFBF"/>
              <w:right w:val="single" w:sz="6" w:space="0" w:color="BFBFBF"/>
            </w:tcBorders>
            <w:hideMark/>
          </w:tcPr>
          <w:p w14:paraId="7292CA10" w14:textId="77777777" w:rsidR="004568D6" w:rsidRPr="00165145" w:rsidRDefault="004568D6" w:rsidP="004568D6">
            <w:pPr>
              <w:jc w:val="left"/>
              <w:rPr>
                <w:rFonts w:ascii="Arial Narrow" w:hAnsi="Arial Narrow"/>
                <w:sz w:val="16"/>
                <w:szCs w:val="16"/>
              </w:rPr>
            </w:pPr>
          </w:p>
        </w:tc>
        <w:tc>
          <w:tcPr>
            <w:tcW w:w="374" w:type="pct"/>
            <w:vMerge/>
            <w:tcBorders>
              <w:top w:val="single" w:sz="6" w:space="0" w:color="BFBFBF"/>
              <w:left w:val="single" w:sz="6" w:space="0" w:color="BFBFBF"/>
              <w:bottom w:val="single" w:sz="6" w:space="0" w:color="BFBFBF"/>
              <w:right w:val="single" w:sz="6" w:space="0" w:color="BFBFBF"/>
            </w:tcBorders>
            <w:hideMark/>
          </w:tcPr>
          <w:p w14:paraId="045EC8EB" w14:textId="77777777" w:rsidR="004568D6" w:rsidRPr="00165145" w:rsidRDefault="004568D6" w:rsidP="004568D6">
            <w:pPr>
              <w:jc w:val="left"/>
              <w:rPr>
                <w:rFonts w:ascii="Arial Narrow" w:hAnsi="Arial Narrow"/>
                <w:sz w:val="16"/>
                <w:szCs w:val="16"/>
              </w:rPr>
            </w:pPr>
          </w:p>
        </w:tc>
        <w:tc>
          <w:tcPr>
            <w:tcW w:w="373" w:type="pct"/>
            <w:vMerge/>
            <w:tcBorders>
              <w:top w:val="single" w:sz="6" w:space="0" w:color="BFBFBF"/>
              <w:left w:val="single" w:sz="6" w:space="0" w:color="BFBFBF"/>
              <w:bottom w:val="single" w:sz="6" w:space="0" w:color="BFBFBF"/>
              <w:right w:val="single" w:sz="6" w:space="0" w:color="BFBFBF"/>
            </w:tcBorders>
            <w:hideMark/>
          </w:tcPr>
          <w:p w14:paraId="434E91A6" w14:textId="77777777" w:rsidR="004568D6" w:rsidRPr="00165145" w:rsidRDefault="004568D6" w:rsidP="004568D6">
            <w:pPr>
              <w:jc w:val="left"/>
              <w:rPr>
                <w:rFonts w:ascii="Arial Narrow" w:hAnsi="Arial Narrow"/>
                <w:sz w:val="16"/>
                <w:szCs w:val="16"/>
              </w:rPr>
            </w:pPr>
          </w:p>
        </w:tc>
        <w:tc>
          <w:tcPr>
            <w:tcW w:w="376" w:type="pct"/>
            <w:vMerge/>
            <w:tcBorders>
              <w:top w:val="single" w:sz="6" w:space="0" w:color="BFBFBF"/>
              <w:left w:val="single" w:sz="6" w:space="0" w:color="BFBFBF"/>
              <w:bottom w:val="single" w:sz="6" w:space="0" w:color="BFBFBF"/>
              <w:right w:val="single" w:sz="6" w:space="0" w:color="BFBFBF"/>
            </w:tcBorders>
            <w:hideMark/>
          </w:tcPr>
          <w:p w14:paraId="38366293" w14:textId="77777777" w:rsidR="004568D6" w:rsidRPr="00165145" w:rsidRDefault="004568D6" w:rsidP="004568D6">
            <w:pPr>
              <w:jc w:val="left"/>
              <w:rPr>
                <w:rFonts w:ascii="Arial Narrow" w:hAnsi="Arial Narrow"/>
                <w:sz w:val="16"/>
                <w:szCs w:val="16"/>
              </w:rPr>
            </w:pPr>
          </w:p>
        </w:tc>
        <w:tc>
          <w:tcPr>
            <w:tcW w:w="468" w:type="pct"/>
            <w:gridSpan w:val="2"/>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9707001" w14:textId="77777777" w:rsidR="004568D6" w:rsidRPr="00165145" w:rsidRDefault="004568D6" w:rsidP="004568D6">
            <w:pPr>
              <w:jc w:val="left"/>
              <w:rPr>
                <w:rFonts w:ascii="Arial Narrow" w:hAnsi="Arial Narrow"/>
                <w:sz w:val="16"/>
                <w:szCs w:val="16"/>
              </w:rPr>
            </w:pPr>
            <w:r w:rsidRPr="00165145">
              <w:rPr>
                <w:rFonts w:ascii="Arial Narrow" w:hAnsi="Arial Narrow"/>
                <w:sz w:val="16"/>
                <w:szCs w:val="16"/>
              </w:rPr>
              <w:t>0 to 244</w:t>
            </w:r>
          </w:p>
        </w:tc>
        <w:tc>
          <w:tcPr>
            <w:tcW w:w="374" w:type="pct"/>
            <w:vMerge/>
            <w:tcBorders>
              <w:top w:val="single" w:sz="6" w:space="0" w:color="BFBFBF"/>
              <w:left w:val="single" w:sz="6" w:space="0" w:color="BFBFBF"/>
              <w:bottom w:val="single" w:sz="6" w:space="0" w:color="BFBFBF"/>
              <w:right w:val="single" w:sz="6" w:space="0" w:color="BFBFBF"/>
            </w:tcBorders>
            <w:hideMark/>
          </w:tcPr>
          <w:p w14:paraId="09859E99" w14:textId="77777777" w:rsidR="004568D6" w:rsidRPr="00165145" w:rsidRDefault="004568D6" w:rsidP="004568D6">
            <w:pPr>
              <w:jc w:val="left"/>
              <w:rPr>
                <w:rFonts w:ascii="Arial Narrow" w:hAnsi="Arial Narrow"/>
                <w:sz w:val="16"/>
                <w:szCs w:val="16"/>
              </w:rPr>
            </w:pPr>
          </w:p>
        </w:tc>
        <w:tc>
          <w:tcPr>
            <w:tcW w:w="422" w:type="pct"/>
            <w:tcBorders>
              <w:top w:val="single" w:sz="6" w:space="0" w:color="BFBFBF"/>
              <w:left w:val="single" w:sz="6" w:space="0" w:color="BFBFBF"/>
              <w:bottom w:val="single" w:sz="6" w:space="0" w:color="BFBFBF"/>
              <w:right w:val="single" w:sz="6" w:space="0" w:color="BFBFBF"/>
            </w:tcBorders>
          </w:tcPr>
          <w:p w14:paraId="66220AF4" w14:textId="77777777" w:rsidR="004568D6" w:rsidRPr="00EA096D" w:rsidRDefault="00D33288" w:rsidP="004568D6">
            <w:pPr>
              <w:jc w:val="left"/>
              <w:rPr>
                <w:rFonts w:ascii="Arial Narrow" w:hAnsi="Arial Narrow"/>
                <w:sz w:val="16"/>
                <w:szCs w:val="16"/>
              </w:rPr>
            </w:pPr>
            <w:r w:rsidRPr="00EA096D">
              <w:rPr>
                <w:rFonts w:ascii="Arial Narrow" w:hAnsi="Arial Narrow"/>
                <w:bCs/>
                <w:sz w:val="16"/>
                <w:szCs w:val="16"/>
              </w:rPr>
              <w:t>IMPORTANT</w:t>
            </w:r>
          </w:p>
        </w:tc>
      </w:tr>
    </w:tbl>
    <w:p w14:paraId="1B40ACF8" w14:textId="77777777" w:rsidR="004568D6" w:rsidRPr="004568D6" w:rsidRDefault="004568D6" w:rsidP="004568D6">
      <w:pPr>
        <w:spacing w:after="80"/>
        <w:rPr>
          <w:rFonts w:ascii="Arial Narrow" w:hAnsi="Arial Narrow" w:cs="Arial"/>
          <w:b/>
          <w:bCs/>
          <w:sz w:val="16"/>
          <w:szCs w:val="16"/>
          <w:lang w:val="en"/>
        </w:rPr>
      </w:pPr>
      <w:r w:rsidRPr="004568D6">
        <w:rPr>
          <w:rFonts w:ascii="Arial Narrow" w:hAnsi="Arial Narrow" w:cs="Arial"/>
          <w:b/>
          <w:bCs/>
          <w:sz w:val="16"/>
          <w:szCs w:val="16"/>
          <w:lang w:val="en"/>
        </w:rPr>
        <w:t>Explanations</w:t>
      </w:r>
    </w:p>
    <w:p w14:paraId="1B386171" w14:textId="77777777" w:rsidR="004568D6" w:rsidRPr="004568D6" w:rsidRDefault="004568D6" w:rsidP="004568D6">
      <w:pPr>
        <w:spacing w:after="80"/>
        <w:rPr>
          <w:rFonts w:ascii="Arial Narrow" w:hAnsi="Arial Narrow" w:cs="Arial"/>
          <w:sz w:val="16"/>
          <w:szCs w:val="16"/>
          <w:lang w:val="en"/>
        </w:rPr>
      </w:pPr>
      <w:r w:rsidRPr="004568D6">
        <w:rPr>
          <w:rFonts w:ascii="Arial Narrow" w:hAnsi="Arial Narrow" w:cs="Arial"/>
          <w:sz w:val="16"/>
          <w:szCs w:val="16"/>
          <w:lang w:val="en"/>
        </w:rPr>
        <w:t xml:space="preserve">a. Incorporation bias (AQP4-Ab testing may be included in the clinical reference) </w:t>
      </w:r>
    </w:p>
    <w:p w14:paraId="5CFEDA21" w14:textId="77777777" w:rsidR="004568D6" w:rsidRPr="004568D6" w:rsidRDefault="004568D6" w:rsidP="005B189A">
      <w:pPr>
        <w:rPr>
          <w:rFonts w:ascii="Arial Narrow" w:hAnsi="Arial Narrow" w:cs="Arial"/>
          <w:sz w:val="16"/>
          <w:szCs w:val="16"/>
          <w:lang w:val="en"/>
        </w:rPr>
      </w:pPr>
      <w:r w:rsidRPr="004568D6">
        <w:rPr>
          <w:rFonts w:ascii="Arial Narrow" w:hAnsi="Arial Narrow" w:cs="Arial"/>
          <w:sz w:val="16"/>
          <w:szCs w:val="16"/>
          <w:lang w:val="en"/>
        </w:rPr>
        <w:t xml:space="preserve">b. A proportion of AQP4-Ab negative patients are known to have NMOSD </w:t>
      </w:r>
    </w:p>
    <w:p w14:paraId="598337DC" w14:textId="18897B45" w:rsidR="00B87EBC" w:rsidRDefault="00165145" w:rsidP="00B87EBC">
      <w:pPr>
        <w:pStyle w:val="Tablenotes0"/>
        <w:rPr>
          <w:szCs w:val="18"/>
        </w:rPr>
      </w:pPr>
      <w:r w:rsidRPr="005B189A">
        <w:rPr>
          <w:b/>
          <w:szCs w:val="18"/>
        </w:rPr>
        <w:t>GRADE Working Group grades of evidence (Guyatt et al., 2013)</w:t>
      </w:r>
      <w:r w:rsidRPr="005B189A">
        <w:rPr>
          <w:b/>
          <w:szCs w:val="18"/>
        </w:rPr>
        <w:br/>
      </w:r>
      <w:r w:rsidRPr="00D4733A">
        <w:rPr>
          <w:rFonts w:ascii="Cambria Math" w:hAnsi="Cambria Math"/>
          <w:color w:val="00B050"/>
        </w:rPr>
        <w:t>⨁⨁⨁⨁</w:t>
      </w:r>
      <w:r>
        <w:rPr>
          <w:rFonts w:ascii="Cambria Math" w:hAnsi="Cambria Math"/>
          <w:color w:val="00B050"/>
        </w:rPr>
        <w:t xml:space="preserve"> </w:t>
      </w:r>
      <w:r w:rsidRPr="00E10B76">
        <w:rPr>
          <w:b/>
          <w:bCs/>
          <w:szCs w:val="18"/>
        </w:rPr>
        <w:t>High quality:</w:t>
      </w:r>
      <w:r w:rsidRPr="00E10B76">
        <w:rPr>
          <w:szCs w:val="18"/>
        </w:rPr>
        <w:t xml:space="preserve"> </w:t>
      </w:r>
      <w:r>
        <w:rPr>
          <w:szCs w:val="18"/>
        </w:rPr>
        <w:t>We are very confident that the true effect lies close to that of the estimate of effect.</w:t>
      </w:r>
      <w:r w:rsidRPr="00E10B76">
        <w:rPr>
          <w:szCs w:val="18"/>
        </w:rPr>
        <w:t xml:space="preserve"> </w:t>
      </w:r>
      <w:r w:rsidRPr="00E10B76">
        <w:rPr>
          <w:szCs w:val="18"/>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Moderate quality:</w:t>
      </w:r>
      <w:r w:rsidRPr="00E10B76">
        <w:rPr>
          <w:szCs w:val="18"/>
        </w:rPr>
        <w:t xml:space="preserve"> </w:t>
      </w:r>
      <w:r>
        <w:rPr>
          <w:szCs w:val="18"/>
        </w:rPr>
        <w:t xml:space="preserve">We are moderately confident in the effect estimate: The true effect is likely to be close to the estimate of the effect, but there is a possibility that it is substantially different.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Low quality:</w:t>
      </w:r>
      <w:r w:rsidRPr="00E10B76">
        <w:rPr>
          <w:szCs w:val="18"/>
        </w:rPr>
        <w:t xml:space="preserve"> </w:t>
      </w:r>
      <w:r>
        <w:rPr>
          <w:szCs w:val="18"/>
        </w:rPr>
        <w:t>Our confidence in the effect estimate is limited: The true effect may be substantially different from the estimate of the effect.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r w:rsidR="00B87EBC">
        <w:rPr>
          <w:szCs w:val="18"/>
        </w:rPr>
        <w:br w:type="page"/>
      </w:r>
    </w:p>
    <w:p w14:paraId="689782A3" w14:textId="6C4ED360" w:rsidR="00BD7D63" w:rsidRDefault="00BD7D63" w:rsidP="00BD7D63">
      <w:pPr>
        <w:pStyle w:val="Caption"/>
      </w:pPr>
      <w:bookmarkStart w:id="642" w:name="_Toc39580881"/>
      <w:r>
        <w:lastRenderedPageBreak/>
        <w:t xml:space="preserve">Table </w:t>
      </w:r>
      <w:r>
        <w:rPr>
          <w:noProof/>
        </w:rPr>
        <w:fldChar w:fldCharType="begin"/>
      </w:r>
      <w:r>
        <w:rPr>
          <w:noProof/>
        </w:rPr>
        <w:instrText xml:space="preserve"> SEQ Table \* ARABIC </w:instrText>
      </w:r>
      <w:r>
        <w:rPr>
          <w:noProof/>
        </w:rPr>
        <w:fldChar w:fldCharType="separate"/>
      </w:r>
      <w:r w:rsidR="00FA7BCD">
        <w:rPr>
          <w:noProof/>
        </w:rPr>
        <w:t>100</w:t>
      </w:r>
      <w:r>
        <w:rPr>
          <w:noProof/>
        </w:rPr>
        <w:fldChar w:fldCharType="end"/>
      </w:r>
      <w:r>
        <w:tab/>
        <w:t xml:space="preserve">Evidence profile table for the </w:t>
      </w:r>
      <w:r w:rsidR="004E2AA7">
        <w:t>prognosis</w:t>
      </w:r>
      <w:r>
        <w:t xml:space="preserve"> of AQP4-Ab testing </w:t>
      </w:r>
      <w:r w:rsidR="004E2AA7">
        <w:t xml:space="preserve">in patients </w:t>
      </w:r>
      <w:r w:rsidR="00714CC6">
        <w:t>suspected</w:t>
      </w:r>
      <w:r w:rsidR="004E2AA7">
        <w:t xml:space="preserve"> of NMOSD</w:t>
      </w:r>
      <w:r w:rsidR="00154789">
        <w:t xml:space="preserve"> or diagnosed with NMOSD</w:t>
      </w:r>
      <w:bookmarkEnd w:id="642"/>
      <w:r>
        <w:t xml:space="preserve"> </w:t>
      </w:r>
    </w:p>
    <w:p w14:paraId="177B8A59" w14:textId="77777777" w:rsidR="00BD7D63" w:rsidRPr="00BD7D63" w:rsidRDefault="00BD7D63" w:rsidP="004E2AA7">
      <w:pPr>
        <w:spacing w:before="160"/>
        <w:rPr>
          <w:rFonts w:ascii="Arial Narrow" w:hAnsi="Arial Narrow"/>
          <w:sz w:val="16"/>
          <w:szCs w:val="16"/>
          <w:lang w:val="en"/>
        </w:rPr>
      </w:pPr>
      <w:r w:rsidRPr="00BD7D63">
        <w:rPr>
          <w:rFonts w:ascii="Arial Narrow" w:hAnsi="Arial Narrow"/>
          <w:b/>
          <w:bCs/>
          <w:sz w:val="16"/>
          <w:szCs w:val="16"/>
          <w:lang w:val="en"/>
        </w:rPr>
        <w:t>Question</w:t>
      </w:r>
      <w:r w:rsidRPr="00BD7D63">
        <w:rPr>
          <w:rFonts w:ascii="Arial Narrow" w:hAnsi="Arial Narrow"/>
          <w:sz w:val="16"/>
          <w:szCs w:val="16"/>
          <w:lang w:val="en"/>
        </w:rPr>
        <w:t xml:space="preserve">: AQP4-Ab positive compared to AQP4-Ab negative for prognosis of health outcomes </w:t>
      </w:r>
    </w:p>
    <w:p w14:paraId="797737B8" w14:textId="70CAB72E" w:rsidR="00BD7D63" w:rsidRPr="00BD7D63" w:rsidRDefault="00BD7D63" w:rsidP="00BD7D63">
      <w:pPr>
        <w:rPr>
          <w:rFonts w:ascii="Arial Narrow" w:hAnsi="Arial Narrow"/>
          <w:sz w:val="16"/>
          <w:szCs w:val="16"/>
          <w:lang w:val="en"/>
        </w:rPr>
      </w:pPr>
      <w:r w:rsidRPr="00BD7D63">
        <w:rPr>
          <w:rFonts w:ascii="Arial Narrow" w:hAnsi="Arial Narrow"/>
          <w:b/>
          <w:bCs/>
          <w:sz w:val="16"/>
          <w:szCs w:val="16"/>
          <w:lang w:val="en"/>
        </w:rPr>
        <w:t>Bibliography</w:t>
      </w:r>
      <w:r w:rsidRPr="00BD7D63">
        <w:rPr>
          <w:rFonts w:ascii="Arial Narrow" w:hAnsi="Arial Narrow"/>
          <w:sz w:val="16"/>
          <w:szCs w:val="16"/>
          <w:lang w:val="en"/>
        </w:rPr>
        <w:t xml:space="preserve">: </w:t>
      </w:r>
      <w:r w:rsidR="00156621">
        <w:rPr>
          <w:rFonts w:ascii="Arial Narrow" w:hAnsi="Arial Narrow"/>
          <w:sz w:val="16"/>
          <w:szCs w:val="16"/>
          <w:lang w:val="en"/>
        </w:rPr>
        <w:fldChar w:fldCharType="begin">
          <w:fldData xml:space="preserve">PEVuZE5vdGU+PENpdGU+PEF1dGhvcj5DaGVuZzwvQXV0aG9yPjxZZWFyPjIwMTY8L1llYXI+PFJl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</w:fldData>
        </w:fldChar>
      </w:r>
      <w:r w:rsidR="00D96694">
        <w:rPr>
          <w:rFonts w:ascii="Arial Narrow" w:hAnsi="Arial Narrow"/>
          <w:sz w:val="16"/>
          <w:szCs w:val="16"/>
          <w:lang w:val="en"/>
        </w:rPr>
        <w:instrText xml:space="preserve"> ADDIN EN.CITE </w:instrText>
      </w:r>
      <w:r w:rsidR="00D96694">
        <w:rPr>
          <w:rFonts w:ascii="Arial Narrow" w:hAnsi="Arial Narrow"/>
          <w:sz w:val="16"/>
          <w:szCs w:val="16"/>
          <w:lang w:val="en"/>
        </w:rPr>
        <w:fldChar w:fldCharType="begin">
          <w:fldData xml:space="preserve">PEVuZE5vdGU+PENpdGU+PEF1dGhvcj5DaGVuZzwvQXV0aG9yPjxZZWFyPjIwMTY8L1llYXI+PFJl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</w:fldData>
        </w:fldChar>
      </w:r>
      <w:r w:rsidR="00D96694">
        <w:rPr>
          <w:rFonts w:ascii="Arial Narrow" w:hAnsi="Arial Narrow"/>
          <w:sz w:val="16"/>
          <w:szCs w:val="16"/>
          <w:lang w:val="en"/>
        </w:rPr>
        <w:instrText xml:space="preserve"> ADDIN EN.CITE.DATA </w:instrText>
      </w:r>
      <w:r w:rsidR="00D96694">
        <w:rPr>
          <w:rFonts w:ascii="Arial Narrow" w:hAnsi="Arial Narrow"/>
          <w:sz w:val="16"/>
          <w:szCs w:val="16"/>
          <w:lang w:val="en"/>
        </w:rPr>
      </w:r>
      <w:r w:rsidR="00D96694">
        <w:rPr>
          <w:rFonts w:ascii="Arial Narrow" w:hAnsi="Arial Narrow"/>
          <w:sz w:val="16"/>
          <w:szCs w:val="16"/>
          <w:lang w:val="en"/>
        </w:rPr>
        <w:fldChar w:fldCharType="end"/>
      </w:r>
      <w:r w:rsidR="00156621">
        <w:rPr>
          <w:rFonts w:ascii="Arial Narrow" w:hAnsi="Arial Narrow"/>
          <w:sz w:val="16"/>
          <w:szCs w:val="16"/>
          <w:lang w:val="en"/>
        </w:rPr>
      </w:r>
      <w:r w:rsidR="00156621">
        <w:rPr>
          <w:rFonts w:ascii="Arial Narrow" w:hAnsi="Arial Narrow"/>
          <w:sz w:val="16"/>
          <w:szCs w:val="16"/>
          <w:lang w:val="en"/>
        </w:rPr>
        <w:fldChar w:fldCharType="separate"/>
      </w:r>
      <w:r w:rsidR="00156621">
        <w:rPr>
          <w:rFonts w:ascii="Arial Narrow" w:hAnsi="Arial Narrow"/>
          <w:noProof/>
          <w:sz w:val="16"/>
          <w:szCs w:val="16"/>
          <w:lang w:val="en"/>
        </w:rPr>
        <w:t>(Cheng et al. 2016; Contentti, CE et al. 2017; Li et al. 2015; Lin, N et al. 2017; Liu et al. 2019; Weinshenker et al. 2006; Zhou et al. 2016)</w:t>
      </w:r>
      <w:r w:rsidR="00156621">
        <w:rPr>
          <w:rFonts w:ascii="Arial Narrow" w:hAnsi="Arial Narrow"/>
          <w:sz w:val="16"/>
          <w:szCs w:val="16"/>
          <w:lang w:val="en"/>
        </w:rPr>
        <w:fldChar w:fldCharType="end"/>
      </w:r>
      <w:r w:rsidR="002F024D">
        <w:rPr>
          <w:rFonts w:ascii="Arial Narrow" w:hAnsi="Arial Narrow"/>
          <w:sz w:val="16"/>
          <w:szCs w:val="16"/>
          <w:lang w:val="en"/>
        </w:rPr>
        <w:t xml:space="preserve"> </w:t>
      </w: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75" w:type="dxa"/>
          <w:left w:w="75" w:type="dxa"/>
          <w:bottom w:w="75" w:type="dxa"/>
          <w:right w:w="75" w:type="dxa"/>
        </w:tblCellMar>
        <w:tblLook w:val="04A0" w:firstRow="1" w:lastRow="0" w:firstColumn="1" w:lastColumn="0" w:noHBand="0" w:noVBand="1"/>
        <w:tblCaption w:val="Table 100"/>
        <w:tblDescription w:val="Evidence profile table for the prognosis of AQP4-Ab testing in patients suspected of NMOSD or diagnosed with NMOSD "/>
      </w:tblPr>
      <w:tblGrid>
        <w:gridCol w:w="1270"/>
        <w:gridCol w:w="988"/>
        <w:gridCol w:w="986"/>
        <w:gridCol w:w="1026"/>
        <w:gridCol w:w="989"/>
        <w:gridCol w:w="989"/>
        <w:gridCol w:w="1144"/>
        <w:gridCol w:w="1410"/>
        <w:gridCol w:w="1204"/>
        <w:gridCol w:w="70"/>
        <w:gridCol w:w="844"/>
        <w:gridCol w:w="67"/>
        <w:gridCol w:w="1128"/>
        <w:gridCol w:w="1504"/>
        <w:gridCol w:w="1507"/>
      </w:tblGrid>
      <w:tr w:rsidR="00BD7D63" w:rsidRPr="00BD7D63" w14:paraId="0E69FF98" w14:textId="77777777" w:rsidTr="00A56B13">
        <w:trPr>
          <w:cantSplit/>
          <w:tblHeader/>
        </w:trPr>
        <w:tc>
          <w:tcPr>
            <w:tcW w:w="2444" w:type="pct"/>
            <w:gridSpan w:val="7"/>
            <w:shd w:val="clear" w:color="auto" w:fill="D0CECE" w:themeFill="background2" w:themeFillShade="E6"/>
            <w:vAlign w:val="center"/>
            <w:hideMark/>
          </w:tcPr>
          <w:p w14:paraId="6DA1814E"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Certainty assessment</w:t>
            </w:r>
          </w:p>
        </w:tc>
        <w:tc>
          <w:tcPr>
            <w:tcW w:w="864" w:type="pct"/>
            <w:gridSpan w:val="2"/>
            <w:shd w:val="clear" w:color="auto" w:fill="D0CECE" w:themeFill="background2" w:themeFillShade="E6"/>
            <w:vAlign w:val="center"/>
            <w:hideMark/>
          </w:tcPr>
          <w:p w14:paraId="67EA8A17"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 of patients</w:t>
            </w:r>
          </w:p>
        </w:tc>
        <w:tc>
          <w:tcPr>
            <w:tcW w:w="697" w:type="pct"/>
            <w:gridSpan w:val="4"/>
            <w:shd w:val="clear" w:color="auto" w:fill="D0CECE" w:themeFill="background2" w:themeFillShade="E6"/>
            <w:vAlign w:val="center"/>
            <w:hideMark/>
          </w:tcPr>
          <w:p w14:paraId="2BC07ED5"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Effect</w:t>
            </w:r>
          </w:p>
        </w:tc>
        <w:tc>
          <w:tcPr>
            <w:tcW w:w="497" w:type="pct"/>
            <w:vMerge w:val="restart"/>
            <w:shd w:val="clear" w:color="auto" w:fill="D0CECE" w:themeFill="background2" w:themeFillShade="E6"/>
            <w:vAlign w:val="center"/>
            <w:hideMark/>
          </w:tcPr>
          <w:p w14:paraId="12CE6921"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Certainty</w:t>
            </w:r>
          </w:p>
        </w:tc>
        <w:tc>
          <w:tcPr>
            <w:tcW w:w="497" w:type="pct"/>
            <w:vMerge w:val="restart"/>
            <w:shd w:val="clear" w:color="auto" w:fill="D0CECE" w:themeFill="background2" w:themeFillShade="E6"/>
            <w:vAlign w:val="center"/>
            <w:hideMark/>
          </w:tcPr>
          <w:p w14:paraId="13A3CFDD"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Importance</w:t>
            </w:r>
          </w:p>
        </w:tc>
      </w:tr>
      <w:tr w:rsidR="00A56B13" w:rsidRPr="00BD7D63" w14:paraId="68FA0161" w14:textId="77777777" w:rsidTr="00A56B13">
        <w:trPr>
          <w:cantSplit/>
          <w:tblHeader/>
        </w:trPr>
        <w:tc>
          <w:tcPr>
            <w:tcW w:w="420" w:type="pct"/>
            <w:shd w:val="clear" w:color="auto" w:fill="D0CECE" w:themeFill="background2" w:themeFillShade="E6"/>
            <w:vAlign w:val="center"/>
            <w:hideMark/>
          </w:tcPr>
          <w:p w14:paraId="5B450B70" w14:textId="46A46610" w:rsidR="00BD7D63" w:rsidRDefault="00BD7D63" w:rsidP="001E4AC2">
            <w:pPr>
              <w:jc w:val="left"/>
              <w:rPr>
                <w:rFonts w:ascii="Arial Narrow" w:hAnsi="Arial Narrow"/>
                <w:b/>
                <w:bCs/>
                <w:sz w:val="16"/>
                <w:szCs w:val="16"/>
              </w:rPr>
            </w:pPr>
            <w:r w:rsidRPr="00BD7D63">
              <w:rPr>
                <w:rFonts w:ascii="Arial Narrow" w:hAnsi="Arial Narrow"/>
                <w:b/>
                <w:bCs/>
                <w:sz w:val="16"/>
                <w:szCs w:val="16"/>
              </w:rPr>
              <w:t>№ of studies</w:t>
            </w:r>
            <w:r w:rsidR="001E4AC2">
              <w:rPr>
                <w:rFonts w:ascii="Arial Narrow" w:hAnsi="Arial Narrow"/>
                <w:b/>
                <w:bCs/>
                <w:sz w:val="16"/>
                <w:szCs w:val="16"/>
              </w:rPr>
              <w:t xml:space="preserve"> (K)</w:t>
            </w:r>
          </w:p>
          <w:p w14:paraId="137F2770" w14:textId="3D247A31" w:rsidR="001E4AC2" w:rsidRPr="00BD7D63" w:rsidRDefault="001E4AC2" w:rsidP="001E4AC2">
            <w:pPr>
              <w:jc w:val="left"/>
              <w:rPr>
                <w:rFonts w:ascii="Arial Narrow" w:hAnsi="Arial Narrow"/>
                <w:b/>
                <w:bCs/>
                <w:sz w:val="16"/>
                <w:szCs w:val="16"/>
              </w:rPr>
            </w:pPr>
            <w:r>
              <w:rPr>
                <w:rFonts w:ascii="Arial Narrow" w:hAnsi="Arial Narrow"/>
                <w:b/>
                <w:bCs/>
                <w:sz w:val="16"/>
                <w:szCs w:val="16"/>
              </w:rPr>
              <w:t>N patients</w:t>
            </w:r>
          </w:p>
        </w:tc>
        <w:tc>
          <w:tcPr>
            <w:tcW w:w="327" w:type="pct"/>
            <w:shd w:val="clear" w:color="auto" w:fill="D0CECE" w:themeFill="background2" w:themeFillShade="E6"/>
            <w:vAlign w:val="center"/>
            <w:hideMark/>
          </w:tcPr>
          <w:p w14:paraId="1018B687" w14:textId="40C2F4E1" w:rsidR="001E4AC2" w:rsidRPr="00BD7D63" w:rsidRDefault="00BD7D63" w:rsidP="001E4AC2">
            <w:pPr>
              <w:rPr>
                <w:rFonts w:ascii="Arial Narrow" w:hAnsi="Arial Narrow"/>
                <w:b/>
                <w:bCs/>
                <w:sz w:val="16"/>
                <w:szCs w:val="16"/>
              </w:rPr>
            </w:pPr>
            <w:r w:rsidRPr="00BD7D63">
              <w:rPr>
                <w:rFonts w:ascii="Arial Narrow" w:hAnsi="Arial Narrow"/>
                <w:b/>
                <w:bCs/>
                <w:sz w:val="16"/>
                <w:szCs w:val="16"/>
              </w:rPr>
              <w:t>Study design</w:t>
            </w:r>
          </w:p>
        </w:tc>
        <w:tc>
          <w:tcPr>
            <w:tcW w:w="326" w:type="pct"/>
            <w:shd w:val="clear" w:color="auto" w:fill="D0CECE" w:themeFill="background2" w:themeFillShade="E6"/>
            <w:vAlign w:val="center"/>
            <w:hideMark/>
          </w:tcPr>
          <w:p w14:paraId="1F1F0D6C"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Risk of bias</w:t>
            </w:r>
          </w:p>
        </w:tc>
        <w:tc>
          <w:tcPr>
            <w:tcW w:w="339" w:type="pct"/>
            <w:shd w:val="clear" w:color="auto" w:fill="D0CECE" w:themeFill="background2" w:themeFillShade="E6"/>
            <w:vAlign w:val="center"/>
            <w:hideMark/>
          </w:tcPr>
          <w:p w14:paraId="05529A71"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Inconsistency</w:t>
            </w:r>
          </w:p>
        </w:tc>
        <w:tc>
          <w:tcPr>
            <w:tcW w:w="327" w:type="pct"/>
            <w:shd w:val="clear" w:color="auto" w:fill="D0CECE" w:themeFill="background2" w:themeFillShade="E6"/>
            <w:vAlign w:val="center"/>
            <w:hideMark/>
          </w:tcPr>
          <w:p w14:paraId="4CFB88FD"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Indirectness</w:t>
            </w:r>
          </w:p>
        </w:tc>
        <w:tc>
          <w:tcPr>
            <w:tcW w:w="327" w:type="pct"/>
            <w:shd w:val="clear" w:color="auto" w:fill="D0CECE" w:themeFill="background2" w:themeFillShade="E6"/>
            <w:vAlign w:val="center"/>
            <w:hideMark/>
          </w:tcPr>
          <w:p w14:paraId="68C324A1"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Imprecision</w:t>
            </w:r>
          </w:p>
        </w:tc>
        <w:tc>
          <w:tcPr>
            <w:tcW w:w="378" w:type="pct"/>
            <w:shd w:val="clear" w:color="auto" w:fill="D0CECE" w:themeFill="background2" w:themeFillShade="E6"/>
            <w:vAlign w:val="center"/>
            <w:hideMark/>
          </w:tcPr>
          <w:p w14:paraId="216122B6"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Other considerations</w:t>
            </w:r>
          </w:p>
        </w:tc>
        <w:tc>
          <w:tcPr>
            <w:tcW w:w="466" w:type="pct"/>
            <w:shd w:val="clear" w:color="auto" w:fill="D0CECE" w:themeFill="background2" w:themeFillShade="E6"/>
            <w:vAlign w:val="center"/>
            <w:hideMark/>
          </w:tcPr>
          <w:p w14:paraId="267D5B03"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AQP4-Ab positive</w:t>
            </w:r>
          </w:p>
        </w:tc>
        <w:tc>
          <w:tcPr>
            <w:tcW w:w="398" w:type="pct"/>
            <w:shd w:val="clear" w:color="auto" w:fill="D0CECE" w:themeFill="background2" w:themeFillShade="E6"/>
            <w:vAlign w:val="center"/>
            <w:hideMark/>
          </w:tcPr>
          <w:p w14:paraId="32195317"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AQP4-Ab negative</w:t>
            </w:r>
          </w:p>
        </w:tc>
        <w:tc>
          <w:tcPr>
            <w:tcW w:w="302" w:type="pct"/>
            <w:gridSpan w:val="2"/>
            <w:shd w:val="clear" w:color="auto" w:fill="D0CECE" w:themeFill="background2" w:themeFillShade="E6"/>
            <w:vAlign w:val="center"/>
            <w:hideMark/>
          </w:tcPr>
          <w:p w14:paraId="10955A65"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Relative</w:t>
            </w:r>
            <w:r w:rsidRPr="00BD7D63">
              <w:rPr>
                <w:rFonts w:ascii="Arial Narrow" w:hAnsi="Arial Narrow"/>
                <w:b/>
                <w:bCs/>
                <w:sz w:val="16"/>
                <w:szCs w:val="16"/>
              </w:rPr>
              <w:br/>
              <w:t>(95% CI)</w:t>
            </w:r>
          </w:p>
        </w:tc>
        <w:tc>
          <w:tcPr>
            <w:tcW w:w="395" w:type="pct"/>
            <w:gridSpan w:val="2"/>
            <w:shd w:val="clear" w:color="auto" w:fill="D0CECE" w:themeFill="background2" w:themeFillShade="E6"/>
            <w:vAlign w:val="center"/>
            <w:hideMark/>
          </w:tcPr>
          <w:p w14:paraId="4CB9A1A4"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Absolute</w:t>
            </w:r>
            <w:r w:rsidRPr="00BD7D63">
              <w:rPr>
                <w:rFonts w:ascii="Arial Narrow" w:hAnsi="Arial Narrow"/>
                <w:b/>
                <w:bCs/>
                <w:sz w:val="16"/>
                <w:szCs w:val="16"/>
              </w:rPr>
              <w:br/>
              <w:t>(95% CI)</w:t>
            </w:r>
          </w:p>
        </w:tc>
        <w:tc>
          <w:tcPr>
            <w:tcW w:w="497" w:type="pct"/>
            <w:vMerge/>
            <w:shd w:val="clear" w:color="auto" w:fill="D0CECE" w:themeFill="background2" w:themeFillShade="E6"/>
            <w:vAlign w:val="center"/>
            <w:hideMark/>
          </w:tcPr>
          <w:p w14:paraId="087AFF53" w14:textId="77777777" w:rsidR="00BD7D63" w:rsidRPr="00BD7D63" w:rsidRDefault="00BD7D63" w:rsidP="00BD7D63">
            <w:pPr>
              <w:rPr>
                <w:rFonts w:ascii="Arial Narrow" w:hAnsi="Arial Narrow"/>
                <w:b/>
                <w:bCs/>
                <w:sz w:val="16"/>
                <w:szCs w:val="16"/>
              </w:rPr>
            </w:pPr>
          </w:p>
        </w:tc>
        <w:tc>
          <w:tcPr>
            <w:tcW w:w="497" w:type="pct"/>
            <w:vMerge/>
            <w:shd w:val="clear" w:color="auto" w:fill="D0CECE" w:themeFill="background2" w:themeFillShade="E6"/>
            <w:vAlign w:val="center"/>
            <w:hideMark/>
          </w:tcPr>
          <w:p w14:paraId="71A1D875" w14:textId="77777777" w:rsidR="00BD7D63" w:rsidRPr="00BD7D63" w:rsidRDefault="00BD7D63" w:rsidP="00BD7D63">
            <w:pPr>
              <w:rPr>
                <w:rFonts w:ascii="Arial Narrow" w:hAnsi="Arial Narrow"/>
                <w:b/>
                <w:bCs/>
                <w:sz w:val="16"/>
                <w:szCs w:val="16"/>
              </w:rPr>
            </w:pPr>
          </w:p>
        </w:tc>
      </w:tr>
      <w:tr w:rsidR="00BD7D63" w:rsidRPr="00BD7D63" w14:paraId="0AD488B3" w14:textId="77777777" w:rsidTr="00BD7D63">
        <w:trPr>
          <w:cantSplit/>
        </w:trPr>
        <w:tc>
          <w:tcPr>
            <w:tcW w:w="5000" w:type="pct"/>
            <w:gridSpan w:val="15"/>
            <w:shd w:val="clear" w:color="auto" w:fill="FFFFFF"/>
            <w:vAlign w:val="center"/>
            <w:hideMark/>
          </w:tcPr>
          <w:p w14:paraId="2B9EEC1B" w14:textId="3A2AE17C" w:rsidR="00BD7D63" w:rsidRPr="00BD7D63" w:rsidRDefault="00BD7D63" w:rsidP="00BD7D63">
            <w:pPr>
              <w:rPr>
                <w:rFonts w:ascii="Arial Narrow" w:hAnsi="Arial Narrow"/>
                <w:b/>
                <w:bCs/>
                <w:sz w:val="16"/>
                <w:szCs w:val="16"/>
              </w:rPr>
            </w:pPr>
            <w:r w:rsidRPr="00BD7D63">
              <w:rPr>
                <w:rFonts w:ascii="Arial Narrow" w:hAnsi="Arial Narrow"/>
                <w:b/>
                <w:bCs/>
                <w:sz w:val="16"/>
                <w:szCs w:val="16"/>
              </w:rPr>
              <w:t xml:space="preserve">Visual acuity </w:t>
            </w:r>
            <w:r w:rsidR="00693B42">
              <w:rPr>
                <w:rFonts w:ascii="Arial Narrow" w:hAnsi="Arial Narrow"/>
                <w:b/>
                <w:bCs/>
                <w:sz w:val="16"/>
                <w:szCs w:val="16"/>
              </w:rPr>
              <w:t xml:space="preserve">in those suspected of NMOSD </w:t>
            </w:r>
            <w:r w:rsidRPr="00BD7D63">
              <w:rPr>
                <w:rFonts w:ascii="Arial Narrow" w:hAnsi="Arial Narrow"/>
                <w:b/>
                <w:bCs/>
                <w:sz w:val="16"/>
                <w:szCs w:val="16"/>
              </w:rPr>
              <w:t>&gt;0.5 at five years follow-up</w:t>
            </w:r>
          </w:p>
        </w:tc>
      </w:tr>
      <w:tr w:rsidR="00A56B13" w:rsidRPr="00BD7D63" w14:paraId="70F53073" w14:textId="77777777" w:rsidTr="00A56B13">
        <w:trPr>
          <w:cantSplit/>
        </w:trPr>
        <w:tc>
          <w:tcPr>
            <w:tcW w:w="420" w:type="pct"/>
            <w:hideMark/>
          </w:tcPr>
          <w:p w14:paraId="669D0366" w14:textId="77777777" w:rsidR="001E4AC2" w:rsidRDefault="001E4AC2" w:rsidP="00BD7D63">
            <w:pPr>
              <w:rPr>
                <w:rFonts w:ascii="Arial Narrow" w:hAnsi="Arial Narrow"/>
                <w:sz w:val="16"/>
                <w:szCs w:val="16"/>
              </w:rPr>
            </w:pPr>
            <w:r>
              <w:rPr>
                <w:rFonts w:ascii="Arial Narrow" w:hAnsi="Arial Narrow"/>
                <w:sz w:val="16"/>
                <w:szCs w:val="16"/>
              </w:rPr>
              <w:t>K=</w:t>
            </w:r>
            <w:r w:rsidR="00BD7D63" w:rsidRPr="00BD7D63">
              <w:rPr>
                <w:rFonts w:ascii="Arial Narrow" w:hAnsi="Arial Narrow"/>
                <w:sz w:val="16"/>
                <w:szCs w:val="16"/>
              </w:rPr>
              <w:t>1</w:t>
            </w:r>
          </w:p>
          <w:p w14:paraId="168CFA0B" w14:textId="4F735D7F" w:rsidR="00BD7D63" w:rsidRPr="00BD7D63" w:rsidRDefault="001E4AC2" w:rsidP="00BD7D63">
            <w:pPr>
              <w:rPr>
                <w:rFonts w:ascii="Arial Narrow" w:hAnsi="Arial Narrow"/>
                <w:sz w:val="16"/>
                <w:szCs w:val="16"/>
              </w:rPr>
            </w:pPr>
            <w:r>
              <w:rPr>
                <w:rFonts w:ascii="Arial Narrow" w:hAnsi="Arial Narrow"/>
                <w:sz w:val="16"/>
                <w:szCs w:val="16"/>
              </w:rPr>
              <w:t>N=128</w:t>
            </w:r>
            <w:r w:rsidR="00BD7D63" w:rsidRPr="00BD7D63">
              <w:rPr>
                <w:rFonts w:ascii="Arial Narrow" w:hAnsi="Arial Narrow"/>
                <w:sz w:val="16"/>
                <w:szCs w:val="16"/>
              </w:rPr>
              <w:t xml:space="preserve"> </w:t>
            </w:r>
          </w:p>
        </w:tc>
        <w:tc>
          <w:tcPr>
            <w:tcW w:w="327" w:type="pct"/>
            <w:hideMark/>
          </w:tcPr>
          <w:p w14:paraId="3961489F" w14:textId="6F7BB685" w:rsidR="001E4AC2" w:rsidRPr="00BD7D63" w:rsidRDefault="00BD7D63" w:rsidP="001E4AC2">
            <w:pPr>
              <w:rPr>
                <w:rFonts w:ascii="Arial Narrow" w:hAnsi="Arial Narrow"/>
                <w:sz w:val="16"/>
                <w:szCs w:val="16"/>
              </w:rPr>
            </w:pPr>
            <w:r w:rsidRPr="00BD7D63">
              <w:rPr>
                <w:rFonts w:ascii="Arial Narrow" w:hAnsi="Arial Narrow"/>
                <w:sz w:val="16"/>
                <w:szCs w:val="16"/>
              </w:rPr>
              <w:t xml:space="preserve">observational studies </w:t>
            </w:r>
          </w:p>
        </w:tc>
        <w:tc>
          <w:tcPr>
            <w:tcW w:w="326" w:type="pct"/>
            <w:hideMark/>
          </w:tcPr>
          <w:p w14:paraId="642BC052" w14:textId="77777777" w:rsidR="00BD7D63" w:rsidRPr="00BD7D63" w:rsidRDefault="008B25BB" w:rsidP="008B25BB">
            <w:pPr>
              <w:rPr>
                <w:rFonts w:ascii="Arial Narrow" w:hAnsi="Arial Narrow"/>
                <w:sz w:val="16"/>
                <w:szCs w:val="16"/>
              </w:rPr>
            </w:pPr>
            <w:r>
              <w:rPr>
                <w:rFonts w:ascii="Arial Narrow" w:hAnsi="Arial Narrow"/>
                <w:sz w:val="16"/>
                <w:szCs w:val="16"/>
              </w:rPr>
              <w:t>s</w:t>
            </w:r>
            <w:r w:rsidR="00BD7D63" w:rsidRPr="00BD7D63">
              <w:rPr>
                <w:rFonts w:ascii="Arial Narrow" w:hAnsi="Arial Narrow"/>
                <w:sz w:val="16"/>
                <w:szCs w:val="16"/>
              </w:rPr>
              <w:t>erious</w:t>
            </w:r>
            <w:r>
              <w:rPr>
                <w:rFonts w:ascii="Arial Narrow" w:hAnsi="Arial Narrow"/>
                <w:sz w:val="16"/>
                <w:szCs w:val="16"/>
              </w:rPr>
              <w:t xml:space="preserve"> </w:t>
            </w:r>
            <w:r>
              <w:rPr>
                <w:rFonts w:ascii="Arial Narrow" w:hAnsi="Arial Narrow"/>
                <w:sz w:val="16"/>
                <w:szCs w:val="16"/>
                <w:vertAlign w:val="superscript"/>
              </w:rPr>
              <w:t>a</w:t>
            </w:r>
            <w:r w:rsidR="00BD7D63" w:rsidRPr="00BD7D63">
              <w:rPr>
                <w:rFonts w:ascii="Arial Narrow" w:hAnsi="Arial Narrow"/>
                <w:sz w:val="16"/>
                <w:szCs w:val="16"/>
              </w:rPr>
              <w:t xml:space="preserve"> </w:t>
            </w:r>
          </w:p>
        </w:tc>
        <w:tc>
          <w:tcPr>
            <w:tcW w:w="339" w:type="pct"/>
            <w:hideMark/>
          </w:tcPr>
          <w:p w14:paraId="7D7DEB58"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62BA7BD6"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272DBE19"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78" w:type="pct"/>
            <w:hideMark/>
          </w:tcPr>
          <w:p w14:paraId="20E29A81"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strong association </w:t>
            </w:r>
          </w:p>
        </w:tc>
        <w:tc>
          <w:tcPr>
            <w:tcW w:w="466" w:type="pct"/>
            <w:hideMark/>
          </w:tcPr>
          <w:p w14:paraId="304DFD0A"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24/80 (30.0%) </w:t>
            </w:r>
          </w:p>
        </w:tc>
        <w:tc>
          <w:tcPr>
            <w:tcW w:w="398" w:type="pct"/>
            <w:hideMark/>
          </w:tcPr>
          <w:p w14:paraId="3AF1289F"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75/133 (56.4%) </w:t>
            </w:r>
          </w:p>
        </w:tc>
        <w:tc>
          <w:tcPr>
            <w:tcW w:w="302" w:type="pct"/>
            <w:gridSpan w:val="2"/>
            <w:hideMark/>
          </w:tcPr>
          <w:p w14:paraId="50B03A3F" w14:textId="77777777" w:rsidR="00BD7D63" w:rsidRPr="00BD7D63" w:rsidRDefault="00BD7D63" w:rsidP="00BD7D63">
            <w:pPr>
              <w:jc w:val="left"/>
              <w:rPr>
                <w:rFonts w:ascii="Arial Narrow" w:hAnsi="Arial Narrow"/>
                <w:sz w:val="16"/>
                <w:szCs w:val="16"/>
              </w:rPr>
            </w:pPr>
            <w:r w:rsidRPr="00BD7D63">
              <w:rPr>
                <w:rFonts w:ascii="Arial Narrow" w:hAnsi="Arial Narrow"/>
                <w:b/>
                <w:bCs/>
                <w:sz w:val="16"/>
                <w:szCs w:val="16"/>
              </w:rPr>
              <w:t>OR 0.33</w:t>
            </w:r>
            <w:r w:rsidRPr="00BD7D63">
              <w:rPr>
                <w:rFonts w:ascii="Arial Narrow" w:hAnsi="Arial Narrow"/>
                <w:sz w:val="16"/>
                <w:szCs w:val="16"/>
              </w:rPr>
              <w:br/>
              <w:t xml:space="preserve">(0.18 to 0.60) </w:t>
            </w:r>
          </w:p>
        </w:tc>
        <w:tc>
          <w:tcPr>
            <w:tcW w:w="395" w:type="pct"/>
            <w:gridSpan w:val="2"/>
            <w:hideMark/>
          </w:tcPr>
          <w:p w14:paraId="13B75E9A" w14:textId="77777777" w:rsidR="00BD7D63" w:rsidRPr="00BD7D63" w:rsidRDefault="00BD7D63" w:rsidP="00490EED">
            <w:pPr>
              <w:jc w:val="left"/>
              <w:rPr>
                <w:rFonts w:ascii="Arial Narrow" w:hAnsi="Arial Narrow"/>
                <w:sz w:val="16"/>
                <w:szCs w:val="16"/>
              </w:rPr>
            </w:pPr>
            <w:r w:rsidRPr="00BD7D63">
              <w:rPr>
                <w:rFonts w:ascii="Arial Narrow" w:hAnsi="Arial Narrow"/>
                <w:b/>
                <w:bCs/>
                <w:sz w:val="16"/>
                <w:szCs w:val="16"/>
              </w:rPr>
              <w:t>26 fewer per 100</w:t>
            </w:r>
            <w:r w:rsidRPr="00BD7D63">
              <w:rPr>
                <w:rFonts w:ascii="Arial Narrow" w:hAnsi="Arial Narrow"/>
                <w:sz w:val="16"/>
                <w:szCs w:val="16"/>
              </w:rPr>
              <w:br/>
            </w:r>
            <w:r w:rsidRPr="00A94047">
              <w:rPr>
                <w:rFonts w:ascii="Arial Narrow" w:hAnsi="Arial Narrow"/>
                <w:sz w:val="16"/>
                <w:szCs w:val="16"/>
              </w:rPr>
              <w:t xml:space="preserve">(from </w:t>
            </w:r>
            <w:r w:rsidR="00490EED" w:rsidRPr="00A94047">
              <w:rPr>
                <w:rFonts w:ascii="Arial Narrow" w:hAnsi="Arial Narrow"/>
                <w:sz w:val="16"/>
                <w:szCs w:val="16"/>
              </w:rPr>
              <w:t xml:space="preserve">38 fewer </w:t>
            </w:r>
            <w:r w:rsidRPr="00A94047">
              <w:rPr>
                <w:rFonts w:ascii="Arial Narrow" w:hAnsi="Arial Narrow"/>
                <w:sz w:val="16"/>
                <w:szCs w:val="16"/>
              </w:rPr>
              <w:t xml:space="preserve">to </w:t>
            </w:r>
            <w:r w:rsidR="00490EED" w:rsidRPr="00A94047">
              <w:rPr>
                <w:rFonts w:ascii="Arial Narrow" w:hAnsi="Arial Narrow"/>
                <w:sz w:val="16"/>
                <w:szCs w:val="16"/>
              </w:rPr>
              <w:t>13 fewer-)</w:t>
            </w:r>
            <w:r w:rsidR="00490EED" w:rsidRPr="00BD7D63">
              <w:rPr>
                <w:rFonts w:ascii="Arial Narrow" w:hAnsi="Arial Narrow"/>
                <w:sz w:val="16"/>
                <w:szCs w:val="16"/>
              </w:rPr>
              <w:t xml:space="preserve"> </w:t>
            </w:r>
            <w:r w:rsidRPr="00BD7D63">
              <w:rPr>
                <w:rFonts w:ascii="Arial Narrow" w:hAnsi="Arial Narrow"/>
                <w:sz w:val="16"/>
                <w:szCs w:val="16"/>
                <w:vertAlign w:val="superscript"/>
              </w:rPr>
              <w:t>a</w:t>
            </w:r>
          </w:p>
        </w:tc>
        <w:tc>
          <w:tcPr>
            <w:tcW w:w="497" w:type="pct"/>
            <w:hideMark/>
          </w:tcPr>
          <w:p w14:paraId="7CB4FA01" w14:textId="77777777" w:rsidR="00BD7D63" w:rsidRPr="00BD7D63" w:rsidRDefault="00D308C6" w:rsidP="00BD7D63">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BD7D63" w:rsidRPr="00BD7D63">
              <w:rPr>
                <w:rFonts w:ascii="Arial Narrow" w:hAnsi="Arial Narrow"/>
                <w:sz w:val="16"/>
                <w:szCs w:val="16"/>
              </w:rPr>
              <w:br/>
              <w:t xml:space="preserve">LOW </w:t>
            </w:r>
          </w:p>
        </w:tc>
        <w:tc>
          <w:tcPr>
            <w:tcW w:w="497" w:type="pct"/>
            <w:hideMark/>
          </w:tcPr>
          <w:p w14:paraId="45E8042E"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CRITICAL </w:t>
            </w:r>
          </w:p>
        </w:tc>
      </w:tr>
      <w:tr w:rsidR="00BD7D63" w:rsidRPr="00BD7D63" w14:paraId="752AC1CA" w14:textId="77777777" w:rsidTr="00BD7D63">
        <w:trPr>
          <w:cantSplit/>
        </w:trPr>
        <w:tc>
          <w:tcPr>
            <w:tcW w:w="5000" w:type="pct"/>
            <w:gridSpan w:val="15"/>
            <w:shd w:val="clear" w:color="auto" w:fill="FFFFFF"/>
            <w:hideMark/>
          </w:tcPr>
          <w:p w14:paraId="0950A085" w14:textId="357DD283" w:rsidR="00BD7D63" w:rsidRPr="00BD7D63" w:rsidRDefault="00BD7D63" w:rsidP="00BD7D63">
            <w:pPr>
              <w:jc w:val="left"/>
              <w:rPr>
                <w:rFonts w:ascii="Arial Narrow" w:hAnsi="Arial Narrow"/>
                <w:b/>
                <w:bCs/>
                <w:sz w:val="16"/>
                <w:szCs w:val="16"/>
              </w:rPr>
            </w:pPr>
            <w:r w:rsidRPr="00BD7D63">
              <w:rPr>
                <w:rFonts w:ascii="Arial Narrow" w:hAnsi="Arial Narrow"/>
                <w:b/>
                <w:bCs/>
                <w:sz w:val="16"/>
                <w:szCs w:val="16"/>
              </w:rPr>
              <w:t xml:space="preserve">Patients </w:t>
            </w:r>
            <w:r w:rsidR="00693B42">
              <w:rPr>
                <w:rFonts w:ascii="Arial Narrow" w:hAnsi="Arial Narrow"/>
                <w:b/>
                <w:bCs/>
                <w:sz w:val="16"/>
                <w:szCs w:val="16"/>
              </w:rPr>
              <w:t xml:space="preserve">suspected with NMOSD </w:t>
            </w:r>
            <w:r w:rsidRPr="00BD7D63">
              <w:rPr>
                <w:rFonts w:ascii="Arial Narrow" w:hAnsi="Arial Narrow"/>
                <w:b/>
                <w:bCs/>
                <w:sz w:val="16"/>
                <w:szCs w:val="16"/>
              </w:rPr>
              <w:t xml:space="preserve">with legal blindness in one eye at five years follow-up </w:t>
            </w:r>
          </w:p>
        </w:tc>
      </w:tr>
      <w:tr w:rsidR="00A56B13" w:rsidRPr="00BD7D63" w14:paraId="0C85BF17" w14:textId="77777777" w:rsidTr="00A56B13">
        <w:trPr>
          <w:cantSplit/>
        </w:trPr>
        <w:tc>
          <w:tcPr>
            <w:tcW w:w="420" w:type="pct"/>
            <w:hideMark/>
          </w:tcPr>
          <w:p w14:paraId="3D31A75C" w14:textId="77777777" w:rsidR="001E4AC2" w:rsidRDefault="001E4AC2" w:rsidP="00BD7D63">
            <w:pPr>
              <w:rPr>
                <w:rFonts w:ascii="Arial Narrow" w:hAnsi="Arial Narrow"/>
                <w:sz w:val="16"/>
                <w:szCs w:val="16"/>
              </w:rPr>
            </w:pPr>
            <w:r>
              <w:rPr>
                <w:rFonts w:ascii="Arial Narrow" w:hAnsi="Arial Narrow"/>
                <w:sz w:val="16"/>
                <w:szCs w:val="16"/>
              </w:rPr>
              <w:t>K=</w:t>
            </w:r>
            <w:r w:rsidR="00BD7D63" w:rsidRPr="00BD7D63">
              <w:rPr>
                <w:rFonts w:ascii="Arial Narrow" w:hAnsi="Arial Narrow"/>
                <w:sz w:val="16"/>
                <w:szCs w:val="16"/>
              </w:rPr>
              <w:t>1</w:t>
            </w:r>
          </w:p>
          <w:p w14:paraId="04595A6C" w14:textId="6E98316C" w:rsidR="00BD7D63" w:rsidRPr="00BD7D63" w:rsidRDefault="001E4AC2" w:rsidP="00BD7D63">
            <w:pPr>
              <w:rPr>
                <w:rFonts w:ascii="Arial Narrow" w:hAnsi="Arial Narrow"/>
                <w:sz w:val="16"/>
                <w:szCs w:val="16"/>
              </w:rPr>
            </w:pPr>
            <w:r>
              <w:rPr>
                <w:rFonts w:ascii="Arial Narrow" w:hAnsi="Arial Narrow"/>
                <w:sz w:val="16"/>
                <w:szCs w:val="16"/>
              </w:rPr>
              <w:t>N=128</w:t>
            </w:r>
            <w:r w:rsidR="00BD7D63" w:rsidRPr="00BD7D63">
              <w:rPr>
                <w:rFonts w:ascii="Arial Narrow" w:hAnsi="Arial Narrow"/>
                <w:sz w:val="16"/>
                <w:szCs w:val="16"/>
              </w:rPr>
              <w:t xml:space="preserve"> </w:t>
            </w:r>
          </w:p>
        </w:tc>
        <w:tc>
          <w:tcPr>
            <w:tcW w:w="327" w:type="pct"/>
            <w:hideMark/>
          </w:tcPr>
          <w:p w14:paraId="72EE9468" w14:textId="25575834" w:rsidR="001E4AC2" w:rsidRPr="00BD7D63" w:rsidRDefault="00BD7D63" w:rsidP="001E4AC2">
            <w:pPr>
              <w:rPr>
                <w:rFonts w:ascii="Arial Narrow" w:hAnsi="Arial Narrow"/>
                <w:sz w:val="16"/>
                <w:szCs w:val="16"/>
              </w:rPr>
            </w:pPr>
            <w:r w:rsidRPr="00BD7D63">
              <w:rPr>
                <w:rFonts w:ascii="Arial Narrow" w:hAnsi="Arial Narrow"/>
                <w:sz w:val="16"/>
                <w:szCs w:val="16"/>
              </w:rPr>
              <w:t xml:space="preserve">observational studies </w:t>
            </w:r>
          </w:p>
        </w:tc>
        <w:tc>
          <w:tcPr>
            <w:tcW w:w="326" w:type="pct"/>
            <w:hideMark/>
          </w:tcPr>
          <w:p w14:paraId="45C05C4E" w14:textId="77777777" w:rsidR="00BD7D63" w:rsidRPr="00BD7D63" w:rsidRDefault="008B25BB" w:rsidP="00BD7D63">
            <w:pPr>
              <w:rPr>
                <w:rFonts w:ascii="Arial Narrow" w:hAnsi="Arial Narrow"/>
                <w:sz w:val="16"/>
                <w:szCs w:val="16"/>
              </w:rPr>
            </w:pPr>
            <w:r>
              <w:rPr>
                <w:rFonts w:ascii="Arial Narrow" w:hAnsi="Arial Narrow"/>
                <w:sz w:val="16"/>
                <w:szCs w:val="16"/>
              </w:rPr>
              <w:t>s</w:t>
            </w:r>
            <w:r w:rsidR="00BD7D63" w:rsidRPr="00BD7D63">
              <w:rPr>
                <w:rFonts w:ascii="Arial Narrow" w:hAnsi="Arial Narrow"/>
                <w:sz w:val="16"/>
                <w:szCs w:val="16"/>
              </w:rPr>
              <w:t>erious</w:t>
            </w:r>
            <w:r>
              <w:rPr>
                <w:rFonts w:ascii="Arial Narrow" w:hAnsi="Arial Narrow"/>
                <w:sz w:val="16"/>
                <w:szCs w:val="16"/>
              </w:rPr>
              <w:t xml:space="preserve"> </w:t>
            </w:r>
            <w:r>
              <w:rPr>
                <w:rFonts w:ascii="Arial Narrow" w:hAnsi="Arial Narrow"/>
                <w:sz w:val="16"/>
                <w:szCs w:val="16"/>
                <w:vertAlign w:val="superscript"/>
              </w:rPr>
              <w:t>a</w:t>
            </w:r>
            <w:r w:rsidR="00BD7D63" w:rsidRPr="00BD7D63">
              <w:rPr>
                <w:rFonts w:ascii="Arial Narrow" w:hAnsi="Arial Narrow"/>
                <w:sz w:val="16"/>
                <w:szCs w:val="16"/>
              </w:rPr>
              <w:t xml:space="preserve"> </w:t>
            </w:r>
          </w:p>
        </w:tc>
        <w:tc>
          <w:tcPr>
            <w:tcW w:w="339" w:type="pct"/>
            <w:hideMark/>
          </w:tcPr>
          <w:p w14:paraId="7FA2065B"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05DAD217"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36BA67BD"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78" w:type="pct"/>
            <w:hideMark/>
          </w:tcPr>
          <w:p w14:paraId="282A9E05"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strong association </w:t>
            </w:r>
          </w:p>
        </w:tc>
        <w:tc>
          <w:tcPr>
            <w:tcW w:w="466" w:type="pct"/>
            <w:hideMark/>
          </w:tcPr>
          <w:p w14:paraId="05FCEFED"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30/45 (66.7%) </w:t>
            </w:r>
          </w:p>
        </w:tc>
        <w:tc>
          <w:tcPr>
            <w:tcW w:w="398" w:type="pct"/>
            <w:hideMark/>
          </w:tcPr>
          <w:p w14:paraId="538CFCDC"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27/83 (32.5%) </w:t>
            </w:r>
          </w:p>
        </w:tc>
        <w:tc>
          <w:tcPr>
            <w:tcW w:w="302" w:type="pct"/>
            <w:gridSpan w:val="2"/>
            <w:hideMark/>
          </w:tcPr>
          <w:p w14:paraId="62CD72BD" w14:textId="77777777" w:rsidR="00BD7D63" w:rsidRPr="00BD7D63" w:rsidRDefault="00BD7D63" w:rsidP="00BD7D63">
            <w:pPr>
              <w:jc w:val="left"/>
              <w:rPr>
                <w:rFonts w:ascii="Arial Narrow" w:hAnsi="Arial Narrow"/>
                <w:sz w:val="16"/>
                <w:szCs w:val="16"/>
              </w:rPr>
            </w:pPr>
            <w:r w:rsidRPr="00BD7D63">
              <w:rPr>
                <w:rFonts w:ascii="Arial Narrow" w:hAnsi="Arial Narrow"/>
                <w:b/>
                <w:bCs/>
                <w:sz w:val="16"/>
                <w:szCs w:val="16"/>
              </w:rPr>
              <w:t>OR 4.15</w:t>
            </w:r>
            <w:r w:rsidRPr="00BD7D63">
              <w:rPr>
                <w:rFonts w:ascii="Arial Narrow" w:hAnsi="Arial Narrow"/>
                <w:sz w:val="16"/>
                <w:szCs w:val="16"/>
              </w:rPr>
              <w:br/>
              <w:t xml:space="preserve">(1.92 to 8.97) </w:t>
            </w:r>
          </w:p>
        </w:tc>
        <w:tc>
          <w:tcPr>
            <w:tcW w:w="395" w:type="pct"/>
            <w:gridSpan w:val="2"/>
            <w:hideMark/>
          </w:tcPr>
          <w:p w14:paraId="7EB7AF4C" w14:textId="77777777" w:rsidR="00BD7D63" w:rsidRPr="00BD7D63" w:rsidRDefault="00BD7D63" w:rsidP="00BD7D63">
            <w:pPr>
              <w:jc w:val="left"/>
              <w:rPr>
                <w:rFonts w:ascii="Arial Narrow" w:hAnsi="Arial Narrow"/>
                <w:sz w:val="16"/>
                <w:szCs w:val="16"/>
              </w:rPr>
            </w:pPr>
            <w:r w:rsidRPr="00BD7D63">
              <w:rPr>
                <w:rFonts w:ascii="Arial Narrow" w:hAnsi="Arial Narrow"/>
                <w:b/>
                <w:bCs/>
                <w:sz w:val="16"/>
                <w:szCs w:val="16"/>
              </w:rPr>
              <w:t>341 more per 1,000</w:t>
            </w:r>
            <w:r w:rsidRPr="00BD7D63">
              <w:rPr>
                <w:rFonts w:ascii="Arial Narrow" w:hAnsi="Arial Narrow"/>
                <w:sz w:val="16"/>
                <w:szCs w:val="16"/>
              </w:rPr>
              <w:br/>
              <w:t xml:space="preserve">(from 155 more to 487 more) </w:t>
            </w:r>
          </w:p>
        </w:tc>
        <w:tc>
          <w:tcPr>
            <w:tcW w:w="497" w:type="pct"/>
            <w:hideMark/>
          </w:tcPr>
          <w:p w14:paraId="67CCF35D" w14:textId="77777777" w:rsidR="00BD7D63" w:rsidRPr="00BD7D63" w:rsidRDefault="00D308C6" w:rsidP="00BD7D63">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BD7D63" w:rsidRPr="00BD7D63">
              <w:rPr>
                <w:rFonts w:ascii="Arial Narrow" w:hAnsi="Arial Narrow"/>
                <w:sz w:val="16"/>
                <w:szCs w:val="16"/>
              </w:rPr>
              <w:br/>
              <w:t xml:space="preserve">LOW </w:t>
            </w:r>
          </w:p>
        </w:tc>
        <w:tc>
          <w:tcPr>
            <w:tcW w:w="497" w:type="pct"/>
            <w:hideMark/>
          </w:tcPr>
          <w:p w14:paraId="3CA12142"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CRITICAL </w:t>
            </w:r>
          </w:p>
        </w:tc>
      </w:tr>
      <w:tr w:rsidR="00BD7D63" w:rsidRPr="00BD7D63" w14:paraId="6A5D1BBD" w14:textId="77777777" w:rsidTr="00BD7D63">
        <w:trPr>
          <w:cantSplit/>
        </w:trPr>
        <w:tc>
          <w:tcPr>
            <w:tcW w:w="5000" w:type="pct"/>
            <w:gridSpan w:val="15"/>
            <w:shd w:val="clear" w:color="auto" w:fill="FFFFFF"/>
            <w:hideMark/>
          </w:tcPr>
          <w:p w14:paraId="02008E3B" w14:textId="51AE3BE2" w:rsidR="00BD7D63" w:rsidRPr="00BD7D63" w:rsidRDefault="00BD7D63" w:rsidP="00BD7D63">
            <w:pPr>
              <w:jc w:val="left"/>
              <w:rPr>
                <w:rFonts w:ascii="Arial Narrow" w:hAnsi="Arial Narrow"/>
                <w:b/>
                <w:bCs/>
                <w:sz w:val="16"/>
                <w:szCs w:val="16"/>
              </w:rPr>
            </w:pPr>
            <w:r w:rsidRPr="00BD7D63">
              <w:rPr>
                <w:rFonts w:ascii="Arial Narrow" w:hAnsi="Arial Narrow"/>
                <w:b/>
                <w:bCs/>
                <w:sz w:val="16"/>
                <w:szCs w:val="16"/>
              </w:rPr>
              <w:t xml:space="preserve">Patients </w:t>
            </w:r>
            <w:r w:rsidR="00693B42">
              <w:rPr>
                <w:rFonts w:ascii="Arial Narrow" w:hAnsi="Arial Narrow"/>
                <w:b/>
                <w:bCs/>
                <w:sz w:val="16"/>
                <w:szCs w:val="16"/>
              </w:rPr>
              <w:t xml:space="preserve">suspected with NMOSD </w:t>
            </w:r>
            <w:r w:rsidRPr="00BD7D63">
              <w:rPr>
                <w:rFonts w:ascii="Arial Narrow" w:hAnsi="Arial Narrow"/>
                <w:b/>
                <w:bCs/>
                <w:sz w:val="16"/>
                <w:szCs w:val="16"/>
              </w:rPr>
              <w:t>with legal blindness in both eyes at five years follow-up</w:t>
            </w:r>
          </w:p>
        </w:tc>
      </w:tr>
      <w:tr w:rsidR="00A56B13" w:rsidRPr="00BD7D63" w14:paraId="7367CEE7" w14:textId="77777777" w:rsidTr="00A56B13">
        <w:trPr>
          <w:cantSplit/>
        </w:trPr>
        <w:tc>
          <w:tcPr>
            <w:tcW w:w="420" w:type="pct"/>
            <w:hideMark/>
          </w:tcPr>
          <w:p w14:paraId="5294F40B" w14:textId="77777777" w:rsidR="001E4AC2" w:rsidRDefault="001E4AC2" w:rsidP="00BD7D63">
            <w:pPr>
              <w:rPr>
                <w:rFonts w:ascii="Arial Narrow" w:hAnsi="Arial Narrow"/>
                <w:sz w:val="16"/>
                <w:szCs w:val="16"/>
              </w:rPr>
            </w:pPr>
            <w:r>
              <w:rPr>
                <w:rFonts w:ascii="Arial Narrow" w:hAnsi="Arial Narrow"/>
                <w:sz w:val="16"/>
                <w:szCs w:val="16"/>
              </w:rPr>
              <w:t>K=</w:t>
            </w:r>
            <w:r w:rsidR="00BD7D63" w:rsidRPr="00BD7D63">
              <w:rPr>
                <w:rFonts w:ascii="Arial Narrow" w:hAnsi="Arial Narrow"/>
                <w:sz w:val="16"/>
                <w:szCs w:val="16"/>
              </w:rPr>
              <w:t>1</w:t>
            </w:r>
          </w:p>
          <w:p w14:paraId="10FE053F" w14:textId="50A63E06" w:rsidR="00BD7D63" w:rsidRPr="00BD7D63" w:rsidRDefault="001E4AC2" w:rsidP="00BD7D63">
            <w:pPr>
              <w:rPr>
                <w:rFonts w:ascii="Arial Narrow" w:hAnsi="Arial Narrow"/>
                <w:sz w:val="16"/>
                <w:szCs w:val="16"/>
              </w:rPr>
            </w:pPr>
            <w:r>
              <w:rPr>
                <w:rFonts w:ascii="Arial Narrow" w:hAnsi="Arial Narrow"/>
                <w:sz w:val="16"/>
                <w:szCs w:val="16"/>
              </w:rPr>
              <w:t>N=128</w:t>
            </w:r>
            <w:r w:rsidR="00BD7D63" w:rsidRPr="00BD7D63">
              <w:rPr>
                <w:rFonts w:ascii="Arial Narrow" w:hAnsi="Arial Narrow"/>
                <w:sz w:val="16"/>
                <w:szCs w:val="16"/>
              </w:rPr>
              <w:t xml:space="preserve"> </w:t>
            </w:r>
          </w:p>
        </w:tc>
        <w:tc>
          <w:tcPr>
            <w:tcW w:w="327" w:type="pct"/>
            <w:hideMark/>
          </w:tcPr>
          <w:p w14:paraId="7C1BF55C"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observational studies </w:t>
            </w:r>
          </w:p>
        </w:tc>
        <w:tc>
          <w:tcPr>
            <w:tcW w:w="326" w:type="pct"/>
            <w:hideMark/>
          </w:tcPr>
          <w:p w14:paraId="57A0C275" w14:textId="77777777" w:rsidR="00BD7D63" w:rsidRPr="008B25BB" w:rsidRDefault="00BD7D63" w:rsidP="00BD7D63">
            <w:pPr>
              <w:rPr>
                <w:rFonts w:ascii="Arial Narrow" w:hAnsi="Arial Narrow"/>
                <w:sz w:val="16"/>
                <w:szCs w:val="16"/>
                <w:vertAlign w:val="superscript"/>
              </w:rPr>
            </w:pPr>
            <w:r w:rsidRPr="00BD7D63">
              <w:rPr>
                <w:rFonts w:ascii="Arial Narrow" w:hAnsi="Arial Narrow"/>
                <w:sz w:val="16"/>
                <w:szCs w:val="16"/>
              </w:rPr>
              <w:t xml:space="preserve">serious </w:t>
            </w:r>
            <w:r w:rsidR="008B25BB">
              <w:rPr>
                <w:rFonts w:ascii="Arial Narrow" w:hAnsi="Arial Narrow"/>
                <w:sz w:val="16"/>
                <w:szCs w:val="16"/>
                <w:vertAlign w:val="superscript"/>
              </w:rPr>
              <w:t>a</w:t>
            </w:r>
          </w:p>
        </w:tc>
        <w:tc>
          <w:tcPr>
            <w:tcW w:w="339" w:type="pct"/>
            <w:hideMark/>
          </w:tcPr>
          <w:p w14:paraId="4D50DC0B"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32166E29"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218CDE68"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78" w:type="pct"/>
            <w:hideMark/>
          </w:tcPr>
          <w:p w14:paraId="343D0882"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strong association </w:t>
            </w:r>
          </w:p>
        </w:tc>
        <w:tc>
          <w:tcPr>
            <w:tcW w:w="466" w:type="pct"/>
            <w:hideMark/>
          </w:tcPr>
          <w:p w14:paraId="247C3D11"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13/45 (28.9%) </w:t>
            </w:r>
          </w:p>
        </w:tc>
        <w:tc>
          <w:tcPr>
            <w:tcW w:w="398" w:type="pct"/>
            <w:hideMark/>
          </w:tcPr>
          <w:p w14:paraId="4D3F86D9"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11/83 (13.3%) </w:t>
            </w:r>
          </w:p>
        </w:tc>
        <w:tc>
          <w:tcPr>
            <w:tcW w:w="302" w:type="pct"/>
            <w:gridSpan w:val="2"/>
            <w:hideMark/>
          </w:tcPr>
          <w:p w14:paraId="19250C39" w14:textId="77777777" w:rsidR="00BD7D63" w:rsidRPr="00BD7D63" w:rsidRDefault="00BD7D63" w:rsidP="00BD7D63">
            <w:pPr>
              <w:jc w:val="left"/>
              <w:rPr>
                <w:rFonts w:ascii="Arial Narrow" w:hAnsi="Arial Narrow"/>
                <w:sz w:val="16"/>
                <w:szCs w:val="16"/>
              </w:rPr>
            </w:pPr>
            <w:r w:rsidRPr="00BD7D63">
              <w:rPr>
                <w:rFonts w:ascii="Arial Narrow" w:hAnsi="Arial Narrow"/>
                <w:b/>
                <w:bCs/>
                <w:sz w:val="16"/>
                <w:szCs w:val="16"/>
              </w:rPr>
              <w:t>OR 2.66</w:t>
            </w:r>
            <w:r w:rsidRPr="00BD7D63">
              <w:rPr>
                <w:rFonts w:ascii="Arial Narrow" w:hAnsi="Arial Narrow"/>
                <w:sz w:val="16"/>
                <w:szCs w:val="16"/>
              </w:rPr>
              <w:br/>
              <w:t xml:space="preserve">(1.08 to 6.57) </w:t>
            </w:r>
          </w:p>
        </w:tc>
        <w:tc>
          <w:tcPr>
            <w:tcW w:w="395" w:type="pct"/>
            <w:gridSpan w:val="2"/>
            <w:hideMark/>
          </w:tcPr>
          <w:p w14:paraId="3D52B4EF" w14:textId="77777777" w:rsidR="00BD7D63" w:rsidRPr="00BD7D63" w:rsidRDefault="00BD7D63" w:rsidP="00BD7D63">
            <w:pPr>
              <w:jc w:val="left"/>
              <w:rPr>
                <w:rFonts w:ascii="Arial Narrow" w:hAnsi="Arial Narrow"/>
                <w:sz w:val="16"/>
                <w:szCs w:val="16"/>
              </w:rPr>
            </w:pPr>
            <w:r w:rsidRPr="00BD7D63">
              <w:rPr>
                <w:rFonts w:ascii="Arial Narrow" w:hAnsi="Arial Narrow"/>
                <w:b/>
                <w:bCs/>
                <w:sz w:val="16"/>
                <w:szCs w:val="16"/>
              </w:rPr>
              <w:t>156 more per 1,000</w:t>
            </w:r>
            <w:r w:rsidRPr="00BD7D63">
              <w:rPr>
                <w:rFonts w:ascii="Arial Narrow" w:hAnsi="Arial Narrow"/>
                <w:sz w:val="16"/>
                <w:szCs w:val="16"/>
              </w:rPr>
              <w:br/>
              <w:t xml:space="preserve">(from 9 more to 368 more) </w:t>
            </w:r>
          </w:p>
        </w:tc>
        <w:tc>
          <w:tcPr>
            <w:tcW w:w="497" w:type="pct"/>
            <w:hideMark/>
          </w:tcPr>
          <w:p w14:paraId="28F40094" w14:textId="77777777" w:rsidR="00BD7D63" w:rsidRPr="00BD7D63" w:rsidRDefault="00D308C6" w:rsidP="00BD7D63">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BD7D63" w:rsidRPr="00BD7D63">
              <w:rPr>
                <w:rFonts w:ascii="Arial Narrow" w:hAnsi="Arial Narrow"/>
                <w:sz w:val="16"/>
                <w:szCs w:val="16"/>
              </w:rPr>
              <w:br/>
              <w:t xml:space="preserve">LOW </w:t>
            </w:r>
          </w:p>
        </w:tc>
        <w:tc>
          <w:tcPr>
            <w:tcW w:w="497" w:type="pct"/>
            <w:hideMark/>
          </w:tcPr>
          <w:p w14:paraId="33C6F9BE"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CRITICAL </w:t>
            </w:r>
          </w:p>
        </w:tc>
      </w:tr>
      <w:tr w:rsidR="00BD7D63" w:rsidRPr="00BD7D63" w14:paraId="7D9C841D" w14:textId="77777777" w:rsidTr="00BD7D63">
        <w:trPr>
          <w:cantSplit/>
        </w:trPr>
        <w:tc>
          <w:tcPr>
            <w:tcW w:w="5000" w:type="pct"/>
            <w:gridSpan w:val="15"/>
            <w:shd w:val="clear" w:color="auto" w:fill="FFFFFF"/>
            <w:vAlign w:val="center"/>
            <w:hideMark/>
          </w:tcPr>
          <w:p w14:paraId="70796ECC" w14:textId="73582C7E" w:rsidR="00BD7D63" w:rsidRPr="00BD7D63" w:rsidRDefault="00BD7D63" w:rsidP="00BD7D63">
            <w:pPr>
              <w:rPr>
                <w:rFonts w:ascii="Arial Narrow" w:hAnsi="Arial Narrow"/>
                <w:b/>
                <w:bCs/>
                <w:sz w:val="16"/>
                <w:szCs w:val="16"/>
              </w:rPr>
            </w:pPr>
            <w:r w:rsidRPr="00BD7D63">
              <w:rPr>
                <w:rFonts w:ascii="Arial Narrow" w:hAnsi="Arial Narrow"/>
                <w:b/>
                <w:bCs/>
                <w:sz w:val="16"/>
                <w:szCs w:val="16"/>
              </w:rPr>
              <w:t>Rate of conversion to NMO/NMOSD</w:t>
            </w:r>
            <w:r w:rsidR="00693B42">
              <w:rPr>
                <w:rFonts w:ascii="Arial Narrow" w:hAnsi="Arial Narrow"/>
                <w:b/>
                <w:bCs/>
                <w:sz w:val="16"/>
                <w:szCs w:val="16"/>
              </w:rPr>
              <w:t xml:space="preserve"> in patients suspected of NMOSD</w:t>
            </w:r>
          </w:p>
        </w:tc>
      </w:tr>
      <w:tr w:rsidR="00A56B13" w:rsidRPr="00BD7D63" w14:paraId="4D676D6B" w14:textId="77777777" w:rsidTr="00A56B13">
        <w:trPr>
          <w:cantSplit/>
        </w:trPr>
        <w:tc>
          <w:tcPr>
            <w:tcW w:w="420" w:type="pct"/>
            <w:hideMark/>
          </w:tcPr>
          <w:p w14:paraId="1FDAFF77" w14:textId="77777777" w:rsidR="001E4AC2" w:rsidRDefault="001E4AC2" w:rsidP="00BD7D63">
            <w:pPr>
              <w:rPr>
                <w:rFonts w:ascii="Arial Narrow" w:hAnsi="Arial Narrow"/>
                <w:sz w:val="16"/>
                <w:szCs w:val="16"/>
              </w:rPr>
            </w:pPr>
            <w:r>
              <w:rPr>
                <w:rFonts w:ascii="Arial Narrow" w:hAnsi="Arial Narrow"/>
                <w:sz w:val="16"/>
                <w:szCs w:val="16"/>
              </w:rPr>
              <w:t>K=</w:t>
            </w:r>
            <w:r w:rsidR="0092715B" w:rsidRPr="00BD7D63">
              <w:rPr>
                <w:rFonts w:ascii="Arial Narrow" w:hAnsi="Arial Narrow"/>
                <w:sz w:val="16"/>
                <w:szCs w:val="16"/>
              </w:rPr>
              <w:t>5</w:t>
            </w:r>
          </w:p>
          <w:p w14:paraId="78853E0C" w14:textId="45705416" w:rsidR="0092715B" w:rsidRPr="00BD7D63" w:rsidRDefault="001E4AC2" w:rsidP="00BD7D63">
            <w:pPr>
              <w:rPr>
                <w:rFonts w:ascii="Arial Narrow" w:hAnsi="Arial Narrow"/>
                <w:sz w:val="16"/>
                <w:szCs w:val="16"/>
              </w:rPr>
            </w:pPr>
            <w:r>
              <w:rPr>
                <w:rFonts w:ascii="Arial Narrow" w:hAnsi="Arial Narrow"/>
                <w:sz w:val="16"/>
                <w:szCs w:val="16"/>
              </w:rPr>
              <w:t>N=472</w:t>
            </w:r>
            <w:r w:rsidR="0092715B" w:rsidRPr="00BD7D63">
              <w:rPr>
                <w:rFonts w:ascii="Arial Narrow" w:hAnsi="Arial Narrow"/>
                <w:sz w:val="16"/>
                <w:szCs w:val="16"/>
              </w:rPr>
              <w:t xml:space="preserve"> </w:t>
            </w:r>
          </w:p>
        </w:tc>
        <w:tc>
          <w:tcPr>
            <w:tcW w:w="327" w:type="pct"/>
            <w:hideMark/>
          </w:tcPr>
          <w:p w14:paraId="2AAA59C2" w14:textId="77777777" w:rsidR="0092715B" w:rsidRPr="00BD7D63" w:rsidRDefault="0092715B" w:rsidP="00BD7D63">
            <w:pPr>
              <w:rPr>
                <w:rFonts w:ascii="Arial Narrow" w:hAnsi="Arial Narrow"/>
                <w:sz w:val="16"/>
                <w:szCs w:val="16"/>
              </w:rPr>
            </w:pPr>
            <w:r w:rsidRPr="00BD7D63">
              <w:rPr>
                <w:rFonts w:ascii="Arial Narrow" w:hAnsi="Arial Narrow"/>
                <w:sz w:val="16"/>
                <w:szCs w:val="16"/>
              </w:rPr>
              <w:t xml:space="preserve">observational studies </w:t>
            </w:r>
          </w:p>
        </w:tc>
        <w:tc>
          <w:tcPr>
            <w:tcW w:w="326" w:type="pct"/>
            <w:hideMark/>
          </w:tcPr>
          <w:p w14:paraId="644223A4" w14:textId="77777777" w:rsidR="0092715B" w:rsidRPr="00BD7D63" w:rsidRDefault="0092715B" w:rsidP="00BD7D63">
            <w:pPr>
              <w:rPr>
                <w:rFonts w:ascii="Arial Narrow" w:hAnsi="Arial Narrow"/>
                <w:sz w:val="16"/>
                <w:szCs w:val="16"/>
              </w:rPr>
            </w:pPr>
            <w:r w:rsidRPr="00BD7D63">
              <w:rPr>
                <w:rFonts w:ascii="Arial Narrow" w:hAnsi="Arial Narrow"/>
                <w:sz w:val="16"/>
                <w:szCs w:val="16"/>
              </w:rPr>
              <w:t xml:space="preserve">not serious </w:t>
            </w:r>
          </w:p>
        </w:tc>
        <w:tc>
          <w:tcPr>
            <w:tcW w:w="339" w:type="pct"/>
            <w:hideMark/>
          </w:tcPr>
          <w:p w14:paraId="585E454F" w14:textId="77777777" w:rsidR="0092715B" w:rsidRPr="00BD7D63" w:rsidRDefault="0092715B"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3395D5C5" w14:textId="77777777" w:rsidR="0092715B" w:rsidRPr="00BD7D63" w:rsidRDefault="0092715B"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1636B9E4" w14:textId="77777777" w:rsidR="0092715B" w:rsidRPr="00BD7D63" w:rsidRDefault="0092715B" w:rsidP="00BD7D63">
            <w:pPr>
              <w:rPr>
                <w:rFonts w:ascii="Arial Narrow" w:hAnsi="Arial Narrow"/>
                <w:sz w:val="16"/>
                <w:szCs w:val="16"/>
              </w:rPr>
            </w:pPr>
            <w:r w:rsidRPr="00BD7D63">
              <w:rPr>
                <w:rFonts w:ascii="Arial Narrow" w:hAnsi="Arial Narrow"/>
                <w:sz w:val="16"/>
                <w:szCs w:val="16"/>
              </w:rPr>
              <w:t xml:space="preserve">not serious </w:t>
            </w:r>
          </w:p>
        </w:tc>
        <w:tc>
          <w:tcPr>
            <w:tcW w:w="378" w:type="pct"/>
            <w:hideMark/>
          </w:tcPr>
          <w:p w14:paraId="4C8612B4" w14:textId="77777777" w:rsidR="0092715B" w:rsidRPr="00BD7D63" w:rsidRDefault="0092715B" w:rsidP="00EA096D">
            <w:pPr>
              <w:jc w:val="left"/>
              <w:rPr>
                <w:rFonts w:ascii="Arial Narrow" w:hAnsi="Arial Narrow"/>
                <w:sz w:val="16"/>
                <w:szCs w:val="16"/>
              </w:rPr>
            </w:pPr>
            <w:r w:rsidRPr="00BD7D63">
              <w:rPr>
                <w:rFonts w:ascii="Arial Narrow" w:hAnsi="Arial Narrow"/>
                <w:sz w:val="16"/>
                <w:szCs w:val="16"/>
              </w:rPr>
              <w:t xml:space="preserve">very strong association </w:t>
            </w:r>
          </w:p>
        </w:tc>
        <w:tc>
          <w:tcPr>
            <w:tcW w:w="466" w:type="pct"/>
            <w:hideMark/>
          </w:tcPr>
          <w:p w14:paraId="4E886A0B" w14:textId="77777777" w:rsidR="0092715B" w:rsidRPr="00BD7D63" w:rsidRDefault="0080632D" w:rsidP="0092715B">
            <w:pPr>
              <w:rPr>
                <w:rFonts w:ascii="Arial Narrow" w:hAnsi="Arial Narrow"/>
                <w:sz w:val="16"/>
                <w:szCs w:val="16"/>
              </w:rPr>
            </w:pPr>
            <w:r>
              <w:rPr>
                <w:rFonts w:ascii="Arial Narrow" w:hAnsi="Arial Narrow"/>
                <w:sz w:val="16"/>
                <w:szCs w:val="16"/>
              </w:rPr>
              <w:t>102/257 (39.7%)</w:t>
            </w:r>
          </w:p>
        </w:tc>
        <w:tc>
          <w:tcPr>
            <w:tcW w:w="421" w:type="pct"/>
            <w:gridSpan w:val="2"/>
          </w:tcPr>
          <w:p w14:paraId="6258FBFD" w14:textId="77777777" w:rsidR="0092715B" w:rsidRPr="00BD7D63" w:rsidRDefault="0080632D" w:rsidP="00BD7D63">
            <w:pPr>
              <w:rPr>
                <w:rFonts w:ascii="Arial Narrow" w:hAnsi="Arial Narrow"/>
                <w:sz w:val="16"/>
                <w:szCs w:val="16"/>
              </w:rPr>
            </w:pPr>
            <w:r>
              <w:rPr>
                <w:rFonts w:ascii="Arial Narrow" w:hAnsi="Arial Narrow"/>
                <w:sz w:val="16"/>
                <w:szCs w:val="16"/>
              </w:rPr>
              <w:t>19/337 (5.6%)</w:t>
            </w:r>
          </w:p>
        </w:tc>
        <w:tc>
          <w:tcPr>
            <w:tcW w:w="301" w:type="pct"/>
            <w:gridSpan w:val="2"/>
          </w:tcPr>
          <w:p w14:paraId="0AC80A81" w14:textId="77777777" w:rsidR="0092715B" w:rsidRPr="0080632D" w:rsidRDefault="0080632D" w:rsidP="00B50AC4">
            <w:pPr>
              <w:jc w:val="left"/>
              <w:rPr>
                <w:rFonts w:ascii="Arial Narrow" w:hAnsi="Arial Narrow"/>
                <w:b/>
                <w:sz w:val="16"/>
                <w:szCs w:val="16"/>
              </w:rPr>
            </w:pPr>
            <w:r>
              <w:rPr>
                <w:rFonts w:ascii="Arial Narrow" w:hAnsi="Arial Narrow"/>
                <w:b/>
                <w:sz w:val="16"/>
                <w:szCs w:val="16"/>
              </w:rPr>
              <w:t xml:space="preserve">OR </w:t>
            </w:r>
            <w:r w:rsidRPr="0080632D">
              <w:rPr>
                <w:rFonts w:ascii="Arial Narrow" w:hAnsi="Arial Narrow"/>
                <w:sz w:val="16"/>
                <w:szCs w:val="16"/>
              </w:rPr>
              <w:t>range</w:t>
            </w:r>
            <w:r w:rsidR="00DE076C">
              <w:rPr>
                <w:rFonts w:ascii="Arial Narrow" w:hAnsi="Arial Narrow"/>
                <w:sz w:val="16"/>
                <w:szCs w:val="16"/>
              </w:rPr>
              <w:t xml:space="preserve"> 5.55 to 559.00</w:t>
            </w:r>
          </w:p>
        </w:tc>
        <w:tc>
          <w:tcPr>
            <w:tcW w:w="373" w:type="pct"/>
          </w:tcPr>
          <w:p w14:paraId="3747B86D" w14:textId="77777777" w:rsidR="0092715B" w:rsidRPr="00BD7D63" w:rsidRDefault="0080632D" w:rsidP="00BD7D63">
            <w:pPr>
              <w:rPr>
                <w:rFonts w:ascii="Arial Narrow" w:hAnsi="Arial Narrow"/>
                <w:sz w:val="16"/>
                <w:szCs w:val="16"/>
              </w:rPr>
            </w:pPr>
            <w:r>
              <w:rPr>
                <w:rFonts w:ascii="Arial Narrow" w:hAnsi="Arial Narrow"/>
                <w:sz w:val="16"/>
                <w:szCs w:val="16"/>
              </w:rPr>
              <w:t>NA</w:t>
            </w:r>
          </w:p>
        </w:tc>
        <w:tc>
          <w:tcPr>
            <w:tcW w:w="497" w:type="pct"/>
            <w:hideMark/>
          </w:tcPr>
          <w:p w14:paraId="557B04F7" w14:textId="77777777" w:rsidR="0092715B" w:rsidRPr="00BD7D63" w:rsidRDefault="00D308C6" w:rsidP="00BD7D63">
            <w:pPr>
              <w:rPr>
                <w:rFonts w:ascii="Arial Narrow" w:hAnsi="Arial Narrow"/>
                <w:sz w:val="16"/>
                <w:szCs w:val="16"/>
              </w:rPr>
            </w:pPr>
            <w:r w:rsidRPr="00D4733A">
              <w:rPr>
                <w:rFonts w:ascii="Cambria Math" w:hAnsi="Cambria Math"/>
                <w:color w:val="00B050"/>
              </w:rPr>
              <w:t>⨁⨁⨁⨁</w:t>
            </w:r>
            <w:r w:rsidR="0092715B" w:rsidRPr="00BD7D63">
              <w:rPr>
                <w:rFonts w:ascii="Arial Narrow" w:hAnsi="Arial Narrow"/>
                <w:sz w:val="16"/>
                <w:szCs w:val="16"/>
              </w:rPr>
              <w:br/>
              <w:t xml:space="preserve">HIGH </w:t>
            </w:r>
          </w:p>
        </w:tc>
        <w:tc>
          <w:tcPr>
            <w:tcW w:w="497" w:type="pct"/>
            <w:hideMark/>
          </w:tcPr>
          <w:p w14:paraId="6B7A49A0" w14:textId="77777777" w:rsidR="0092715B" w:rsidRPr="00BD7D63" w:rsidRDefault="0092715B" w:rsidP="00BD7D63">
            <w:pPr>
              <w:rPr>
                <w:rFonts w:ascii="Arial Narrow" w:hAnsi="Arial Narrow"/>
                <w:sz w:val="16"/>
                <w:szCs w:val="16"/>
              </w:rPr>
            </w:pPr>
            <w:r w:rsidRPr="00BD7D63">
              <w:rPr>
                <w:rFonts w:ascii="Arial Narrow" w:hAnsi="Arial Narrow"/>
                <w:sz w:val="16"/>
                <w:szCs w:val="16"/>
              </w:rPr>
              <w:t xml:space="preserve">IMPORTANT </w:t>
            </w:r>
          </w:p>
        </w:tc>
      </w:tr>
      <w:tr w:rsidR="00BD7D63" w:rsidRPr="00BD7D63" w14:paraId="3507ADF6" w14:textId="77777777" w:rsidTr="00BD7D63">
        <w:trPr>
          <w:cantSplit/>
        </w:trPr>
        <w:tc>
          <w:tcPr>
            <w:tcW w:w="5000" w:type="pct"/>
            <w:gridSpan w:val="15"/>
            <w:shd w:val="clear" w:color="auto" w:fill="FFFFFF"/>
            <w:vAlign w:val="center"/>
            <w:hideMark/>
          </w:tcPr>
          <w:p w14:paraId="13DD8A19" w14:textId="2063CB93" w:rsidR="00BD7D63" w:rsidRPr="00BD7D63" w:rsidRDefault="00BD7D63" w:rsidP="00BD7D63">
            <w:pPr>
              <w:rPr>
                <w:rFonts w:ascii="Arial Narrow" w:hAnsi="Arial Narrow"/>
                <w:b/>
                <w:bCs/>
                <w:sz w:val="16"/>
                <w:szCs w:val="16"/>
              </w:rPr>
            </w:pPr>
            <w:r w:rsidRPr="00BD7D63">
              <w:rPr>
                <w:rFonts w:ascii="Arial Narrow" w:hAnsi="Arial Narrow"/>
                <w:b/>
                <w:bCs/>
                <w:sz w:val="16"/>
                <w:szCs w:val="16"/>
              </w:rPr>
              <w:lastRenderedPageBreak/>
              <w:t>Rate of conversion to MS diagnosis</w:t>
            </w:r>
            <w:r w:rsidR="00693B42">
              <w:rPr>
                <w:rFonts w:ascii="Arial Narrow" w:hAnsi="Arial Narrow"/>
                <w:b/>
                <w:bCs/>
                <w:sz w:val="16"/>
                <w:szCs w:val="16"/>
              </w:rPr>
              <w:t xml:space="preserve"> in patients suspected of NMOSD</w:t>
            </w:r>
          </w:p>
        </w:tc>
      </w:tr>
      <w:tr w:rsidR="00A56B13" w:rsidRPr="00BD7D63" w14:paraId="086F48EA" w14:textId="77777777" w:rsidTr="00A56B13">
        <w:trPr>
          <w:cantSplit/>
        </w:trPr>
        <w:tc>
          <w:tcPr>
            <w:tcW w:w="420" w:type="pct"/>
            <w:hideMark/>
          </w:tcPr>
          <w:p w14:paraId="746C716B" w14:textId="77777777" w:rsidR="005F1A3E" w:rsidRDefault="001E4AC2" w:rsidP="00BD7D63">
            <w:pPr>
              <w:rPr>
                <w:rFonts w:ascii="Arial Narrow" w:hAnsi="Arial Narrow"/>
                <w:sz w:val="16"/>
                <w:szCs w:val="16"/>
              </w:rPr>
            </w:pPr>
            <w:r>
              <w:rPr>
                <w:rFonts w:ascii="Arial Narrow" w:hAnsi="Arial Narrow"/>
                <w:sz w:val="16"/>
                <w:szCs w:val="16"/>
              </w:rPr>
              <w:t>K=4</w:t>
            </w:r>
          </w:p>
          <w:p w14:paraId="02A977C9" w14:textId="6701A513" w:rsidR="001E4AC2" w:rsidRPr="00BD7D63" w:rsidRDefault="001E4AC2" w:rsidP="00BD7D63">
            <w:pPr>
              <w:rPr>
                <w:rFonts w:ascii="Arial Narrow" w:hAnsi="Arial Narrow"/>
                <w:sz w:val="16"/>
                <w:szCs w:val="16"/>
              </w:rPr>
            </w:pPr>
            <w:r>
              <w:rPr>
                <w:rFonts w:ascii="Arial Narrow" w:hAnsi="Arial Narrow"/>
                <w:sz w:val="16"/>
                <w:szCs w:val="16"/>
              </w:rPr>
              <w:t>N=314</w:t>
            </w:r>
          </w:p>
        </w:tc>
        <w:tc>
          <w:tcPr>
            <w:tcW w:w="327" w:type="pct"/>
            <w:hideMark/>
          </w:tcPr>
          <w:p w14:paraId="3A64FD16" w14:textId="77777777" w:rsidR="005F1A3E" w:rsidRPr="00BD7D63" w:rsidRDefault="005F1A3E" w:rsidP="00BD7D63">
            <w:pPr>
              <w:rPr>
                <w:rFonts w:ascii="Arial Narrow" w:hAnsi="Arial Narrow"/>
                <w:sz w:val="16"/>
                <w:szCs w:val="16"/>
              </w:rPr>
            </w:pPr>
            <w:r w:rsidRPr="00BD7D63">
              <w:rPr>
                <w:rFonts w:ascii="Arial Narrow" w:hAnsi="Arial Narrow"/>
                <w:sz w:val="16"/>
                <w:szCs w:val="16"/>
              </w:rPr>
              <w:t xml:space="preserve">observational studies </w:t>
            </w:r>
          </w:p>
        </w:tc>
        <w:tc>
          <w:tcPr>
            <w:tcW w:w="326" w:type="pct"/>
            <w:hideMark/>
          </w:tcPr>
          <w:p w14:paraId="4F4E0F22" w14:textId="77777777" w:rsidR="005F1A3E" w:rsidRPr="00BD7D63" w:rsidRDefault="005F1A3E" w:rsidP="00BD7D63">
            <w:pPr>
              <w:rPr>
                <w:rFonts w:ascii="Arial Narrow" w:hAnsi="Arial Narrow"/>
                <w:sz w:val="16"/>
                <w:szCs w:val="16"/>
              </w:rPr>
            </w:pPr>
            <w:r w:rsidRPr="00BD7D63">
              <w:rPr>
                <w:rFonts w:ascii="Arial Narrow" w:hAnsi="Arial Narrow"/>
                <w:sz w:val="16"/>
                <w:szCs w:val="16"/>
              </w:rPr>
              <w:t xml:space="preserve">not serious </w:t>
            </w:r>
          </w:p>
        </w:tc>
        <w:tc>
          <w:tcPr>
            <w:tcW w:w="339" w:type="pct"/>
            <w:hideMark/>
          </w:tcPr>
          <w:p w14:paraId="00A7698A" w14:textId="77777777" w:rsidR="005F1A3E" w:rsidRPr="00BD7D63" w:rsidRDefault="005F1A3E"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318892F9" w14:textId="77777777" w:rsidR="005F1A3E" w:rsidRPr="00BD7D63" w:rsidRDefault="005F1A3E"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5F7B2B01" w14:textId="77777777" w:rsidR="005F1A3E" w:rsidRPr="00BD7D63" w:rsidRDefault="005F1A3E" w:rsidP="00BD7D63">
            <w:pPr>
              <w:rPr>
                <w:rFonts w:ascii="Arial Narrow" w:hAnsi="Arial Narrow"/>
                <w:sz w:val="16"/>
                <w:szCs w:val="16"/>
              </w:rPr>
            </w:pPr>
            <w:r w:rsidRPr="00BD7D63">
              <w:rPr>
                <w:rFonts w:ascii="Arial Narrow" w:hAnsi="Arial Narrow"/>
                <w:sz w:val="16"/>
                <w:szCs w:val="16"/>
              </w:rPr>
              <w:t xml:space="preserve">not serious </w:t>
            </w:r>
          </w:p>
        </w:tc>
        <w:tc>
          <w:tcPr>
            <w:tcW w:w="378" w:type="pct"/>
            <w:hideMark/>
          </w:tcPr>
          <w:p w14:paraId="132DB4D2" w14:textId="77777777" w:rsidR="005F1A3E" w:rsidRPr="00BD7D63" w:rsidRDefault="005F1A3E" w:rsidP="00BD7D63">
            <w:pPr>
              <w:rPr>
                <w:rFonts w:ascii="Arial Narrow" w:hAnsi="Arial Narrow"/>
                <w:sz w:val="16"/>
                <w:szCs w:val="16"/>
              </w:rPr>
            </w:pPr>
            <w:r w:rsidRPr="00BD7D63">
              <w:rPr>
                <w:rFonts w:ascii="Arial Narrow" w:hAnsi="Arial Narrow"/>
                <w:sz w:val="16"/>
                <w:szCs w:val="16"/>
              </w:rPr>
              <w:t xml:space="preserve">strong association </w:t>
            </w:r>
          </w:p>
        </w:tc>
        <w:tc>
          <w:tcPr>
            <w:tcW w:w="466" w:type="pct"/>
          </w:tcPr>
          <w:p w14:paraId="5B7EAA37" w14:textId="77777777" w:rsidR="005F1A3E" w:rsidRPr="00BD7D63" w:rsidRDefault="00D77240" w:rsidP="00D77240">
            <w:pPr>
              <w:rPr>
                <w:rFonts w:ascii="Arial Narrow" w:hAnsi="Arial Narrow"/>
                <w:sz w:val="16"/>
                <w:szCs w:val="16"/>
              </w:rPr>
            </w:pPr>
            <w:r>
              <w:rPr>
                <w:rFonts w:ascii="Arial Narrow" w:hAnsi="Arial Narrow"/>
                <w:sz w:val="16"/>
                <w:szCs w:val="16"/>
              </w:rPr>
              <w:t>1/193 (0.5%)</w:t>
            </w:r>
          </w:p>
        </w:tc>
        <w:tc>
          <w:tcPr>
            <w:tcW w:w="421" w:type="pct"/>
            <w:gridSpan w:val="2"/>
          </w:tcPr>
          <w:p w14:paraId="2554D63A" w14:textId="77777777" w:rsidR="005F1A3E" w:rsidRPr="00BD7D63" w:rsidRDefault="00D77240" w:rsidP="00BD7D63">
            <w:pPr>
              <w:rPr>
                <w:rFonts w:ascii="Arial Narrow" w:hAnsi="Arial Narrow"/>
                <w:sz w:val="16"/>
                <w:szCs w:val="16"/>
              </w:rPr>
            </w:pPr>
            <w:r>
              <w:rPr>
                <w:rFonts w:ascii="Arial Narrow" w:hAnsi="Arial Narrow"/>
                <w:sz w:val="16"/>
                <w:szCs w:val="16"/>
              </w:rPr>
              <w:t>24/246 (9.8%)</w:t>
            </w:r>
          </w:p>
        </w:tc>
        <w:tc>
          <w:tcPr>
            <w:tcW w:w="301" w:type="pct"/>
            <w:gridSpan w:val="2"/>
          </w:tcPr>
          <w:p w14:paraId="42AB252B" w14:textId="77777777" w:rsidR="005F1A3E" w:rsidRPr="00BD7D63" w:rsidRDefault="00D77240" w:rsidP="00B50AC4">
            <w:pPr>
              <w:jc w:val="left"/>
              <w:rPr>
                <w:rFonts w:ascii="Arial Narrow" w:hAnsi="Arial Narrow"/>
                <w:sz w:val="16"/>
                <w:szCs w:val="16"/>
              </w:rPr>
            </w:pPr>
            <w:r w:rsidRPr="00D77240">
              <w:rPr>
                <w:rFonts w:ascii="Arial Narrow" w:hAnsi="Arial Narrow"/>
                <w:b/>
                <w:sz w:val="16"/>
                <w:szCs w:val="16"/>
              </w:rPr>
              <w:t>OR</w:t>
            </w:r>
            <w:r>
              <w:rPr>
                <w:rFonts w:ascii="Arial Narrow" w:hAnsi="Arial Narrow"/>
                <w:sz w:val="16"/>
                <w:szCs w:val="16"/>
              </w:rPr>
              <w:t xml:space="preserve"> range 0.05 to 0.41) </w:t>
            </w:r>
          </w:p>
        </w:tc>
        <w:tc>
          <w:tcPr>
            <w:tcW w:w="373" w:type="pct"/>
          </w:tcPr>
          <w:p w14:paraId="3ABDC201" w14:textId="77777777" w:rsidR="005F1A3E" w:rsidRPr="00BD7D63" w:rsidRDefault="00D77240" w:rsidP="00BD7D63">
            <w:pPr>
              <w:rPr>
                <w:rFonts w:ascii="Arial Narrow" w:hAnsi="Arial Narrow"/>
                <w:sz w:val="16"/>
                <w:szCs w:val="16"/>
              </w:rPr>
            </w:pPr>
            <w:r>
              <w:rPr>
                <w:rFonts w:ascii="Arial Narrow" w:hAnsi="Arial Narrow"/>
                <w:sz w:val="16"/>
                <w:szCs w:val="16"/>
              </w:rPr>
              <w:t>NA</w:t>
            </w:r>
          </w:p>
        </w:tc>
        <w:tc>
          <w:tcPr>
            <w:tcW w:w="497" w:type="pct"/>
            <w:hideMark/>
          </w:tcPr>
          <w:p w14:paraId="1CC882F9" w14:textId="77777777" w:rsidR="005F1A3E" w:rsidRPr="00BD7D63" w:rsidRDefault="00D308C6" w:rsidP="00BD7D63">
            <w:pPr>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005F1A3E" w:rsidRPr="00BD7D63">
              <w:rPr>
                <w:rFonts w:ascii="Arial Narrow" w:hAnsi="Arial Narrow"/>
                <w:sz w:val="16"/>
                <w:szCs w:val="16"/>
              </w:rPr>
              <w:br/>
              <w:t xml:space="preserve">MODERATE </w:t>
            </w:r>
          </w:p>
        </w:tc>
        <w:tc>
          <w:tcPr>
            <w:tcW w:w="497" w:type="pct"/>
            <w:hideMark/>
          </w:tcPr>
          <w:p w14:paraId="53553F6E" w14:textId="77777777" w:rsidR="005F1A3E" w:rsidRPr="00BD7D63" w:rsidRDefault="005F1A3E" w:rsidP="00BD7D63">
            <w:pPr>
              <w:rPr>
                <w:rFonts w:ascii="Arial Narrow" w:hAnsi="Arial Narrow"/>
                <w:sz w:val="16"/>
                <w:szCs w:val="16"/>
              </w:rPr>
            </w:pPr>
            <w:r w:rsidRPr="00BD7D63">
              <w:rPr>
                <w:rFonts w:ascii="Arial Narrow" w:hAnsi="Arial Narrow"/>
                <w:sz w:val="16"/>
                <w:szCs w:val="16"/>
              </w:rPr>
              <w:t xml:space="preserve">IMPORTANT </w:t>
            </w:r>
          </w:p>
        </w:tc>
      </w:tr>
      <w:tr w:rsidR="00BD7D63" w:rsidRPr="00BD7D63" w14:paraId="112D6D54" w14:textId="77777777" w:rsidTr="00BD7D63">
        <w:trPr>
          <w:cantSplit/>
        </w:trPr>
        <w:tc>
          <w:tcPr>
            <w:tcW w:w="5000" w:type="pct"/>
            <w:gridSpan w:val="15"/>
            <w:shd w:val="clear" w:color="auto" w:fill="FFFFFF"/>
            <w:vAlign w:val="center"/>
            <w:hideMark/>
          </w:tcPr>
          <w:p w14:paraId="304CE657" w14:textId="60FBDD65" w:rsidR="00BD7D63" w:rsidRPr="00BD7D63" w:rsidRDefault="00BD7D63" w:rsidP="00BD7D63">
            <w:pPr>
              <w:rPr>
                <w:rFonts w:ascii="Arial Narrow" w:hAnsi="Arial Narrow"/>
                <w:b/>
                <w:bCs/>
                <w:sz w:val="16"/>
                <w:szCs w:val="16"/>
              </w:rPr>
            </w:pPr>
            <w:r w:rsidRPr="00BD7D63">
              <w:rPr>
                <w:rFonts w:ascii="Arial Narrow" w:hAnsi="Arial Narrow"/>
                <w:b/>
                <w:bCs/>
                <w:sz w:val="16"/>
                <w:szCs w:val="16"/>
              </w:rPr>
              <w:t>Rate of relapse</w:t>
            </w:r>
            <w:r w:rsidR="00693B42">
              <w:rPr>
                <w:rFonts w:ascii="Arial Narrow" w:hAnsi="Arial Narrow"/>
                <w:b/>
                <w:bCs/>
                <w:sz w:val="16"/>
                <w:szCs w:val="16"/>
              </w:rPr>
              <w:t xml:space="preserve"> in patients suspected of NMOSD</w:t>
            </w:r>
          </w:p>
        </w:tc>
      </w:tr>
      <w:tr w:rsidR="00A56B13" w:rsidRPr="00BD7D63" w14:paraId="6FEA6164" w14:textId="77777777" w:rsidTr="00A56B13">
        <w:trPr>
          <w:cantSplit/>
        </w:trPr>
        <w:tc>
          <w:tcPr>
            <w:tcW w:w="420" w:type="pct"/>
            <w:hideMark/>
          </w:tcPr>
          <w:p w14:paraId="5F27D109" w14:textId="77777777" w:rsidR="00565431" w:rsidRDefault="001E4AC2" w:rsidP="00BD7D63">
            <w:pPr>
              <w:rPr>
                <w:rFonts w:ascii="Arial Narrow" w:hAnsi="Arial Narrow"/>
                <w:sz w:val="16"/>
                <w:szCs w:val="16"/>
              </w:rPr>
            </w:pPr>
            <w:r>
              <w:rPr>
                <w:rFonts w:ascii="Arial Narrow" w:hAnsi="Arial Narrow"/>
                <w:sz w:val="16"/>
                <w:szCs w:val="16"/>
              </w:rPr>
              <w:t>K=3</w:t>
            </w:r>
          </w:p>
          <w:p w14:paraId="16C7DB34" w14:textId="3A52B3E4" w:rsidR="001E4AC2" w:rsidRPr="00BD7D63" w:rsidRDefault="001E4AC2" w:rsidP="00BD7D63">
            <w:pPr>
              <w:rPr>
                <w:rFonts w:ascii="Arial Narrow" w:hAnsi="Arial Narrow"/>
                <w:sz w:val="16"/>
                <w:szCs w:val="16"/>
              </w:rPr>
            </w:pPr>
            <w:r>
              <w:rPr>
                <w:rFonts w:ascii="Arial Narrow" w:hAnsi="Arial Narrow"/>
                <w:sz w:val="16"/>
                <w:szCs w:val="16"/>
              </w:rPr>
              <w:t>N=90</w:t>
            </w:r>
          </w:p>
        </w:tc>
        <w:tc>
          <w:tcPr>
            <w:tcW w:w="327" w:type="pct"/>
            <w:hideMark/>
          </w:tcPr>
          <w:p w14:paraId="0C310966" w14:textId="77777777" w:rsidR="00565431" w:rsidRPr="00BD7D63" w:rsidRDefault="00565431" w:rsidP="00BD7D63">
            <w:pPr>
              <w:rPr>
                <w:rFonts w:ascii="Arial Narrow" w:hAnsi="Arial Narrow"/>
                <w:sz w:val="16"/>
                <w:szCs w:val="16"/>
              </w:rPr>
            </w:pPr>
            <w:r w:rsidRPr="00BD7D63">
              <w:rPr>
                <w:rFonts w:ascii="Arial Narrow" w:hAnsi="Arial Narrow"/>
                <w:sz w:val="16"/>
                <w:szCs w:val="16"/>
              </w:rPr>
              <w:t xml:space="preserve">observational studies </w:t>
            </w:r>
          </w:p>
        </w:tc>
        <w:tc>
          <w:tcPr>
            <w:tcW w:w="326" w:type="pct"/>
            <w:hideMark/>
          </w:tcPr>
          <w:p w14:paraId="504247AD" w14:textId="77777777" w:rsidR="00565431" w:rsidRPr="00BD7D63" w:rsidRDefault="00565431" w:rsidP="00BD7D63">
            <w:pPr>
              <w:rPr>
                <w:rFonts w:ascii="Arial Narrow" w:hAnsi="Arial Narrow"/>
                <w:sz w:val="16"/>
                <w:szCs w:val="16"/>
              </w:rPr>
            </w:pPr>
            <w:r w:rsidRPr="00BD7D63">
              <w:rPr>
                <w:rFonts w:ascii="Arial Narrow" w:hAnsi="Arial Narrow"/>
                <w:sz w:val="16"/>
                <w:szCs w:val="16"/>
              </w:rPr>
              <w:t xml:space="preserve">not serious </w:t>
            </w:r>
          </w:p>
        </w:tc>
        <w:tc>
          <w:tcPr>
            <w:tcW w:w="339" w:type="pct"/>
            <w:hideMark/>
          </w:tcPr>
          <w:p w14:paraId="19C4857A" w14:textId="77777777" w:rsidR="00565431" w:rsidRPr="00BD7D63" w:rsidRDefault="00565431"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234153B1" w14:textId="77777777" w:rsidR="00565431" w:rsidRPr="00BD7D63" w:rsidRDefault="00565431" w:rsidP="008B25BB">
            <w:pPr>
              <w:rPr>
                <w:rFonts w:ascii="Arial Narrow" w:hAnsi="Arial Narrow"/>
                <w:sz w:val="16"/>
                <w:szCs w:val="16"/>
              </w:rPr>
            </w:pPr>
            <w:r w:rsidRPr="00BD7D63">
              <w:rPr>
                <w:rFonts w:ascii="Arial Narrow" w:hAnsi="Arial Narrow"/>
                <w:sz w:val="16"/>
                <w:szCs w:val="16"/>
              </w:rPr>
              <w:t xml:space="preserve">not serious </w:t>
            </w:r>
            <w:r>
              <w:rPr>
                <w:rFonts w:ascii="Arial Narrow" w:hAnsi="Arial Narrow"/>
                <w:sz w:val="16"/>
                <w:szCs w:val="16"/>
                <w:vertAlign w:val="superscript"/>
              </w:rPr>
              <w:t>b</w:t>
            </w:r>
          </w:p>
        </w:tc>
        <w:tc>
          <w:tcPr>
            <w:tcW w:w="327" w:type="pct"/>
            <w:hideMark/>
          </w:tcPr>
          <w:p w14:paraId="1C3473E3" w14:textId="77777777" w:rsidR="00565431" w:rsidRPr="00BD7D63" w:rsidRDefault="00565431" w:rsidP="00BD7D63">
            <w:pPr>
              <w:rPr>
                <w:rFonts w:ascii="Arial Narrow" w:hAnsi="Arial Narrow"/>
                <w:sz w:val="16"/>
                <w:szCs w:val="16"/>
              </w:rPr>
            </w:pPr>
            <w:r w:rsidRPr="00BD7D63">
              <w:rPr>
                <w:rFonts w:ascii="Arial Narrow" w:hAnsi="Arial Narrow"/>
                <w:sz w:val="16"/>
                <w:szCs w:val="16"/>
              </w:rPr>
              <w:t xml:space="preserve">not serious </w:t>
            </w:r>
          </w:p>
        </w:tc>
        <w:tc>
          <w:tcPr>
            <w:tcW w:w="378" w:type="pct"/>
            <w:hideMark/>
          </w:tcPr>
          <w:p w14:paraId="234E82FD" w14:textId="77777777" w:rsidR="00565431" w:rsidRPr="00BD7D63" w:rsidRDefault="00565431" w:rsidP="00EA096D">
            <w:pPr>
              <w:jc w:val="left"/>
              <w:rPr>
                <w:rFonts w:ascii="Arial Narrow" w:hAnsi="Arial Narrow"/>
                <w:sz w:val="16"/>
                <w:szCs w:val="16"/>
              </w:rPr>
            </w:pPr>
            <w:r w:rsidRPr="00BD7D63">
              <w:rPr>
                <w:rFonts w:ascii="Arial Narrow" w:hAnsi="Arial Narrow"/>
                <w:sz w:val="16"/>
                <w:szCs w:val="16"/>
              </w:rPr>
              <w:t xml:space="preserve">very strong association </w:t>
            </w:r>
          </w:p>
        </w:tc>
        <w:tc>
          <w:tcPr>
            <w:tcW w:w="466" w:type="pct"/>
            <w:hideMark/>
          </w:tcPr>
          <w:p w14:paraId="1603EE3E" w14:textId="77777777" w:rsidR="00565431" w:rsidRDefault="00932719" w:rsidP="00CA08F4">
            <w:pPr>
              <w:spacing w:after="80"/>
              <w:jc w:val="left"/>
              <w:rPr>
                <w:rFonts w:ascii="Arial Narrow" w:hAnsi="Arial Narrow"/>
                <w:sz w:val="16"/>
                <w:szCs w:val="16"/>
              </w:rPr>
            </w:pPr>
            <w:r>
              <w:rPr>
                <w:rFonts w:ascii="Arial Narrow" w:hAnsi="Arial Narrow"/>
                <w:sz w:val="16"/>
                <w:szCs w:val="16"/>
              </w:rPr>
              <w:t>ARR (mean range) 1.05 to 1.33</w:t>
            </w:r>
          </w:p>
          <w:p w14:paraId="2FD77B32" w14:textId="77777777" w:rsidR="00932719" w:rsidRPr="00BD7D63" w:rsidRDefault="00932719" w:rsidP="00CA08F4">
            <w:pPr>
              <w:spacing w:after="80"/>
              <w:jc w:val="left"/>
              <w:rPr>
                <w:rFonts w:ascii="Arial Narrow" w:hAnsi="Arial Narrow"/>
                <w:sz w:val="16"/>
                <w:szCs w:val="16"/>
              </w:rPr>
            </w:pPr>
            <w:r>
              <w:rPr>
                <w:rFonts w:ascii="Arial Narrow" w:hAnsi="Arial Narrow"/>
                <w:sz w:val="16"/>
                <w:szCs w:val="16"/>
              </w:rPr>
              <w:t>Patients relapsed 6/11 (54/5%)</w:t>
            </w:r>
          </w:p>
        </w:tc>
        <w:tc>
          <w:tcPr>
            <w:tcW w:w="421" w:type="pct"/>
            <w:gridSpan w:val="2"/>
          </w:tcPr>
          <w:p w14:paraId="789DE941" w14:textId="77777777" w:rsidR="00932719" w:rsidRDefault="00932719" w:rsidP="00CA08F4">
            <w:pPr>
              <w:spacing w:after="80"/>
              <w:jc w:val="left"/>
              <w:rPr>
                <w:rFonts w:ascii="Arial Narrow" w:hAnsi="Arial Narrow"/>
                <w:sz w:val="16"/>
                <w:szCs w:val="16"/>
              </w:rPr>
            </w:pPr>
            <w:r>
              <w:rPr>
                <w:rFonts w:ascii="Arial Narrow" w:hAnsi="Arial Narrow"/>
                <w:sz w:val="16"/>
                <w:szCs w:val="16"/>
              </w:rPr>
              <w:t>ARR (mean range) 0.42 to 0.72</w:t>
            </w:r>
          </w:p>
          <w:p w14:paraId="5D0A5660" w14:textId="77777777" w:rsidR="00565431" w:rsidRPr="00BD7D63" w:rsidRDefault="00932719" w:rsidP="00CA08F4">
            <w:pPr>
              <w:spacing w:after="80"/>
              <w:jc w:val="left"/>
              <w:rPr>
                <w:rFonts w:ascii="Arial Narrow" w:hAnsi="Arial Narrow"/>
                <w:sz w:val="16"/>
                <w:szCs w:val="16"/>
              </w:rPr>
            </w:pPr>
            <w:r>
              <w:rPr>
                <w:rFonts w:ascii="Arial Narrow" w:hAnsi="Arial Narrow"/>
                <w:sz w:val="16"/>
                <w:szCs w:val="16"/>
              </w:rPr>
              <w:t>Patients relapsed 0/18 (0%)</w:t>
            </w:r>
          </w:p>
        </w:tc>
        <w:tc>
          <w:tcPr>
            <w:tcW w:w="301" w:type="pct"/>
            <w:gridSpan w:val="2"/>
          </w:tcPr>
          <w:p w14:paraId="70A09323" w14:textId="77777777" w:rsidR="00565431" w:rsidRPr="00BD7D63" w:rsidRDefault="00932719" w:rsidP="00BD7D63">
            <w:pPr>
              <w:rPr>
                <w:rFonts w:ascii="Arial Narrow" w:hAnsi="Arial Narrow"/>
                <w:sz w:val="16"/>
                <w:szCs w:val="16"/>
              </w:rPr>
            </w:pPr>
            <w:r>
              <w:rPr>
                <w:rFonts w:ascii="Arial Narrow" w:hAnsi="Arial Narrow"/>
                <w:sz w:val="16"/>
                <w:szCs w:val="16"/>
              </w:rPr>
              <w:t>NA</w:t>
            </w:r>
          </w:p>
        </w:tc>
        <w:tc>
          <w:tcPr>
            <w:tcW w:w="373" w:type="pct"/>
          </w:tcPr>
          <w:p w14:paraId="5B39A5FE" w14:textId="77777777" w:rsidR="00565431" w:rsidRPr="00BD7D63" w:rsidRDefault="00CC7A52" w:rsidP="00BD7D63">
            <w:pPr>
              <w:rPr>
                <w:rFonts w:ascii="Arial Narrow" w:hAnsi="Arial Narrow"/>
                <w:sz w:val="16"/>
                <w:szCs w:val="16"/>
              </w:rPr>
            </w:pPr>
            <w:r>
              <w:rPr>
                <w:rFonts w:ascii="Arial Narrow" w:hAnsi="Arial Narrow"/>
                <w:sz w:val="16"/>
                <w:szCs w:val="16"/>
              </w:rPr>
              <w:t>NA</w:t>
            </w:r>
          </w:p>
        </w:tc>
        <w:tc>
          <w:tcPr>
            <w:tcW w:w="497" w:type="pct"/>
            <w:hideMark/>
          </w:tcPr>
          <w:p w14:paraId="4DA1D9EA" w14:textId="77777777" w:rsidR="00565431" w:rsidRPr="00BD7D63" w:rsidRDefault="00D308C6" w:rsidP="00BD7D63">
            <w:pPr>
              <w:rPr>
                <w:rFonts w:ascii="Arial Narrow" w:hAnsi="Arial Narrow"/>
                <w:sz w:val="16"/>
                <w:szCs w:val="16"/>
              </w:rPr>
            </w:pPr>
            <w:r w:rsidRPr="00D4733A">
              <w:rPr>
                <w:rFonts w:ascii="Cambria Math" w:hAnsi="Cambria Math"/>
                <w:color w:val="00B050"/>
              </w:rPr>
              <w:t>⨁⨁⨁⨁</w:t>
            </w:r>
            <w:r w:rsidR="00565431" w:rsidRPr="00BD7D63">
              <w:rPr>
                <w:rFonts w:ascii="Arial Narrow" w:hAnsi="Arial Narrow"/>
                <w:sz w:val="16"/>
                <w:szCs w:val="16"/>
              </w:rPr>
              <w:br/>
              <w:t xml:space="preserve">HIGH </w:t>
            </w:r>
          </w:p>
        </w:tc>
        <w:tc>
          <w:tcPr>
            <w:tcW w:w="497" w:type="pct"/>
            <w:hideMark/>
          </w:tcPr>
          <w:p w14:paraId="5531BB46" w14:textId="77777777" w:rsidR="00565431" w:rsidRPr="00BD7D63" w:rsidRDefault="00565431" w:rsidP="00BD7D63">
            <w:pPr>
              <w:rPr>
                <w:rFonts w:ascii="Arial Narrow" w:hAnsi="Arial Narrow"/>
                <w:sz w:val="16"/>
                <w:szCs w:val="16"/>
              </w:rPr>
            </w:pPr>
            <w:r w:rsidRPr="00BD7D63">
              <w:rPr>
                <w:rFonts w:ascii="Arial Narrow" w:hAnsi="Arial Narrow"/>
                <w:sz w:val="16"/>
                <w:szCs w:val="16"/>
              </w:rPr>
              <w:t xml:space="preserve">CRITICAL </w:t>
            </w:r>
          </w:p>
        </w:tc>
      </w:tr>
      <w:tr w:rsidR="00BD7D63" w:rsidRPr="00BD7D63" w14:paraId="60B36678" w14:textId="77777777" w:rsidTr="00BD7D63">
        <w:trPr>
          <w:cantSplit/>
        </w:trPr>
        <w:tc>
          <w:tcPr>
            <w:tcW w:w="5000" w:type="pct"/>
            <w:gridSpan w:val="15"/>
            <w:shd w:val="clear" w:color="auto" w:fill="FFFFFF"/>
            <w:vAlign w:val="center"/>
            <w:hideMark/>
          </w:tcPr>
          <w:p w14:paraId="0DA727ED" w14:textId="347CF9BD" w:rsidR="00BD7D63" w:rsidRPr="00BD7D63" w:rsidRDefault="00BD7D63" w:rsidP="00CA08F4">
            <w:pPr>
              <w:spacing w:after="80"/>
              <w:rPr>
                <w:rFonts w:ascii="Arial Narrow" w:hAnsi="Arial Narrow"/>
                <w:b/>
                <w:bCs/>
                <w:sz w:val="16"/>
                <w:szCs w:val="16"/>
              </w:rPr>
            </w:pPr>
            <w:r w:rsidRPr="00BD7D63">
              <w:rPr>
                <w:rFonts w:ascii="Arial Narrow" w:hAnsi="Arial Narrow"/>
                <w:b/>
                <w:bCs/>
                <w:sz w:val="16"/>
                <w:szCs w:val="16"/>
              </w:rPr>
              <w:t>Change in EDSS</w:t>
            </w:r>
            <w:r w:rsidR="00693B42">
              <w:rPr>
                <w:rFonts w:ascii="Arial Narrow" w:hAnsi="Arial Narrow"/>
                <w:b/>
                <w:bCs/>
                <w:sz w:val="16"/>
                <w:szCs w:val="16"/>
              </w:rPr>
              <w:t xml:space="preserve"> in patients suspected of NMOSD</w:t>
            </w:r>
          </w:p>
        </w:tc>
      </w:tr>
      <w:tr w:rsidR="00A56B13" w:rsidRPr="00BD7D63" w14:paraId="14E33389" w14:textId="77777777" w:rsidTr="00A56B13">
        <w:trPr>
          <w:cantSplit/>
        </w:trPr>
        <w:tc>
          <w:tcPr>
            <w:tcW w:w="420" w:type="pct"/>
            <w:hideMark/>
          </w:tcPr>
          <w:p w14:paraId="667C2A91" w14:textId="77777777" w:rsidR="00932719" w:rsidRDefault="001E4AC2" w:rsidP="00BD7D63">
            <w:pPr>
              <w:rPr>
                <w:rFonts w:ascii="Arial Narrow" w:hAnsi="Arial Narrow"/>
                <w:sz w:val="16"/>
                <w:szCs w:val="16"/>
              </w:rPr>
            </w:pPr>
            <w:r>
              <w:rPr>
                <w:rFonts w:ascii="Arial Narrow" w:hAnsi="Arial Narrow"/>
                <w:sz w:val="16"/>
                <w:szCs w:val="16"/>
              </w:rPr>
              <w:t>K=2</w:t>
            </w:r>
          </w:p>
          <w:p w14:paraId="5D6EEC59" w14:textId="35F40975" w:rsidR="001E4AC2" w:rsidRPr="00BD7D63" w:rsidRDefault="001E4AC2" w:rsidP="00BD7D63">
            <w:pPr>
              <w:rPr>
                <w:rFonts w:ascii="Arial Narrow" w:hAnsi="Arial Narrow"/>
                <w:sz w:val="16"/>
                <w:szCs w:val="16"/>
              </w:rPr>
            </w:pPr>
            <w:r>
              <w:rPr>
                <w:rFonts w:ascii="Arial Narrow" w:hAnsi="Arial Narrow"/>
                <w:sz w:val="16"/>
                <w:szCs w:val="16"/>
              </w:rPr>
              <w:t>N=61</w:t>
            </w:r>
          </w:p>
        </w:tc>
        <w:tc>
          <w:tcPr>
            <w:tcW w:w="327" w:type="pct"/>
            <w:hideMark/>
          </w:tcPr>
          <w:p w14:paraId="036DFB9C" w14:textId="77777777" w:rsidR="00932719" w:rsidRPr="00BD7D63" w:rsidRDefault="00932719" w:rsidP="00BD7D63">
            <w:pPr>
              <w:rPr>
                <w:rFonts w:ascii="Arial Narrow" w:hAnsi="Arial Narrow"/>
                <w:sz w:val="16"/>
                <w:szCs w:val="16"/>
              </w:rPr>
            </w:pPr>
            <w:r w:rsidRPr="00BD7D63">
              <w:rPr>
                <w:rFonts w:ascii="Arial Narrow" w:hAnsi="Arial Narrow"/>
                <w:sz w:val="16"/>
                <w:szCs w:val="16"/>
              </w:rPr>
              <w:t xml:space="preserve">observational studies </w:t>
            </w:r>
          </w:p>
        </w:tc>
        <w:tc>
          <w:tcPr>
            <w:tcW w:w="326" w:type="pct"/>
            <w:hideMark/>
          </w:tcPr>
          <w:p w14:paraId="2D5A4B04" w14:textId="77777777" w:rsidR="00932719" w:rsidRPr="00BD7D63" w:rsidRDefault="00932719" w:rsidP="00BD7D63">
            <w:pPr>
              <w:rPr>
                <w:rFonts w:ascii="Arial Narrow" w:hAnsi="Arial Narrow"/>
                <w:sz w:val="16"/>
                <w:szCs w:val="16"/>
              </w:rPr>
            </w:pPr>
            <w:r w:rsidRPr="00BD7D63">
              <w:rPr>
                <w:rFonts w:ascii="Arial Narrow" w:hAnsi="Arial Narrow"/>
                <w:sz w:val="16"/>
                <w:szCs w:val="16"/>
              </w:rPr>
              <w:t xml:space="preserve">not serious </w:t>
            </w:r>
          </w:p>
        </w:tc>
        <w:tc>
          <w:tcPr>
            <w:tcW w:w="339" w:type="pct"/>
            <w:hideMark/>
          </w:tcPr>
          <w:p w14:paraId="7BFCACE5" w14:textId="77777777" w:rsidR="00932719" w:rsidRPr="00BD7D63" w:rsidRDefault="00932719" w:rsidP="008B25BB">
            <w:pPr>
              <w:rPr>
                <w:rFonts w:ascii="Arial Narrow" w:hAnsi="Arial Narrow"/>
                <w:sz w:val="16"/>
                <w:szCs w:val="16"/>
              </w:rPr>
            </w:pPr>
            <w:r w:rsidRPr="00BD7D63">
              <w:rPr>
                <w:rFonts w:ascii="Arial Narrow" w:hAnsi="Arial Narrow"/>
                <w:sz w:val="16"/>
                <w:szCs w:val="16"/>
              </w:rPr>
              <w:t xml:space="preserve">serious </w:t>
            </w:r>
            <w:r>
              <w:rPr>
                <w:rFonts w:ascii="Arial Narrow" w:hAnsi="Arial Narrow"/>
                <w:sz w:val="16"/>
                <w:szCs w:val="16"/>
                <w:vertAlign w:val="superscript"/>
              </w:rPr>
              <w:t>c</w:t>
            </w:r>
          </w:p>
        </w:tc>
        <w:tc>
          <w:tcPr>
            <w:tcW w:w="327" w:type="pct"/>
            <w:hideMark/>
          </w:tcPr>
          <w:p w14:paraId="2781C23B" w14:textId="77777777" w:rsidR="00932719" w:rsidRPr="00BD7D63" w:rsidRDefault="00932719" w:rsidP="008B25BB">
            <w:pPr>
              <w:rPr>
                <w:rFonts w:ascii="Arial Narrow" w:hAnsi="Arial Narrow"/>
                <w:sz w:val="16"/>
                <w:szCs w:val="16"/>
              </w:rPr>
            </w:pPr>
            <w:r w:rsidRPr="00BD7D63">
              <w:rPr>
                <w:rFonts w:ascii="Arial Narrow" w:hAnsi="Arial Narrow"/>
                <w:sz w:val="16"/>
                <w:szCs w:val="16"/>
              </w:rPr>
              <w:t xml:space="preserve">serious </w:t>
            </w:r>
            <w:r>
              <w:rPr>
                <w:rFonts w:ascii="Arial Narrow" w:hAnsi="Arial Narrow"/>
                <w:sz w:val="16"/>
                <w:szCs w:val="16"/>
                <w:vertAlign w:val="superscript"/>
              </w:rPr>
              <w:t>d</w:t>
            </w:r>
          </w:p>
        </w:tc>
        <w:tc>
          <w:tcPr>
            <w:tcW w:w="327" w:type="pct"/>
            <w:hideMark/>
          </w:tcPr>
          <w:p w14:paraId="380520C9" w14:textId="77777777" w:rsidR="00932719" w:rsidRPr="00BD7D63" w:rsidRDefault="00932719" w:rsidP="008B25BB">
            <w:pPr>
              <w:rPr>
                <w:rFonts w:ascii="Arial Narrow" w:hAnsi="Arial Narrow"/>
                <w:sz w:val="16"/>
                <w:szCs w:val="16"/>
              </w:rPr>
            </w:pPr>
            <w:r w:rsidRPr="00BD7D63">
              <w:rPr>
                <w:rFonts w:ascii="Arial Narrow" w:hAnsi="Arial Narrow"/>
                <w:sz w:val="16"/>
                <w:szCs w:val="16"/>
              </w:rPr>
              <w:t xml:space="preserve">very serious </w:t>
            </w:r>
            <w:r>
              <w:rPr>
                <w:rFonts w:ascii="Arial Narrow" w:hAnsi="Arial Narrow"/>
                <w:sz w:val="16"/>
                <w:szCs w:val="16"/>
                <w:vertAlign w:val="superscript"/>
              </w:rPr>
              <w:t>e</w:t>
            </w:r>
          </w:p>
        </w:tc>
        <w:tc>
          <w:tcPr>
            <w:tcW w:w="378" w:type="pct"/>
            <w:hideMark/>
          </w:tcPr>
          <w:p w14:paraId="37C78035" w14:textId="77777777" w:rsidR="00932719" w:rsidRPr="00BD7D63" w:rsidRDefault="00932719" w:rsidP="00BD7D63">
            <w:pPr>
              <w:rPr>
                <w:rFonts w:ascii="Arial Narrow" w:hAnsi="Arial Narrow"/>
                <w:sz w:val="16"/>
                <w:szCs w:val="16"/>
              </w:rPr>
            </w:pPr>
            <w:r w:rsidRPr="00BD7D63">
              <w:rPr>
                <w:rFonts w:ascii="Arial Narrow" w:hAnsi="Arial Narrow"/>
                <w:sz w:val="16"/>
                <w:szCs w:val="16"/>
              </w:rPr>
              <w:t xml:space="preserve">none </w:t>
            </w:r>
          </w:p>
        </w:tc>
        <w:tc>
          <w:tcPr>
            <w:tcW w:w="466" w:type="pct"/>
            <w:hideMark/>
          </w:tcPr>
          <w:p w14:paraId="7B8E4C23" w14:textId="77777777" w:rsidR="00932719" w:rsidRPr="00BD7D63" w:rsidRDefault="00932719" w:rsidP="00CA08F4">
            <w:pPr>
              <w:spacing w:after="80"/>
              <w:rPr>
                <w:rFonts w:ascii="Arial Narrow" w:hAnsi="Arial Narrow"/>
                <w:sz w:val="16"/>
                <w:szCs w:val="16"/>
              </w:rPr>
            </w:pPr>
            <w:r>
              <w:rPr>
                <w:rFonts w:ascii="Arial Narrow" w:hAnsi="Arial Narrow"/>
                <w:sz w:val="16"/>
                <w:szCs w:val="16"/>
              </w:rPr>
              <w:t xml:space="preserve">Median (range) 5 (3-7) </w:t>
            </w:r>
            <w:r w:rsidRPr="00BD7D63">
              <w:rPr>
                <w:rFonts w:ascii="Arial Narrow" w:hAnsi="Arial Narrow"/>
                <w:sz w:val="16"/>
                <w:szCs w:val="16"/>
              </w:rPr>
              <w:t xml:space="preserve"> </w:t>
            </w:r>
          </w:p>
        </w:tc>
        <w:tc>
          <w:tcPr>
            <w:tcW w:w="421" w:type="pct"/>
            <w:gridSpan w:val="2"/>
          </w:tcPr>
          <w:p w14:paraId="1D0BE795" w14:textId="77777777" w:rsidR="00932719" w:rsidRPr="00BD7D63" w:rsidRDefault="00932719" w:rsidP="00CA08F4">
            <w:pPr>
              <w:spacing w:after="80"/>
              <w:jc w:val="left"/>
              <w:rPr>
                <w:rFonts w:ascii="Arial Narrow" w:hAnsi="Arial Narrow"/>
                <w:sz w:val="16"/>
                <w:szCs w:val="16"/>
              </w:rPr>
            </w:pPr>
            <w:r>
              <w:rPr>
                <w:rFonts w:ascii="Arial Narrow" w:hAnsi="Arial Narrow"/>
                <w:sz w:val="16"/>
                <w:szCs w:val="16"/>
              </w:rPr>
              <w:t xml:space="preserve">Median </w:t>
            </w:r>
            <w:r w:rsidR="004649DB">
              <w:rPr>
                <w:rFonts w:ascii="Arial Narrow" w:hAnsi="Arial Narrow"/>
                <w:sz w:val="16"/>
                <w:szCs w:val="16"/>
              </w:rPr>
              <w:t>(</w:t>
            </w:r>
            <w:r>
              <w:rPr>
                <w:rFonts w:ascii="Arial Narrow" w:hAnsi="Arial Narrow"/>
                <w:sz w:val="16"/>
                <w:szCs w:val="16"/>
              </w:rPr>
              <w:t>range</w:t>
            </w:r>
            <w:r w:rsidR="004649DB">
              <w:rPr>
                <w:rFonts w:ascii="Arial Narrow" w:hAnsi="Arial Narrow"/>
                <w:sz w:val="16"/>
                <w:szCs w:val="16"/>
              </w:rPr>
              <w:t>)</w:t>
            </w:r>
            <w:r>
              <w:rPr>
                <w:rFonts w:ascii="Arial Narrow" w:hAnsi="Arial Narrow"/>
                <w:sz w:val="16"/>
                <w:szCs w:val="16"/>
              </w:rPr>
              <w:t xml:space="preserve"> 2.5 (1.5-7)</w:t>
            </w:r>
          </w:p>
        </w:tc>
        <w:tc>
          <w:tcPr>
            <w:tcW w:w="301" w:type="pct"/>
            <w:gridSpan w:val="2"/>
          </w:tcPr>
          <w:p w14:paraId="6CC0052F" w14:textId="77777777" w:rsidR="00932719" w:rsidRPr="00BD7D63" w:rsidRDefault="00932719" w:rsidP="00BD7D63">
            <w:pPr>
              <w:rPr>
                <w:rFonts w:ascii="Arial Narrow" w:hAnsi="Arial Narrow"/>
                <w:sz w:val="16"/>
                <w:szCs w:val="16"/>
              </w:rPr>
            </w:pPr>
            <w:r>
              <w:rPr>
                <w:rFonts w:ascii="Arial Narrow" w:hAnsi="Arial Narrow"/>
                <w:sz w:val="16"/>
                <w:szCs w:val="16"/>
              </w:rPr>
              <w:t>NA</w:t>
            </w:r>
          </w:p>
        </w:tc>
        <w:tc>
          <w:tcPr>
            <w:tcW w:w="373" w:type="pct"/>
          </w:tcPr>
          <w:p w14:paraId="1D93D5E9" w14:textId="77777777" w:rsidR="00932719" w:rsidRPr="00BD7D63" w:rsidRDefault="00932719" w:rsidP="00BD7D63">
            <w:pPr>
              <w:rPr>
                <w:rFonts w:ascii="Arial Narrow" w:hAnsi="Arial Narrow"/>
                <w:sz w:val="16"/>
                <w:szCs w:val="16"/>
              </w:rPr>
            </w:pPr>
            <w:r>
              <w:rPr>
                <w:rFonts w:ascii="Arial Narrow" w:hAnsi="Arial Narrow"/>
                <w:sz w:val="16"/>
                <w:szCs w:val="16"/>
              </w:rPr>
              <w:t>NA</w:t>
            </w:r>
          </w:p>
        </w:tc>
        <w:tc>
          <w:tcPr>
            <w:tcW w:w="497" w:type="pct"/>
            <w:hideMark/>
          </w:tcPr>
          <w:p w14:paraId="4B820C9B" w14:textId="77777777" w:rsidR="00932719" w:rsidRPr="00BD7D63" w:rsidRDefault="00D308C6" w:rsidP="00BD7D63">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932719" w:rsidRPr="00BD7D63">
              <w:rPr>
                <w:rFonts w:ascii="Arial Narrow" w:hAnsi="Arial Narrow"/>
                <w:sz w:val="16"/>
                <w:szCs w:val="16"/>
              </w:rPr>
              <w:br/>
              <w:t xml:space="preserve">VERY LOW </w:t>
            </w:r>
          </w:p>
        </w:tc>
        <w:tc>
          <w:tcPr>
            <w:tcW w:w="497" w:type="pct"/>
            <w:hideMark/>
          </w:tcPr>
          <w:p w14:paraId="572A82A7" w14:textId="77777777" w:rsidR="00932719" w:rsidRPr="00BD7D63" w:rsidRDefault="00932719" w:rsidP="00BD7D63">
            <w:pPr>
              <w:rPr>
                <w:rFonts w:ascii="Arial Narrow" w:hAnsi="Arial Narrow"/>
                <w:sz w:val="16"/>
                <w:szCs w:val="16"/>
              </w:rPr>
            </w:pPr>
            <w:r w:rsidRPr="00BD7D63">
              <w:rPr>
                <w:rFonts w:ascii="Arial Narrow" w:hAnsi="Arial Narrow"/>
                <w:sz w:val="16"/>
                <w:szCs w:val="16"/>
              </w:rPr>
              <w:t xml:space="preserve">IMPORTANT </w:t>
            </w:r>
          </w:p>
        </w:tc>
      </w:tr>
      <w:tr w:rsidR="00A94047" w:rsidRPr="00BD7D63" w14:paraId="76440C7B" w14:textId="77777777" w:rsidTr="00A94047">
        <w:trPr>
          <w:cantSplit/>
        </w:trPr>
        <w:tc>
          <w:tcPr>
            <w:tcW w:w="5000" w:type="pct"/>
            <w:gridSpan w:val="15"/>
          </w:tcPr>
          <w:p w14:paraId="621FBA89" w14:textId="7159A62C" w:rsidR="00A94047" w:rsidRPr="00BD7D63" w:rsidRDefault="00A94047" w:rsidP="00BD7D63">
            <w:pPr>
              <w:rPr>
                <w:rFonts w:ascii="Arial Narrow" w:hAnsi="Arial Narrow"/>
                <w:sz w:val="16"/>
                <w:szCs w:val="16"/>
              </w:rPr>
            </w:pPr>
            <w:r>
              <w:rPr>
                <w:rFonts w:ascii="Arial Narrow" w:hAnsi="Arial Narrow"/>
                <w:b/>
                <w:bCs/>
                <w:sz w:val="16"/>
                <w:szCs w:val="16"/>
              </w:rPr>
              <w:t>P</w:t>
            </w:r>
            <w:r w:rsidRPr="00BD7D63">
              <w:rPr>
                <w:rFonts w:ascii="Arial Narrow" w:hAnsi="Arial Narrow"/>
                <w:b/>
                <w:bCs/>
                <w:sz w:val="16"/>
                <w:szCs w:val="16"/>
              </w:rPr>
              <w:t>resence of visual impairment at last follow-up</w:t>
            </w:r>
            <w:r>
              <w:rPr>
                <w:rFonts w:ascii="Arial Narrow" w:hAnsi="Arial Narrow"/>
                <w:b/>
                <w:bCs/>
                <w:sz w:val="16"/>
                <w:szCs w:val="16"/>
              </w:rPr>
              <w:t xml:space="preserve"> in those diagnosed with NMOSD</w:t>
            </w:r>
            <w:r w:rsidRPr="00BD7D63">
              <w:rPr>
                <w:rFonts w:ascii="Arial Narrow" w:hAnsi="Arial Narrow"/>
                <w:b/>
                <w:bCs/>
                <w:sz w:val="16"/>
                <w:szCs w:val="16"/>
              </w:rPr>
              <w:t xml:space="preserve"> (follow up: range 1 years to 10 years)</w:t>
            </w:r>
            <w:r>
              <w:rPr>
                <w:rFonts w:ascii="Arial Narrow" w:hAnsi="Arial Narrow"/>
                <w:b/>
                <w:bCs/>
                <w:sz w:val="16"/>
                <w:szCs w:val="16"/>
              </w:rPr>
              <w:t xml:space="preserve"> (CBA tests only)</w:t>
            </w:r>
          </w:p>
        </w:tc>
      </w:tr>
      <w:tr w:rsidR="00A56B13" w:rsidRPr="00BD7D63" w14:paraId="76DA1D29" w14:textId="77777777" w:rsidTr="00A56B13">
        <w:trPr>
          <w:cantSplit/>
        </w:trPr>
        <w:tc>
          <w:tcPr>
            <w:tcW w:w="420" w:type="pct"/>
            <w:hideMark/>
          </w:tcPr>
          <w:p w14:paraId="45084002" w14:textId="77777777" w:rsidR="00A94047" w:rsidRDefault="001E4AC2" w:rsidP="008E581C">
            <w:pPr>
              <w:rPr>
                <w:rFonts w:ascii="Arial Narrow" w:hAnsi="Arial Narrow"/>
                <w:sz w:val="16"/>
                <w:szCs w:val="16"/>
              </w:rPr>
            </w:pPr>
            <w:r>
              <w:rPr>
                <w:rFonts w:ascii="Arial Narrow" w:hAnsi="Arial Narrow"/>
                <w:sz w:val="16"/>
                <w:szCs w:val="16"/>
              </w:rPr>
              <w:t>K=3</w:t>
            </w:r>
          </w:p>
          <w:p w14:paraId="47AFA80F" w14:textId="7D9E686B" w:rsidR="001E4AC2" w:rsidRPr="00BD7D63" w:rsidRDefault="001E4AC2" w:rsidP="008E581C">
            <w:pPr>
              <w:rPr>
                <w:rFonts w:ascii="Arial Narrow" w:hAnsi="Arial Narrow"/>
                <w:sz w:val="16"/>
                <w:szCs w:val="16"/>
              </w:rPr>
            </w:pPr>
            <w:r>
              <w:rPr>
                <w:rFonts w:ascii="Arial Narrow" w:hAnsi="Arial Narrow"/>
                <w:sz w:val="16"/>
                <w:szCs w:val="16"/>
              </w:rPr>
              <w:t>N=79</w:t>
            </w:r>
          </w:p>
        </w:tc>
        <w:tc>
          <w:tcPr>
            <w:tcW w:w="327" w:type="pct"/>
            <w:hideMark/>
          </w:tcPr>
          <w:p w14:paraId="38CF3093" w14:textId="77777777" w:rsidR="00A94047" w:rsidRPr="00BD7D63" w:rsidRDefault="00A94047" w:rsidP="008E581C">
            <w:pPr>
              <w:rPr>
                <w:rFonts w:ascii="Arial Narrow" w:hAnsi="Arial Narrow"/>
                <w:sz w:val="16"/>
                <w:szCs w:val="16"/>
              </w:rPr>
            </w:pPr>
            <w:r w:rsidRPr="00BD7D63">
              <w:rPr>
                <w:rFonts w:ascii="Arial Narrow" w:hAnsi="Arial Narrow"/>
                <w:sz w:val="16"/>
                <w:szCs w:val="16"/>
              </w:rPr>
              <w:t xml:space="preserve">observational studies </w:t>
            </w:r>
          </w:p>
        </w:tc>
        <w:tc>
          <w:tcPr>
            <w:tcW w:w="326" w:type="pct"/>
            <w:hideMark/>
          </w:tcPr>
          <w:p w14:paraId="7F874B2B" w14:textId="77777777" w:rsidR="00A94047" w:rsidRPr="00BD7D63" w:rsidRDefault="00A94047" w:rsidP="008E581C">
            <w:pPr>
              <w:rPr>
                <w:rFonts w:ascii="Arial Narrow" w:hAnsi="Arial Narrow"/>
                <w:sz w:val="16"/>
                <w:szCs w:val="16"/>
              </w:rPr>
            </w:pPr>
            <w:r w:rsidRPr="00BD7D63">
              <w:rPr>
                <w:rFonts w:ascii="Arial Narrow" w:hAnsi="Arial Narrow"/>
                <w:sz w:val="16"/>
                <w:szCs w:val="16"/>
              </w:rPr>
              <w:t xml:space="preserve">not serious </w:t>
            </w:r>
          </w:p>
        </w:tc>
        <w:tc>
          <w:tcPr>
            <w:tcW w:w="339" w:type="pct"/>
            <w:hideMark/>
          </w:tcPr>
          <w:p w14:paraId="045BB3AD" w14:textId="77777777" w:rsidR="00A94047" w:rsidRPr="00BD7D63" w:rsidRDefault="00A94047" w:rsidP="008E581C">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4D089B7C" w14:textId="77777777" w:rsidR="00A94047" w:rsidRPr="00BD7D63" w:rsidRDefault="00A94047" w:rsidP="008E581C">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5E41C142" w14:textId="77777777" w:rsidR="00A94047" w:rsidRPr="00BD7D63" w:rsidRDefault="00A94047" w:rsidP="008E581C">
            <w:pPr>
              <w:rPr>
                <w:rFonts w:ascii="Arial Narrow" w:hAnsi="Arial Narrow"/>
                <w:sz w:val="16"/>
                <w:szCs w:val="16"/>
              </w:rPr>
            </w:pPr>
            <w:r w:rsidRPr="00BD7D63">
              <w:rPr>
                <w:rFonts w:ascii="Arial Narrow" w:hAnsi="Arial Narrow"/>
                <w:sz w:val="16"/>
                <w:szCs w:val="16"/>
              </w:rPr>
              <w:t xml:space="preserve">not serious </w:t>
            </w:r>
          </w:p>
        </w:tc>
        <w:tc>
          <w:tcPr>
            <w:tcW w:w="378" w:type="pct"/>
            <w:hideMark/>
          </w:tcPr>
          <w:p w14:paraId="1B9FD952" w14:textId="77777777" w:rsidR="00A94047" w:rsidRPr="00BD7D63" w:rsidRDefault="00A94047" w:rsidP="008E581C">
            <w:pPr>
              <w:jc w:val="left"/>
              <w:rPr>
                <w:rFonts w:ascii="Arial Narrow" w:hAnsi="Arial Narrow"/>
                <w:sz w:val="16"/>
                <w:szCs w:val="16"/>
              </w:rPr>
            </w:pPr>
            <w:r w:rsidRPr="00BD7D63">
              <w:rPr>
                <w:rFonts w:ascii="Arial Narrow" w:hAnsi="Arial Narrow"/>
                <w:sz w:val="16"/>
                <w:szCs w:val="16"/>
              </w:rPr>
              <w:t xml:space="preserve">very strong association </w:t>
            </w:r>
          </w:p>
        </w:tc>
        <w:tc>
          <w:tcPr>
            <w:tcW w:w="466" w:type="pct"/>
            <w:hideMark/>
          </w:tcPr>
          <w:p w14:paraId="5E60D82F" w14:textId="77777777" w:rsidR="00A94047" w:rsidRPr="00BD7D63" w:rsidRDefault="00A94047" w:rsidP="008E581C">
            <w:pPr>
              <w:rPr>
                <w:rFonts w:ascii="Arial Narrow" w:hAnsi="Arial Narrow"/>
                <w:sz w:val="16"/>
                <w:szCs w:val="16"/>
              </w:rPr>
            </w:pPr>
            <w:r>
              <w:rPr>
                <w:rFonts w:ascii="Arial Narrow" w:hAnsi="Arial Narrow"/>
                <w:sz w:val="16"/>
                <w:szCs w:val="16"/>
              </w:rPr>
              <w:t>50/79</w:t>
            </w:r>
            <w:r w:rsidRPr="00BD7D63">
              <w:rPr>
                <w:rFonts w:ascii="Arial Narrow" w:hAnsi="Arial Narrow"/>
                <w:sz w:val="16"/>
                <w:szCs w:val="16"/>
              </w:rPr>
              <w:t xml:space="preserve"> (</w:t>
            </w:r>
            <w:r>
              <w:rPr>
                <w:rFonts w:ascii="Arial Narrow" w:hAnsi="Arial Narrow"/>
                <w:sz w:val="16"/>
                <w:szCs w:val="16"/>
              </w:rPr>
              <w:t>63</w:t>
            </w:r>
            <w:r w:rsidRPr="00BD7D63">
              <w:rPr>
                <w:rFonts w:ascii="Arial Narrow" w:hAnsi="Arial Narrow"/>
                <w:sz w:val="16"/>
                <w:szCs w:val="16"/>
              </w:rPr>
              <w:t xml:space="preserve">%) </w:t>
            </w:r>
          </w:p>
        </w:tc>
        <w:tc>
          <w:tcPr>
            <w:tcW w:w="398" w:type="pct"/>
            <w:hideMark/>
          </w:tcPr>
          <w:p w14:paraId="44526229" w14:textId="77777777" w:rsidR="00A94047" w:rsidRPr="00BD7D63" w:rsidRDefault="00A94047" w:rsidP="008E581C">
            <w:pPr>
              <w:rPr>
                <w:rFonts w:ascii="Arial Narrow" w:hAnsi="Arial Narrow"/>
                <w:sz w:val="16"/>
                <w:szCs w:val="16"/>
              </w:rPr>
            </w:pPr>
            <w:r>
              <w:rPr>
                <w:rFonts w:ascii="Arial Narrow" w:hAnsi="Arial Narrow"/>
                <w:sz w:val="16"/>
                <w:szCs w:val="16"/>
              </w:rPr>
              <w:t>4/31</w:t>
            </w:r>
            <w:r w:rsidRPr="00BD7D63">
              <w:rPr>
                <w:rFonts w:ascii="Arial Narrow" w:hAnsi="Arial Narrow"/>
                <w:sz w:val="16"/>
                <w:szCs w:val="16"/>
              </w:rPr>
              <w:t xml:space="preserve"> (</w:t>
            </w:r>
            <w:r>
              <w:rPr>
                <w:rFonts w:ascii="Arial Narrow" w:hAnsi="Arial Narrow"/>
                <w:sz w:val="16"/>
                <w:szCs w:val="16"/>
              </w:rPr>
              <w:t>13</w:t>
            </w:r>
            <w:r w:rsidRPr="00BD7D63">
              <w:rPr>
                <w:rFonts w:ascii="Arial Narrow" w:hAnsi="Arial Narrow"/>
                <w:sz w:val="16"/>
                <w:szCs w:val="16"/>
              </w:rPr>
              <w:t xml:space="preserve">%) </w:t>
            </w:r>
          </w:p>
        </w:tc>
        <w:tc>
          <w:tcPr>
            <w:tcW w:w="302" w:type="pct"/>
            <w:gridSpan w:val="2"/>
            <w:hideMark/>
          </w:tcPr>
          <w:p w14:paraId="278C85A1" w14:textId="77777777" w:rsidR="00A94047" w:rsidRPr="00BD7D63" w:rsidRDefault="00A94047" w:rsidP="008E581C">
            <w:pPr>
              <w:jc w:val="left"/>
              <w:rPr>
                <w:rFonts w:ascii="Arial Narrow" w:hAnsi="Arial Narrow"/>
                <w:sz w:val="16"/>
                <w:szCs w:val="16"/>
              </w:rPr>
            </w:pPr>
            <w:r w:rsidRPr="00BD7D63">
              <w:rPr>
                <w:rFonts w:ascii="Arial Narrow" w:hAnsi="Arial Narrow"/>
                <w:b/>
                <w:bCs/>
                <w:sz w:val="16"/>
                <w:szCs w:val="16"/>
              </w:rPr>
              <w:t>OR 9.32</w:t>
            </w:r>
            <w:r w:rsidRPr="00BD7D63">
              <w:rPr>
                <w:rFonts w:ascii="Arial Narrow" w:hAnsi="Arial Narrow"/>
                <w:sz w:val="16"/>
                <w:szCs w:val="16"/>
              </w:rPr>
              <w:br/>
              <w:t xml:space="preserve">(3.01 to 28.84) </w:t>
            </w:r>
          </w:p>
        </w:tc>
        <w:tc>
          <w:tcPr>
            <w:tcW w:w="395" w:type="pct"/>
            <w:gridSpan w:val="2"/>
            <w:hideMark/>
          </w:tcPr>
          <w:p w14:paraId="54EF36F2" w14:textId="77777777" w:rsidR="00A94047" w:rsidRPr="00BD7D63" w:rsidRDefault="00A94047" w:rsidP="008E581C">
            <w:pPr>
              <w:jc w:val="left"/>
              <w:rPr>
                <w:rFonts w:ascii="Arial Narrow" w:hAnsi="Arial Narrow"/>
                <w:sz w:val="16"/>
                <w:szCs w:val="16"/>
              </w:rPr>
            </w:pPr>
            <w:r>
              <w:rPr>
                <w:rFonts w:ascii="Arial Narrow" w:hAnsi="Arial Narrow"/>
                <w:b/>
                <w:bCs/>
                <w:sz w:val="16"/>
                <w:szCs w:val="16"/>
              </w:rPr>
              <w:t>45</w:t>
            </w:r>
            <w:r w:rsidRPr="00BD7D63">
              <w:rPr>
                <w:rFonts w:ascii="Arial Narrow" w:hAnsi="Arial Narrow"/>
                <w:b/>
                <w:bCs/>
                <w:sz w:val="16"/>
                <w:szCs w:val="16"/>
              </w:rPr>
              <w:t xml:space="preserve"> more per 100</w:t>
            </w:r>
            <w:r w:rsidRPr="00BD7D63">
              <w:rPr>
                <w:rFonts w:ascii="Arial Narrow" w:hAnsi="Arial Narrow"/>
                <w:sz w:val="16"/>
                <w:szCs w:val="16"/>
              </w:rPr>
              <w:br/>
            </w:r>
            <w:r w:rsidRPr="00A94047">
              <w:rPr>
                <w:rFonts w:ascii="Arial Narrow" w:hAnsi="Arial Narrow"/>
                <w:sz w:val="16"/>
                <w:szCs w:val="16"/>
              </w:rPr>
              <w:t>(from 18 more- to 68 more)</w:t>
            </w:r>
            <w:r w:rsidRPr="00BD7D63">
              <w:rPr>
                <w:rFonts w:ascii="Arial Narrow" w:hAnsi="Arial Narrow"/>
                <w:sz w:val="16"/>
                <w:szCs w:val="16"/>
              </w:rPr>
              <w:t xml:space="preserve"> </w:t>
            </w:r>
            <w:r w:rsidRPr="00BD7D63">
              <w:rPr>
                <w:rFonts w:ascii="Arial Narrow" w:hAnsi="Arial Narrow"/>
                <w:sz w:val="16"/>
                <w:szCs w:val="16"/>
                <w:vertAlign w:val="superscript"/>
              </w:rPr>
              <w:t>a</w:t>
            </w:r>
          </w:p>
        </w:tc>
        <w:tc>
          <w:tcPr>
            <w:tcW w:w="497" w:type="pct"/>
            <w:hideMark/>
          </w:tcPr>
          <w:p w14:paraId="781BCA5C" w14:textId="77777777" w:rsidR="00A94047" w:rsidRPr="00BD7D63" w:rsidRDefault="00A94047" w:rsidP="008E581C">
            <w:pPr>
              <w:rPr>
                <w:rFonts w:ascii="Arial Narrow" w:hAnsi="Arial Narrow"/>
                <w:sz w:val="16"/>
                <w:szCs w:val="16"/>
              </w:rPr>
            </w:pPr>
            <w:r w:rsidRPr="00D4733A">
              <w:rPr>
                <w:rFonts w:ascii="Cambria Math" w:hAnsi="Cambria Math"/>
                <w:color w:val="00B050"/>
              </w:rPr>
              <w:t>⨁⨁⨁⨁</w:t>
            </w:r>
            <w:r w:rsidRPr="00BD7D63">
              <w:rPr>
                <w:rFonts w:ascii="Arial Narrow" w:hAnsi="Arial Narrow"/>
                <w:sz w:val="16"/>
                <w:szCs w:val="16"/>
              </w:rPr>
              <w:br/>
              <w:t xml:space="preserve">HIGH </w:t>
            </w:r>
          </w:p>
        </w:tc>
        <w:tc>
          <w:tcPr>
            <w:tcW w:w="497" w:type="pct"/>
            <w:hideMark/>
          </w:tcPr>
          <w:p w14:paraId="5D2F3391" w14:textId="77777777" w:rsidR="00A94047" w:rsidRPr="00BD7D63" w:rsidRDefault="00A94047" w:rsidP="008E581C">
            <w:pPr>
              <w:rPr>
                <w:rFonts w:ascii="Arial Narrow" w:hAnsi="Arial Narrow"/>
                <w:sz w:val="16"/>
                <w:szCs w:val="16"/>
              </w:rPr>
            </w:pPr>
            <w:r w:rsidRPr="00BD7D63">
              <w:rPr>
                <w:rFonts w:ascii="Arial Narrow" w:hAnsi="Arial Narrow"/>
                <w:sz w:val="16"/>
                <w:szCs w:val="16"/>
              </w:rPr>
              <w:t xml:space="preserve">CRITICAL </w:t>
            </w:r>
          </w:p>
        </w:tc>
      </w:tr>
    </w:tbl>
    <w:p w14:paraId="6B3CD3B4" w14:textId="77777777" w:rsidR="00BD7D63" w:rsidRPr="00BD7D63" w:rsidRDefault="008B25BB" w:rsidP="00BD7D63">
      <w:pPr>
        <w:spacing w:after="80"/>
        <w:rPr>
          <w:rFonts w:ascii="Arial Narrow" w:hAnsi="Arial Narrow"/>
          <w:sz w:val="16"/>
          <w:szCs w:val="16"/>
          <w:lang w:val="en"/>
        </w:rPr>
      </w:pPr>
      <w:r>
        <w:rPr>
          <w:rFonts w:ascii="Arial Narrow" w:hAnsi="Arial Narrow"/>
          <w:b/>
          <w:bCs/>
          <w:sz w:val="16"/>
          <w:szCs w:val="16"/>
          <w:lang w:val="en"/>
        </w:rPr>
        <w:t xml:space="preserve">ARR: </w:t>
      </w:r>
      <w:r w:rsidRPr="008B25BB">
        <w:rPr>
          <w:rFonts w:ascii="Arial Narrow" w:hAnsi="Arial Narrow"/>
          <w:bCs/>
          <w:sz w:val="16"/>
          <w:szCs w:val="16"/>
          <w:lang w:val="en"/>
        </w:rPr>
        <w:t>Annualised Relapse Rate</w:t>
      </w:r>
      <w:r>
        <w:rPr>
          <w:rFonts w:ascii="Arial Narrow" w:hAnsi="Arial Narrow"/>
          <w:b/>
          <w:bCs/>
          <w:sz w:val="16"/>
          <w:szCs w:val="16"/>
          <w:lang w:val="en"/>
        </w:rPr>
        <w:t xml:space="preserve">; </w:t>
      </w:r>
      <w:r w:rsidR="0092715B">
        <w:rPr>
          <w:rFonts w:ascii="Arial Narrow" w:hAnsi="Arial Narrow"/>
          <w:b/>
          <w:bCs/>
          <w:sz w:val="16"/>
          <w:szCs w:val="16"/>
          <w:lang w:val="en"/>
        </w:rPr>
        <w:t xml:space="preserve">AQP4-Ab: </w:t>
      </w:r>
      <w:r w:rsidR="0092715B" w:rsidRPr="0092715B">
        <w:rPr>
          <w:rFonts w:ascii="Arial Narrow" w:hAnsi="Arial Narrow"/>
          <w:bCs/>
          <w:sz w:val="16"/>
          <w:szCs w:val="16"/>
          <w:lang w:val="en"/>
        </w:rPr>
        <w:t>aquaporin 4 antibodies;</w:t>
      </w:r>
      <w:r w:rsidR="0092715B">
        <w:rPr>
          <w:rFonts w:ascii="Arial Narrow" w:hAnsi="Arial Narrow"/>
          <w:b/>
          <w:bCs/>
          <w:sz w:val="16"/>
          <w:szCs w:val="16"/>
          <w:lang w:val="en"/>
        </w:rPr>
        <w:t xml:space="preserve"> </w:t>
      </w:r>
      <w:r w:rsidR="00BD7D63" w:rsidRPr="00BD7D63">
        <w:rPr>
          <w:rFonts w:ascii="Arial Narrow" w:hAnsi="Arial Narrow"/>
          <w:b/>
          <w:bCs/>
          <w:sz w:val="16"/>
          <w:szCs w:val="16"/>
          <w:lang w:val="en"/>
        </w:rPr>
        <w:t>CI:</w:t>
      </w:r>
      <w:r w:rsidR="00BD7D63" w:rsidRPr="00BD7D63">
        <w:rPr>
          <w:rFonts w:ascii="Arial Narrow" w:hAnsi="Arial Narrow"/>
          <w:sz w:val="16"/>
          <w:szCs w:val="16"/>
          <w:lang w:val="en"/>
        </w:rPr>
        <w:t xml:space="preserve"> Confidence interval; </w:t>
      </w:r>
      <w:r w:rsidRPr="008B25BB">
        <w:rPr>
          <w:rFonts w:ascii="Arial Narrow" w:hAnsi="Arial Narrow"/>
          <w:b/>
          <w:sz w:val="16"/>
          <w:szCs w:val="16"/>
          <w:lang w:val="en"/>
        </w:rPr>
        <w:t>EDSS:</w:t>
      </w:r>
      <w:r>
        <w:rPr>
          <w:rFonts w:ascii="Arial Narrow" w:hAnsi="Arial Narrow"/>
          <w:sz w:val="16"/>
          <w:szCs w:val="16"/>
          <w:lang w:val="en"/>
        </w:rPr>
        <w:t xml:space="preserve"> Expanded Disability Status Scale; </w:t>
      </w:r>
      <w:r w:rsidR="005F1A3E" w:rsidRPr="005F1A3E">
        <w:rPr>
          <w:rFonts w:ascii="Arial Narrow" w:hAnsi="Arial Narrow"/>
          <w:b/>
          <w:sz w:val="16"/>
          <w:szCs w:val="16"/>
          <w:lang w:val="en"/>
        </w:rPr>
        <w:t>MS:</w:t>
      </w:r>
      <w:r w:rsidR="005F1A3E">
        <w:rPr>
          <w:rFonts w:ascii="Arial Narrow" w:hAnsi="Arial Narrow"/>
          <w:sz w:val="16"/>
          <w:szCs w:val="16"/>
          <w:lang w:val="en"/>
        </w:rPr>
        <w:t xml:space="preserve"> multiple sclerosis; </w:t>
      </w:r>
      <w:r w:rsidR="0080632D" w:rsidRPr="0080632D">
        <w:rPr>
          <w:rFonts w:ascii="Arial Narrow" w:hAnsi="Arial Narrow"/>
          <w:b/>
          <w:sz w:val="16"/>
          <w:szCs w:val="16"/>
          <w:lang w:val="en"/>
        </w:rPr>
        <w:t>NA</w:t>
      </w:r>
      <w:r w:rsidR="0080632D">
        <w:rPr>
          <w:rFonts w:ascii="Arial Narrow" w:hAnsi="Arial Narrow"/>
          <w:sz w:val="16"/>
          <w:szCs w:val="16"/>
          <w:lang w:val="en"/>
        </w:rPr>
        <w:t xml:space="preserve">: not available; </w:t>
      </w:r>
      <w:r w:rsidR="0092715B" w:rsidRPr="0092715B">
        <w:rPr>
          <w:rFonts w:ascii="Arial Narrow" w:hAnsi="Arial Narrow"/>
          <w:b/>
          <w:sz w:val="16"/>
          <w:szCs w:val="16"/>
          <w:lang w:val="en"/>
        </w:rPr>
        <w:t>NMO:</w:t>
      </w:r>
      <w:r w:rsidR="0092715B">
        <w:rPr>
          <w:rFonts w:ascii="Arial Narrow" w:hAnsi="Arial Narrow"/>
          <w:sz w:val="16"/>
          <w:szCs w:val="16"/>
          <w:lang w:val="en"/>
        </w:rPr>
        <w:t xml:space="preserve"> neuromyelitis optica</w:t>
      </w:r>
      <w:r w:rsidR="0092715B" w:rsidRPr="0092715B">
        <w:rPr>
          <w:rFonts w:ascii="Arial Narrow" w:hAnsi="Arial Narrow"/>
          <w:b/>
          <w:sz w:val="16"/>
          <w:szCs w:val="16"/>
          <w:lang w:val="en"/>
        </w:rPr>
        <w:t>; NMOSD:</w:t>
      </w:r>
      <w:r w:rsidR="0092715B">
        <w:rPr>
          <w:rFonts w:ascii="Arial Narrow" w:hAnsi="Arial Narrow"/>
          <w:sz w:val="16"/>
          <w:szCs w:val="16"/>
          <w:lang w:val="en"/>
        </w:rPr>
        <w:t xml:space="preserve"> neuromyelitis optica spectrum disorders; </w:t>
      </w:r>
      <w:r w:rsidR="00BD7D63" w:rsidRPr="00BD7D63">
        <w:rPr>
          <w:rFonts w:ascii="Arial Narrow" w:hAnsi="Arial Narrow"/>
          <w:b/>
          <w:bCs/>
          <w:sz w:val="16"/>
          <w:szCs w:val="16"/>
          <w:lang w:val="en"/>
        </w:rPr>
        <w:t>OR:</w:t>
      </w:r>
      <w:r w:rsidR="00BD7D63" w:rsidRPr="00BD7D63">
        <w:rPr>
          <w:rFonts w:ascii="Arial Narrow" w:hAnsi="Arial Narrow"/>
          <w:sz w:val="16"/>
          <w:szCs w:val="16"/>
          <w:lang w:val="en"/>
        </w:rPr>
        <w:t xml:space="preserve"> Odds ratio</w:t>
      </w:r>
    </w:p>
    <w:p w14:paraId="17927E6E" w14:textId="77777777" w:rsidR="00BD7D63" w:rsidRDefault="00BD7D63" w:rsidP="00BD7D63">
      <w:pPr>
        <w:spacing w:after="80"/>
        <w:rPr>
          <w:rFonts w:ascii="Arial Narrow" w:hAnsi="Arial Narrow"/>
          <w:b/>
          <w:bCs/>
          <w:sz w:val="16"/>
          <w:szCs w:val="16"/>
          <w:lang w:val="en"/>
        </w:rPr>
      </w:pPr>
      <w:r w:rsidRPr="00BD7D63">
        <w:rPr>
          <w:rFonts w:ascii="Arial Narrow" w:hAnsi="Arial Narrow"/>
          <w:b/>
          <w:bCs/>
          <w:sz w:val="16"/>
          <w:szCs w:val="16"/>
          <w:lang w:val="en"/>
        </w:rPr>
        <w:t>Explanations</w:t>
      </w:r>
    </w:p>
    <w:p w14:paraId="6A08F3F0" w14:textId="77777777" w:rsidR="008B25BB" w:rsidRPr="0092715B" w:rsidRDefault="008B25BB" w:rsidP="00BD7D63">
      <w:pPr>
        <w:spacing w:after="80"/>
        <w:rPr>
          <w:rFonts w:ascii="Arial Narrow" w:hAnsi="Arial Narrow"/>
          <w:bCs/>
          <w:sz w:val="16"/>
          <w:szCs w:val="16"/>
          <w:lang w:val="en"/>
        </w:rPr>
      </w:pPr>
      <w:r w:rsidRPr="0092715B">
        <w:rPr>
          <w:rFonts w:ascii="Arial Narrow" w:hAnsi="Arial Narrow"/>
          <w:bCs/>
          <w:sz w:val="16"/>
          <w:szCs w:val="16"/>
          <w:lang w:val="en"/>
        </w:rPr>
        <w:t>a</w:t>
      </w:r>
      <w:r>
        <w:rPr>
          <w:rFonts w:ascii="Arial Narrow" w:hAnsi="Arial Narrow"/>
          <w:b/>
          <w:bCs/>
          <w:sz w:val="16"/>
          <w:szCs w:val="16"/>
          <w:lang w:val="en"/>
        </w:rPr>
        <w:t xml:space="preserve"> </w:t>
      </w:r>
      <w:r w:rsidRPr="0092715B">
        <w:rPr>
          <w:rFonts w:ascii="Arial Narrow" w:hAnsi="Arial Narrow"/>
          <w:bCs/>
          <w:sz w:val="16"/>
          <w:szCs w:val="16"/>
          <w:lang w:val="en"/>
        </w:rPr>
        <w:t>Retrospective study design at risk of selection bias</w:t>
      </w:r>
    </w:p>
    <w:p w14:paraId="74831DF1" w14:textId="77777777" w:rsidR="00BD7D63" w:rsidRPr="00BD7D63" w:rsidRDefault="008B25BB" w:rsidP="00BD7D63">
      <w:pPr>
        <w:spacing w:after="80"/>
        <w:rPr>
          <w:rFonts w:ascii="Arial Narrow" w:hAnsi="Arial Narrow"/>
          <w:sz w:val="16"/>
          <w:szCs w:val="16"/>
          <w:lang w:val="en"/>
        </w:rPr>
      </w:pPr>
      <w:r>
        <w:rPr>
          <w:rFonts w:ascii="Arial Narrow" w:hAnsi="Arial Narrow"/>
          <w:sz w:val="16"/>
          <w:szCs w:val="16"/>
          <w:lang w:val="en"/>
        </w:rPr>
        <w:t>b</w:t>
      </w:r>
      <w:r w:rsidR="00BD7D63" w:rsidRPr="00BD7D63">
        <w:rPr>
          <w:rFonts w:ascii="Arial Narrow" w:hAnsi="Arial Narrow"/>
          <w:sz w:val="16"/>
          <w:szCs w:val="16"/>
          <w:lang w:val="en"/>
        </w:rPr>
        <w:t xml:space="preserve">. While all studies compared rate of relapse between AQP4-Ab positive and negative patients, two studies reported ARR while the third study reported the percentage of patients who relapsed. </w:t>
      </w:r>
    </w:p>
    <w:p w14:paraId="6520ABFF" w14:textId="77777777" w:rsidR="00BD7D63" w:rsidRPr="00BD7D63" w:rsidRDefault="008B25BB" w:rsidP="00BD7D63">
      <w:pPr>
        <w:spacing w:after="80"/>
        <w:rPr>
          <w:rFonts w:ascii="Arial Narrow" w:hAnsi="Arial Narrow"/>
          <w:sz w:val="16"/>
          <w:szCs w:val="16"/>
          <w:lang w:val="en"/>
        </w:rPr>
      </w:pPr>
      <w:r>
        <w:rPr>
          <w:rFonts w:ascii="Arial Narrow" w:hAnsi="Arial Narrow"/>
          <w:sz w:val="16"/>
          <w:szCs w:val="16"/>
          <w:lang w:val="en"/>
        </w:rPr>
        <w:t>c</w:t>
      </w:r>
      <w:r w:rsidR="00BD7D63" w:rsidRPr="00BD7D63">
        <w:rPr>
          <w:rFonts w:ascii="Arial Narrow" w:hAnsi="Arial Narrow"/>
          <w:sz w:val="16"/>
          <w:szCs w:val="16"/>
          <w:lang w:val="en"/>
        </w:rPr>
        <w:t xml:space="preserve">. There was inconsistency in study results where one study reported a higher EDSS in those AQP4-Ab positive compared to negative patients, but the other study found no significant difference in EDSS between the two groups. </w:t>
      </w:r>
    </w:p>
    <w:p w14:paraId="317342CF" w14:textId="77777777" w:rsidR="00BD7D63" w:rsidRPr="00BD7D63" w:rsidRDefault="008B25BB" w:rsidP="00BD7D63">
      <w:pPr>
        <w:spacing w:after="80"/>
        <w:rPr>
          <w:rFonts w:ascii="Arial Narrow" w:hAnsi="Arial Narrow"/>
          <w:sz w:val="16"/>
          <w:szCs w:val="16"/>
          <w:lang w:val="en"/>
        </w:rPr>
      </w:pPr>
      <w:r>
        <w:rPr>
          <w:rFonts w:ascii="Arial Narrow" w:hAnsi="Arial Narrow"/>
          <w:sz w:val="16"/>
          <w:szCs w:val="16"/>
          <w:lang w:val="en"/>
        </w:rPr>
        <w:t>d</w:t>
      </w:r>
      <w:r w:rsidR="00BD7D63" w:rsidRPr="00BD7D63">
        <w:rPr>
          <w:rFonts w:ascii="Arial Narrow" w:hAnsi="Arial Narrow"/>
          <w:sz w:val="16"/>
          <w:szCs w:val="16"/>
          <w:lang w:val="en"/>
        </w:rPr>
        <w:t xml:space="preserve">. Different methods for testing of AQP4-Abs were used for the two studies. One study used cell-based assay and the other used a tissue-based assay. </w:t>
      </w:r>
    </w:p>
    <w:p w14:paraId="2DD6CBA1" w14:textId="77777777" w:rsidR="00BD7D63" w:rsidRDefault="008B25BB" w:rsidP="00BD7D63">
      <w:pPr>
        <w:rPr>
          <w:rFonts w:ascii="Arial Narrow" w:hAnsi="Arial Narrow"/>
          <w:sz w:val="16"/>
          <w:szCs w:val="16"/>
          <w:lang w:val="en"/>
        </w:rPr>
      </w:pPr>
      <w:r>
        <w:rPr>
          <w:rFonts w:ascii="Arial Narrow" w:hAnsi="Arial Narrow"/>
          <w:sz w:val="16"/>
          <w:szCs w:val="16"/>
          <w:lang w:val="en"/>
        </w:rPr>
        <w:lastRenderedPageBreak/>
        <w:t>e</w:t>
      </w:r>
      <w:r w:rsidR="00BD7D63" w:rsidRPr="00BD7D63">
        <w:rPr>
          <w:rFonts w:ascii="Arial Narrow" w:hAnsi="Arial Narrow"/>
          <w:sz w:val="16"/>
          <w:szCs w:val="16"/>
          <w:lang w:val="en"/>
        </w:rPr>
        <w:t xml:space="preserve">. Only one study reported data on outcome measures, therefore a decision regarding imprecision could not be determined for the two studies. </w:t>
      </w:r>
    </w:p>
    <w:p w14:paraId="244E9D75" w14:textId="77777777" w:rsidR="00BD7D63" w:rsidRDefault="00BD7D63" w:rsidP="00BD7D63">
      <w:pPr>
        <w:pStyle w:val="Tablenotes0"/>
        <w:rPr>
          <w:szCs w:val="18"/>
        </w:rPr>
      </w:pPr>
      <w:r w:rsidRPr="005B189A">
        <w:rPr>
          <w:b/>
          <w:szCs w:val="18"/>
        </w:rPr>
        <w:t>GRADE Working Group grades of evidence (Guyatt et al., 2013)</w:t>
      </w:r>
      <w:r w:rsidRPr="005B189A">
        <w:rPr>
          <w:b/>
          <w:szCs w:val="18"/>
        </w:rPr>
        <w:br/>
      </w:r>
      <w:r w:rsidRPr="00D4733A">
        <w:rPr>
          <w:rFonts w:ascii="Cambria Math" w:hAnsi="Cambria Math"/>
          <w:color w:val="00B050"/>
        </w:rPr>
        <w:t>⨁⨁⨁⨁</w:t>
      </w:r>
      <w:r>
        <w:rPr>
          <w:rFonts w:ascii="Cambria Math" w:hAnsi="Cambria Math"/>
          <w:color w:val="00B050"/>
        </w:rPr>
        <w:t xml:space="preserve"> </w:t>
      </w:r>
      <w:r w:rsidRPr="00E10B76">
        <w:rPr>
          <w:b/>
          <w:bCs/>
          <w:szCs w:val="18"/>
        </w:rPr>
        <w:t>High quality:</w:t>
      </w:r>
      <w:r w:rsidRPr="00E10B76">
        <w:rPr>
          <w:szCs w:val="18"/>
        </w:rPr>
        <w:t xml:space="preserve"> </w:t>
      </w:r>
      <w:r>
        <w:rPr>
          <w:szCs w:val="18"/>
        </w:rPr>
        <w:t>We are very confident that the true effect lies close to that of the estimate of effect.</w:t>
      </w:r>
      <w:r w:rsidRPr="00E10B76">
        <w:rPr>
          <w:szCs w:val="18"/>
        </w:rPr>
        <w:t xml:space="preserve"> </w:t>
      </w:r>
      <w:r w:rsidRPr="00E10B76">
        <w:rPr>
          <w:szCs w:val="18"/>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Moderate quality:</w:t>
      </w:r>
      <w:r w:rsidRPr="00E10B76">
        <w:rPr>
          <w:szCs w:val="18"/>
        </w:rPr>
        <w:t xml:space="preserve"> </w:t>
      </w:r>
      <w:r>
        <w:rPr>
          <w:szCs w:val="18"/>
        </w:rPr>
        <w:t xml:space="preserve">We are moderately confident in the effect estimate: The true effect is likely to be close to the estimate of the effect, but there is a possibility that it is substantially different.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Low quality:</w:t>
      </w:r>
      <w:r w:rsidRPr="00E10B76">
        <w:rPr>
          <w:szCs w:val="18"/>
        </w:rPr>
        <w:t xml:space="preserve"> </w:t>
      </w:r>
      <w:r>
        <w:rPr>
          <w:szCs w:val="18"/>
        </w:rPr>
        <w:t>Our confidence in the effect estimate is limited: The true effect may be substantially different from the estimate of the effect.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p>
    <w:p w14:paraId="76FB4D4B" w14:textId="77777777" w:rsidR="00BD7D63" w:rsidRDefault="00BD7D63" w:rsidP="006459ED">
      <w:pPr>
        <w:rPr>
          <w:lang w:val="en"/>
        </w:rPr>
      </w:pPr>
    </w:p>
    <w:p w14:paraId="21D13481" w14:textId="37A97E5F" w:rsidR="00BD7D63" w:rsidRDefault="00BD7D63" w:rsidP="00CA08F4">
      <w:pPr>
        <w:pStyle w:val="Caption"/>
        <w:keepLines/>
      </w:pPr>
      <w:bookmarkStart w:id="643" w:name="_Ref33021040"/>
      <w:bookmarkStart w:id="644" w:name="_Toc39580882"/>
      <w:r>
        <w:t xml:space="preserve">Table </w:t>
      </w:r>
      <w:r>
        <w:rPr>
          <w:noProof/>
        </w:rPr>
        <w:fldChar w:fldCharType="begin"/>
      </w:r>
      <w:r>
        <w:rPr>
          <w:noProof/>
        </w:rPr>
        <w:instrText xml:space="preserve"> SEQ Table \* ARABIC </w:instrText>
      </w:r>
      <w:r>
        <w:rPr>
          <w:noProof/>
        </w:rPr>
        <w:fldChar w:fldCharType="separate"/>
      </w:r>
      <w:r w:rsidR="00FA7BCD">
        <w:rPr>
          <w:noProof/>
        </w:rPr>
        <w:t>101</w:t>
      </w:r>
      <w:r>
        <w:rPr>
          <w:noProof/>
        </w:rPr>
        <w:fldChar w:fldCharType="end"/>
      </w:r>
      <w:bookmarkEnd w:id="643"/>
      <w:r>
        <w:tab/>
        <w:t xml:space="preserve">Evidence profile table for the </w:t>
      </w:r>
      <w:r w:rsidR="004E2AA7">
        <w:t>prognosis</w:t>
      </w:r>
      <w:r>
        <w:t xml:space="preserve"> of </w:t>
      </w:r>
      <w:r w:rsidR="004E2AA7">
        <w:t>MOG</w:t>
      </w:r>
      <w:r>
        <w:t xml:space="preserve">-Ab testing </w:t>
      </w:r>
      <w:r w:rsidR="004E2AA7">
        <w:t>for patients at risk of NMOSD</w:t>
      </w:r>
      <w:bookmarkEnd w:id="644"/>
    </w:p>
    <w:p w14:paraId="71D7EEE2" w14:textId="77777777" w:rsidR="00BD7D63" w:rsidRPr="00BD7D63" w:rsidRDefault="00BD7D63" w:rsidP="00CA08F4">
      <w:pPr>
        <w:keepNext/>
        <w:keepLines/>
        <w:spacing w:before="160"/>
        <w:rPr>
          <w:rFonts w:ascii="Arial Narrow" w:hAnsi="Arial Narrow"/>
          <w:sz w:val="16"/>
          <w:szCs w:val="16"/>
          <w:lang w:val="en"/>
        </w:rPr>
      </w:pPr>
      <w:r w:rsidRPr="00BD7D63">
        <w:rPr>
          <w:rFonts w:ascii="Arial Narrow" w:hAnsi="Arial Narrow"/>
          <w:b/>
          <w:bCs/>
          <w:sz w:val="16"/>
          <w:szCs w:val="16"/>
          <w:lang w:val="en"/>
        </w:rPr>
        <w:t>Question</w:t>
      </w:r>
      <w:r w:rsidRPr="00BD7D63">
        <w:rPr>
          <w:rFonts w:ascii="Arial Narrow" w:hAnsi="Arial Narrow"/>
          <w:sz w:val="16"/>
          <w:szCs w:val="16"/>
          <w:lang w:val="en"/>
        </w:rPr>
        <w:t xml:space="preserve">: MOG-Ab positive compared to MOG-Ab negative for prognosis of health outcomes </w:t>
      </w:r>
    </w:p>
    <w:p w14:paraId="03F452E2" w14:textId="2A73255C" w:rsidR="00BD7D63" w:rsidRPr="00BD7D63" w:rsidRDefault="00BD7D63" w:rsidP="00CA08F4">
      <w:pPr>
        <w:keepNext/>
        <w:keepLines/>
        <w:rPr>
          <w:rFonts w:ascii="Arial Narrow" w:hAnsi="Arial Narrow"/>
          <w:sz w:val="16"/>
          <w:szCs w:val="16"/>
          <w:lang w:val="en"/>
        </w:rPr>
      </w:pPr>
      <w:r w:rsidRPr="00BD7D63">
        <w:rPr>
          <w:rFonts w:ascii="Arial Narrow" w:hAnsi="Arial Narrow"/>
          <w:b/>
          <w:bCs/>
          <w:sz w:val="16"/>
          <w:szCs w:val="16"/>
          <w:lang w:val="en"/>
        </w:rPr>
        <w:t>Bibliography</w:t>
      </w:r>
      <w:r w:rsidRPr="00BD7D63">
        <w:rPr>
          <w:rFonts w:ascii="Arial Narrow" w:hAnsi="Arial Narrow"/>
          <w:sz w:val="16"/>
          <w:szCs w:val="16"/>
          <w:lang w:val="en"/>
        </w:rPr>
        <w:t xml:space="preserve">: </w:t>
      </w:r>
      <w:r w:rsidR="00156621">
        <w:rPr>
          <w:rFonts w:ascii="Arial Narrow" w:hAnsi="Arial Narrow"/>
          <w:sz w:val="16"/>
          <w:szCs w:val="16"/>
          <w:lang w:val="en"/>
        </w:rPr>
        <w:fldChar w:fldCharType="begin">
          <w:fldData xml:space="preserve">PEVuZE5vdGU+PENpdGU+PEF1dGhvcj5Db2JvLUNhbHZvPC9BdXRob3I+PFllYXI+MjAxNjwvWWVh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</w:fldData>
        </w:fldChar>
      </w:r>
      <w:r w:rsidR="00D96694">
        <w:rPr>
          <w:rFonts w:ascii="Arial Narrow" w:hAnsi="Arial Narrow"/>
          <w:sz w:val="16"/>
          <w:szCs w:val="16"/>
          <w:lang w:val="en"/>
        </w:rPr>
        <w:instrText xml:space="preserve"> ADDIN EN.CITE </w:instrText>
      </w:r>
      <w:r w:rsidR="00D96694">
        <w:rPr>
          <w:rFonts w:ascii="Arial Narrow" w:hAnsi="Arial Narrow"/>
          <w:sz w:val="16"/>
          <w:szCs w:val="16"/>
          <w:lang w:val="en"/>
        </w:rPr>
        <w:fldChar w:fldCharType="begin">
          <w:fldData xml:space="preserve">PEVuZE5vdGU+PENpdGU+PEF1dGhvcj5Db2JvLUNhbHZvPC9BdXRob3I+PFllYXI+MjAxNjwvWWVh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</w:fldData>
        </w:fldChar>
      </w:r>
      <w:r w:rsidR="00D96694">
        <w:rPr>
          <w:rFonts w:ascii="Arial Narrow" w:hAnsi="Arial Narrow"/>
          <w:sz w:val="16"/>
          <w:szCs w:val="16"/>
          <w:lang w:val="en"/>
        </w:rPr>
        <w:instrText xml:space="preserve"> ADDIN EN.CITE.DATA </w:instrText>
      </w:r>
      <w:r w:rsidR="00D96694">
        <w:rPr>
          <w:rFonts w:ascii="Arial Narrow" w:hAnsi="Arial Narrow"/>
          <w:sz w:val="16"/>
          <w:szCs w:val="16"/>
          <w:lang w:val="en"/>
        </w:rPr>
      </w:r>
      <w:r w:rsidR="00D96694">
        <w:rPr>
          <w:rFonts w:ascii="Arial Narrow" w:hAnsi="Arial Narrow"/>
          <w:sz w:val="16"/>
          <w:szCs w:val="16"/>
          <w:lang w:val="en"/>
        </w:rPr>
        <w:fldChar w:fldCharType="end"/>
      </w:r>
      <w:r w:rsidR="00156621">
        <w:rPr>
          <w:rFonts w:ascii="Arial Narrow" w:hAnsi="Arial Narrow"/>
          <w:sz w:val="16"/>
          <w:szCs w:val="16"/>
          <w:lang w:val="en"/>
        </w:rPr>
      </w:r>
      <w:r w:rsidR="00156621">
        <w:rPr>
          <w:rFonts w:ascii="Arial Narrow" w:hAnsi="Arial Narrow"/>
          <w:sz w:val="16"/>
          <w:szCs w:val="16"/>
          <w:lang w:val="en"/>
        </w:rPr>
        <w:fldChar w:fldCharType="separate"/>
      </w:r>
      <w:r w:rsidR="00156621">
        <w:rPr>
          <w:rFonts w:ascii="Arial Narrow" w:hAnsi="Arial Narrow"/>
          <w:noProof/>
          <w:sz w:val="16"/>
          <w:szCs w:val="16"/>
          <w:lang w:val="en"/>
        </w:rPr>
        <w:t>(Cobo-Calvo et al. 2016; Liu et al. 2019; Matsuda et al. 2015)</w:t>
      </w:r>
      <w:r w:rsidR="00156621">
        <w:rPr>
          <w:rFonts w:ascii="Arial Narrow" w:hAnsi="Arial Narrow"/>
          <w:sz w:val="16"/>
          <w:szCs w:val="16"/>
          <w:lang w:val="en"/>
        </w:rPr>
        <w:fldChar w:fldCharType="end"/>
      </w:r>
    </w:p>
    <w:tbl>
      <w:tblPr>
        <w:tblW w:w="5000" w:type="pct"/>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CellMar>
          <w:top w:w="75" w:type="dxa"/>
          <w:left w:w="75" w:type="dxa"/>
          <w:bottom w:w="75" w:type="dxa"/>
          <w:right w:w="75" w:type="dxa"/>
        </w:tblCellMar>
        <w:tblLook w:val="04A0" w:firstRow="1" w:lastRow="0" w:firstColumn="1" w:lastColumn="0" w:noHBand="0" w:noVBand="1"/>
        <w:tblCaption w:val="Table 101"/>
        <w:tblDescription w:val="Evidence profile table for the prognosis of MOG-Ab testing for patients at risk of NMOSD"/>
      </w:tblPr>
      <w:tblGrid>
        <w:gridCol w:w="1272"/>
        <w:gridCol w:w="992"/>
        <w:gridCol w:w="992"/>
        <w:gridCol w:w="1141"/>
        <w:gridCol w:w="989"/>
        <w:gridCol w:w="998"/>
        <w:gridCol w:w="1122"/>
        <w:gridCol w:w="1195"/>
        <w:gridCol w:w="1255"/>
        <w:gridCol w:w="1107"/>
        <w:gridCol w:w="1419"/>
        <w:gridCol w:w="1416"/>
        <w:gridCol w:w="1228"/>
      </w:tblGrid>
      <w:tr w:rsidR="00BD7D63" w:rsidRPr="00BD7D63" w14:paraId="652A60ED" w14:textId="77777777" w:rsidTr="00A56B13">
        <w:trPr>
          <w:cantSplit/>
          <w:tblHeader/>
        </w:trPr>
        <w:tc>
          <w:tcPr>
            <w:tcW w:w="2481" w:type="pct"/>
            <w:gridSpan w:val="7"/>
            <w:shd w:val="clear" w:color="auto" w:fill="D0CECE" w:themeFill="background2" w:themeFillShade="E6"/>
            <w:vAlign w:val="center"/>
            <w:hideMark/>
          </w:tcPr>
          <w:p w14:paraId="4F1C6877"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Certainty assessment</w:t>
            </w:r>
          </w:p>
        </w:tc>
        <w:tc>
          <w:tcPr>
            <w:tcW w:w="810" w:type="pct"/>
            <w:gridSpan w:val="2"/>
            <w:shd w:val="clear" w:color="auto" w:fill="D0CECE" w:themeFill="background2" w:themeFillShade="E6"/>
            <w:vAlign w:val="center"/>
            <w:hideMark/>
          </w:tcPr>
          <w:p w14:paraId="0FE07832"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 of patients</w:t>
            </w:r>
          </w:p>
        </w:tc>
        <w:tc>
          <w:tcPr>
            <w:tcW w:w="835" w:type="pct"/>
            <w:gridSpan w:val="2"/>
            <w:shd w:val="clear" w:color="auto" w:fill="D0CECE" w:themeFill="background2" w:themeFillShade="E6"/>
            <w:vAlign w:val="center"/>
            <w:hideMark/>
          </w:tcPr>
          <w:p w14:paraId="316FDD46"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Effect</w:t>
            </w:r>
          </w:p>
        </w:tc>
        <w:tc>
          <w:tcPr>
            <w:tcW w:w="468" w:type="pct"/>
            <w:vMerge w:val="restart"/>
            <w:shd w:val="clear" w:color="auto" w:fill="D0CECE" w:themeFill="background2" w:themeFillShade="E6"/>
            <w:vAlign w:val="center"/>
            <w:hideMark/>
          </w:tcPr>
          <w:p w14:paraId="2B88885E"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Certainty</w:t>
            </w:r>
          </w:p>
        </w:tc>
        <w:tc>
          <w:tcPr>
            <w:tcW w:w="406" w:type="pct"/>
            <w:vMerge w:val="restart"/>
            <w:shd w:val="clear" w:color="auto" w:fill="D0CECE" w:themeFill="background2" w:themeFillShade="E6"/>
            <w:vAlign w:val="center"/>
            <w:hideMark/>
          </w:tcPr>
          <w:p w14:paraId="2FE451FF"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Importance</w:t>
            </w:r>
          </w:p>
        </w:tc>
      </w:tr>
      <w:tr w:rsidR="00A56B13" w:rsidRPr="00BD7D63" w14:paraId="3B7867D0" w14:textId="77777777" w:rsidTr="00A56B13">
        <w:trPr>
          <w:cantSplit/>
          <w:tblHeader/>
        </w:trPr>
        <w:tc>
          <w:tcPr>
            <w:tcW w:w="420" w:type="pct"/>
            <w:shd w:val="clear" w:color="auto" w:fill="D0CECE" w:themeFill="background2" w:themeFillShade="E6"/>
            <w:vAlign w:val="center"/>
            <w:hideMark/>
          </w:tcPr>
          <w:p w14:paraId="66194FA6" w14:textId="77777777" w:rsidR="00BD7D63" w:rsidRDefault="00BD7D63" w:rsidP="00986C27">
            <w:pPr>
              <w:keepNext/>
              <w:keepLines/>
              <w:jc w:val="left"/>
              <w:rPr>
                <w:rFonts w:ascii="Arial Narrow" w:hAnsi="Arial Narrow"/>
                <w:b/>
                <w:bCs/>
                <w:sz w:val="16"/>
                <w:szCs w:val="16"/>
              </w:rPr>
            </w:pPr>
            <w:r w:rsidRPr="00BD7D63">
              <w:rPr>
                <w:rFonts w:ascii="Arial Narrow" w:hAnsi="Arial Narrow"/>
                <w:b/>
                <w:bCs/>
                <w:sz w:val="16"/>
                <w:szCs w:val="16"/>
              </w:rPr>
              <w:t>№ of studies</w:t>
            </w:r>
            <w:r w:rsidR="00986C27">
              <w:rPr>
                <w:rFonts w:ascii="Arial Narrow" w:hAnsi="Arial Narrow"/>
                <w:b/>
                <w:bCs/>
                <w:sz w:val="16"/>
                <w:szCs w:val="16"/>
              </w:rPr>
              <w:t xml:space="preserve"> (K)</w:t>
            </w:r>
          </w:p>
          <w:p w14:paraId="25D55444" w14:textId="0E87BF8F" w:rsidR="00986C27" w:rsidRPr="00BD7D63" w:rsidRDefault="00986C27" w:rsidP="00986C27">
            <w:pPr>
              <w:keepNext/>
              <w:keepLines/>
              <w:jc w:val="left"/>
              <w:rPr>
                <w:rFonts w:ascii="Arial Narrow" w:hAnsi="Arial Narrow"/>
                <w:b/>
                <w:bCs/>
                <w:sz w:val="16"/>
                <w:szCs w:val="16"/>
              </w:rPr>
            </w:pPr>
            <w:r>
              <w:rPr>
                <w:rFonts w:ascii="Arial Narrow" w:hAnsi="Arial Narrow"/>
                <w:b/>
                <w:bCs/>
                <w:sz w:val="16"/>
                <w:szCs w:val="16"/>
              </w:rPr>
              <w:t>N patients</w:t>
            </w:r>
          </w:p>
        </w:tc>
        <w:tc>
          <w:tcPr>
            <w:tcW w:w="328" w:type="pct"/>
            <w:shd w:val="clear" w:color="auto" w:fill="D0CECE" w:themeFill="background2" w:themeFillShade="E6"/>
            <w:vAlign w:val="center"/>
            <w:hideMark/>
          </w:tcPr>
          <w:p w14:paraId="040E8B53"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Study design</w:t>
            </w:r>
          </w:p>
        </w:tc>
        <w:tc>
          <w:tcPr>
            <w:tcW w:w="328" w:type="pct"/>
            <w:shd w:val="clear" w:color="auto" w:fill="D0CECE" w:themeFill="background2" w:themeFillShade="E6"/>
            <w:vAlign w:val="center"/>
            <w:hideMark/>
          </w:tcPr>
          <w:p w14:paraId="3D03A1BB"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Risk of bias</w:t>
            </w:r>
          </w:p>
        </w:tc>
        <w:tc>
          <w:tcPr>
            <w:tcW w:w="377" w:type="pct"/>
            <w:shd w:val="clear" w:color="auto" w:fill="D0CECE" w:themeFill="background2" w:themeFillShade="E6"/>
            <w:vAlign w:val="center"/>
            <w:hideMark/>
          </w:tcPr>
          <w:p w14:paraId="4F604DB6"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Inconsistency</w:t>
            </w:r>
          </w:p>
        </w:tc>
        <w:tc>
          <w:tcPr>
            <w:tcW w:w="327" w:type="pct"/>
            <w:shd w:val="clear" w:color="auto" w:fill="D0CECE" w:themeFill="background2" w:themeFillShade="E6"/>
            <w:vAlign w:val="center"/>
            <w:hideMark/>
          </w:tcPr>
          <w:p w14:paraId="3C922399"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Indirectness</w:t>
            </w:r>
          </w:p>
        </w:tc>
        <w:tc>
          <w:tcPr>
            <w:tcW w:w="330" w:type="pct"/>
            <w:shd w:val="clear" w:color="auto" w:fill="D0CECE" w:themeFill="background2" w:themeFillShade="E6"/>
            <w:vAlign w:val="center"/>
            <w:hideMark/>
          </w:tcPr>
          <w:p w14:paraId="4D6C6E50"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Imprecision</w:t>
            </w:r>
          </w:p>
        </w:tc>
        <w:tc>
          <w:tcPr>
            <w:tcW w:w="371" w:type="pct"/>
            <w:shd w:val="clear" w:color="auto" w:fill="D0CECE" w:themeFill="background2" w:themeFillShade="E6"/>
            <w:vAlign w:val="center"/>
            <w:hideMark/>
          </w:tcPr>
          <w:p w14:paraId="53D0C2B6"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Other considerations</w:t>
            </w:r>
          </w:p>
        </w:tc>
        <w:tc>
          <w:tcPr>
            <w:tcW w:w="395" w:type="pct"/>
            <w:shd w:val="clear" w:color="auto" w:fill="D0CECE" w:themeFill="background2" w:themeFillShade="E6"/>
            <w:vAlign w:val="center"/>
            <w:hideMark/>
          </w:tcPr>
          <w:p w14:paraId="0ACA9D2F"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MOG-Ab positive</w:t>
            </w:r>
          </w:p>
        </w:tc>
        <w:tc>
          <w:tcPr>
            <w:tcW w:w="415" w:type="pct"/>
            <w:shd w:val="clear" w:color="auto" w:fill="D0CECE" w:themeFill="background2" w:themeFillShade="E6"/>
            <w:vAlign w:val="center"/>
            <w:hideMark/>
          </w:tcPr>
          <w:p w14:paraId="19FCB81E"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MOG-Ab negative</w:t>
            </w:r>
          </w:p>
        </w:tc>
        <w:tc>
          <w:tcPr>
            <w:tcW w:w="366" w:type="pct"/>
            <w:shd w:val="clear" w:color="auto" w:fill="D0CECE" w:themeFill="background2" w:themeFillShade="E6"/>
            <w:vAlign w:val="center"/>
            <w:hideMark/>
          </w:tcPr>
          <w:p w14:paraId="0F30188A"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Relative</w:t>
            </w:r>
            <w:r w:rsidRPr="00BD7D63">
              <w:rPr>
                <w:rFonts w:ascii="Arial Narrow" w:hAnsi="Arial Narrow"/>
                <w:b/>
                <w:bCs/>
                <w:sz w:val="16"/>
                <w:szCs w:val="16"/>
              </w:rPr>
              <w:br/>
              <w:t>(95% CI)</w:t>
            </w:r>
          </w:p>
        </w:tc>
        <w:tc>
          <w:tcPr>
            <w:tcW w:w="469" w:type="pct"/>
            <w:shd w:val="clear" w:color="auto" w:fill="D0CECE" w:themeFill="background2" w:themeFillShade="E6"/>
            <w:vAlign w:val="center"/>
            <w:hideMark/>
          </w:tcPr>
          <w:p w14:paraId="432A1E1B"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Absolute</w:t>
            </w:r>
            <w:r w:rsidRPr="00BD7D63">
              <w:rPr>
                <w:rFonts w:ascii="Arial Narrow" w:hAnsi="Arial Narrow"/>
                <w:b/>
                <w:bCs/>
                <w:sz w:val="16"/>
                <w:szCs w:val="16"/>
              </w:rPr>
              <w:br/>
              <w:t>(95% CI)</w:t>
            </w:r>
          </w:p>
        </w:tc>
        <w:tc>
          <w:tcPr>
            <w:tcW w:w="468" w:type="pct"/>
            <w:vMerge/>
            <w:shd w:val="clear" w:color="auto" w:fill="D0CECE" w:themeFill="background2" w:themeFillShade="E6"/>
            <w:vAlign w:val="center"/>
            <w:hideMark/>
          </w:tcPr>
          <w:p w14:paraId="41D1BF96" w14:textId="77777777" w:rsidR="00BD7D63" w:rsidRPr="00BD7D63" w:rsidRDefault="00BD7D63" w:rsidP="00CA08F4">
            <w:pPr>
              <w:keepNext/>
              <w:keepLines/>
              <w:rPr>
                <w:rFonts w:ascii="Arial Narrow" w:hAnsi="Arial Narrow"/>
                <w:b/>
                <w:bCs/>
                <w:sz w:val="16"/>
                <w:szCs w:val="16"/>
              </w:rPr>
            </w:pPr>
          </w:p>
        </w:tc>
        <w:tc>
          <w:tcPr>
            <w:tcW w:w="406" w:type="pct"/>
            <w:vMerge/>
            <w:shd w:val="clear" w:color="auto" w:fill="D0CECE" w:themeFill="background2" w:themeFillShade="E6"/>
            <w:vAlign w:val="center"/>
            <w:hideMark/>
          </w:tcPr>
          <w:p w14:paraId="26AFA5CD" w14:textId="77777777" w:rsidR="00BD7D63" w:rsidRPr="00BD7D63" w:rsidRDefault="00BD7D63" w:rsidP="00CA08F4">
            <w:pPr>
              <w:keepNext/>
              <w:keepLines/>
              <w:rPr>
                <w:rFonts w:ascii="Arial Narrow" w:hAnsi="Arial Narrow"/>
                <w:b/>
                <w:bCs/>
                <w:sz w:val="16"/>
                <w:szCs w:val="16"/>
              </w:rPr>
            </w:pPr>
          </w:p>
        </w:tc>
      </w:tr>
      <w:tr w:rsidR="00BD7D63" w:rsidRPr="00BD7D63" w14:paraId="7223E8CF" w14:textId="77777777" w:rsidTr="00986C27">
        <w:trPr>
          <w:cantSplit/>
        </w:trPr>
        <w:tc>
          <w:tcPr>
            <w:tcW w:w="5000" w:type="pct"/>
            <w:gridSpan w:val="13"/>
            <w:shd w:val="clear" w:color="auto" w:fill="FFFFFF"/>
            <w:vAlign w:val="center"/>
            <w:hideMark/>
          </w:tcPr>
          <w:p w14:paraId="15337533" w14:textId="77777777" w:rsidR="00BD7D63" w:rsidRPr="00BD7D63" w:rsidRDefault="00BD7D63" w:rsidP="00CA08F4">
            <w:pPr>
              <w:keepNext/>
              <w:keepLines/>
              <w:rPr>
                <w:rFonts w:ascii="Arial Narrow" w:hAnsi="Arial Narrow"/>
                <w:b/>
                <w:bCs/>
                <w:sz w:val="16"/>
                <w:szCs w:val="16"/>
              </w:rPr>
            </w:pPr>
            <w:r w:rsidRPr="00BD7D63">
              <w:rPr>
                <w:rFonts w:ascii="Arial Narrow" w:hAnsi="Arial Narrow"/>
                <w:b/>
                <w:bCs/>
                <w:sz w:val="16"/>
                <w:szCs w:val="16"/>
              </w:rPr>
              <w:t>Improvement in visual acuity (follow up: mean 2.8 years)</w:t>
            </w:r>
          </w:p>
        </w:tc>
      </w:tr>
      <w:tr w:rsidR="00A56B13" w:rsidRPr="00BD7D63" w14:paraId="3A22ECA1" w14:textId="77777777" w:rsidTr="00A56B13">
        <w:trPr>
          <w:cantSplit/>
        </w:trPr>
        <w:tc>
          <w:tcPr>
            <w:tcW w:w="420" w:type="pct"/>
            <w:hideMark/>
          </w:tcPr>
          <w:p w14:paraId="6CD66315" w14:textId="77777777" w:rsidR="00986C27" w:rsidRDefault="00986C27" w:rsidP="00CA08F4">
            <w:pPr>
              <w:keepNext/>
              <w:keepLines/>
              <w:rPr>
                <w:rFonts w:ascii="Arial Narrow" w:hAnsi="Arial Narrow"/>
                <w:sz w:val="16"/>
                <w:szCs w:val="16"/>
              </w:rPr>
            </w:pPr>
            <w:r>
              <w:rPr>
                <w:rFonts w:ascii="Arial Narrow" w:hAnsi="Arial Narrow"/>
                <w:sz w:val="16"/>
                <w:szCs w:val="16"/>
              </w:rPr>
              <w:t>K=1</w:t>
            </w:r>
          </w:p>
          <w:p w14:paraId="66A751BF" w14:textId="21E9C4FE" w:rsidR="00986C27" w:rsidRPr="00BD7D63" w:rsidRDefault="00986C27" w:rsidP="00986C27">
            <w:pPr>
              <w:keepNext/>
              <w:keepLines/>
              <w:rPr>
                <w:rFonts w:ascii="Arial Narrow" w:hAnsi="Arial Narrow"/>
                <w:sz w:val="16"/>
                <w:szCs w:val="16"/>
              </w:rPr>
            </w:pPr>
            <w:r>
              <w:rPr>
                <w:rFonts w:ascii="Arial Narrow" w:hAnsi="Arial Narrow"/>
                <w:sz w:val="16"/>
                <w:szCs w:val="16"/>
              </w:rPr>
              <w:t>N=70</w:t>
            </w:r>
          </w:p>
        </w:tc>
        <w:tc>
          <w:tcPr>
            <w:tcW w:w="328" w:type="pct"/>
            <w:hideMark/>
          </w:tcPr>
          <w:p w14:paraId="3BF7F2AA" w14:textId="77777777" w:rsidR="00BD7D63" w:rsidRPr="00BD7D63" w:rsidRDefault="00BD7D63" w:rsidP="00CA08F4">
            <w:pPr>
              <w:keepNext/>
              <w:keepLines/>
              <w:rPr>
                <w:rFonts w:ascii="Arial Narrow" w:hAnsi="Arial Narrow"/>
                <w:sz w:val="16"/>
                <w:szCs w:val="16"/>
              </w:rPr>
            </w:pPr>
            <w:r w:rsidRPr="00BD7D63">
              <w:rPr>
                <w:rFonts w:ascii="Arial Narrow" w:hAnsi="Arial Narrow"/>
                <w:sz w:val="16"/>
                <w:szCs w:val="16"/>
              </w:rPr>
              <w:t xml:space="preserve">observational studies </w:t>
            </w:r>
          </w:p>
        </w:tc>
        <w:tc>
          <w:tcPr>
            <w:tcW w:w="328" w:type="pct"/>
            <w:hideMark/>
          </w:tcPr>
          <w:p w14:paraId="32253B46" w14:textId="77777777" w:rsidR="00BD7D63" w:rsidRPr="00BD7D63" w:rsidRDefault="000D69FF" w:rsidP="00CA08F4">
            <w:pPr>
              <w:keepNext/>
              <w:keepLines/>
              <w:rPr>
                <w:rFonts w:ascii="Arial Narrow" w:hAnsi="Arial Narrow"/>
                <w:sz w:val="16"/>
                <w:szCs w:val="16"/>
              </w:rPr>
            </w:pPr>
            <w:r w:rsidRPr="00BD7D63">
              <w:rPr>
                <w:rFonts w:ascii="Arial Narrow" w:hAnsi="Arial Narrow"/>
                <w:sz w:val="16"/>
                <w:szCs w:val="16"/>
              </w:rPr>
              <w:t>S</w:t>
            </w:r>
            <w:r w:rsidR="00BD7D63" w:rsidRPr="00BD7D63">
              <w:rPr>
                <w:rFonts w:ascii="Arial Narrow" w:hAnsi="Arial Narrow"/>
                <w:sz w:val="16"/>
                <w:szCs w:val="16"/>
              </w:rPr>
              <w:t>erious</w:t>
            </w:r>
            <w:r>
              <w:rPr>
                <w:rFonts w:ascii="Arial Narrow" w:hAnsi="Arial Narrow"/>
                <w:sz w:val="16"/>
                <w:szCs w:val="16"/>
                <w:vertAlign w:val="superscript"/>
              </w:rPr>
              <w:t>a</w:t>
            </w:r>
            <w:r w:rsidR="00BD7D63" w:rsidRPr="00BD7D63">
              <w:rPr>
                <w:rFonts w:ascii="Arial Narrow" w:hAnsi="Arial Narrow"/>
                <w:sz w:val="16"/>
                <w:szCs w:val="16"/>
              </w:rPr>
              <w:t xml:space="preserve"> </w:t>
            </w:r>
          </w:p>
        </w:tc>
        <w:tc>
          <w:tcPr>
            <w:tcW w:w="377" w:type="pct"/>
            <w:hideMark/>
          </w:tcPr>
          <w:p w14:paraId="595FCC43" w14:textId="77777777" w:rsidR="00BD7D63" w:rsidRPr="00BD7D63" w:rsidRDefault="00BD7D63" w:rsidP="00CA08F4">
            <w:pPr>
              <w:keepNext/>
              <w:keepLines/>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4B2C0C64" w14:textId="77777777" w:rsidR="00BD7D63" w:rsidRPr="00BD7D63" w:rsidRDefault="00BD7D63" w:rsidP="00CA08F4">
            <w:pPr>
              <w:keepNext/>
              <w:keepLines/>
              <w:rPr>
                <w:rFonts w:ascii="Arial Narrow" w:hAnsi="Arial Narrow"/>
                <w:sz w:val="16"/>
                <w:szCs w:val="16"/>
              </w:rPr>
            </w:pPr>
            <w:r w:rsidRPr="00BD7D63">
              <w:rPr>
                <w:rFonts w:ascii="Arial Narrow" w:hAnsi="Arial Narrow"/>
                <w:sz w:val="16"/>
                <w:szCs w:val="16"/>
              </w:rPr>
              <w:t xml:space="preserve">not serious </w:t>
            </w:r>
          </w:p>
        </w:tc>
        <w:tc>
          <w:tcPr>
            <w:tcW w:w="330" w:type="pct"/>
            <w:hideMark/>
          </w:tcPr>
          <w:p w14:paraId="73E4414D" w14:textId="77777777" w:rsidR="00BD7D63" w:rsidRPr="00BD7D63" w:rsidRDefault="00BD7D63" w:rsidP="00CA08F4">
            <w:pPr>
              <w:keepNext/>
              <w:keepLines/>
              <w:rPr>
                <w:rFonts w:ascii="Arial Narrow" w:hAnsi="Arial Narrow"/>
                <w:sz w:val="16"/>
                <w:szCs w:val="16"/>
              </w:rPr>
            </w:pPr>
            <w:r w:rsidRPr="00BD7D63">
              <w:rPr>
                <w:rFonts w:ascii="Arial Narrow" w:hAnsi="Arial Narrow"/>
                <w:sz w:val="16"/>
                <w:szCs w:val="16"/>
              </w:rPr>
              <w:t xml:space="preserve">not serious </w:t>
            </w:r>
          </w:p>
        </w:tc>
        <w:tc>
          <w:tcPr>
            <w:tcW w:w="371" w:type="pct"/>
            <w:hideMark/>
          </w:tcPr>
          <w:p w14:paraId="16AA132C" w14:textId="77777777" w:rsidR="00BD7D63" w:rsidRPr="00BD7D63" w:rsidRDefault="00BD7D63" w:rsidP="00CA08F4">
            <w:pPr>
              <w:keepNext/>
              <w:keepLines/>
              <w:rPr>
                <w:rFonts w:ascii="Arial Narrow" w:hAnsi="Arial Narrow"/>
                <w:sz w:val="16"/>
                <w:szCs w:val="16"/>
              </w:rPr>
            </w:pPr>
            <w:r w:rsidRPr="00BD7D63">
              <w:rPr>
                <w:rFonts w:ascii="Arial Narrow" w:hAnsi="Arial Narrow"/>
                <w:sz w:val="16"/>
                <w:szCs w:val="16"/>
              </w:rPr>
              <w:t xml:space="preserve">none </w:t>
            </w:r>
          </w:p>
        </w:tc>
        <w:tc>
          <w:tcPr>
            <w:tcW w:w="395" w:type="pct"/>
            <w:hideMark/>
          </w:tcPr>
          <w:p w14:paraId="15AE3D8D" w14:textId="77777777" w:rsidR="00BD7D63" w:rsidRPr="00BD7D63" w:rsidRDefault="00BD7D63" w:rsidP="00CA08F4">
            <w:pPr>
              <w:keepNext/>
              <w:keepLines/>
              <w:rPr>
                <w:rFonts w:ascii="Arial Narrow" w:hAnsi="Arial Narrow"/>
                <w:sz w:val="16"/>
                <w:szCs w:val="16"/>
              </w:rPr>
            </w:pPr>
            <w:r w:rsidRPr="00BD7D63">
              <w:rPr>
                <w:rFonts w:ascii="Arial Narrow" w:hAnsi="Arial Narrow"/>
                <w:sz w:val="16"/>
                <w:szCs w:val="16"/>
              </w:rPr>
              <w:t xml:space="preserve">16/18 (88.9%) </w:t>
            </w:r>
          </w:p>
        </w:tc>
        <w:tc>
          <w:tcPr>
            <w:tcW w:w="415" w:type="pct"/>
            <w:hideMark/>
          </w:tcPr>
          <w:p w14:paraId="587C1766" w14:textId="77777777" w:rsidR="00BD7D63" w:rsidRPr="00BD7D63" w:rsidRDefault="00BD7D63" w:rsidP="00CA08F4">
            <w:pPr>
              <w:keepNext/>
              <w:keepLines/>
              <w:rPr>
                <w:rFonts w:ascii="Arial Narrow" w:hAnsi="Arial Narrow"/>
                <w:sz w:val="16"/>
                <w:szCs w:val="16"/>
              </w:rPr>
            </w:pPr>
            <w:r w:rsidRPr="00BD7D63">
              <w:rPr>
                <w:rFonts w:ascii="Arial Narrow" w:hAnsi="Arial Narrow"/>
                <w:sz w:val="16"/>
                <w:szCs w:val="16"/>
              </w:rPr>
              <w:t xml:space="preserve">37/52 (71.2%) </w:t>
            </w:r>
          </w:p>
        </w:tc>
        <w:tc>
          <w:tcPr>
            <w:tcW w:w="366" w:type="pct"/>
            <w:hideMark/>
          </w:tcPr>
          <w:p w14:paraId="2B9A8158" w14:textId="77777777" w:rsidR="00BD7D63" w:rsidRPr="00BD7D63" w:rsidRDefault="00BD7D63" w:rsidP="00CA08F4">
            <w:pPr>
              <w:keepNext/>
              <w:keepLines/>
              <w:jc w:val="left"/>
              <w:rPr>
                <w:rFonts w:ascii="Arial Narrow" w:hAnsi="Arial Narrow"/>
                <w:sz w:val="16"/>
                <w:szCs w:val="16"/>
              </w:rPr>
            </w:pPr>
            <w:r w:rsidRPr="00BD7D63">
              <w:rPr>
                <w:rFonts w:ascii="Arial Narrow" w:hAnsi="Arial Narrow"/>
                <w:b/>
                <w:bCs/>
                <w:sz w:val="16"/>
                <w:szCs w:val="16"/>
              </w:rPr>
              <w:t>OR 3.243</w:t>
            </w:r>
            <w:r w:rsidRPr="00BD7D63">
              <w:rPr>
                <w:rFonts w:ascii="Arial Narrow" w:hAnsi="Arial Narrow"/>
                <w:sz w:val="16"/>
                <w:szCs w:val="16"/>
              </w:rPr>
              <w:br/>
              <w:t xml:space="preserve">(0.663 to 15.868) </w:t>
            </w:r>
          </w:p>
        </w:tc>
        <w:tc>
          <w:tcPr>
            <w:tcW w:w="469" w:type="pct"/>
            <w:hideMark/>
          </w:tcPr>
          <w:p w14:paraId="6160C5EA" w14:textId="77777777" w:rsidR="00BD7D63" w:rsidRPr="00BD7D63" w:rsidRDefault="00BD7D63" w:rsidP="00CA08F4">
            <w:pPr>
              <w:keepNext/>
              <w:keepLines/>
              <w:jc w:val="left"/>
              <w:rPr>
                <w:rFonts w:ascii="Arial Narrow" w:hAnsi="Arial Narrow"/>
                <w:sz w:val="16"/>
                <w:szCs w:val="16"/>
              </w:rPr>
            </w:pPr>
            <w:r w:rsidRPr="00BD7D63">
              <w:rPr>
                <w:rFonts w:ascii="Arial Narrow" w:hAnsi="Arial Narrow"/>
                <w:b/>
                <w:bCs/>
                <w:sz w:val="16"/>
                <w:szCs w:val="16"/>
              </w:rPr>
              <w:t>177 more per 1,000</w:t>
            </w:r>
            <w:r w:rsidRPr="00BD7D63">
              <w:rPr>
                <w:rFonts w:ascii="Arial Narrow" w:hAnsi="Arial Narrow"/>
                <w:sz w:val="16"/>
                <w:szCs w:val="16"/>
              </w:rPr>
              <w:br/>
              <w:t xml:space="preserve">(from 91 fewer to 264 more) </w:t>
            </w:r>
          </w:p>
        </w:tc>
        <w:tc>
          <w:tcPr>
            <w:tcW w:w="468" w:type="pct"/>
            <w:hideMark/>
          </w:tcPr>
          <w:p w14:paraId="58957DA5" w14:textId="77777777" w:rsidR="00BD7D63" w:rsidRPr="00BD7D63" w:rsidRDefault="00D308C6" w:rsidP="00CA08F4">
            <w:pPr>
              <w:keepNext/>
              <w:keepLines/>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BD7D63" w:rsidRPr="00BD7D63">
              <w:rPr>
                <w:rFonts w:ascii="Arial Narrow" w:hAnsi="Arial Narrow"/>
                <w:sz w:val="16"/>
                <w:szCs w:val="16"/>
              </w:rPr>
              <w:br/>
              <w:t xml:space="preserve">LOW </w:t>
            </w:r>
          </w:p>
        </w:tc>
        <w:tc>
          <w:tcPr>
            <w:tcW w:w="406" w:type="pct"/>
            <w:hideMark/>
          </w:tcPr>
          <w:p w14:paraId="7A020266" w14:textId="77777777" w:rsidR="00BD7D63" w:rsidRPr="00BD7D63" w:rsidRDefault="00BD7D63" w:rsidP="00CA08F4">
            <w:pPr>
              <w:keepNext/>
              <w:keepLines/>
              <w:rPr>
                <w:rFonts w:ascii="Arial Narrow" w:hAnsi="Arial Narrow"/>
                <w:sz w:val="16"/>
                <w:szCs w:val="16"/>
              </w:rPr>
            </w:pPr>
            <w:r w:rsidRPr="00BD7D63">
              <w:rPr>
                <w:rFonts w:ascii="Arial Narrow" w:hAnsi="Arial Narrow"/>
                <w:sz w:val="16"/>
                <w:szCs w:val="16"/>
              </w:rPr>
              <w:t xml:space="preserve">IMPORTANT </w:t>
            </w:r>
          </w:p>
        </w:tc>
      </w:tr>
      <w:tr w:rsidR="00BD7D63" w:rsidRPr="00BD7D63" w14:paraId="75E9CA95" w14:textId="77777777" w:rsidTr="00986C27">
        <w:trPr>
          <w:cantSplit/>
        </w:trPr>
        <w:tc>
          <w:tcPr>
            <w:tcW w:w="5000" w:type="pct"/>
            <w:gridSpan w:val="13"/>
            <w:shd w:val="clear" w:color="auto" w:fill="FFFFFF"/>
            <w:hideMark/>
          </w:tcPr>
          <w:p w14:paraId="68DCB3C7" w14:textId="77777777" w:rsidR="00BD7D63" w:rsidRPr="00BD7D63" w:rsidRDefault="00BD7D63" w:rsidP="00BD7D63">
            <w:pPr>
              <w:jc w:val="left"/>
              <w:rPr>
                <w:rFonts w:ascii="Arial Narrow" w:hAnsi="Arial Narrow"/>
                <w:b/>
                <w:bCs/>
                <w:sz w:val="16"/>
                <w:szCs w:val="16"/>
              </w:rPr>
            </w:pPr>
            <w:r w:rsidRPr="00BD7D63">
              <w:rPr>
                <w:rFonts w:ascii="Arial Narrow" w:hAnsi="Arial Narrow"/>
                <w:b/>
                <w:bCs/>
                <w:sz w:val="16"/>
                <w:szCs w:val="16"/>
              </w:rPr>
              <w:t>Difference in visual field deficit (follow up: mean 2.8 years)</w:t>
            </w:r>
          </w:p>
        </w:tc>
      </w:tr>
      <w:tr w:rsidR="00A56B13" w:rsidRPr="00BD7D63" w14:paraId="6260C878" w14:textId="77777777" w:rsidTr="00A56B13">
        <w:trPr>
          <w:cantSplit/>
        </w:trPr>
        <w:tc>
          <w:tcPr>
            <w:tcW w:w="420" w:type="pct"/>
            <w:hideMark/>
          </w:tcPr>
          <w:p w14:paraId="00C00840" w14:textId="77777777" w:rsidR="00BD7D63" w:rsidRDefault="00986C27" w:rsidP="00BD7D63">
            <w:pPr>
              <w:rPr>
                <w:rFonts w:ascii="Arial Narrow" w:hAnsi="Arial Narrow"/>
                <w:sz w:val="16"/>
                <w:szCs w:val="16"/>
              </w:rPr>
            </w:pPr>
            <w:r>
              <w:rPr>
                <w:rFonts w:ascii="Arial Narrow" w:hAnsi="Arial Narrow"/>
                <w:sz w:val="16"/>
                <w:szCs w:val="16"/>
              </w:rPr>
              <w:t>K=1</w:t>
            </w:r>
          </w:p>
          <w:p w14:paraId="250DA88C" w14:textId="11EFA796" w:rsidR="00986C27" w:rsidRPr="00BD7D63" w:rsidRDefault="00986C27" w:rsidP="00BD7D63">
            <w:pPr>
              <w:rPr>
                <w:rFonts w:ascii="Arial Narrow" w:hAnsi="Arial Narrow"/>
                <w:sz w:val="16"/>
                <w:szCs w:val="16"/>
              </w:rPr>
            </w:pPr>
            <w:r>
              <w:rPr>
                <w:rFonts w:ascii="Arial Narrow" w:hAnsi="Arial Narrow"/>
                <w:sz w:val="16"/>
                <w:szCs w:val="16"/>
              </w:rPr>
              <w:t>N=70</w:t>
            </w:r>
          </w:p>
        </w:tc>
        <w:tc>
          <w:tcPr>
            <w:tcW w:w="328" w:type="pct"/>
            <w:hideMark/>
          </w:tcPr>
          <w:p w14:paraId="1807C46D"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observational studies </w:t>
            </w:r>
          </w:p>
        </w:tc>
        <w:tc>
          <w:tcPr>
            <w:tcW w:w="328" w:type="pct"/>
            <w:hideMark/>
          </w:tcPr>
          <w:p w14:paraId="7D073A99" w14:textId="77777777" w:rsidR="00BD7D63" w:rsidRPr="00BD7D63" w:rsidRDefault="000D69FF" w:rsidP="00BD7D63">
            <w:pPr>
              <w:rPr>
                <w:rFonts w:ascii="Arial Narrow" w:hAnsi="Arial Narrow"/>
                <w:sz w:val="16"/>
                <w:szCs w:val="16"/>
              </w:rPr>
            </w:pPr>
            <w:r w:rsidRPr="00BD7D63">
              <w:rPr>
                <w:rFonts w:ascii="Arial Narrow" w:hAnsi="Arial Narrow"/>
                <w:sz w:val="16"/>
                <w:szCs w:val="16"/>
              </w:rPr>
              <w:t>S</w:t>
            </w:r>
            <w:r w:rsidR="00BD7D63" w:rsidRPr="00BD7D63">
              <w:rPr>
                <w:rFonts w:ascii="Arial Narrow" w:hAnsi="Arial Narrow"/>
                <w:sz w:val="16"/>
                <w:szCs w:val="16"/>
              </w:rPr>
              <w:t>erious</w:t>
            </w:r>
            <w:r>
              <w:rPr>
                <w:rFonts w:ascii="Arial Narrow" w:hAnsi="Arial Narrow"/>
                <w:sz w:val="16"/>
                <w:szCs w:val="16"/>
                <w:vertAlign w:val="superscript"/>
              </w:rPr>
              <w:t>a</w:t>
            </w:r>
            <w:r w:rsidR="00BD7D63" w:rsidRPr="00BD7D63">
              <w:rPr>
                <w:rFonts w:ascii="Arial Narrow" w:hAnsi="Arial Narrow"/>
                <w:sz w:val="16"/>
                <w:szCs w:val="16"/>
              </w:rPr>
              <w:t xml:space="preserve"> </w:t>
            </w:r>
          </w:p>
        </w:tc>
        <w:tc>
          <w:tcPr>
            <w:tcW w:w="377" w:type="pct"/>
            <w:hideMark/>
          </w:tcPr>
          <w:p w14:paraId="195FF7D8"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11B3E17A"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30" w:type="pct"/>
            <w:hideMark/>
          </w:tcPr>
          <w:p w14:paraId="3CDDCE27"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not serious </w:t>
            </w:r>
          </w:p>
        </w:tc>
        <w:tc>
          <w:tcPr>
            <w:tcW w:w="371" w:type="pct"/>
            <w:hideMark/>
          </w:tcPr>
          <w:p w14:paraId="243A76ED"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very strong association </w:t>
            </w:r>
          </w:p>
        </w:tc>
        <w:tc>
          <w:tcPr>
            <w:tcW w:w="395" w:type="pct"/>
            <w:hideMark/>
          </w:tcPr>
          <w:p w14:paraId="71F123E2"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14/18 (77.8%) </w:t>
            </w:r>
          </w:p>
        </w:tc>
        <w:tc>
          <w:tcPr>
            <w:tcW w:w="415" w:type="pct"/>
            <w:hideMark/>
          </w:tcPr>
          <w:p w14:paraId="4AFA815F"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16/52 (30.8%) </w:t>
            </w:r>
          </w:p>
        </w:tc>
        <w:tc>
          <w:tcPr>
            <w:tcW w:w="366" w:type="pct"/>
            <w:hideMark/>
          </w:tcPr>
          <w:p w14:paraId="0742057D" w14:textId="77777777" w:rsidR="00BD7D63" w:rsidRPr="00BD7D63" w:rsidRDefault="00BD7D63" w:rsidP="00BD7D63">
            <w:pPr>
              <w:jc w:val="left"/>
              <w:rPr>
                <w:rFonts w:ascii="Arial Narrow" w:hAnsi="Arial Narrow"/>
                <w:sz w:val="16"/>
                <w:szCs w:val="16"/>
              </w:rPr>
            </w:pPr>
            <w:r w:rsidRPr="00BD7D63">
              <w:rPr>
                <w:rFonts w:ascii="Arial Narrow" w:hAnsi="Arial Narrow"/>
                <w:b/>
                <w:bCs/>
                <w:sz w:val="16"/>
                <w:szCs w:val="16"/>
              </w:rPr>
              <w:t>OR 7.875</w:t>
            </w:r>
            <w:r w:rsidRPr="00BD7D63">
              <w:rPr>
                <w:rFonts w:ascii="Arial Narrow" w:hAnsi="Arial Narrow"/>
                <w:sz w:val="16"/>
                <w:szCs w:val="16"/>
              </w:rPr>
              <w:br/>
              <w:t xml:space="preserve">(2.239 to 27.697) </w:t>
            </w:r>
          </w:p>
        </w:tc>
        <w:tc>
          <w:tcPr>
            <w:tcW w:w="469" w:type="pct"/>
            <w:hideMark/>
          </w:tcPr>
          <w:p w14:paraId="0AD93613" w14:textId="77777777" w:rsidR="00BD7D63" w:rsidRPr="00BD7D63" w:rsidRDefault="00BD7D63" w:rsidP="00BD7D63">
            <w:pPr>
              <w:jc w:val="left"/>
              <w:rPr>
                <w:rFonts w:ascii="Arial Narrow" w:hAnsi="Arial Narrow"/>
                <w:sz w:val="16"/>
                <w:szCs w:val="16"/>
              </w:rPr>
            </w:pPr>
            <w:r w:rsidRPr="00BD7D63">
              <w:rPr>
                <w:rFonts w:ascii="Arial Narrow" w:hAnsi="Arial Narrow"/>
                <w:b/>
                <w:bCs/>
                <w:sz w:val="16"/>
                <w:szCs w:val="16"/>
              </w:rPr>
              <w:t>470 more per 1,000</w:t>
            </w:r>
            <w:r w:rsidRPr="00BD7D63">
              <w:rPr>
                <w:rFonts w:ascii="Arial Narrow" w:hAnsi="Arial Narrow"/>
                <w:sz w:val="16"/>
                <w:szCs w:val="16"/>
              </w:rPr>
              <w:br/>
              <w:t xml:space="preserve">(from 191 more to 617 more) </w:t>
            </w:r>
          </w:p>
        </w:tc>
        <w:tc>
          <w:tcPr>
            <w:tcW w:w="468" w:type="pct"/>
            <w:hideMark/>
          </w:tcPr>
          <w:p w14:paraId="49FC2A14" w14:textId="77777777" w:rsidR="00BD7D63" w:rsidRPr="00BD7D63" w:rsidRDefault="009931EE" w:rsidP="009931EE">
            <w:pPr>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00BD7D63" w:rsidRPr="00BD7D63">
              <w:rPr>
                <w:rFonts w:ascii="Arial Narrow" w:hAnsi="Arial Narrow"/>
                <w:sz w:val="16"/>
                <w:szCs w:val="16"/>
              </w:rPr>
              <w:br/>
            </w:r>
            <w:r>
              <w:rPr>
                <w:rFonts w:ascii="Arial Narrow" w:hAnsi="Arial Narrow"/>
                <w:sz w:val="16"/>
                <w:szCs w:val="16"/>
              </w:rPr>
              <w:t>MODERATE</w:t>
            </w:r>
            <w:r w:rsidR="00BD7D63" w:rsidRPr="00BD7D63">
              <w:rPr>
                <w:rFonts w:ascii="Arial Narrow" w:hAnsi="Arial Narrow"/>
                <w:sz w:val="16"/>
                <w:szCs w:val="16"/>
              </w:rPr>
              <w:t xml:space="preserve"> </w:t>
            </w:r>
          </w:p>
        </w:tc>
        <w:tc>
          <w:tcPr>
            <w:tcW w:w="406" w:type="pct"/>
            <w:hideMark/>
          </w:tcPr>
          <w:p w14:paraId="69E71D6D" w14:textId="77777777" w:rsidR="00BD7D63" w:rsidRPr="00BD7D63" w:rsidRDefault="00BD7D63" w:rsidP="00BD7D63">
            <w:pPr>
              <w:rPr>
                <w:rFonts w:ascii="Arial Narrow" w:hAnsi="Arial Narrow"/>
                <w:sz w:val="16"/>
                <w:szCs w:val="16"/>
              </w:rPr>
            </w:pPr>
            <w:r w:rsidRPr="00BD7D63">
              <w:rPr>
                <w:rFonts w:ascii="Arial Narrow" w:hAnsi="Arial Narrow"/>
                <w:sz w:val="16"/>
                <w:szCs w:val="16"/>
              </w:rPr>
              <w:t xml:space="preserve">CRITICAL </w:t>
            </w:r>
          </w:p>
        </w:tc>
      </w:tr>
      <w:tr w:rsidR="00BD7D63" w:rsidRPr="00BD7D63" w14:paraId="765C9169" w14:textId="77777777" w:rsidTr="00986C27">
        <w:trPr>
          <w:cantSplit/>
        </w:trPr>
        <w:tc>
          <w:tcPr>
            <w:tcW w:w="5000" w:type="pct"/>
            <w:gridSpan w:val="13"/>
            <w:shd w:val="clear" w:color="auto" w:fill="FFFFFF"/>
            <w:vAlign w:val="center"/>
            <w:hideMark/>
          </w:tcPr>
          <w:p w14:paraId="35F796AF"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Conversion to NMOSD diagnosis (follow up: range 1 years to 80 months)</w:t>
            </w:r>
          </w:p>
        </w:tc>
      </w:tr>
      <w:tr w:rsidR="00A56B13" w:rsidRPr="00BD7D63" w14:paraId="32A1B145" w14:textId="77777777" w:rsidTr="00A56B13">
        <w:trPr>
          <w:cantSplit/>
        </w:trPr>
        <w:tc>
          <w:tcPr>
            <w:tcW w:w="420" w:type="pct"/>
            <w:hideMark/>
          </w:tcPr>
          <w:p w14:paraId="71117442" w14:textId="77777777" w:rsidR="00B50AC4" w:rsidRDefault="00986C27" w:rsidP="00BD7D63">
            <w:pPr>
              <w:rPr>
                <w:rFonts w:ascii="Arial Narrow" w:hAnsi="Arial Narrow"/>
                <w:sz w:val="16"/>
                <w:szCs w:val="16"/>
              </w:rPr>
            </w:pPr>
            <w:r>
              <w:rPr>
                <w:rFonts w:ascii="Arial Narrow" w:hAnsi="Arial Narrow"/>
                <w:sz w:val="16"/>
                <w:szCs w:val="16"/>
              </w:rPr>
              <w:t>K=2</w:t>
            </w:r>
          </w:p>
          <w:p w14:paraId="5843612E" w14:textId="6AE27F81" w:rsidR="00986C27" w:rsidRPr="00BD7D63" w:rsidRDefault="00986C27" w:rsidP="00BD7D63">
            <w:pPr>
              <w:rPr>
                <w:rFonts w:ascii="Arial Narrow" w:hAnsi="Arial Narrow"/>
                <w:sz w:val="16"/>
                <w:szCs w:val="16"/>
              </w:rPr>
            </w:pPr>
            <w:r>
              <w:rPr>
                <w:rFonts w:ascii="Arial Narrow" w:hAnsi="Arial Narrow"/>
                <w:sz w:val="16"/>
                <w:szCs w:val="16"/>
              </w:rPr>
              <w:t>N=214</w:t>
            </w:r>
          </w:p>
        </w:tc>
        <w:tc>
          <w:tcPr>
            <w:tcW w:w="328" w:type="pct"/>
            <w:hideMark/>
          </w:tcPr>
          <w:p w14:paraId="2BF3FB40" w14:textId="77777777" w:rsidR="00B50AC4" w:rsidRPr="00BD7D63" w:rsidRDefault="00B50AC4" w:rsidP="00BD7D63">
            <w:pPr>
              <w:rPr>
                <w:rFonts w:ascii="Arial Narrow" w:hAnsi="Arial Narrow"/>
                <w:sz w:val="16"/>
                <w:szCs w:val="16"/>
              </w:rPr>
            </w:pPr>
            <w:r w:rsidRPr="00BD7D63">
              <w:rPr>
                <w:rFonts w:ascii="Arial Narrow" w:hAnsi="Arial Narrow"/>
                <w:sz w:val="16"/>
                <w:szCs w:val="16"/>
              </w:rPr>
              <w:t xml:space="preserve">observational studies </w:t>
            </w:r>
          </w:p>
        </w:tc>
        <w:tc>
          <w:tcPr>
            <w:tcW w:w="328" w:type="pct"/>
            <w:hideMark/>
          </w:tcPr>
          <w:p w14:paraId="49FAA269" w14:textId="77777777" w:rsidR="00B50AC4" w:rsidRPr="00BD7D63" w:rsidRDefault="000D69FF" w:rsidP="00BD7D63">
            <w:pPr>
              <w:rPr>
                <w:rFonts w:ascii="Arial Narrow" w:hAnsi="Arial Narrow"/>
                <w:sz w:val="16"/>
                <w:szCs w:val="16"/>
              </w:rPr>
            </w:pPr>
            <w:r w:rsidRPr="00BD7D63">
              <w:rPr>
                <w:rFonts w:ascii="Arial Narrow" w:hAnsi="Arial Narrow"/>
                <w:sz w:val="16"/>
                <w:szCs w:val="16"/>
              </w:rPr>
              <w:t>S</w:t>
            </w:r>
            <w:r w:rsidR="00B50AC4" w:rsidRPr="00BD7D63">
              <w:rPr>
                <w:rFonts w:ascii="Arial Narrow" w:hAnsi="Arial Narrow"/>
                <w:sz w:val="16"/>
                <w:szCs w:val="16"/>
              </w:rPr>
              <w:t>erious</w:t>
            </w:r>
            <w:r>
              <w:rPr>
                <w:rFonts w:ascii="Arial Narrow" w:hAnsi="Arial Narrow"/>
                <w:sz w:val="16"/>
                <w:szCs w:val="16"/>
                <w:vertAlign w:val="superscript"/>
              </w:rPr>
              <w:t>a</w:t>
            </w:r>
            <w:r w:rsidR="00B50AC4" w:rsidRPr="00BD7D63">
              <w:rPr>
                <w:rFonts w:ascii="Arial Narrow" w:hAnsi="Arial Narrow"/>
                <w:sz w:val="16"/>
                <w:szCs w:val="16"/>
              </w:rPr>
              <w:t xml:space="preserve"> </w:t>
            </w:r>
          </w:p>
        </w:tc>
        <w:tc>
          <w:tcPr>
            <w:tcW w:w="377" w:type="pct"/>
            <w:hideMark/>
          </w:tcPr>
          <w:p w14:paraId="2F358005" w14:textId="77777777" w:rsidR="00B50AC4" w:rsidRPr="00BD7D63" w:rsidRDefault="00B50AC4"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327D0C8B" w14:textId="77777777" w:rsidR="00B50AC4" w:rsidRPr="00BD7D63" w:rsidRDefault="00B50AC4" w:rsidP="00BD7D63">
            <w:pPr>
              <w:rPr>
                <w:rFonts w:ascii="Arial Narrow" w:hAnsi="Arial Narrow"/>
                <w:sz w:val="16"/>
                <w:szCs w:val="16"/>
              </w:rPr>
            </w:pPr>
            <w:r w:rsidRPr="00BD7D63">
              <w:rPr>
                <w:rFonts w:ascii="Arial Narrow" w:hAnsi="Arial Narrow"/>
                <w:sz w:val="16"/>
                <w:szCs w:val="16"/>
              </w:rPr>
              <w:t xml:space="preserve">not serious </w:t>
            </w:r>
          </w:p>
        </w:tc>
        <w:tc>
          <w:tcPr>
            <w:tcW w:w="330" w:type="pct"/>
            <w:hideMark/>
          </w:tcPr>
          <w:p w14:paraId="02570A57" w14:textId="77777777" w:rsidR="00B50AC4" w:rsidRPr="00BD7D63" w:rsidRDefault="00B50AC4" w:rsidP="000D69FF">
            <w:pPr>
              <w:rPr>
                <w:rFonts w:ascii="Arial Narrow" w:hAnsi="Arial Narrow"/>
                <w:sz w:val="16"/>
                <w:szCs w:val="16"/>
              </w:rPr>
            </w:pPr>
            <w:r w:rsidRPr="00BD7D63">
              <w:rPr>
                <w:rFonts w:ascii="Arial Narrow" w:hAnsi="Arial Narrow"/>
                <w:sz w:val="16"/>
                <w:szCs w:val="16"/>
              </w:rPr>
              <w:t xml:space="preserve">serious </w:t>
            </w:r>
            <w:r w:rsidR="000D69FF">
              <w:rPr>
                <w:rFonts w:ascii="Arial Narrow" w:hAnsi="Arial Narrow"/>
                <w:sz w:val="16"/>
                <w:szCs w:val="16"/>
                <w:vertAlign w:val="superscript"/>
              </w:rPr>
              <w:t>b</w:t>
            </w:r>
          </w:p>
        </w:tc>
        <w:tc>
          <w:tcPr>
            <w:tcW w:w="371" w:type="pct"/>
            <w:hideMark/>
          </w:tcPr>
          <w:p w14:paraId="603456EA" w14:textId="77777777" w:rsidR="00B50AC4" w:rsidRPr="00BD7D63" w:rsidRDefault="00B50AC4" w:rsidP="00BD7D63">
            <w:pPr>
              <w:rPr>
                <w:rFonts w:ascii="Arial Narrow" w:hAnsi="Arial Narrow"/>
                <w:sz w:val="16"/>
                <w:szCs w:val="16"/>
              </w:rPr>
            </w:pPr>
            <w:r w:rsidRPr="00BD7D63">
              <w:rPr>
                <w:rFonts w:ascii="Arial Narrow" w:hAnsi="Arial Narrow"/>
                <w:sz w:val="16"/>
                <w:szCs w:val="16"/>
              </w:rPr>
              <w:t xml:space="preserve">none </w:t>
            </w:r>
          </w:p>
        </w:tc>
        <w:tc>
          <w:tcPr>
            <w:tcW w:w="395" w:type="pct"/>
            <w:hideMark/>
          </w:tcPr>
          <w:p w14:paraId="52F72866" w14:textId="77777777" w:rsidR="00B50AC4" w:rsidRPr="00BD7D63" w:rsidRDefault="00147796" w:rsidP="00BD7D63">
            <w:pPr>
              <w:rPr>
                <w:rFonts w:ascii="Arial Narrow" w:hAnsi="Arial Narrow"/>
                <w:sz w:val="16"/>
                <w:szCs w:val="16"/>
              </w:rPr>
            </w:pPr>
            <w:r>
              <w:rPr>
                <w:rFonts w:ascii="Arial Narrow" w:hAnsi="Arial Narrow"/>
                <w:sz w:val="16"/>
                <w:szCs w:val="16"/>
              </w:rPr>
              <w:t>6/44 (13.6%)</w:t>
            </w:r>
          </w:p>
        </w:tc>
        <w:tc>
          <w:tcPr>
            <w:tcW w:w="415" w:type="pct"/>
          </w:tcPr>
          <w:p w14:paraId="6ED5B648" w14:textId="77777777" w:rsidR="00B50AC4" w:rsidRPr="00BD7D63" w:rsidRDefault="00164247" w:rsidP="00BD7D63">
            <w:pPr>
              <w:rPr>
                <w:rFonts w:ascii="Arial Narrow" w:hAnsi="Arial Narrow"/>
                <w:sz w:val="16"/>
                <w:szCs w:val="16"/>
              </w:rPr>
            </w:pPr>
            <w:r>
              <w:rPr>
                <w:rFonts w:ascii="Arial Narrow" w:hAnsi="Arial Narrow"/>
                <w:sz w:val="16"/>
                <w:szCs w:val="16"/>
              </w:rPr>
              <w:t>2/103 (1.9%)</w:t>
            </w:r>
          </w:p>
        </w:tc>
        <w:tc>
          <w:tcPr>
            <w:tcW w:w="366" w:type="pct"/>
          </w:tcPr>
          <w:p w14:paraId="17BED135" w14:textId="77777777" w:rsidR="00B50AC4" w:rsidRPr="00BD7D63" w:rsidRDefault="00164247" w:rsidP="00BD7D63">
            <w:pPr>
              <w:rPr>
                <w:rFonts w:ascii="Arial Narrow" w:hAnsi="Arial Narrow"/>
                <w:sz w:val="16"/>
                <w:szCs w:val="16"/>
              </w:rPr>
            </w:pPr>
            <w:r w:rsidRPr="00164247">
              <w:rPr>
                <w:rFonts w:ascii="Arial Narrow" w:hAnsi="Arial Narrow"/>
                <w:b/>
                <w:sz w:val="16"/>
                <w:szCs w:val="16"/>
              </w:rPr>
              <w:t>OR</w:t>
            </w:r>
            <w:r>
              <w:rPr>
                <w:rFonts w:ascii="Arial Narrow" w:hAnsi="Arial Narrow"/>
                <w:sz w:val="16"/>
                <w:szCs w:val="16"/>
              </w:rPr>
              <w:t xml:space="preserve"> range 9.11 to 10.25</w:t>
            </w:r>
          </w:p>
        </w:tc>
        <w:tc>
          <w:tcPr>
            <w:tcW w:w="469" w:type="pct"/>
          </w:tcPr>
          <w:p w14:paraId="0E6CAB35" w14:textId="77777777" w:rsidR="00B50AC4" w:rsidRPr="00BD7D63" w:rsidRDefault="00164247" w:rsidP="00BD7D63">
            <w:pPr>
              <w:rPr>
                <w:rFonts w:ascii="Arial Narrow" w:hAnsi="Arial Narrow"/>
                <w:sz w:val="16"/>
                <w:szCs w:val="16"/>
              </w:rPr>
            </w:pPr>
            <w:r>
              <w:rPr>
                <w:rFonts w:ascii="Arial Narrow" w:hAnsi="Arial Narrow"/>
                <w:sz w:val="16"/>
                <w:szCs w:val="16"/>
              </w:rPr>
              <w:t>NA</w:t>
            </w:r>
          </w:p>
        </w:tc>
        <w:tc>
          <w:tcPr>
            <w:tcW w:w="468" w:type="pct"/>
            <w:hideMark/>
          </w:tcPr>
          <w:p w14:paraId="79F0D8A2" w14:textId="77777777" w:rsidR="00B50AC4" w:rsidRPr="00BD7D63" w:rsidRDefault="00D308C6" w:rsidP="00BD7D63">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B50AC4" w:rsidRPr="00BD7D63">
              <w:rPr>
                <w:rFonts w:ascii="Arial Narrow" w:hAnsi="Arial Narrow"/>
                <w:sz w:val="16"/>
                <w:szCs w:val="16"/>
              </w:rPr>
              <w:br/>
              <w:t xml:space="preserve">VERY LOW </w:t>
            </w:r>
          </w:p>
        </w:tc>
        <w:tc>
          <w:tcPr>
            <w:tcW w:w="406" w:type="pct"/>
            <w:hideMark/>
          </w:tcPr>
          <w:p w14:paraId="27B3AA86" w14:textId="77777777" w:rsidR="00B50AC4" w:rsidRPr="00BD7D63" w:rsidRDefault="00B50AC4" w:rsidP="00BD7D63">
            <w:pPr>
              <w:rPr>
                <w:rFonts w:ascii="Arial Narrow" w:hAnsi="Arial Narrow"/>
                <w:sz w:val="16"/>
                <w:szCs w:val="16"/>
              </w:rPr>
            </w:pPr>
            <w:r w:rsidRPr="00BD7D63">
              <w:rPr>
                <w:rFonts w:ascii="Arial Narrow" w:hAnsi="Arial Narrow"/>
                <w:sz w:val="16"/>
                <w:szCs w:val="16"/>
              </w:rPr>
              <w:t xml:space="preserve">IMPORTANT </w:t>
            </w:r>
          </w:p>
        </w:tc>
      </w:tr>
      <w:tr w:rsidR="00BD7D63" w:rsidRPr="00BD7D63" w14:paraId="11157936" w14:textId="77777777" w:rsidTr="00986C27">
        <w:trPr>
          <w:cantSplit/>
        </w:trPr>
        <w:tc>
          <w:tcPr>
            <w:tcW w:w="5000" w:type="pct"/>
            <w:gridSpan w:val="13"/>
            <w:shd w:val="clear" w:color="auto" w:fill="FFFFFF"/>
            <w:vAlign w:val="center"/>
            <w:hideMark/>
          </w:tcPr>
          <w:p w14:paraId="001A6EB3"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lastRenderedPageBreak/>
              <w:t>Change in EDSS (follow up: median 42.2 months)</w:t>
            </w:r>
          </w:p>
        </w:tc>
      </w:tr>
      <w:tr w:rsidR="00A56B13" w:rsidRPr="00BD7D63" w14:paraId="24F716E3" w14:textId="77777777" w:rsidTr="00A56B13">
        <w:trPr>
          <w:cantSplit/>
        </w:trPr>
        <w:tc>
          <w:tcPr>
            <w:tcW w:w="420" w:type="pct"/>
            <w:hideMark/>
          </w:tcPr>
          <w:p w14:paraId="3C97B426" w14:textId="77777777" w:rsidR="00986C27" w:rsidRDefault="00986C27" w:rsidP="00BD7D63">
            <w:pPr>
              <w:rPr>
                <w:rFonts w:ascii="Arial Narrow" w:hAnsi="Arial Narrow"/>
                <w:sz w:val="16"/>
                <w:szCs w:val="16"/>
              </w:rPr>
            </w:pPr>
            <w:r>
              <w:rPr>
                <w:rFonts w:ascii="Arial Narrow" w:hAnsi="Arial Narrow"/>
                <w:sz w:val="16"/>
                <w:szCs w:val="16"/>
              </w:rPr>
              <w:t>K=1</w:t>
            </w:r>
          </w:p>
          <w:p w14:paraId="7FD7B839" w14:textId="5D34D02D" w:rsidR="004649DB" w:rsidRPr="00BD7D63" w:rsidRDefault="00986C27" w:rsidP="0059346C">
            <w:pPr>
              <w:rPr>
                <w:rFonts w:ascii="Arial Narrow" w:hAnsi="Arial Narrow"/>
                <w:sz w:val="16"/>
                <w:szCs w:val="16"/>
              </w:rPr>
            </w:pPr>
            <w:r>
              <w:rPr>
                <w:rFonts w:ascii="Arial Narrow" w:hAnsi="Arial Narrow"/>
                <w:sz w:val="16"/>
                <w:szCs w:val="16"/>
              </w:rPr>
              <w:t>N=</w:t>
            </w:r>
            <w:r w:rsidR="0059346C">
              <w:rPr>
                <w:rFonts w:ascii="Arial Narrow" w:hAnsi="Arial Narrow"/>
                <w:sz w:val="16"/>
                <w:szCs w:val="16"/>
              </w:rPr>
              <w:t>56</w:t>
            </w:r>
          </w:p>
        </w:tc>
        <w:tc>
          <w:tcPr>
            <w:tcW w:w="328" w:type="pct"/>
            <w:hideMark/>
          </w:tcPr>
          <w:p w14:paraId="11C36657" w14:textId="77777777" w:rsidR="004649DB" w:rsidRPr="00BD7D63" w:rsidRDefault="004649DB" w:rsidP="00BD7D63">
            <w:pPr>
              <w:rPr>
                <w:rFonts w:ascii="Arial Narrow" w:hAnsi="Arial Narrow"/>
                <w:sz w:val="16"/>
                <w:szCs w:val="16"/>
              </w:rPr>
            </w:pPr>
            <w:r w:rsidRPr="00BD7D63">
              <w:rPr>
                <w:rFonts w:ascii="Arial Narrow" w:hAnsi="Arial Narrow"/>
                <w:sz w:val="16"/>
                <w:szCs w:val="16"/>
              </w:rPr>
              <w:t xml:space="preserve">observational studies </w:t>
            </w:r>
          </w:p>
        </w:tc>
        <w:tc>
          <w:tcPr>
            <w:tcW w:w="328" w:type="pct"/>
            <w:hideMark/>
          </w:tcPr>
          <w:p w14:paraId="1039D86C" w14:textId="77777777" w:rsidR="004649DB" w:rsidRPr="00BD7D63" w:rsidRDefault="000D69FF" w:rsidP="00BD7D63">
            <w:pPr>
              <w:rPr>
                <w:rFonts w:ascii="Arial Narrow" w:hAnsi="Arial Narrow"/>
                <w:sz w:val="16"/>
                <w:szCs w:val="16"/>
              </w:rPr>
            </w:pPr>
            <w:r w:rsidRPr="00BD7D63">
              <w:rPr>
                <w:rFonts w:ascii="Arial Narrow" w:hAnsi="Arial Narrow"/>
                <w:sz w:val="16"/>
                <w:szCs w:val="16"/>
              </w:rPr>
              <w:t>S</w:t>
            </w:r>
            <w:r w:rsidR="004649DB" w:rsidRPr="00BD7D63">
              <w:rPr>
                <w:rFonts w:ascii="Arial Narrow" w:hAnsi="Arial Narrow"/>
                <w:sz w:val="16"/>
                <w:szCs w:val="16"/>
              </w:rPr>
              <w:t>erious</w:t>
            </w:r>
            <w:r>
              <w:rPr>
                <w:rFonts w:ascii="Arial Narrow" w:hAnsi="Arial Narrow"/>
                <w:sz w:val="16"/>
                <w:szCs w:val="16"/>
                <w:vertAlign w:val="superscript"/>
              </w:rPr>
              <w:t>a</w:t>
            </w:r>
            <w:r w:rsidR="004649DB" w:rsidRPr="00BD7D63">
              <w:rPr>
                <w:rFonts w:ascii="Arial Narrow" w:hAnsi="Arial Narrow"/>
                <w:sz w:val="16"/>
                <w:szCs w:val="16"/>
              </w:rPr>
              <w:t xml:space="preserve"> </w:t>
            </w:r>
          </w:p>
        </w:tc>
        <w:tc>
          <w:tcPr>
            <w:tcW w:w="377" w:type="pct"/>
            <w:hideMark/>
          </w:tcPr>
          <w:p w14:paraId="16305F49" w14:textId="77777777" w:rsidR="004649DB" w:rsidRPr="00BD7D63" w:rsidRDefault="004649DB" w:rsidP="00BD7D6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58C421E6" w14:textId="77777777" w:rsidR="004649DB" w:rsidRPr="00BD7D63" w:rsidRDefault="004649DB" w:rsidP="00BD7D63">
            <w:pPr>
              <w:rPr>
                <w:rFonts w:ascii="Arial Narrow" w:hAnsi="Arial Narrow"/>
                <w:sz w:val="16"/>
                <w:szCs w:val="16"/>
              </w:rPr>
            </w:pPr>
            <w:r w:rsidRPr="00BD7D63">
              <w:rPr>
                <w:rFonts w:ascii="Arial Narrow" w:hAnsi="Arial Narrow"/>
                <w:sz w:val="16"/>
                <w:szCs w:val="16"/>
              </w:rPr>
              <w:t xml:space="preserve">not serious </w:t>
            </w:r>
          </w:p>
        </w:tc>
        <w:tc>
          <w:tcPr>
            <w:tcW w:w="330" w:type="pct"/>
            <w:hideMark/>
          </w:tcPr>
          <w:p w14:paraId="77555F1A" w14:textId="77777777" w:rsidR="004649DB" w:rsidRPr="00BD7D63" w:rsidRDefault="004649DB" w:rsidP="00BD7D63">
            <w:pPr>
              <w:rPr>
                <w:rFonts w:ascii="Arial Narrow" w:hAnsi="Arial Narrow"/>
                <w:sz w:val="16"/>
                <w:szCs w:val="16"/>
              </w:rPr>
            </w:pPr>
            <w:r w:rsidRPr="00BD7D63">
              <w:rPr>
                <w:rFonts w:ascii="Arial Narrow" w:hAnsi="Arial Narrow"/>
                <w:sz w:val="16"/>
                <w:szCs w:val="16"/>
              </w:rPr>
              <w:t xml:space="preserve">not serious </w:t>
            </w:r>
          </w:p>
        </w:tc>
        <w:tc>
          <w:tcPr>
            <w:tcW w:w="371" w:type="pct"/>
            <w:hideMark/>
          </w:tcPr>
          <w:p w14:paraId="212E4D87" w14:textId="77777777" w:rsidR="004649DB" w:rsidRPr="00BD7D63" w:rsidRDefault="004649DB" w:rsidP="00BD7D63">
            <w:pPr>
              <w:rPr>
                <w:rFonts w:ascii="Arial Narrow" w:hAnsi="Arial Narrow"/>
                <w:sz w:val="16"/>
                <w:szCs w:val="16"/>
              </w:rPr>
            </w:pPr>
            <w:r w:rsidRPr="00BD7D63">
              <w:rPr>
                <w:rFonts w:ascii="Arial Narrow" w:hAnsi="Arial Narrow"/>
                <w:sz w:val="16"/>
                <w:szCs w:val="16"/>
              </w:rPr>
              <w:t xml:space="preserve">none </w:t>
            </w:r>
          </w:p>
        </w:tc>
        <w:tc>
          <w:tcPr>
            <w:tcW w:w="395" w:type="pct"/>
            <w:hideMark/>
          </w:tcPr>
          <w:p w14:paraId="0860E8DF" w14:textId="77777777" w:rsidR="004649DB" w:rsidRPr="00BD7D63" w:rsidRDefault="004649DB" w:rsidP="004649DB">
            <w:pPr>
              <w:rPr>
                <w:rFonts w:ascii="Arial Narrow" w:hAnsi="Arial Narrow"/>
                <w:sz w:val="16"/>
                <w:szCs w:val="16"/>
              </w:rPr>
            </w:pPr>
            <w:r>
              <w:rPr>
                <w:rFonts w:ascii="Arial Narrow" w:hAnsi="Arial Narrow"/>
                <w:sz w:val="16"/>
                <w:szCs w:val="16"/>
              </w:rPr>
              <w:t>Median (range) 2 (0-2.5)</w:t>
            </w:r>
          </w:p>
        </w:tc>
        <w:tc>
          <w:tcPr>
            <w:tcW w:w="415" w:type="pct"/>
          </w:tcPr>
          <w:p w14:paraId="08D268AA" w14:textId="77777777" w:rsidR="004649DB" w:rsidRPr="00BD7D63" w:rsidRDefault="004649DB" w:rsidP="00BD7D63">
            <w:pPr>
              <w:rPr>
                <w:rFonts w:ascii="Arial Narrow" w:hAnsi="Arial Narrow"/>
                <w:sz w:val="16"/>
                <w:szCs w:val="16"/>
              </w:rPr>
            </w:pPr>
            <w:r>
              <w:rPr>
                <w:rFonts w:ascii="Arial Narrow" w:hAnsi="Arial Narrow"/>
                <w:sz w:val="16"/>
                <w:szCs w:val="16"/>
              </w:rPr>
              <w:t xml:space="preserve">Median (range) 3 (2.0-5.5) </w:t>
            </w:r>
          </w:p>
        </w:tc>
        <w:tc>
          <w:tcPr>
            <w:tcW w:w="366" w:type="pct"/>
          </w:tcPr>
          <w:p w14:paraId="0B05F756" w14:textId="77777777" w:rsidR="004649DB" w:rsidRPr="00BD7D63" w:rsidRDefault="004649DB" w:rsidP="00BD7D63">
            <w:pPr>
              <w:rPr>
                <w:rFonts w:ascii="Arial Narrow" w:hAnsi="Arial Narrow"/>
                <w:sz w:val="16"/>
                <w:szCs w:val="16"/>
              </w:rPr>
            </w:pPr>
            <w:r>
              <w:rPr>
                <w:rFonts w:ascii="Arial Narrow" w:hAnsi="Arial Narrow"/>
                <w:sz w:val="16"/>
                <w:szCs w:val="16"/>
              </w:rPr>
              <w:t>NA</w:t>
            </w:r>
          </w:p>
        </w:tc>
        <w:tc>
          <w:tcPr>
            <w:tcW w:w="469" w:type="pct"/>
          </w:tcPr>
          <w:p w14:paraId="7EEE4CD8" w14:textId="77777777" w:rsidR="004649DB" w:rsidRPr="00BD7D63" w:rsidRDefault="004649DB" w:rsidP="00BD7D63">
            <w:pPr>
              <w:rPr>
                <w:rFonts w:ascii="Arial Narrow" w:hAnsi="Arial Narrow"/>
                <w:sz w:val="16"/>
                <w:szCs w:val="16"/>
              </w:rPr>
            </w:pPr>
            <w:r>
              <w:rPr>
                <w:rFonts w:ascii="Arial Narrow" w:hAnsi="Arial Narrow"/>
                <w:sz w:val="16"/>
                <w:szCs w:val="16"/>
              </w:rPr>
              <w:t>NA</w:t>
            </w:r>
          </w:p>
        </w:tc>
        <w:tc>
          <w:tcPr>
            <w:tcW w:w="468" w:type="pct"/>
            <w:hideMark/>
          </w:tcPr>
          <w:p w14:paraId="1706F9ED" w14:textId="77777777" w:rsidR="004649DB" w:rsidRPr="00BD7D63" w:rsidRDefault="00D308C6" w:rsidP="00BD7D63">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4649DB" w:rsidRPr="00BD7D63">
              <w:rPr>
                <w:rFonts w:ascii="Arial Narrow" w:hAnsi="Arial Narrow"/>
                <w:sz w:val="16"/>
                <w:szCs w:val="16"/>
              </w:rPr>
              <w:br/>
              <w:t xml:space="preserve">LOW </w:t>
            </w:r>
          </w:p>
        </w:tc>
        <w:tc>
          <w:tcPr>
            <w:tcW w:w="406" w:type="pct"/>
            <w:hideMark/>
          </w:tcPr>
          <w:p w14:paraId="01AEAB87" w14:textId="77777777" w:rsidR="004649DB" w:rsidRPr="00BD7D63" w:rsidRDefault="004649DB" w:rsidP="00BD7D63">
            <w:pPr>
              <w:rPr>
                <w:rFonts w:ascii="Arial Narrow" w:hAnsi="Arial Narrow"/>
                <w:sz w:val="16"/>
                <w:szCs w:val="16"/>
              </w:rPr>
            </w:pPr>
            <w:r w:rsidRPr="00BD7D63">
              <w:rPr>
                <w:rFonts w:ascii="Arial Narrow" w:hAnsi="Arial Narrow"/>
                <w:sz w:val="16"/>
                <w:szCs w:val="16"/>
              </w:rPr>
              <w:t xml:space="preserve">IMPORTANT </w:t>
            </w:r>
          </w:p>
        </w:tc>
      </w:tr>
      <w:tr w:rsidR="00BD7D63" w:rsidRPr="00BD7D63" w14:paraId="486626A3" w14:textId="77777777" w:rsidTr="00986C27">
        <w:trPr>
          <w:cantSplit/>
        </w:trPr>
        <w:tc>
          <w:tcPr>
            <w:tcW w:w="5000" w:type="pct"/>
            <w:gridSpan w:val="13"/>
            <w:shd w:val="clear" w:color="auto" w:fill="FFFFFF"/>
            <w:vAlign w:val="center"/>
            <w:hideMark/>
          </w:tcPr>
          <w:p w14:paraId="3635C8D3" w14:textId="77777777" w:rsidR="00BD7D63" w:rsidRPr="00BD7D63" w:rsidRDefault="00BD7D63" w:rsidP="00BD7D63">
            <w:pPr>
              <w:rPr>
                <w:rFonts w:ascii="Arial Narrow" w:hAnsi="Arial Narrow"/>
                <w:b/>
                <w:bCs/>
                <w:sz w:val="16"/>
                <w:szCs w:val="16"/>
              </w:rPr>
            </w:pPr>
            <w:r w:rsidRPr="00BD7D63">
              <w:rPr>
                <w:rFonts w:ascii="Arial Narrow" w:hAnsi="Arial Narrow"/>
                <w:b/>
                <w:bCs/>
                <w:sz w:val="16"/>
                <w:szCs w:val="16"/>
              </w:rPr>
              <w:t>Rate of relapse (follow up: range 2.8 years to 42.2 months)</w:t>
            </w:r>
          </w:p>
        </w:tc>
      </w:tr>
      <w:tr w:rsidR="00A56B13" w:rsidRPr="00BD7D63" w14:paraId="73F338F4" w14:textId="77777777" w:rsidTr="00A56B13">
        <w:trPr>
          <w:cantSplit/>
        </w:trPr>
        <w:tc>
          <w:tcPr>
            <w:tcW w:w="420" w:type="pct"/>
            <w:hideMark/>
          </w:tcPr>
          <w:p w14:paraId="2F25EC7B" w14:textId="77777777" w:rsidR="007F0283" w:rsidRDefault="00986C27" w:rsidP="007F0283">
            <w:pPr>
              <w:rPr>
                <w:rFonts w:ascii="Arial Narrow" w:hAnsi="Arial Narrow"/>
                <w:sz w:val="16"/>
                <w:szCs w:val="16"/>
              </w:rPr>
            </w:pPr>
            <w:r>
              <w:rPr>
                <w:rFonts w:ascii="Arial Narrow" w:hAnsi="Arial Narrow"/>
                <w:sz w:val="16"/>
                <w:szCs w:val="16"/>
              </w:rPr>
              <w:t>K=2</w:t>
            </w:r>
          </w:p>
          <w:p w14:paraId="11E508D8" w14:textId="51E89BDC" w:rsidR="00986C27" w:rsidRPr="00BD7D63" w:rsidRDefault="00986C27" w:rsidP="0059346C">
            <w:pPr>
              <w:rPr>
                <w:rFonts w:ascii="Arial Narrow" w:hAnsi="Arial Narrow"/>
                <w:sz w:val="16"/>
                <w:szCs w:val="16"/>
              </w:rPr>
            </w:pPr>
            <w:r>
              <w:rPr>
                <w:rFonts w:ascii="Arial Narrow" w:hAnsi="Arial Narrow"/>
                <w:sz w:val="16"/>
                <w:szCs w:val="16"/>
              </w:rPr>
              <w:t>N=</w:t>
            </w:r>
            <w:r w:rsidR="0059346C">
              <w:rPr>
                <w:rFonts w:ascii="Arial Narrow" w:hAnsi="Arial Narrow"/>
                <w:sz w:val="16"/>
                <w:szCs w:val="16"/>
              </w:rPr>
              <w:t>126</w:t>
            </w:r>
          </w:p>
        </w:tc>
        <w:tc>
          <w:tcPr>
            <w:tcW w:w="328" w:type="pct"/>
            <w:hideMark/>
          </w:tcPr>
          <w:p w14:paraId="1A9100D7" w14:textId="77777777" w:rsidR="007F0283" w:rsidRPr="00BD7D63" w:rsidRDefault="007F0283" w:rsidP="007F0283">
            <w:pPr>
              <w:rPr>
                <w:rFonts w:ascii="Arial Narrow" w:hAnsi="Arial Narrow"/>
                <w:sz w:val="16"/>
                <w:szCs w:val="16"/>
              </w:rPr>
            </w:pPr>
            <w:r w:rsidRPr="00BD7D63">
              <w:rPr>
                <w:rFonts w:ascii="Arial Narrow" w:hAnsi="Arial Narrow"/>
                <w:sz w:val="16"/>
                <w:szCs w:val="16"/>
              </w:rPr>
              <w:t xml:space="preserve">observational studies </w:t>
            </w:r>
          </w:p>
        </w:tc>
        <w:tc>
          <w:tcPr>
            <w:tcW w:w="328" w:type="pct"/>
            <w:hideMark/>
          </w:tcPr>
          <w:p w14:paraId="47D9FEB0" w14:textId="77777777" w:rsidR="007F0283" w:rsidRPr="00BD7D63" w:rsidRDefault="007F0283" w:rsidP="007F0283">
            <w:pPr>
              <w:rPr>
                <w:rFonts w:ascii="Arial Narrow" w:hAnsi="Arial Narrow"/>
                <w:sz w:val="16"/>
                <w:szCs w:val="16"/>
              </w:rPr>
            </w:pPr>
            <w:r w:rsidRPr="00BD7D63">
              <w:rPr>
                <w:rFonts w:ascii="Arial Narrow" w:hAnsi="Arial Narrow"/>
                <w:sz w:val="16"/>
                <w:szCs w:val="16"/>
              </w:rPr>
              <w:t xml:space="preserve">not serious </w:t>
            </w:r>
          </w:p>
        </w:tc>
        <w:tc>
          <w:tcPr>
            <w:tcW w:w="377" w:type="pct"/>
            <w:hideMark/>
          </w:tcPr>
          <w:p w14:paraId="110C83D3" w14:textId="77777777" w:rsidR="007F0283" w:rsidRPr="00BD7D63" w:rsidRDefault="007F0283" w:rsidP="007F0283">
            <w:pPr>
              <w:rPr>
                <w:rFonts w:ascii="Arial Narrow" w:hAnsi="Arial Narrow"/>
                <w:sz w:val="16"/>
                <w:szCs w:val="16"/>
              </w:rPr>
            </w:pPr>
            <w:r w:rsidRPr="00BD7D63">
              <w:rPr>
                <w:rFonts w:ascii="Arial Narrow" w:hAnsi="Arial Narrow"/>
                <w:sz w:val="16"/>
                <w:szCs w:val="16"/>
              </w:rPr>
              <w:t xml:space="preserve">not serious </w:t>
            </w:r>
          </w:p>
        </w:tc>
        <w:tc>
          <w:tcPr>
            <w:tcW w:w="327" w:type="pct"/>
            <w:hideMark/>
          </w:tcPr>
          <w:p w14:paraId="2829FFFC" w14:textId="77777777" w:rsidR="007F0283" w:rsidRPr="00BD7D63" w:rsidRDefault="007F0283" w:rsidP="000D69FF">
            <w:pPr>
              <w:rPr>
                <w:rFonts w:ascii="Arial Narrow" w:hAnsi="Arial Narrow"/>
                <w:sz w:val="16"/>
                <w:szCs w:val="16"/>
              </w:rPr>
            </w:pPr>
            <w:r w:rsidRPr="00BD7D63">
              <w:rPr>
                <w:rFonts w:ascii="Arial Narrow" w:hAnsi="Arial Narrow"/>
                <w:sz w:val="16"/>
                <w:szCs w:val="16"/>
              </w:rPr>
              <w:t xml:space="preserve">serious </w:t>
            </w:r>
            <w:r w:rsidR="000D69FF">
              <w:rPr>
                <w:rFonts w:ascii="Arial Narrow" w:hAnsi="Arial Narrow"/>
                <w:sz w:val="16"/>
                <w:szCs w:val="16"/>
                <w:vertAlign w:val="superscript"/>
              </w:rPr>
              <w:t>c</w:t>
            </w:r>
          </w:p>
        </w:tc>
        <w:tc>
          <w:tcPr>
            <w:tcW w:w="330" w:type="pct"/>
            <w:hideMark/>
          </w:tcPr>
          <w:p w14:paraId="6E4E2137" w14:textId="77777777" w:rsidR="007F0283" w:rsidRPr="00BD7D63" w:rsidRDefault="007F0283" w:rsidP="00795688">
            <w:pPr>
              <w:rPr>
                <w:rFonts w:ascii="Arial Narrow" w:hAnsi="Arial Narrow"/>
                <w:sz w:val="16"/>
                <w:szCs w:val="16"/>
              </w:rPr>
            </w:pPr>
            <w:r w:rsidRPr="00BD7D63">
              <w:rPr>
                <w:rFonts w:ascii="Arial Narrow" w:hAnsi="Arial Narrow"/>
                <w:sz w:val="16"/>
                <w:szCs w:val="16"/>
              </w:rPr>
              <w:t xml:space="preserve">serious </w:t>
            </w:r>
            <w:r w:rsidR="00795688">
              <w:rPr>
                <w:rFonts w:ascii="Arial Narrow" w:hAnsi="Arial Narrow"/>
                <w:sz w:val="16"/>
                <w:szCs w:val="16"/>
                <w:vertAlign w:val="superscript"/>
              </w:rPr>
              <w:t>a</w:t>
            </w:r>
          </w:p>
        </w:tc>
        <w:tc>
          <w:tcPr>
            <w:tcW w:w="371" w:type="pct"/>
            <w:hideMark/>
          </w:tcPr>
          <w:p w14:paraId="465D1D70" w14:textId="77777777" w:rsidR="007F0283" w:rsidRPr="00BD7D63" w:rsidRDefault="007F0283" w:rsidP="007F0283">
            <w:pPr>
              <w:rPr>
                <w:rFonts w:ascii="Arial Narrow" w:hAnsi="Arial Narrow"/>
                <w:sz w:val="16"/>
                <w:szCs w:val="16"/>
              </w:rPr>
            </w:pPr>
            <w:r w:rsidRPr="00BD7D63">
              <w:rPr>
                <w:rFonts w:ascii="Arial Narrow" w:hAnsi="Arial Narrow"/>
                <w:sz w:val="16"/>
                <w:szCs w:val="16"/>
              </w:rPr>
              <w:t xml:space="preserve">none </w:t>
            </w:r>
          </w:p>
        </w:tc>
        <w:tc>
          <w:tcPr>
            <w:tcW w:w="395" w:type="pct"/>
            <w:hideMark/>
          </w:tcPr>
          <w:p w14:paraId="7D3F1F3C" w14:textId="77777777" w:rsidR="007F0283" w:rsidRPr="007F0283" w:rsidRDefault="007F0283" w:rsidP="00CA08F4">
            <w:pPr>
              <w:spacing w:after="80"/>
              <w:jc w:val="left"/>
              <w:rPr>
                <w:rFonts w:ascii="Arial Narrow" w:hAnsi="Arial Narrow"/>
                <w:sz w:val="16"/>
                <w:szCs w:val="16"/>
              </w:rPr>
            </w:pPr>
            <w:r w:rsidRPr="007F0283">
              <w:rPr>
                <w:rFonts w:ascii="Arial Narrow" w:hAnsi="Arial Narrow"/>
                <w:sz w:val="16"/>
                <w:szCs w:val="16"/>
              </w:rPr>
              <w:t xml:space="preserve">ARR </w:t>
            </w:r>
            <w:r>
              <w:rPr>
                <w:rFonts w:ascii="Arial Narrow" w:hAnsi="Arial Narrow"/>
                <w:sz w:val="16"/>
                <w:szCs w:val="16"/>
              </w:rPr>
              <w:t>ON 0.82</w:t>
            </w:r>
          </w:p>
          <w:p w14:paraId="799E40EC" w14:textId="77777777" w:rsidR="007F0283" w:rsidRDefault="007F0283" w:rsidP="00CA08F4">
            <w:pPr>
              <w:spacing w:after="80"/>
              <w:jc w:val="left"/>
              <w:rPr>
                <w:rFonts w:ascii="Arial Narrow" w:hAnsi="Arial Narrow"/>
                <w:sz w:val="16"/>
                <w:szCs w:val="16"/>
              </w:rPr>
            </w:pPr>
            <w:r w:rsidRPr="007F0283">
              <w:rPr>
                <w:rFonts w:ascii="Arial Narrow" w:hAnsi="Arial Narrow"/>
                <w:sz w:val="16"/>
                <w:szCs w:val="16"/>
              </w:rPr>
              <w:t xml:space="preserve">Patients relapsed LETM </w:t>
            </w:r>
            <w:r>
              <w:rPr>
                <w:rFonts w:ascii="Arial Narrow" w:hAnsi="Arial Narrow"/>
                <w:sz w:val="16"/>
                <w:szCs w:val="16"/>
              </w:rPr>
              <w:t>2/13 (15.4%)</w:t>
            </w:r>
          </w:p>
          <w:p w14:paraId="472D8EF3" w14:textId="77777777" w:rsidR="008D6768" w:rsidRPr="007F0283" w:rsidRDefault="008D6768" w:rsidP="00CA08F4">
            <w:pPr>
              <w:spacing w:after="80"/>
              <w:jc w:val="left"/>
              <w:rPr>
                <w:rFonts w:ascii="Arial Narrow" w:hAnsi="Arial Narrow"/>
                <w:sz w:val="16"/>
                <w:szCs w:val="16"/>
                <w:highlight w:val="yellow"/>
              </w:rPr>
            </w:pPr>
            <w:r>
              <w:rPr>
                <w:rFonts w:ascii="Arial Narrow" w:hAnsi="Arial Narrow"/>
                <w:sz w:val="16"/>
                <w:szCs w:val="16"/>
              </w:rPr>
              <w:t>Patients relapsed ON 4/13 (30.8%)</w:t>
            </w:r>
          </w:p>
        </w:tc>
        <w:tc>
          <w:tcPr>
            <w:tcW w:w="415" w:type="pct"/>
          </w:tcPr>
          <w:p w14:paraId="39D1EBCD" w14:textId="77777777" w:rsidR="007F0283" w:rsidRPr="007F0283" w:rsidRDefault="007F0283" w:rsidP="00CA08F4">
            <w:pPr>
              <w:spacing w:after="80"/>
              <w:jc w:val="left"/>
              <w:rPr>
                <w:rFonts w:ascii="Arial Narrow" w:hAnsi="Arial Narrow"/>
                <w:sz w:val="16"/>
                <w:szCs w:val="16"/>
              </w:rPr>
            </w:pPr>
            <w:r w:rsidRPr="007F0283">
              <w:rPr>
                <w:rFonts w:ascii="Arial Narrow" w:hAnsi="Arial Narrow"/>
                <w:sz w:val="16"/>
                <w:szCs w:val="16"/>
              </w:rPr>
              <w:t xml:space="preserve">ARR </w:t>
            </w:r>
            <w:r>
              <w:rPr>
                <w:rFonts w:ascii="Arial Narrow" w:hAnsi="Arial Narrow"/>
                <w:sz w:val="16"/>
                <w:szCs w:val="16"/>
              </w:rPr>
              <w:t xml:space="preserve">ON </w:t>
            </w:r>
            <w:r w:rsidRPr="007F0283">
              <w:rPr>
                <w:rFonts w:ascii="Arial Narrow" w:hAnsi="Arial Narrow"/>
                <w:sz w:val="16"/>
                <w:szCs w:val="16"/>
              </w:rPr>
              <w:t>0.40</w:t>
            </w:r>
          </w:p>
          <w:p w14:paraId="454FE40D" w14:textId="77777777" w:rsidR="007F0283" w:rsidRDefault="007F0283" w:rsidP="00CA08F4">
            <w:pPr>
              <w:spacing w:after="80"/>
              <w:jc w:val="left"/>
              <w:rPr>
                <w:rFonts w:ascii="Arial Narrow" w:hAnsi="Arial Narrow"/>
                <w:sz w:val="16"/>
                <w:szCs w:val="16"/>
              </w:rPr>
            </w:pPr>
            <w:r w:rsidRPr="007F0283">
              <w:rPr>
                <w:rFonts w:ascii="Arial Narrow" w:hAnsi="Arial Narrow"/>
                <w:sz w:val="16"/>
                <w:szCs w:val="16"/>
              </w:rPr>
              <w:t>Patients relapsed LETM</w:t>
            </w:r>
            <w:r>
              <w:rPr>
                <w:rFonts w:ascii="Arial Narrow" w:hAnsi="Arial Narrow"/>
                <w:sz w:val="16"/>
                <w:szCs w:val="16"/>
              </w:rPr>
              <w:t xml:space="preserve"> 7/43 (16.3%)</w:t>
            </w:r>
          </w:p>
          <w:p w14:paraId="24EC92A1" w14:textId="77777777" w:rsidR="008D6768" w:rsidRPr="007F0283" w:rsidRDefault="008D6768" w:rsidP="00CA08F4">
            <w:pPr>
              <w:spacing w:after="80"/>
              <w:jc w:val="left"/>
              <w:rPr>
                <w:rFonts w:ascii="Arial Narrow" w:hAnsi="Arial Narrow"/>
                <w:sz w:val="16"/>
                <w:szCs w:val="16"/>
                <w:highlight w:val="yellow"/>
              </w:rPr>
            </w:pPr>
            <w:r>
              <w:rPr>
                <w:rFonts w:ascii="Arial Narrow" w:hAnsi="Arial Narrow"/>
                <w:sz w:val="16"/>
                <w:szCs w:val="16"/>
              </w:rPr>
              <w:t>Patients relapsed ON 2/43 (4.7%)</w:t>
            </w:r>
          </w:p>
        </w:tc>
        <w:tc>
          <w:tcPr>
            <w:tcW w:w="366" w:type="pct"/>
          </w:tcPr>
          <w:p w14:paraId="22C1DE0B" w14:textId="77777777" w:rsidR="007F0283" w:rsidRDefault="007F0283" w:rsidP="00CA08F4">
            <w:pPr>
              <w:spacing w:after="80"/>
              <w:rPr>
                <w:rFonts w:ascii="Arial Narrow" w:hAnsi="Arial Narrow"/>
                <w:sz w:val="16"/>
                <w:szCs w:val="16"/>
              </w:rPr>
            </w:pPr>
            <w:r>
              <w:rPr>
                <w:rFonts w:ascii="Arial Narrow" w:hAnsi="Arial Narrow"/>
                <w:sz w:val="16"/>
                <w:szCs w:val="16"/>
              </w:rPr>
              <w:t>NA</w:t>
            </w:r>
          </w:p>
          <w:p w14:paraId="026FFE47" w14:textId="77777777" w:rsidR="007F0283" w:rsidRDefault="008D6768" w:rsidP="00CA08F4">
            <w:pPr>
              <w:spacing w:after="80"/>
              <w:jc w:val="left"/>
              <w:rPr>
                <w:rFonts w:ascii="Arial Narrow" w:hAnsi="Arial Narrow"/>
                <w:sz w:val="16"/>
                <w:szCs w:val="16"/>
              </w:rPr>
            </w:pPr>
            <w:r w:rsidRPr="008D6768">
              <w:rPr>
                <w:rFonts w:ascii="Arial Narrow" w:hAnsi="Arial Narrow"/>
                <w:b/>
                <w:sz w:val="16"/>
                <w:szCs w:val="16"/>
              </w:rPr>
              <w:t>OR</w:t>
            </w:r>
            <w:r>
              <w:rPr>
                <w:rFonts w:ascii="Arial Narrow" w:hAnsi="Arial Narrow"/>
                <w:sz w:val="16"/>
                <w:szCs w:val="16"/>
              </w:rPr>
              <w:t xml:space="preserve"> </w:t>
            </w:r>
            <w:r w:rsidR="007F0283">
              <w:rPr>
                <w:rFonts w:ascii="Arial Narrow" w:hAnsi="Arial Narrow"/>
                <w:sz w:val="16"/>
                <w:szCs w:val="16"/>
              </w:rPr>
              <w:t>0.935 (0.169,5.172)</w:t>
            </w:r>
            <w:r w:rsidR="00CA08F4">
              <w:rPr>
                <w:rFonts w:ascii="Arial Narrow" w:hAnsi="Arial Narrow"/>
                <w:sz w:val="16"/>
                <w:szCs w:val="16"/>
              </w:rPr>
              <w:br/>
            </w:r>
          </w:p>
          <w:p w14:paraId="1D7A98B3" w14:textId="77777777" w:rsidR="008D6768" w:rsidRPr="00BD7D63" w:rsidRDefault="008D6768" w:rsidP="00CA08F4">
            <w:pPr>
              <w:spacing w:after="80"/>
              <w:jc w:val="left"/>
              <w:rPr>
                <w:rFonts w:ascii="Arial Narrow" w:hAnsi="Arial Narrow"/>
                <w:sz w:val="16"/>
                <w:szCs w:val="16"/>
              </w:rPr>
            </w:pPr>
            <w:r w:rsidRPr="008D6768">
              <w:rPr>
                <w:rFonts w:ascii="Arial Narrow" w:hAnsi="Arial Narrow"/>
                <w:b/>
                <w:sz w:val="16"/>
                <w:szCs w:val="16"/>
              </w:rPr>
              <w:t>OR</w:t>
            </w:r>
            <w:r>
              <w:rPr>
                <w:rFonts w:ascii="Arial Narrow" w:hAnsi="Arial Narrow"/>
                <w:sz w:val="16"/>
                <w:szCs w:val="16"/>
              </w:rPr>
              <w:t xml:space="preserve"> 9.111 (1.441,57.620)</w:t>
            </w:r>
          </w:p>
        </w:tc>
        <w:tc>
          <w:tcPr>
            <w:tcW w:w="469" w:type="pct"/>
          </w:tcPr>
          <w:p w14:paraId="0340D9A2" w14:textId="77777777" w:rsidR="008D6768" w:rsidRPr="00BD7D63" w:rsidRDefault="007F0283" w:rsidP="00CA08F4">
            <w:pPr>
              <w:spacing w:after="80"/>
              <w:rPr>
                <w:rFonts w:ascii="Arial Narrow" w:hAnsi="Arial Narrow"/>
                <w:sz w:val="16"/>
                <w:szCs w:val="16"/>
              </w:rPr>
            </w:pPr>
            <w:r>
              <w:rPr>
                <w:rFonts w:ascii="Arial Narrow" w:hAnsi="Arial Narrow"/>
                <w:sz w:val="16"/>
                <w:szCs w:val="16"/>
              </w:rPr>
              <w:t>NA</w:t>
            </w:r>
          </w:p>
        </w:tc>
        <w:tc>
          <w:tcPr>
            <w:tcW w:w="468" w:type="pct"/>
            <w:hideMark/>
          </w:tcPr>
          <w:p w14:paraId="69E9D4B8" w14:textId="77777777" w:rsidR="007F0283" w:rsidRPr="00BD7D63" w:rsidRDefault="00D308C6" w:rsidP="007F0283">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7F0283" w:rsidRPr="00BD7D63">
              <w:rPr>
                <w:rFonts w:ascii="Arial Narrow" w:hAnsi="Arial Narrow"/>
                <w:sz w:val="16"/>
                <w:szCs w:val="16"/>
              </w:rPr>
              <w:br/>
              <w:t xml:space="preserve">VERY LOW </w:t>
            </w:r>
          </w:p>
        </w:tc>
        <w:tc>
          <w:tcPr>
            <w:tcW w:w="406" w:type="pct"/>
            <w:hideMark/>
          </w:tcPr>
          <w:p w14:paraId="4A9291E1" w14:textId="77777777" w:rsidR="007F0283" w:rsidRPr="00BD7D63" w:rsidRDefault="007F0283" w:rsidP="007F0283">
            <w:pPr>
              <w:rPr>
                <w:rFonts w:ascii="Arial Narrow" w:hAnsi="Arial Narrow"/>
                <w:sz w:val="16"/>
                <w:szCs w:val="16"/>
              </w:rPr>
            </w:pPr>
            <w:r w:rsidRPr="00BD7D63">
              <w:rPr>
                <w:rFonts w:ascii="Arial Narrow" w:hAnsi="Arial Narrow"/>
                <w:sz w:val="16"/>
                <w:szCs w:val="16"/>
              </w:rPr>
              <w:t xml:space="preserve">IMPORTANT </w:t>
            </w:r>
          </w:p>
        </w:tc>
      </w:tr>
    </w:tbl>
    <w:p w14:paraId="54DCEF23" w14:textId="77777777" w:rsidR="00BD7D63" w:rsidRPr="00BD7D63" w:rsidRDefault="00B50AC4" w:rsidP="00BD7D63">
      <w:pPr>
        <w:spacing w:after="80"/>
        <w:rPr>
          <w:rFonts w:ascii="Arial Narrow" w:hAnsi="Arial Narrow"/>
          <w:sz w:val="16"/>
          <w:szCs w:val="16"/>
          <w:lang w:val="en"/>
        </w:rPr>
      </w:pPr>
      <w:r>
        <w:rPr>
          <w:rFonts w:ascii="Arial Narrow" w:hAnsi="Arial Narrow"/>
          <w:b/>
          <w:bCs/>
          <w:sz w:val="16"/>
          <w:szCs w:val="16"/>
          <w:lang w:val="en"/>
        </w:rPr>
        <w:t xml:space="preserve">ARR: </w:t>
      </w:r>
      <w:r w:rsidRPr="00B50AC4">
        <w:rPr>
          <w:rFonts w:ascii="Arial Narrow" w:hAnsi="Arial Narrow"/>
          <w:bCs/>
          <w:sz w:val="16"/>
          <w:szCs w:val="16"/>
          <w:lang w:val="en"/>
        </w:rPr>
        <w:t>Annualised Relapse Rate</w:t>
      </w:r>
      <w:r>
        <w:rPr>
          <w:rFonts w:ascii="Arial Narrow" w:hAnsi="Arial Narrow"/>
          <w:b/>
          <w:bCs/>
          <w:sz w:val="16"/>
          <w:szCs w:val="16"/>
          <w:lang w:val="en"/>
        </w:rPr>
        <w:t xml:space="preserve">; </w:t>
      </w:r>
      <w:r w:rsidR="00BD7D63" w:rsidRPr="00BD7D63">
        <w:rPr>
          <w:rFonts w:ascii="Arial Narrow" w:hAnsi="Arial Narrow"/>
          <w:b/>
          <w:bCs/>
          <w:sz w:val="16"/>
          <w:szCs w:val="16"/>
          <w:lang w:val="en"/>
        </w:rPr>
        <w:t>CI:</w:t>
      </w:r>
      <w:r w:rsidR="00BD7D63" w:rsidRPr="00BD7D63">
        <w:rPr>
          <w:rFonts w:ascii="Arial Narrow" w:hAnsi="Arial Narrow"/>
          <w:sz w:val="16"/>
          <w:szCs w:val="16"/>
          <w:lang w:val="en"/>
        </w:rPr>
        <w:t xml:space="preserve"> Confidence interval; </w:t>
      </w:r>
      <w:r w:rsidRPr="00B50AC4">
        <w:rPr>
          <w:rFonts w:ascii="Arial Narrow" w:hAnsi="Arial Narrow"/>
          <w:b/>
          <w:sz w:val="16"/>
          <w:szCs w:val="16"/>
          <w:lang w:val="en"/>
        </w:rPr>
        <w:t>EDSS:</w:t>
      </w:r>
      <w:r>
        <w:rPr>
          <w:rFonts w:ascii="Arial Narrow" w:hAnsi="Arial Narrow"/>
          <w:sz w:val="16"/>
          <w:szCs w:val="16"/>
          <w:lang w:val="en"/>
        </w:rPr>
        <w:t xml:space="preserve"> Expanded Disability Status Scale; </w:t>
      </w:r>
      <w:r w:rsidR="007F0283" w:rsidRPr="007F0283">
        <w:rPr>
          <w:rFonts w:ascii="Arial Narrow" w:hAnsi="Arial Narrow"/>
          <w:b/>
          <w:sz w:val="16"/>
          <w:szCs w:val="16"/>
          <w:lang w:val="en"/>
        </w:rPr>
        <w:t>LETM</w:t>
      </w:r>
      <w:r w:rsidR="007F0283">
        <w:rPr>
          <w:rFonts w:ascii="Arial Narrow" w:hAnsi="Arial Narrow"/>
          <w:sz w:val="16"/>
          <w:szCs w:val="16"/>
          <w:lang w:val="en"/>
        </w:rPr>
        <w:t xml:space="preserve">: longitudinally extensive transverse myelitis; </w:t>
      </w:r>
      <w:r w:rsidRPr="00B50AC4">
        <w:rPr>
          <w:rFonts w:ascii="Arial Narrow" w:hAnsi="Arial Narrow"/>
          <w:b/>
          <w:sz w:val="16"/>
          <w:szCs w:val="16"/>
          <w:lang w:val="en"/>
        </w:rPr>
        <w:t>MOG-Ab</w:t>
      </w:r>
      <w:r>
        <w:rPr>
          <w:rFonts w:ascii="Arial Narrow" w:hAnsi="Arial Narrow"/>
          <w:b/>
          <w:sz w:val="16"/>
          <w:szCs w:val="16"/>
          <w:lang w:val="en"/>
        </w:rPr>
        <w:t>:</w:t>
      </w:r>
      <w:r>
        <w:rPr>
          <w:rFonts w:ascii="Arial Narrow" w:hAnsi="Arial Narrow"/>
          <w:sz w:val="16"/>
          <w:szCs w:val="16"/>
          <w:lang w:val="en"/>
        </w:rPr>
        <w:t xml:space="preserve"> myelin oligodendrocyte glycoprotein; </w:t>
      </w:r>
      <w:r w:rsidRPr="00B50AC4">
        <w:rPr>
          <w:rFonts w:ascii="Arial Narrow" w:hAnsi="Arial Narrow"/>
          <w:b/>
          <w:sz w:val="16"/>
          <w:szCs w:val="16"/>
          <w:lang w:val="en"/>
        </w:rPr>
        <w:t>NMOSD:</w:t>
      </w:r>
      <w:r>
        <w:rPr>
          <w:rFonts w:ascii="Arial Narrow" w:hAnsi="Arial Narrow"/>
          <w:sz w:val="16"/>
          <w:szCs w:val="16"/>
          <w:lang w:val="en"/>
        </w:rPr>
        <w:t xml:space="preserve"> neuromyelitis optica spectrum disorders; </w:t>
      </w:r>
      <w:r w:rsidRPr="00B50AC4">
        <w:rPr>
          <w:rFonts w:ascii="Arial Narrow" w:hAnsi="Arial Narrow"/>
          <w:b/>
          <w:sz w:val="16"/>
          <w:szCs w:val="16"/>
          <w:lang w:val="en"/>
        </w:rPr>
        <w:t>ON:</w:t>
      </w:r>
      <w:r>
        <w:rPr>
          <w:rFonts w:ascii="Arial Narrow" w:hAnsi="Arial Narrow"/>
          <w:sz w:val="16"/>
          <w:szCs w:val="16"/>
          <w:lang w:val="en"/>
        </w:rPr>
        <w:t xml:space="preserve"> optic neuritis; </w:t>
      </w:r>
      <w:r w:rsidR="00BD7D63" w:rsidRPr="00BD7D63">
        <w:rPr>
          <w:rFonts w:ascii="Arial Narrow" w:hAnsi="Arial Narrow"/>
          <w:b/>
          <w:bCs/>
          <w:sz w:val="16"/>
          <w:szCs w:val="16"/>
          <w:lang w:val="en"/>
        </w:rPr>
        <w:t>OR:</w:t>
      </w:r>
      <w:r w:rsidR="00BD7D63" w:rsidRPr="00BD7D63">
        <w:rPr>
          <w:rFonts w:ascii="Arial Narrow" w:hAnsi="Arial Narrow"/>
          <w:sz w:val="16"/>
          <w:szCs w:val="16"/>
          <w:lang w:val="en"/>
        </w:rPr>
        <w:t xml:space="preserve"> Odds ratio</w:t>
      </w:r>
    </w:p>
    <w:p w14:paraId="3ACEED5A" w14:textId="77777777" w:rsidR="00BD7D63" w:rsidRPr="00BD7D63" w:rsidRDefault="00BD7D63" w:rsidP="00BD7D63">
      <w:pPr>
        <w:spacing w:after="80"/>
        <w:rPr>
          <w:rFonts w:ascii="Arial Narrow" w:hAnsi="Arial Narrow"/>
          <w:b/>
          <w:bCs/>
          <w:sz w:val="16"/>
          <w:szCs w:val="16"/>
          <w:lang w:val="en"/>
        </w:rPr>
      </w:pPr>
      <w:r w:rsidRPr="00BD7D63">
        <w:rPr>
          <w:rFonts w:ascii="Arial Narrow" w:hAnsi="Arial Narrow"/>
          <w:b/>
          <w:bCs/>
          <w:sz w:val="16"/>
          <w:szCs w:val="16"/>
          <w:lang w:val="en"/>
        </w:rPr>
        <w:t>Explanations</w:t>
      </w:r>
    </w:p>
    <w:p w14:paraId="2F747528" w14:textId="77777777" w:rsidR="000D69FF" w:rsidRPr="0092715B" w:rsidRDefault="000D69FF" w:rsidP="000D69FF">
      <w:pPr>
        <w:spacing w:after="80"/>
        <w:rPr>
          <w:rFonts w:ascii="Arial Narrow" w:hAnsi="Arial Narrow"/>
          <w:bCs/>
          <w:sz w:val="16"/>
          <w:szCs w:val="16"/>
          <w:lang w:val="en"/>
        </w:rPr>
      </w:pPr>
      <w:r w:rsidRPr="0092715B">
        <w:rPr>
          <w:rFonts w:ascii="Arial Narrow" w:hAnsi="Arial Narrow"/>
          <w:bCs/>
          <w:sz w:val="16"/>
          <w:szCs w:val="16"/>
          <w:lang w:val="en"/>
        </w:rPr>
        <w:t>a</w:t>
      </w:r>
      <w:r>
        <w:rPr>
          <w:rFonts w:ascii="Arial Narrow" w:hAnsi="Arial Narrow"/>
          <w:b/>
          <w:bCs/>
          <w:sz w:val="16"/>
          <w:szCs w:val="16"/>
          <w:lang w:val="en"/>
        </w:rPr>
        <w:t xml:space="preserve"> </w:t>
      </w:r>
      <w:r w:rsidRPr="0092715B">
        <w:rPr>
          <w:rFonts w:ascii="Arial Narrow" w:hAnsi="Arial Narrow"/>
          <w:bCs/>
          <w:sz w:val="16"/>
          <w:szCs w:val="16"/>
          <w:lang w:val="en"/>
        </w:rPr>
        <w:t>Retrospective study design at risk of selection bias</w:t>
      </w:r>
    </w:p>
    <w:p w14:paraId="21BF42BE" w14:textId="77777777" w:rsidR="00BD7D63" w:rsidRPr="00BD7D63" w:rsidRDefault="000D69FF" w:rsidP="00BD7D63">
      <w:pPr>
        <w:spacing w:after="80"/>
        <w:rPr>
          <w:rFonts w:ascii="Arial Narrow" w:hAnsi="Arial Narrow"/>
          <w:sz w:val="16"/>
          <w:szCs w:val="16"/>
          <w:lang w:val="en"/>
        </w:rPr>
      </w:pPr>
      <w:r>
        <w:rPr>
          <w:rFonts w:ascii="Arial Narrow" w:hAnsi="Arial Narrow"/>
          <w:sz w:val="16"/>
          <w:szCs w:val="16"/>
          <w:lang w:val="en"/>
        </w:rPr>
        <w:t xml:space="preserve">b. </w:t>
      </w:r>
      <w:r w:rsidR="00BD7D63" w:rsidRPr="00BD7D63">
        <w:rPr>
          <w:rFonts w:ascii="Arial Narrow" w:hAnsi="Arial Narrow"/>
          <w:sz w:val="16"/>
          <w:szCs w:val="16"/>
          <w:lang w:val="en"/>
        </w:rPr>
        <w:t xml:space="preserve">There was a wide confidence interval around the calculated odds ratio, and the clinical course would differ if the upper versus the lower boundary of the confidence interval represented the truth. </w:t>
      </w:r>
    </w:p>
    <w:p w14:paraId="41704A3D" w14:textId="77777777" w:rsidR="00BD7D63" w:rsidRPr="00BD7D63" w:rsidRDefault="000D69FF" w:rsidP="00BD7D63">
      <w:pPr>
        <w:spacing w:after="80"/>
        <w:rPr>
          <w:rFonts w:ascii="Arial Narrow" w:hAnsi="Arial Narrow"/>
          <w:sz w:val="16"/>
          <w:szCs w:val="16"/>
          <w:lang w:val="en"/>
        </w:rPr>
      </w:pPr>
      <w:r>
        <w:rPr>
          <w:rFonts w:ascii="Arial Narrow" w:hAnsi="Arial Narrow"/>
          <w:sz w:val="16"/>
          <w:szCs w:val="16"/>
          <w:lang w:val="en"/>
        </w:rPr>
        <w:t>c</w:t>
      </w:r>
      <w:r w:rsidR="00BD7D63" w:rsidRPr="00BD7D63">
        <w:rPr>
          <w:rFonts w:ascii="Arial Narrow" w:hAnsi="Arial Narrow"/>
          <w:sz w:val="16"/>
          <w:szCs w:val="16"/>
          <w:lang w:val="en"/>
        </w:rPr>
        <w:t xml:space="preserve">. While both studies compared rate of relapse between MOG-Ab positive and negative, one study reported ARR while the other reported the percentage of patients who relapsed. </w:t>
      </w:r>
    </w:p>
    <w:p w14:paraId="0BDCF07D" w14:textId="77777777" w:rsidR="00BD7D63" w:rsidRDefault="00BD7D63" w:rsidP="00BD7D63">
      <w:pPr>
        <w:pStyle w:val="Tablenotes0"/>
        <w:rPr>
          <w:szCs w:val="18"/>
        </w:rPr>
      </w:pPr>
      <w:r w:rsidRPr="005B189A">
        <w:rPr>
          <w:b/>
          <w:szCs w:val="18"/>
        </w:rPr>
        <w:t>GRADE Working Group grades of evidence (Guyatt et al., 2013)</w:t>
      </w:r>
      <w:r w:rsidRPr="005B189A">
        <w:rPr>
          <w:b/>
          <w:szCs w:val="18"/>
        </w:rPr>
        <w:br/>
      </w:r>
      <w:r w:rsidRPr="00D4733A">
        <w:rPr>
          <w:rFonts w:ascii="Cambria Math" w:hAnsi="Cambria Math"/>
          <w:color w:val="00B050"/>
        </w:rPr>
        <w:t>⨁⨁⨁⨁</w:t>
      </w:r>
      <w:r>
        <w:rPr>
          <w:rFonts w:ascii="Cambria Math" w:hAnsi="Cambria Math"/>
          <w:color w:val="00B050"/>
        </w:rPr>
        <w:t xml:space="preserve"> </w:t>
      </w:r>
      <w:r w:rsidRPr="00E10B76">
        <w:rPr>
          <w:b/>
          <w:bCs/>
          <w:szCs w:val="18"/>
        </w:rPr>
        <w:t>High quality:</w:t>
      </w:r>
      <w:r w:rsidRPr="00E10B76">
        <w:rPr>
          <w:szCs w:val="18"/>
        </w:rPr>
        <w:t xml:space="preserve"> </w:t>
      </w:r>
      <w:r>
        <w:rPr>
          <w:szCs w:val="18"/>
        </w:rPr>
        <w:t>We are very confident that the true effect lies close to that of the estimate of effect.</w:t>
      </w:r>
      <w:r w:rsidRPr="00E10B76">
        <w:rPr>
          <w:szCs w:val="18"/>
        </w:rPr>
        <w:t xml:space="preserve"> </w:t>
      </w:r>
      <w:r w:rsidRPr="00E10B76">
        <w:rPr>
          <w:szCs w:val="18"/>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Moderate quality:</w:t>
      </w:r>
      <w:r w:rsidRPr="00E10B76">
        <w:rPr>
          <w:szCs w:val="18"/>
        </w:rPr>
        <w:t xml:space="preserve"> </w:t>
      </w:r>
      <w:r>
        <w:rPr>
          <w:szCs w:val="18"/>
        </w:rPr>
        <w:t xml:space="preserve">We are moderately confident in the effect estimate: The true effect is likely to be close to the estimate of the effect, but there is a possibility that it is substantially different.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Low quality:</w:t>
      </w:r>
      <w:r w:rsidRPr="00E10B76">
        <w:rPr>
          <w:szCs w:val="18"/>
        </w:rPr>
        <w:t xml:space="preserve"> </w:t>
      </w:r>
      <w:r>
        <w:rPr>
          <w:szCs w:val="18"/>
        </w:rPr>
        <w:t>Our confidence in the effect estimate is limited: The true effect may be substantially different from the estimate of the effect.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p>
    <w:p w14:paraId="36029539" w14:textId="77777777" w:rsidR="00BD7D63" w:rsidRPr="00BD7D63" w:rsidRDefault="00BD7D63" w:rsidP="00BD7D63">
      <w:pPr>
        <w:rPr>
          <w:rFonts w:ascii="Arial Narrow" w:hAnsi="Arial Narrow"/>
          <w:sz w:val="16"/>
          <w:szCs w:val="16"/>
          <w:lang w:val="en"/>
        </w:rPr>
      </w:pPr>
    </w:p>
    <w:p w14:paraId="16128836" w14:textId="1C6A6A9D" w:rsidR="00ED65EE" w:rsidRPr="000470F1" w:rsidRDefault="00ED65EE" w:rsidP="00483BE3">
      <w:pPr>
        <w:pStyle w:val="Caption"/>
        <w:keepLines/>
      </w:pPr>
      <w:bookmarkStart w:id="645" w:name="_Ref30684897"/>
      <w:bookmarkStart w:id="646" w:name="_Toc39580883"/>
      <w:r>
        <w:lastRenderedPageBreak/>
        <w:t xml:space="preserve">Table </w:t>
      </w:r>
      <w:r w:rsidR="00E66384">
        <w:rPr>
          <w:noProof/>
        </w:rPr>
        <w:fldChar w:fldCharType="begin"/>
      </w:r>
      <w:r w:rsidR="00E66384">
        <w:rPr>
          <w:noProof/>
        </w:rPr>
        <w:instrText xml:space="preserve"> SEQ Table \* ARABIC </w:instrText>
      </w:r>
      <w:r w:rsidR="00E66384">
        <w:rPr>
          <w:noProof/>
        </w:rPr>
        <w:fldChar w:fldCharType="separate"/>
      </w:r>
      <w:r w:rsidR="00FA7BCD">
        <w:rPr>
          <w:noProof/>
        </w:rPr>
        <w:t>102</w:t>
      </w:r>
      <w:r w:rsidR="00E66384">
        <w:rPr>
          <w:noProof/>
        </w:rPr>
        <w:fldChar w:fldCharType="end"/>
      </w:r>
      <w:bookmarkEnd w:id="645"/>
      <w:r>
        <w:tab/>
        <w:t xml:space="preserve">Evidence profile table for the change in management due to </w:t>
      </w:r>
      <w:r w:rsidR="004E2AA7">
        <w:t>AQP4-Ab testing</w:t>
      </w:r>
      <w:r>
        <w:t xml:space="preserve"> compared to </w:t>
      </w:r>
      <w:r w:rsidR="004E2AA7">
        <w:t>no testing</w:t>
      </w:r>
      <w:r>
        <w:t xml:space="preserve"> </w:t>
      </w:r>
      <w:r w:rsidR="004E2AA7">
        <w:t>for diagnosis of NMOSD</w:t>
      </w:r>
      <w:bookmarkEnd w:id="646"/>
      <w:r>
        <w:t xml:space="preserve"> </w:t>
      </w:r>
    </w:p>
    <w:p w14:paraId="600043E0" w14:textId="77777777" w:rsidR="00B5733C" w:rsidRPr="005B189A" w:rsidRDefault="00B5733C" w:rsidP="004E2AA7">
      <w:pPr>
        <w:keepNext/>
        <w:keepLines/>
        <w:spacing w:before="160"/>
        <w:rPr>
          <w:rFonts w:ascii="Arial Narrow" w:hAnsi="Arial Narrow"/>
          <w:b/>
          <w:sz w:val="16"/>
          <w:szCs w:val="16"/>
          <w:lang w:val="en"/>
        </w:rPr>
      </w:pPr>
      <w:r w:rsidRPr="005B189A">
        <w:rPr>
          <w:rFonts w:ascii="Arial Narrow" w:hAnsi="Arial Narrow"/>
          <w:b/>
          <w:bCs/>
          <w:sz w:val="16"/>
          <w:szCs w:val="16"/>
          <w:lang w:val="en"/>
        </w:rPr>
        <w:t>Question</w:t>
      </w:r>
      <w:r w:rsidRPr="005B189A">
        <w:rPr>
          <w:rFonts w:ascii="Arial Narrow" w:hAnsi="Arial Narrow"/>
          <w:b/>
          <w:sz w:val="16"/>
          <w:szCs w:val="16"/>
          <w:lang w:val="en"/>
        </w:rPr>
        <w:t xml:space="preserve">: Diagnosis using AQP4-Ab testing compared to Diagnosis without testing for management of NMOSD patients </w:t>
      </w:r>
    </w:p>
    <w:p w14:paraId="0538D46D" w14:textId="749D9D4A" w:rsidR="00B5733C" w:rsidRPr="00B5733C" w:rsidRDefault="00B5733C" w:rsidP="00483BE3">
      <w:pPr>
        <w:keepNext/>
        <w:keepLines/>
        <w:rPr>
          <w:rFonts w:ascii="Arial Narrow" w:hAnsi="Arial Narrow"/>
          <w:sz w:val="16"/>
          <w:szCs w:val="16"/>
          <w:lang w:val="en"/>
        </w:rPr>
      </w:pPr>
      <w:r w:rsidRPr="00B5733C">
        <w:rPr>
          <w:rFonts w:ascii="Arial Narrow" w:hAnsi="Arial Narrow"/>
          <w:b/>
          <w:bCs/>
          <w:sz w:val="16"/>
          <w:szCs w:val="16"/>
          <w:lang w:val="en"/>
        </w:rPr>
        <w:t>Bibliography</w:t>
      </w:r>
      <w:r w:rsidRPr="00B5733C">
        <w:rPr>
          <w:rFonts w:ascii="Arial Narrow" w:hAnsi="Arial Narrow"/>
          <w:sz w:val="16"/>
          <w:szCs w:val="16"/>
          <w:lang w:val="en"/>
        </w:rPr>
        <w:t xml:space="preserve">: </w:t>
      </w:r>
      <w:r w:rsidR="00156621">
        <w:rPr>
          <w:rFonts w:ascii="Arial Narrow" w:hAnsi="Arial Narrow"/>
          <w:sz w:val="16"/>
          <w:szCs w:val="16"/>
          <w:lang w:val="en"/>
        </w:rPr>
        <w:fldChar w:fldCharType="begin">
          <w:fldData xml:space="preserve">PEVuZE5vdGU+PENpdGU+PEF1dGhvcj5Ba21hbi1EZW1pcjwvQXV0aG9yPjxZZWFyPjIwMTE8L1ll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</w:fldData>
        </w:fldChar>
      </w:r>
      <w:r w:rsidR="00D96694">
        <w:rPr>
          <w:rFonts w:ascii="Arial Narrow" w:hAnsi="Arial Narrow"/>
          <w:sz w:val="16"/>
          <w:szCs w:val="16"/>
          <w:lang w:val="en"/>
        </w:rPr>
        <w:instrText xml:space="preserve"> ADDIN EN.CITE </w:instrText>
      </w:r>
      <w:r w:rsidR="00D96694">
        <w:rPr>
          <w:rFonts w:ascii="Arial Narrow" w:hAnsi="Arial Narrow"/>
          <w:sz w:val="16"/>
          <w:szCs w:val="16"/>
          <w:lang w:val="en"/>
        </w:rPr>
        <w:fldChar w:fldCharType="begin">
          <w:fldData xml:space="preserve">PEVuZE5vdGU+PENpdGU+PEF1dGhvcj5Ba21hbi1EZW1pcjwvQXV0aG9yPjxZZWFyPjIwMTE8L1ll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</w:fldData>
        </w:fldChar>
      </w:r>
      <w:r w:rsidR="00D96694">
        <w:rPr>
          <w:rFonts w:ascii="Arial Narrow" w:hAnsi="Arial Narrow"/>
          <w:sz w:val="16"/>
          <w:szCs w:val="16"/>
          <w:lang w:val="en"/>
        </w:rPr>
        <w:instrText xml:space="preserve"> ADDIN EN.CITE.DATA </w:instrText>
      </w:r>
      <w:r w:rsidR="00D96694">
        <w:rPr>
          <w:rFonts w:ascii="Arial Narrow" w:hAnsi="Arial Narrow"/>
          <w:sz w:val="16"/>
          <w:szCs w:val="16"/>
          <w:lang w:val="en"/>
        </w:rPr>
      </w:r>
      <w:r w:rsidR="00D96694">
        <w:rPr>
          <w:rFonts w:ascii="Arial Narrow" w:hAnsi="Arial Narrow"/>
          <w:sz w:val="16"/>
          <w:szCs w:val="16"/>
          <w:lang w:val="en"/>
        </w:rPr>
        <w:fldChar w:fldCharType="end"/>
      </w:r>
      <w:r w:rsidR="00156621">
        <w:rPr>
          <w:rFonts w:ascii="Arial Narrow" w:hAnsi="Arial Narrow"/>
          <w:sz w:val="16"/>
          <w:szCs w:val="16"/>
          <w:lang w:val="en"/>
        </w:rPr>
      </w:r>
      <w:r w:rsidR="00156621">
        <w:rPr>
          <w:rFonts w:ascii="Arial Narrow" w:hAnsi="Arial Narrow"/>
          <w:sz w:val="16"/>
          <w:szCs w:val="16"/>
          <w:lang w:val="en"/>
        </w:rPr>
        <w:fldChar w:fldCharType="separate"/>
      </w:r>
      <w:r w:rsidR="00156621">
        <w:rPr>
          <w:rFonts w:ascii="Arial Narrow" w:hAnsi="Arial Narrow"/>
          <w:noProof/>
          <w:sz w:val="16"/>
          <w:szCs w:val="16"/>
          <w:lang w:val="en"/>
        </w:rPr>
        <w:t>(Akman-Demir et al. 2011; Hennes et al. 2017; Hyun et al. 2016; Li et al. 2015; Papais-Alvarenga et al. 2018)</w:t>
      </w:r>
      <w:r w:rsidR="00156621">
        <w:rPr>
          <w:rFonts w:ascii="Arial Narrow" w:hAnsi="Arial Narrow"/>
          <w:sz w:val="16"/>
          <w:szCs w:val="16"/>
          <w:lang w:val="en"/>
        </w:rPr>
        <w:fldChar w:fldCharType="end"/>
      </w:r>
    </w:p>
    <w:tbl>
      <w:tblPr>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75" w:type="dxa"/>
          <w:left w:w="75" w:type="dxa"/>
          <w:bottom w:w="75" w:type="dxa"/>
          <w:right w:w="75" w:type="dxa"/>
        </w:tblCellMar>
        <w:tblLook w:val="04A0" w:firstRow="1" w:lastRow="0" w:firstColumn="1" w:lastColumn="0" w:noHBand="0" w:noVBand="1"/>
        <w:tblCaption w:val="Table 102"/>
        <w:tblDescription w:val="Evidence profile table for the change in management due to AQP4-Ab testing compared to no testing for diagnosis of NMOSD "/>
      </w:tblPr>
      <w:tblGrid>
        <w:gridCol w:w="1270"/>
        <w:gridCol w:w="1134"/>
        <w:gridCol w:w="1101"/>
        <w:gridCol w:w="1029"/>
        <w:gridCol w:w="980"/>
        <w:gridCol w:w="887"/>
        <w:gridCol w:w="1084"/>
        <w:gridCol w:w="1355"/>
        <w:gridCol w:w="12"/>
        <w:gridCol w:w="1310"/>
        <w:gridCol w:w="15"/>
        <w:gridCol w:w="1277"/>
        <w:gridCol w:w="15"/>
        <w:gridCol w:w="1349"/>
        <w:gridCol w:w="1110"/>
        <w:gridCol w:w="1198"/>
      </w:tblGrid>
      <w:tr w:rsidR="00B81E45" w:rsidRPr="00B81E45" w14:paraId="49B67F0A" w14:textId="77777777" w:rsidTr="00A56B13">
        <w:trPr>
          <w:cantSplit/>
          <w:trHeight w:val="288"/>
          <w:tblHeader/>
        </w:trPr>
        <w:tc>
          <w:tcPr>
            <w:tcW w:w="2474" w:type="pct"/>
            <w:gridSpan w:val="7"/>
            <w:shd w:val="clear" w:color="auto" w:fill="D0CECE" w:themeFill="background2" w:themeFillShade="E6"/>
            <w:vAlign w:val="center"/>
            <w:hideMark/>
          </w:tcPr>
          <w:p w14:paraId="703A0A39"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Certainty assessment</w:t>
            </w:r>
          </w:p>
        </w:tc>
        <w:tc>
          <w:tcPr>
            <w:tcW w:w="890" w:type="pct"/>
            <w:gridSpan w:val="4"/>
            <w:shd w:val="clear" w:color="auto" w:fill="D0CECE" w:themeFill="background2" w:themeFillShade="E6"/>
            <w:vAlign w:val="center"/>
            <w:hideMark/>
          </w:tcPr>
          <w:p w14:paraId="7DA7287C"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 of patients</w:t>
            </w:r>
          </w:p>
        </w:tc>
        <w:tc>
          <w:tcPr>
            <w:tcW w:w="873" w:type="pct"/>
            <w:gridSpan w:val="3"/>
            <w:shd w:val="clear" w:color="auto" w:fill="D0CECE" w:themeFill="background2" w:themeFillShade="E6"/>
            <w:vAlign w:val="center"/>
            <w:hideMark/>
          </w:tcPr>
          <w:p w14:paraId="10C91FF3"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Effect</w:t>
            </w:r>
          </w:p>
        </w:tc>
        <w:tc>
          <w:tcPr>
            <w:tcW w:w="367" w:type="pct"/>
            <w:vMerge w:val="restart"/>
            <w:shd w:val="clear" w:color="auto" w:fill="D0CECE" w:themeFill="background2" w:themeFillShade="E6"/>
            <w:vAlign w:val="center"/>
            <w:hideMark/>
          </w:tcPr>
          <w:p w14:paraId="0EDB6D58"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Certainty</w:t>
            </w:r>
          </w:p>
        </w:tc>
        <w:tc>
          <w:tcPr>
            <w:tcW w:w="396" w:type="pct"/>
            <w:vMerge w:val="restart"/>
            <w:shd w:val="clear" w:color="auto" w:fill="D0CECE" w:themeFill="background2" w:themeFillShade="E6"/>
            <w:vAlign w:val="center"/>
            <w:hideMark/>
          </w:tcPr>
          <w:p w14:paraId="12FE8810"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Importance</w:t>
            </w:r>
          </w:p>
        </w:tc>
      </w:tr>
      <w:tr w:rsidR="00A56B13" w:rsidRPr="00B81E45" w14:paraId="66D39A72" w14:textId="77777777" w:rsidTr="00A56B13">
        <w:trPr>
          <w:cantSplit/>
          <w:trHeight w:val="480"/>
          <w:tblHeader/>
        </w:trPr>
        <w:tc>
          <w:tcPr>
            <w:tcW w:w="420" w:type="pct"/>
            <w:shd w:val="clear" w:color="auto" w:fill="D0CECE" w:themeFill="background2" w:themeFillShade="E6"/>
            <w:hideMark/>
          </w:tcPr>
          <w:p w14:paraId="605FAB04" w14:textId="77777777" w:rsidR="00B81E45" w:rsidRDefault="00B81E45" w:rsidP="004E2AA7">
            <w:pPr>
              <w:keepNext/>
              <w:keepLines/>
              <w:jc w:val="left"/>
              <w:rPr>
                <w:rFonts w:ascii="Arial Narrow" w:hAnsi="Arial Narrow"/>
                <w:b/>
                <w:bCs/>
                <w:sz w:val="16"/>
                <w:szCs w:val="16"/>
              </w:rPr>
            </w:pPr>
            <w:r w:rsidRPr="00B81E45">
              <w:rPr>
                <w:rFonts w:ascii="Arial Narrow" w:hAnsi="Arial Narrow"/>
                <w:b/>
                <w:bCs/>
                <w:sz w:val="16"/>
                <w:szCs w:val="16"/>
              </w:rPr>
              <w:t>№ of studies</w:t>
            </w:r>
            <w:r w:rsidR="00A56B13">
              <w:rPr>
                <w:rFonts w:ascii="Arial Narrow" w:hAnsi="Arial Narrow"/>
                <w:b/>
                <w:bCs/>
                <w:sz w:val="16"/>
                <w:szCs w:val="16"/>
              </w:rPr>
              <w:t xml:space="preserve"> (K)</w:t>
            </w:r>
          </w:p>
          <w:p w14:paraId="7934896E" w14:textId="640BB22A" w:rsidR="00A56B13" w:rsidRPr="00B81E45" w:rsidRDefault="00A56B13" w:rsidP="004E2AA7">
            <w:pPr>
              <w:keepNext/>
              <w:keepLines/>
              <w:jc w:val="left"/>
              <w:rPr>
                <w:rFonts w:ascii="Arial Narrow" w:hAnsi="Arial Narrow"/>
                <w:b/>
                <w:bCs/>
                <w:sz w:val="16"/>
                <w:szCs w:val="16"/>
              </w:rPr>
            </w:pPr>
            <w:r>
              <w:rPr>
                <w:rFonts w:ascii="Arial Narrow" w:hAnsi="Arial Narrow"/>
                <w:b/>
                <w:bCs/>
                <w:sz w:val="16"/>
                <w:szCs w:val="16"/>
              </w:rPr>
              <w:t>N patients</w:t>
            </w:r>
          </w:p>
        </w:tc>
        <w:tc>
          <w:tcPr>
            <w:tcW w:w="375" w:type="pct"/>
            <w:shd w:val="clear" w:color="auto" w:fill="D0CECE" w:themeFill="background2" w:themeFillShade="E6"/>
            <w:vAlign w:val="center"/>
            <w:hideMark/>
          </w:tcPr>
          <w:p w14:paraId="6F894941"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Study design</w:t>
            </w:r>
          </w:p>
        </w:tc>
        <w:tc>
          <w:tcPr>
            <w:tcW w:w="364" w:type="pct"/>
            <w:shd w:val="clear" w:color="auto" w:fill="D0CECE" w:themeFill="background2" w:themeFillShade="E6"/>
            <w:vAlign w:val="center"/>
            <w:hideMark/>
          </w:tcPr>
          <w:p w14:paraId="00CC2C0B"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Risk of bias</w:t>
            </w:r>
          </w:p>
        </w:tc>
        <w:tc>
          <w:tcPr>
            <w:tcW w:w="340" w:type="pct"/>
            <w:shd w:val="clear" w:color="auto" w:fill="D0CECE" w:themeFill="background2" w:themeFillShade="E6"/>
            <w:vAlign w:val="center"/>
            <w:hideMark/>
          </w:tcPr>
          <w:p w14:paraId="33C244FD"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Inconsistency</w:t>
            </w:r>
          </w:p>
        </w:tc>
        <w:tc>
          <w:tcPr>
            <w:tcW w:w="324" w:type="pct"/>
            <w:shd w:val="clear" w:color="auto" w:fill="D0CECE" w:themeFill="background2" w:themeFillShade="E6"/>
            <w:vAlign w:val="center"/>
            <w:hideMark/>
          </w:tcPr>
          <w:p w14:paraId="3EDD7115"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Indirectness</w:t>
            </w:r>
          </w:p>
        </w:tc>
        <w:tc>
          <w:tcPr>
            <w:tcW w:w="293" w:type="pct"/>
            <w:shd w:val="clear" w:color="auto" w:fill="D0CECE" w:themeFill="background2" w:themeFillShade="E6"/>
            <w:vAlign w:val="center"/>
            <w:hideMark/>
          </w:tcPr>
          <w:p w14:paraId="5048096F"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Imprecision</w:t>
            </w:r>
          </w:p>
        </w:tc>
        <w:tc>
          <w:tcPr>
            <w:tcW w:w="358" w:type="pct"/>
            <w:shd w:val="clear" w:color="auto" w:fill="D0CECE" w:themeFill="background2" w:themeFillShade="E6"/>
            <w:vAlign w:val="center"/>
            <w:hideMark/>
          </w:tcPr>
          <w:p w14:paraId="769EBE8A"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Other considerations</w:t>
            </w:r>
          </w:p>
        </w:tc>
        <w:tc>
          <w:tcPr>
            <w:tcW w:w="452" w:type="pct"/>
            <w:gridSpan w:val="2"/>
            <w:shd w:val="clear" w:color="auto" w:fill="D0CECE" w:themeFill="background2" w:themeFillShade="E6"/>
            <w:hideMark/>
          </w:tcPr>
          <w:p w14:paraId="43009E75" w14:textId="77777777" w:rsidR="00B81E45" w:rsidRPr="00B81E45" w:rsidRDefault="00B81E45" w:rsidP="004E2AA7">
            <w:pPr>
              <w:keepNext/>
              <w:keepLines/>
              <w:jc w:val="left"/>
              <w:rPr>
                <w:rFonts w:ascii="Arial Narrow" w:hAnsi="Arial Narrow"/>
                <w:b/>
                <w:bCs/>
                <w:sz w:val="16"/>
                <w:szCs w:val="16"/>
              </w:rPr>
            </w:pPr>
            <w:r w:rsidRPr="00B81E45">
              <w:rPr>
                <w:rFonts w:ascii="Arial Narrow" w:hAnsi="Arial Narrow"/>
                <w:b/>
                <w:bCs/>
                <w:sz w:val="16"/>
                <w:szCs w:val="16"/>
              </w:rPr>
              <w:t xml:space="preserve">Diagnosis using AQP4-Ab testing </w:t>
            </w:r>
          </w:p>
        </w:tc>
        <w:tc>
          <w:tcPr>
            <w:tcW w:w="438" w:type="pct"/>
            <w:gridSpan w:val="2"/>
            <w:shd w:val="clear" w:color="auto" w:fill="D0CECE" w:themeFill="background2" w:themeFillShade="E6"/>
            <w:hideMark/>
          </w:tcPr>
          <w:p w14:paraId="09CBBEC1" w14:textId="77777777" w:rsidR="00B81E45" w:rsidRPr="00B81E45" w:rsidRDefault="00B81E45" w:rsidP="004E2AA7">
            <w:pPr>
              <w:keepNext/>
              <w:keepLines/>
              <w:jc w:val="left"/>
              <w:rPr>
                <w:rFonts w:ascii="Arial Narrow" w:hAnsi="Arial Narrow"/>
                <w:b/>
                <w:bCs/>
                <w:sz w:val="16"/>
                <w:szCs w:val="16"/>
              </w:rPr>
            </w:pPr>
            <w:r w:rsidRPr="00B81E45">
              <w:rPr>
                <w:rFonts w:ascii="Arial Narrow" w:hAnsi="Arial Narrow"/>
                <w:b/>
                <w:bCs/>
                <w:sz w:val="16"/>
                <w:szCs w:val="16"/>
              </w:rPr>
              <w:t>Diagnosis without testing</w:t>
            </w:r>
          </w:p>
        </w:tc>
        <w:tc>
          <w:tcPr>
            <w:tcW w:w="422" w:type="pct"/>
            <w:shd w:val="clear" w:color="auto" w:fill="D0CECE" w:themeFill="background2" w:themeFillShade="E6"/>
            <w:vAlign w:val="center"/>
            <w:hideMark/>
          </w:tcPr>
          <w:p w14:paraId="6861BA31"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Relative</w:t>
            </w:r>
            <w:r w:rsidRPr="00B81E45">
              <w:rPr>
                <w:rFonts w:ascii="Arial Narrow" w:hAnsi="Arial Narrow"/>
                <w:b/>
                <w:bCs/>
                <w:sz w:val="16"/>
                <w:szCs w:val="16"/>
              </w:rPr>
              <w:br/>
              <w:t>(95% CI)</w:t>
            </w:r>
          </w:p>
        </w:tc>
        <w:tc>
          <w:tcPr>
            <w:tcW w:w="451" w:type="pct"/>
            <w:gridSpan w:val="2"/>
            <w:shd w:val="clear" w:color="auto" w:fill="D0CECE" w:themeFill="background2" w:themeFillShade="E6"/>
            <w:vAlign w:val="center"/>
            <w:hideMark/>
          </w:tcPr>
          <w:p w14:paraId="0830DFF7"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Absolute</w:t>
            </w:r>
            <w:r w:rsidRPr="00B81E45">
              <w:rPr>
                <w:rFonts w:ascii="Arial Narrow" w:hAnsi="Arial Narrow"/>
                <w:b/>
                <w:bCs/>
                <w:sz w:val="16"/>
                <w:szCs w:val="16"/>
              </w:rPr>
              <w:br/>
              <w:t>(95% CI)</w:t>
            </w:r>
          </w:p>
        </w:tc>
        <w:tc>
          <w:tcPr>
            <w:tcW w:w="367" w:type="pct"/>
            <w:vMerge/>
            <w:shd w:val="clear" w:color="auto" w:fill="D0CECE" w:themeFill="background2" w:themeFillShade="E6"/>
            <w:vAlign w:val="center"/>
            <w:hideMark/>
          </w:tcPr>
          <w:p w14:paraId="560CCB5D" w14:textId="77777777" w:rsidR="00B81E45" w:rsidRPr="00B81E45" w:rsidRDefault="00B81E45" w:rsidP="00483BE3">
            <w:pPr>
              <w:keepNext/>
              <w:keepLines/>
              <w:rPr>
                <w:rFonts w:ascii="Arial Narrow" w:hAnsi="Arial Narrow"/>
                <w:b/>
                <w:bCs/>
                <w:sz w:val="16"/>
                <w:szCs w:val="16"/>
              </w:rPr>
            </w:pPr>
          </w:p>
        </w:tc>
        <w:tc>
          <w:tcPr>
            <w:tcW w:w="396" w:type="pct"/>
            <w:vMerge/>
            <w:shd w:val="clear" w:color="auto" w:fill="D0CECE" w:themeFill="background2" w:themeFillShade="E6"/>
            <w:vAlign w:val="center"/>
            <w:hideMark/>
          </w:tcPr>
          <w:p w14:paraId="43E2974F" w14:textId="77777777" w:rsidR="00B81E45" w:rsidRPr="00B81E45" w:rsidRDefault="00B81E45" w:rsidP="00483BE3">
            <w:pPr>
              <w:keepNext/>
              <w:keepLines/>
              <w:rPr>
                <w:rFonts w:ascii="Arial Narrow" w:hAnsi="Arial Narrow"/>
                <w:b/>
                <w:bCs/>
                <w:sz w:val="16"/>
                <w:szCs w:val="16"/>
              </w:rPr>
            </w:pPr>
          </w:p>
        </w:tc>
      </w:tr>
      <w:tr w:rsidR="00B81E45" w:rsidRPr="00B81E45" w14:paraId="46A44E78" w14:textId="77777777" w:rsidTr="00B81E45">
        <w:trPr>
          <w:cantSplit/>
        </w:trPr>
        <w:tc>
          <w:tcPr>
            <w:tcW w:w="5000" w:type="pct"/>
            <w:gridSpan w:val="16"/>
            <w:shd w:val="clear" w:color="auto" w:fill="FFFFFF"/>
            <w:vAlign w:val="center"/>
            <w:hideMark/>
          </w:tcPr>
          <w:p w14:paraId="5ED90511" w14:textId="77777777" w:rsidR="00B81E45" w:rsidRPr="00B81E45" w:rsidRDefault="00B81E45" w:rsidP="00483BE3">
            <w:pPr>
              <w:keepNext/>
              <w:keepLines/>
              <w:rPr>
                <w:rFonts w:ascii="Arial Narrow" w:hAnsi="Arial Narrow"/>
                <w:b/>
                <w:bCs/>
                <w:sz w:val="16"/>
                <w:szCs w:val="16"/>
              </w:rPr>
            </w:pPr>
            <w:r w:rsidRPr="00B81E45">
              <w:rPr>
                <w:rFonts w:ascii="Arial Narrow" w:hAnsi="Arial Narrow"/>
                <w:b/>
                <w:bCs/>
                <w:sz w:val="16"/>
                <w:szCs w:val="16"/>
              </w:rPr>
              <w:t>Time to diagnosis (follow up: mean 9.2 years; assessed with: months)</w:t>
            </w:r>
          </w:p>
        </w:tc>
      </w:tr>
      <w:tr w:rsidR="00A56B13" w:rsidRPr="00165145" w14:paraId="204A0110" w14:textId="77777777" w:rsidTr="00A56B13">
        <w:trPr>
          <w:cantSplit/>
        </w:trPr>
        <w:tc>
          <w:tcPr>
            <w:tcW w:w="420" w:type="pct"/>
            <w:hideMark/>
          </w:tcPr>
          <w:p w14:paraId="5EA2080D" w14:textId="77777777" w:rsidR="005B3900" w:rsidRDefault="005B3900" w:rsidP="00483BE3">
            <w:pPr>
              <w:keepNext/>
              <w:keepLines/>
              <w:rPr>
                <w:rFonts w:ascii="Arial Narrow" w:hAnsi="Arial Narrow"/>
                <w:bCs/>
                <w:sz w:val="16"/>
                <w:szCs w:val="16"/>
              </w:rPr>
            </w:pPr>
            <w:r>
              <w:rPr>
                <w:rFonts w:ascii="Arial Narrow" w:hAnsi="Arial Narrow"/>
                <w:bCs/>
                <w:sz w:val="16"/>
                <w:szCs w:val="16"/>
              </w:rPr>
              <w:t>K=1</w:t>
            </w:r>
          </w:p>
          <w:p w14:paraId="28631DA6" w14:textId="519CF671" w:rsidR="00B81E45" w:rsidRPr="00165145" w:rsidRDefault="005B3900" w:rsidP="00483BE3">
            <w:pPr>
              <w:keepNext/>
              <w:keepLines/>
              <w:rPr>
                <w:rFonts w:ascii="Arial Narrow" w:hAnsi="Arial Narrow"/>
                <w:bCs/>
                <w:sz w:val="16"/>
                <w:szCs w:val="16"/>
              </w:rPr>
            </w:pPr>
            <w:r>
              <w:rPr>
                <w:rFonts w:ascii="Arial Narrow" w:hAnsi="Arial Narrow"/>
                <w:bCs/>
                <w:sz w:val="16"/>
                <w:szCs w:val="16"/>
              </w:rPr>
              <w:t>N=252</w:t>
            </w:r>
            <w:r w:rsidR="00B81E45" w:rsidRPr="00165145">
              <w:rPr>
                <w:rFonts w:ascii="Arial Narrow" w:hAnsi="Arial Narrow"/>
                <w:bCs/>
                <w:sz w:val="16"/>
                <w:szCs w:val="16"/>
              </w:rPr>
              <w:t xml:space="preserve"> </w:t>
            </w:r>
          </w:p>
        </w:tc>
        <w:tc>
          <w:tcPr>
            <w:tcW w:w="375" w:type="pct"/>
            <w:hideMark/>
          </w:tcPr>
          <w:p w14:paraId="7D752ACA" w14:textId="77777777" w:rsidR="00B81E45" w:rsidRPr="00165145" w:rsidRDefault="00B81E45" w:rsidP="00483BE3">
            <w:pPr>
              <w:keepNext/>
              <w:keepLines/>
              <w:rPr>
                <w:rFonts w:ascii="Arial Narrow" w:hAnsi="Arial Narrow"/>
                <w:bCs/>
                <w:sz w:val="16"/>
                <w:szCs w:val="16"/>
              </w:rPr>
            </w:pPr>
            <w:r w:rsidRPr="00165145">
              <w:rPr>
                <w:rFonts w:ascii="Arial Narrow" w:hAnsi="Arial Narrow"/>
                <w:bCs/>
                <w:sz w:val="16"/>
                <w:szCs w:val="16"/>
              </w:rPr>
              <w:t xml:space="preserve">observational studies </w:t>
            </w:r>
          </w:p>
        </w:tc>
        <w:tc>
          <w:tcPr>
            <w:tcW w:w="364" w:type="pct"/>
            <w:hideMark/>
          </w:tcPr>
          <w:p w14:paraId="12F77E26" w14:textId="77777777" w:rsidR="00B81E45" w:rsidRPr="00165145" w:rsidRDefault="00B81E45" w:rsidP="00483BE3">
            <w:pPr>
              <w:keepNext/>
              <w:keepLines/>
              <w:rPr>
                <w:rFonts w:ascii="Arial Narrow" w:hAnsi="Arial Narrow"/>
                <w:bCs/>
                <w:sz w:val="16"/>
                <w:szCs w:val="16"/>
              </w:rPr>
            </w:pPr>
            <w:r w:rsidRPr="00165145">
              <w:rPr>
                <w:rFonts w:ascii="Arial Narrow" w:hAnsi="Arial Narrow"/>
                <w:bCs/>
                <w:sz w:val="16"/>
                <w:szCs w:val="16"/>
              </w:rPr>
              <w:t xml:space="preserve">serious </w:t>
            </w:r>
            <w:r w:rsidRPr="00165145">
              <w:rPr>
                <w:rFonts w:ascii="Arial Narrow" w:hAnsi="Arial Narrow"/>
                <w:bCs/>
                <w:sz w:val="16"/>
                <w:szCs w:val="16"/>
                <w:vertAlign w:val="superscript"/>
              </w:rPr>
              <w:t>a</w:t>
            </w:r>
          </w:p>
        </w:tc>
        <w:tc>
          <w:tcPr>
            <w:tcW w:w="340" w:type="pct"/>
            <w:hideMark/>
          </w:tcPr>
          <w:p w14:paraId="3BAF2789" w14:textId="77777777" w:rsidR="00B81E45" w:rsidRPr="00165145" w:rsidRDefault="00B81E45" w:rsidP="00483BE3">
            <w:pPr>
              <w:keepNext/>
              <w:keepLines/>
              <w:rPr>
                <w:rFonts w:ascii="Arial Narrow" w:hAnsi="Arial Narrow"/>
                <w:bCs/>
                <w:sz w:val="16"/>
                <w:szCs w:val="16"/>
              </w:rPr>
            </w:pPr>
            <w:r w:rsidRPr="00165145">
              <w:rPr>
                <w:rFonts w:ascii="Arial Narrow" w:hAnsi="Arial Narrow"/>
                <w:bCs/>
                <w:sz w:val="16"/>
                <w:szCs w:val="16"/>
              </w:rPr>
              <w:t xml:space="preserve">not serious </w:t>
            </w:r>
          </w:p>
        </w:tc>
        <w:tc>
          <w:tcPr>
            <w:tcW w:w="324" w:type="pct"/>
            <w:hideMark/>
          </w:tcPr>
          <w:p w14:paraId="498C814B" w14:textId="77777777" w:rsidR="00B81E45" w:rsidRPr="00165145" w:rsidRDefault="00B81E45" w:rsidP="00483BE3">
            <w:pPr>
              <w:keepNext/>
              <w:keepLines/>
              <w:rPr>
                <w:rFonts w:ascii="Arial Narrow" w:hAnsi="Arial Narrow"/>
                <w:bCs/>
                <w:sz w:val="16"/>
                <w:szCs w:val="16"/>
              </w:rPr>
            </w:pPr>
            <w:r w:rsidRPr="00165145">
              <w:rPr>
                <w:rFonts w:ascii="Arial Narrow" w:hAnsi="Arial Narrow"/>
                <w:bCs/>
                <w:sz w:val="16"/>
                <w:szCs w:val="16"/>
              </w:rPr>
              <w:t xml:space="preserve">not serious </w:t>
            </w:r>
          </w:p>
        </w:tc>
        <w:tc>
          <w:tcPr>
            <w:tcW w:w="293" w:type="pct"/>
            <w:hideMark/>
          </w:tcPr>
          <w:p w14:paraId="2E4901E0" w14:textId="77777777" w:rsidR="00B81E45" w:rsidRPr="00165145" w:rsidRDefault="00B81E45" w:rsidP="00483BE3">
            <w:pPr>
              <w:keepNext/>
              <w:keepLines/>
              <w:rPr>
                <w:rFonts w:ascii="Arial Narrow" w:hAnsi="Arial Narrow"/>
                <w:bCs/>
                <w:sz w:val="16"/>
                <w:szCs w:val="16"/>
              </w:rPr>
            </w:pPr>
            <w:r w:rsidRPr="00165145">
              <w:rPr>
                <w:rFonts w:ascii="Arial Narrow" w:hAnsi="Arial Narrow"/>
                <w:bCs/>
                <w:sz w:val="16"/>
                <w:szCs w:val="16"/>
              </w:rPr>
              <w:t xml:space="preserve">not serious </w:t>
            </w:r>
          </w:p>
        </w:tc>
        <w:tc>
          <w:tcPr>
            <w:tcW w:w="358" w:type="pct"/>
            <w:hideMark/>
          </w:tcPr>
          <w:p w14:paraId="41D9A9DE" w14:textId="77777777" w:rsidR="00B81E45" w:rsidRPr="00165145" w:rsidRDefault="00B81E45" w:rsidP="00483BE3">
            <w:pPr>
              <w:keepNext/>
              <w:keepLines/>
              <w:rPr>
                <w:rFonts w:ascii="Arial Narrow" w:hAnsi="Arial Narrow"/>
                <w:bCs/>
                <w:sz w:val="16"/>
                <w:szCs w:val="16"/>
              </w:rPr>
            </w:pPr>
            <w:r w:rsidRPr="00165145">
              <w:rPr>
                <w:rFonts w:ascii="Arial Narrow" w:hAnsi="Arial Narrow"/>
                <w:bCs/>
                <w:sz w:val="16"/>
                <w:szCs w:val="16"/>
              </w:rPr>
              <w:t xml:space="preserve">very strong association </w:t>
            </w:r>
          </w:p>
        </w:tc>
        <w:tc>
          <w:tcPr>
            <w:tcW w:w="448" w:type="pct"/>
            <w:hideMark/>
          </w:tcPr>
          <w:p w14:paraId="56568C07" w14:textId="77777777" w:rsidR="00B81E45" w:rsidRPr="00165145" w:rsidRDefault="00B81E45" w:rsidP="00483BE3">
            <w:pPr>
              <w:keepNext/>
              <w:keepLines/>
              <w:rPr>
                <w:rFonts w:ascii="Arial Narrow" w:hAnsi="Arial Narrow"/>
                <w:bCs/>
                <w:sz w:val="16"/>
                <w:szCs w:val="16"/>
              </w:rPr>
            </w:pPr>
            <w:r w:rsidRPr="00165145">
              <w:rPr>
                <w:rFonts w:ascii="Arial Narrow" w:hAnsi="Arial Narrow"/>
                <w:bCs/>
                <w:sz w:val="16"/>
                <w:szCs w:val="16"/>
              </w:rPr>
              <w:t xml:space="preserve">11 months </w:t>
            </w:r>
          </w:p>
        </w:tc>
        <w:tc>
          <w:tcPr>
            <w:tcW w:w="437" w:type="pct"/>
            <w:gridSpan w:val="2"/>
          </w:tcPr>
          <w:p w14:paraId="5146D557" w14:textId="77777777" w:rsidR="00B81E45" w:rsidRPr="00165145" w:rsidRDefault="00B81E45" w:rsidP="00483BE3">
            <w:pPr>
              <w:keepNext/>
              <w:keepLines/>
              <w:rPr>
                <w:rFonts w:ascii="Arial Narrow" w:hAnsi="Arial Narrow"/>
                <w:bCs/>
                <w:sz w:val="16"/>
                <w:szCs w:val="16"/>
              </w:rPr>
            </w:pPr>
            <w:r w:rsidRPr="00165145">
              <w:rPr>
                <w:rFonts w:ascii="Arial Narrow" w:hAnsi="Arial Narrow"/>
                <w:bCs/>
                <w:sz w:val="16"/>
                <w:szCs w:val="16"/>
              </w:rPr>
              <w:t>53 months</w:t>
            </w:r>
          </w:p>
        </w:tc>
        <w:tc>
          <w:tcPr>
            <w:tcW w:w="432" w:type="pct"/>
            <w:gridSpan w:val="3"/>
          </w:tcPr>
          <w:p w14:paraId="25733A8E" w14:textId="77777777" w:rsidR="00B81E45" w:rsidRPr="00165145" w:rsidRDefault="00B81E45" w:rsidP="00483BE3">
            <w:pPr>
              <w:keepNext/>
              <w:keepLines/>
              <w:jc w:val="left"/>
              <w:rPr>
                <w:rFonts w:ascii="Arial Narrow" w:hAnsi="Arial Narrow"/>
                <w:bCs/>
                <w:sz w:val="16"/>
                <w:szCs w:val="16"/>
              </w:rPr>
            </w:pPr>
            <w:r w:rsidRPr="00165145">
              <w:rPr>
                <w:rFonts w:ascii="Arial Narrow" w:hAnsi="Arial Narrow"/>
                <w:bCs/>
                <w:sz w:val="16"/>
                <w:szCs w:val="16"/>
              </w:rPr>
              <w:t>P&lt;0.001 (log rank test)</w:t>
            </w:r>
          </w:p>
        </w:tc>
        <w:tc>
          <w:tcPr>
            <w:tcW w:w="446" w:type="pct"/>
          </w:tcPr>
          <w:p w14:paraId="509A2C28" w14:textId="77777777" w:rsidR="00B81E45" w:rsidRPr="00165145" w:rsidRDefault="00B81E45" w:rsidP="00483BE3">
            <w:pPr>
              <w:keepNext/>
              <w:keepLines/>
              <w:rPr>
                <w:rFonts w:ascii="Arial Narrow" w:hAnsi="Arial Narrow"/>
                <w:bCs/>
                <w:sz w:val="16"/>
                <w:szCs w:val="16"/>
              </w:rPr>
            </w:pPr>
            <w:r w:rsidRPr="00165145">
              <w:rPr>
                <w:rFonts w:ascii="Arial Narrow" w:hAnsi="Arial Narrow"/>
                <w:bCs/>
                <w:sz w:val="16"/>
                <w:szCs w:val="16"/>
              </w:rPr>
              <w:t>NA</w:t>
            </w:r>
          </w:p>
        </w:tc>
        <w:tc>
          <w:tcPr>
            <w:tcW w:w="367" w:type="pct"/>
            <w:hideMark/>
          </w:tcPr>
          <w:p w14:paraId="459CDAD0" w14:textId="77777777" w:rsidR="00B81E45" w:rsidRPr="00165145" w:rsidRDefault="00165145" w:rsidP="00483BE3">
            <w:pPr>
              <w:keepNext/>
              <w:keepLines/>
              <w:rPr>
                <w:rFonts w:ascii="Arial Narrow" w:hAnsi="Arial Narrow"/>
                <w:bCs/>
                <w:sz w:val="16"/>
                <w:szCs w:val="16"/>
              </w:rPr>
            </w:pPr>
            <w:r w:rsidRPr="00D4733A">
              <w:rPr>
                <w:rFonts w:ascii="Cambria Math" w:hAnsi="Cambria Math"/>
                <w:color w:val="00B050"/>
              </w:rPr>
              <w:t>⨁⨁⨁</w:t>
            </w:r>
            <w:r w:rsidRPr="00D4733A">
              <w:rPr>
                <w:rFonts w:ascii="Cambria Math" w:hAnsi="Cambria Math" w:cs="Cambria Math"/>
                <w:color w:val="C00000"/>
              </w:rPr>
              <w:t>⨀</w:t>
            </w:r>
            <w:r w:rsidR="00B81E45" w:rsidRPr="00165145">
              <w:rPr>
                <w:rFonts w:ascii="Arial Narrow" w:hAnsi="Arial Narrow"/>
                <w:bCs/>
                <w:sz w:val="16"/>
                <w:szCs w:val="16"/>
              </w:rPr>
              <w:br/>
              <w:t xml:space="preserve">MODERATE </w:t>
            </w:r>
          </w:p>
        </w:tc>
        <w:tc>
          <w:tcPr>
            <w:tcW w:w="396" w:type="pct"/>
            <w:hideMark/>
          </w:tcPr>
          <w:p w14:paraId="2D834710" w14:textId="77777777" w:rsidR="00B81E45" w:rsidRPr="00165145" w:rsidRDefault="00B81E45" w:rsidP="00483BE3">
            <w:pPr>
              <w:keepNext/>
              <w:keepLines/>
              <w:rPr>
                <w:rFonts w:ascii="Arial Narrow" w:hAnsi="Arial Narrow"/>
                <w:bCs/>
                <w:sz w:val="16"/>
                <w:szCs w:val="16"/>
              </w:rPr>
            </w:pPr>
            <w:r w:rsidRPr="00165145">
              <w:rPr>
                <w:rFonts w:ascii="Arial Narrow" w:hAnsi="Arial Narrow"/>
                <w:bCs/>
                <w:sz w:val="16"/>
                <w:szCs w:val="16"/>
              </w:rPr>
              <w:t xml:space="preserve">CRITICAL </w:t>
            </w:r>
          </w:p>
        </w:tc>
      </w:tr>
      <w:tr w:rsidR="00B81E45" w:rsidRPr="00B81E45" w14:paraId="6C3842FD" w14:textId="77777777" w:rsidTr="00B81E45">
        <w:trPr>
          <w:cantSplit/>
        </w:trPr>
        <w:tc>
          <w:tcPr>
            <w:tcW w:w="5000" w:type="pct"/>
            <w:gridSpan w:val="16"/>
            <w:shd w:val="clear" w:color="auto" w:fill="FFFFFF"/>
            <w:vAlign w:val="center"/>
            <w:hideMark/>
          </w:tcPr>
          <w:p w14:paraId="52178AE5" w14:textId="77777777" w:rsidR="00B81E45" w:rsidRPr="00B81E45" w:rsidRDefault="00B81E45" w:rsidP="00B81E45">
            <w:pPr>
              <w:rPr>
                <w:rFonts w:ascii="Arial Narrow" w:hAnsi="Arial Narrow"/>
                <w:b/>
                <w:bCs/>
                <w:sz w:val="16"/>
                <w:szCs w:val="16"/>
              </w:rPr>
            </w:pPr>
            <w:r w:rsidRPr="00B81E45">
              <w:rPr>
                <w:rFonts w:ascii="Arial Narrow" w:hAnsi="Arial Narrow"/>
                <w:b/>
                <w:bCs/>
                <w:sz w:val="16"/>
                <w:szCs w:val="16"/>
              </w:rPr>
              <w:t>Mean time to diagnosis (2006 criteria) for AQP4-Ab positive compared to negative patients (follow up: range 41 months to 8 years)</w:t>
            </w:r>
          </w:p>
        </w:tc>
      </w:tr>
      <w:tr w:rsidR="00A56B13" w:rsidRPr="00165145" w14:paraId="4DB8C630" w14:textId="77777777" w:rsidTr="00A56B13">
        <w:trPr>
          <w:cantSplit/>
        </w:trPr>
        <w:tc>
          <w:tcPr>
            <w:tcW w:w="420" w:type="pct"/>
            <w:hideMark/>
          </w:tcPr>
          <w:p w14:paraId="42B258B5" w14:textId="77777777" w:rsidR="00B81E45" w:rsidRDefault="005B3900" w:rsidP="00B81E45">
            <w:pPr>
              <w:rPr>
                <w:rFonts w:ascii="Arial Narrow" w:hAnsi="Arial Narrow"/>
                <w:bCs/>
                <w:sz w:val="16"/>
                <w:szCs w:val="16"/>
              </w:rPr>
            </w:pPr>
            <w:r>
              <w:rPr>
                <w:rFonts w:ascii="Arial Narrow" w:hAnsi="Arial Narrow"/>
                <w:bCs/>
                <w:sz w:val="16"/>
                <w:szCs w:val="16"/>
              </w:rPr>
              <w:t>K=</w:t>
            </w:r>
            <w:r w:rsidR="00B81E45" w:rsidRPr="00165145">
              <w:rPr>
                <w:rFonts w:ascii="Arial Narrow" w:hAnsi="Arial Narrow"/>
                <w:bCs/>
                <w:sz w:val="16"/>
                <w:szCs w:val="16"/>
              </w:rPr>
              <w:t xml:space="preserve">2 </w:t>
            </w:r>
          </w:p>
          <w:p w14:paraId="456ECEE8" w14:textId="58739521" w:rsidR="005B3900" w:rsidRPr="00165145" w:rsidRDefault="005B3900" w:rsidP="005B3900">
            <w:pPr>
              <w:rPr>
                <w:rFonts w:ascii="Arial Narrow" w:hAnsi="Arial Narrow"/>
                <w:bCs/>
                <w:sz w:val="16"/>
                <w:szCs w:val="16"/>
              </w:rPr>
            </w:pPr>
            <w:r>
              <w:rPr>
                <w:rFonts w:ascii="Arial Narrow" w:hAnsi="Arial Narrow"/>
                <w:bCs/>
                <w:sz w:val="16"/>
                <w:szCs w:val="16"/>
              </w:rPr>
              <w:t>N=160</w:t>
            </w:r>
          </w:p>
        </w:tc>
        <w:tc>
          <w:tcPr>
            <w:tcW w:w="375" w:type="pct"/>
            <w:hideMark/>
          </w:tcPr>
          <w:p w14:paraId="470482CE"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observational studies </w:t>
            </w:r>
          </w:p>
        </w:tc>
        <w:tc>
          <w:tcPr>
            <w:tcW w:w="364" w:type="pct"/>
            <w:hideMark/>
          </w:tcPr>
          <w:p w14:paraId="131B0197"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serious </w:t>
            </w:r>
            <w:r w:rsidRPr="00165145">
              <w:rPr>
                <w:rFonts w:ascii="Arial Narrow" w:hAnsi="Arial Narrow"/>
                <w:bCs/>
                <w:sz w:val="16"/>
                <w:szCs w:val="16"/>
                <w:vertAlign w:val="superscript"/>
              </w:rPr>
              <w:t>a</w:t>
            </w:r>
          </w:p>
        </w:tc>
        <w:tc>
          <w:tcPr>
            <w:tcW w:w="340" w:type="pct"/>
            <w:hideMark/>
          </w:tcPr>
          <w:p w14:paraId="0E18AEC9"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not serious </w:t>
            </w:r>
          </w:p>
        </w:tc>
        <w:tc>
          <w:tcPr>
            <w:tcW w:w="324" w:type="pct"/>
            <w:hideMark/>
          </w:tcPr>
          <w:p w14:paraId="63F61FF2"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not serious </w:t>
            </w:r>
          </w:p>
        </w:tc>
        <w:tc>
          <w:tcPr>
            <w:tcW w:w="293" w:type="pct"/>
            <w:hideMark/>
          </w:tcPr>
          <w:p w14:paraId="74347954"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serious </w:t>
            </w:r>
            <w:r w:rsidRPr="00165145">
              <w:rPr>
                <w:rFonts w:ascii="Arial Narrow" w:hAnsi="Arial Narrow"/>
                <w:bCs/>
                <w:sz w:val="16"/>
                <w:szCs w:val="16"/>
                <w:vertAlign w:val="superscript"/>
              </w:rPr>
              <w:t>b</w:t>
            </w:r>
          </w:p>
        </w:tc>
        <w:tc>
          <w:tcPr>
            <w:tcW w:w="358" w:type="pct"/>
            <w:hideMark/>
          </w:tcPr>
          <w:p w14:paraId="1C1F735E"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none </w:t>
            </w:r>
          </w:p>
        </w:tc>
        <w:tc>
          <w:tcPr>
            <w:tcW w:w="448" w:type="pct"/>
            <w:hideMark/>
          </w:tcPr>
          <w:p w14:paraId="7D99ADB1" w14:textId="77777777" w:rsidR="00B81E45" w:rsidRPr="00165145" w:rsidRDefault="00B81E45" w:rsidP="00B81E45">
            <w:pPr>
              <w:jc w:val="left"/>
              <w:rPr>
                <w:rFonts w:ascii="Arial Narrow" w:hAnsi="Arial Narrow"/>
                <w:bCs/>
                <w:sz w:val="16"/>
                <w:szCs w:val="16"/>
              </w:rPr>
            </w:pPr>
            <w:r w:rsidRPr="00165145">
              <w:rPr>
                <w:rFonts w:ascii="Arial Narrow" w:hAnsi="Arial Narrow"/>
                <w:bCs/>
                <w:sz w:val="16"/>
                <w:szCs w:val="16"/>
              </w:rPr>
              <w:t xml:space="preserve">Range 19.5 (SD 20.51) to 45.6 (SD 57.6) months </w:t>
            </w:r>
          </w:p>
        </w:tc>
        <w:tc>
          <w:tcPr>
            <w:tcW w:w="437" w:type="pct"/>
            <w:gridSpan w:val="2"/>
          </w:tcPr>
          <w:p w14:paraId="0BA9699F" w14:textId="77777777" w:rsidR="00B81E45" w:rsidRPr="00165145" w:rsidRDefault="00B81E45" w:rsidP="00B81E45">
            <w:pPr>
              <w:jc w:val="left"/>
              <w:rPr>
                <w:rFonts w:ascii="Arial Narrow" w:hAnsi="Arial Narrow"/>
                <w:bCs/>
                <w:sz w:val="16"/>
                <w:szCs w:val="16"/>
              </w:rPr>
            </w:pPr>
            <w:r w:rsidRPr="00165145">
              <w:rPr>
                <w:rFonts w:ascii="Arial Narrow" w:hAnsi="Arial Narrow"/>
                <w:bCs/>
                <w:sz w:val="16"/>
                <w:szCs w:val="16"/>
              </w:rPr>
              <w:t>Range 27.75 (SD 24.27) to 54 (SD 80.4) months</w:t>
            </w:r>
          </w:p>
        </w:tc>
        <w:tc>
          <w:tcPr>
            <w:tcW w:w="432" w:type="pct"/>
            <w:gridSpan w:val="3"/>
          </w:tcPr>
          <w:p w14:paraId="7D45B839" w14:textId="77777777" w:rsidR="00B81E45" w:rsidRPr="00165145" w:rsidRDefault="00B81E45" w:rsidP="00B81E45">
            <w:pPr>
              <w:jc w:val="left"/>
              <w:rPr>
                <w:rFonts w:ascii="Arial Narrow" w:hAnsi="Arial Narrow"/>
                <w:bCs/>
                <w:sz w:val="16"/>
                <w:szCs w:val="16"/>
              </w:rPr>
            </w:pPr>
            <w:r w:rsidRPr="00165145">
              <w:rPr>
                <w:rFonts w:ascii="Arial Narrow" w:hAnsi="Arial Narrow"/>
                <w:bCs/>
                <w:sz w:val="16"/>
                <w:szCs w:val="16"/>
              </w:rPr>
              <w:t>no significant difference</w:t>
            </w:r>
          </w:p>
        </w:tc>
        <w:tc>
          <w:tcPr>
            <w:tcW w:w="446" w:type="pct"/>
          </w:tcPr>
          <w:p w14:paraId="76B95D23"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NA</w:t>
            </w:r>
          </w:p>
        </w:tc>
        <w:tc>
          <w:tcPr>
            <w:tcW w:w="367" w:type="pct"/>
            <w:hideMark/>
          </w:tcPr>
          <w:p w14:paraId="4037006D" w14:textId="77777777" w:rsidR="00B81E45" w:rsidRPr="00165145" w:rsidRDefault="00165145" w:rsidP="00B81E45">
            <w:pPr>
              <w:rPr>
                <w:rFonts w:ascii="Arial Narrow" w:hAnsi="Arial Narrow"/>
                <w:bCs/>
                <w:sz w:val="16"/>
                <w:szCs w:val="16"/>
              </w:rPr>
            </w:pPr>
            <w:r>
              <w:rPr>
                <w:rFonts w:ascii="Cambria Math" w:hAnsi="Cambria Math"/>
                <w:color w:val="00B050"/>
              </w:rPr>
              <w:t>⨁</w:t>
            </w:r>
            <w:r w:rsidRPr="00D4733A">
              <w:rPr>
                <w:rFonts w:ascii="Cambria Math" w:hAnsi="Cambria Math" w:cs="Cambria Math"/>
                <w:color w:val="C00000"/>
              </w:rPr>
              <w:t>⨀⨀⨀</w:t>
            </w:r>
            <w:r w:rsidR="00B81E45" w:rsidRPr="00165145">
              <w:rPr>
                <w:rFonts w:ascii="Arial Narrow" w:hAnsi="Arial Narrow"/>
                <w:bCs/>
                <w:sz w:val="16"/>
                <w:szCs w:val="16"/>
              </w:rPr>
              <w:br/>
              <w:t xml:space="preserve">VERY LOW </w:t>
            </w:r>
          </w:p>
        </w:tc>
        <w:tc>
          <w:tcPr>
            <w:tcW w:w="396" w:type="pct"/>
            <w:hideMark/>
          </w:tcPr>
          <w:p w14:paraId="1918210E"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IMPORTANT </w:t>
            </w:r>
          </w:p>
        </w:tc>
      </w:tr>
      <w:tr w:rsidR="00B81E45" w:rsidRPr="00B81E45" w14:paraId="18C981DC" w14:textId="77777777" w:rsidTr="00B81E45">
        <w:trPr>
          <w:cantSplit/>
        </w:trPr>
        <w:tc>
          <w:tcPr>
            <w:tcW w:w="5000" w:type="pct"/>
            <w:gridSpan w:val="16"/>
            <w:shd w:val="clear" w:color="auto" w:fill="FFFFFF"/>
            <w:vAlign w:val="center"/>
            <w:hideMark/>
          </w:tcPr>
          <w:p w14:paraId="449810CE" w14:textId="77777777" w:rsidR="00B81E45" w:rsidRPr="00B81E45" w:rsidRDefault="00B81E45" w:rsidP="00B81E45">
            <w:pPr>
              <w:rPr>
                <w:rFonts w:ascii="Arial Narrow" w:hAnsi="Arial Narrow"/>
                <w:b/>
                <w:bCs/>
                <w:sz w:val="16"/>
                <w:szCs w:val="16"/>
              </w:rPr>
            </w:pPr>
            <w:r w:rsidRPr="00B81E45">
              <w:rPr>
                <w:rFonts w:ascii="Arial Narrow" w:hAnsi="Arial Narrow"/>
                <w:b/>
                <w:bCs/>
                <w:sz w:val="16"/>
                <w:szCs w:val="16"/>
              </w:rPr>
              <w:t>Number of NMOSD diagnoses based on 2015 compared with 2006 criteria</w:t>
            </w:r>
          </w:p>
        </w:tc>
      </w:tr>
      <w:tr w:rsidR="00A56B13" w:rsidRPr="00165145" w14:paraId="2505318D" w14:textId="77777777" w:rsidTr="00A56B13">
        <w:trPr>
          <w:cantSplit/>
        </w:trPr>
        <w:tc>
          <w:tcPr>
            <w:tcW w:w="420" w:type="pct"/>
            <w:hideMark/>
          </w:tcPr>
          <w:p w14:paraId="544BAB8B" w14:textId="77777777" w:rsidR="005B3900" w:rsidRDefault="005B3900" w:rsidP="00B81E45">
            <w:pPr>
              <w:rPr>
                <w:rFonts w:ascii="Arial Narrow" w:hAnsi="Arial Narrow"/>
                <w:bCs/>
                <w:sz w:val="16"/>
                <w:szCs w:val="16"/>
              </w:rPr>
            </w:pPr>
            <w:r>
              <w:rPr>
                <w:rFonts w:ascii="Arial Narrow" w:hAnsi="Arial Narrow"/>
                <w:bCs/>
                <w:sz w:val="16"/>
                <w:szCs w:val="16"/>
              </w:rPr>
              <w:t>K=</w:t>
            </w:r>
            <w:r w:rsidR="00B81E45" w:rsidRPr="00165145">
              <w:rPr>
                <w:rFonts w:ascii="Arial Narrow" w:hAnsi="Arial Narrow"/>
                <w:bCs/>
                <w:sz w:val="16"/>
                <w:szCs w:val="16"/>
              </w:rPr>
              <w:t>2</w:t>
            </w:r>
          </w:p>
          <w:p w14:paraId="0587924B" w14:textId="5E5106AA" w:rsidR="00B81E45" w:rsidRPr="00165145" w:rsidRDefault="005B3900" w:rsidP="00B81E45">
            <w:pPr>
              <w:rPr>
                <w:rFonts w:ascii="Arial Narrow" w:hAnsi="Arial Narrow"/>
                <w:bCs/>
                <w:sz w:val="16"/>
                <w:szCs w:val="16"/>
              </w:rPr>
            </w:pPr>
            <w:r>
              <w:rPr>
                <w:rFonts w:ascii="Arial Narrow" w:hAnsi="Arial Narrow"/>
                <w:bCs/>
                <w:sz w:val="16"/>
                <w:szCs w:val="16"/>
              </w:rPr>
              <w:t>N=709</w:t>
            </w:r>
            <w:r w:rsidR="00B81E45" w:rsidRPr="00165145">
              <w:rPr>
                <w:rFonts w:ascii="Arial Narrow" w:hAnsi="Arial Narrow"/>
                <w:bCs/>
                <w:sz w:val="16"/>
                <w:szCs w:val="16"/>
              </w:rPr>
              <w:t xml:space="preserve"> </w:t>
            </w:r>
          </w:p>
        </w:tc>
        <w:tc>
          <w:tcPr>
            <w:tcW w:w="375" w:type="pct"/>
            <w:hideMark/>
          </w:tcPr>
          <w:p w14:paraId="3D03F1A8"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observational studies </w:t>
            </w:r>
          </w:p>
        </w:tc>
        <w:tc>
          <w:tcPr>
            <w:tcW w:w="364" w:type="pct"/>
            <w:hideMark/>
          </w:tcPr>
          <w:p w14:paraId="5B5A8C87"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serious </w:t>
            </w:r>
            <w:r w:rsidRPr="00165145">
              <w:rPr>
                <w:rFonts w:ascii="Arial Narrow" w:hAnsi="Arial Narrow"/>
                <w:bCs/>
                <w:sz w:val="16"/>
                <w:szCs w:val="16"/>
                <w:vertAlign w:val="superscript"/>
              </w:rPr>
              <w:t>a</w:t>
            </w:r>
          </w:p>
        </w:tc>
        <w:tc>
          <w:tcPr>
            <w:tcW w:w="340" w:type="pct"/>
            <w:hideMark/>
          </w:tcPr>
          <w:p w14:paraId="3BCDF05C"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not serious </w:t>
            </w:r>
          </w:p>
        </w:tc>
        <w:tc>
          <w:tcPr>
            <w:tcW w:w="324" w:type="pct"/>
            <w:hideMark/>
          </w:tcPr>
          <w:p w14:paraId="668AC0AD"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not serious </w:t>
            </w:r>
          </w:p>
        </w:tc>
        <w:tc>
          <w:tcPr>
            <w:tcW w:w="293" w:type="pct"/>
            <w:hideMark/>
          </w:tcPr>
          <w:p w14:paraId="740EA315"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not serious </w:t>
            </w:r>
          </w:p>
        </w:tc>
        <w:tc>
          <w:tcPr>
            <w:tcW w:w="358" w:type="pct"/>
            <w:hideMark/>
          </w:tcPr>
          <w:p w14:paraId="70934E98"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strong association </w:t>
            </w:r>
          </w:p>
        </w:tc>
        <w:tc>
          <w:tcPr>
            <w:tcW w:w="452" w:type="pct"/>
            <w:gridSpan w:val="2"/>
            <w:hideMark/>
          </w:tcPr>
          <w:p w14:paraId="5E3B01B2"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322/709 (45.4%) </w:t>
            </w:r>
          </w:p>
        </w:tc>
        <w:tc>
          <w:tcPr>
            <w:tcW w:w="438" w:type="pct"/>
            <w:gridSpan w:val="2"/>
            <w:hideMark/>
          </w:tcPr>
          <w:p w14:paraId="18BCF9D6"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190/709 (26.8%) </w:t>
            </w:r>
          </w:p>
        </w:tc>
        <w:tc>
          <w:tcPr>
            <w:tcW w:w="422" w:type="pct"/>
            <w:hideMark/>
          </w:tcPr>
          <w:p w14:paraId="24C936FF" w14:textId="77777777" w:rsidR="00B81E45" w:rsidRPr="00165145" w:rsidRDefault="00B81E45" w:rsidP="00B81E45">
            <w:pPr>
              <w:jc w:val="left"/>
              <w:rPr>
                <w:rFonts w:ascii="Arial Narrow" w:hAnsi="Arial Narrow"/>
                <w:bCs/>
                <w:sz w:val="16"/>
                <w:szCs w:val="16"/>
              </w:rPr>
            </w:pPr>
            <w:r w:rsidRPr="00165145">
              <w:rPr>
                <w:rFonts w:ascii="Arial Narrow" w:hAnsi="Arial Narrow"/>
                <w:bCs/>
                <w:sz w:val="16"/>
                <w:szCs w:val="16"/>
              </w:rPr>
              <w:t xml:space="preserve">OR range </w:t>
            </w:r>
            <w:r w:rsidRPr="00165145">
              <w:rPr>
                <w:rFonts w:ascii="Arial Narrow" w:hAnsi="Arial Narrow"/>
                <w:bCs/>
                <w:sz w:val="16"/>
                <w:szCs w:val="16"/>
              </w:rPr>
              <w:br/>
              <w:t xml:space="preserve">1.76 to 2.48 </w:t>
            </w:r>
          </w:p>
        </w:tc>
        <w:tc>
          <w:tcPr>
            <w:tcW w:w="451" w:type="pct"/>
            <w:gridSpan w:val="2"/>
            <w:hideMark/>
          </w:tcPr>
          <w:p w14:paraId="564FAD93"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not estimable </w:t>
            </w:r>
          </w:p>
        </w:tc>
        <w:tc>
          <w:tcPr>
            <w:tcW w:w="367" w:type="pct"/>
            <w:hideMark/>
          </w:tcPr>
          <w:p w14:paraId="49C2D18B" w14:textId="77777777" w:rsidR="00B81E45" w:rsidRPr="00165145" w:rsidRDefault="00165145" w:rsidP="00B81E45">
            <w:pPr>
              <w:rPr>
                <w:rFonts w:ascii="Arial Narrow" w:hAnsi="Arial Narrow"/>
                <w:bCs/>
                <w:sz w:val="16"/>
                <w:szCs w:val="16"/>
              </w:rPr>
            </w:pPr>
            <w:r>
              <w:rPr>
                <w:rFonts w:ascii="Cambria Math" w:hAnsi="Cambria Math"/>
                <w:color w:val="00B050"/>
              </w:rPr>
              <w:t>⨁⨁</w:t>
            </w:r>
            <w:r w:rsidRPr="00D4733A">
              <w:rPr>
                <w:rFonts w:ascii="Cambria Math" w:hAnsi="Cambria Math" w:cs="Cambria Math"/>
                <w:color w:val="C00000"/>
              </w:rPr>
              <w:t>⨀⨀</w:t>
            </w:r>
            <w:r w:rsidR="00B81E45" w:rsidRPr="00165145">
              <w:rPr>
                <w:rFonts w:ascii="Arial Narrow" w:hAnsi="Arial Narrow"/>
                <w:bCs/>
                <w:sz w:val="16"/>
                <w:szCs w:val="16"/>
              </w:rPr>
              <w:br/>
              <w:t xml:space="preserve">LOW </w:t>
            </w:r>
          </w:p>
        </w:tc>
        <w:tc>
          <w:tcPr>
            <w:tcW w:w="396" w:type="pct"/>
            <w:hideMark/>
          </w:tcPr>
          <w:p w14:paraId="51EDA5F9"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CRITICAL </w:t>
            </w:r>
          </w:p>
        </w:tc>
      </w:tr>
      <w:tr w:rsidR="00B81E45" w:rsidRPr="00B81E45" w14:paraId="7562F112" w14:textId="77777777" w:rsidTr="00B81E45">
        <w:trPr>
          <w:cantSplit/>
        </w:trPr>
        <w:tc>
          <w:tcPr>
            <w:tcW w:w="5000" w:type="pct"/>
            <w:gridSpan w:val="16"/>
            <w:shd w:val="clear" w:color="auto" w:fill="FFFFFF"/>
            <w:vAlign w:val="center"/>
            <w:hideMark/>
          </w:tcPr>
          <w:p w14:paraId="534ABDDF" w14:textId="77777777" w:rsidR="00B81E45" w:rsidRPr="00B81E45" w:rsidRDefault="00B81E45" w:rsidP="00B81E45">
            <w:pPr>
              <w:rPr>
                <w:rFonts w:ascii="Arial Narrow" w:hAnsi="Arial Narrow"/>
                <w:b/>
                <w:bCs/>
                <w:sz w:val="16"/>
                <w:szCs w:val="16"/>
              </w:rPr>
            </w:pPr>
            <w:r w:rsidRPr="00B81E45">
              <w:rPr>
                <w:rFonts w:ascii="Arial Narrow" w:hAnsi="Arial Narrow"/>
                <w:b/>
                <w:bCs/>
                <w:sz w:val="16"/>
                <w:szCs w:val="16"/>
              </w:rPr>
              <w:t>Number of NMOSD diagnoses after compared with before 24 months</w:t>
            </w:r>
          </w:p>
        </w:tc>
      </w:tr>
      <w:tr w:rsidR="00A56B13" w:rsidRPr="00165145" w14:paraId="34FED186" w14:textId="77777777" w:rsidTr="00A56B13">
        <w:trPr>
          <w:cantSplit/>
        </w:trPr>
        <w:tc>
          <w:tcPr>
            <w:tcW w:w="420" w:type="pct"/>
            <w:hideMark/>
          </w:tcPr>
          <w:p w14:paraId="7AF56883" w14:textId="77777777" w:rsidR="005B3900" w:rsidRDefault="005B3900" w:rsidP="00B81E45">
            <w:pPr>
              <w:rPr>
                <w:rFonts w:ascii="Arial Narrow" w:hAnsi="Arial Narrow"/>
                <w:bCs/>
                <w:sz w:val="16"/>
                <w:szCs w:val="16"/>
              </w:rPr>
            </w:pPr>
            <w:r>
              <w:rPr>
                <w:rFonts w:ascii="Arial Narrow" w:hAnsi="Arial Narrow"/>
                <w:bCs/>
                <w:sz w:val="16"/>
                <w:szCs w:val="16"/>
              </w:rPr>
              <w:t>K=</w:t>
            </w:r>
            <w:r w:rsidR="00B81E45" w:rsidRPr="00165145">
              <w:rPr>
                <w:rFonts w:ascii="Arial Narrow" w:hAnsi="Arial Narrow"/>
                <w:bCs/>
                <w:sz w:val="16"/>
                <w:szCs w:val="16"/>
              </w:rPr>
              <w:t>1</w:t>
            </w:r>
          </w:p>
          <w:p w14:paraId="6FC7304E" w14:textId="27D83162" w:rsidR="00B81E45" w:rsidRPr="00165145" w:rsidRDefault="005B3900" w:rsidP="00B81E45">
            <w:pPr>
              <w:rPr>
                <w:rFonts w:ascii="Arial Narrow" w:hAnsi="Arial Narrow"/>
                <w:bCs/>
                <w:sz w:val="16"/>
                <w:szCs w:val="16"/>
              </w:rPr>
            </w:pPr>
            <w:r>
              <w:rPr>
                <w:rFonts w:ascii="Arial Narrow" w:hAnsi="Arial Narrow"/>
                <w:bCs/>
                <w:sz w:val="16"/>
                <w:szCs w:val="16"/>
              </w:rPr>
              <w:t>N=120</w:t>
            </w:r>
            <w:r w:rsidR="00B81E45" w:rsidRPr="00165145">
              <w:rPr>
                <w:rFonts w:ascii="Arial Narrow" w:hAnsi="Arial Narrow"/>
                <w:bCs/>
                <w:sz w:val="16"/>
                <w:szCs w:val="16"/>
              </w:rPr>
              <w:t xml:space="preserve"> </w:t>
            </w:r>
          </w:p>
        </w:tc>
        <w:tc>
          <w:tcPr>
            <w:tcW w:w="375" w:type="pct"/>
            <w:hideMark/>
          </w:tcPr>
          <w:p w14:paraId="47950869"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observational studies </w:t>
            </w:r>
          </w:p>
        </w:tc>
        <w:tc>
          <w:tcPr>
            <w:tcW w:w="364" w:type="pct"/>
            <w:hideMark/>
          </w:tcPr>
          <w:p w14:paraId="3B708986"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serious </w:t>
            </w:r>
            <w:r w:rsidRPr="00165145">
              <w:rPr>
                <w:rFonts w:ascii="Arial Narrow" w:hAnsi="Arial Narrow"/>
                <w:bCs/>
                <w:sz w:val="16"/>
                <w:szCs w:val="16"/>
                <w:vertAlign w:val="superscript"/>
              </w:rPr>
              <w:t>a</w:t>
            </w:r>
          </w:p>
        </w:tc>
        <w:tc>
          <w:tcPr>
            <w:tcW w:w="340" w:type="pct"/>
            <w:hideMark/>
          </w:tcPr>
          <w:p w14:paraId="6758AA4D"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not serious </w:t>
            </w:r>
          </w:p>
        </w:tc>
        <w:tc>
          <w:tcPr>
            <w:tcW w:w="324" w:type="pct"/>
            <w:hideMark/>
          </w:tcPr>
          <w:p w14:paraId="4F8A36E5"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not serious </w:t>
            </w:r>
          </w:p>
        </w:tc>
        <w:tc>
          <w:tcPr>
            <w:tcW w:w="293" w:type="pct"/>
            <w:hideMark/>
          </w:tcPr>
          <w:p w14:paraId="0468D0C1"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not serious </w:t>
            </w:r>
          </w:p>
        </w:tc>
        <w:tc>
          <w:tcPr>
            <w:tcW w:w="358" w:type="pct"/>
            <w:hideMark/>
          </w:tcPr>
          <w:p w14:paraId="441D1C42"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none </w:t>
            </w:r>
          </w:p>
        </w:tc>
        <w:tc>
          <w:tcPr>
            <w:tcW w:w="452" w:type="pct"/>
            <w:gridSpan w:val="2"/>
            <w:hideMark/>
          </w:tcPr>
          <w:p w14:paraId="2BD1E6E5"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16/210 (7.6%) </w:t>
            </w:r>
          </w:p>
        </w:tc>
        <w:tc>
          <w:tcPr>
            <w:tcW w:w="438" w:type="pct"/>
            <w:gridSpan w:val="2"/>
            <w:hideMark/>
          </w:tcPr>
          <w:p w14:paraId="2E93ADA5"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12/210 (5.7%) </w:t>
            </w:r>
          </w:p>
        </w:tc>
        <w:tc>
          <w:tcPr>
            <w:tcW w:w="422" w:type="pct"/>
            <w:hideMark/>
          </w:tcPr>
          <w:p w14:paraId="72794D3C" w14:textId="77777777" w:rsidR="00B81E45" w:rsidRPr="00165145" w:rsidRDefault="00B81E45" w:rsidP="00B81E45">
            <w:pPr>
              <w:jc w:val="left"/>
              <w:rPr>
                <w:rFonts w:ascii="Arial Narrow" w:hAnsi="Arial Narrow"/>
                <w:bCs/>
                <w:sz w:val="16"/>
                <w:szCs w:val="16"/>
              </w:rPr>
            </w:pPr>
            <w:r w:rsidRPr="00165145">
              <w:rPr>
                <w:rFonts w:ascii="Arial Narrow" w:hAnsi="Arial Narrow"/>
                <w:bCs/>
                <w:sz w:val="16"/>
                <w:szCs w:val="16"/>
              </w:rPr>
              <w:t>OR 1.36</w:t>
            </w:r>
            <w:r w:rsidRPr="00165145">
              <w:rPr>
                <w:rFonts w:ascii="Arial Narrow" w:hAnsi="Arial Narrow"/>
                <w:bCs/>
                <w:sz w:val="16"/>
                <w:szCs w:val="16"/>
              </w:rPr>
              <w:br/>
              <w:t xml:space="preserve">(0.63 to 2.95) </w:t>
            </w:r>
          </w:p>
        </w:tc>
        <w:tc>
          <w:tcPr>
            <w:tcW w:w="451" w:type="pct"/>
            <w:gridSpan w:val="2"/>
            <w:hideMark/>
          </w:tcPr>
          <w:p w14:paraId="3294DCC7"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19 more per 1,000</w:t>
            </w:r>
            <w:r w:rsidRPr="00165145">
              <w:rPr>
                <w:rFonts w:ascii="Arial Narrow" w:hAnsi="Arial Narrow"/>
                <w:bCs/>
                <w:sz w:val="16"/>
                <w:szCs w:val="16"/>
              </w:rPr>
              <w:br/>
              <w:t xml:space="preserve">(from 20 fewer to 95 more) </w:t>
            </w:r>
          </w:p>
        </w:tc>
        <w:tc>
          <w:tcPr>
            <w:tcW w:w="367" w:type="pct"/>
            <w:hideMark/>
          </w:tcPr>
          <w:p w14:paraId="13E67A04" w14:textId="77777777" w:rsidR="00B81E45" w:rsidRPr="00165145" w:rsidRDefault="00165145" w:rsidP="00B81E45">
            <w:pPr>
              <w:rPr>
                <w:rFonts w:ascii="Arial Narrow" w:hAnsi="Arial Narrow"/>
                <w:bCs/>
                <w:sz w:val="16"/>
                <w:szCs w:val="16"/>
              </w:rPr>
            </w:pPr>
            <w:r>
              <w:rPr>
                <w:rFonts w:ascii="Cambria Math" w:hAnsi="Cambria Math"/>
                <w:color w:val="00B050"/>
              </w:rPr>
              <w:t>⨁</w:t>
            </w:r>
            <w:r w:rsidRPr="00D4733A">
              <w:rPr>
                <w:rFonts w:ascii="Cambria Math" w:hAnsi="Cambria Math" w:cs="Cambria Math"/>
                <w:color w:val="C00000"/>
              </w:rPr>
              <w:t>⨀⨀⨀</w:t>
            </w:r>
            <w:r w:rsidR="00B81E45" w:rsidRPr="00165145">
              <w:rPr>
                <w:rFonts w:ascii="Arial Narrow" w:hAnsi="Arial Narrow"/>
                <w:bCs/>
                <w:sz w:val="16"/>
                <w:szCs w:val="16"/>
              </w:rPr>
              <w:br/>
              <w:t xml:space="preserve">VERY LOW </w:t>
            </w:r>
          </w:p>
        </w:tc>
        <w:tc>
          <w:tcPr>
            <w:tcW w:w="396" w:type="pct"/>
            <w:hideMark/>
          </w:tcPr>
          <w:p w14:paraId="0BE39604" w14:textId="77777777" w:rsidR="00B81E45" w:rsidRPr="00165145" w:rsidRDefault="00B81E45" w:rsidP="00B81E45">
            <w:pPr>
              <w:rPr>
                <w:rFonts w:ascii="Arial Narrow" w:hAnsi="Arial Narrow"/>
                <w:bCs/>
                <w:sz w:val="16"/>
                <w:szCs w:val="16"/>
              </w:rPr>
            </w:pPr>
            <w:r w:rsidRPr="00165145">
              <w:rPr>
                <w:rFonts w:ascii="Arial Narrow" w:hAnsi="Arial Narrow"/>
                <w:bCs/>
                <w:sz w:val="16"/>
                <w:szCs w:val="16"/>
              </w:rPr>
              <w:t xml:space="preserve">IMPORTANT </w:t>
            </w:r>
          </w:p>
        </w:tc>
      </w:tr>
    </w:tbl>
    <w:p w14:paraId="2EB8D2C1" w14:textId="77777777" w:rsidR="00165145" w:rsidRDefault="00144128" w:rsidP="005B189A">
      <w:pPr>
        <w:spacing w:after="80"/>
        <w:rPr>
          <w:rFonts w:ascii="Arial Narrow" w:hAnsi="Arial Narrow"/>
          <w:sz w:val="16"/>
          <w:szCs w:val="16"/>
          <w:lang w:val="en"/>
        </w:rPr>
      </w:pPr>
      <w:r w:rsidRPr="00144128">
        <w:rPr>
          <w:rFonts w:ascii="Arial Narrow" w:hAnsi="Arial Narrow"/>
          <w:bCs/>
          <w:sz w:val="16"/>
          <w:szCs w:val="16"/>
          <w:lang w:val="en"/>
        </w:rPr>
        <w:t>AQP4-Ab = aquaporin 4 antibody</w:t>
      </w:r>
      <w:r>
        <w:rPr>
          <w:rFonts w:ascii="Arial Narrow" w:hAnsi="Arial Narrow"/>
          <w:b/>
          <w:bCs/>
          <w:sz w:val="16"/>
          <w:szCs w:val="16"/>
          <w:lang w:val="en"/>
        </w:rPr>
        <w:t xml:space="preserve">; </w:t>
      </w:r>
      <w:r w:rsidRPr="00A82EF5">
        <w:rPr>
          <w:rStyle w:val="TablenotesChar0"/>
        </w:rPr>
        <w:t xml:space="preserve">CI </w:t>
      </w:r>
      <w:r>
        <w:rPr>
          <w:rFonts w:ascii="Arial Narrow" w:hAnsi="Arial Narrow"/>
          <w:b/>
          <w:bCs/>
          <w:sz w:val="16"/>
          <w:szCs w:val="16"/>
          <w:lang w:val="en"/>
        </w:rPr>
        <w:t>=</w:t>
      </w:r>
      <w:r w:rsidR="00B5733C" w:rsidRPr="00B5733C">
        <w:rPr>
          <w:rFonts w:ascii="Arial Narrow" w:hAnsi="Arial Narrow"/>
          <w:sz w:val="16"/>
          <w:szCs w:val="16"/>
          <w:lang w:val="en"/>
        </w:rPr>
        <w:t xml:space="preserve"> Confidence interval</w:t>
      </w:r>
      <w:r>
        <w:rPr>
          <w:rFonts w:ascii="Arial Narrow" w:hAnsi="Arial Narrow"/>
          <w:sz w:val="16"/>
          <w:szCs w:val="16"/>
          <w:lang w:val="en"/>
        </w:rPr>
        <w:t>; NA =</w:t>
      </w:r>
      <w:r w:rsidR="00B81E45">
        <w:rPr>
          <w:rFonts w:ascii="Arial Narrow" w:hAnsi="Arial Narrow"/>
          <w:sz w:val="16"/>
          <w:szCs w:val="16"/>
          <w:lang w:val="en"/>
        </w:rPr>
        <w:t xml:space="preserve"> not available</w:t>
      </w:r>
      <w:r>
        <w:rPr>
          <w:rFonts w:ascii="Arial Narrow" w:hAnsi="Arial Narrow"/>
          <w:sz w:val="16"/>
          <w:szCs w:val="16"/>
          <w:lang w:val="en"/>
        </w:rPr>
        <w:t>; OR = odds ratio</w:t>
      </w:r>
    </w:p>
    <w:p w14:paraId="0379FE20" w14:textId="77777777" w:rsidR="00B5733C" w:rsidRPr="00B5733C" w:rsidRDefault="00B5733C" w:rsidP="005B189A">
      <w:pPr>
        <w:spacing w:after="80"/>
        <w:rPr>
          <w:rFonts w:ascii="Arial Narrow" w:hAnsi="Arial Narrow"/>
          <w:b/>
          <w:bCs/>
          <w:sz w:val="16"/>
          <w:szCs w:val="16"/>
          <w:lang w:val="en"/>
        </w:rPr>
      </w:pPr>
      <w:r w:rsidRPr="00B5733C">
        <w:rPr>
          <w:rFonts w:ascii="Arial Narrow" w:hAnsi="Arial Narrow"/>
          <w:b/>
          <w:bCs/>
          <w:sz w:val="16"/>
          <w:szCs w:val="16"/>
          <w:lang w:val="en"/>
        </w:rPr>
        <w:t>Explanations</w:t>
      </w:r>
    </w:p>
    <w:p w14:paraId="7A16B417" w14:textId="77777777" w:rsidR="00B5733C" w:rsidRPr="00B5733C" w:rsidRDefault="00B5733C" w:rsidP="005B189A">
      <w:pPr>
        <w:spacing w:after="80"/>
        <w:rPr>
          <w:rFonts w:ascii="Arial Narrow" w:hAnsi="Arial Narrow"/>
          <w:sz w:val="16"/>
          <w:szCs w:val="16"/>
          <w:lang w:val="en"/>
        </w:rPr>
      </w:pPr>
      <w:r w:rsidRPr="00B5733C">
        <w:rPr>
          <w:rFonts w:ascii="Arial Narrow" w:hAnsi="Arial Narrow"/>
          <w:sz w:val="16"/>
          <w:szCs w:val="16"/>
          <w:lang w:val="en"/>
        </w:rPr>
        <w:t xml:space="preserve">a. Retrospective study design at risk of selection bias </w:t>
      </w:r>
    </w:p>
    <w:p w14:paraId="5407C579" w14:textId="77777777" w:rsidR="00B5733C" w:rsidRPr="00B5733C" w:rsidRDefault="00B5733C" w:rsidP="00B5733C">
      <w:pPr>
        <w:rPr>
          <w:rFonts w:ascii="Arial Narrow" w:hAnsi="Arial Narrow"/>
          <w:sz w:val="16"/>
          <w:szCs w:val="16"/>
          <w:lang w:val="en"/>
        </w:rPr>
      </w:pPr>
      <w:r w:rsidRPr="00B5733C">
        <w:rPr>
          <w:rFonts w:ascii="Arial Narrow" w:hAnsi="Arial Narrow"/>
          <w:sz w:val="16"/>
          <w:szCs w:val="16"/>
          <w:lang w:val="en"/>
        </w:rPr>
        <w:lastRenderedPageBreak/>
        <w:t xml:space="preserve">b. Wide ranges for follow-up time and outcome </w:t>
      </w:r>
    </w:p>
    <w:p w14:paraId="492F9B2F" w14:textId="77777777" w:rsidR="00144128" w:rsidRDefault="00144128" w:rsidP="00144128">
      <w:pPr>
        <w:pStyle w:val="Tablenotes0"/>
        <w:rPr>
          <w:szCs w:val="18"/>
        </w:rPr>
      </w:pPr>
      <w:r w:rsidRPr="005B189A">
        <w:rPr>
          <w:b/>
          <w:szCs w:val="18"/>
        </w:rPr>
        <w:t>GRADE Working Group grades of evidence (Guyatt et al., 2013)</w:t>
      </w:r>
      <w:r w:rsidRPr="005B189A">
        <w:rPr>
          <w:b/>
          <w:szCs w:val="18"/>
        </w:rPr>
        <w:br/>
      </w:r>
      <w:r w:rsidRPr="00D4733A">
        <w:rPr>
          <w:rFonts w:ascii="Cambria Math" w:hAnsi="Cambria Math"/>
          <w:color w:val="00B050"/>
        </w:rPr>
        <w:t>⨁⨁⨁⨁</w:t>
      </w:r>
      <w:r>
        <w:rPr>
          <w:rFonts w:ascii="Cambria Math" w:hAnsi="Cambria Math"/>
          <w:color w:val="00B050"/>
        </w:rPr>
        <w:t xml:space="preserve"> </w:t>
      </w:r>
      <w:r w:rsidRPr="00E10B76">
        <w:rPr>
          <w:b/>
          <w:bCs/>
          <w:szCs w:val="18"/>
        </w:rPr>
        <w:t>High quality:</w:t>
      </w:r>
      <w:r w:rsidRPr="00E10B76">
        <w:rPr>
          <w:szCs w:val="18"/>
        </w:rPr>
        <w:t xml:space="preserve"> </w:t>
      </w:r>
      <w:r>
        <w:rPr>
          <w:szCs w:val="18"/>
        </w:rPr>
        <w:t>We are very confident that the true effect lies close to that of the estimate of effect.</w:t>
      </w:r>
      <w:r w:rsidRPr="00E10B76">
        <w:rPr>
          <w:szCs w:val="18"/>
        </w:rPr>
        <w:t xml:space="preserve"> </w:t>
      </w:r>
      <w:r w:rsidRPr="00E10B76">
        <w:rPr>
          <w:szCs w:val="18"/>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Moderate quality:</w:t>
      </w:r>
      <w:r w:rsidRPr="00E10B76">
        <w:rPr>
          <w:szCs w:val="18"/>
        </w:rPr>
        <w:t xml:space="preserve"> </w:t>
      </w:r>
      <w:r>
        <w:rPr>
          <w:szCs w:val="18"/>
        </w:rPr>
        <w:t xml:space="preserve">We are moderately confident in the effect estimate: The true effect is likely to be close to the estimate of the effect, but there is a possibility that it is substantially different.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Low quality:</w:t>
      </w:r>
      <w:r w:rsidRPr="00E10B76">
        <w:rPr>
          <w:szCs w:val="18"/>
        </w:rPr>
        <w:t xml:space="preserve"> </w:t>
      </w:r>
      <w:r>
        <w:rPr>
          <w:szCs w:val="18"/>
        </w:rPr>
        <w:t>Our confidence in the effect estimate is limited: The true effect may be substantially different from the estimate of the effect.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p>
    <w:p w14:paraId="2420200E" w14:textId="77777777" w:rsidR="004568D6" w:rsidRDefault="004568D6" w:rsidP="00ED65EE"/>
    <w:p w14:paraId="7F7A8283" w14:textId="5A1E4A4E" w:rsidR="00ED65EE" w:rsidRPr="000470F1" w:rsidRDefault="00ED65EE" w:rsidP="00BD7D63">
      <w:pPr>
        <w:pStyle w:val="Caption"/>
        <w:keepLines/>
      </w:pPr>
      <w:bookmarkStart w:id="647" w:name="_Toc39580884"/>
      <w:r>
        <w:t xml:space="preserve">Table </w:t>
      </w:r>
      <w:r w:rsidR="00E66384">
        <w:rPr>
          <w:noProof/>
        </w:rPr>
        <w:fldChar w:fldCharType="begin"/>
      </w:r>
      <w:r w:rsidR="00E66384">
        <w:rPr>
          <w:noProof/>
        </w:rPr>
        <w:instrText xml:space="preserve"> SEQ Table \* ARABIC </w:instrText>
      </w:r>
      <w:r w:rsidR="00E66384">
        <w:rPr>
          <w:noProof/>
        </w:rPr>
        <w:fldChar w:fldCharType="separate"/>
      </w:r>
      <w:r w:rsidR="00FA7BCD">
        <w:rPr>
          <w:noProof/>
        </w:rPr>
        <w:t>103</w:t>
      </w:r>
      <w:r w:rsidR="00E66384">
        <w:rPr>
          <w:noProof/>
        </w:rPr>
        <w:fldChar w:fldCharType="end"/>
      </w:r>
      <w:r>
        <w:tab/>
        <w:t xml:space="preserve">Evidence profile table for the impact of change in management due to </w:t>
      </w:r>
      <w:r w:rsidR="004E2AA7">
        <w:t>early</w:t>
      </w:r>
      <w:r>
        <w:t xml:space="preserve"> compared to </w:t>
      </w:r>
      <w:r w:rsidR="004E2AA7">
        <w:t>late diagnosis and/or treatment</w:t>
      </w:r>
      <w:r>
        <w:t xml:space="preserve"> for </w:t>
      </w:r>
      <w:r w:rsidR="004E2AA7">
        <w:t>NMOSD patients</w:t>
      </w:r>
      <w:bookmarkEnd w:id="647"/>
      <w:r>
        <w:t xml:space="preserve"> </w:t>
      </w:r>
    </w:p>
    <w:p w14:paraId="19EDDC18" w14:textId="77777777" w:rsidR="005801A9" w:rsidRPr="005B189A" w:rsidRDefault="005801A9" w:rsidP="004E2AA7">
      <w:pPr>
        <w:keepNext/>
        <w:keepLines/>
        <w:spacing w:before="160"/>
        <w:rPr>
          <w:rFonts w:ascii="Arial Narrow" w:hAnsi="Arial Narrow"/>
          <w:b/>
          <w:sz w:val="16"/>
          <w:szCs w:val="16"/>
          <w:lang w:val="en"/>
        </w:rPr>
      </w:pPr>
      <w:r w:rsidRPr="005B189A">
        <w:rPr>
          <w:rFonts w:ascii="Arial Narrow" w:hAnsi="Arial Narrow"/>
          <w:b/>
          <w:bCs/>
          <w:sz w:val="16"/>
          <w:szCs w:val="16"/>
          <w:lang w:val="en"/>
        </w:rPr>
        <w:t>Question</w:t>
      </w:r>
      <w:r w:rsidRPr="005B189A">
        <w:rPr>
          <w:rFonts w:ascii="Arial Narrow" w:hAnsi="Arial Narrow"/>
          <w:b/>
          <w:sz w:val="16"/>
          <w:szCs w:val="16"/>
          <w:lang w:val="en"/>
        </w:rPr>
        <w:t xml:space="preserve">: Early treatment compared to late treatment for NMOSD patients </w:t>
      </w:r>
    </w:p>
    <w:p w14:paraId="55214BF9" w14:textId="4B1E2A8C" w:rsidR="005801A9" w:rsidRPr="005801A9" w:rsidRDefault="005801A9" w:rsidP="00BD7D63">
      <w:pPr>
        <w:keepNext/>
        <w:keepLines/>
        <w:rPr>
          <w:rFonts w:ascii="Arial Narrow" w:hAnsi="Arial Narrow"/>
          <w:sz w:val="16"/>
          <w:szCs w:val="16"/>
          <w:lang w:val="en"/>
        </w:rPr>
      </w:pPr>
      <w:r w:rsidRPr="005801A9">
        <w:rPr>
          <w:rFonts w:ascii="Arial Narrow" w:hAnsi="Arial Narrow"/>
          <w:b/>
          <w:bCs/>
          <w:sz w:val="16"/>
          <w:szCs w:val="16"/>
          <w:lang w:val="en"/>
        </w:rPr>
        <w:t>Bibliography</w:t>
      </w:r>
      <w:r w:rsidRPr="005801A9">
        <w:rPr>
          <w:rFonts w:ascii="Arial Narrow" w:hAnsi="Arial Narrow"/>
          <w:sz w:val="16"/>
          <w:szCs w:val="16"/>
          <w:lang w:val="en"/>
        </w:rPr>
        <w:t xml:space="preserve">: </w:t>
      </w:r>
      <w:r w:rsidR="00156621">
        <w:rPr>
          <w:rFonts w:ascii="Arial Narrow" w:hAnsi="Arial Narrow"/>
          <w:sz w:val="16"/>
          <w:szCs w:val="16"/>
          <w:lang w:val="en"/>
        </w:rPr>
        <w:fldChar w:fldCharType="begin">
          <w:fldData xml:space="preserve">PEVuZE5vdGU+PENpdGU+PEF1dGhvcj5Cb25uYW48L0F1dGhvcj48WWVhcj4yMDE4PC9ZZWFyPjxS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</w:fldData>
        </w:fldChar>
      </w:r>
      <w:r w:rsidR="00591217">
        <w:rPr>
          <w:rFonts w:ascii="Arial Narrow" w:hAnsi="Arial Narrow"/>
          <w:sz w:val="16"/>
          <w:szCs w:val="16"/>
          <w:lang w:val="en"/>
        </w:rPr>
        <w:instrText xml:space="preserve"> ADDIN EN.CITE </w:instrText>
      </w:r>
      <w:r w:rsidR="00591217">
        <w:rPr>
          <w:rFonts w:ascii="Arial Narrow" w:hAnsi="Arial Narrow"/>
          <w:sz w:val="16"/>
          <w:szCs w:val="16"/>
          <w:lang w:val="en"/>
        </w:rPr>
        <w:fldChar w:fldCharType="begin">
          <w:fldData xml:space="preserve">PEVuZE5vdGU+PENpdGU+PEF1dGhvcj5Cb25uYW48L0F1dGhvcj48WWVhcj4yMDE4PC9ZZWFyPjxS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</w:fldData>
        </w:fldChar>
      </w:r>
      <w:r w:rsidR="00591217">
        <w:rPr>
          <w:rFonts w:ascii="Arial Narrow" w:hAnsi="Arial Narrow"/>
          <w:sz w:val="16"/>
          <w:szCs w:val="16"/>
          <w:lang w:val="en"/>
        </w:rPr>
        <w:instrText xml:space="preserve"> ADDIN EN.CITE.DATA </w:instrText>
      </w:r>
      <w:r w:rsidR="00591217">
        <w:rPr>
          <w:rFonts w:ascii="Arial Narrow" w:hAnsi="Arial Narrow"/>
          <w:sz w:val="16"/>
          <w:szCs w:val="16"/>
          <w:lang w:val="en"/>
        </w:rPr>
      </w:r>
      <w:r w:rsidR="00591217">
        <w:rPr>
          <w:rFonts w:ascii="Arial Narrow" w:hAnsi="Arial Narrow"/>
          <w:sz w:val="16"/>
          <w:szCs w:val="16"/>
          <w:lang w:val="en"/>
        </w:rPr>
        <w:fldChar w:fldCharType="end"/>
      </w:r>
      <w:r w:rsidR="00156621">
        <w:rPr>
          <w:rFonts w:ascii="Arial Narrow" w:hAnsi="Arial Narrow"/>
          <w:sz w:val="16"/>
          <w:szCs w:val="16"/>
          <w:lang w:val="en"/>
        </w:rPr>
      </w:r>
      <w:r w:rsidR="00156621">
        <w:rPr>
          <w:rFonts w:ascii="Arial Narrow" w:hAnsi="Arial Narrow"/>
          <w:sz w:val="16"/>
          <w:szCs w:val="16"/>
          <w:lang w:val="en"/>
        </w:rPr>
        <w:fldChar w:fldCharType="separate"/>
      </w:r>
      <w:r w:rsidR="00591217">
        <w:rPr>
          <w:rFonts w:ascii="Arial Narrow" w:hAnsi="Arial Narrow"/>
          <w:noProof/>
          <w:sz w:val="16"/>
          <w:szCs w:val="16"/>
          <w:lang w:val="en"/>
        </w:rPr>
        <w:t>(Bonnan, M. et al. 2018; Lin, J et al. 2017; Mealy, M et al. 2019; Stiebel-Kalish et al. 2019)</w:t>
      </w:r>
      <w:r w:rsidR="00156621">
        <w:rPr>
          <w:rFonts w:ascii="Arial Narrow" w:hAnsi="Arial Narrow"/>
          <w:sz w:val="16"/>
          <w:szCs w:val="16"/>
          <w:lang w:val="en"/>
        </w:rPr>
        <w:fldChar w:fldCharType="end"/>
      </w:r>
    </w:p>
    <w:tbl>
      <w:tblPr>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75" w:type="dxa"/>
          <w:left w:w="75" w:type="dxa"/>
          <w:bottom w:w="75" w:type="dxa"/>
          <w:right w:w="75" w:type="dxa"/>
        </w:tblCellMar>
        <w:tblLook w:val="04A0" w:firstRow="1" w:lastRow="0" w:firstColumn="1" w:lastColumn="0" w:noHBand="0" w:noVBand="1"/>
        <w:tblCaption w:val="Table 103"/>
        <w:tblDescription w:val="Evidence profile table for the impact of change in management due to early compared to late diagnosis and/or treatment for NMOSD patients "/>
      </w:tblPr>
      <w:tblGrid>
        <w:gridCol w:w="1698"/>
        <w:gridCol w:w="996"/>
        <w:gridCol w:w="992"/>
        <w:gridCol w:w="1134"/>
        <w:gridCol w:w="1134"/>
        <w:gridCol w:w="1137"/>
        <w:gridCol w:w="1134"/>
        <w:gridCol w:w="1141"/>
        <w:gridCol w:w="36"/>
        <w:gridCol w:w="1186"/>
        <w:gridCol w:w="1195"/>
        <w:gridCol w:w="1007"/>
        <w:gridCol w:w="1271"/>
        <w:gridCol w:w="1065"/>
      </w:tblGrid>
      <w:tr w:rsidR="0006002E" w:rsidRPr="005801A9" w14:paraId="74669E1B" w14:textId="77777777" w:rsidTr="00994F1D">
        <w:trPr>
          <w:cantSplit/>
          <w:tblHeader/>
        </w:trPr>
        <w:tc>
          <w:tcPr>
            <w:tcW w:w="2718" w:type="pct"/>
            <w:gridSpan w:val="7"/>
            <w:shd w:val="clear" w:color="auto" w:fill="D0CECE" w:themeFill="background2" w:themeFillShade="E6"/>
            <w:vAlign w:val="center"/>
            <w:hideMark/>
          </w:tcPr>
          <w:p w14:paraId="796C85B1"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Certainty assessment</w:t>
            </w:r>
          </w:p>
        </w:tc>
        <w:tc>
          <w:tcPr>
            <w:tcW w:w="781" w:type="pct"/>
            <w:gridSpan w:val="3"/>
            <w:shd w:val="clear" w:color="auto" w:fill="D0CECE" w:themeFill="background2" w:themeFillShade="E6"/>
            <w:vAlign w:val="center"/>
            <w:hideMark/>
          </w:tcPr>
          <w:p w14:paraId="5351C944"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 of patients</w:t>
            </w:r>
          </w:p>
        </w:tc>
        <w:tc>
          <w:tcPr>
            <w:tcW w:w="728" w:type="pct"/>
            <w:gridSpan w:val="2"/>
            <w:shd w:val="clear" w:color="auto" w:fill="D0CECE" w:themeFill="background2" w:themeFillShade="E6"/>
            <w:vAlign w:val="center"/>
            <w:hideMark/>
          </w:tcPr>
          <w:p w14:paraId="03A31A30"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Effect</w:t>
            </w:r>
          </w:p>
        </w:tc>
        <w:tc>
          <w:tcPr>
            <w:tcW w:w="420" w:type="pct"/>
            <w:vMerge w:val="restart"/>
            <w:shd w:val="clear" w:color="auto" w:fill="D0CECE" w:themeFill="background2" w:themeFillShade="E6"/>
            <w:vAlign w:val="center"/>
            <w:hideMark/>
          </w:tcPr>
          <w:p w14:paraId="233046CE"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Certainty</w:t>
            </w:r>
          </w:p>
        </w:tc>
        <w:tc>
          <w:tcPr>
            <w:tcW w:w="353" w:type="pct"/>
            <w:vMerge w:val="restart"/>
            <w:shd w:val="clear" w:color="auto" w:fill="D0CECE" w:themeFill="background2" w:themeFillShade="E6"/>
            <w:vAlign w:val="center"/>
            <w:hideMark/>
          </w:tcPr>
          <w:p w14:paraId="0E191C7D"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Importance</w:t>
            </w:r>
          </w:p>
        </w:tc>
      </w:tr>
      <w:tr w:rsidR="0006002E" w:rsidRPr="005801A9" w14:paraId="0B4B90D2" w14:textId="77777777" w:rsidTr="00994F1D">
        <w:trPr>
          <w:cantSplit/>
          <w:tblHeader/>
        </w:trPr>
        <w:tc>
          <w:tcPr>
            <w:tcW w:w="561" w:type="pct"/>
            <w:shd w:val="clear" w:color="auto" w:fill="D0CECE" w:themeFill="background2" w:themeFillShade="E6"/>
            <w:vAlign w:val="center"/>
            <w:hideMark/>
          </w:tcPr>
          <w:p w14:paraId="784270A6" w14:textId="77777777" w:rsidR="005801A9" w:rsidRDefault="005801A9" w:rsidP="00BD7D63">
            <w:pPr>
              <w:keepNext/>
              <w:keepLines/>
              <w:rPr>
                <w:rFonts w:ascii="Arial Narrow" w:hAnsi="Arial Narrow"/>
                <w:b/>
                <w:bCs/>
                <w:sz w:val="16"/>
                <w:szCs w:val="16"/>
              </w:rPr>
            </w:pPr>
            <w:r w:rsidRPr="005801A9">
              <w:rPr>
                <w:rFonts w:ascii="Arial Narrow" w:hAnsi="Arial Narrow"/>
                <w:b/>
                <w:bCs/>
                <w:sz w:val="16"/>
                <w:szCs w:val="16"/>
              </w:rPr>
              <w:t>№ of studies</w:t>
            </w:r>
            <w:r w:rsidR="00994F1D">
              <w:rPr>
                <w:rFonts w:ascii="Arial Narrow" w:hAnsi="Arial Narrow"/>
                <w:b/>
                <w:bCs/>
                <w:sz w:val="16"/>
                <w:szCs w:val="16"/>
              </w:rPr>
              <w:t xml:space="preserve"> (K)</w:t>
            </w:r>
          </w:p>
          <w:p w14:paraId="1FCC6294" w14:textId="671EE6F7" w:rsidR="00994F1D" w:rsidRPr="005801A9" w:rsidRDefault="00994F1D" w:rsidP="00BD7D63">
            <w:pPr>
              <w:keepNext/>
              <w:keepLines/>
              <w:rPr>
                <w:rFonts w:ascii="Arial Narrow" w:hAnsi="Arial Narrow"/>
                <w:b/>
                <w:bCs/>
                <w:sz w:val="16"/>
                <w:szCs w:val="16"/>
              </w:rPr>
            </w:pPr>
            <w:r>
              <w:rPr>
                <w:rFonts w:ascii="Arial Narrow" w:hAnsi="Arial Narrow"/>
                <w:b/>
                <w:bCs/>
                <w:sz w:val="16"/>
                <w:szCs w:val="16"/>
              </w:rPr>
              <w:t>N patients</w:t>
            </w:r>
          </w:p>
        </w:tc>
        <w:tc>
          <w:tcPr>
            <w:tcW w:w="329" w:type="pct"/>
            <w:shd w:val="clear" w:color="auto" w:fill="D0CECE" w:themeFill="background2" w:themeFillShade="E6"/>
            <w:vAlign w:val="center"/>
            <w:hideMark/>
          </w:tcPr>
          <w:p w14:paraId="7EEE8979"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Study design</w:t>
            </w:r>
          </w:p>
        </w:tc>
        <w:tc>
          <w:tcPr>
            <w:tcW w:w="328" w:type="pct"/>
            <w:shd w:val="clear" w:color="auto" w:fill="D0CECE" w:themeFill="background2" w:themeFillShade="E6"/>
            <w:vAlign w:val="center"/>
            <w:hideMark/>
          </w:tcPr>
          <w:p w14:paraId="201CF2A0"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Risk of bias</w:t>
            </w:r>
          </w:p>
        </w:tc>
        <w:tc>
          <w:tcPr>
            <w:tcW w:w="375" w:type="pct"/>
            <w:shd w:val="clear" w:color="auto" w:fill="D0CECE" w:themeFill="background2" w:themeFillShade="E6"/>
            <w:vAlign w:val="center"/>
            <w:hideMark/>
          </w:tcPr>
          <w:p w14:paraId="1194ADC8"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Inconsistency</w:t>
            </w:r>
          </w:p>
        </w:tc>
        <w:tc>
          <w:tcPr>
            <w:tcW w:w="375" w:type="pct"/>
            <w:shd w:val="clear" w:color="auto" w:fill="D0CECE" w:themeFill="background2" w:themeFillShade="E6"/>
            <w:vAlign w:val="center"/>
            <w:hideMark/>
          </w:tcPr>
          <w:p w14:paraId="0FDB9A57"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Indirectness</w:t>
            </w:r>
          </w:p>
        </w:tc>
        <w:tc>
          <w:tcPr>
            <w:tcW w:w="376" w:type="pct"/>
            <w:shd w:val="clear" w:color="auto" w:fill="D0CECE" w:themeFill="background2" w:themeFillShade="E6"/>
            <w:vAlign w:val="center"/>
            <w:hideMark/>
          </w:tcPr>
          <w:p w14:paraId="76BCB66C"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Imprecision</w:t>
            </w:r>
          </w:p>
        </w:tc>
        <w:tc>
          <w:tcPr>
            <w:tcW w:w="375" w:type="pct"/>
            <w:shd w:val="clear" w:color="auto" w:fill="D0CECE" w:themeFill="background2" w:themeFillShade="E6"/>
            <w:vAlign w:val="center"/>
            <w:hideMark/>
          </w:tcPr>
          <w:p w14:paraId="40AF3DA1"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Other considerations</w:t>
            </w:r>
          </w:p>
        </w:tc>
        <w:tc>
          <w:tcPr>
            <w:tcW w:w="377" w:type="pct"/>
            <w:shd w:val="clear" w:color="auto" w:fill="D0CECE" w:themeFill="background2" w:themeFillShade="E6"/>
            <w:vAlign w:val="center"/>
            <w:hideMark/>
          </w:tcPr>
          <w:p w14:paraId="1DDC0EA6"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early treatment</w:t>
            </w:r>
          </w:p>
        </w:tc>
        <w:tc>
          <w:tcPr>
            <w:tcW w:w="404" w:type="pct"/>
            <w:gridSpan w:val="2"/>
            <w:shd w:val="clear" w:color="auto" w:fill="D0CECE" w:themeFill="background2" w:themeFillShade="E6"/>
            <w:vAlign w:val="center"/>
            <w:hideMark/>
          </w:tcPr>
          <w:p w14:paraId="1E2AC2E2"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late treatment</w:t>
            </w:r>
          </w:p>
        </w:tc>
        <w:tc>
          <w:tcPr>
            <w:tcW w:w="395" w:type="pct"/>
            <w:shd w:val="clear" w:color="auto" w:fill="D0CECE" w:themeFill="background2" w:themeFillShade="E6"/>
            <w:vAlign w:val="center"/>
            <w:hideMark/>
          </w:tcPr>
          <w:p w14:paraId="69832400"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Relative</w:t>
            </w:r>
            <w:r w:rsidRPr="005801A9">
              <w:rPr>
                <w:rFonts w:ascii="Arial Narrow" w:hAnsi="Arial Narrow"/>
                <w:b/>
                <w:bCs/>
                <w:sz w:val="16"/>
                <w:szCs w:val="16"/>
              </w:rPr>
              <w:br/>
              <w:t>(95% CI)</w:t>
            </w:r>
          </w:p>
        </w:tc>
        <w:tc>
          <w:tcPr>
            <w:tcW w:w="333" w:type="pct"/>
            <w:shd w:val="clear" w:color="auto" w:fill="D0CECE" w:themeFill="background2" w:themeFillShade="E6"/>
            <w:vAlign w:val="center"/>
            <w:hideMark/>
          </w:tcPr>
          <w:p w14:paraId="67091446"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Absolute</w:t>
            </w:r>
            <w:r w:rsidRPr="005801A9">
              <w:rPr>
                <w:rFonts w:ascii="Arial Narrow" w:hAnsi="Arial Narrow"/>
                <w:b/>
                <w:bCs/>
                <w:sz w:val="16"/>
                <w:szCs w:val="16"/>
              </w:rPr>
              <w:br/>
              <w:t>(95% CI)</w:t>
            </w:r>
          </w:p>
        </w:tc>
        <w:tc>
          <w:tcPr>
            <w:tcW w:w="420" w:type="pct"/>
            <w:vMerge/>
            <w:shd w:val="clear" w:color="auto" w:fill="D0CECE" w:themeFill="background2" w:themeFillShade="E6"/>
            <w:vAlign w:val="center"/>
            <w:hideMark/>
          </w:tcPr>
          <w:p w14:paraId="625BC06E" w14:textId="77777777" w:rsidR="005801A9" w:rsidRPr="005801A9" w:rsidRDefault="005801A9" w:rsidP="00BD7D63">
            <w:pPr>
              <w:keepNext/>
              <w:keepLines/>
              <w:rPr>
                <w:rFonts w:ascii="Arial Narrow" w:hAnsi="Arial Narrow"/>
                <w:b/>
                <w:bCs/>
                <w:sz w:val="16"/>
                <w:szCs w:val="16"/>
              </w:rPr>
            </w:pPr>
          </w:p>
        </w:tc>
        <w:tc>
          <w:tcPr>
            <w:tcW w:w="353" w:type="pct"/>
            <w:vMerge/>
            <w:shd w:val="clear" w:color="auto" w:fill="D0CECE" w:themeFill="background2" w:themeFillShade="E6"/>
            <w:vAlign w:val="center"/>
            <w:hideMark/>
          </w:tcPr>
          <w:p w14:paraId="74F23797" w14:textId="77777777" w:rsidR="005801A9" w:rsidRPr="005801A9" w:rsidRDefault="005801A9" w:rsidP="00BD7D63">
            <w:pPr>
              <w:keepNext/>
              <w:keepLines/>
              <w:rPr>
                <w:rFonts w:ascii="Arial Narrow" w:hAnsi="Arial Narrow"/>
                <w:b/>
                <w:bCs/>
                <w:sz w:val="16"/>
                <w:szCs w:val="16"/>
              </w:rPr>
            </w:pPr>
          </w:p>
        </w:tc>
      </w:tr>
      <w:tr w:rsidR="005801A9" w:rsidRPr="005801A9" w14:paraId="235AFBED" w14:textId="77777777" w:rsidTr="0006002E">
        <w:trPr>
          <w:cantSplit/>
        </w:trPr>
        <w:tc>
          <w:tcPr>
            <w:tcW w:w="5000" w:type="pct"/>
            <w:gridSpan w:val="14"/>
            <w:shd w:val="clear" w:color="auto" w:fill="FFFFFF"/>
            <w:vAlign w:val="center"/>
            <w:hideMark/>
          </w:tcPr>
          <w:p w14:paraId="6CFF9098" w14:textId="77777777" w:rsidR="005801A9" w:rsidRPr="005801A9" w:rsidRDefault="005801A9" w:rsidP="00BD7D63">
            <w:pPr>
              <w:keepNext/>
              <w:keepLines/>
              <w:rPr>
                <w:rFonts w:ascii="Arial Narrow" w:hAnsi="Arial Narrow"/>
                <w:b/>
                <w:bCs/>
                <w:sz w:val="16"/>
                <w:szCs w:val="16"/>
              </w:rPr>
            </w:pPr>
            <w:r w:rsidRPr="005801A9">
              <w:rPr>
                <w:rFonts w:ascii="Arial Narrow" w:hAnsi="Arial Narrow"/>
                <w:b/>
                <w:bCs/>
                <w:sz w:val="16"/>
                <w:szCs w:val="16"/>
              </w:rPr>
              <w:t>Probability of complete improvement (assessed with: PLEX received day 0-1 or after day 20)</w:t>
            </w:r>
          </w:p>
        </w:tc>
      </w:tr>
      <w:tr w:rsidR="0006002E" w:rsidRPr="005801A9" w14:paraId="69C213A9" w14:textId="77777777" w:rsidTr="00994F1D">
        <w:trPr>
          <w:cantSplit/>
        </w:trPr>
        <w:tc>
          <w:tcPr>
            <w:tcW w:w="561" w:type="pct"/>
            <w:hideMark/>
          </w:tcPr>
          <w:p w14:paraId="2787F885" w14:textId="77777777" w:rsidR="00994F1D" w:rsidRDefault="00994F1D" w:rsidP="00BD7D63">
            <w:pPr>
              <w:keepNext/>
              <w:keepLines/>
              <w:rPr>
                <w:rFonts w:ascii="Arial Narrow" w:hAnsi="Arial Narrow"/>
                <w:sz w:val="16"/>
                <w:szCs w:val="16"/>
              </w:rPr>
            </w:pPr>
            <w:r>
              <w:rPr>
                <w:rFonts w:ascii="Arial Narrow" w:hAnsi="Arial Narrow"/>
                <w:sz w:val="16"/>
                <w:szCs w:val="16"/>
              </w:rPr>
              <w:t>K=</w:t>
            </w:r>
            <w:r w:rsidR="005801A9" w:rsidRPr="005801A9">
              <w:rPr>
                <w:rFonts w:ascii="Arial Narrow" w:hAnsi="Arial Narrow"/>
                <w:sz w:val="16"/>
                <w:szCs w:val="16"/>
              </w:rPr>
              <w:t>1</w:t>
            </w:r>
          </w:p>
          <w:p w14:paraId="747F6B5E" w14:textId="4868AB1D" w:rsidR="005801A9" w:rsidRPr="005801A9" w:rsidRDefault="00994F1D" w:rsidP="00BD7D63">
            <w:pPr>
              <w:keepNext/>
              <w:keepLines/>
              <w:rPr>
                <w:rFonts w:ascii="Arial Narrow" w:hAnsi="Arial Narrow"/>
                <w:sz w:val="16"/>
                <w:szCs w:val="16"/>
              </w:rPr>
            </w:pPr>
            <w:r>
              <w:rPr>
                <w:rFonts w:ascii="Arial Narrow" w:hAnsi="Arial Narrow"/>
                <w:sz w:val="16"/>
                <w:szCs w:val="16"/>
              </w:rPr>
              <w:t>N=60</w:t>
            </w:r>
            <w:r w:rsidR="005801A9" w:rsidRPr="005801A9">
              <w:rPr>
                <w:rFonts w:ascii="Arial Narrow" w:hAnsi="Arial Narrow"/>
                <w:sz w:val="16"/>
                <w:szCs w:val="16"/>
              </w:rPr>
              <w:t xml:space="preserve"> </w:t>
            </w:r>
          </w:p>
        </w:tc>
        <w:tc>
          <w:tcPr>
            <w:tcW w:w="329" w:type="pct"/>
            <w:hideMark/>
          </w:tcPr>
          <w:p w14:paraId="5746DECC" w14:textId="77777777" w:rsidR="005801A9" w:rsidRPr="005801A9" w:rsidRDefault="005801A9" w:rsidP="00BD7D63">
            <w:pPr>
              <w:keepNext/>
              <w:keepLines/>
              <w:rPr>
                <w:rFonts w:ascii="Arial Narrow" w:hAnsi="Arial Narrow"/>
                <w:sz w:val="16"/>
                <w:szCs w:val="16"/>
              </w:rPr>
            </w:pPr>
            <w:r w:rsidRPr="005801A9">
              <w:rPr>
                <w:rFonts w:ascii="Arial Narrow" w:hAnsi="Arial Narrow"/>
                <w:sz w:val="16"/>
                <w:szCs w:val="16"/>
              </w:rPr>
              <w:t xml:space="preserve">observational studies </w:t>
            </w:r>
          </w:p>
        </w:tc>
        <w:tc>
          <w:tcPr>
            <w:tcW w:w="328" w:type="pct"/>
            <w:hideMark/>
          </w:tcPr>
          <w:p w14:paraId="54DE1671" w14:textId="77777777" w:rsidR="005801A9" w:rsidRPr="005801A9" w:rsidRDefault="005801A9" w:rsidP="00BD7D63">
            <w:pPr>
              <w:keepNext/>
              <w:keepLines/>
              <w:rPr>
                <w:rFonts w:ascii="Arial Narrow" w:hAnsi="Arial Narrow"/>
                <w:sz w:val="16"/>
                <w:szCs w:val="16"/>
              </w:rPr>
            </w:pPr>
            <w:r w:rsidRPr="005801A9">
              <w:rPr>
                <w:rFonts w:ascii="Arial Narrow" w:hAnsi="Arial Narrow"/>
                <w:sz w:val="16"/>
                <w:szCs w:val="16"/>
              </w:rPr>
              <w:t xml:space="preserve">serious </w:t>
            </w:r>
            <w:r w:rsidRPr="005801A9">
              <w:rPr>
                <w:rFonts w:ascii="Arial Narrow" w:hAnsi="Arial Narrow"/>
                <w:sz w:val="16"/>
                <w:szCs w:val="16"/>
                <w:vertAlign w:val="superscript"/>
              </w:rPr>
              <w:t>a</w:t>
            </w:r>
          </w:p>
        </w:tc>
        <w:tc>
          <w:tcPr>
            <w:tcW w:w="375" w:type="pct"/>
            <w:hideMark/>
          </w:tcPr>
          <w:p w14:paraId="670FE130" w14:textId="77777777" w:rsidR="005801A9" w:rsidRPr="005801A9" w:rsidRDefault="005801A9" w:rsidP="00BD7D63">
            <w:pPr>
              <w:keepNext/>
              <w:keepLines/>
              <w:rPr>
                <w:rFonts w:ascii="Arial Narrow" w:hAnsi="Arial Narrow"/>
                <w:sz w:val="16"/>
                <w:szCs w:val="16"/>
              </w:rPr>
            </w:pPr>
            <w:r w:rsidRPr="005801A9">
              <w:rPr>
                <w:rFonts w:ascii="Arial Narrow" w:hAnsi="Arial Narrow"/>
                <w:sz w:val="16"/>
                <w:szCs w:val="16"/>
              </w:rPr>
              <w:t xml:space="preserve">not serious </w:t>
            </w:r>
          </w:p>
        </w:tc>
        <w:tc>
          <w:tcPr>
            <w:tcW w:w="375" w:type="pct"/>
            <w:hideMark/>
          </w:tcPr>
          <w:p w14:paraId="673EDD1B" w14:textId="77777777" w:rsidR="005801A9" w:rsidRPr="005801A9" w:rsidRDefault="005801A9" w:rsidP="00BD7D63">
            <w:pPr>
              <w:keepNext/>
              <w:keepLines/>
              <w:rPr>
                <w:rFonts w:ascii="Arial Narrow" w:hAnsi="Arial Narrow"/>
                <w:sz w:val="16"/>
                <w:szCs w:val="16"/>
              </w:rPr>
            </w:pPr>
            <w:r w:rsidRPr="005801A9">
              <w:rPr>
                <w:rFonts w:ascii="Arial Narrow" w:hAnsi="Arial Narrow"/>
                <w:sz w:val="16"/>
                <w:szCs w:val="16"/>
              </w:rPr>
              <w:t xml:space="preserve">not serious </w:t>
            </w:r>
          </w:p>
        </w:tc>
        <w:tc>
          <w:tcPr>
            <w:tcW w:w="376" w:type="pct"/>
            <w:hideMark/>
          </w:tcPr>
          <w:p w14:paraId="71B53982" w14:textId="77777777" w:rsidR="005801A9" w:rsidRPr="005801A9" w:rsidRDefault="005801A9" w:rsidP="00BD7D63">
            <w:pPr>
              <w:keepNext/>
              <w:keepLines/>
              <w:rPr>
                <w:rFonts w:ascii="Arial Narrow" w:hAnsi="Arial Narrow"/>
                <w:sz w:val="16"/>
                <w:szCs w:val="16"/>
              </w:rPr>
            </w:pPr>
            <w:r w:rsidRPr="005801A9">
              <w:rPr>
                <w:rFonts w:ascii="Arial Narrow" w:hAnsi="Arial Narrow"/>
                <w:sz w:val="16"/>
                <w:szCs w:val="16"/>
              </w:rPr>
              <w:t xml:space="preserve">not serious </w:t>
            </w:r>
          </w:p>
        </w:tc>
        <w:tc>
          <w:tcPr>
            <w:tcW w:w="375" w:type="pct"/>
            <w:hideMark/>
          </w:tcPr>
          <w:p w14:paraId="506C3539" w14:textId="77777777" w:rsidR="005801A9" w:rsidRPr="005801A9" w:rsidRDefault="005801A9" w:rsidP="00BD7D63">
            <w:pPr>
              <w:keepNext/>
              <w:keepLines/>
              <w:rPr>
                <w:rFonts w:ascii="Arial Narrow" w:hAnsi="Arial Narrow"/>
                <w:sz w:val="16"/>
                <w:szCs w:val="16"/>
              </w:rPr>
            </w:pPr>
            <w:r w:rsidRPr="005801A9">
              <w:rPr>
                <w:rFonts w:ascii="Arial Narrow" w:hAnsi="Arial Narrow"/>
                <w:sz w:val="16"/>
                <w:szCs w:val="16"/>
              </w:rPr>
              <w:t xml:space="preserve">strong association </w:t>
            </w:r>
          </w:p>
        </w:tc>
        <w:tc>
          <w:tcPr>
            <w:tcW w:w="377" w:type="pct"/>
            <w:hideMark/>
          </w:tcPr>
          <w:p w14:paraId="6242B56E" w14:textId="77777777" w:rsidR="005801A9" w:rsidRPr="005801A9" w:rsidRDefault="0006002E" w:rsidP="00BD7D63">
            <w:pPr>
              <w:keepNext/>
              <w:keepLines/>
              <w:rPr>
                <w:rFonts w:ascii="Arial Narrow" w:hAnsi="Arial Narrow"/>
                <w:sz w:val="16"/>
                <w:szCs w:val="16"/>
              </w:rPr>
            </w:pPr>
            <w:r>
              <w:rPr>
                <w:rFonts w:ascii="Arial Narrow" w:hAnsi="Arial Narrow"/>
                <w:sz w:val="16"/>
                <w:szCs w:val="16"/>
              </w:rPr>
              <w:t>50%</w:t>
            </w:r>
            <w:r w:rsidR="005801A9" w:rsidRPr="005801A9">
              <w:rPr>
                <w:rFonts w:ascii="Arial Narrow" w:hAnsi="Arial Narrow"/>
                <w:sz w:val="16"/>
                <w:szCs w:val="16"/>
              </w:rPr>
              <w:t xml:space="preserve"> </w:t>
            </w:r>
          </w:p>
        </w:tc>
        <w:tc>
          <w:tcPr>
            <w:tcW w:w="404" w:type="pct"/>
            <w:gridSpan w:val="2"/>
            <w:hideMark/>
          </w:tcPr>
          <w:p w14:paraId="3437221D" w14:textId="77777777" w:rsidR="005801A9" w:rsidRPr="005801A9" w:rsidRDefault="0006002E" w:rsidP="00BD7D63">
            <w:pPr>
              <w:keepNext/>
              <w:keepLines/>
              <w:rPr>
                <w:rFonts w:ascii="Arial Narrow" w:hAnsi="Arial Narrow"/>
                <w:sz w:val="16"/>
                <w:szCs w:val="16"/>
              </w:rPr>
            </w:pPr>
            <w:r>
              <w:rPr>
                <w:rFonts w:ascii="Arial Narrow" w:hAnsi="Arial Narrow"/>
                <w:sz w:val="16"/>
                <w:szCs w:val="16"/>
              </w:rPr>
              <w:t>5%</w:t>
            </w:r>
            <w:r w:rsidR="005801A9" w:rsidRPr="005801A9">
              <w:rPr>
                <w:rFonts w:ascii="Arial Narrow" w:hAnsi="Arial Narrow"/>
                <w:sz w:val="16"/>
                <w:szCs w:val="16"/>
              </w:rPr>
              <w:t xml:space="preserve"> </w:t>
            </w:r>
          </w:p>
        </w:tc>
        <w:tc>
          <w:tcPr>
            <w:tcW w:w="395" w:type="pct"/>
            <w:hideMark/>
          </w:tcPr>
          <w:p w14:paraId="4224949E" w14:textId="77777777" w:rsidR="005801A9" w:rsidRPr="005801A9" w:rsidRDefault="0006002E" w:rsidP="00BD7D63">
            <w:pPr>
              <w:keepNext/>
              <w:keepLines/>
              <w:rPr>
                <w:rFonts w:ascii="Arial Narrow" w:hAnsi="Arial Narrow"/>
                <w:sz w:val="16"/>
                <w:szCs w:val="16"/>
              </w:rPr>
            </w:pPr>
            <w:r>
              <w:rPr>
                <w:rFonts w:ascii="Arial Narrow" w:hAnsi="Arial Narrow"/>
                <w:sz w:val="16"/>
                <w:szCs w:val="16"/>
              </w:rPr>
              <w:t>P=0.02</w:t>
            </w:r>
          </w:p>
        </w:tc>
        <w:tc>
          <w:tcPr>
            <w:tcW w:w="333" w:type="pct"/>
            <w:hideMark/>
          </w:tcPr>
          <w:p w14:paraId="10664253" w14:textId="77777777" w:rsidR="005801A9" w:rsidRPr="005801A9" w:rsidRDefault="00144128" w:rsidP="00BD7D63">
            <w:pPr>
              <w:keepNext/>
              <w:keepLines/>
              <w:rPr>
                <w:rFonts w:ascii="Arial Narrow" w:hAnsi="Arial Narrow"/>
                <w:sz w:val="16"/>
                <w:szCs w:val="16"/>
              </w:rPr>
            </w:pPr>
            <w:r>
              <w:rPr>
                <w:rFonts w:ascii="Arial Narrow" w:hAnsi="Arial Narrow"/>
                <w:sz w:val="16"/>
                <w:szCs w:val="16"/>
              </w:rPr>
              <w:t>NA</w:t>
            </w:r>
          </w:p>
        </w:tc>
        <w:tc>
          <w:tcPr>
            <w:tcW w:w="420" w:type="pct"/>
            <w:hideMark/>
          </w:tcPr>
          <w:p w14:paraId="3E0B2439" w14:textId="77777777" w:rsidR="005801A9" w:rsidRPr="005801A9" w:rsidRDefault="00144128" w:rsidP="00BD7D63">
            <w:pPr>
              <w:keepNext/>
              <w:keepLines/>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5801A9" w:rsidRPr="005801A9">
              <w:rPr>
                <w:rFonts w:ascii="Arial Narrow" w:hAnsi="Arial Narrow"/>
                <w:sz w:val="16"/>
                <w:szCs w:val="16"/>
              </w:rPr>
              <w:br/>
              <w:t xml:space="preserve">LOW </w:t>
            </w:r>
          </w:p>
        </w:tc>
        <w:tc>
          <w:tcPr>
            <w:tcW w:w="353" w:type="pct"/>
            <w:hideMark/>
          </w:tcPr>
          <w:p w14:paraId="4C796FC7" w14:textId="77777777" w:rsidR="005801A9" w:rsidRPr="005801A9" w:rsidRDefault="00144128" w:rsidP="00BD7D63">
            <w:pPr>
              <w:keepNext/>
              <w:keepLines/>
              <w:rPr>
                <w:rFonts w:ascii="Arial Narrow" w:hAnsi="Arial Narrow"/>
                <w:sz w:val="16"/>
                <w:szCs w:val="16"/>
              </w:rPr>
            </w:pPr>
            <w:r>
              <w:rPr>
                <w:rFonts w:ascii="Arial Narrow" w:hAnsi="Arial Narrow"/>
                <w:sz w:val="16"/>
                <w:szCs w:val="16"/>
              </w:rPr>
              <w:t>CRITICAL</w:t>
            </w:r>
          </w:p>
        </w:tc>
      </w:tr>
      <w:tr w:rsidR="005801A9" w:rsidRPr="005801A9" w14:paraId="243D4E9D" w14:textId="77777777" w:rsidTr="0006002E">
        <w:trPr>
          <w:cantSplit/>
        </w:trPr>
        <w:tc>
          <w:tcPr>
            <w:tcW w:w="5000" w:type="pct"/>
            <w:gridSpan w:val="14"/>
            <w:shd w:val="clear" w:color="auto" w:fill="FFFFFF"/>
            <w:vAlign w:val="center"/>
            <w:hideMark/>
          </w:tcPr>
          <w:p w14:paraId="55792996" w14:textId="77777777" w:rsidR="005801A9" w:rsidRPr="005801A9" w:rsidRDefault="005801A9" w:rsidP="005801A9">
            <w:pPr>
              <w:rPr>
                <w:rFonts w:ascii="Arial Narrow" w:hAnsi="Arial Narrow"/>
                <w:b/>
                <w:bCs/>
                <w:sz w:val="16"/>
                <w:szCs w:val="16"/>
              </w:rPr>
            </w:pPr>
            <w:r w:rsidRPr="005801A9">
              <w:rPr>
                <w:rFonts w:ascii="Arial Narrow" w:hAnsi="Arial Narrow"/>
                <w:b/>
                <w:bCs/>
                <w:sz w:val="16"/>
                <w:szCs w:val="16"/>
              </w:rPr>
              <w:t>Time to next relapse on AZA (assessed with: months)</w:t>
            </w:r>
          </w:p>
        </w:tc>
      </w:tr>
      <w:tr w:rsidR="0006002E" w:rsidRPr="005801A9" w14:paraId="6925A4CE" w14:textId="77777777" w:rsidTr="00994F1D">
        <w:trPr>
          <w:cantSplit/>
        </w:trPr>
        <w:tc>
          <w:tcPr>
            <w:tcW w:w="561" w:type="pct"/>
            <w:hideMark/>
          </w:tcPr>
          <w:p w14:paraId="48422668" w14:textId="77777777" w:rsidR="00994F1D" w:rsidRDefault="00994F1D" w:rsidP="005801A9">
            <w:pPr>
              <w:rPr>
                <w:rFonts w:ascii="Arial Narrow" w:hAnsi="Arial Narrow"/>
                <w:sz w:val="16"/>
                <w:szCs w:val="16"/>
              </w:rPr>
            </w:pPr>
            <w:r>
              <w:rPr>
                <w:rFonts w:ascii="Arial Narrow" w:hAnsi="Arial Narrow"/>
                <w:sz w:val="16"/>
                <w:szCs w:val="16"/>
              </w:rPr>
              <w:t>K=</w:t>
            </w:r>
            <w:r w:rsidR="0006002E" w:rsidRPr="005801A9">
              <w:rPr>
                <w:rFonts w:ascii="Arial Narrow" w:hAnsi="Arial Narrow"/>
                <w:sz w:val="16"/>
                <w:szCs w:val="16"/>
              </w:rPr>
              <w:t>1</w:t>
            </w:r>
          </w:p>
          <w:p w14:paraId="5EFD9ED2" w14:textId="61A16264" w:rsidR="0006002E" w:rsidRPr="005801A9" w:rsidRDefault="00994F1D" w:rsidP="005801A9">
            <w:pPr>
              <w:rPr>
                <w:rFonts w:ascii="Arial Narrow" w:hAnsi="Arial Narrow"/>
                <w:sz w:val="16"/>
                <w:szCs w:val="16"/>
              </w:rPr>
            </w:pPr>
            <w:r>
              <w:rPr>
                <w:rFonts w:ascii="Arial Narrow" w:hAnsi="Arial Narrow"/>
                <w:sz w:val="16"/>
                <w:szCs w:val="16"/>
              </w:rPr>
              <w:t>N=38</w:t>
            </w:r>
            <w:r w:rsidR="0006002E" w:rsidRPr="005801A9">
              <w:rPr>
                <w:rFonts w:ascii="Arial Narrow" w:hAnsi="Arial Narrow"/>
                <w:sz w:val="16"/>
                <w:szCs w:val="16"/>
              </w:rPr>
              <w:t xml:space="preserve"> </w:t>
            </w:r>
          </w:p>
        </w:tc>
        <w:tc>
          <w:tcPr>
            <w:tcW w:w="329" w:type="pct"/>
            <w:hideMark/>
          </w:tcPr>
          <w:p w14:paraId="42C2CA90"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observational studies </w:t>
            </w:r>
          </w:p>
        </w:tc>
        <w:tc>
          <w:tcPr>
            <w:tcW w:w="328" w:type="pct"/>
            <w:hideMark/>
          </w:tcPr>
          <w:p w14:paraId="45E1BBD9"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serious </w:t>
            </w:r>
            <w:r w:rsidRPr="005801A9">
              <w:rPr>
                <w:rFonts w:ascii="Arial Narrow" w:hAnsi="Arial Narrow"/>
                <w:sz w:val="16"/>
                <w:szCs w:val="16"/>
                <w:vertAlign w:val="superscript"/>
              </w:rPr>
              <w:t>a</w:t>
            </w:r>
          </w:p>
        </w:tc>
        <w:tc>
          <w:tcPr>
            <w:tcW w:w="375" w:type="pct"/>
            <w:hideMark/>
          </w:tcPr>
          <w:p w14:paraId="7FF03CE2"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not serious </w:t>
            </w:r>
          </w:p>
        </w:tc>
        <w:tc>
          <w:tcPr>
            <w:tcW w:w="375" w:type="pct"/>
            <w:hideMark/>
          </w:tcPr>
          <w:p w14:paraId="3E5CAE20"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not serious </w:t>
            </w:r>
          </w:p>
        </w:tc>
        <w:tc>
          <w:tcPr>
            <w:tcW w:w="376" w:type="pct"/>
            <w:hideMark/>
          </w:tcPr>
          <w:p w14:paraId="0490DD91"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not serious </w:t>
            </w:r>
          </w:p>
        </w:tc>
        <w:tc>
          <w:tcPr>
            <w:tcW w:w="375" w:type="pct"/>
            <w:hideMark/>
          </w:tcPr>
          <w:p w14:paraId="4490B248"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strong association </w:t>
            </w:r>
          </w:p>
        </w:tc>
        <w:tc>
          <w:tcPr>
            <w:tcW w:w="389" w:type="pct"/>
            <w:gridSpan w:val="2"/>
            <w:hideMark/>
          </w:tcPr>
          <w:p w14:paraId="7E144D3E" w14:textId="77777777" w:rsidR="0006002E" w:rsidRDefault="0006002E" w:rsidP="005801A9">
            <w:pPr>
              <w:rPr>
                <w:rFonts w:ascii="Arial Narrow" w:hAnsi="Arial Narrow"/>
                <w:sz w:val="16"/>
                <w:szCs w:val="16"/>
              </w:rPr>
            </w:pPr>
            <w:r w:rsidRPr="005801A9">
              <w:rPr>
                <w:rFonts w:ascii="Arial Narrow" w:hAnsi="Arial Narrow"/>
                <w:sz w:val="16"/>
                <w:szCs w:val="16"/>
              </w:rPr>
              <w:t>18.17 months</w:t>
            </w:r>
          </w:p>
        </w:tc>
        <w:tc>
          <w:tcPr>
            <w:tcW w:w="392" w:type="pct"/>
          </w:tcPr>
          <w:p w14:paraId="6BE44299" w14:textId="77777777" w:rsidR="0006002E" w:rsidRDefault="0006002E" w:rsidP="005801A9">
            <w:pPr>
              <w:rPr>
                <w:rFonts w:ascii="Arial Narrow" w:hAnsi="Arial Narrow"/>
                <w:sz w:val="16"/>
                <w:szCs w:val="16"/>
              </w:rPr>
            </w:pPr>
            <w:r w:rsidRPr="005801A9">
              <w:rPr>
                <w:rFonts w:ascii="Arial Narrow" w:hAnsi="Arial Narrow"/>
                <w:sz w:val="16"/>
                <w:szCs w:val="16"/>
              </w:rPr>
              <w:t xml:space="preserve">32.74 months </w:t>
            </w:r>
          </w:p>
        </w:tc>
        <w:tc>
          <w:tcPr>
            <w:tcW w:w="395" w:type="pct"/>
          </w:tcPr>
          <w:p w14:paraId="2EDBEA2F"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p=0.025</w:t>
            </w:r>
          </w:p>
        </w:tc>
        <w:tc>
          <w:tcPr>
            <w:tcW w:w="333" w:type="pct"/>
          </w:tcPr>
          <w:p w14:paraId="45B3D7A1" w14:textId="77777777" w:rsidR="0006002E" w:rsidRPr="005801A9" w:rsidRDefault="00144128" w:rsidP="005801A9">
            <w:pPr>
              <w:rPr>
                <w:rFonts w:ascii="Arial Narrow" w:hAnsi="Arial Narrow"/>
                <w:sz w:val="16"/>
                <w:szCs w:val="16"/>
              </w:rPr>
            </w:pPr>
            <w:r>
              <w:rPr>
                <w:rFonts w:ascii="Arial Narrow" w:hAnsi="Arial Narrow"/>
                <w:sz w:val="16"/>
                <w:szCs w:val="16"/>
              </w:rPr>
              <w:t>NA</w:t>
            </w:r>
          </w:p>
        </w:tc>
        <w:tc>
          <w:tcPr>
            <w:tcW w:w="420" w:type="pct"/>
            <w:hideMark/>
          </w:tcPr>
          <w:p w14:paraId="1F640B10" w14:textId="77777777" w:rsidR="0006002E" w:rsidRPr="005801A9" w:rsidRDefault="00144128" w:rsidP="005801A9">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06002E" w:rsidRPr="005801A9">
              <w:rPr>
                <w:rFonts w:ascii="Arial Narrow" w:hAnsi="Arial Narrow"/>
                <w:sz w:val="16"/>
                <w:szCs w:val="16"/>
              </w:rPr>
              <w:br/>
              <w:t xml:space="preserve">LOW </w:t>
            </w:r>
          </w:p>
        </w:tc>
        <w:tc>
          <w:tcPr>
            <w:tcW w:w="353" w:type="pct"/>
            <w:hideMark/>
          </w:tcPr>
          <w:p w14:paraId="5C093AE7" w14:textId="77777777" w:rsidR="0006002E" w:rsidRPr="005801A9" w:rsidRDefault="00144128" w:rsidP="005801A9">
            <w:pPr>
              <w:rPr>
                <w:rFonts w:ascii="Arial Narrow" w:hAnsi="Arial Narrow"/>
                <w:sz w:val="16"/>
                <w:szCs w:val="16"/>
              </w:rPr>
            </w:pPr>
            <w:r>
              <w:rPr>
                <w:rFonts w:ascii="Arial Narrow" w:hAnsi="Arial Narrow"/>
                <w:sz w:val="16"/>
                <w:szCs w:val="16"/>
              </w:rPr>
              <w:t>CRITICAL</w:t>
            </w:r>
          </w:p>
        </w:tc>
      </w:tr>
      <w:tr w:rsidR="005801A9" w:rsidRPr="005801A9" w14:paraId="2E0B42BA" w14:textId="77777777" w:rsidTr="0006002E">
        <w:trPr>
          <w:cantSplit/>
        </w:trPr>
        <w:tc>
          <w:tcPr>
            <w:tcW w:w="5000" w:type="pct"/>
            <w:gridSpan w:val="14"/>
            <w:shd w:val="clear" w:color="auto" w:fill="FFFFFF"/>
            <w:vAlign w:val="center"/>
            <w:hideMark/>
          </w:tcPr>
          <w:p w14:paraId="64305A76" w14:textId="77777777" w:rsidR="005801A9" w:rsidRPr="005801A9" w:rsidRDefault="005801A9" w:rsidP="005801A9">
            <w:pPr>
              <w:rPr>
                <w:rFonts w:ascii="Arial Narrow" w:hAnsi="Arial Narrow"/>
                <w:b/>
                <w:bCs/>
                <w:sz w:val="16"/>
                <w:szCs w:val="16"/>
              </w:rPr>
            </w:pPr>
            <w:r w:rsidRPr="005801A9">
              <w:rPr>
                <w:rFonts w:ascii="Arial Narrow" w:hAnsi="Arial Narrow"/>
                <w:b/>
                <w:bCs/>
                <w:sz w:val="16"/>
                <w:szCs w:val="16"/>
              </w:rPr>
              <w:t>Duration of remission on AZA</w:t>
            </w:r>
          </w:p>
        </w:tc>
      </w:tr>
      <w:tr w:rsidR="0006002E" w:rsidRPr="005801A9" w14:paraId="7365505D" w14:textId="77777777" w:rsidTr="00994F1D">
        <w:trPr>
          <w:cantSplit/>
        </w:trPr>
        <w:tc>
          <w:tcPr>
            <w:tcW w:w="561" w:type="pct"/>
            <w:hideMark/>
          </w:tcPr>
          <w:p w14:paraId="3069891A" w14:textId="77777777" w:rsidR="00994F1D" w:rsidRDefault="00994F1D" w:rsidP="005801A9">
            <w:pPr>
              <w:rPr>
                <w:rFonts w:ascii="Arial Narrow" w:hAnsi="Arial Narrow"/>
                <w:sz w:val="16"/>
                <w:szCs w:val="16"/>
              </w:rPr>
            </w:pPr>
            <w:r>
              <w:rPr>
                <w:rFonts w:ascii="Arial Narrow" w:hAnsi="Arial Narrow"/>
                <w:sz w:val="16"/>
                <w:szCs w:val="16"/>
              </w:rPr>
              <w:t>K=</w:t>
            </w:r>
            <w:r w:rsidR="0006002E" w:rsidRPr="005801A9">
              <w:rPr>
                <w:rFonts w:ascii="Arial Narrow" w:hAnsi="Arial Narrow"/>
                <w:sz w:val="16"/>
                <w:szCs w:val="16"/>
              </w:rPr>
              <w:t>1</w:t>
            </w:r>
          </w:p>
          <w:p w14:paraId="010B9598" w14:textId="622C23C6" w:rsidR="0006002E" w:rsidRPr="005801A9" w:rsidRDefault="00994F1D" w:rsidP="005801A9">
            <w:pPr>
              <w:rPr>
                <w:rFonts w:ascii="Arial Narrow" w:hAnsi="Arial Narrow"/>
                <w:sz w:val="16"/>
                <w:szCs w:val="16"/>
              </w:rPr>
            </w:pPr>
            <w:r>
              <w:rPr>
                <w:rFonts w:ascii="Arial Narrow" w:hAnsi="Arial Narrow"/>
                <w:sz w:val="16"/>
                <w:szCs w:val="16"/>
              </w:rPr>
              <w:t>N=38</w:t>
            </w:r>
            <w:r w:rsidR="0006002E" w:rsidRPr="005801A9">
              <w:rPr>
                <w:rFonts w:ascii="Arial Narrow" w:hAnsi="Arial Narrow"/>
                <w:sz w:val="16"/>
                <w:szCs w:val="16"/>
              </w:rPr>
              <w:t xml:space="preserve"> </w:t>
            </w:r>
          </w:p>
        </w:tc>
        <w:tc>
          <w:tcPr>
            <w:tcW w:w="329" w:type="pct"/>
            <w:hideMark/>
          </w:tcPr>
          <w:p w14:paraId="3476884A"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observational studies </w:t>
            </w:r>
          </w:p>
        </w:tc>
        <w:tc>
          <w:tcPr>
            <w:tcW w:w="328" w:type="pct"/>
            <w:hideMark/>
          </w:tcPr>
          <w:p w14:paraId="42574ED5"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serious </w:t>
            </w:r>
            <w:r w:rsidRPr="005801A9">
              <w:rPr>
                <w:rFonts w:ascii="Arial Narrow" w:hAnsi="Arial Narrow"/>
                <w:sz w:val="16"/>
                <w:szCs w:val="16"/>
                <w:vertAlign w:val="superscript"/>
              </w:rPr>
              <w:t>a</w:t>
            </w:r>
          </w:p>
        </w:tc>
        <w:tc>
          <w:tcPr>
            <w:tcW w:w="375" w:type="pct"/>
            <w:hideMark/>
          </w:tcPr>
          <w:p w14:paraId="2A781F74"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not serious </w:t>
            </w:r>
          </w:p>
        </w:tc>
        <w:tc>
          <w:tcPr>
            <w:tcW w:w="375" w:type="pct"/>
            <w:hideMark/>
          </w:tcPr>
          <w:p w14:paraId="5D5B6DAB"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not serious </w:t>
            </w:r>
          </w:p>
        </w:tc>
        <w:tc>
          <w:tcPr>
            <w:tcW w:w="376" w:type="pct"/>
            <w:hideMark/>
          </w:tcPr>
          <w:p w14:paraId="178B32BC"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not serious </w:t>
            </w:r>
          </w:p>
        </w:tc>
        <w:tc>
          <w:tcPr>
            <w:tcW w:w="375" w:type="pct"/>
            <w:hideMark/>
          </w:tcPr>
          <w:p w14:paraId="52260234" w14:textId="77777777" w:rsidR="0006002E" w:rsidRPr="005801A9" w:rsidRDefault="0006002E" w:rsidP="005801A9">
            <w:pPr>
              <w:rPr>
                <w:rFonts w:ascii="Arial Narrow" w:hAnsi="Arial Narrow"/>
                <w:sz w:val="16"/>
                <w:szCs w:val="16"/>
              </w:rPr>
            </w:pPr>
            <w:r w:rsidRPr="005801A9">
              <w:rPr>
                <w:rFonts w:ascii="Arial Narrow" w:hAnsi="Arial Narrow"/>
                <w:sz w:val="16"/>
                <w:szCs w:val="16"/>
              </w:rPr>
              <w:t xml:space="preserve">strong association </w:t>
            </w:r>
          </w:p>
        </w:tc>
        <w:tc>
          <w:tcPr>
            <w:tcW w:w="389" w:type="pct"/>
            <w:gridSpan w:val="2"/>
            <w:hideMark/>
          </w:tcPr>
          <w:p w14:paraId="172F6FAB" w14:textId="77777777" w:rsidR="0006002E" w:rsidRPr="005801A9" w:rsidRDefault="0006002E" w:rsidP="005801A9">
            <w:pPr>
              <w:rPr>
                <w:rFonts w:ascii="Arial Narrow" w:hAnsi="Arial Narrow"/>
                <w:sz w:val="16"/>
                <w:szCs w:val="16"/>
              </w:rPr>
            </w:pPr>
            <w:r>
              <w:rPr>
                <w:rFonts w:ascii="Arial Narrow" w:hAnsi="Arial Narrow"/>
                <w:sz w:val="16"/>
                <w:szCs w:val="16"/>
              </w:rPr>
              <w:t>NA</w:t>
            </w:r>
          </w:p>
        </w:tc>
        <w:tc>
          <w:tcPr>
            <w:tcW w:w="392" w:type="pct"/>
          </w:tcPr>
          <w:p w14:paraId="11DBA062" w14:textId="77777777" w:rsidR="0006002E" w:rsidRPr="005801A9" w:rsidRDefault="0006002E" w:rsidP="005801A9">
            <w:pPr>
              <w:rPr>
                <w:rFonts w:ascii="Arial Narrow" w:hAnsi="Arial Narrow"/>
                <w:sz w:val="16"/>
                <w:szCs w:val="16"/>
              </w:rPr>
            </w:pPr>
            <w:r>
              <w:rPr>
                <w:rFonts w:ascii="Arial Narrow" w:hAnsi="Arial Narrow"/>
                <w:sz w:val="16"/>
                <w:szCs w:val="16"/>
              </w:rPr>
              <w:t>NA</w:t>
            </w:r>
          </w:p>
        </w:tc>
        <w:tc>
          <w:tcPr>
            <w:tcW w:w="395" w:type="pct"/>
          </w:tcPr>
          <w:p w14:paraId="31A477FD" w14:textId="77777777" w:rsidR="0006002E" w:rsidRDefault="0006002E" w:rsidP="0006002E">
            <w:pPr>
              <w:jc w:val="left"/>
              <w:rPr>
                <w:rFonts w:ascii="Arial Narrow" w:hAnsi="Arial Narrow"/>
                <w:sz w:val="16"/>
                <w:szCs w:val="16"/>
              </w:rPr>
            </w:pPr>
            <w:r w:rsidRPr="005801A9">
              <w:rPr>
                <w:rFonts w:ascii="Arial Narrow" w:hAnsi="Arial Narrow"/>
                <w:sz w:val="16"/>
                <w:szCs w:val="16"/>
              </w:rPr>
              <w:t xml:space="preserve">HR 0.250 </w:t>
            </w:r>
            <w:r w:rsidR="005B189A">
              <w:rPr>
                <w:rFonts w:ascii="Arial Narrow" w:hAnsi="Arial Narrow"/>
                <w:sz w:val="16"/>
                <w:szCs w:val="16"/>
              </w:rPr>
              <w:br/>
            </w:r>
            <w:r w:rsidRPr="005801A9">
              <w:rPr>
                <w:rFonts w:ascii="Arial Narrow" w:hAnsi="Arial Narrow"/>
                <w:sz w:val="16"/>
                <w:szCs w:val="16"/>
              </w:rPr>
              <w:t>(</w:t>
            </w:r>
            <w:r w:rsidRPr="0006002E">
              <w:rPr>
                <w:rFonts w:ascii="Arial Narrow" w:hAnsi="Arial Narrow"/>
                <w:sz w:val="16"/>
                <w:szCs w:val="16"/>
              </w:rPr>
              <w:t>0.072, 0.867</w:t>
            </w:r>
            <w:r w:rsidRPr="005801A9">
              <w:rPr>
                <w:rFonts w:ascii="Arial Narrow" w:hAnsi="Arial Narrow"/>
                <w:sz w:val="16"/>
                <w:szCs w:val="16"/>
              </w:rPr>
              <w:t>)</w:t>
            </w:r>
          </w:p>
          <w:p w14:paraId="0D9BFB15" w14:textId="77777777" w:rsidR="0006002E" w:rsidRDefault="0006002E" w:rsidP="0006002E">
            <w:pPr>
              <w:jc w:val="left"/>
              <w:rPr>
                <w:rFonts w:ascii="Arial Narrow" w:hAnsi="Arial Narrow"/>
                <w:sz w:val="16"/>
                <w:szCs w:val="16"/>
              </w:rPr>
            </w:pPr>
            <w:r>
              <w:rPr>
                <w:rFonts w:ascii="Arial Narrow" w:hAnsi="Arial Narrow"/>
                <w:sz w:val="16"/>
                <w:szCs w:val="16"/>
              </w:rPr>
              <w:t>P=0.029</w:t>
            </w:r>
          </w:p>
        </w:tc>
        <w:tc>
          <w:tcPr>
            <w:tcW w:w="333" w:type="pct"/>
          </w:tcPr>
          <w:p w14:paraId="33FC03C3" w14:textId="77777777" w:rsidR="0006002E" w:rsidRPr="005801A9" w:rsidRDefault="0006002E" w:rsidP="005801A9">
            <w:pPr>
              <w:rPr>
                <w:rFonts w:ascii="Arial Narrow" w:hAnsi="Arial Narrow"/>
                <w:sz w:val="16"/>
                <w:szCs w:val="16"/>
              </w:rPr>
            </w:pPr>
            <w:r>
              <w:rPr>
                <w:rFonts w:ascii="Arial Narrow" w:hAnsi="Arial Narrow"/>
                <w:sz w:val="16"/>
                <w:szCs w:val="16"/>
              </w:rPr>
              <w:t>NA</w:t>
            </w:r>
          </w:p>
        </w:tc>
        <w:tc>
          <w:tcPr>
            <w:tcW w:w="420" w:type="pct"/>
            <w:hideMark/>
          </w:tcPr>
          <w:p w14:paraId="66290CFB" w14:textId="77777777" w:rsidR="0006002E" w:rsidRPr="005801A9" w:rsidRDefault="00144128" w:rsidP="005801A9">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06002E" w:rsidRPr="005801A9">
              <w:rPr>
                <w:rFonts w:ascii="Arial Narrow" w:hAnsi="Arial Narrow"/>
                <w:sz w:val="16"/>
                <w:szCs w:val="16"/>
              </w:rPr>
              <w:br/>
              <w:t xml:space="preserve">LOW </w:t>
            </w:r>
          </w:p>
        </w:tc>
        <w:tc>
          <w:tcPr>
            <w:tcW w:w="353" w:type="pct"/>
            <w:hideMark/>
          </w:tcPr>
          <w:p w14:paraId="4FE3DB6A" w14:textId="77777777" w:rsidR="0006002E" w:rsidRPr="005801A9" w:rsidRDefault="00144128" w:rsidP="005801A9">
            <w:pPr>
              <w:rPr>
                <w:rFonts w:ascii="Arial Narrow" w:hAnsi="Arial Narrow"/>
                <w:sz w:val="16"/>
                <w:szCs w:val="16"/>
              </w:rPr>
            </w:pPr>
            <w:r>
              <w:rPr>
                <w:rFonts w:ascii="Arial Narrow" w:hAnsi="Arial Narrow"/>
                <w:sz w:val="16"/>
                <w:szCs w:val="16"/>
              </w:rPr>
              <w:t>CRITICAL</w:t>
            </w:r>
          </w:p>
        </w:tc>
      </w:tr>
      <w:tr w:rsidR="005801A9" w:rsidRPr="005801A9" w14:paraId="09D22181" w14:textId="77777777" w:rsidTr="0006002E">
        <w:trPr>
          <w:cantSplit/>
        </w:trPr>
        <w:tc>
          <w:tcPr>
            <w:tcW w:w="5000" w:type="pct"/>
            <w:gridSpan w:val="14"/>
            <w:shd w:val="clear" w:color="auto" w:fill="FFFFFF"/>
            <w:vAlign w:val="center"/>
            <w:hideMark/>
          </w:tcPr>
          <w:p w14:paraId="10C8FE58" w14:textId="77777777" w:rsidR="005801A9" w:rsidRPr="005801A9" w:rsidRDefault="005801A9" w:rsidP="007B6C02">
            <w:pPr>
              <w:rPr>
                <w:rFonts w:ascii="Arial Narrow" w:hAnsi="Arial Narrow"/>
                <w:b/>
                <w:bCs/>
                <w:sz w:val="16"/>
                <w:szCs w:val="16"/>
              </w:rPr>
            </w:pPr>
            <w:r w:rsidRPr="005801A9">
              <w:rPr>
                <w:rFonts w:ascii="Arial Narrow" w:hAnsi="Arial Narrow"/>
                <w:b/>
                <w:bCs/>
                <w:sz w:val="16"/>
                <w:szCs w:val="16"/>
              </w:rPr>
              <w:lastRenderedPageBreak/>
              <w:t xml:space="preserve">Failure to regain 20/30 vision on </w:t>
            </w:r>
            <w:r w:rsidR="007B6C02">
              <w:rPr>
                <w:rFonts w:ascii="Arial Narrow" w:hAnsi="Arial Narrow"/>
                <w:b/>
                <w:bCs/>
                <w:sz w:val="16"/>
                <w:szCs w:val="16"/>
              </w:rPr>
              <w:t>IVMP</w:t>
            </w:r>
            <w:r w:rsidRPr="005801A9">
              <w:rPr>
                <w:rFonts w:ascii="Arial Narrow" w:hAnsi="Arial Narrow"/>
                <w:b/>
                <w:bCs/>
                <w:sz w:val="16"/>
                <w:szCs w:val="16"/>
              </w:rPr>
              <w:t xml:space="preserve"> (assessed with: &lt;7 days compared with &gt; 7 days)</w:t>
            </w:r>
          </w:p>
        </w:tc>
      </w:tr>
      <w:tr w:rsidR="0006002E" w:rsidRPr="005801A9" w14:paraId="36BE53C1" w14:textId="77777777" w:rsidTr="00994F1D">
        <w:trPr>
          <w:cantSplit/>
        </w:trPr>
        <w:tc>
          <w:tcPr>
            <w:tcW w:w="561" w:type="pct"/>
            <w:hideMark/>
          </w:tcPr>
          <w:p w14:paraId="20079C54" w14:textId="77777777" w:rsidR="00994F1D" w:rsidRDefault="00994F1D" w:rsidP="00EA5BA8">
            <w:pPr>
              <w:jc w:val="left"/>
              <w:rPr>
                <w:rFonts w:ascii="Arial Narrow" w:hAnsi="Arial Narrow"/>
                <w:sz w:val="16"/>
                <w:szCs w:val="16"/>
              </w:rPr>
            </w:pPr>
            <w:r>
              <w:rPr>
                <w:rFonts w:ascii="Arial Narrow" w:hAnsi="Arial Narrow"/>
                <w:sz w:val="16"/>
                <w:szCs w:val="16"/>
              </w:rPr>
              <w:t>K=</w:t>
            </w:r>
            <w:r w:rsidR="0006002E" w:rsidRPr="005801A9">
              <w:rPr>
                <w:rFonts w:ascii="Arial Narrow" w:hAnsi="Arial Narrow"/>
                <w:sz w:val="16"/>
                <w:szCs w:val="16"/>
              </w:rPr>
              <w:t>1</w:t>
            </w:r>
          </w:p>
          <w:p w14:paraId="5D5C19CB" w14:textId="52796514" w:rsidR="0006002E" w:rsidRPr="005801A9" w:rsidRDefault="00994F1D" w:rsidP="00EA5BA8">
            <w:pPr>
              <w:jc w:val="left"/>
              <w:rPr>
                <w:rFonts w:ascii="Arial Narrow" w:hAnsi="Arial Narrow"/>
                <w:sz w:val="16"/>
                <w:szCs w:val="16"/>
              </w:rPr>
            </w:pPr>
            <w:r>
              <w:rPr>
                <w:rFonts w:ascii="Arial Narrow" w:hAnsi="Arial Narrow"/>
                <w:sz w:val="16"/>
                <w:szCs w:val="16"/>
              </w:rPr>
              <w:t>N=27</w:t>
            </w:r>
            <w:r w:rsidR="0006002E" w:rsidRPr="005801A9">
              <w:rPr>
                <w:rFonts w:ascii="Arial Narrow" w:hAnsi="Arial Narrow"/>
                <w:sz w:val="16"/>
                <w:szCs w:val="16"/>
              </w:rPr>
              <w:t xml:space="preserve"> </w:t>
            </w:r>
          </w:p>
        </w:tc>
        <w:tc>
          <w:tcPr>
            <w:tcW w:w="329" w:type="pct"/>
            <w:hideMark/>
          </w:tcPr>
          <w:p w14:paraId="315668F9"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observational studies </w:t>
            </w:r>
          </w:p>
        </w:tc>
        <w:tc>
          <w:tcPr>
            <w:tcW w:w="328" w:type="pct"/>
            <w:hideMark/>
          </w:tcPr>
          <w:p w14:paraId="5B05E555"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serious </w:t>
            </w:r>
            <w:r w:rsidRPr="005801A9">
              <w:rPr>
                <w:rFonts w:ascii="Arial Narrow" w:hAnsi="Arial Narrow"/>
                <w:sz w:val="16"/>
                <w:szCs w:val="16"/>
                <w:vertAlign w:val="superscript"/>
              </w:rPr>
              <w:t>a</w:t>
            </w:r>
          </w:p>
        </w:tc>
        <w:tc>
          <w:tcPr>
            <w:tcW w:w="375" w:type="pct"/>
            <w:hideMark/>
          </w:tcPr>
          <w:p w14:paraId="0C3BD5A8"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not serious </w:t>
            </w:r>
          </w:p>
        </w:tc>
        <w:tc>
          <w:tcPr>
            <w:tcW w:w="375" w:type="pct"/>
            <w:hideMark/>
          </w:tcPr>
          <w:p w14:paraId="6E805775"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not serious </w:t>
            </w:r>
          </w:p>
        </w:tc>
        <w:tc>
          <w:tcPr>
            <w:tcW w:w="376" w:type="pct"/>
            <w:hideMark/>
          </w:tcPr>
          <w:p w14:paraId="4CA82401"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not serious </w:t>
            </w:r>
          </w:p>
        </w:tc>
        <w:tc>
          <w:tcPr>
            <w:tcW w:w="375" w:type="pct"/>
            <w:hideMark/>
          </w:tcPr>
          <w:p w14:paraId="697A27FB"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very strong association </w:t>
            </w:r>
          </w:p>
        </w:tc>
        <w:tc>
          <w:tcPr>
            <w:tcW w:w="377" w:type="pct"/>
            <w:hideMark/>
          </w:tcPr>
          <w:p w14:paraId="0E5CBE6C" w14:textId="77777777" w:rsidR="0006002E" w:rsidRPr="005801A9" w:rsidRDefault="0006002E" w:rsidP="00EA5BA8">
            <w:pPr>
              <w:jc w:val="left"/>
              <w:rPr>
                <w:rFonts w:ascii="Arial Narrow" w:hAnsi="Arial Narrow"/>
                <w:sz w:val="16"/>
                <w:szCs w:val="16"/>
              </w:rPr>
            </w:pPr>
            <w:r>
              <w:rPr>
                <w:rFonts w:ascii="Arial Narrow" w:hAnsi="Arial Narrow"/>
                <w:sz w:val="16"/>
                <w:szCs w:val="16"/>
              </w:rPr>
              <w:t>NA</w:t>
            </w:r>
          </w:p>
        </w:tc>
        <w:tc>
          <w:tcPr>
            <w:tcW w:w="404" w:type="pct"/>
            <w:gridSpan w:val="2"/>
          </w:tcPr>
          <w:p w14:paraId="170200D7" w14:textId="77777777" w:rsidR="0006002E" w:rsidRPr="005801A9" w:rsidRDefault="0006002E" w:rsidP="00EA5BA8">
            <w:pPr>
              <w:jc w:val="left"/>
              <w:rPr>
                <w:rFonts w:ascii="Arial Narrow" w:hAnsi="Arial Narrow"/>
                <w:sz w:val="16"/>
                <w:szCs w:val="16"/>
              </w:rPr>
            </w:pPr>
            <w:r>
              <w:rPr>
                <w:rFonts w:ascii="Arial Narrow" w:hAnsi="Arial Narrow"/>
                <w:sz w:val="16"/>
                <w:szCs w:val="16"/>
              </w:rPr>
              <w:t>NA</w:t>
            </w:r>
          </w:p>
        </w:tc>
        <w:tc>
          <w:tcPr>
            <w:tcW w:w="395" w:type="pct"/>
          </w:tcPr>
          <w:p w14:paraId="42E6F625" w14:textId="77777777" w:rsidR="0006002E" w:rsidRDefault="0006002E" w:rsidP="00EA5BA8">
            <w:pPr>
              <w:jc w:val="left"/>
              <w:rPr>
                <w:rFonts w:ascii="Arial Narrow" w:hAnsi="Arial Narrow"/>
                <w:sz w:val="16"/>
                <w:szCs w:val="16"/>
              </w:rPr>
            </w:pPr>
            <w:r w:rsidRPr="005801A9">
              <w:rPr>
                <w:rFonts w:ascii="Arial Narrow" w:hAnsi="Arial Narrow"/>
                <w:sz w:val="16"/>
                <w:szCs w:val="16"/>
              </w:rPr>
              <w:t xml:space="preserve">OR 10.0 </w:t>
            </w:r>
            <w:r>
              <w:rPr>
                <w:rFonts w:ascii="Arial Narrow" w:hAnsi="Arial Narrow"/>
                <w:sz w:val="16"/>
                <w:szCs w:val="16"/>
              </w:rPr>
              <w:br/>
            </w:r>
            <w:r w:rsidRPr="005801A9">
              <w:rPr>
                <w:rFonts w:ascii="Arial Narrow" w:hAnsi="Arial Narrow"/>
                <w:sz w:val="16"/>
                <w:szCs w:val="16"/>
              </w:rPr>
              <w:t>(1.39, 71.86)</w:t>
            </w:r>
          </w:p>
          <w:p w14:paraId="317DD291"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p=0.01</w:t>
            </w:r>
          </w:p>
        </w:tc>
        <w:tc>
          <w:tcPr>
            <w:tcW w:w="333" w:type="pct"/>
          </w:tcPr>
          <w:p w14:paraId="4303D872" w14:textId="77777777" w:rsidR="0006002E" w:rsidRPr="005801A9" w:rsidRDefault="0006002E" w:rsidP="00EA5BA8">
            <w:pPr>
              <w:jc w:val="left"/>
              <w:rPr>
                <w:rFonts w:ascii="Arial Narrow" w:hAnsi="Arial Narrow"/>
                <w:sz w:val="16"/>
                <w:szCs w:val="16"/>
              </w:rPr>
            </w:pPr>
            <w:r>
              <w:rPr>
                <w:rFonts w:ascii="Arial Narrow" w:hAnsi="Arial Narrow"/>
                <w:sz w:val="16"/>
                <w:szCs w:val="16"/>
              </w:rPr>
              <w:t>NA</w:t>
            </w:r>
          </w:p>
        </w:tc>
        <w:tc>
          <w:tcPr>
            <w:tcW w:w="420" w:type="pct"/>
            <w:hideMark/>
          </w:tcPr>
          <w:p w14:paraId="05936A1B" w14:textId="77777777" w:rsidR="0006002E" w:rsidRPr="005801A9" w:rsidRDefault="00144128" w:rsidP="00EA5BA8">
            <w:pPr>
              <w:jc w:val="left"/>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0006002E" w:rsidRPr="005801A9">
              <w:rPr>
                <w:rFonts w:ascii="Arial Narrow" w:hAnsi="Arial Narrow"/>
                <w:sz w:val="16"/>
                <w:szCs w:val="16"/>
              </w:rPr>
              <w:br/>
              <w:t xml:space="preserve">MODERATE </w:t>
            </w:r>
          </w:p>
        </w:tc>
        <w:tc>
          <w:tcPr>
            <w:tcW w:w="353" w:type="pct"/>
            <w:hideMark/>
          </w:tcPr>
          <w:p w14:paraId="035A3560" w14:textId="77777777" w:rsidR="0006002E" w:rsidRPr="005801A9" w:rsidRDefault="00144128" w:rsidP="00EA5BA8">
            <w:pPr>
              <w:jc w:val="left"/>
              <w:rPr>
                <w:rFonts w:ascii="Arial Narrow" w:hAnsi="Arial Narrow"/>
                <w:sz w:val="16"/>
                <w:szCs w:val="16"/>
              </w:rPr>
            </w:pPr>
            <w:r>
              <w:rPr>
                <w:rFonts w:ascii="Arial Narrow" w:hAnsi="Arial Narrow"/>
                <w:sz w:val="16"/>
                <w:szCs w:val="16"/>
              </w:rPr>
              <w:t>CRITICAL</w:t>
            </w:r>
          </w:p>
        </w:tc>
      </w:tr>
      <w:tr w:rsidR="005801A9" w:rsidRPr="005801A9" w14:paraId="18B6B9CA" w14:textId="77777777" w:rsidTr="0006002E">
        <w:trPr>
          <w:cantSplit/>
        </w:trPr>
        <w:tc>
          <w:tcPr>
            <w:tcW w:w="5000" w:type="pct"/>
            <w:gridSpan w:val="14"/>
            <w:shd w:val="clear" w:color="auto" w:fill="FFFFFF"/>
            <w:vAlign w:val="center"/>
            <w:hideMark/>
          </w:tcPr>
          <w:p w14:paraId="3E9FEF93" w14:textId="77777777" w:rsidR="005801A9" w:rsidRPr="005801A9" w:rsidRDefault="005801A9" w:rsidP="005801A9">
            <w:pPr>
              <w:rPr>
                <w:rFonts w:ascii="Arial Narrow" w:hAnsi="Arial Narrow"/>
                <w:b/>
                <w:bCs/>
                <w:sz w:val="16"/>
                <w:szCs w:val="16"/>
              </w:rPr>
            </w:pPr>
            <w:r w:rsidRPr="005801A9">
              <w:rPr>
                <w:rFonts w:ascii="Arial Narrow" w:hAnsi="Arial Narrow"/>
                <w:b/>
                <w:bCs/>
                <w:sz w:val="16"/>
                <w:szCs w:val="16"/>
              </w:rPr>
              <w:t xml:space="preserve">Likelihood of failure to regain 20/20 vision </w:t>
            </w:r>
            <w:r w:rsidR="007B6C02">
              <w:rPr>
                <w:rFonts w:ascii="Arial Narrow" w:hAnsi="Arial Narrow"/>
                <w:b/>
                <w:bCs/>
                <w:sz w:val="16"/>
                <w:szCs w:val="16"/>
              </w:rPr>
              <w:t xml:space="preserve">on IVMP </w:t>
            </w:r>
            <w:r w:rsidRPr="005801A9">
              <w:rPr>
                <w:rFonts w:ascii="Arial Narrow" w:hAnsi="Arial Narrow"/>
                <w:b/>
                <w:bCs/>
                <w:sz w:val="16"/>
                <w:szCs w:val="16"/>
              </w:rPr>
              <w:t>(assessed with: &lt; 4 days compared with &gt; 4 days)</w:t>
            </w:r>
          </w:p>
        </w:tc>
      </w:tr>
      <w:tr w:rsidR="0006002E" w:rsidRPr="005801A9" w14:paraId="5A8F8ED9" w14:textId="77777777" w:rsidTr="00994F1D">
        <w:trPr>
          <w:cantSplit/>
        </w:trPr>
        <w:tc>
          <w:tcPr>
            <w:tcW w:w="561" w:type="pct"/>
            <w:hideMark/>
          </w:tcPr>
          <w:p w14:paraId="403ED636" w14:textId="77777777" w:rsidR="00994F1D" w:rsidRDefault="00994F1D" w:rsidP="00EA5BA8">
            <w:pPr>
              <w:jc w:val="left"/>
              <w:rPr>
                <w:rFonts w:ascii="Arial Narrow" w:hAnsi="Arial Narrow"/>
                <w:sz w:val="16"/>
                <w:szCs w:val="16"/>
              </w:rPr>
            </w:pPr>
            <w:r>
              <w:rPr>
                <w:rFonts w:ascii="Arial Narrow" w:hAnsi="Arial Narrow"/>
                <w:sz w:val="16"/>
                <w:szCs w:val="16"/>
              </w:rPr>
              <w:t>K=</w:t>
            </w:r>
            <w:r w:rsidR="0006002E" w:rsidRPr="005801A9">
              <w:rPr>
                <w:rFonts w:ascii="Arial Narrow" w:hAnsi="Arial Narrow"/>
                <w:sz w:val="16"/>
                <w:szCs w:val="16"/>
              </w:rPr>
              <w:t>1</w:t>
            </w:r>
          </w:p>
          <w:p w14:paraId="350236A0" w14:textId="12C4FA63" w:rsidR="0006002E" w:rsidRPr="005801A9" w:rsidRDefault="00994F1D" w:rsidP="00EA5BA8">
            <w:pPr>
              <w:jc w:val="left"/>
              <w:rPr>
                <w:rFonts w:ascii="Arial Narrow" w:hAnsi="Arial Narrow"/>
                <w:sz w:val="16"/>
                <w:szCs w:val="16"/>
              </w:rPr>
            </w:pPr>
            <w:r>
              <w:rPr>
                <w:rFonts w:ascii="Arial Narrow" w:hAnsi="Arial Narrow"/>
                <w:sz w:val="16"/>
                <w:szCs w:val="16"/>
              </w:rPr>
              <w:t>N=27</w:t>
            </w:r>
            <w:r w:rsidR="0006002E" w:rsidRPr="005801A9">
              <w:rPr>
                <w:rFonts w:ascii="Arial Narrow" w:hAnsi="Arial Narrow"/>
                <w:sz w:val="16"/>
                <w:szCs w:val="16"/>
              </w:rPr>
              <w:t xml:space="preserve"> </w:t>
            </w:r>
          </w:p>
        </w:tc>
        <w:tc>
          <w:tcPr>
            <w:tcW w:w="329" w:type="pct"/>
            <w:hideMark/>
          </w:tcPr>
          <w:p w14:paraId="30F67377"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observational studies </w:t>
            </w:r>
          </w:p>
        </w:tc>
        <w:tc>
          <w:tcPr>
            <w:tcW w:w="328" w:type="pct"/>
            <w:hideMark/>
          </w:tcPr>
          <w:p w14:paraId="79B85FD0"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serious </w:t>
            </w:r>
            <w:r w:rsidRPr="005801A9">
              <w:rPr>
                <w:rFonts w:ascii="Arial Narrow" w:hAnsi="Arial Narrow"/>
                <w:sz w:val="16"/>
                <w:szCs w:val="16"/>
                <w:vertAlign w:val="superscript"/>
              </w:rPr>
              <w:t>a</w:t>
            </w:r>
          </w:p>
        </w:tc>
        <w:tc>
          <w:tcPr>
            <w:tcW w:w="375" w:type="pct"/>
            <w:hideMark/>
          </w:tcPr>
          <w:p w14:paraId="3140A89F"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not serious </w:t>
            </w:r>
          </w:p>
        </w:tc>
        <w:tc>
          <w:tcPr>
            <w:tcW w:w="375" w:type="pct"/>
            <w:hideMark/>
          </w:tcPr>
          <w:p w14:paraId="1891B18F"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not serious </w:t>
            </w:r>
          </w:p>
        </w:tc>
        <w:tc>
          <w:tcPr>
            <w:tcW w:w="376" w:type="pct"/>
            <w:hideMark/>
          </w:tcPr>
          <w:p w14:paraId="28556D9A"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not serious </w:t>
            </w:r>
          </w:p>
        </w:tc>
        <w:tc>
          <w:tcPr>
            <w:tcW w:w="375" w:type="pct"/>
            <w:hideMark/>
          </w:tcPr>
          <w:p w14:paraId="705A7EB1" w14:textId="77777777" w:rsidR="0006002E" w:rsidRPr="005801A9" w:rsidRDefault="0006002E" w:rsidP="00EA5BA8">
            <w:pPr>
              <w:jc w:val="left"/>
              <w:rPr>
                <w:rFonts w:ascii="Arial Narrow" w:hAnsi="Arial Narrow"/>
                <w:sz w:val="16"/>
                <w:szCs w:val="16"/>
              </w:rPr>
            </w:pPr>
            <w:r w:rsidRPr="005801A9">
              <w:rPr>
                <w:rFonts w:ascii="Arial Narrow" w:hAnsi="Arial Narrow"/>
                <w:sz w:val="16"/>
                <w:szCs w:val="16"/>
              </w:rPr>
              <w:t xml:space="preserve">very strong association </w:t>
            </w:r>
          </w:p>
        </w:tc>
        <w:tc>
          <w:tcPr>
            <w:tcW w:w="377" w:type="pct"/>
            <w:hideMark/>
          </w:tcPr>
          <w:p w14:paraId="5ABB2CA8" w14:textId="77777777" w:rsidR="0006002E" w:rsidRPr="005801A9" w:rsidRDefault="0006002E" w:rsidP="00EA5BA8">
            <w:pPr>
              <w:jc w:val="left"/>
              <w:rPr>
                <w:rFonts w:ascii="Arial Narrow" w:hAnsi="Arial Narrow"/>
                <w:sz w:val="16"/>
                <w:szCs w:val="16"/>
              </w:rPr>
            </w:pPr>
            <w:r>
              <w:rPr>
                <w:rFonts w:ascii="Arial Narrow" w:hAnsi="Arial Narrow"/>
                <w:sz w:val="16"/>
                <w:szCs w:val="16"/>
              </w:rPr>
              <w:t>NA</w:t>
            </w:r>
          </w:p>
        </w:tc>
        <w:tc>
          <w:tcPr>
            <w:tcW w:w="404" w:type="pct"/>
            <w:gridSpan w:val="2"/>
          </w:tcPr>
          <w:p w14:paraId="59AD19A6" w14:textId="77777777" w:rsidR="0006002E" w:rsidRPr="005801A9" w:rsidRDefault="0006002E" w:rsidP="00EA5BA8">
            <w:pPr>
              <w:jc w:val="left"/>
              <w:rPr>
                <w:rFonts w:ascii="Arial Narrow" w:hAnsi="Arial Narrow"/>
                <w:sz w:val="16"/>
                <w:szCs w:val="16"/>
              </w:rPr>
            </w:pPr>
            <w:r>
              <w:rPr>
                <w:rFonts w:ascii="Arial Narrow" w:hAnsi="Arial Narrow"/>
                <w:sz w:val="16"/>
                <w:szCs w:val="16"/>
              </w:rPr>
              <w:t>NA</w:t>
            </w:r>
          </w:p>
        </w:tc>
        <w:tc>
          <w:tcPr>
            <w:tcW w:w="395" w:type="pct"/>
          </w:tcPr>
          <w:p w14:paraId="60BDCF5E" w14:textId="77777777" w:rsidR="0006002E" w:rsidRDefault="0006002E" w:rsidP="00EA5BA8">
            <w:pPr>
              <w:jc w:val="left"/>
              <w:rPr>
                <w:rFonts w:ascii="Arial Narrow" w:hAnsi="Arial Narrow"/>
                <w:sz w:val="16"/>
                <w:szCs w:val="16"/>
              </w:rPr>
            </w:pPr>
            <w:r w:rsidRPr="005801A9">
              <w:rPr>
                <w:rFonts w:ascii="Arial Narrow" w:hAnsi="Arial Narrow"/>
                <w:sz w:val="16"/>
                <w:szCs w:val="16"/>
              </w:rPr>
              <w:t xml:space="preserve">OR 8.33 </w:t>
            </w:r>
            <w:r>
              <w:rPr>
                <w:rFonts w:ascii="Arial Narrow" w:hAnsi="Arial Narrow"/>
                <w:sz w:val="16"/>
                <w:szCs w:val="16"/>
              </w:rPr>
              <w:br/>
            </w:r>
            <w:r w:rsidRPr="005801A9">
              <w:rPr>
                <w:rFonts w:ascii="Arial Narrow" w:hAnsi="Arial Narrow"/>
                <w:sz w:val="16"/>
                <w:szCs w:val="16"/>
              </w:rPr>
              <w:t>(1.47, 47.22)</w:t>
            </w:r>
          </w:p>
          <w:p w14:paraId="6CC92FB9" w14:textId="77777777" w:rsidR="0006002E" w:rsidRDefault="0006002E" w:rsidP="00EA5BA8">
            <w:pPr>
              <w:jc w:val="left"/>
              <w:rPr>
                <w:rFonts w:ascii="Arial Narrow" w:hAnsi="Arial Narrow"/>
                <w:sz w:val="16"/>
                <w:szCs w:val="16"/>
              </w:rPr>
            </w:pPr>
            <w:r w:rsidRPr="005801A9">
              <w:rPr>
                <w:rFonts w:ascii="Arial Narrow" w:hAnsi="Arial Narrow"/>
                <w:sz w:val="16"/>
                <w:szCs w:val="16"/>
              </w:rPr>
              <w:t>p=0.01</w:t>
            </w:r>
          </w:p>
        </w:tc>
        <w:tc>
          <w:tcPr>
            <w:tcW w:w="333" w:type="pct"/>
          </w:tcPr>
          <w:p w14:paraId="7D38BF98" w14:textId="77777777" w:rsidR="0006002E" w:rsidRPr="005801A9" w:rsidRDefault="0006002E" w:rsidP="00EA5BA8">
            <w:pPr>
              <w:jc w:val="left"/>
              <w:rPr>
                <w:rFonts w:ascii="Arial Narrow" w:hAnsi="Arial Narrow"/>
                <w:sz w:val="16"/>
                <w:szCs w:val="16"/>
              </w:rPr>
            </w:pPr>
            <w:r>
              <w:rPr>
                <w:rFonts w:ascii="Arial Narrow" w:hAnsi="Arial Narrow"/>
                <w:sz w:val="16"/>
                <w:szCs w:val="16"/>
              </w:rPr>
              <w:t>NA</w:t>
            </w:r>
          </w:p>
        </w:tc>
        <w:tc>
          <w:tcPr>
            <w:tcW w:w="420" w:type="pct"/>
            <w:hideMark/>
          </w:tcPr>
          <w:p w14:paraId="051B1FEF" w14:textId="77777777" w:rsidR="0006002E" w:rsidRPr="005801A9" w:rsidRDefault="00144128" w:rsidP="00EA5BA8">
            <w:pPr>
              <w:jc w:val="left"/>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0006002E" w:rsidRPr="005801A9">
              <w:rPr>
                <w:rFonts w:ascii="Arial Narrow" w:hAnsi="Arial Narrow"/>
                <w:sz w:val="16"/>
                <w:szCs w:val="16"/>
              </w:rPr>
              <w:br/>
              <w:t xml:space="preserve">MODERATE </w:t>
            </w:r>
          </w:p>
        </w:tc>
        <w:tc>
          <w:tcPr>
            <w:tcW w:w="353" w:type="pct"/>
            <w:hideMark/>
          </w:tcPr>
          <w:p w14:paraId="7CA4D515" w14:textId="77777777" w:rsidR="0006002E" w:rsidRPr="005801A9" w:rsidRDefault="00144128" w:rsidP="00EA5BA8">
            <w:pPr>
              <w:jc w:val="left"/>
              <w:rPr>
                <w:rFonts w:ascii="Arial Narrow" w:hAnsi="Arial Narrow"/>
                <w:sz w:val="16"/>
                <w:szCs w:val="16"/>
              </w:rPr>
            </w:pPr>
            <w:r>
              <w:rPr>
                <w:rFonts w:ascii="Arial Narrow" w:hAnsi="Arial Narrow"/>
                <w:sz w:val="16"/>
                <w:szCs w:val="16"/>
              </w:rPr>
              <w:t>CRITICAL</w:t>
            </w:r>
          </w:p>
        </w:tc>
      </w:tr>
      <w:tr w:rsidR="001B2BCC" w:rsidRPr="001B2BCC" w14:paraId="406FAD28" w14:textId="77777777" w:rsidTr="001B2BCC">
        <w:trPr>
          <w:cantSplit/>
        </w:trPr>
        <w:tc>
          <w:tcPr>
            <w:tcW w:w="5000" w:type="pct"/>
            <w:gridSpan w:val="14"/>
          </w:tcPr>
          <w:p w14:paraId="5067FD5D" w14:textId="77777777" w:rsidR="001B2BCC" w:rsidRPr="001B2BCC" w:rsidRDefault="001B2BCC" w:rsidP="00884C1C">
            <w:pPr>
              <w:jc w:val="left"/>
              <w:rPr>
                <w:rFonts w:ascii="Arial Narrow" w:hAnsi="Arial Narrow"/>
                <w:b/>
                <w:sz w:val="16"/>
                <w:szCs w:val="16"/>
              </w:rPr>
            </w:pPr>
            <w:r>
              <w:rPr>
                <w:rFonts w:ascii="Arial Narrow" w:hAnsi="Arial Narrow"/>
                <w:b/>
                <w:sz w:val="16"/>
                <w:szCs w:val="16"/>
              </w:rPr>
              <w:t>Association</w:t>
            </w:r>
            <w:r w:rsidRPr="001B2BCC">
              <w:rPr>
                <w:rFonts w:ascii="Arial Narrow" w:hAnsi="Arial Narrow"/>
                <w:b/>
                <w:sz w:val="16"/>
                <w:szCs w:val="16"/>
              </w:rPr>
              <w:t xml:space="preserve"> of delayed diagnosis </w:t>
            </w:r>
            <w:r w:rsidR="00884C1C">
              <w:rPr>
                <w:rFonts w:ascii="Arial Narrow" w:hAnsi="Arial Narrow"/>
                <w:b/>
                <w:sz w:val="16"/>
                <w:szCs w:val="16"/>
              </w:rPr>
              <w:t xml:space="preserve">on </w:t>
            </w:r>
            <w:r>
              <w:rPr>
                <w:rFonts w:ascii="Arial Narrow" w:hAnsi="Arial Narrow"/>
                <w:b/>
                <w:sz w:val="16"/>
                <w:szCs w:val="16"/>
              </w:rPr>
              <w:t>disability</w:t>
            </w:r>
            <w:r w:rsidRPr="001B2BCC">
              <w:rPr>
                <w:rFonts w:ascii="Arial Narrow" w:hAnsi="Arial Narrow"/>
                <w:b/>
                <w:sz w:val="16"/>
                <w:szCs w:val="16"/>
              </w:rPr>
              <w:t xml:space="preserve"> </w:t>
            </w:r>
            <w:r w:rsidR="00884C1C">
              <w:rPr>
                <w:rFonts w:ascii="Arial Narrow" w:hAnsi="Arial Narrow"/>
                <w:b/>
                <w:sz w:val="16"/>
                <w:szCs w:val="16"/>
              </w:rPr>
              <w:t xml:space="preserve"> for patients on any treatment </w:t>
            </w:r>
            <w:r w:rsidRPr="001B2BCC">
              <w:rPr>
                <w:rFonts w:ascii="Arial Narrow" w:hAnsi="Arial Narrow"/>
                <w:b/>
                <w:sz w:val="16"/>
                <w:szCs w:val="16"/>
              </w:rPr>
              <w:t>(assessed with EDSS)</w:t>
            </w:r>
          </w:p>
        </w:tc>
      </w:tr>
      <w:tr w:rsidR="001B2BCC" w:rsidRPr="005801A9" w14:paraId="271FA56B" w14:textId="77777777" w:rsidTr="00994F1D">
        <w:trPr>
          <w:cantSplit/>
        </w:trPr>
        <w:tc>
          <w:tcPr>
            <w:tcW w:w="561" w:type="pct"/>
          </w:tcPr>
          <w:p w14:paraId="66CE1783" w14:textId="77777777" w:rsidR="001B2BCC" w:rsidRDefault="00994F1D" w:rsidP="00EA5BA8">
            <w:pPr>
              <w:jc w:val="left"/>
              <w:rPr>
                <w:rFonts w:ascii="Arial Narrow" w:hAnsi="Arial Narrow"/>
                <w:sz w:val="16"/>
                <w:szCs w:val="16"/>
              </w:rPr>
            </w:pPr>
            <w:r>
              <w:rPr>
                <w:rFonts w:ascii="Arial Narrow" w:hAnsi="Arial Narrow"/>
                <w:sz w:val="16"/>
                <w:szCs w:val="16"/>
              </w:rPr>
              <w:t>K=</w:t>
            </w:r>
            <w:r w:rsidR="001B2BCC">
              <w:rPr>
                <w:rFonts w:ascii="Arial Narrow" w:hAnsi="Arial Narrow"/>
                <w:sz w:val="16"/>
                <w:szCs w:val="16"/>
              </w:rPr>
              <w:t>1</w:t>
            </w:r>
          </w:p>
          <w:p w14:paraId="17529F3E" w14:textId="51FF871E" w:rsidR="00994F1D" w:rsidRPr="005801A9" w:rsidRDefault="00994F1D" w:rsidP="00EA5BA8">
            <w:pPr>
              <w:jc w:val="left"/>
              <w:rPr>
                <w:rFonts w:ascii="Arial Narrow" w:hAnsi="Arial Narrow"/>
                <w:sz w:val="16"/>
                <w:szCs w:val="16"/>
              </w:rPr>
            </w:pPr>
            <w:r>
              <w:rPr>
                <w:rFonts w:ascii="Arial Narrow" w:hAnsi="Arial Narrow"/>
                <w:sz w:val="16"/>
                <w:szCs w:val="16"/>
              </w:rPr>
              <w:t>N=182</w:t>
            </w:r>
          </w:p>
        </w:tc>
        <w:tc>
          <w:tcPr>
            <w:tcW w:w="329" w:type="pct"/>
          </w:tcPr>
          <w:p w14:paraId="57B3BA7B" w14:textId="77777777" w:rsidR="001B2BCC" w:rsidRPr="005801A9" w:rsidRDefault="001B2BCC" w:rsidP="00EA5BA8">
            <w:pPr>
              <w:jc w:val="left"/>
              <w:rPr>
                <w:rFonts w:ascii="Arial Narrow" w:hAnsi="Arial Narrow"/>
                <w:sz w:val="16"/>
                <w:szCs w:val="16"/>
              </w:rPr>
            </w:pPr>
            <w:r w:rsidRPr="005801A9">
              <w:rPr>
                <w:rFonts w:ascii="Arial Narrow" w:hAnsi="Arial Narrow"/>
                <w:sz w:val="16"/>
                <w:szCs w:val="16"/>
              </w:rPr>
              <w:t>observational studies</w:t>
            </w:r>
          </w:p>
        </w:tc>
        <w:tc>
          <w:tcPr>
            <w:tcW w:w="328" w:type="pct"/>
          </w:tcPr>
          <w:p w14:paraId="2505D9ED" w14:textId="77777777" w:rsidR="001B2BCC" w:rsidRPr="005801A9" w:rsidRDefault="001B2BCC" w:rsidP="00EA5BA8">
            <w:pPr>
              <w:jc w:val="left"/>
              <w:rPr>
                <w:rFonts w:ascii="Arial Narrow" w:hAnsi="Arial Narrow"/>
                <w:sz w:val="16"/>
                <w:szCs w:val="16"/>
              </w:rPr>
            </w:pPr>
            <w:r w:rsidRPr="005801A9">
              <w:rPr>
                <w:rFonts w:ascii="Arial Narrow" w:hAnsi="Arial Narrow"/>
                <w:sz w:val="16"/>
                <w:szCs w:val="16"/>
              </w:rPr>
              <w:t xml:space="preserve">serious </w:t>
            </w:r>
            <w:r w:rsidRPr="005801A9">
              <w:rPr>
                <w:rFonts w:ascii="Arial Narrow" w:hAnsi="Arial Narrow"/>
                <w:sz w:val="16"/>
                <w:szCs w:val="16"/>
                <w:vertAlign w:val="superscript"/>
              </w:rPr>
              <w:t>a</w:t>
            </w:r>
          </w:p>
        </w:tc>
        <w:tc>
          <w:tcPr>
            <w:tcW w:w="375" w:type="pct"/>
          </w:tcPr>
          <w:p w14:paraId="6C861962" w14:textId="77777777" w:rsidR="001B2BCC" w:rsidRPr="005801A9" w:rsidRDefault="001B2BCC" w:rsidP="00EA5BA8">
            <w:pPr>
              <w:jc w:val="left"/>
              <w:rPr>
                <w:rFonts w:ascii="Arial Narrow" w:hAnsi="Arial Narrow"/>
                <w:sz w:val="16"/>
                <w:szCs w:val="16"/>
              </w:rPr>
            </w:pPr>
            <w:r w:rsidRPr="005801A9">
              <w:rPr>
                <w:rFonts w:ascii="Arial Narrow" w:hAnsi="Arial Narrow"/>
                <w:sz w:val="16"/>
                <w:szCs w:val="16"/>
              </w:rPr>
              <w:t>not serious</w:t>
            </w:r>
          </w:p>
        </w:tc>
        <w:tc>
          <w:tcPr>
            <w:tcW w:w="375" w:type="pct"/>
          </w:tcPr>
          <w:p w14:paraId="6F88BEF5" w14:textId="77777777" w:rsidR="001B2BCC" w:rsidRPr="005801A9" w:rsidRDefault="001B2BCC" w:rsidP="00EA5BA8">
            <w:pPr>
              <w:jc w:val="left"/>
              <w:rPr>
                <w:rFonts w:ascii="Arial Narrow" w:hAnsi="Arial Narrow"/>
                <w:sz w:val="16"/>
                <w:szCs w:val="16"/>
              </w:rPr>
            </w:pPr>
            <w:r w:rsidRPr="005801A9">
              <w:rPr>
                <w:rFonts w:ascii="Arial Narrow" w:hAnsi="Arial Narrow"/>
                <w:sz w:val="16"/>
                <w:szCs w:val="16"/>
              </w:rPr>
              <w:t>not serious</w:t>
            </w:r>
          </w:p>
        </w:tc>
        <w:tc>
          <w:tcPr>
            <w:tcW w:w="376" w:type="pct"/>
          </w:tcPr>
          <w:p w14:paraId="6C12AEAB" w14:textId="77777777" w:rsidR="001B2BCC" w:rsidRPr="005801A9" w:rsidRDefault="001B2BCC" w:rsidP="00EA5BA8">
            <w:pPr>
              <w:jc w:val="left"/>
              <w:rPr>
                <w:rFonts w:ascii="Arial Narrow" w:hAnsi="Arial Narrow"/>
                <w:sz w:val="16"/>
                <w:szCs w:val="16"/>
              </w:rPr>
            </w:pPr>
            <w:r w:rsidRPr="005801A9">
              <w:rPr>
                <w:rFonts w:ascii="Arial Narrow" w:hAnsi="Arial Narrow"/>
                <w:sz w:val="16"/>
                <w:szCs w:val="16"/>
              </w:rPr>
              <w:t>not serious</w:t>
            </w:r>
          </w:p>
        </w:tc>
        <w:tc>
          <w:tcPr>
            <w:tcW w:w="375" w:type="pct"/>
          </w:tcPr>
          <w:p w14:paraId="23C3C518" w14:textId="77777777" w:rsidR="001B2BCC" w:rsidRPr="005801A9" w:rsidRDefault="001B2BCC" w:rsidP="00EA5BA8">
            <w:pPr>
              <w:jc w:val="left"/>
              <w:rPr>
                <w:rFonts w:ascii="Arial Narrow" w:hAnsi="Arial Narrow"/>
                <w:sz w:val="16"/>
                <w:szCs w:val="16"/>
              </w:rPr>
            </w:pPr>
            <w:r w:rsidRPr="005801A9">
              <w:rPr>
                <w:rFonts w:ascii="Arial Narrow" w:hAnsi="Arial Narrow"/>
                <w:sz w:val="16"/>
                <w:szCs w:val="16"/>
              </w:rPr>
              <w:t>strong association</w:t>
            </w:r>
          </w:p>
        </w:tc>
        <w:tc>
          <w:tcPr>
            <w:tcW w:w="377" w:type="pct"/>
          </w:tcPr>
          <w:p w14:paraId="286CDDA5" w14:textId="77777777" w:rsidR="001B2BCC" w:rsidRDefault="001B2BCC" w:rsidP="00EA5BA8">
            <w:pPr>
              <w:jc w:val="left"/>
              <w:rPr>
                <w:rFonts w:ascii="Arial Narrow" w:hAnsi="Arial Narrow"/>
                <w:sz w:val="16"/>
                <w:szCs w:val="16"/>
              </w:rPr>
            </w:pPr>
            <w:r>
              <w:rPr>
                <w:rFonts w:ascii="Arial Narrow" w:hAnsi="Arial Narrow"/>
                <w:sz w:val="16"/>
                <w:szCs w:val="16"/>
              </w:rPr>
              <w:t>NA</w:t>
            </w:r>
          </w:p>
        </w:tc>
        <w:tc>
          <w:tcPr>
            <w:tcW w:w="404" w:type="pct"/>
            <w:gridSpan w:val="2"/>
          </w:tcPr>
          <w:p w14:paraId="737FD80F" w14:textId="77777777" w:rsidR="001B2BCC" w:rsidRDefault="001B2BCC" w:rsidP="00EA5BA8">
            <w:pPr>
              <w:jc w:val="left"/>
              <w:rPr>
                <w:rFonts w:ascii="Arial Narrow" w:hAnsi="Arial Narrow"/>
                <w:sz w:val="16"/>
                <w:szCs w:val="16"/>
              </w:rPr>
            </w:pPr>
            <w:r>
              <w:rPr>
                <w:rFonts w:ascii="Arial Narrow" w:hAnsi="Arial Narrow"/>
                <w:sz w:val="16"/>
                <w:szCs w:val="16"/>
              </w:rPr>
              <w:t>NA</w:t>
            </w:r>
          </w:p>
        </w:tc>
        <w:tc>
          <w:tcPr>
            <w:tcW w:w="395" w:type="pct"/>
          </w:tcPr>
          <w:p w14:paraId="0A909E7B" w14:textId="77777777" w:rsidR="001B2BCC" w:rsidRPr="005801A9" w:rsidRDefault="001B2BCC" w:rsidP="00EA5BA8">
            <w:pPr>
              <w:jc w:val="left"/>
              <w:rPr>
                <w:rFonts w:ascii="Arial Narrow" w:hAnsi="Arial Narrow"/>
                <w:sz w:val="16"/>
                <w:szCs w:val="16"/>
              </w:rPr>
            </w:pPr>
            <w:r>
              <w:rPr>
                <w:rFonts w:ascii="Arial Narrow" w:hAnsi="Arial Narrow"/>
                <w:sz w:val="16"/>
                <w:szCs w:val="16"/>
              </w:rPr>
              <w:t>NA</w:t>
            </w:r>
          </w:p>
        </w:tc>
        <w:tc>
          <w:tcPr>
            <w:tcW w:w="333" w:type="pct"/>
          </w:tcPr>
          <w:p w14:paraId="691C7EDE" w14:textId="77777777" w:rsidR="001B2BCC" w:rsidRDefault="001B2BCC" w:rsidP="00EA5BA8">
            <w:pPr>
              <w:jc w:val="left"/>
              <w:rPr>
                <w:rFonts w:ascii="Arial Narrow" w:hAnsi="Arial Narrow"/>
                <w:sz w:val="16"/>
                <w:szCs w:val="16"/>
              </w:rPr>
            </w:pPr>
            <w:r>
              <w:rPr>
                <w:rFonts w:ascii="Arial Narrow" w:hAnsi="Arial Narrow"/>
                <w:sz w:val="16"/>
                <w:szCs w:val="16"/>
              </w:rPr>
              <w:t>(0.02, 0.15)</w:t>
            </w:r>
          </w:p>
          <w:p w14:paraId="053BEE9B" w14:textId="77777777" w:rsidR="001B2BCC" w:rsidRDefault="001B2BCC" w:rsidP="00EA5BA8">
            <w:pPr>
              <w:jc w:val="left"/>
              <w:rPr>
                <w:rFonts w:ascii="Arial Narrow" w:hAnsi="Arial Narrow"/>
                <w:sz w:val="16"/>
                <w:szCs w:val="16"/>
              </w:rPr>
            </w:pPr>
            <w:r>
              <w:rPr>
                <w:rFonts w:ascii="Arial Narrow" w:hAnsi="Arial Narrow"/>
                <w:sz w:val="16"/>
                <w:szCs w:val="16"/>
              </w:rPr>
              <w:t>P=0.006</w:t>
            </w:r>
          </w:p>
        </w:tc>
        <w:tc>
          <w:tcPr>
            <w:tcW w:w="420" w:type="pct"/>
          </w:tcPr>
          <w:p w14:paraId="673D6F9F" w14:textId="77777777" w:rsidR="001B2BCC" w:rsidRPr="00D4733A" w:rsidRDefault="001B2BCC" w:rsidP="00EA5BA8">
            <w:pPr>
              <w:jc w:val="left"/>
              <w:rPr>
                <w:rFonts w:ascii="Cambria Math" w:hAnsi="Cambria Math"/>
                <w:color w:val="00B050"/>
              </w:rPr>
            </w:pPr>
            <w:r>
              <w:rPr>
                <w:rFonts w:ascii="Cambria Math" w:hAnsi="Cambria Math"/>
                <w:color w:val="00B050"/>
              </w:rPr>
              <w:t>⨁⨁</w:t>
            </w:r>
            <w:r w:rsidRPr="00D4733A">
              <w:rPr>
                <w:rFonts w:ascii="Cambria Math" w:hAnsi="Cambria Math" w:cs="Cambria Math"/>
                <w:color w:val="C00000"/>
              </w:rPr>
              <w:t>⨀⨀</w:t>
            </w:r>
            <w:r w:rsidRPr="005801A9">
              <w:rPr>
                <w:rFonts w:ascii="Arial Narrow" w:hAnsi="Arial Narrow"/>
                <w:sz w:val="16"/>
                <w:szCs w:val="16"/>
              </w:rPr>
              <w:br/>
              <w:t>LOW</w:t>
            </w:r>
          </w:p>
        </w:tc>
        <w:tc>
          <w:tcPr>
            <w:tcW w:w="353" w:type="pct"/>
          </w:tcPr>
          <w:p w14:paraId="3AF01342" w14:textId="77777777" w:rsidR="001B2BCC" w:rsidRDefault="001B2BCC" w:rsidP="00EA5BA8">
            <w:pPr>
              <w:jc w:val="left"/>
              <w:rPr>
                <w:rFonts w:ascii="Arial Narrow" w:hAnsi="Arial Narrow"/>
                <w:sz w:val="16"/>
                <w:szCs w:val="16"/>
              </w:rPr>
            </w:pPr>
            <w:r>
              <w:rPr>
                <w:rFonts w:ascii="Arial Narrow" w:hAnsi="Arial Narrow"/>
                <w:sz w:val="16"/>
                <w:szCs w:val="16"/>
              </w:rPr>
              <w:t>CRITICAL</w:t>
            </w:r>
          </w:p>
        </w:tc>
      </w:tr>
    </w:tbl>
    <w:p w14:paraId="0419B691" w14:textId="77777777" w:rsidR="005801A9" w:rsidRPr="005801A9" w:rsidRDefault="005F034B" w:rsidP="005B189A">
      <w:pPr>
        <w:spacing w:after="80"/>
        <w:rPr>
          <w:rFonts w:ascii="Arial Narrow" w:hAnsi="Arial Narrow"/>
          <w:sz w:val="16"/>
          <w:szCs w:val="16"/>
          <w:lang w:val="en"/>
        </w:rPr>
      </w:pPr>
      <w:r w:rsidRPr="00EA5BA8">
        <w:rPr>
          <w:rFonts w:ascii="Arial Narrow" w:hAnsi="Arial Narrow"/>
          <w:bCs/>
          <w:sz w:val="16"/>
          <w:szCs w:val="16"/>
          <w:lang w:val="en"/>
        </w:rPr>
        <w:t xml:space="preserve">AZA= azathioprine </w:t>
      </w:r>
      <w:r w:rsidR="00EA5BA8" w:rsidRPr="00EA5BA8">
        <w:rPr>
          <w:rFonts w:ascii="Arial Narrow" w:hAnsi="Arial Narrow"/>
          <w:bCs/>
          <w:sz w:val="16"/>
          <w:szCs w:val="16"/>
          <w:lang w:val="en"/>
        </w:rPr>
        <w:t>therapy</w:t>
      </w:r>
      <w:r>
        <w:rPr>
          <w:rFonts w:ascii="Arial Narrow" w:hAnsi="Arial Narrow"/>
          <w:b/>
          <w:bCs/>
          <w:sz w:val="16"/>
          <w:szCs w:val="16"/>
          <w:lang w:val="en"/>
        </w:rPr>
        <w:t xml:space="preserve">; </w:t>
      </w:r>
      <w:r w:rsidR="005801A9" w:rsidRPr="004976A7">
        <w:rPr>
          <w:rFonts w:ascii="Arial Narrow" w:hAnsi="Arial Narrow"/>
          <w:bCs/>
          <w:sz w:val="16"/>
          <w:szCs w:val="16"/>
          <w:lang w:val="en"/>
        </w:rPr>
        <w:t>CI:</w:t>
      </w:r>
      <w:r w:rsidR="005801A9" w:rsidRPr="005801A9">
        <w:rPr>
          <w:rFonts w:ascii="Arial Narrow" w:hAnsi="Arial Narrow"/>
          <w:sz w:val="16"/>
          <w:szCs w:val="16"/>
          <w:lang w:val="en"/>
        </w:rPr>
        <w:t xml:space="preserve"> Confidence interval</w:t>
      </w:r>
      <w:r>
        <w:rPr>
          <w:rFonts w:ascii="Arial Narrow" w:hAnsi="Arial Narrow"/>
          <w:sz w:val="16"/>
          <w:szCs w:val="16"/>
          <w:lang w:val="en"/>
        </w:rPr>
        <w:t xml:space="preserve">; </w:t>
      </w:r>
      <w:r w:rsidR="001B2BCC">
        <w:rPr>
          <w:rFonts w:ascii="Arial Narrow" w:hAnsi="Arial Narrow"/>
          <w:sz w:val="16"/>
          <w:szCs w:val="16"/>
          <w:lang w:val="en"/>
        </w:rPr>
        <w:t xml:space="preserve">EDSS = expended disability severity score; </w:t>
      </w:r>
      <w:r>
        <w:rPr>
          <w:rFonts w:ascii="Arial Narrow" w:hAnsi="Arial Narrow"/>
          <w:sz w:val="16"/>
          <w:szCs w:val="16"/>
          <w:lang w:val="en"/>
        </w:rPr>
        <w:t xml:space="preserve">HR = hazard ration; </w:t>
      </w:r>
      <w:r w:rsidR="007B6C02">
        <w:rPr>
          <w:rFonts w:ascii="Arial Narrow" w:hAnsi="Arial Narrow"/>
          <w:sz w:val="16"/>
          <w:szCs w:val="16"/>
          <w:lang w:val="en"/>
        </w:rPr>
        <w:t>IV</w:t>
      </w:r>
      <w:r>
        <w:rPr>
          <w:rFonts w:ascii="Arial Narrow" w:hAnsi="Arial Narrow"/>
          <w:sz w:val="16"/>
          <w:szCs w:val="16"/>
          <w:lang w:val="en"/>
        </w:rPr>
        <w:t>MP</w:t>
      </w:r>
      <w:r w:rsidRPr="00EA5BA8">
        <w:rPr>
          <w:rFonts w:ascii="Arial Narrow" w:hAnsi="Arial Narrow"/>
          <w:sz w:val="16"/>
          <w:szCs w:val="16"/>
          <w:lang w:val="en"/>
        </w:rPr>
        <w:t xml:space="preserve"> </w:t>
      </w:r>
      <w:r w:rsidR="00EA5BA8" w:rsidRPr="00EA5BA8">
        <w:rPr>
          <w:rFonts w:ascii="Arial Narrow" w:hAnsi="Arial Narrow"/>
          <w:sz w:val="16"/>
          <w:szCs w:val="16"/>
          <w:lang w:val="en"/>
        </w:rPr>
        <w:t>=</w:t>
      </w:r>
      <w:r w:rsidR="007B6C02">
        <w:rPr>
          <w:rFonts w:ascii="Arial Narrow" w:hAnsi="Arial Narrow"/>
          <w:sz w:val="16"/>
          <w:szCs w:val="16"/>
          <w:lang w:val="en"/>
        </w:rPr>
        <w:t xml:space="preserve"> intravenous</w:t>
      </w:r>
      <w:r w:rsidR="00EA5BA8">
        <w:t xml:space="preserve"> </w:t>
      </w:r>
      <w:r w:rsidRPr="005F034B">
        <w:rPr>
          <w:rFonts w:ascii="Arial Narrow" w:hAnsi="Arial Narrow"/>
          <w:sz w:val="16"/>
          <w:szCs w:val="16"/>
          <w:lang w:val="en"/>
        </w:rPr>
        <w:t>methyl prednisolone</w:t>
      </w:r>
      <w:r w:rsidR="00EA5BA8">
        <w:rPr>
          <w:rFonts w:ascii="Arial Narrow" w:hAnsi="Arial Narrow"/>
          <w:sz w:val="16"/>
          <w:szCs w:val="16"/>
          <w:lang w:val="en"/>
        </w:rPr>
        <w:t xml:space="preserve"> therapy;</w:t>
      </w:r>
      <w:r w:rsidRPr="005F034B">
        <w:rPr>
          <w:rFonts w:ascii="Arial Narrow" w:hAnsi="Arial Narrow"/>
          <w:sz w:val="16"/>
          <w:szCs w:val="16"/>
          <w:lang w:val="en"/>
        </w:rPr>
        <w:t xml:space="preserve"> </w:t>
      </w:r>
      <w:r>
        <w:rPr>
          <w:rFonts w:ascii="Arial Narrow" w:hAnsi="Arial Narrow"/>
          <w:sz w:val="16"/>
          <w:szCs w:val="16"/>
          <w:lang w:val="en"/>
        </w:rPr>
        <w:t>NA = not available; OR = odds ratio</w:t>
      </w:r>
    </w:p>
    <w:p w14:paraId="697D9118" w14:textId="77777777" w:rsidR="005801A9" w:rsidRPr="005801A9" w:rsidRDefault="005801A9" w:rsidP="005B189A">
      <w:pPr>
        <w:spacing w:after="80"/>
        <w:rPr>
          <w:rFonts w:ascii="Arial Narrow" w:hAnsi="Arial Narrow"/>
          <w:b/>
          <w:bCs/>
          <w:sz w:val="16"/>
          <w:szCs w:val="16"/>
          <w:lang w:val="en"/>
        </w:rPr>
      </w:pPr>
      <w:r w:rsidRPr="005801A9">
        <w:rPr>
          <w:rFonts w:ascii="Arial Narrow" w:hAnsi="Arial Narrow"/>
          <w:b/>
          <w:bCs/>
          <w:sz w:val="16"/>
          <w:szCs w:val="16"/>
          <w:lang w:val="en"/>
        </w:rPr>
        <w:t>Explanations</w:t>
      </w:r>
    </w:p>
    <w:p w14:paraId="11343D4F" w14:textId="77777777" w:rsidR="005801A9" w:rsidRPr="005801A9" w:rsidRDefault="005801A9" w:rsidP="005801A9">
      <w:pPr>
        <w:rPr>
          <w:rFonts w:ascii="Arial Narrow" w:hAnsi="Arial Narrow"/>
          <w:sz w:val="16"/>
          <w:szCs w:val="16"/>
          <w:lang w:val="en"/>
        </w:rPr>
      </w:pPr>
      <w:r w:rsidRPr="005801A9">
        <w:rPr>
          <w:rFonts w:ascii="Arial Narrow" w:hAnsi="Arial Narrow"/>
          <w:sz w:val="16"/>
          <w:szCs w:val="16"/>
          <w:lang w:val="en"/>
        </w:rPr>
        <w:t xml:space="preserve">a. Retrospective study design at risk of selection bias </w:t>
      </w:r>
    </w:p>
    <w:p w14:paraId="33734AF1" w14:textId="5D899992" w:rsidR="006459ED" w:rsidRDefault="00144128" w:rsidP="006459ED">
      <w:pPr>
        <w:pStyle w:val="Tablenotes0"/>
        <w:rPr>
          <w:b/>
          <w:bCs/>
          <w:sz w:val="20"/>
        </w:rPr>
      </w:pPr>
      <w:r w:rsidRPr="005B189A">
        <w:rPr>
          <w:b/>
          <w:szCs w:val="18"/>
        </w:rPr>
        <w:t>GRADE Working Group grades of evidence (Guyatt et al., 2013)</w:t>
      </w:r>
      <w:r w:rsidRPr="005B189A">
        <w:rPr>
          <w:b/>
          <w:szCs w:val="18"/>
        </w:rPr>
        <w:br/>
      </w:r>
      <w:r w:rsidRPr="00D4733A">
        <w:rPr>
          <w:rFonts w:ascii="Cambria Math" w:hAnsi="Cambria Math"/>
          <w:color w:val="00B050"/>
        </w:rPr>
        <w:t>⨁⨁⨁⨁</w:t>
      </w:r>
      <w:r>
        <w:rPr>
          <w:rFonts w:ascii="Cambria Math" w:hAnsi="Cambria Math"/>
          <w:color w:val="00B050"/>
        </w:rPr>
        <w:t xml:space="preserve"> </w:t>
      </w:r>
      <w:r w:rsidRPr="00E10B76">
        <w:rPr>
          <w:b/>
          <w:bCs/>
          <w:szCs w:val="18"/>
        </w:rPr>
        <w:t>High quality:</w:t>
      </w:r>
      <w:r w:rsidRPr="00E10B76">
        <w:rPr>
          <w:szCs w:val="18"/>
        </w:rPr>
        <w:t xml:space="preserve"> </w:t>
      </w:r>
      <w:r>
        <w:rPr>
          <w:szCs w:val="18"/>
        </w:rPr>
        <w:t>We are very confident that the true effect lies close to that of the estimate of effect.</w:t>
      </w:r>
      <w:r w:rsidRPr="00E10B76">
        <w:rPr>
          <w:szCs w:val="18"/>
        </w:rPr>
        <w:t xml:space="preserve"> </w:t>
      </w:r>
      <w:r w:rsidRPr="00E10B76">
        <w:rPr>
          <w:szCs w:val="18"/>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Moderate quality:</w:t>
      </w:r>
      <w:r w:rsidRPr="00E10B76">
        <w:rPr>
          <w:szCs w:val="18"/>
        </w:rPr>
        <w:t xml:space="preserve"> </w:t>
      </w:r>
      <w:r>
        <w:rPr>
          <w:szCs w:val="18"/>
        </w:rPr>
        <w:t xml:space="preserve">We are moderately confident in the effect estimate: The true effect is likely to be close to the estimate of the effect, but there is a possibility that it is substantially different.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Low quality:</w:t>
      </w:r>
      <w:r w:rsidRPr="00E10B76">
        <w:rPr>
          <w:szCs w:val="18"/>
        </w:rPr>
        <w:t xml:space="preserve"> </w:t>
      </w:r>
      <w:r>
        <w:rPr>
          <w:szCs w:val="18"/>
        </w:rPr>
        <w:t>Our confidence in the effect estimate is limited: The true effect may be substantially different from the estimate of the effect.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r w:rsidR="006459ED">
        <w:br w:type="page"/>
      </w:r>
    </w:p>
    <w:p w14:paraId="390EF1E4" w14:textId="158C7069" w:rsidR="00EA5BA8" w:rsidRPr="000470F1" w:rsidRDefault="00EA5BA8" w:rsidP="005B189A">
      <w:pPr>
        <w:pStyle w:val="Caption"/>
        <w:keepLines/>
      </w:pPr>
      <w:bookmarkStart w:id="648" w:name="_Toc39580885"/>
      <w:r>
        <w:lastRenderedPageBreak/>
        <w:t xml:space="preserve">Table </w:t>
      </w:r>
      <w:r>
        <w:rPr>
          <w:noProof/>
        </w:rPr>
        <w:fldChar w:fldCharType="begin"/>
      </w:r>
      <w:r>
        <w:rPr>
          <w:noProof/>
        </w:rPr>
        <w:instrText xml:space="preserve"> SEQ Table \* ARABIC </w:instrText>
      </w:r>
      <w:r>
        <w:rPr>
          <w:noProof/>
        </w:rPr>
        <w:fldChar w:fldCharType="separate"/>
      </w:r>
      <w:r w:rsidR="00FA7BCD">
        <w:rPr>
          <w:noProof/>
        </w:rPr>
        <w:t>104</w:t>
      </w:r>
      <w:r>
        <w:rPr>
          <w:noProof/>
        </w:rPr>
        <w:fldChar w:fldCharType="end"/>
      </w:r>
      <w:r>
        <w:tab/>
        <w:t xml:space="preserve">Evidence profile table for the impact of change in management due to </w:t>
      </w:r>
      <w:r w:rsidR="004E2AA7">
        <w:t>NMSDO specific treatment</w:t>
      </w:r>
      <w:r>
        <w:t xml:space="preserve"> compared to </w:t>
      </w:r>
      <w:r w:rsidR="004E2AA7">
        <w:t>MS treatments for NMOSD patients</w:t>
      </w:r>
      <w:bookmarkEnd w:id="648"/>
      <w:r>
        <w:t xml:space="preserve"> </w:t>
      </w:r>
    </w:p>
    <w:p w14:paraId="0D6298F0" w14:textId="77777777" w:rsidR="00EA5BA8" w:rsidRPr="005B189A" w:rsidRDefault="00EA5BA8" w:rsidP="004E2AA7">
      <w:pPr>
        <w:keepNext/>
        <w:keepLines/>
        <w:spacing w:before="160"/>
        <w:rPr>
          <w:rFonts w:ascii="Arial Narrow" w:hAnsi="Arial Narrow"/>
          <w:b/>
          <w:sz w:val="16"/>
          <w:szCs w:val="16"/>
          <w:lang w:val="en"/>
        </w:rPr>
      </w:pPr>
      <w:r w:rsidRPr="005B189A">
        <w:rPr>
          <w:rFonts w:ascii="Arial Narrow" w:hAnsi="Arial Narrow"/>
          <w:b/>
          <w:bCs/>
          <w:sz w:val="16"/>
          <w:szCs w:val="16"/>
          <w:lang w:val="en"/>
        </w:rPr>
        <w:t>Question</w:t>
      </w:r>
      <w:r w:rsidRPr="005B189A">
        <w:rPr>
          <w:rFonts w:ascii="Arial Narrow" w:hAnsi="Arial Narrow"/>
          <w:b/>
          <w:sz w:val="16"/>
          <w:szCs w:val="16"/>
          <w:lang w:val="en"/>
        </w:rPr>
        <w:t xml:space="preserve">: NMOSD treatment compared to MS treatment for NMOSD patients </w:t>
      </w:r>
    </w:p>
    <w:p w14:paraId="1A91F240" w14:textId="769F2335" w:rsidR="00EA5BA8" w:rsidRPr="00C05F0C" w:rsidRDefault="00EA5BA8" w:rsidP="005B189A">
      <w:pPr>
        <w:keepNext/>
        <w:keepLines/>
        <w:rPr>
          <w:rFonts w:ascii="Arial Narrow" w:hAnsi="Arial Narrow"/>
          <w:sz w:val="16"/>
          <w:szCs w:val="16"/>
          <w:lang w:val="en"/>
        </w:rPr>
      </w:pPr>
      <w:r w:rsidRPr="00C05F0C">
        <w:rPr>
          <w:rFonts w:ascii="Arial Narrow" w:hAnsi="Arial Narrow"/>
          <w:b/>
          <w:bCs/>
          <w:sz w:val="16"/>
          <w:szCs w:val="16"/>
          <w:lang w:val="en"/>
        </w:rPr>
        <w:t>Bibliography</w:t>
      </w:r>
      <w:r w:rsidRPr="00C05F0C">
        <w:rPr>
          <w:rFonts w:ascii="Arial Narrow" w:hAnsi="Arial Narrow"/>
          <w:sz w:val="16"/>
          <w:szCs w:val="16"/>
          <w:lang w:val="en"/>
        </w:rPr>
        <w:t xml:space="preserve">: </w:t>
      </w:r>
      <w:r w:rsidR="00156621">
        <w:rPr>
          <w:rFonts w:ascii="Arial Narrow" w:hAnsi="Arial Narrow"/>
          <w:sz w:val="16"/>
          <w:szCs w:val="16"/>
          <w:lang w:val="en"/>
        </w:rPr>
        <w:fldChar w:fldCharType="begin">
          <w:fldData xml:space="preserve">PEVuZE5vdGU+PENpdGU+PEF1dGhvcj5MaW48L0F1dGhvcj48WWVhcj4yMDE3PC9ZZWFyPjxSZWNO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=
</w:fldData>
        </w:fldChar>
      </w:r>
      <w:r w:rsidR="00D96694">
        <w:rPr>
          <w:rFonts w:ascii="Arial Narrow" w:hAnsi="Arial Narrow"/>
          <w:sz w:val="16"/>
          <w:szCs w:val="16"/>
          <w:lang w:val="en"/>
        </w:rPr>
        <w:instrText xml:space="preserve"> ADDIN EN.CITE </w:instrText>
      </w:r>
      <w:r w:rsidR="00D96694">
        <w:rPr>
          <w:rFonts w:ascii="Arial Narrow" w:hAnsi="Arial Narrow"/>
          <w:sz w:val="16"/>
          <w:szCs w:val="16"/>
          <w:lang w:val="en"/>
        </w:rPr>
        <w:fldChar w:fldCharType="begin">
          <w:fldData xml:space="preserve">PEVuZE5vdGU+PENpdGU+PEF1dGhvcj5MaW48L0F1dGhvcj48WWVhcj4yMDE3PC9ZZWFyPjxSZWNO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=
</w:fldData>
        </w:fldChar>
      </w:r>
      <w:r w:rsidR="00D96694">
        <w:rPr>
          <w:rFonts w:ascii="Arial Narrow" w:hAnsi="Arial Narrow"/>
          <w:sz w:val="16"/>
          <w:szCs w:val="16"/>
          <w:lang w:val="en"/>
        </w:rPr>
        <w:instrText xml:space="preserve"> ADDIN EN.CITE.DATA </w:instrText>
      </w:r>
      <w:r w:rsidR="00D96694">
        <w:rPr>
          <w:rFonts w:ascii="Arial Narrow" w:hAnsi="Arial Narrow"/>
          <w:sz w:val="16"/>
          <w:szCs w:val="16"/>
          <w:lang w:val="en"/>
        </w:rPr>
      </w:r>
      <w:r w:rsidR="00D96694">
        <w:rPr>
          <w:rFonts w:ascii="Arial Narrow" w:hAnsi="Arial Narrow"/>
          <w:sz w:val="16"/>
          <w:szCs w:val="16"/>
          <w:lang w:val="en"/>
        </w:rPr>
        <w:fldChar w:fldCharType="end"/>
      </w:r>
      <w:r w:rsidR="00156621">
        <w:rPr>
          <w:rFonts w:ascii="Arial Narrow" w:hAnsi="Arial Narrow"/>
          <w:sz w:val="16"/>
          <w:szCs w:val="16"/>
          <w:lang w:val="en"/>
        </w:rPr>
      </w:r>
      <w:r w:rsidR="00156621">
        <w:rPr>
          <w:rFonts w:ascii="Arial Narrow" w:hAnsi="Arial Narrow"/>
          <w:sz w:val="16"/>
          <w:szCs w:val="16"/>
          <w:lang w:val="en"/>
        </w:rPr>
        <w:fldChar w:fldCharType="separate"/>
      </w:r>
      <w:r w:rsidR="00156621">
        <w:rPr>
          <w:rFonts w:ascii="Arial Narrow" w:hAnsi="Arial Narrow"/>
          <w:noProof/>
          <w:sz w:val="16"/>
          <w:szCs w:val="16"/>
          <w:lang w:val="en"/>
        </w:rPr>
        <w:t>(Lin, J et al. 2017)</w:t>
      </w:r>
      <w:r w:rsidR="00156621">
        <w:rPr>
          <w:rFonts w:ascii="Arial Narrow" w:hAnsi="Arial Narrow"/>
          <w:sz w:val="16"/>
          <w:szCs w:val="16"/>
          <w:lang w:val="en"/>
        </w:rPr>
        <w:fldChar w:fldCharType="end"/>
      </w:r>
    </w:p>
    <w:tbl>
      <w:tblPr>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75" w:type="dxa"/>
          <w:left w:w="75" w:type="dxa"/>
          <w:bottom w:w="75" w:type="dxa"/>
          <w:right w:w="75" w:type="dxa"/>
        </w:tblCellMar>
        <w:tblLook w:val="04A0" w:firstRow="1" w:lastRow="0" w:firstColumn="1" w:lastColumn="0" w:noHBand="0" w:noVBand="1"/>
        <w:tblCaption w:val="Table 104"/>
        <w:tblDescription w:val="Evidence profile table for the impact of change in management due to NMSDO specific treatment compared to MS treatments for NMOSD patients "/>
      </w:tblPr>
      <w:tblGrid>
        <w:gridCol w:w="1414"/>
        <w:gridCol w:w="1134"/>
        <w:gridCol w:w="992"/>
        <w:gridCol w:w="1274"/>
        <w:gridCol w:w="992"/>
        <w:gridCol w:w="992"/>
        <w:gridCol w:w="1134"/>
        <w:gridCol w:w="1561"/>
        <w:gridCol w:w="1416"/>
        <w:gridCol w:w="1848"/>
        <w:gridCol w:w="1274"/>
        <w:gridCol w:w="1095"/>
      </w:tblGrid>
      <w:tr w:rsidR="00EA5BA8" w:rsidRPr="00EA5BA8" w14:paraId="2283EE6F" w14:textId="77777777" w:rsidTr="00C05F0C">
        <w:trPr>
          <w:cantSplit/>
          <w:tblHeader/>
        </w:trPr>
        <w:tc>
          <w:tcPr>
            <w:tcW w:w="2622" w:type="pct"/>
            <w:gridSpan w:val="7"/>
            <w:shd w:val="clear" w:color="auto" w:fill="D0CECE" w:themeFill="background2" w:themeFillShade="E6"/>
            <w:vAlign w:val="center"/>
            <w:hideMark/>
          </w:tcPr>
          <w:p w14:paraId="6C074A87"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Certainty assessment</w:t>
            </w:r>
          </w:p>
        </w:tc>
        <w:tc>
          <w:tcPr>
            <w:tcW w:w="984" w:type="pct"/>
            <w:gridSpan w:val="2"/>
            <w:shd w:val="clear" w:color="auto" w:fill="D0CECE" w:themeFill="background2" w:themeFillShade="E6"/>
            <w:vAlign w:val="center"/>
            <w:hideMark/>
          </w:tcPr>
          <w:p w14:paraId="6EC30F9B"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 of patients</w:t>
            </w:r>
          </w:p>
        </w:tc>
        <w:tc>
          <w:tcPr>
            <w:tcW w:w="611" w:type="pct"/>
            <w:vMerge w:val="restart"/>
            <w:shd w:val="clear" w:color="auto" w:fill="D0CECE" w:themeFill="background2" w:themeFillShade="E6"/>
            <w:vAlign w:val="center"/>
            <w:hideMark/>
          </w:tcPr>
          <w:p w14:paraId="4C3AA32C" w14:textId="77777777" w:rsidR="00EA5BA8" w:rsidRPr="00EA5BA8" w:rsidRDefault="00EA5BA8" w:rsidP="005B189A">
            <w:pPr>
              <w:keepNext/>
              <w:keepLines/>
              <w:rPr>
                <w:rFonts w:ascii="Arial Narrow" w:hAnsi="Arial Narrow"/>
                <w:b/>
                <w:bCs/>
                <w:sz w:val="16"/>
                <w:szCs w:val="16"/>
              </w:rPr>
            </w:pPr>
            <w:r>
              <w:rPr>
                <w:rFonts w:ascii="Arial Narrow" w:hAnsi="Arial Narrow"/>
                <w:b/>
                <w:bCs/>
                <w:sz w:val="16"/>
                <w:szCs w:val="16"/>
              </w:rPr>
              <w:t xml:space="preserve">Relative </w:t>
            </w:r>
            <w:r w:rsidRPr="00EA5BA8">
              <w:rPr>
                <w:rFonts w:ascii="Arial Narrow" w:hAnsi="Arial Narrow"/>
                <w:b/>
                <w:bCs/>
                <w:sz w:val="16"/>
                <w:szCs w:val="16"/>
              </w:rPr>
              <w:t>Effect</w:t>
            </w:r>
          </w:p>
          <w:p w14:paraId="00929E30"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 xml:space="preserve"> (95% CI)</w:t>
            </w:r>
          </w:p>
        </w:tc>
        <w:tc>
          <w:tcPr>
            <w:tcW w:w="421" w:type="pct"/>
            <w:vMerge w:val="restart"/>
            <w:shd w:val="clear" w:color="auto" w:fill="D0CECE" w:themeFill="background2" w:themeFillShade="E6"/>
            <w:vAlign w:val="center"/>
            <w:hideMark/>
          </w:tcPr>
          <w:p w14:paraId="13CB4AB1"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Certainty</w:t>
            </w:r>
          </w:p>
        </w:tc>
        <w:tc>
          <w:tcPr>
            <w:tcW w:w="362" w:type="pct"/>
            <w:vMerge w:val="restart"/>
            <w:shd w:val="clear" w:color="auto" w:fill="D0CECE" w:themeFill="background2" w:themeFillShade="E6"/>
            <w:vAlign w:val="center"/>
            <w:hideMark/>
          </w:tcPr>
          <w:p w14:paraId="78FD2511"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Importance</w:t>
            </w:r>
          </w:p>
        </w:tc>
      </w:tr>
      <w:tr w:rsidR="00EA5BA8" w:rsidRPr="00EA5BA8" w14:paraId="43C05877" w14:textId="77777777" w:rsidTr="00A257C4">
        <w:trPr>
          <w:cantSplit/>
          <w:tblHeader/>
        </w:trPr>
        <w:tc>
          <w:tcPr>
            <w:tcW w:w="467" w:type="pct"/>
            <w:shd w:val="clear" w:color="auto" w:fill="D0CECE" w:themeFill="background2" w:themeFillShade="E6"/>
            <w:vAlign w:val="center"/>
            <w:hideMark/>
          </w:tcPr>
          <w:p w14:paraId="708D7C10" w14:textId="77777777" w:rsidR="00EA5BA8" w:rsidRDefault="00EA5BA8" w:rsidP="005B189A">
            <w:pPr>
              <w:keepNext/>
              <w:keepLines/>
              <w:rPr>
                <w:rFonts w:ascii="Arial Narrow" w:hAnsi="Arial Narrow"/>
                <w:b/>
                <w:bCs/>
                <w:sz w:val="16"/>
                <w:szCs w:val="16"/>
              </w:rPr>
            </w:pPr>
            <w:r w:rsidRPr="00EA5BA8">
              <w:rPr>
                <w:rFonts w:ascii="Arial Narrow" w:hAnsi="Arial Narrow"/>
                <w:b/>
                <w:bCs/>
                <w:sz w:val="16"/>
                <w:szCs w:val="16"/>
              </w:rPr>
              <w:t>№ of studies</w:t>
            </w:r>
            <w:r w:rsidR="00A257C4">
              <w:rPr>
                <w:rFonts w:ascii="Arial Narrow" w:hAnsi="Arial Narrow"/>
                <w:b/>
                <w:bCs/>
                <w:sz w:val="16"/>
                <w:szCs w:val="16"/>
              </w:rPr>
              <w:t xml:space="preserve"> (K)</w:t>
            </w:r>
          </w:p>
          <w:p w14:paraId="3A5ECDC0" w14:textId="18FC17C4" w:rsidR="00A257C4" w:rsidRPr="00EA5BA8" w:rsidRDefault="00A257C4" w:rsidP="005B189A">
            <w:pPr>
              <w:keepNext/>
              <w:keepLines/>
              <w:rPr>
                <w:rFonts w:ascii="Arial Narrow" w:hAnsi="Arial Narrow"/>
                <w:b/>
                <w:bCs/>
                <w:sz w:val="16"/>
                <w:szCs w:val="16"/>
              </w:rPr>
            </w:pPr>
            <w:r>
              <w:rPr>
                <w:rFonts w:ascii="Arial Narrow" w:hAnsi="Arial Narrow"/>
                <w:b/>
                <w:bCs/>
                <w:sz w:val="16"/>
                <w:szCs w:val="16"/>
              </w:rPr>
              <w:t>N patients</w:t>
            </w:r>
          </w:p>
        </w:tc>
        <w:tc>
          <w:tcPr>
            <w:tcW w:w="375" w:type="pct"/>
            <w:shd w:val="clear" w:color="auto" w:fill="D0CECE" w:themeFill="background2" w:themeFillShade="E6"/>
            <w:vAlign w:val="center"/>
            <w:hideMark/>
          </w:tcPr>
          <w:p w14:paraId="620805C8"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Study design</w:t>
            </w:r>
          </w:p>
        </w:tc>
        <w:tc>
          <w:tcPr>
            <w:tcW w:w="328" w:type="pct"/>
            <w:shd w:val="clear" w:color="auto" w:fill="D0CECE" w:themeFill="background2" w:themeFillShade="E6"/>
            <w:vAlign w:val="center"/>
            <w:hideMark/>
          </w:tcPr>
          <w:p w14:paraId="68D2AAFC"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Risk of bias</w:t>
            </w:r>
          </w:p>
        </w:tc>
        <w:tc>
          <w:tcPr>
            <w:tcW w:w="421" w:type="pct"/>
            <w:shd w:val="clear" w:color="auto" w:fill="D0CECE" w:themeFill="background2" w:themeFillShade="E6"/>
            <w:vAlign w:val="center"/>
            <w:hideMark/>
          </w:tcPr>
          <w:p w14:paraId="74F683E0"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Inconsistency</w:t>
            </w:r>
          </w:p>
        </w:tc>
        <w:tc>
          <w:tcPr>
            <w:tcW w:w="328" w:type="pct"/>
            <w:shd w:val="clear" w:color="auto" w:fill="D0CECE" w:themeFill="background2" w:themeFillShade="E6"/>
            <w:vAlign w:val="center"/>
            <w:hideMark/>
          </w:tcPr>
          <w:p w14:paraId="302E0BA8"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Indirectness</w:t>
            </w:r>
          </w:p>
        </w:tc>
        <w:tc>
          <w:tcPr>
            <w:tcW w:w="328" w:type="pct"/>
            <w:shd w:val="clear" w:color="auto" w:fill="D0CECE" w:themeFill="background2" w:themeFillShade="E6"/>
            <w:vAlign w:val="center"/>
            <w:hideMark/>
          </w:tcPr>
          <w:p w14:paraId="7181F96E"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Imprecision</w:t>
            </w:r>
          </w:p>
        </w:tc>
        <w:tc>
          <w:tcPr>
            <w:tcW w:w="375" w:type="pct"/>
            <w:shd w:val="clear" w:color="auto" w:fill="D0CECE" w:themeFill="background2" w:themeFillShade="E6"/>
            <w:vAlign w:val="center"/>
            <w:hideMark/>
          </w:tcPr>
          <w:p w14:paraId="224AE327"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Other considerations</w:t>
            </w:r>
          </w:p>
        </w:tc>
        <w:tc>
          <w:tcPr>
            <w:tcW w:w="516" w:type="pct"/>
            <w:shd w:val="clear" w:color="auto" w:fill="D0CECE" w:themeFill="background2" w:themeFillShade="E6"/>
            <w:vAlign w:val="center"/>
            <w:hideMark/>
          </w:tcPr>
          <w:p w14:paraId="2DF9221D"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NMOSD treatment</w:t>
            </w:r>
          </w:p>
        </w:tc>
        <w:tc>
          <w:tcPr>
            <w:tcW w:w="468" w:type="pct"/>
            <w:shd w:val="clear" w:color="auto" w:fill="D0CECE" w:themeFill="background2" w:themeFillShade="E6"/>
            <w:vAlign w:val="center"/>
            <w:hideMark/>
          </w:tcPr>
          <w:p w14:paraId="499E8F4C"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MS treatment</w:t>
            </w:r>
          </w:p>
        </w:tc>
        <w:tc>
          <w:tcPr>
            <w:tcW w:w="611" w:type="pct"/>
            <w:vMerge/>
            <w:shd w:val="clear" w:color="auto" w:fill="D0CECE" w:themeFill="background2" w:themeFillShade="E6"/>
            <w:vAlign w:val="center"/>
            <w:hideMark/>
          </w:tcPr>
          <w:p w14:paraId="62EC2B80" w14:textId="77777777" w:rsidR="00EA5BA8" w:rsidRPr="00EA5BA8" w:rsidRDefault="00EA5BA8" w:rsidP="005B189A">
            <w:pPr>
              <w:keepNext/>
              <w:keepLines/>
              <w:rPr>
                <w:rFonts w:ascii="Arial Narrow" w:hAnsi="Arial Narrow"/>
                <w:b/>
                <w:bCs/>
                <w:sz w:val="16"/>
                <w:szCs w:val="16"/>
              </w:rPr>
            </w:pPr>
          </w:p>
        </w:tc>
        <w:tc>
          <w:tcPr>
            <w:tcW w:w="421" w:type="pct"/>
            <w:vMerge/>
            <w:shd w:val="clear" w:color="auto" w:fill="D0CECE" w:themeFill="background2" w:themeFillShade="E6"/>
            <w:vAlign w:val="center"/>
            <w:hideMark/>
          </w:tcPr>
          <w:p w14:paraId="194DC5FD" w14:textId="77777777" w:rsidR="00EA5BA8" w:rsidRPr="00EA5BA8" w:rsidRDefault="00EA5BA8" w:rsidP="005B189A">
            <w:pPr>
              <w:keepNext/>
              <w:keepLines/>
              <w:rPr>
                <w:rFonts w:ascii="Arial Narrow" w:hAnsi="Arial Narrow"/>
                <w:b/>
                <w:bCs/>
                <w:sz w:val="16"/>
                <w:szCs w:val="16"/>
              </w:rPr>
            </w:pPr>
          </w:p>
        </w:tc>
        <w:tc>
          <w:tcPr>
            <w:tcW w:w="362" w:type="pct"/>
            <w:vMerge/>
            <w:shd w:val="clear" w:color="auto" w:fill="D0CECE" w:themeFill="background2" w:themeFillShade="E6"/>
            <w:vAlign w:val="center"/>
            <w:hideMark/>
          </w:tcPr>
          <w:p w14:paraId="57B13162" w14:textId="77777777" w:rsidR="00EA5BA8" w:rsidRPr="00EA5BA8" w:rsidRDefault="00EA5BA8" w:rsidP="005B189A">
            <w:pPr>
              <w:keepNext/>
              <w:keepLines/>
              <w:rPr>
                <w:rFonts w:ascii="Arial Narrow" w:hAnsi="Arial Narrow"/>
                <w:b/>
                <w:bCs/>
                <w:sz w:val="16"/>
                <w:szCs w:val="16"/>
              </w:rPr>
            </w:pPr>
          </w:p>
        </w:tc>
      </w:tr>
      <w:tr w:rsidR="00EA5BA8" w:rsidRPr="00EA5BA8" w14:paraId="5C6603A5" w14:textId="77777777" w:rsidTr="00EA5BA8">
        <w:trPr>
          <w:cantSplit/>
        </w:trPr>
        <w:tc>
          <w:tcPr>
            <w:tcW w:w="5000" w:type="pct"/>
            <w:gridSpan w:val="12"/>
            <w:shd w:val="clear" w:color="auto" w:fill="FFFFFF"/>
            <w:vAlign w:val="center"/>
            <w:hideMark/>
          </w:tcPr>
          <w:p w14:paraId="450E9B3B" w14:textId="77777777" w:rsidR="00EA5BA8" w:rsidRPr="00EA5BA8" w:rsidRDefault="00EA5BA8" w:rsidP="005B189A">
            <w:pPr>
              <w:keepNext/>
              <w:keepLines/>
              <w:rPr>
                <w:rFonts w:ascii="Arial Narrow" w:hAnsi="Arial Narrow"/>
                <w:b/>
                <w:bCs/>
                <w:sz w:val="16"/>
                <w:szCs w:val="16"/>
              </w:rPr>
            </w:pPr>
            <w:r w:rsidRPr="00EA5BA8">
              <w:rPr>
                <w:rFonts w:ascii="Arial Narrow" w:hAnsi="Arial Narrow"/>
                <w:b/>
                <w:bCs/>
                <w:sz w:val="16"/>
                <w:szCs w:val="16"/>
              </w:rPr>
              <w:t>Likelihood of attack (assessed with: RTX compared with Interferon beta)</w:t>
            </w:r>
          </w:p>
        </w:tc>
      </w:tr>
      <w:tr w:rsidR="00EA5BA8" w:rsidRPr="00EA5BA8" w14:paraId="43645275" w14:textId="77777777" w:rsidTr="00A257C4">
        <w:trPr>
          <w:cantSplit/>
        </w:trPr>
        <w:tc>
          <w:tcPr>
            <w:tcW w:w="467" w:type="pct"/>
            <w:hideMark/>
          </w:tcPr>
          <w:p w14:paraId="3673200D" w14:textId="77777777" w:rsidR="00EA5BA8" w:rsidRDefault="004F4ACD" w:rsidP="005B189A">
            <w:pPr>
              <w:keepNext/>
              <w:keepLines/>
              <w:rPr>
                <w:rFonts w:ascii="Arial Narrow" w:hAnsi="Arial Narrow"/>
                <w:sz w:val="16"/>
                <w:szCs w:val="16"/>
              </w:rPr>
            </w:pPr>
            <w:r>
              <w:rPr>
                <w:rFonts w:ascii="Arial Narrow" w:hAnsi="Arial Narrow"/>
                <w:sz w:val="16"/>
                <w:szCs w:val="16"/>
              </w:rPr>
              <w:t>K=</w:t>
            </w:r>
            <w:r w:rsidR="00EA5BA8" w:rsidRPr="00EA5BA8">
              <w:rPr>
                <w:rFonts w:ascii="Arial Narrow" w:hAnsi="Arial Narrow"/>
                <w:sz w:val="16"/>
                <w:szCs w:val="16"/>
              </w:rPr>
              <w:t xml:space="preserve">1 </w:t>
            </w:r>
          </w:p>
          <w:p w14:paraId="50A6A948" w14:textId="09D44F65" w:rsidR="004F4ACD" w:rsidRPr="00EA5BA8" w:rsidRDefault="004F4ACD" w:rsidP="005B189A">
            <w:pPr>
              <w:keepNext/>
              <w:keepLines/>
              <w:rPr>
                <w:rFonts w:ascii="Arial Narrow" w:hAnsi="Arial Narrow"/>
                <w:sz w:val="16"/>
                <w:szCs w:val="16"/>
              </w:rPr>
            </w:pPr>
            <w:r>
              <w:rPr>
                <w:rFonts w:ascii="Arial Narrow" w:hAnsi="Arial Narrow"/>
                <w:sz w:val="16"/>
                <w:szCs w:val="16"/>
              </w:rPr>
              <w:t>N=127</w:t>
            </w:r>
          </w:p>
        </w:tc>
        <w:tc>
          <w:tcPr>
            <w:tcW w:w="375" w:type="pct"/>
            <w:hideMark/>
          </w:tcPr>
          <w:p w14:paraId="24B90EEB" w14:textId="77777777" w:rsidR="00EA5BA8" w:rsidRPr="00EA5BA8" w:rsidRDefault="00EA5BA8" w:rsidP="005B189A">
            <w:pPr>
              <w:keepNext/>
              <w:keepLines/>
              <w:rPr>
                <w:rFonts w:ascii="Arial Narrow" w:hAnsi="Arial Narrow"/>
                <w:sz w:val="16"/>
                <w:szCs w:val="16"/>
              </w:rPr>
            </w:pPr>
            <w:r w:rsidRPr="00EA5BA8">
              <w:rPr>
                <w:rFonts w:ascii="Arial Narrow" w:hAnsi="Arial Narrow"/>
                <w:sz w:val="16"/>
                <w:szCs w:val="16"/>
              </w:rPr>
              <w:t xml:space="preserve">observational studies </w:t>
            </w:r>
          </w:p>
        </w:tc>
        <w:tc>
          <w:tcPr>
            <w:tcW w:w="328" w:type="pct"/>
            <w:hideMark/>
          </w:tcPr>
          <w:p w14:paraId="6A7E0617" w14:textId="77777777" w:rsidR="00EA5BA8" w:rsidRPr="00EA5BA8" w:rsidRDefault="00EA5BA8" w:rsidP="005B189A">
            <w:pPr>
              <w:keepNext/>
              <w:keepLines/>
              <w:rPr>
                <w:rFonts w:ascii="Arial Narrow" w:hAnsi="Arial Narrow"/>
                <w:sz w:val="16"/>
                <w:szCs w:val="16"/>
              </w:rPr>
            </w:pPr>
            <w:r w:rsidRPr="00EA5BA8">
              <w:rPr>
                <w:rFonts w:ascii="Arial Narrow" w:hAnsi="Arial Narrow"/>
                <w:sz w:val="16"/>
                <w:szCs w:val="16"/>
              </w:rPr>
              <w:t xml:space="preserve">serious </w:t>
            </w:r>
            <w:r w:rsidRPr="00EA5BA8">
              <w:rPr>
                <w:rFonts w:ascii="Arial Narrow" w:hAnsi="Arial Narrow"/>
                <w:sz w:val="16"/>
                <w:szCs w:val="16"/>
                <w:vertAlign w:val="superscript"/>
              </w:rPr>
              <w:t>a</w:t>
            </w:r>
          </w:p>
        </w:tc>
        <w:tc>
          <w:tcPr>
            <w:tcW w:w="421" w:type="pct"/>
            <w:hideMark/>
          </w:tcPr>
          <w:p w14:paraId="7FBC8D73" w14:textId="77777777" w:rsidR="00EA5BA8" w:rsidRPr="00EA5BA8" w:rsidRDefault="00EA5BA8" w:rsidP="005B189A">
            <w:pPr>
              <w:keepNext/>
              <w:keepLines/>
              <w:rPr>
                <w:rFonts w:ascii="Arial Narrow" w:hAnsi="Arial Narrow"/>
                <w:sz w:val="16"/>
                <w:szCs w:val="16"/>
              </w:rPr>
            </w:pPr>
            <w:r w:rsidRPr="00EA5BA8">
              <w:rPr>
                <w:rFonts w:ascii="Arial Narrow" w:hAnsi="Arial Narrow"/>
                <w:sz w:val="16"/>
                <w:szCs w:val="16"/>
              </w:rPr>
              <w:t xml:space="preserve">not serious </w:t>
            </w:r>
          </w:p>
        </w:tc>
        <w:tc>
          <w:tcPr>
            <w:tcW w:w="328" w:type="pct"/>
            <w:hideMark/>
          </w:tcPr>
          <w:p w14:paraId="7F8B6098" w14:textId="77777777" w:rsidR="00EA5BA8" w:rsidRPr="00EA5BA8" w:rsidRDefault="00EA5BA8" w:rsidP="005B189A">
            <w:pPr>
              <w:keepNext/>
              <w:keepLines/>
              <w:rPr>
                <w:rFonts w:ascii="Arial Narrow" w:hAnsi="Arial Narrow"/>
                <w:sz w:val="16"/>
                <w:szCs w:val="16"/>
              </w:rPr>
            </w:pPr>
            <w:r w:rsidRPr="00EA5BA8">
              <w:rPr>
                <w:rFonts w:ascii="Arial Narrow" w:hAnsi="Arial Narrow"/>
                <w:sz w:val="16"/>
                <w:szCs w:val="16"/>
              </w:rPr>
              <w:t xml:space="preserve">not serious </w:t>
            </w:r>
          </w:p>
        </w:tc>
        <w:tc>
          <w:tcPr>
            <w:tcW w:w="328" w:type="pct"/>
            <w:hideMark/>
          </w:tcPr>
          <w:p w14:paraId="2105B61C" w14:textId="77777777" w:rsidR="00EA5BA8" w:rsidRPr="00EA5BA8" w:rsidRDefault="00EA5BA8" w:rsidP="005B189A">
            <w:pPr>
              <w:keepNext/>
              <w:keepLines/>
              <w:rPr>
                <w:rFonts w:ascii="Arial Narrow" w:hAnsi="Arial Narrow"/>
                <w:sz w:val="16"/>
                <w:szCs w:val="16"/>
              </w:rPr>
            </w:pPr>
            <w:r w:rsidRPr="00EA5BA8">
              <w:rPr>
                <w:rFonts w:ascii="Arial Narrow" w:hAnsi="Arial Narrow"/>
                <w:sz w:val="16"/>
                <w:szCs w:val="16"/>
              </w:rPr>
              <w:t xml:space="preserve">not serious </w:t>
            </w:r>
          </w:p>
        </w:tc>
        <w:tc>
          <w:tcPr>
            <w:tcW w:w="375" w:type="pct"/>
            <w:hideMark/>
          </w:tcPr>
          <w:p w14:paraId="732812A1" w14:textId="77777777" w:rsidR="00EA5BA8" w:rsidRPr="00EA5BA8" w:rsidRDefault="00EA5BA8" w:rsidP="005B189A">
            <w:pPr>
              <w:keepNext/>
              <w:keepLines/>
              <w:rPr>
                <w:rFonts w:ascii="Arial Narrow" w:hAnsi="Arial Narrow"/>
                <w:sz w:val="16"/>
                <w:szCs w:val="16"/>
              </w:rPr>
            </w:pPr>
            <w:r w:rsidRPr="00EA5BA8">
              <w:rPr>
                <w:rFonts w:ascii="Arial Narrow" w:hAnsi="Arial Narrow"/>
                <w:sz w:val="16"/>
                <w:szCs w:val="16"/>
              </w:rPr>
              <w:t xml:space="preserve">strong association </w:t>
            </w:r>
          </w:p>
        </w:tc>
        <w:tc>
          <w:tcPr>
            <w:tcW w:w="516" w:type="pct"/>
            <w:hideMark/>
          </w:tcPr>
          <w:p w14:paraId="635FAF1C" w14:textId="77777777" w:rsidR="00EA5BA8" w:rsidRPr="00EA5BA8" w:rsidRDefault="00EA5BA8" w:rsidP="005B189A">
            <w:pPr>
              <w:keepNext/>
              <w:keepLines/>
              <w:rPr>
                <w:rFonts w:ascii="Arial Narrow" w:hAnsi="Arial Narrow"/>
                <w:sz w:val="16"/>
                <w:szCs w:val="16"/>
              </w:rPr>
            </w:pPr>
            <w:r>
              <w:rPr>
                <w:rFonts w:ascii="Arial Narrow" w:hAnsi="Arial Narrow"/>
                <w:sz w:val="16"/>
                <w:szCs w:val="16"/>
              </w:rPr>
              <w:t>NA</w:t>
            </w:r>
          </w:p>
        </w:tc>
        <w:tc>
          <w:tcPr>
            <w:tcW w:w="468" w:type="pct"/>
          </w:tcPr>
          <w:p w14:paraId="68CDB27D" w14:textId="77777777" w:rsidR="00EA5BA8" w:rsidRPr="00EA5BA8" w:rsidRDefault="00EA5BA8" w:rsidP="005B189A">
            <w:pPr>
              <w:keepNext/>
              <w:keepLines/>
              <w:rPr>
                <w:rFonts w:ascii="Arial Narrow" w:hAnsi="Arial Narrow"/>
                <w:sz w:val="16"/>
                <w:szCs w:val="16"/>
              </w:rPr>
            </w:pPr>
            <w:r>
              <w:rPr>
                <w:rFonts w:ascii="Arial Narrow" w:hAnsi="Arial Narrow"/>
                <w:sz w:val="16"/>
                <w:szCs w:val="16"/>
              </w:rPr>
              <w:t>NA</w:t>
            </w:r>
          </w:p>
        </w:tc>
        <w:tc>
          <w:tcPr>
            <w:tcW w:w="611" w:type="pct"/>
          </w:tcPr>
          <w:p w14:paraId="36456623" w14:textId="77777777" w:rsidR="00EA5BA8" w:rsidRDefault="00EA5BA8" w:rsidP="005B189A">
            <w:pPr>
              <w:keepNext/>
              <w:keepLines/>
              <w:jc w:val="left"/>
              <w:rPr>
                <w:rFonts w:ascii="Arial Narrow" w:hAnsi="Arial Narrow"/>
                <w:sz w:val="16"/>
                <w:szCs w:val="16"/>
              </w:rPr>
            </w:pPr>
            <w:r w:rsidRPr="00EA5BA8">
              <w:rPr>
                <w:rFonts w:ascii="Arial Narrow" w:hAnsi="Arial Narrow"/>
                <w:sz w:val="16"/>
                <w:szCs w:val="16"/>
              </w:rPr>
              <w:t>HR 0.6</w:t>
            </w:r>
            <w:r w:rsidR="00C05F0C">
              <w:rPr>
                <w:rFonts w:ascii="Arial Narrow" w:hAnsi="Arial Narrow"/>
                <w:sz w:val="16"/>
                <w:szCs w:val="16"/>
              </w:rPr>
              <w:t xml:space="preserve"> </w:t>
            </w:r>
            <w:r>
              <w:rPr>
                <w:rFonts w:ascii="Arial Narrow" w:hAnsi="Arial Narrow"/>
                <w:sz w:val="16"/>
                <w:szCs w:val="16"/>
              </w:rPr>
              <w:t>(</w:t>
            </w:r>
            <w:r w:rsidRPr="00EA5BA8">
              <w:rPr>
                <w:rFonts w:ascii="Arial Narrow" w:hAnsi="Arial Narrow"/>
                <w:sz w:val="16"/>
                <w:szCs w:val="16"/>
              </w:rPr>
              <w:t>0.4, 1)</w:t>
            </w:r>
          </w:p>
          <w:p w14:paraId="1F6C28CE" w14:textId="77777777" w:rsidR="00EA5BA8" w:rsidRPr="00EA5BA8" w:rsidRDefault="00EA5BA8" w:rsidP="005B189A">
            <w:pPr>
              <w:keepNext/>
              <w:keepLines/>
              <w:jc w:val="left"/>
              <w:rPr>
                <w:rFonts w:ascii="Arial Narrow" w:hAnsi="Arial Narrow"/>
                <w:sz w:val="16"/>
                <w:szCs w:val="16"/>
              </w:rPr>
            </w:pPr>
            <w:r w:rsidRPr="00EA5BA8">
              <w:rPr>
                <w:rFonts w:ascii="Arial Narrow" w:hAnsi="Arial Narrow"/>
                <w:sz w:val="16"/>
                <w:szCs w:val="16"/>
              </w:rPr>
              <w:t>p=0.034</w:t>
            </w:r>
          </w:p>
        </w:tc>
        <w:tc>
          <w:tcPr>
            <w:tcW w:w="421" w:type="pct"/>
            <w:hideMark/>
          </w:tcPr>
          <w:p w14:paraId="13662362" w14:textId="77777777" w:rsidR="00EA5BA8" w:rsidRPr="00EA5BA8" w:rsidRDefault="00C05F0C" w:rsidP="005B189A">
            <w:pPr>
              <w:keepNext/>
              <w:keepLines/>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EA5BA8" w:rsidRPr="00EA5BA8">
              <w:rPr>
                <w:rFonts w:ascii="Arial Narrow" w:hAnsi="Arial Narrow"/>
                <w:sz w:val="16"/>
                <w:szCs w:val="16"/>
              </w:rPr>
              <w:br/>
              <w:t xml:space="preserve">LOW </w:t>
            </w:r>
          </w:p>
        </w:tc>
        <w:tc>
          <w:tcPr>
            <w:tcW w:w="362" w:type="pct"/>
            <w:hideMark/>
          </w:tcPr>
          <w:p w14:paraId="50681116" w14:textId="77777777" w:rsidR="00EA5BA8" w:rsidRPr="00EA5BA8" w:rsidRDefault="00C05F0C" w:rsidP="005B189A">
            <w:pPr>
              <w:keepNext/>
              <w:keepLines/>
              <w:rPr>
                <w:rFonts w:ascii="Arial Narrow" w:hAnsi="Arial Narrow"/>
                <w:sz w:val="16"/>
                <w:szCs w:val="16"/>
              </w:rPr>
            </w:pPr>
            <w:r>
              <w:rPr>
                <w:rFonts w:ascii="Arial Narrow" w:hAnsi="Arial Narrow"/>
                <w:sz w:val="16"/>
                <w:szCs w:val="16"/>
              </w:rPr>
              <w:t>CRITICAL</w:t>
            </w:r>
          </w:p>
        </w:tc>
      </w:tr>
      <w:tr w:rsidR="00EA5BA8" w:rsidRPr="00EA5BA8" w14:paraId="1F4BC5A9" w14:textId="77777777" w:rsidTr="00EA5BA8">
        <w:trPr>
          <w:cantSplit/>
        </w:trPr>
        <w:tc>
          <w:tcPr>
            <w:tcW w:w="5000" w:type="pct"/>
            <w:gridSpan w:val="12"/>
            <w:shd w:val="clear" w:color="auto" w:fill="FFFFFF"/>
            <w:vAlign w:val="center"/>
            <w:hideMark/>
          </w:tcPr>
          <w:p w14:paraId="7ABC27B2" w14:textId="77777777" w:rsidR="00EA5BA8" w:rsidRPr="00EA5BA8" w:rsidRDefault="00EA5BA8" w:rsidP="00EA5BA8">
            <w:pPr>
              <w:rPr>
                <w:rFonts w:ascii="Arial Narrow" w:hAnsi="Arial Narrow"/>
                <w:b/>
                <w:bCs/>
                <w:sz w:val="16"/>
                <w:szCs w:val="16"/>
              </w:rPr>
            </w:pPr>
            <w:r w:rsidRPr="00EA5BA8">
              <w:rPr>
                <w:rFonts w:ascii="Arial Narrow" w:hAnsi="Arial Narrow"/>
                <w:b/>
                <w:bCs/>
                <w:sz w:val="16"/>
                <w:szCs w:val="16"/>
              </w:rPr>
              <w:t>Likelihood of attack (assessed with: AZA compared with interferon beta)</w:t>
            </w:r>
          </w:p>
        </w:tc>
      </w:tr>
      <w:tr w:rsidR="00EA5BA8" w:rsidRPr="00EA5BA8" w14:paraId="14C7ED67" w14:textId="77777777" w:rsidTr="00A257C4">
        <w:trPr>
          <w:cantSplit/>
        </w:trPr>
        <w:tc>
          <w:tcPr>
            <w:tcW w:w="467" w:type="pct"/>
            <w:hideMark/>
          </w:tcPr>
          <w:p w14:paraId="484D571E" w14:textId="77777777" w:rsidR="004F4ACD" w:rsidRDefault="004F4ACD" w:rsidP="004F4ACD">
            <w:pPr>
              <w:keepNext/>
              <w:keepLines/>
              <w:rPr>
                <w:rFonts w:ascii="Arial Narrow" w:hAnsi="Arial Narrow"/>
                <w:sz w:val="16"/>
                <w:szCs w:val="16"/>
              </w:rPr>
            </w:pPr>
            <w:r>
              <w:rPr>
                <w:rFonts w:ascii="Arial Narrow" w:hAnsi="Arial Narrow"/>
                <w:sz w:val="16"/>
                <w:szCs w:val="16"/>
              </w:rPr>
              <w:t>K=</w:t>
            </w:r>
            <w:r w:rsidRPr="00EA5BA8">
              <w:rPr>
                <w:rFonts w:ascii="Arial Narrow" w:hAnsi="Arial Narrow"/>
                <w:sz w:val="16"/>
                <w:szCs w:val="16"/>
              </w:rPr>
              <w:t xml:space="preserve">1 </w:t>
            </w:r>
          </w:p>
          <w:p w14:paraId="38EAB0BF" w14:textId="5A14062B" w:rsidR="00EA5BA8" w:rsidRPr="00EA5BA8" w:rsidRDefault="004F4ACD" w:rsidP="004F4ACD">
            <w:pPr>
              <w:rPr>
                <w:rFonts w:ascii="Arial Narrow" w:hAnsi="Arial Narrow"/>
                <w:sz w:val="16"/>
                <w:szCs w:val="16"/>
              </w:rPr>
            </w:pPr>
            <w:r>
              <w:rPr>
                <w:rFonts w:ascii="Arial Narrow" w:hAnsi="Arial Narrow"/>
                <w:sz w:val="16"/>
                <w:szCs w:val="16"/>
              </w:rPr>
              <w:t>N=127</w:t>
            </w:r>
          </w:p>
        </w:tc>
        <w:tc>
          <w:tcPr>
            <w:tcW w:w="375" w:type="pct"/>
            <w:hideMark/>
          </w:tcPr>
          <w:p w14:paraId="1E8B6CC0"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observational studies </w:t>
            </w:r>
          </w:p>
        </w:tc>
        <w:tc>
          <w:tcPr>
            <w:tcW w:w="328" w:type="pct"/>
            <w:hideMark/>
          </w:tcPr>
          <w:p w14:paraId="65D7C1A9"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serious </w:t>
            </w:r>
            <w:r w:rsidRPr="00EA5BA8">
              <w:rPr>
                <w:rFonts w:ascii="Arial Narrow" w:hAnsi="Arial Narrow"/>
                <w:sz w:val="16"/>
                <w:szCs w:val="16"/>
                <w:vertAlign w:val="superscript"/>
              </w:rPr>
              <w:t>a</w:t>
            </w:r>
          </w:p>
        </w:tc>
        <w:tc>
          <w:tcPr>
            <w:tcW w:w="421" w:type="pct"/>
            <w:hideMark/>
          </w:tcPr>
          <w:p w14:paraId="212D6E47"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not serious </w:t>
            </w:r>
          </w:p>
        </w:tc>
        <w:tc>
          <w:tcPr>
            <w:tcW w:w="328" w:type="pct"/>
            <w:hideMark/>
          </w:tcPr>
          <w:p w14:paraId="66EC5343"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not serious </w:t>
            </w:r>
          </w:p>
        </w:tc>
        <w:tc>
          <w:tcPr>
            <w:tcW w:w="328" w:type="pct"/>
            <w:hideMark/>
          </w:tcPr>
          <w:p w14:paraId="13431765"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not serious </w:t>
            </w:r>
          </w:p>
        </w:tc>
        <w:tc>
          <w:tcPr>
            <w:tcW w:w="375" w:type="pct"/>
            <w:hideMark/>
          </w:tcPr>
          <w:p w14:paraId="0FE5404E"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strong association </w:t>
            </w:r>
          </w:p>
        </w:tc>
        <w:tc>
          <w:tcPr>
            <w:tcW w:w="516" w:type="pct"/>
            <w:hideMark/>
          </w:tcPr>
          <w:p w14:paraId="68E0B62B" w14:textId="77777777" w:rsidR="00EA5BA8" w:rsidRPr="00EA5BA8" w:rsidRDefault="00EA5BA8" w:rsidP="00EA5BA8">
            <w:pPr>
              <w:rPr>
                <w:rFonts w:ascii="Arial Narrow" w:hAnsi="Arial Narrow"/>
                <w:sz w:val="16"/>
                <w:szCs w:val="16"/>
              </w:rPr>
            </w:pPr>
            <w:r>
              <w:rPr>
                <w:rFonts w:ascii="Arial Narrow" w:hAnsi="Arial Narrow"/>
                <w:sz w:val="16"/>
                <w:szCs w:val="16"/>
              </w:rPr>
              <w:t>NA</w:t>
            </w:r>
          </w:p>
        </w:tc>
        <w:tc>
          <w:tcPr>
            <w:tcW w:w="468" w:type="pct"/>
          </w:tcPr>
          <w:p w14:paraId="0FB9748E" w14:textId="77777777" w:rsidR="00EA5BA8" w:rsidRPr="00EA5BA8" w:rsidRDefault="00EA5BA8" w:rsidP="00EA5BA8">
            <w:pPr>
              <w:rPr>
                <w:rFonts w:ascii="Arial Narrow" w:hAnsi="Arial Narrow"/>
                <w:sz w:val="16"/>
                <w:szCs w:val="16"/>
              </w:rPr>
            </w:pPr>
            <w:r>
              <w:rPr>
                <w:rFonts w:ascii="Arial Narrow" w:hAnsi="Arial Narrow"/>
                <w:sz w:val="16"/>
                <w:szCs w:val="16"/>
              </w:rPr>
              <w:t>NA</w:t>
            </w:r>
          </w:p>
        </w:tc>
        <w:tc>
          <w:tcPr>
            <w:tcW w:w="611" w:type="pct"/>
          </w:tcPr>
          <w:p w14:paraId="58B91266" w14:textId="77777777" w:rsidR="00EA5BA8" w:rsidRDefault="00C05F0C" w:rsidP="00EA5BA8">
            <w:pPr>
              <w:jc w:val="left"/>
              <w:rPr>
                <w:rFonts w:ascii="Arial Narrow" w:hAnsi="Arial Narrow"/>
                <w:sz w:val="16"/>
                <w:szCs w:val="16"/>
              </w:rPr>
            </w:pPr>
            <w:r>
              <w:rPr>
                <w:rFonts w:ascii="Arial Narrow" w:hAnsi="Arial Narrow"/>
                <w:sz w:val="16"/>
                <w:szCs w:val="16"/>
              </w:rPr>
              <w:t>HR 0.4 (</w:t>
            </w:r>
            <w:r w:rsidR="00EA5BA8" w:rsidRPr="00EA5BA8">
              <w:rPr>
                <w:rFonts w:ascii="Arial Narrow" w:hAnsi="Arial Narrow"/>
                <w:sz w:val="16"/>
                <w:szCs w:val="16"/>
              </w:rPr>
              <w:t>0.3, 0.7)</w:t>
            </w:r>
          </w:p>
          <w:p w14:paraId="4F03B057" w14:textId="77777777" w:rsidR="00EA5BA8" w:rsidRPr="00EA5BA8" w:rsidRDefault="00EA5BA8" w:rsidP="00EA5BA8">
            <w:pPr>
              <w:jc w:val="left"/>
              <w:rPr>
                <w:rFonts w:ascii="Arial Narrow" w:hAnsi="Arial Narrow"/>
                <w:sz w:val="16"/>
                <w:szCs w:val="16"/>
              </w:rPr>
            </w:pPr>
            <w:r w:rsidRPr="00EA5BA8">
              <w:rPr>
                <w:rFonts w:ascii="Arial Narrow" w:hAnsi="Arial Narrow"/>
                <w:sz w:val="16"/>
                <w:szCs w:val="16"/>
              </w:rPr>
              <w:t>p=0.001</w:t>
            </w:r>
          </w:p>
        </w:tc>
        <w:tc>
          <w:tcPr>
            <w:tcW w:w="421" w:type="pct"/>
            <w:hideMark/>
          </w:tcPr>
          <w:p w14:paraId="5B90D8EA" w14:textId="77777777" w:rsidR="00EA5BA8" w:rsidRPr="00EA5BA8" w:rsidRDefault="00C05F0C" w:rsidP="00EA5BA8">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EA5BA8" w:rsidRPr="00EA5BA8">
              <w:rPr>
                <w:rFonts w:ascii="Arial Narrow" w:hAnsi="Arial Narrow"/>
                <w:sz w:val="16"/>
                <w:szCs w:val="16"/>
              </w:rPr>
              <w:br/>
              <w:t xml:space="preserve">LOW </w:t>
            </w:r>
          </w:p>
        </w:tc>
        <w:tc>
          <w:tcPr>
            <w:tcW w:w="362" w:type="pct"/>
            <w:hideMark/>
          </w:tcPr>
          <w:p w14:paraId="5EDE64A5" w14:textId="77777777" w:rsidR="00EA5BA8" w:rsidRPr="00EA5BA8" w:rsidRDefault="00C05F0C" w:rsidP="00EA5BA8">
            <w:pPr>
              <w:rPr>
                <w:rFonts w:ascii="Arial Narrow" w:hAnsi="Arial Narrow"/>
                <w:sz w:val="16"/>
                <w:szCs w:val="16"/>
              </w:rPr>
            </w:pPr>
            <w:r>
              <w:rPr>
                <w:rFonts w:ascii="Arial Narrow" w:hAnsi="Arial Narrow"/>
                <w:sz w:val="16"/>
                <w:szCs w:val="16"/>
              </w:rPr>
              <w:t>CRITICAL</w:t>
            </w:r>
          </w:p>
        </w:tc>
      </w:tr>
      <w:tr w:rsidR="00EA5BA8" w:rsidRPr="00EA5BA8" w14:paraId="61C136B4" w14:textId="77777777" w:rsidTr="00EA5BA8">
        <w:trPr>
          <w:cantSplit/>
        </w:trPr>
        <w:tc>
          <w:tcPr>
            <w:tcW w:w="5000" w:type="pct"/>
            <w:gridSpan w:val="12"/>
            <w:shd w:val="clear" w:color="auto" w:fill="FFFFFF"/>
            <w:vAlign w:val="center"/>
            <w:hideMark/>
          </w:tcPr>
          <w:p w14:paraId="54EB4BA1" w14:textId="77777777" w:rsidR="00EA5BA8" w:rsidRPr="00EA5BA8" w:rsidRDefault="00EA5BA8" w:rsidP="00EA5BA8">
            <w:pPr>
              <w:rPr>
                <w:rFonts w:ascii="Arial Narrow" w:hAnsi="Arial Narrow"/>
                <w:b/>
                <w:bCs/>
                <w:sz w:val="16"/>
                <w:szCs w:val="16"/>
              </w:rPr>
            </w:pPr>
            <w:r w:rsidRPr="00EA5BA8">
              <w:rPr>
                <w:rFonts w:ascii="Arial Narrow" w:hAnsi="Arial Narrow"/>
                <w:b/>
                <w:bCs/>
                <w:sz w:val="16"/>
                <w:szCs w:val="16"/>
              </w:rPr>
              <w:t>Likelihood of attack (assessed with: GLAT compared with interferon beta)</w:t>
            </w:r>
          </w:p>
        </w:tc>
      </w:tr>
      <w:tr w:rsidR="00EA5BA8" w:rsidRPr="00EA5BA8" w14:paraId="7F920AAD" w14:textId="77777777" w:rsidTr="00A257C4">
        <w:trPr>
          <w:cantSplit/>
        </w:trPr>
        <w:tc>
          <w:tcPr>
            <w:tcW w:w="467" w:type="pct"/>
            <w:hideMark/>
          </w:tcPr>
          <w:p w14:paraId="195F2903" w14:textId="77777777" w:rsidR="004F4ACD" w:rsidRDefault="004F4ACD" w:rsidP="004F4ACD">
            <w:pPr>
              <w:keepNext/>
              <w:keepLines/>
              <w:rPr>
                <w:rFonts w:ascii="Arial Narrow" w:hAnsi="Arial Narrow"/>
                <w:sz w:val="16"/>
                <w:szCs w:val="16"/>
              </w:rPr>
            </w:pPr>
            <w:r>
              <w:rPr>
                <w:rFonts w:ascii="Arial Narrow" w:hAnsi="Arial Narrow"/>
                <w:sz w:val="16"/>
                <w:szCs w:val="16"/>
              </w:rPr>
              <w:t>K=</w:t>
            </w:r>
            <w:r w:rsidRPr="00EA5BA8">
              <w:rPr>
                <w:rFonts w:ascii="Arial Narrow" w:hAnsi="Arial Narrow"/>
                <w:sz w:val="16"/>
                <w:szCs w:val="16"/>
              </w:rPr>
              <w:t xml:space="preserve">1 </w:t>
            </w:r>
          </w:p>
          <w:p w14:paraId="4C5C81B7" w14:textId="72B50B43" w:rsidR="00EA5BA8" w:rsidRPr="00EA5BA8" w:rsidRDefault="004F4ACD" w:rsidP="004F4ACD">
            <w:pPr>
              <w:rPr>
                <w:rFonts w:ascii="Arial Narrow" w:hAnsi="Arial Narrow"/>
                <w:sz w:val="16"/>
                <w:szCs w:val="16"/>
              </w:rPr>
            </w:pPr>
            <w:r>
              <w:rPr>
                <w:rFonts w:ascii="Arial Narrow" w:hAnsi="Arial Narrow"/>
                <w:sz w:val="16"/>
                <w:szCs w:val="16"/>
              </w:rPr>
              <w:t>N=127</w:t>
            </w:r>
          </w:p>
        </w:tc>
        <w:tc>
          <w:tcPr>
            <w:tcW w:w="375" w:type="pct"/>
            <w:hideMark/>
          </w:tcPr>
          <w:p w14:paraId="13E919A8"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observational studies </w:t>
            </w:r>
          </w:p>
        </w:tc>
        <w:tc>
          <w:tcPr>
            <w:tcW w:w="328" w:type="pct"/>
            <w:hideMark/>
          </w:tcPr>
          <w:p w14:paraId="708A0324"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serious </w:t>
            </w:r>
            <w:r w:rsidRPr="00EA5BA8">
              <w:rPr>
                <w:rFonts w:ascii="Arial Narrow" w:hAnsi="Arial Narrow"/>
                <w:sz w:val="16"/>
                <w:szCs w:val="16"/>
                <w:vertAlign w:val="superscript"/>
              </w:rPr>
              <w:t>a</w:t>
            </w:r>
          </w:p>
        </w:tc>
        <w:tc>
          <w:tcPr>
            <w:tcW w:w="421" w:type="pct"/>
            <w:hideMark/>
          </w:tcPr>
          <w:p w14:paraId="79A7765C"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not serious </w:t>
            </w:r>
          </w:p>
        </w:tc>
        <w:tc>
          <w:tcPr>
            <w:tcW w:w="328" w:type="pct"/>
            <w:hideMark/>
          </w:tcPr>
          <w:p w14:paraId="2874920C"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not serious </w:t>
            </w:r>
          </w:p>
        </w:tc>
        <w:tc>
          <w:tcPr>
            <w:tcW w:w="328" w:type="pct"/>
            <w:hideMark/>
          </w:tcPr>
          <w:p w14:paraId="1B139C1F"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not serious </w:t>
            </w:r>
          </w:p>
        </w:tc>
        <w:tc>
          <w:tcPr>
            <w:tcW w:w="375" w:type="pct"/>
            <w:hideMark/>
          </w:tcPr>
          <w:p w14:paraId="5A5908DB"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none </w:t>
            </w:r>
          </w:p>
        </w:tc>
        <w:tc>
          <w:tcPr>
            <w:tcW w:w="516" w:type="pct"/>
            <w:hideMark/>
          </w:tcPr>
          <w:p w14:paraId="24B5B139" w14:textId="77777777" w:rsidR="00EA5BA8" w:rsidRPr="00EA5BA8" w:rsidRDefault="00EA5BA8" w:rsidP="00EA5BA8">
            <w:pPr>
              <w:rPr>
                <w:rFonts w:ascii="Arial Narrow" w:hAnsi="Arial Narrow"/>
                <w:sz w:val="16"/>
                <w:szCs w:val="16"/>
              </w:rPr>
            </w:pPr>
            <w:r>
              <w:rPr>
                <w:rFonts w:ascii="Arial Narrow" w:hAnsi="Arial Narrow"/>
                <w:sz w:val="16"/>
                <w:szCs w:val="16"/>
              </w:rPr>
              <w:t>NA</w:t>
            </w:r>
          </w:p>
        </w:tc>
        <w:tc>
          <w:tcPr>
            <w:tcW w:w="468" w:type="pct"/>
          </w:tcPr>
          <w:p w14:paraId="695C8E41" w14:textId="77777777" w:rsidR="00EA5BA8" w:rsidRPr="00EA5BA8" w:rsidRDefault="00EA5BA8" w:rsidP="00EA5BA8">
            <w:pPr>
              <w:rPr>
                <w:rFonts w:ascii="Arial Narrow" w:hAnsi="Arial Narrow"/>
                <w:sz w:val="16"/>
                <w:szCs w:val="16"/>
              </w:rPr>
            </w:pPr>
            <w:r>
              <w:rPr>
                <w:rFonts w:ascii="Arial Narrow" w:hAnsi="Arial Narrow"/>
                <w:sz w:val="16"/>
                <w:szCs w:val="16"/>
              </w:rPr>
              <w:t>NA</w:t>
            </w:r>
          </w:p>
        </w:tc>
        <w:tc>
          <w:tcPr>
            <w:tcW w:w="611" w:type="pct"/>
          </w:tcPr>
          <w:p w14:paraId="1ECA3672" w14:textId="77777777" w:rsidR="00EA5BA8" w:rsidRDefault="00C05F0C" w:rsidP="00EA5BA8">
            <w:pPr>
              <w:rPr>
                <w:rFonts w:ascii="Arial Narrow" w:hAnsi="Arial Narrow"/>
                <w:sz w:val="16"/>
                <w:szCs w:val="16"/>
              </w:rPr>
            </w:pPr>
            <w:r>
              <w:rPr>
                <w:rFonts w:ascii="Arial Narrow" w:hAnsi="Arial Narrow"/>
                <w:sz w:val="16"/>
                <w:szCs w:val="16"/>
              </w:rPr>
              <w:t>HR 1.5 (</w:t>
            </w:r>
            <w:r w:rsidR="00EA5BA8" w:rsidRPr="00EA5BA8">
              <w:rPr>
                <w:rFonts w:ascii="Arial Narrow" w:hAnsi="Arial Narrow"/>
                <w:sz w:val="16"/>
                <w:szCs w:val="16"/>
              </w:rPr>
              <w:t>0.8, 2.6)</w:t>
            </w:r>
          </w:p>
          <w:p w14:paraId="4E977D4B"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p=0.188</w:t>
            </w:r>
          </w:p>
        </w:tc>
        <w:tc>
          <w:tcPr>
            <w:tcW w:w="421" w:type="pct"/>
            <w:hideMark/>
          </w:tcPr>
          <w:p w14:paraId="24AE83D5" w14:textId="77777777" w:rsidR="00EA5BA8" w:rsidRPr="00EA5BA8" w:rsidRDefault="00C05F0C" w:rsidP="00EA5BA8">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EA5BA8" w:rsidRPr="00EA5BA8">
              <w:rPr>
                <w:rFonts w:ascii="Arial Narrow" w:hAnsi="Arial Narrow"/>
                <w:sz w:val="16"/>
                <w:szCs w:val="16"/>
              </w:rPr>
              <w:br/>
              <w:t xml:space="preserve">VERY LOW </w:t>
            </w:r>
          </w:p>
        </w:tc>
        <w:tc>
          <w:tcPr>
            <w:tcW w:w="362" w:type="pct"/>
            <w:hideMark/>
          </w:tcPr>
          <w:p w14:paraId="56045732" w14:textId="77777777" w:rsidR="00EA5BA8" w:rsidRPr="00EA5BA8" w:rsidRDefault="00C05F0C" w:rsidP="00EA5BA8">
            <w:pPr>
              <w:rPr>
                <w:rFonts w:ascii="Arial Narrow" w:hAnsi="Arial Narrow"/>
                <w:sz w:val="16"/>
                <w:szCs w:val="16"/>
              </w:rPr>
            </w:pPr>
            <w:r>
              <w:rPr>
                <w:rFonts w:ascii="Arial Narrow" w:hAnsi="Arial Narrow"/>
                <w:sz w:val="16"/>
                <w:szCs w:val="16"/>
              </w:rPr>
              <w:t>IMPORTANT</w:t>
            </w:r>
          </w:p>
        </w:tc>
      </w:tr>
      <w:tr w:rsidR="00EA5BA8" w:rsidRPr="00EA5BA8" w14:paraId="317DCB42" w14:textId="77777777" w:rsidTr="00EA5BA8">
        <w:trPr>
          <w:cantSplit/>
        </w:trPr>
        <w:tc>
          <w:tcPr>
            <w:tcW w:w="5000" w:type="pct"/>
            <w:gridSpan w:val="12"/>
            <w:shd w:val="clear" w:color="auto" w:fill="FFFFFF"/>
            <w:vAlign w:val="center"/>
            <w:hideMark/>
          </w:tcPr>
          <w:p w14:paraId="20B0962C" w14:textId="77777777" w:rsidR="00EA5BA8" w:rsidRPr="00EA5BA8" w:rsidRDefault="00EA5BA8" w:rsidP="00EA5BA8">
            <w:pPr>
              <w:rPr>
                <w:rFonts w:ascii="Arial Narrow" w:hAnsi="Arial Narrow"/>
                <w:b/>
                <w:bCs/>
                <w:sz w:val="16"/>
                <w:szCs w:val="16"/>
              </w:rPr>
            </w:pPr>
            <w:r w:rsidRPr="00EA5BA8">
              <w:rPr>
                <w:rFonts w:ascii="Arial Narrow" w:hAnsi="Arial Narrow"/>
                <w:b/>
                <w:bCs/>
                <w:sz w:val="16"/>
                <w:szCs w:val="16"/>
              </w:rPr>
              <w:t>Likelihood of attack (assessed with: Mitox compared with interferon beta)</w:t>
            </w:r>
          </w:p>
        </w:tc>
      </w:tr>
      <w:tr w:rsidR="00EA5BA8" w:rsidRPr="00EA5BA8" w14:paraId="5EE7D2F3" w14:textId="77777777" w:rsidTr="00A257C4">
        <w:trPr>
          <w:cantSplit/>
        </w:trPr>
        <w:tc>
          <w:tcPr>
            <w:tcW w:w="467" w:type="pct"/>
            <w:hideMark/>
          </w:tcPr>
          <w:p w14:paraId="4594C6F5" w14:textId="77777777" w:rsidR="004F4ACD" w:rsidRDefault="004F4ACD" w:rsidP="004F4ACD">
            <w:pPr>
              <w:keepNext/>
              <w:keepLines/>
              <w:rPr>
                <w:rFonts w:ascii="Arial Narrow" w:hAnsi="Arial Narrow"/>
                <w:sz w:val="16"/>
                <w:szCs w:val="16"/>
              </w:rPr>
            </w:pPr>
            <w:r>
              <w:rPr>
                <w:rFonts w:ascii="Arial Narrow" w:hAnsi="Arial Narrow"/>
                <w:sz w:val="16"/>
                <w:szCs w:val="16"/>
              </w:rPr>
              <w:t>K=</w:t>
            </w:r>
            <w:r w:rsidRPr="00EA5BA8">
              <w:rPr>
                <w:rFonts w:ascii="Arial Narrow" w:hAnsi="Arial Narrow"/>
                <w:sz w:val="16"/>
                <w:szCs w:val="16"/>
              </w:rPr>
              <w:t xml:space="preserve">1 </w:t>
            </w:r>
          </w:p>
          <w:p w14:paraId="41EB826F" w14:textId="77A18B81" w:rsidR="00EA5BA8" w:rsidRPr="00EA5BA8" w:rsidRDefault="004F4ACD" w:rsidP="004F4ACD">
            <w:pPr>
              <w:rPr>
                <w:rFonts w:ascii="Arial Narrow" w:hAnsi="Arial Narrow"/>
                <w:sz w:val="16"/>
                <w:szCs w:val="16"/>
              </w:rPr>
            </w:pPr>
            <w:r>
              <w:rPr>
                <w:rFonts w:ascii="Arial Narrow" w:hAnsi="Arial Narrow"/>
                <w:sz w:val="16"/>
                <w:szCs w:val="16"/>
              </w:rPr>
              <w:t>N=127</w:t>
            </w:r>
          </w:p>
        </w:tc>
        <w:tc>
          <w:tcPr>
            <w:tcW w:w="375" w:type="pct"/>
            <w:hideMark/>
          </w:tcPr>
          <w:p w14:paraId="02F7C5E7"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observational studies </w:t>
            </w:r>
          </w:p>
        </w:tc>
        <w:tc>
          <w:tcPr>
            <w:tcW w:w="328" w:type="pct"/>
            <w:hideMark/>
          </w:tcPr>
          <w:p w14:paraId="766FDFC5"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serious </w:t>
            </w:r>
            <w:r w:rsidRPr="00EA5BA8">
              <w:rPr>
                <w:rFonts w:ascii="Arial Narrow" w:hAnsi="Arial Narrow"/>
                <w:sz w:val="16"/>
                <w:szCs w:val="16"/>
                <w:vertAlign w:val="superscript"/>
              </w:rPr>
              <w:t>a</w:t>
            </w:r>
          </w:p>
        </w:tc>
        <w:tc>
          <w:tcPr>
            <w:tcW w:w="421" w:type="pct"/>
            <w:hideMark/>
          </w:tcPr>
          <w:p w14:paraId="3CE872E4"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not serious </w:t>
            </w:r>
          </w:p>
        </w:tc>
        <w:tc>
          <w:tcPr>
            <w:tcW w:w="328" w:type="pct"/>
            <w:hideMark/>
          </w:tcPr>
          <w:p w14:paraId="3C8C7C01"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not serious </w:t>
            </w:r>
          </w:p>
        </w:tc>
        <w:tc>
          <w:tcPr>
            <w:tcW w:w="328" w:type="pct"/>
            <w:hideMark/>
          </w:tcPr>
          <w:p w14:paraId="747E10C5"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not serious </w:t>
            </w:r>
          </w:p>
        </w:tc>
        <w:tc>
          <w:tcPr>
            <w:tcW w:w="375" w:type="pct"/>
            <w:hideMark/>
          </w:tcPr>
          <w:p w14:paraId="235650AD"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 xml:space="preserve">none </w:t>
            </w:r>
          </w:p>
        </w:tc>
        <w:tc>
          <w:tcPr>
            <w:tcW w:w="516" w:type="pct"/>
            <w:hideMark/>
          </w:tcPr>
          <w:p w14:paraId="4161C11C" w14:textId="77777777" w:rsidR="00EA5BA8" w:rsidRPr="00EA5BA8" w:rsidRDefault="00EA5BA8" w:rsidP="00EA5BA8">
            <w:pPr>
              <w:rPr>
                <w:rFonts w:ascii="Arial Narrow" w:hAnsi="Arial Narrow"/>
                <w:sz w:val="16"/>
                <w:szCs w:val="16"/>
              </w:rPr>
            </w:pPr>
            <w:r>
              <w:rPr>
                <w:rFonts w:ascii="Arial Narrow" w:hAnsi="Arial Narrow"/>
                <w:sz w:val="16"/>
                <w:szCs w:val="16"/>
              </w:rPr>
              <w:t>NA</w:t>
            </w:r>
          </w:p>
        </w:tc>
        <w:tc>
          <w:tcPr>
            <w:tcW w:w="468" w:type="pct"/>
          </w:tcPr>
          <w:p w14:paraId="5E3A14DB" w14:textId="77777777" w:rsidR="00EA5BA8" w:rsidRPr="00EA5BA8" w:rsidRDefault="00EA5BA8" w:rsidP="00EA5BA8">
            <w:pPr>
              <w:rPr>
                <w:rFonts w:ascii="Arial Narrow" w:hAnsi="Arial Narrow"/>
                <w:sz w:val="16"/>
                <w:szCs w:val="16"/>
              </w:rPr>
            </w:pPr>
            <w:r>
              <w:rPr>
                <w:rFonts w:ascii="Arial Narrow" w:hAnsi="Arial Narrow"/>
                <w:sz w:val="16"/>
                <w:szCs w:val="16"/>
              </w:rPr>
              <w:t>NA</w:t>
            </w:r>
          </w:p>
        </w:tc>
        <w:tc>
          <w:tcPr>
            <w:tcW w:w="611" w:type="pct"/>
          </w:tcPr>
          <w:p w14:paraId="753EEC8C" w14:textId="77777777" w:rsidR="00EA5BA8" w:rsidRDefault="00C05F0C" w:rsidP="00EA5BA8">
            <w:pPr>
              <w:rPr>
                <w:rFonts w:ascii="Arial Narrow" w:hAnsi="Arial Narrow"/>
                <w:sz w:val="16"/>
                <w:szCs w:val="16"/>
              </w:rPr>
            </w:pPr>
            <w:r>
              <w:rPr>
                <w:rFonts w:ascii="Arial Narrow" w:hAnsi="Arial Narrow"/>
                <w:sz w:val="16"/>
                <w:szCs w:val="16"/>
              </w:rPr>
              <w:t>HR 0.9 (</w:t>
            </w:r>
            <w:r w:rsidR="00EA5BA8" w:rsidRPr="00EA5BA8">
              <w:rPr>
                <w:rFonts w:ascii="Arial Narrow" w:hAnsi="Arial Narrow"/>
                <w:sz w:val="16"/>
                <w:szCs w:val="16"/>
              </w:rPr>
              <w:t>0.5, 1.6)</w:t>
            </w:r>
          </w:p>
          <w:p w14:paraId="0A05B2A5" w14:textId="77777777" w:rsidR="00EA5BA8" w:rsidRPr="00EA5BA8" w:rsidRDefault="00EA5BA8" w:rsidP="00EA5BA8">
            <w:pPr>
              <w:rPr>
                <w:rFonts w:ascii="Arial Narrow" w:hAnsi="Arial Narrow"/>
                <w:sz w:val="16"/>
                <w:szCs w:val="16"/>
              </w:rPr>
            </w:pPr>
            <w:r w:rsidRPr="00EA5BA8">
              <w:rPr>
                <w:rFonts w:ascii="Arial Narrow" w:hAnsi="Arial Narrow"/>
                <w:sz w:val="16"/>
                <w:szCs w:val="16"/>
              </w:rPr>
              <w:t>p=0.639</w:t>
            </w:r>
          </w:p>
        </w:tc>
        <w:tc>
          <w:tcPr>
            <w:tcW w:w="421" w:type="pct"/>
            <w:hideMark/>
          </w:tcPr>
          <w:p w14:paraId="17A31A1E" w14:textId="77777777" w:rsidR="00EA5BA8" w:rsidRPr="00EA5BA8" w:rsidRDefault="00C05F0C" w:rsidP="00EA5BA8">
            <w:pPr>
              <w:rPr>
                <w:rFonts w:ascii="Arial Narrow" w:hAnsi="Arial Narrow"/>
                <w:sz w:val="16"/>
                <w:szCs w:val="16"/>
              </w:rPr>
            </w:pPr>
            <w:r>
              <w:rPr>
                <w:rFonts w:ascii="Cambria Math" w:hAnsi="Cambria Math"/>
                <w:color w:val="00B050"/>
              </w:rPr>
              <w:t>⨁</w:t>
            </w:r>
            <w:r w:rsidRPr="00D4733A">
              <w:rPr>
                <w:rFonts w:ascii="Cambria Math" w:hAnsi="Cambria Math" w:cs="Cambria Math"/>
                <w:color w:val="C00000"/>
              </w:rPr>
              <w:t>⨀⨀⨀</w:t>
            </w:r>
            <w:r w:rsidR="00EA5BA8" w:rsidRPr="00EA5BA8">
              <w:rPr>
                <w:rFonts w:ascii="Arial Narrow" w:hAnsi="Arial Narrow"/>
                <w:sz w:val="16"/>
                <w:szCs w:val="16"/>
              </w:rPr>
              <w:br/>
              <w:t xml:space="preserve">VERY LOW </w:t>
            </w:r>
          </w:p>
        </w:tc>
        <w:tc>
          <w:tcPr>
            <w:tcW w:w="362" w:type="pct"/>
            <w:hideMark/>
          </w:tcPr>
          <w:p w14:paraId="672DB0E3" w14:textId="77777777" w:rsidR="00EA5BA8" w:rsidRPr="00EA5BA8" w:rsidRDefault="00C05F0C" w:rsidP="00EA5BA8">
            <w:pPr>
              <w:rPr>
                <w:rFonts w:ascii="Arial Narrow" w:hAnsi="Arial Narrow"/>
                <w:sz w:val="16"/>
                <w:szCs w:val="16"/>
              </w:rPr>
            </w:pPr>
            <w:r>
              <w:rPr>
                <w:rFonts w:ascii="Arial Narrow" w:hAnsi="Arial Narrow"/>
                <w:sz w:val="16"/>
                <w:szCs w:val="16"/>
              </w:rPr>
              <w:t>IMPORTANT</w:t>
            </w:r>
          </w:p>
        </w:tc>
      </w:tr>
    </w:tbl>
    <w:p w14:paraId="7E948FFC" w14:textId="77777777" w:rsidR="00EA5BA8" w:rsidRPr="00C05F0C" w:rsidRDefault="00C05F0C" w:rsidP="005B189A">
      <w:pPr>
        <w:spacing w:after="80"/>
        <w:rPr>
          <w:rFonts w:ascii="Arial Narrow" w:hAnsi="Arial Narrow"/>
          <w:sz w:val="16"/>
          <w:szCs w:val="16"/>
          <w:lang w:val="en"/>
        </w:rPr>
      </w:pPr>
      <w:r w:rsidRPr="00C05F0C">
        <w:rPr>
          <w:rFonts w:ascii="Arial Narrow" w:hAnsi="Arial Narrow"/>
          <w:bCs/>
          <w:sz w:val="16"/>
          <w:szCs w:val="16"/>
          <w:lang w:val="en"/>
        </w:rPr>
        <w:t>AZA = azathioprine</w:t>
      </w:r>
      <w:r>
        <w:rPr>
          <w:rFonts w:ascii="Arial Narrow" w:hAnsi="Arial Narrow"/>
          <w:bCs/>
          <w:sz w:val="16"/>
          <w:szCs w:val="16"/>
          <w:lang w:val="en"/>
        </w:rPr>
        <w:t xml:space="preserve"> therapy</w:t>
      </w:r>
      <w:r>
        <w:rPr>
          <w:rFonts w:ascii="Arial Narrow" w:hAnsi="Arial Narrow"/>
          <w:b/>
          <w:bCs/>
          <w:sz w:val="16"/>
          <w:szCs w:val="16"/>
          <w:lang w:val="en"/>
        </w:rPr>
        <w:t xml:space="preserve">; </w:t>
      </w:r>
      <w:r w:rsidR="00EA5BA8" w:rsidRPr="00C05F0C">
        <w:rPr>
          <w:rFonts w:ascii="Arial Narrow" w:hAnsi="Arial Narrow"/>
          <w:b/>
          <w:bCs/>
          <w:sz w:val="16"/>
          <w:szCs w:val="16"/>
          <w:lang w:val="en"/>
        </w:rPr>
        <w:t>CI:</w:t>
      </w:r>
      <w:r w:rsidR="00EA5BA8" w:rsidRPr="00C05F0C">
        <w:rPr>
          <w:rFonts w:ascii="Arial Narrow" w:hAnsi="Arial Narrow"/>
          <w:sz w:val="16"/>
          <w:szCs w:val="16"/>
          <w:lang w:val="en"/>
        </w:rPr>
        <w:t xml:space="preserve"> Confidence interval</w:t>
      </w:r>
      <w:r>
        <w:rPr>
          <w:rFonts w:ascii="Arial Narrow" w:hAnsi="Arial Narrow"/>
          <w:sz w:val="16"/>
          <w:szCs w:val="16"/>
          <w:lang w:val="en"/>
        </w:rPr>
        <w:t xml:space="preserve">; GLAT = </w:t>
      </w:r>
      <w:r w:rsidRPr="00C05F0C">
        <w:rPr>
          <w:rFonts w:ascii="Arial Narrow" w:hAnsi="Arial Narrow"/>
          <w:sz w:val="16"/>
          <w:szCs w:val="16"/>
          <w:lang w:val="en"/>
        </w:rPr>
        <w:t>Glatiramer acetate therapy;</w:t>
      </w:r>
      <w:r>
        <w:rPr>
          <w:rFonts w:ascii="Arial Narrow" w:hAnsi="Arial Narrow"/>
          <w:sz w:val="16"/>
          <w:szCs w:val="16"/>
          <w:lang w:val="en"/>
        </w:rPr>
        <w:t xml:space="preserve"> HR = hazard ratio; mitox = </w:t>
      </w:r>
      <w:r w:rsidRPr="00C05F0C">
        <w:rPr>
          <w:rFonts w:ascii="Arial Narrow" w:hAnsi="Arial Narrow"/>
          <w:sz w:val="16"/>
          <w:szCs w:val="16"/>
          <w:lang w:val="en"/>
        </w:rPr>
        <w:t>mitoxantrone;</w:t>
      </w:r>
      <w:r>
        <w:rPr>
          <w:rFonts w:ascii="Arial Narrow" w:hAnsi="Arial Narrow"/>
          <w:sz w:val="16"/>
          <w:szCs w:val="16"/>
          <w:lang w:val="en"/>
        </w:rPr>
        <w:t xml:space="preserve"> MS = multiple sclerosis; NA = not available; NMOSD = neuromyelitis optica spectrum disorder</w:t>
      </w:r>
      <w:r w:rsidR="00761125">
        <w:rPr>
          <w:rFonts w:ascii="Arial Narrow" w:hAnsi="Arial Narrow"/>
          <w:sz w:val="16"/>
          <w:szCs w:val="16"/>
          <w:lang w:val="en"/>
        </w:rPr>
        <w:t>s</w:t>
      </w:r>
      <w:r>
        <w:rPr>
          <w:rFonts w:ascii="Arial Narrow" w:hAnsi="Arial Narrow"/>
          <w:sz w:val="16"/>
          <w:szCs w:val="16"/>
          <w:lang w:val="en"/>
        </w:rPr>
        <w:t>; RTX = rituximab therapy</w:t>
      </w:r>
    </w:p>
    <w:p w14:paraId="2464C357" w14:textId="77777777" w:rsidR="00EA5BA8" w:rsidRPr="00C05F0C" w:rsidRDefault="00EA5BA8" w:rsidP="005B189A">
      <w:pPr>
        <w:spacing w:after="80"/>
        <w:rPr>
          <w:rFonts w:ascii="Arial Narrow" w:hAnsi="Arial Narrow"/>
          <w:b/>
          <w:bCs/>
          <w:sz w:val="16"/>
          <w:szCs w:val="16"/>
          <w:lang w:val="en"/>
        </w:rPr>
      </w:pPr>
      <w:r w:rsidRPr="00C05F0C">
        <w:rPr>
          <w:rFonts w:ascii="Arial Narrow" w:hAnsi="Arial Narrow"/>
          <w:b/>
          <w:bCs/>
          <w:sz w:val="16"/>
          <w:szCs w:val="16"/>
          <w:lang w:val="en"/>
        </w:rPr>
        <w:t>Explanations</w:t>
      </w:r>
    </w:p>
    <w:p w14:paraId="48A69FC5" w14:textId="77777777" w:rsidR="00EA5BA8" w:rsidRPr="00C05F0C" w:rsidRDefault="00EA5BA8" w:rsidP="00EA5BA8">
      <w:pPr>
        <w:rPr>
          <w:rFonts w:ascii="Arial Narrow" w:hAnsi="Arial Narrow"/>
          <w:sz w:val="16"/>
          <w:szCs w:val="16"/>
          <w:lang w:val="en"/>
        </w:rPr>
      </w:pPr>
      <w:r w:rsidRPr="00C05F0C">
        <w:rPr>
          <w:rFonts w:ascii="Arial Narrow" w:hAnsi="Arial Narrow"/>
          <w:sz w:val="16"/>
          <w:szCs w:val="16"/>
          <w:lang w:val="en"/>
        </w:rPr>
        <w:t>a. Retro</w:t>
      </w:r>
      <w:r w:rsidR="00C05F0C" w:rsidRPr="00C05F0C">
        <w:rPr>
          <w:rFonts w:ascii="Arial Narrow" w:hAnsi="Arial Narrow"/>
          <w:sz w:val="16"/>
          <w:szCs w:val="16"/>
          <w:lang w:val="en"/>
        </w:rPr>
        <w:t>s</w:t>
      </w:r>
      <w:r w:rsidRPr="00C05F0C">
        <w:rPr>
          <w:rFonts w:ascii="Arial Narrow" w:hAnsi="Arial Narrow"/>
          <w:sz w:val="16"/>
          <w:szCs w:val="16"/>
          <w:lang w:val="en"/>
        </w:rPr>
        <w:t xml:space="preserve">pective study design at risk of selection bias </w:t>
      </w:r>
    </w:p>
    <w:p w14:paraId="3B4C2720" w14:textId="77777777" w:rsidR="00C05F0C" w:rsidRDefault="00C05F0C" w:rsidP="00C05F0C">
      <w:pPr>
        <w:pStyle w:val="Tablenotes0"/>
        <w:rPr>
          <w:szCs w:val="18"/>
        </w:rPr>
      </w:pPr>
      <w:r w:rsidRPr="005B189A">
        <w:rPr>
          <w:b/>
          <w:szCs w:val="18"/>
        </w:rPr>
        <w:lastRenderedPageBreak/>
        <w:t>GRADE Working Group grades of evidence (Guyatt et al., 2013)</w:t>
      </w:r>
      <w:r w:rsidRPr="005B189A">
        <w:rPr>
          <w:b/>
          <w:szCs w:val="18"/>
        </w:rPr>
        <w:br/>
      </w:r>
      <w:r w:rsidRPr="00D4733A">
        <w:rPr>
          <w:rFonts w:ascii="Cambria Math" w:hAnsi="Cambria Math"/>
          <w:color w:val="00B050"/>
        </w:rPr>
        <w:t>⨁⨁⨁⨁</w:t>
      </w:r>
      <w:r>
        <w:rPr>
          <w:rFonts w:ascii="Cambria Math" w:hAnsi="Cambria Math"/>
          <w:color w:val="00B050"/>
        </w:rPr>
        <w:t xml:space="preserve"> </w:t>
      </w:r>
      <w:r w:rsidRPr="00E10B76">
        <w:rPr>
          <w:b/>
          <w:bCs/>
          <w:szCs w:val="18"/>
        </w:rPr>
        <w:t>High quality:</w:t>
      </w:r>
      <w:r w:rsidRPr="00E10B76">
        <w:rPr>
          <w:szCs w:val="18"/>
        </w:rPr>
        <w:t xml:space="preserve"> </w:t>
      </w:r>
      <w:r>
        <w:rPr>
          <w:szCs w:val="18"/>
        </w:rPr>
        <w:t>We are very confident that the true effect lies close to that of the estimate of effect.</w:t>
      </w:r>
      <w:r w:rsidRPr="00E10B76">
        <w:rPr>
          <w:szCs w:val="18"/>
        </w:rPr>
        <w:t xml:space="preserve"> </w:t>
      </w:r>
      <w:r w:rsidRPr="00E10B76">
        <w:rPr>
          <w:szCs w:val="18"/>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Moderate quality:</w:t>
      </w:r>
      <w:r w:rsidRPr="00E10B76">
        <w:rPr>
          <w:szCs w:val="18"/>
        </w:rPr>
        <w:t xml:space="preserve"> </w:t>
      </w:r>
      <w:r>
        <w:rPr>
          <w:szCs w:val="18"/>
        </w:rPr>
        <w:t xml:space="preserve">We are moderately confident in the effect estimate: The true effect is likely to be close to the estimate of the effect, but there is a possibility that it is substantially different.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Low quality:</w:t>
      </w:r>
      <w:r w:rsidRPr="00E10B76">
        <w:rPr>
          <w:szCs w:val="18"/>
        </w:rPr>
        <w:t xml:space="preserve"> </w:t>
      </w:r>
      <w:r>
        <w:rPr>
          <w:szCs w:val="18"/>
        </w:rPr>
        <w:t>Our confidence in the effect estimate is limited: The true effect may be substantially different from the estimate of the effect.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p>
    <w:p w14:paraId="7385D94E" w14:textId="77777777" w:rsidR="00BD7D63" w:rsidRDefault="00BD7D63" w:rsidP="00BD7D63"/>
    <w:p w14:paraId="70EE67A4" w14:textId="1FA83152" w:rsidR="00700899" w:rsidRPr="000470F1" w:rsidRDefault="00700899" w:rsidP="00700899">
      <w:pPr>
        <w:pStyle w:val="Caption"/>
      </w:pPr>
      <w:bookmarkStart w:id="649" w:name="_Ref33098070"/>
      <w:bookmarkStart w:id="650" w:name="_Toc39580886"/>
      <w:r>
        <w:t xml:space="preserve">Table </w:t>
      </w:r>
      <w:r>
        <w:rPr>
          <w:noProof/>
        </w:rPr>
        <w:fldChar w:fldCharType="begin"/>
      </w:r>
      <w:r>
        <w:rPr>
          <w:noProof/>
        </w:rPr>
        <w:instrText xml:space="preserve"> SEQ Table \* ARABIC </w:instrText>
      </w:r>
      <w:r>
        <w:rPr>
          <w:noProof/>
        </w:rPr>
        <w:fldChar w:fldCharType="separate"/>
      </w:r>
      <w:r w:rsidR="00FA7BCD">
        <w:rPr>
          <w:noProof/>
        </w:rPr>
        <w:t>105</w:t>
      </w:r>
      <w:r>
        <w:rPr>
          <w:noProof/>
        </w:rPr>
        <w:fldChar w:fldCharType="end"/>
      </w:r>
      <w:bookmarkEnd w:id="649"/>
      <w:r>
        <w:tab/>
        <w:t xml:space="preserve">Evidence profile table for the impact of change in management due to </w:t>
      </w:r>
      <w:r w:rsidR="004E2AA7">
        <w:t xml:space="preserve">treatment </w:t>
      </w:r>
      <w:r>
        <w:t xml:space="preserve">compared to </w:t>
      </w:r>
      <w:r w:rsidR="004E2AA7">
        <w:t>no treatment</w:t>
      </w:r>
      <w:r>
        <w:t xml:space="preserve"> for </w:t>
      </w:r>
      <w:r w:rsidR="004E2AA7">
        <w:t>NMOSD patients</w:t>
      </w:r>
      <w:bookmarkEnd w:id="650"/>
      <w:r>
        <w:t xml:space="preserve"> </w:t>
      </w:r>
    </w:p>
    <w:p w14:paraId="050AE469" w14:textId="77777777" w:rsidR="00700899" w:rsidRPr="001E36E9" w:rsidRDefault="00700899" w:rsidP="004E2AA7">
      <w:pPr>
        <w:spacing w:before="160" w:line="140" w:lineRule="atLeast"/>
        <w:jc w:val="left"/>
        <w:rPr>
          <w:rFonts w:ascii="Arial Narrow" w:hAnsi="Arial Narrow" w:cs="Times New Roman"/>
          <w:b/>
          <w:color w:val="000000"/>
          <w:sz w:val="16"/>
          <w:szCs w:val="16"/>
          <w:lang w:val="en"/>
        </w:rPr>
      </w:pPr>
      <w:r w:rsidRPr="001E36E9">
        <w:rPr>
          <w:rFonts w:ascii="Arial Narrow" w:hAnsi="Arial Narrow" w:cs="Times New Roman"/>
          <w:b/>
          <w:bCs/>
          <w:color w:val="000000"/>
          <w:sz w:val="16"/>
          <w:szCs w:val="16"/>
          <w:lang w:val="en"/>
        </w:rPr>
        <w:t>Question</w:t>
      </w:r>
      <w:r w:rsidRPr="001E36E9">
        <w:rPr>
          <w:rFonts w:ascii="Arial Narrow" w:hAnsi="Arial Narrow" w:cs="Times New Roman"/>
          <w:b/>
          <w:color w:val="000000"/>
          <w:sz w:val="16"/>
          <w:szCs w:val="16"/>
          <w:lang w:val="en"/>
        </w:rPr>
        <w:t xml:space="preserve">: </w:t>
      </w:r>
      <w:r w:rsidR="001E36E9" w:rsidRPr="001E36E9">
        <w:rPr>
          <w:rFonts w:ascii="Arial Narrow" w:hAnsi="Arial Narrow" w:cs="Times New Roman"/>
          <w:b/>
          <w:color w:val="000000"/>
          <w:sz w:val="16"/>
          <w:szCs w:val="16"/>
          <w:lang w:val="en"/>
        </w:rPr>
        <w:t>Effectiveness of treatment on</w:t>
      </w:r>
      <w:r w:rsidRPr="001E36E9">
        <w:rPr>
          <w:rFonts w:ascii="Arial Narrow" w:hAnsi="Arial Narrow" w:cs="Times New Roman"/>
          <w:b/>
          <w:color w:val="000000"/>
          <w:sz w:val="16"/>
          <w:szCs w:val="16"/>
          <w:lang w:val="en"/>
        </w:rPr>
        <w:t xml:space="preserve"> NMOSD patients </w:t>
      </w:r>
    </w:p>
    <w:p w14:paraId="0DE93DEE" w14:textId="13EBA0F5" w:rsidR="00700899" w:rsidRPr="001E36E9" w:rsidRDefault="00700899" w:rsidP="00700899">
      <w:pPr>
        <w:spacing w:line="140" w:lineRule="atLeast"/>
        <w:jc w:val="left"/>
        <w:rPr>
          <w:rFonts w:ascii="Arial Narrow" w:hAnsi="Arial Narrow" w:cs="Times New Roman"/>
          <w:color w:val="000000"/>
          <w:sz w:val="16"/>
          <w:szCs w:val="16"/>
          <w:lang w:val="en"/>
        </w:rPr>
      </w:pPr>
      <w:r w:rsidRPr="001E36E9">
        <w:rPr>
          <w:rFonts w:ascii="Arial Narrow" w:hAnsi="Arial Narrow" w:cs="Times New Roman"/>
          <w:b/>
          <w:bCs/>
          <w:color w:val="000000"/>
          <w:sz w:val="16"/>
          <w:szCs w:val="16"/>
          <w:lang w:val="en"/>
        </w:rPr>
        <w:t>Bibliography</w:t>
      </w:r>
      <w:r w:rsidRPr="001E36E9">
        <w:rPr>
          <w:rFonts w:ascii="Arial Narrow" w:hAnsi="Arial Narrow" w:cs="Times New Roman"/>
          <w:color w:val="000000"/>
          <w:sz w:val="16"/>
          <w:szCs w:val="16"/>
          <w:lang w:val="en"/>
        </w:rPr>
        <w:t xml:space="preserve">: </w:t>
      </w:r>
      <w:r w:rsidR="001E4BD1">
        <w:rPr>
          <w:rFonts w:ascii="Arial Narrow" w:hAnsi="Arial Narrow" w:cs="Times New Roman"/>
          <w:color w:val="000000"/>
          <w:sz w:val="16"/>
          <w:szCs w:val="16"/>
          <w:lang w:val="en"/>
        </w:rPr>
        <w:fldChar w:fldCharType="begin">
          <w:fldData xml:space="preserve">PEVuZE5vdGU+PENpdGU+PEF1dGhvcj5Cb25uYW48L0F1dGhvcj48WWVhcj4yMDA5PC9ZZWFyPjxS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</w:fldData>
        </w:fldChar>
      </w:r>
      <w:r w:rsidR="004E3B71">
        <w:rPr>
          <w:rFonts w:ascii="Arial Narrow" w:hAnsi="Arial Narrow" w:cs="Times New Roman"/>
          <w:color w:val="000000"/>
          <w:sz w:val="16"/>
          <w:szCs w:val="16"/>
          <w:lang w:val="en"/>
        </w:rPr>
        <w:instrText xml:space="preserve"> ADDIN EN.CITE </w:instrText>
      </w:r>
      <w:r w:rsidR="004E3B71">
        <w:rPr>
          <w:rFonts w:ascii="Arial Narrow" w:hAnsi="Arial Narrow" w:cs="Times New Roman"/>
          <w:color w:val="000000"/>
          <w:sz w:val="16"/>
          <w:szCs w:val="16"/>
          <w:lang w:val="en"/>
        </w:rPr>
        <w:fldChar w:fldCharType="begin">
          <w:fldData xml:space="preserve">PEVuZE5vdGU+PENpdGU+PEF1dGhvcj5Cb25uYW48L0F1dGhvcj48WWVhcj4yMDA5PC9ZZWFyPjxS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</w:fldData>
        </w:fldChar>
      </w:r>
      <w:r w:rsidR="004E3B71">
        <w:rPr>
          <w:rFonts w:ascii="Arial Narrow" w:hAnsi="Arial Narrow" w:cs="Times New Roman"/>
          <w:color w:val="000000"/>
          <w:sz w:val="16"/>
          <w:szCs w:val="16"/>
          <w:lang w:val="en"/>
        </w:rPr>
        <w:instrText xml:space="preserve"> ADDIN EN.CITE.DATA </w:instrText>
      </w:r>
      <w:r w:rsidR="004E3B71">
        <w:rPr>
          <w:rFonts w:ascii="Arial Narrow" w:hAnsi="Arial Narrow" w:cs="Times New Roman"/>
          <w:color w:val="000000"/>
          <w:sz w:val="16"/>
          <w:szCs w:val="16"/>
          <w:lang w:val="en"/>
        </w:rPr>
      </w:r>
      <w:r w:rsidR="004E3B71">
        <w:rPr>
          <w:rFonts w:ascii="Arial Narrow" w:hAnsi="Arial Narrow" w:cs="Times New Roman"/>
          <w:color w:val="000000"/>
          <w:sz w:val="16"/>
          <w:szCs w:val="16"/>
          <w:lang w:val="en"/>
        </w:rPr>
        <w:fldChar w:fldCharType="end"/>
      </w:r>
      <w:r w:rsidR="001E4BD1">
        <w:rPr>
          <w:rFonts w:ascii="Arial Narrow" w:hAnsi="Arial Narrow" w:cs="Times New Roman"/>
          <w:color w:val="000000"/>
          <w:sz w:val="16"/>
          <w:szCs w:val="16"/>
          <w:lang w:val="en"/>
        </w:rPr>
      </w:r>
      <w:r w:rsidR="001E4BD1">
        <w:rPr>
          <w:rFonts w:ascii="Arial Narrow" w:hAnsi="Arial Narrow" w:cs="Times New Roman"/>
          <w:color w:val="000000"/>
          <w:sz w:val="16"/>
          <w:szCs w:val="16"/>
          <w:lang w:val="en"/>
        </w:rPr>
        <w:fldChar w:fldCharType="separate"/>
      </w:r>
      <w:r w:rsidR="004E3B71">
        <w:rPr>
          <w:rFonts w:ascii="Arial Narrow" w:hAnsi="Arial Narrow" w:cs="Times New Roman"/>
          <w:noProof/>
          <w:color w:val="000000"/>
          <w:sz w:val="16"/>
          <w:szCs w:val="16"/>
          <w:lang w:val="en"/>
        </w:rPr>
        <w:t>(Bonnan, M et al. 2009; M et al. 2009; Pittock et al. 2019)</w:t>
      </w:r>
      <w:r w:rsidR="001E4BD1">
        <w:rPr>
          <w:rFonts w:ascii="Arial Narrow" w:hAnsi="Arial Narrow" w:cs="Times New Roman"/>
          <w:color w:val="000000"/>
          <w:sz w:val="16"/>
          <w:szCs w:val="16"/>
          <w:lang w:val="en"/>
        </w:rPr>
        <w:fldChar w:fldCharType="end"/>
      </w:r>
    </w:p>
    <w:tbl>
      <w:tblPr>
        <w:tblW w:w="5001" w:type="pct"/>
        <w:tblInd w:w="-3"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75" w:type="dxa"/>
          <w:left w:w="75" w:type="dxa"/>
          <w:bottom w:w="75" w:type="dxa"/>
          <w:right w:w="75" w:type="dxa"/>
        </w:tblCellMar>
        <w:tblLook w:val="04A0" w:firstRow="1" w:lastRow="0" w:firstColumn="1" w:lastColumn="0" w:noHBand="0" w:noVBand="1"/>
        <w:tblCaption w:val="Table 105"/>
        <w:tblDescription w:val="Evidence profile table for the impact of change in management due to treatment compared to no treatment for NMOSD patients "/>
      </w:tblPr>
      <w:tblGrid>
        <w:gridCol w:w="1417"/>
        <w:gridCol w:w="992"/>
        <w:gridCol w:w="992"/>
        <w:gridCol w:w="1132"/>
        <w:gridCol w:w="995"/>
        <w:gridCol w:w="992"/>
        <w:gridCol w:w="1092"/>
        <w:gridCol w:w="1216"/>
        <w:gridCol w:w="100"/>
        <w:gridCol w:w="1117"/>
        <w:gridCol w:w="18"/>
        <w:gridCol w:w="1274"/>
        <w:gridCol w:w="1141"/>
        <w:gridCol w:w="1419"/>
        <w:gridCol w:w="1232"/>
      </w:tblGrid>
      <w:tr w:rsidR="000E65B7" w:rsidRPr="000E65B7" w14:paraId="59FDC708" w14:textId="77777777" w:rsidTr="009040D5">
        <w:trPr>
          <w:cantSplit/>
          <w:tblHeader/>
        </w:trPr>
        <w:tc>
          <w:tcPr>
            <w:tcW w:w="2516" w:type="pct"/>
            <w:gridSpan w:val="7"/>
            <w:shd w:val="clear" w:color="auto" w:fill="D0CECE" w:themeFill="background2" w:themeFillShade="E6"/>
            <w:vAlign w:val="center"/>
            <w:hideMark/>
          </w:tcPr>
          <w:p w14:paraId="47F98643" w14:textId="77777777" w:rsidR="00700899" w:rsidRPr="000E65B7" w:rsidRDefault="00700899" w:rsidP="00700899">
            <w:pPr>
              <w:spacing w:line="240" w:lineRule="auto"/>
              <w:jc w:val="center"/>
              <w:rPr>
                <w:rFonts w:ascii="Arial Narrow" w:hAnsi="Arial Narrow" w:cs="Times New Roman"/>
                <w:b/>
                <w:bCs/>
                <w:sz w:val="16"/>
                <w:szCs w:val="16"/>
              </w:rPr>
            </w:pPr>
            <w:r w:rsidRPr="000E65B7">
              <w:rPr>
                <w:rFonts w:ascii="Arial Narrow" w:hAnsi="Arial Narrow" w:cs="Times New Roman"/>
                <w:b/>
                <w:bCs/>
                <w:sz w:val="16"/>
                <w:szCs w:val="16"/>
              </w:rPr>
              <w:t>Certainty assessment</w:t>
            </w:r>
          </w:p>
        </w:tc>
        <w:tc>
          <w:tcPr>
            <w:tcW w:w="810" w:type="pct"/>
            <w:gridSpan w:val="4"/>
            <w:shd w:val="clear" w:color="auto" w:fill="D0CECE" w:themeFill="background2" w:themeFillShade="E6"/>
            <w:vAlign w:val="center"/>
            <w:hideMark/>
          </w:tcPr>
          <w:p w14:paraId="4AA09806" w14:textId="77777777" w:rsidR="00700899" w:rsidRPr="000E65B7" w:rsidRDefault="00700899" w:rsidP="00700899">
            <w:pPr>
              <w:jc w:val="center"/>
              <w:rPr>
                <w:rFonts w:ascii="Arial Narrow" w:hAnsi="Arial Narrow" w:cs="Times New Roman"/>
                <w:b/>
                <w:bCs/>
                <w:sz w:val="16"/>
                <w:szCs w:val="16"/>
              </w:rPr>
            </w:pPr>
            <w:r w:rsidRPr="000E65B7">
              <w:rPr>
                <w:rFonts w:ascii="Arial Narrow" w:hAnsi="Arial Narrow" w:cs="Times New Roman"/>
                <w:b/>
                <w:bCs/>
                <w:sz w:val="16"/>
                <w:szCs w:val="16"/>
              </w:rPr>
              <w:t>№ of patients</w:t>
            </w:r>
          </w:p>
        </w:tc>
        <w:tc>
          <w:tcPr>
            <w:tcW w:w="798" w:type="pct"/>
            <w:gridSpan w:val="2"/>
            <w:shd w:val="clear" w:color="auto" w:fill="D0CECE" w:themeFill="background2" w:themeFillShade="E6"/>
            <w:vAlign w:val="center"/>
            <w:hideMark/>
          </w:tcPr>
          <w:p w14:paraId="0DF4F64C" w14:textId="77777777" w:rsidR="00700899" w:rsidRPr="000E65B7" w:rsidRDefault="00700899" w:rsidP="00700899">
            <w:pPr>
              <w:jc w:val="center"/>
              <w:rPr>
                <w:rFonts w:ascii="Arial Narrow" w:hAnsi="Arial Narrow" w:cs="Times New Roman"/>
                <w:b/>
                <w:bCs/>
                <w:sz w:val="16"/>
                <w:szCs w:val="16"/>
              </w:rPr>
            </w:pPr>
            <w:r w:rsidRPr="000E65B7">
              <w:rPr>
                <w:rFonts w:ascii="Arial Narrow" w:hAnsi="Arial Narrow" w:cs="Times New Roman"/>
                <w:b/>
                <w:bCs/>
                <w:sz w:val="16"/>
                <w:szCs w:val="16"/>
              </w:rPr>
              <w:t>Effect</w:t>
            </w:r>
          </w:p>
        </w:tc>
        <w:tc>
          <w:tcPr>
            <w:tcW w:w="469" w:type="pct"/>
            <w:vMerge w:val="restart"/>
            <w:shd w:val="clear" w:color="auto" w:fill="D0CECE" w:themeFill="background2" w:themeFillShade="E6"/>
            <w:vAlign w:val="center"/>
            <w:hideMark/>
          </w:tcPr>
          <w:p w14:paraId="09998C77" w14:textId="77777777" w:rsidR="00700899" w:rsidRPr="000E65B7" w:rsidRDefault="00700899" w:rsidP="009040D5">
            <w:pPr>
              <w:jc w:val="center"/>
              <w:rPr>
                <w:rFonts w:ascii="Arial Narrow" w:hAnsi="Arial Narrow" w:cs="Times New Roman"/>
                <w:b/>
                <w:bCs/>
                <w:sz w:val="16"/>
                <w:szCs w:val="16"/>
              </w:rPr>
            </w:pPr>
            <w:r w:rsidRPr="000E65B7">
              <w:rPr>
                <w:rFonts w:ascii="Arial Narrow" w:hAnsi="Arial Narrow" w:cs="Times New Roman"/>
                <w:b/>
                <w:bCs/>
                <w:sz w:val="16"/>
                <w:szCs w:val="16"/>
              </w:rPr>
              <w:t>Certainty</w:t>
            </w:r>
          </w:p>
        </w:tc>
        <w:tc>
          <w:tcPr>
            <w:tcW w:w="407" w:type="pct"/>
            <w:vMerge w:val="restart"/>
            <w:shd w:val="clear" w:color="auto" w:fill="D0CECE" w:themeFill="background2" w:themeFillShade="E6"/>
            <w:vAlign w:val="center"/>
            <w:hideMark/>
          </w:tcPr>
          <w:p w14:paraId="62AE7650" w14:textId="77777777" w:rsidR="00700899" w:rsidRPr="000E65B7" w:rsidRDefault="00700899" w:rsidP="009040D5">
            <w:pPr>
              <w:jc w:val="center"/>
              <w:rPr>
                <w:rFonts w:ascii="Arial Narrow" w:hAnsi="Arial Narrow" w:cs="Times New Roman"/>
                <w:b/>
                <w:bCs/>
                <w:sz w:val="16"/>
                <w:szCs w:val="16"/>
              </w:rPr>
            </w:pPr>
            <w:r w:rsidRPr="000E65B7">
              <w:rPr>
                <w:rFonts w:ascii="Arial Narrow" w:hAnsi="Arial Narrow" w:cs="Times New Roman"/>
                <w:b/>
                <w:bCs/>
                <w:sz w:val="16"/>
                <w:szCs w:val="16"/>
              </w:rPr>
              <w:t>Importance</w:t>
            </w:r>
          </w:p>
        </w:tc>
      </w:tr>
      <w:tr w:rsidR="009040D5" w:rsidRPr="000E65B7" w14:paraId="4E351301" w14:textId="77777777" w:rsidTr="006459ED">
        <w:trPr>
          <w:cantSplit/>
          <w:trHeight w:val="589"/>
          <w:tblHeader/>
        </w:trPr>
        <w:tc>
          <w:tcPr>
            <w:tcW w:w="468" w:type="pct"/>
            <w:shd w:val="clear" w:color="auto" w:fill="D0CECE" w:themeFill="background2" w:themeFillShade="E6"/>
            <w:vAlign w:val="center"/>
            <w:hideMark/>
          </w:tcPr>
          <w:p w14:paraId="71E7D87E" w14:textId="77777777" w:rsidR="00700899" w:rsidRDefault="00700899" w:rsidP="006459ED">
            <w:pPr>
              <w:jc w:val="left"/>
              <w:rPr>
                <w:rFonts w:ascii="Arial Narrow" w:hAnsi="Arial Narrow" w:cs="Times New Roman"/>
                <w:b/>
                <w:bCs/>
                <w:sz w:val="16"/>
                <w:szCs w:val="16"/>
              </w:rPr>
            </w:pPr>
            <w:r w:rsidRPr="000E65B7">
              <w:rPr>
                <w:rFonts w:ascii="Arial Narrow" w:hAnsi="Arial Narrow" w:cs="Times New Roman"/>
                <w:b/>
                <w:bCs/>
                <w:sz w:val="16"/>
                <w:szCs w:val="16"/>
              </w:rPr>
              <w:t>№ of studies</w:t>
            </w:r>
            <w:r w:rsidR="004F4ACD">
              <w:rPr>
                <w:rFonts w:ascii="Arial Narrow" w:hAnsi="Arial Narrow" w:cs="Times New Roman"/>
                <w:b/>
                <w:bCs/>
                <w:sz w:val="16"/>
                <w:szCs w:val="16"/>
              </w:rPr>
              <w:t xml:space="preserve"> (K)</w:t>
            </w:r>
          </w:p>
          <w:p w14:paraId="77C9744A" w14:textId="41E5994F" w:rsidR="004F4ACD" w:rsidRPr="000E65B7" w:rsidRDefault="004F4ACD" w:rsidP="006459ED">
            <w:pPr>
              <w:jc w:val="left"/>
              <w:rPr>
                <w:rFonts w:ascii="Arial Narrow" w:hAnsi="Arial Narrow" w:cs="Times New Roman"/>
                <w:b/>
                <w:bCs/>
                <w:sz w:val="16"/>
                <w:szCs w:val="16"/>
              </w:rPr>
            </w:pPr>
            <w:r>
              <w:rPr>
                <w:rFonts w:ascii="Arial Narrow" w:hAnsi="Arial Narrow" w:cs="Times New Roman"/>
                <w:b/>
                <w:bCs/>
                <w:sz w:val="16"/>
                <w:szCs w:val="16"/>
              </w:rPr>
              <w:t>N patients</w:t>
            </w:r>
          </w:p>
        </w:tc>
        <w:tc>
          <w:tcPr>
            <w:tcW w:w="328" w:type="pct"/>
            <w:shd w:val="clear" w:color="auto" w:fill="D0CECE" w:themeFill="background2" w:themeFillShade="E6"/>
            <w:vAlign w:val="center"/>
            <w:hideMark/>
          </w:tcPr>
          <w:p w14:paraId="067F3ACA" w14:textId="77777777" w:rsidR="00700899" w:rsidRPr="000E65B7" w:rsidRDefault="00700899" w:rsidP="006459ED">
            <w:pPr>
              <w:jc w:val="left"/>
              <w:rPr>
                <w:rFonts w:ascii="Arial Narrow" w:hAnsi="Arial Narrow" w:cs="Times New Roman"/>
                <w:b/>
                <w:bCs/>
                <w:sz w:val="16"/>
                <w:szCs w:val="16"/>
              </w:rPr>
            </w:pPr>
            <w:r w:rsidRPr="000E65B7">
              <w:rPr>
                <w:rFonts w:ascii="Arial Narrow" w:hAnsi="Arial Narrow" w:cs="Times New Roman"/>
                <w:b/>
                <w:bCs/>
                <w:sz w:val="16"/>
                <w:szCs w:val="16"/>
              </w:rPr>
              <w:t>Study design</w:t>
            </w:r>
          </w:p>
        </w:tc>
        <w:tc>
          <w:tcPr>
            <w:tcW w:w="328" w:type="pct"/>
            <w:shd w:val="clear" w:color="auto" w:fill="D0CECE" w:themeFill="background2" w:themeFillShade="E6"/>
            <w:vAlign w:val="center"/>
            <w:hideMark/>
          </w:tcPr>
          <w:p w14:paraId="59FF0D41" w14:textId="77777777" w:rsidR="00700899" w:rsidRPr="000E65B7" w:rsidRDefault="00700899" w:rsidP="006459ED">
            <w:pPr>
              <w:jc w:val="left"/>
              <w:rPr>
                <w:rFonts w:ascii="Arial Narrow" w:hAnsi="Arial Narrow" w:cs="Times New Roman"/>
                <w:b/>
                <w:bCs/>
                <w:sz w:val="16"/>
                <w:szCs w:val="16"/>
              </w:rPr>
            </w:pPr>
            <w:r w:rsidRPr="000E65B7">
              <w:rPr>
                <w:rFonts w:ascii="Arial Narrow" w:hAnsi="Arial Narrow" w:cs="Times New Roman"/>
                <w:b/>
                <w:bCs/>
                <w:sz w:val="16"/>
                <w:szCs w:val="16"/>
              </w:rPr>
              <w:t>Risk of bias</w:t>
            </w:r>
          </w:p>
        </w:tc>
        <w:tc>
          <w:tcPr>
            <w:tcW w:w="374" w:type="pct"/>
            <w:shd w:val="clear" w:color="auto" w:fill="D0CECE" w:themeFill="background2" w:themeFillShade="E6"/>
            <w:vAlign w:val="center"/>
            <w:hideMark/>
          </w:tcPr>
          <w:p w14:paraId="28AC6775" w14:textId="77777777" w:rsidR="00700899" w:rsidRPr="000E65B7" w:rsidRDefault="00700899" w:rsidP="006459ED">
            <w:pPr>
              <w:jc w:val="left"/>
              <w:rPr>
                <w:rFonts w:ascii="Arial Narrow" w:hAnsi="Arial Narrow" w:cs="Times New Roman"/>
                <w:b/>
                <w:bCs/>
                <w:sz w:val="16"/>
                <w:szCs w:val="16"/>
              </w:rPr>
            </w:pPr>
            <w:r w:rsidRPr="000E65B7">
              <w:rPr>
                <w:rFonts w:ascii="Arial Narrow" w:hAnsi="Arial Narrow" w:cs="Times New Roman"/>
                <w:b/>
                <w:bCs/>
                <w:sz w:val="16"/>
                <w:szCs w:val="16"/>
              </w:rPr>
              <w:t>Inconsistency</w:t>
            </w:r>
          </w:p>
        </w:tc>
        <w:tc>
          <w:tcPr>
            <w:tcW w:w="329" w:type="pct"/>
            <w:shd w:val="clear" w:color="auto" w:fill="D0CECE" w:themeFill="background2" w:themeFillShade="E6"/>
            <w:vAlign w:val="center"/>
            <w:hideMark/>
          </w:tcPr>
          <w:p w14:paraId="7909BC1B" w14:textId="77777777" w:rsidR="00700899" w:rsidRPr="000E65B7" w:rsidRDefault="00700899" w:rsidP="006459ED">
            <w:pPr>
              <w:jc w:val="left"/>
              <w:rPr>
                <w:rFonts w:ascii="Arial Narrow" w:hAnsi="Arial Narrow" w:cs="Times New Roman"/>
                <w:b/>
                <w:bCs/>
                <w:sz w:val="16"/>
                <w:szCs w:val="16"/>
              </w:rPr>
            </w:pPr>
            <w:r w:rsidRPr="000E65B7">
              <w:rPr>
                <w:rFonts w:ascii="Arial Narrow" w:hAnsi="Arial Narrow" w:cs="Times New Roman"/>
                <w:b/>
                <w:bCs/>
                <w:sz w:val="16"/>
                <w:szCs w:val="16"/>
              </w:rPr>
              <w:t>Indirectness</w:t>
            </w:r>
          </w:p>
        </w:tc>
        <w:tc>
          <w:tcPr>
            <w:tcW w:w="328" w:type="pct"/>
            <w:shd w:val="clear" w:color="auto" w:fill="D0CECE" w:themeFill="background2" w:themeFillShade="E6"/>
            <w:vAlign w:val="center"/>
            <w:hideMark/>
          </w:tcPr>
          <w:p w14:paraId="05825864" w14:textId="77777777" w:rsidR="00700899" w:rsidRPr="000E65B7" w:rsidRDefault="00700899" w:rsidP="006459ED">
            <w:pPr>
              <w:jc w:val="left"/>
              <w:rPr>
                <w:rFonts w:ascii="Arial Narrow" w:hAnsi="Arial Narrow" w:cs="Times New Roman"/>
                <w:b/>
                <w:bCs/>
                <w:sz w:val="16"/>
                <w:szCs w:val="16"/>
              </w:rPr>
            </w:pPr>
            <w:r w:rsidRPr="000E65B7">
              <w:rPr>
                <w:rFonts w:ascii="Arial Narrow" w:hAnsi="Arial Narrow" w:cs="Times New Roman"/>
                <w:b/>
                <w:bCs/>
                <w:sz w:val="16"/>
                <w:szCs w:val="16"/>
              </w:rPr>
              <w:t>Imprecision</w:t>
            </w:r>
          </w:p>
        </w:tc>
        <w:tc>
          <w:tcPr>
            <w:tcW w:w="361" w:type="pct"/>
            <w:shd w:val="clear" w:color="auto" w:fill="D0CECE" w:themeFill="background2" w:themeFillShade="E6"/>
            <w:vAlign w:val="center"/>
            <w:hideMark/>
          </w:tcPr>
          <w:p w14:paraId="74859C1D" w14:textId="77777777" w:rsidR="00700899" w:rsidRPr="000E65B7" w:rsidRDefault="00700899" w:rsidP="006459ED">
            <w:pPr>
              <w:jc w:val="left"/>
              <w:rPr>
                <w:rFonts w:ascii="Arial Narrow" w:hAnsi="Arial Narrow" w:cs="Times New Roman"/>
                <w:b/>
                <w:bCs/>
                <w:sz w:val="16"/>
                <w:szCs w:val="16"/>
              </w:rPr>
            </w:pPr>
            <w:r w:rsidRPr="000E65B7">
              <w:rPr>
                <w:rFonts w:ascii="Arial Narrow" w:hAnsi="Arial Narrow" w:cs="Times New Roman"/>
                <w:b/>
                <w:bCs/>
                <w:sz w:val="16"/>
                <w:szCs w:val="16"/>
              </w:rPr>
              <w:t>Other considerations</w:t>
            </w:r>
          </w:p>
        </w:tc>
        <w:tc>
          <w:tcPr>
            <w:tcW w:w="435" w:type="pct"/>
            <w:gridSpan w:val="2"/>
            <w:shd w:val="clear" w:color="auto" w:fill="D0CECE" w:themeFill="background2" w:themeFillShade="E6"/>
            <w:vAlign w:val="center"/>
            <w:hideMark/>
          </w:tcPr>
          <w:p w14:paraId="44C2EFAF" w14:textId="77777777" w:rsidR="00700899" w:rsidRPr="000E65B7" w:rsidRDefault="000E65B7" w:rsidP="006459ED">
            <w:pPr>
              <w:jc w:val="left"/>
              <w:rPr>
                <w:rFonts w:ascii="Arial Narrow" w:hAnsi="Arial Narrow" w:cs="Times New Roman"/>
                <w:b/>
                <w:bCs/>
                <w:sz w:val="16"/>
                <w:szCs w:val="16"/>
              </w:rPr>
            </w:pPr>
            <w:r>
              <w:rPr>
                <w:rFonts w:ascii="Arial Narrow" w:hAnsi="Arial Narrow" w:cs="Times New Roman"/>
                <w:b/>
                <w:bCs/>
                <w:sz w:val="16"/>
                <w:szCs w:val="16"/>
              </w:rPr>
              <w:t>Treatment</w:t>
            </w:r>
          </w:p>
        </w:tc>
        <w:tc>
          <w:tcPr>
            <w:tcW w:w="375" w:type="pct"/>
            <w:gridSpan w:val="2"/>
            <w:shd w:val="clear" w:color="auto" w:fill="D0CECE" w:themeFill="background2" w:themeFillShade="E6"/>
            <w:vAlign w:val="center"/>
            <w:hideMark/>
          </w:tcPr>
          <w:p w14:paraId="0571DCD4" w14:textId="77777777" w:rsidR="00700899" w:rsidRPr="000E65B7" w:rsidRDefault="000E65B7" w:rsidP="006459ED">
            <w:pPr>
              <w:jc w:val="left"/>
              <w:rPr>
                <w:rFonts w:ascii="Arial Narrow" w:hAnsi="Arial Narrow" w:cs="Times New Roman"/>
                <w:b/>
                <w:bCs/>
                <w:sz w:val="16"/>
                <w:szCs w:val="16"/>
              </w:rPr>
            </w:pPr>
            <w:r>
              <w:rPr>
                <w:rFonts w:ascii="Arial Narrow" w:hAnsi="Arial Narrow" w:cs="Times New Roman"/>
                <w:b/>
                <w:bCs/>
                <w:sz w:val="16"/>
                <w:szCs w:val="16"/>
              </w:rPr>
              <w:t>no treatment</w:t>
            </w:r>
          </w:p>
        </w:tc>
        <w:tc>
          <w:tcPr>
            <w:tcW w:w="421" w:type="pct"/>
            <w:shd w:val="clear" w:color="auto" w:fill="D0CECE" w:themeFill="background2" w:themeFillShade="E6"/>
            <w:vAlign w:val="center"/>
            <w:hideMark/>
          </w:tcPr>
          <w:p w14:paraId="7C3152BB" w14:textId="77777777" w:rsidR="00700899" w:rsidRPr="000E65B7" w:rsidRDefault="00700899" w:rsidP="006459ED">
            <w:pPr>
              <w:jc w:val="left"/>
              <w:rPr>
                <w:rFonts w:ascii="Arial Narrow" w:hAnsi="Arial Narrow" w:cs="Times New Roman"/>
                <w:b/>
                <w:bCs/>
                <w:sz w:val="16"/>
                <w:szCs w:val="16"/>
              </w:rPr>
            </w:pPr>
            <w:r w:rsidRPr="000E65B7">
              <w:rPr>
                <w:rFonts w:ascii="Arial Narrow" w:hAnsi="Arial Narrow" w:cs="Times New Roman"/>
                <w:b/>
                <w:bCs/>
                <w:sz w:val="16"/>
                <w:szCs w:val="16"/>
              </w:rPr>
              <w:t>Relative</w:t>
            </w:r>
            <w:r w:rsidRPr="000E65B7">
              <w:rPr>
                <w:rFonts w:ascii="Arial Narrow" w:hAnsi="Arial Narrow" w:cs="Times New Roman"/>
                <w:b/>
                <w:bCs/>
                <w:sz w:val="16"/>
                <w:szCs w:val="16"/>
              </w:rPr>
              <w:br/>
              <w:t>(95% CI)</w:t>
            </w:r>
          </w:p>
        </w:tc>
        <w:tc>
          <w:tcPr>
            <w:tcW w:w="377" w:type="pct"/>
            <w:shd w:val="clear" w:color="auto" w:fill="D0CECE" w:themeFill="background2" w:themeFillShade="E6"/>
            <w:vAlign w:val="center"/>
            <w:hideMark/>
          </w:tcPr>
          <w:p w14:paraId="0B3FC619" w14:textId="77777777" w:rsidR="00700899" w:rsidRPr="000E65B7" w:rsidRDefault="00700899" w:rsidP="006459ED">
            <w:pPr>
              <w:jc w:val="left"/>
              <w:rPr>
                <w:rFonts w:ascii="Arial Narrow" w:hAnsi="Arial Narrow" w:cs="Times New Roman"/>
                <w:b/>
                <w:bCs/>
                <w:sz w:val="16"/>
                <w:szCs w:val="16"/>
              </w:rPr>
            </w:pPr>
            <w:r w:rsidRPr="000E65B7">
              <w:rPr>
                <w:rFonts w:ascii="Arial Narrow" w:hAnsi="Arial Narrow" w:cs="Times New Roman"/>
                <w:b/>
                <w:bCs/>
                <w:sz w:val="16"/>
                <w:szCs w:val="16"/>
              </w:rPr>
              <w:t>Absolute</w:t>
            </w:r>
            <w:r w:rsidRPr="000E65B7">
              <w:rPr>
                <w:rFonts w:ascii="Arial Narrow" w:hAnsi="Arial Narrow" w:cs="Times New Roman"/>
                <w:b/>
                <w:bCs/>
                <w:sz w:val="16"/>
                <w:szCs w:val="16"/>
              </w:rPr>
              <w:br/>
              <w:t>(95% CI)</w:t>
            </w:r>
          </w:p>
        </w:tc>
        <w:tc>
          <w:tcPr>
            <w:tcW w:w="469" w:type="pct"/>
            <w:vMerge/>
            <w:shd w:val="clear" w:color="auto" w:fill="D0CECE" w:themeFill="background2" w:themeFillShade="E6"/>
            <w:hideMark/>
          </w:tcPr>
          <w:p w14:paraId="289F71CB" w14:textId="77777777" w:rsidR="00700899" w:rsidRPr="000E65B7" w:rsidRDefault="00700899" w:rsidP="006459ED">
            <w:pPr>
              <w:jc w:val="left"/>
              <w:rPr>
                <w:rFonts w:ascii="Arial Narrow" w:hAnsi="Arial Narrow" w:cs="Times New Roman"/>
                <w:b/>
                <w:bCs/>
                <w:sz w:val="16"/>
                <w:szCs w:val="16"/>
              </w:rPr>
            </w:pPr>
          </w:p>
        </w:tc>
        <w:tc>
          <w:tcPr>
            <w:tcW w:w="407" w:type="pct"/>
            <w:vMerge/>
            <w:shd w:val="clear" w:color="auto" w:fill="D0CECE" w:themeFill="background2" w:themeFillShade="E6"/>
            <w:hideMark/>
          </w:tcPr>
          <w:p w14:paraId="07DD41E1" w14:textId="77777777" w:rsidR="00700899" w:rsidRPr="000E65B7" w:rsidRDefault="00700899" w:rsidP="006459ED">
            <w:pPr>
              <w:jc w:val="left"/>
              <w:rPr>
                <w:rFonts w:ascii="Arial Narrow" w:hAnsi="Arial Narrow" w:cs="Times New Roman"/>
                <w:b/>
                <w:bCs/>
                <w:sz w:val="16"/>
                <w:szCs w:val="16"/>
              </w:rPr>
            </w:pPr>
          </w:p>
        </w:tc>
      </w:tr>
      <w:tr w:rsidR="00700899" w:rsidRPr="000E65B7" w14:paraId="202D2B51" w14:textId="77777777" w:rsidTr="009040D5">
        <w:trPr>
          <w:cantSplit/>
        </w:trPr>
        <w:tc>
          <w:tcPr>
            <w:tcW w:w="5000" w:type="pct"/>
            <w:gridSpan w:val="15"/>
            <w:shd w:val="clear" w:color="auto" w:fill="FFFFFF"/>
            <w:hideMark/>
          </w:tcPr>
          <w:p w14:paraId="6526E507" w14:textId="77777777" w:rsidR="00700899" w:rsidRPr="000E65B7" w:rsidRDefault="001E36E9" w:rsidP="009040D5">
            <w:pPr>
              <w:jc w:val="left"/>
              <w:rPr>
                <w:rFonts w:ascii="Arial Narrow" w:hAnsi="Arial Narrow" w:cs="Times New Roman"/>
                <w:b/>
                <w:bCs/>
                <w:color w:val="000000"/>
                <w:sz w:val="16"/>
                <w:szCs w:val="16"/>
              </w:rPr>
            </w:pPr>
            <w:r w:rsidRPr="000E65B7">
              <w:rPr>
                <w:rFonts w:ascii="Arial Narrow" w:hAnsi="Arial Narrow" w:cs="Times New Roman"/>
                <w:b/>
                <w:bCs/>
                <w:color w:val="000000"/>
                <w:sz w:val="16"/>
                <w:szCs w:val="16"/>
              </w:rPr>
              <w:t>PLEX compared with no PLEX (assessed with c</w:t>
            </w:r>
            <w:r w:rsidR="00700899" w:rsidRPr="000E65B7">
              <w:rPr>
                <w:rFonts w:ascii="Arial Narrow" w:hAnsi="Arial Narrow" w:cs="Times New Roman"/>
                <w:b/>
                <w:bCs/>
                <w:color w:val="000000"/>
                <w:sz w:val="16"/>
                <w:szCs w:val="16"/>
              </w:rPr>
              <w:t>hange in EDSS</w:t>
            </w:r>
            <w:r w:rsidRPr="000E65B7">
              <w:rPr>
                <w:rFonts w:ascii="Arial Narrow" w:hAnsi="Arial Narrow" w:cs="Times New Roman"/>
                <w:b/>
                <w:bCs/>
                <w:color w:val="000000"/>
                <w:sz w:val="16"/>
                <w:szCs w:val="16"/>
              </w:rPr>
              <w:t>)</w:t>
            </w:r>
          </w:p>
        </w:tc>
      </w:tr>
      <w:tr w:rsidR="009040D5" w:rsidRPr="000E65B7" w14:paraId="43403996" w14:textId="77777777" w:rsidTr="006459ED">
        <w:trPr>
          <w:cantSplit/>
          <w:trHeight w:val="610"/>
        </w:trPr>
        <w:tc>
          <w:tcPr>
            <w:tcW w:w="468" w:type="pct"/>
            <w:hideMark/>
          </w:tcPr>
          <w:p w14:paraId="4FE3160B" w14:textId="77777777" w:rsidR="000E65B7" w:rsidRDefault="004F4ACD" w:rsidP="006459ED">
            <w:pPr>
              <w:jc w:val="left"/>
              <w:rPr>
                <w:rFonts w:ascii="Arial Narrow" w:hAnsi="Arial Narrow" w:cs="Times New Roman"/>
                <w:sz w:val="16"/>
                <w:szCs w:val="16"/>
              </w:rPr>
            </w:pPr>
            <w:r>
              <w:rPr>
                <w:rFonts w:ascii="Arial Narrow" w:hAnsi="Arial Narrow" w:cs="Times New Roman"/>
                <w:sz w:val="16"/>
                <w:szCs w:val="16"/>
              </w:rPr>
              <w:t>K=</w:t>
            </w:r>
            <w:r w:rsidR="000E65B7" w:rsidRPr="000E65B7">
              <w:rPr>
                <w:rFonts w:ascii="Arial Narrow" w:hAnsi="Arial Narrow" w:cs="Times New Roman"/>
                <w:sz w:val="16"/>
                <w:szCs w:val="16"/>
              </w:rPr>
              <w:t xml:space="preserve">1 </w:t>
            </w:r>
          </w:p>
          <w:p w14:paraId="7FE379DF" w14:textId="0A81686C" w:rsidR="004F4ACD" w:rsidRPr="000E65B7" w:rsidRDefault="004F4ACD" w:rsidP="006459ED">
            <w:pPr>
              <w:jc w:val="left"/>
              <w:rPr>
                <w:rFonts w:ascii="Arial Narrow" w:hAnsi="Arial Narrow" w:cs="Times New Roman"/>
                <w:sz w:val="16"/>
                <w:szCs w:val="16"/>
              </w:rPr>
            </w:pPr>
            <w:r>
              <w:rPr>
                <w:rFonts w:ascii="Arial Narrow" w:hAnsi="Arial Narrow" w:cs="Times New Roman"/>
                <w:sz w:val="16"/>
                <w:szCs w:val="16"/>
              </w:rPr>
              <w:t>N=96</w:t>
            </w:r>
          </w:p>
        </w:tc>
        <w:tc>
          <w:tcPr>
            <w:tcW w:w="328" w:type="pct"/>
            <w:hideMark/>
          </w:tcPr>
          <w:p w14:paraId="54C749BC" w14:textId="77777777" w:rsidR="000E65B7" w:rsidRPr="000E65B7" w:rsidRDefault="000E65B7" w:rsidP="006459ED">
            <w:pPr>
              <w:jc w:val="left"/>
              <w:rPr>
                <w:rFonts w:ascii="Arial Narrow" w:hAnsi="Arial Narrow" w:cs="Times New Roman"/>
                <w:sz w:val="16"/>
                <w:szCs w:val="16"/>
              </w:rPr>
            </w:pPr>
            <w:r w:rsidRPr="000E65B7">
              <w:rPr>
                <w:rFonts w:ascii="Arial Narrow" w:hAnsi="Arial Narrow" w:cs="Times New Roman"/>
                <w:sz w:val="16"/>
                <w:szCs w:val="16"/>
              </w:rPr>
              <w:t xml:space="preserve">observational studies </w:t>
            </w:r>
          </w:p>
        </w:tc>
        <w:tc>
          <w:tcPr>
            <w:tcW w:w="328" w:type="pct"/>
            <w:hideMark/>
          </w:tcPr>
          <w:p w14:paraId="7C649686" w14:textId="77777777" w:rsidR="000E65B7" w:rsidRPr="000E65B7" w:rsidRDefault="000E65B7" w:rsidP="006459ED">
            <w:pPr>
              <w:jc w:val="left"/>
              <w:rPr>
                <w:rFonts w:ascii="Arial Narrow" w:hAnsi="Arial Narrow" w:cs="Times New Roman"/>
                <w:sz w:val="16"/>
                <w:szCs w:val="16"/>
              </w:rPr>
            </w:pPr>
            <w:r w:rsidRPr="000E65B7">
              <w:rPr>
                <w:rFonts w:ascii="Arial Narrow" w:hAnsi="Arial Narrow" w:cs="Times New Roman"/>
                <w:sz w:val="16"/>
                <w:szCs w:val="16"/>
              </w:rPr>
              <w:t xml:space="preserve">serious </w:t>
            </w:r>
            <w:r w:rsidRPr="000E65B7">
              <w:rPr>
                <w:rFonts w:ascii="Arial Narrow" w:hAnsi="Arial Narrow" w:cs="Times New Roman"/>
                <w:sz w:val="16"/>
                <w:szCs w:val="16"/>
                <w:vertAlign w:val="superscript"/>
              </w:rPr>
              <w:t>a</w:t>
            </w:r>
          </w:p>
        </w:tc>
        <w:tc>
          <w:tcPr>
            <w:tcW w:w="374" w:type="pct"/>
            <w:hideMark/>
          </w:tcPr>
          <w:p w14:paraId="39EF7BBB" w14:textId="77777777" w:rsidR="000E65B7" w:rsidRPr="000E65B7" w:rsidRDefault="000E65B7" w:rsidP="006459ED">
            <w:pPr>
              <w:jc w:val="left"/>
              <w:rPr>
                <w:rFonts w:ascii="Arial Narrow" w:hAnsi="Arial Narrow" w:cs="Times New Roman"/>
                <w:sz w:val="16"/>
                <w:szCs w:val="16"/>
              </w:rPr>
            </w:pPr>
            <w:r w:rsidRPr="000E65B7">
              <w:rPr>
                <w:rFonts w:ascii="Arial Narrow" w:hAnsi="Arial Narrow" w:cs="Times New Roman"/>
                <w:sz w:val="16"/>
                <w:szCs w:val="16"/>
              </w:rPr>
              <w:t xml:space="preserve">not serious </w:t>
            </w:r>
          </w:p>
        </w:tc>
        <w:tc>
          <w:tcPr>
            <w:tcW w:w="329" w:type="pct"/>
            <w:hideMark/>
          </w:tcPr>
          <w:p w14:paraId="336A81E3" w14:textId="77777777" w:rsidR="000E65B7" w:rsidRPr="000E65B7" w:rsidRDefault="000E65B7" w:rsidP="006459ED">
            <w:pPr>
              <w:jc w:val="left"/>
              <w:rPr>
                <w:rFonts w:ascii="Arial Narrow" w:hAnsi="Arial Narrow" w:cs="Times New Roman"/>
                <w:sz w:val="16"/>
                <w:szCs w:val="16"/>
              </w:rPr>
            </w:pPr>
            <w:r w:rsidRPr="000E65B7">
              <w:rPr>
                <w:rFonts w:ascii="Arial Narrow" w:hAnsi="Arial Narrow" w:cs="Times New Roman"/>
                <w:sz w:val="16"/>
                <w:szCs w:val="16"/>
              </w:rPr>
              <w:t xml:space="preserve">not serious </w:t>
            </w:r>
          </w:p>
        </w:tc>
        <w:tc>
          <w:tcPr>
            <w:tcW w:w="328" w:type="pct"/>
            <w:hideMark/>
          </w:tcPr>
          <w:p w14:paraId="1805A9D9" w14:textId="77777777" w:rsidR="000E65B7" w:rsidRPr="000E65B7" w:rsidRDefault="000E65B7" w:rsidP="006459ED">
            <w:pPr>
              <w:jc w:val="left"/>
              <w:rPr>
                <w:rFonts w:ascii="Arial Narrow" w:hAnsi="Arial Narrow" w:cs="Times New Roman"/>
                <w:sz w:val="16"/>
                <w:szCs w:val="16"/>
              </w:rPr>
            </w:pPr>
            <w:r w:rsidRPr="000E65B7">
              <w:rPr>
                <w:rFonts w:ascii="Arial Narrow" w:hAnsi="Arial Narrow" w:cs="Times New Roman"/>
                <w:sz w:val="16"/>
                <w:szCs w:val="16"/>
              </w:rPr>
              <w:t xml:space="preserve">not serious </w:t>
            </w:r>
          </w:p>
        </w:tc>
        <w:tc>
          <w:tcPr>
            <w:tcW w:w="361" w:type="pct"/>
            <w:hideMark/>
          </w:tcPr>
          <w:p w14:paraId="2C51AF24" w14:textId="77777777" w:rsidR="000E65B7" w:rsidRPr="000E65B7" w:rsidRDefault="000E65B7" w:rsidP="006459ED">
            <w:pPr>
              <w:jc w:val="left"/>
              <w:rPr>
                <w:rFonts w:ascii="Arial Narrow" w:hAnsi="Arial Narrow" w:cs="Times New Roman"/>
                <w:sz w:val="16"/>
                <w:szCs w:val="16"/>
              </w:rPr>
            </w:pPr>
            <w:r w:rsidRPr="000E65B7">
              <w:rPr>
                <w:rFonts w:ascii="Arial Narrow" w:hAnsi="Arial Narrow" w:cs="Times New Roman"/>
                <w:sz w:val="16"/>
                <w:szCs w:val="16"/>
              </w:rPr>
              <w:t xml:space="preserve">strong association </w:t>
            </w:r>
          </w:p>
        </w:tc>
        <w:tc>
          <w:tcPr>
            <w:tcW w:w="435" w:type="pct"/>
            <w:gridSpan w:val="2"/>
            <w:hideMark/>
          </w:tcPr>
          <w:p w14:paraId="54B8D297" w14:textId="77777777" w:rsidR="000E65B7" w:rsidRPr="000E65B7" w:rsidRDefault="000E65B7" w:rsidP="006459ED">
            <w:pPr>
              <w:jc w:val="left"/>
              <w:rPr>
                <w:rFonts w:ascii="Arial Narrow" w:hAnsi="Arial Narrow" w:cs="Times New Roman"/>
                <w:sz w:val="16"/>
                <w:szCs w:val="16"/>
              </w:rPr>
            </w:pPr>
            <w:r w:rsidRPr="000E65B7">
              <w:rPr>
                <w:rFonts w:ascii="Arial Narrow" w:hAnsi="Arial Narrow" w:cs="Times New Roman"/>
                <w:sz w:val="16"/>
                <w:szCs w:val="16"/>
              </w:rPr>
              <w:t>1.2 (SD 1.6)</w:t>
            </w:r>
          </w:p>
        </w:tc>
        <w:tc>
          <w:tcPr>
            <w:tcW w:w="375" w:type="pct"/>
            <w:gridSpan w:val="2"/>
          </w:tcPr>
          <w:p w14:paraId="5173D4E1" w14:textId="77777777" w:rsidR="000E65B7" w:rsidRPr="000E65B7" w:rsidRDefault="000E65B7" w:rsidP="006459ED">
            <w:pPr>
              <w:jc w:val="left"/>
              <w:rPr>
                <w:rFonts w:ascii="Arial Narrow" w:hAnsi="Arial Narrow" w:cs="Times New Roman"/>
                <w:sz w:val="16"/>
                <w:szCs w:val="16"/>
              </w:rPr>
            </w:pPr>
            <w:r w:rsidRPr="000E65B7">
              <w:rPr>
                <w:rFonts w:ascii="Arial Narrow" w:hAnsi="Arial Narrow" w:cs="Times New Roman"/>
                <w:sz w:val="16"/>
                <w:szCs w:val="16"/>
              </w:rPr>
              <w:t>2.6 (SD 2.4)</w:t>
            </w:r>
          </w:p>
        </w:tc>
        <w:tc>
          <w:tcPr>
            <w:tcW w:w="421" w:type="pct"/>
          </w:tcPr>
          <w:p w14:paraId="63BA9666" w14:textId="77777777" w:rsidR="000E65B7" w:rsidRPr="000E65B7" w:rsidRDefault="000E65B7" w:rsidP="006459ED">
            <w:pPr>
              <w:jc w:val="left"/>
              <w:rPr>
                <w:rFonts w:ascii="Arial Narrow" w:hAnsi="Arial Narrow" w:cs="Times New Roman"/>
                <w:sz w:val="16"/>
                <w:szCs w:val="16"/>
              </w:rPr>
            </w:pPr>
            <w:r>
              <w:rPr>
                <w:rFonts w:ascii="Arial Narrow" w:hAnsi="Arial Narrow" w:cs="Times New Roman"/>
                <w:sz w:val="16"/>
                <w:szCs w:val="16"/>
              </w:rPr>
              <w:t>NA</w:t>
            </w:r>
          </w:p>
        </w:tc>
        <w:tc>
          <w:tcPr>
            <w:tcW w:w="377" w:type="pct"/>
          </w:tcPr>
          <w:p w14:paraId="0828BF05" w14:textId="77777777" w:rsidR="000E65B7" w:rsidRPr="000E65B7" w:rsidRDefault="000E65B7" w:rsidP="006459ED">
            <w:pPr>
              <w:jc w:val="left"/>
              <w:rPr>
                <w:rFonts w:ascii="Arial Narrow" w:hAnsi="Arial Narrow" w:cs="Times New Roman"/>
                <w:sz w:val="16"/>
                <w:szCs w:val="16"/>
              </w:rPr>
            </w:pPr>
            <w:r>
              <w:rPr>
                <w:rFonts w:ascii="Arial Narrow" w:hAnsi="Arial Narrow" w:cs="Times New Roman"/>
                <w:sz w:val="16"/>
                <w:szCs w:val="16"/>
              </w:rPr>
              <w:t>P&lt;0.01</w:t>
            </w:r>
          </w:p>
        </w:tc>
        <w:tc>
          <w:tcPr>
            <w:tcW w:w="469" w:type="pct"/>
            <w:hideMark/>
          </w:tcPr>
          <w:p w14:paraId="1E34CEE0" w14:textId="77777777" w:rsidR="000E65B7" w:rsidRPr="000E65B7" w:rsidRDefault="005B189A" w:rsidP="006459ED">
            <w:pPr>
              <w:jc w:val="left"/>
              <w:rPr>
                <w:rFonts w:ascii="Arial Narrow" w:hAnsi="Arial Narrow" w:cs="Times New Roman"/>
                <w:sz w:val="16"/>
                <w:szCs w:val="16"/>
              </w:rPr>
            </w:pPr>
            <w:r>
              <w:rPr>
                <w:rFonts w:ascii="Cambria Math" w:hAnsi="Cambria Math"/>
                <w:color w:val="00B050"/>
              </w:rPr>
              <w:t>⨁⨁</w:t>
            </w:r>
            <w:r w:rsidRPr="00D4733A">
              <w:rPr>
                <w:rFonts w:ascii="Cambria Math" w:hAnsi="Cambria Math" w:cs="Cambria Math"/>
                <w:color w:val="C00000"/>
              </w:rPr>
              <w:t>⨀⨀</w:t>
            </w:r>
            <w:r w:rsidR="000E65B7" w:rsidRPr="000E65B7">
              <w:rPr>
                <w:rFonts w:ascii="Arial Narrow" w:hAnsi="Arial Narrow" w:cs="Times New Roman"/>
                <w:sz w:val="16"/>
                <w:szCs w:val="16"/>
              </w:rPr>
              <w:br/>
              <w:t xml:space="preserve">LOW </w:t>
            </w:r>
          </w:p>
        </w:tc>
        <w:tc>
          <w:tcPr>
            <w:tcW w:w="407" w:type="pct"/>
            <w:hideMark/>
          </w:tcPr>
          <w:p w14:paraId="6AF139B8" w14:textId="77777777" w:rsidR="000E65B7" w:rsidRPr="000E65B7" w:rsidRDefault="009040D5" w:rsidP="006459ED">
            <w:pPr>
              <w:jc w:val="left"/>
              <w:rPr>
                <w:rFonts w:ascii="Arial Narrow" w:hAnsi="Arial Narrow" w:cs="Times New Roman"/>
                <w:sz w:val="16"/>
                <w:szCs w:val="16"/>
              </w:rPr>
            </w:pPr>
            <w:r>
              <w:rPr>
                <w:rFonts w:ascii="Arial Narrow" w:hAnsi="Arial Narrow" w:cs="Times New Roman"/>
                <w:sz w:val="16"/>
                <w:szCs w:val="16"/>
              </w:rPr>
              <w:t>CRITICAL</w:t>
            </w:r>
          </w:p>
        </w:tc>
      </w:tr>
      <w:tr w:rsidR="001E36E9" w:rsidRPr="000E65B7" w14:paraId="7261E523" w14:textId="77777777" w:rsidTr="009040D5">
        <w:trPr>
          <w:cantSplit/>
        </w:trPr>
        <w:tc>
          <w:tcPr>
            <w:tcW w:w="5000" w:type="pct"/>
            <w:gridSpan w:val="15"/>
            <w:shd w:val="clear" w:color="auto" w:fill="FFFFFF"/>
            <w:hideMark/>
          </w:tcPr>
          <w:p w14:paraId="11EDFF25" w14:textId="77777777" w:rsidR="001E36E9" w:rsidRPr="000E65B7" w:rsidRDefault="001E36E9" w:rsidP="009040D5">
            <w:pPr>
              <w:jc w:val="left"/>
              <w:rPr>
                <w:rFonts w:ascii="Arial Narrow" w:hAnsi="Arial Narrow"/>
                <w:b/>
                <w:bCs/>
                <w:color w:val="000000"/>
                <w:sz w:val="16"/>
                <w:szCs w:val="16"/>
              </w:rPr>
            </w:pPr>
            <w:r w:rsidRPr="000E65B7">
              <w:rPr>
                <w:rStyle w:val="label"/>
                <w:rFonts w:ascii="Arial Narrow" w:hAnsi="Arial Narrow"/>
                <w:b/>
                <w:bCs/>
                <w:color w:val="000000"/>
                <w:sz w:val="16"/>
                <w:szCs w:val="16"/>
              </w:rPr>
              <w:t xml:space="preserve">RTX compared with no RTX (assessed with </w:t>
            </w:r>
            <w:r w:rsidR="000E65B7">
              <w:rPr>
                <w:rStyle w:val="label"/>
                <w:rFonts w:ascii="Arial Narrow" w:hAnsi="Arial Narrow"/>
                <w:b/>
                <w:bCs/>
                <w:color w:val="000000"/>
                <w:sz w:val="16"/>
                <w:szCs w:val="16"/>
              </w:rPr>
              <w:t>weighted mean difference</w:t>
            </w:r>
            <w:r w:rsidRPr="000E65B7">
              <w:rPr>
                <w:rStyle w:val="label"/>
                <w:rFonts w:ascii="Arial Narrow" w:hAnsi="Arial Narrow"/>
                <w:b/>
                <w:bCs/>
                <w:color w:val="000000"/>
                <w:sz w:val="16"/>
                <w:szCs w:val="16"/>
              </w:rPr>
              <w:t xml:space="preserve"> in EDSS)</w:t>
            </w:r>
          </w:p>
        </w:tc>
      </w:tr>
      <w:tr w:rsidR="009040D5" w:rsidRPr="000E65B7" w14:paraId="1F97A446" w14:textId="77777777" w:rsidTr="006459ED">
        <w:trPr>
          <w:cantSplit/>
          <w:trHeight w:val="785"/>
        </w:trPr>
        <w:tc>
          <w:tcPr>
            <w:tcW w:w="468" w:type="pct"/>
            <w:hideMark/>
          </w:tcPr>
          <w:p w14:paraId="72CAFC79" w14:textId="77777777" w:rsidR="000E65B7" w:rsidRDefault="004F4ACD" w:rsidP="006459ED">
            <w:pPr>
              <w:jc w:val="left"/>
              <w:rPr>
                <w:rFonts w:ascii="Arial Narrow" w:hAnsi="Arial Narrow"/>
                <w:sz w:val="16"/>
                <w:szCs w:val="16"/>
              </w:rPr>
            </w:pPr>
            <w:r>
              <w:rPr>
                <w:rFonts w:ascii="Arial Narrow" w:hAnsi="Arial Narrow"/>
                <w:sz w:val="16"/>
                <w:szCs w:val="16"/>
              </w:rPr>
              <w:t>K=</w:t>
            </w:r>
            <w:r w:rsidR="000E65B7" w:rsidRPr="000E65B7">
              <w:rPr>
                <w:rFonts w:ascii="Arial Narrow" w:hAnsi="Arial Narrow"/>
                <w:sz w:val="16"/>
                <w:szCs w:val="16"/>
              </w:rPr>
              <w:t xml:space="preserve">22 </w:t>
            </w:r>
          </w:p>
          <w:p w14:paraId="30A0607C" w14:textId="6E076219" w:rsidR="004F4ACD" w:rsidRPr="000E65B7" w:rsidRDefault="006459ED" w:rsidP="006459ED">
            <w:pPr>
              <w:jc w:val="left"/>
              <w:rPr>
                <w:rFonts w:ascii="Arial Narrow" w:hAnsi="Arial Narrow"/>
                <w:sz w:val="16"/>
                <w:szCs w:val="16"/>
              </w:rPr>
            </w:pPr>
            <w:r>
              <w:rPr>
                <w:rFonts w:ascii="Arial Narrow" w:hAnsi="Arial Narrow"/>
                <w:sz w:val="16"/>
                <w:szCs w:val="16"/>
              </w:rPr>
              <w:t>N=531</w:t>
            </w:r>
          </w:p>
        </w:tc>
        <w:tc>
          <w:tcPr>
            <w:tcW w:w="328" w:type="pct"/>
            <w:hideMark/>
          </w:tcPr>
          <w:p w14:paraId="13A236C3"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observational studies </w:t>
            </w:r>
          </w:p>
        </w:tc>
        <w:tc>
          <w:tcPr>
            <w:tcW w:w="328" w:type="pct"/>
            <w:hideMark/>
          </w:tcPr>
          <w:p w14:paraId="511B95C7"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serious </w:t>
            </w:r>
            <w:r w:rsidRPr="000E65B7">
              <w:rPr>
                <w:rFonts w:ascii="Arial Narrow" w:hAnsi="Arial Narrow"/>
                <w:sz w:val="16"/>
                <w:szCs w:val="16"/>
                <w:vertAlign w:val="superscript"/>
              </w:rPr>
              <w:t>a</w:t>
            </w:r>
          </w:p>
        </w:tc>
        <w:tc>
          <w:tcPr>
            <w:tcW w:w="374" w:type="pct"/>
            <w:hideMark/>
          </w:tcPr>
          <w:p w14:paraId="2A4DE350"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29" w:type="pct"/>
            <w:hideMark/>
          </w:tcPr>
          <w:p w14:paraId="09163CBF"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28" w:type="pct"/>
            <w:hideMark/>
          </w:tcPr>
          <w:p w14:paraId="35252635"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61" w:type="pct"/>
            <w:hideMark/>
          </w:tcPr>
          <w:p w14:paraId="6D378948"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very strong association </w:t>
            </w:r>
          </w:p>
        </w:tc>
        <w:tc>
          <w:tcPr>
            <w:tcW w:w="435" w:type="pct"/>
            <w:gridSpan w:val="2"/>
            <w:hideMark/>
          </w:tcPr>
          <w:p w14:paraId="069A7AAF" w14:textId="77777777" w:rsidR="000E65B7" w:rsidRPr="000E65B7" w:rsidRDefault="000E65B7" w:rsidP="006459ED">
            <w:pPr>
              <w:jc w:val="left"/>
              <w:rPr>
                <w:rFonts w:ascii="Arial Narrow" w:hAnsi="Arial Narrow"/>
                <w:sz w:val="16"/>
                <w:szCs w:val="16"/>
              </w:rPr>
            </w:pPr>
            <w:r>
              <w:rPr>
                <w:rFonts w:ascii="Arial Narrow" w:hAnsi="Arial Narrow"/>
                <w:sz w:val="16"/>
                <w:szCs w:val="16"/>
              </w:rPr>
              <w:t>NA</w:t>
            </w:r>
            <w:r w:rsidRPr="000E65B7">
              <w:rPr>
                <w:rFonts w:ascii="Arial Narrow" w:hAnsi="Arial Narrow"/>
                <w:sz w:val="16"/>
                <w:szCs w:val="16"/>
              </w:rPr>
              <w:t xml:space="preserve"> </w:t>
            </w:r>
          </w:p>
        </w:tc>
        <w:tc>
          <w:tcPr>
            <w:tcW w:w="375" w:type="pct"/>
            <w:gridSpan w:val="2"/>
          </w:tcPr>
          <w:p w14:paraId="6F6131DC" w14:textId="77777777" w:rsidR="000E65B7" w:rsidRPr="000E65B7" w:rsidRDefault="000E65B7" w:rsidP="006459ED">
            <w:pPr>
              <w:jc w:val="left"/>
              <w:rPr>
                <w:rFonts w:ascii="Arial Narrow" w:hAnsi="Arial Narrow"/>
                <w:sz w:val="16"/>
                <w:szCs w:val="16"/>
              </w:rPr>
            </w:pPr>
            <w:r>
              <w:rPr>
                <w:rFonts w:ascii="Arial Narrow" w:hAnsi="Arial Narrow"/>
                <w:sz w:val="16"/>
                <w:szCs w:val="16"/>
              </w:rPr>
              <w:t>NA</w:t>
            </w:r>
          </w:p>
        </w:tc>
        <w:tc>
          <w:tcPr>
            <w:tcW w:w="421" w:type="pct"/>
          </w:tcPr>
          <w:p w14:paraId="7EC2BE27" w14:textId="77777777" w:rsidR="000E65B7" w:rsidRPr="000E65B7" w:rsidRDefault="000E65B7" w:rsidP="006459ED">
            <w:pPr>
              <w:jc w:val="left"/>
              <w:rPr>
                <w:rFonts w:ascii="Arial Narrow" w:hAnsi="Arial Narrow"/>
                <w:sz w:val="16"/>
                <w:szCs w:val="16"/>
              </w:rPr>
            </w:pPr>
            <w:r>
              <w:rPr>
                <w:rFonts w:ascii="Arial Narrow" w:hAnsi="Arial Narrow"/>
                <w:sz w:val="16"/>
                <w:szCs w:val="16"/>
              </w:rPr>
              <w:t>NA</w:t>
            </w:r>
          </w:p>
        </w:tc>
        <w:tc>
          <w:tcPr>
            <w:tcW w:w="377" w:type="pct"/>
          </w:tcPr>
          <w:p w14:paraId="1005DA7A" w14:textId="77777777" w:rsidR="009040D5" w:rsidRDefault="000E65B7" w:rsidP="006459ED">
            <w:pPr>
              <w:jc w:val="left"/>
              <w:rPr>
                <w:rFonts w:ascii="Arial Narrow" w:hAnsi="Arial Narrow"/>
                <w:sz w:val="16"/>
                <w:szCs w:val="16"/>
              </w:rPr>
            </w:pPr>
            <w:r>
              <w:rPr>
                <w:rFonts w:ascii="Arial Narrow" w:hAnsi="Arial Narrow"/>
                <w:sz w:val="16"/>
                <w:szCs w:val="16"/>
              </w:rPr>
              <w:t>-1.16</w:t>
            </w:r>
            <w:r w:rsidR="009040D5">
              <w:rPr>
                <w:rFonts w:ascii="Arial Narrow" w:hAnsi="Arial Narrow"/>
                <w:sz w:val="16"/>
                <w:szCs w:val="16"/>
              </w:rPr>
              <w:t xml:space="preserve"> </w:t>
            </w:r>
            <w:r w:rsidR="005B189A">
              <w:rPr>
                <w:rFonts w:ascii="Arial Narrow" w:hAnsi="Arial Narrow"/>
                <w:sz w:val="16"/>
                <w:szCs w:val="16"/>
              </w:rPr>
              <w:br/>
            </w:r>
            <w:r>
              <w:rPr>
                <w:rFonts w:ascii="Arial Narrow" w:hAnsi="Arial Narrow"/>
                <w:sz w:val="16"/>
                <w:szCs w:val="16"/>
              </w:rPr>
              <w:t>(</w:t>
            </w:r>
            <w:r w:rsidRPr="000E65B7">
              <w:rPr>
                <w:rFonts w:ascii="Arial Narrow" w:hAnsi="Arial Narrow"/>
                <w:sz w:val="16"/>
                <w:szCs w:val="16"/>
              </w:rPr>
              <w:t>1.36, 0.96)</w:t>
            </w:r>
          </w:p>
          <w:p w14:paraId="4B9B3AFC"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p&lt;0.0001</w:t>
            </w:r>
          </w:p>
        </w:tc>
        <w:tc>
          <w:tcPr>
            <w:tcW w:w="469" w:type="pct"/>
            <w:hideMark/>
          </w:tcPr>
          <w:p w14:paraId="1D32A606" w14:textId="77777777" w:rsidR="000E65B7" w:rsidRPr="000E65B7" w:rsidRDefault="005B189A" w:rsidP="006459ED">
            <w:pPr>
              <w:jc w:val="left"/>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000E65B7" w:rsidRPr="000E65B7">
              <w:rPr>
                <w:rFonts w:ascii="Arial Narrow" w:hAnsi="Arial Narrow"/>
                <w:sz w:val="16"/>
                <w:szCs w:val="16"/>
              </w:rPr>
              <w:br/>
            </w:r>
            <w:r w:rsidR="000E65B7" w:rsidRPr="000E65B7">
              <w:rPr>
                <w:rStyle w:val="quality-text"/>
                <w:rFonts w:ascii="Arial Narrow" w:hAnsi="Arial Narrow"/>
                <w:sz w:val="16"/>
                <w:szCs w:val="16"/>
              </w:rPr>
              <w:t>MODERATE</w:t>
            </w:r>
            <w:r w:rsidR="000E65B7" w:rsidRPr="000E65B7">
              <w:rPr>
                <w:rFonts w:ascii="Arial Narrow" w:hAnsi="Arial Narrow"/>
                <w:sz w:val="16"/>
                <w:szCs w:val="16"/>
              </w:rPr>
              <w:t xml:space="preserve"> </w:t>
            </w:r>
          </w:p>
        </w:tc>
        <w:tc>
          <w:tcPr>
            <w:tcW w:w="407" w:type="pct"/>
            <w:hideMark/>
          </w:tcPr>
          <w:p w14:paraId="3B17EACE" w14:textId="77777777" w:rsidR="000E65B7" w:rsidRPr="000E65B7" w:rsidRDefault="009040D5" w:rsidP="006459ED">
            <w:pPr>
              <w:jc w:val="left"/>
              <w:rPr>
                <w:rFonts w:ascii="Arial Narrow" w:hAnsi="Arial Narrow"/>
                <w:sz w:val="16"/>
                <w:szCs w:val="16"/>
              </w:rPr>
            </w:pPr>
            <w:r>
              <w:rPr>
                <w:rFonts w:ascii="Arial Narrow" w:hAnsi="Arial Narrow"/>
                <w:sz w:val="16"/>
                <w:szCs w:val="16"/>
              </w:rPr>
              <w:t>CRITICAL</w:t>
            </w:r>
          </w:p>
        </w:tc>
      </w:tr>
      <w:tr w:rsidR="001E36E9" w:rsidRPr="000E65B7" w14:paraId="049D2A67" w14:textId="77777777" w:rsidTr="009040D5">
        <w:trPr>
          <w:cantSplit/>
        </w:trPr>
        <w:tc>
          <w:tcPr>
            <w:tcW w:w="5000" w:type="pct"/>
            <w:gridSpan w:val="15"/>
            <w:shd w:val="clear" w:color="auto" w:fill="FFFFFF"/>
            <w:hideMark/>
          </w:tcPr>
          <w:p w14:paraId="1785D731" w14:textId="77777777" w:rsidR="001E36E9" w:rsidRPr="000E65B7" w:rsidRDefault="000E65B7" w:rsidP="009040D5">
            <w:pPr>
              <w:jc w:val="left"/>
              <w:rPr>
                <w:rFonts w:ascii="Arial Narrow" w:hAnsi="Arial Narrow"/>
                <w:b/>
                <w:bCs/>
                <w:color w:val="000000"/>
                <w:sz w:val="16"/>
                <w:szCs w:val="16"/>
              </w:rPr>
            </w:pPr>
            <w:r w:rsidRPr="000E65B7">
              <w:rPr>
                <w:rStyle w:val="label"/>
                <w:rFonts w:ascii="Arial Narrow" w:hAnsi="Arial Narrow"/>
                <w:b/>
                <w:bCs/>
                <w:color w:val="000000"/>
                <w:sz w:val="16"/>
                <w:szCs w:val="16"/>
              </w:rPr>
              <w:t xml:space="preserve">RTX compared with no RTX (assessed with </w:t>
            </w:r>
            <w:r>
              <w:rPr>
                <w:rStyle w:val="label"/>
                <w:rFonts w:ascii="Arial Narrow" w:hAnsi="Arial Narrow"/>
                <w:b/>
                <w:bCs/>
                <w:color w:val="000000"/>
                <w:sz w:val="16"/>
                <w:szCs w:val="16"/>
              </w:rPr>
              <w:t>weighted mean difference</w:t>
            </w:r>
            <w:r w:rsidR="001E36E9" w:rsidRPr="000E65B7">
              <w:rPr>
                <w:rStyle w:val="label"/>
                <w:rFonts w:ascii="Arial Narrow" w:hAnsi="Arial Narrow"/>
                <w:b/>
                <w:bCs/>
                <w:color w:val="000000"/>
                <w:sz w:val="16"/>
                <w:szCs w:val="16"/>
              </w:rPr>
              <w:t xml:space="preserve"> in ARR</w:t>
            </w:r>
            <w:r w:rsidRPr="000E65B7">
              <w:rPr>
                <w:rStyle w:val="label"/>
                <w:rFonts w:ascii="Arial Narrow" w:hAnsi="Arial Narrow"/>
                <w:b/>
                <w:bCs/>
                <w:color w:val="000000"/>
                <w:sz w:val="16"/>
                <w:szCs w:val="16"/>
              </w:rPr>
              <w:t>)</w:t>
            </w:r>
          </w:p>
        </w:tc>
      </w:tr>
      <w:tr w:rsidR="009040D5" w:rsidRPr="000E65B7" w14:paraId="2762719C" w14:textId="77777777" w:rsidTr="006459ED">
        <w:trPr>
          <w:cantSplit/>
          <w:trHeight w:val="927"/>
        </w:trPr>
        <w:tc>
          <w:tcPr>
            <w:tcW w:w="468" w:type="pct"/>
            <w:hideMark/>
          </w:tcPr>
          <w:p w14:paraId="34630563" w14:textId="77777777" w:rsidR="000E65B7" w:rsidRDefault="004F4ACD" w:rsidP="006459ED">
            <w:pPr>
              <w:jc w:val="left"/>
              <w:rPr>
                <w:rFonts w:ascii="Arial Narrow" w:hAnsi="Arial Narrow"/>
                <w:sz w:val="16"/>
                <w:szCs w:val="16"/>
              </w:rPr>
            </w:pPr>
            <w:r>
              <w:rPr>
                <w:rFonts w:ascii="Arial Narrow" w:hAnsi="Arial Narrow"/>
                <w:sz w:val="16"/>
                <w:szCs w:val="16"/>
              </w:rPr>
              <w:t>K=</w:t>
            </w:r>
            <w:r w:rsidR="000E65B7" w:rsidRPr="000E65B7">
              <w:rPr>
                <w:rFonts w:ascii="Arial Narrow" w:hAnsi="Arial Narrow"/>
                <w:sz w:val="16"/>
                <w:szCs w:val="16"/>
              </w:rPr>
              <w:t xml:space="preserve">18 </w:t>
            </w:r>
          </w:p>
          <w:p w14:paraId="1C705C5B" w14:textId="2BB14AEB" w:rsidR="006459ED" w:rsidRPr="000E65B7" w:rsidRDefault="006459ED" w:rsidP="006459ED">
            <w:pPr>
              <w:jc w:val="left"/>
              <w:rPr>
                <w:rFonts w:ascii="Arial Narrow" w:hAnsi="Arial Narrow"/>
                <w:sz w:val="16"/>
                <w:szCs w:val="16"/>
              </w:rPr>
            </w:pPr>
            <w:r>
              <w:rPr>
                <w:rFonts w:ascii="Arial Narrow" w:hAnsi="Arial Narrow"/>
                <w:sz w:val="16"/>
                <w:szCs w:val="16"/>
              </w:rPr>
              <w:t>N=484</w:t>
            </w:r>
          </w:p>
        </w:tc>
        <w:tc>
          <w:tcPr>
            <w:tcW w:w="328" w:type="pct"/>
            <w:hideMark/>
          </w:tcPr>
          <w:p w14:paraId="1D93C59C"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observational studies </w:t>
            </w:r>
          </w:p>
        </w:tc>
        <w:tc>
          <w:tcPr>
            <w:tcW w:w="328" w:type="pct"/>
            <w:hideMark/>
          </w:tcPr>
          <w:p w14:paraId="4910AE24"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serious </w:t>
            </w:r>
            <w:r w:rsidRPr="000E65B7">
              <w:rPr>
                <w:rFonts w:ascii="Arial Narrow" w:hAnsi="Arial Narrow"/>
                <w:sz w:val="16"/>
                <w:szCs w:val="16"/>
                <w:vertAlign w:val="superscript"/>
              </w:rPr>
              <w:t>a</w:t>
            </w:r>
          </w:p>
        </w:tc>
        <w:tc>
          <w:tcPr>
            <w:tcW w:w="374" w:type="pct"/>
            <w:hideMark/>
          </w:tcPr>
          <w:p w14:paraId="1FF564F6"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29" w:type="pct"/>
            <w:hideMark/>
          </w:tcPr>
          <w:p w14:paraId="242EE897"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28" w:type="pct"/>
            <w:hideMark/>
          </w:tcPr>
          <w:p w14:paraId="369DBDAD"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61" w:type="pct"/>
            <w:hideMark/>
          </w:tcPr>
          <w:p w14:paraId="5C826100" w14:textId="77777777" w:rsidR="000E65B7" w:rsidRPr="000E65B7" w:rsidRDefault="000E65B7" w:rsidP="006459ED">
            <w:pPr>
              <w:jc w:val="left"/>
              <w:rPr>
                <w:rFonts w:ascii="Arial Narrow" w:hAnsi="Arial Narrow"/>
                <w:sz w:val="16"/>
                <w:szCs w:val="16"/>
              </w:rPr>
            </w:pPr>
            <w:r w:rsidRPr="000E65B7">
              <w:rPr>
                <w:rFonts w:ascii="Arial Narrow" w:hAnsi="Arial Narrow"/>
                <w:sz w:val="16"/>
                <w:szCs w:val="16"/>
              </w:rPr>
              <w:t xml:space="preserve">very strong association </w:t>
            </w:r>
          </w:p>
        </w:tc>
        <w:tc>
          <w:tcPr>
            <w:tcW w:w="435" w:type="pct"/>
            <w:gridSpan w:val="2"/>
            <w:hideMark/>
          </w:tcPr>
          <w:p w14:paraId="10D01DF6" w14:textId="77777777" w:rsidR="000E65B7" w:rsidRPr="000E65B7" w:rsidRDefault="000E65B7" w:rsidP="006459ED">
            <w:pPr>
              <w:jc w:val="left"/>
              <w:rPr>
                <w:rFonts w:ascii="Arial Narrow" w:hAnsi="Arial Narrow"/>
                <w:sz w:val="16"/>
                <w:szCs w:val="16"/>
              </w:rPr>
            </w:pPr>
            <w:r>
              <w:rPr>
                <w:rFonts w:ascii="Arial Narrow" w:hAnsi="Arial Narrow"/>
                <w:sz w:val="16"/>
                <w:szCs w:val="16"/>
              </w:rPr>
              <w:t>NA</w:t>
            </w:r>
          </w:p>
        </w:tc>
        <w:tc>
          <w:tcPr>
            <w:tcW w:w="375" w:type="pct"/>
            <w:gridSpan w:val="2"/>
          </w:tcPr>
          <w:p w14:paraId="1B1A1B7E" w14:textId="77777777" w:rsidR="000E65B7" w:rsidRPr="000E65B7" w:rsidRDefault="000E65B7" w:rsidP="006459ED">
            <w:pPr>
              <w:jc w:val="left"/>
              <w:rPr>
                <w:rFonts w:ascii="Arial Narrow" w:hAnsi="Arial Narrow"/>
                <w:sz w:val="16"/>
                <w:szCs w:val="16"/>
              </w:rPr>
            </w:pPr>
            <w:r>
              <w:rPr>
                <w:rFonts w:ascii="Arial Narrow" w:hAnsi="Arial Narrow"/>
                <w:sz w:val="16"/>
                <w:szCs w:val="16"/>
              </w:rPr>
              <w:t>NA</w:t>
            </w:r>
          </w:p>
        </w:tc>
        <w:tc>
          <w:tcPr>
            <w:tcW w:w="421" w:type="pct"/>
          </w:tcPr>
          <w:p w14:paraId="539D824B" w14:textId="77777777" w:rsidR="000E65B7" w:rsidRPr="000E65B7" w:rsidRDefault="000E65B7" w:rsidP="006459ED">
            <w:pPr>
              <w:jc w:val="left"/>
              <w:rPr>
                <w:rFonts w:ascii="Arial Narrow" w:hAnsi="Arial Narrow"/>
                <w:sz w:val="16"/>
                <w:szCs w:val="16"/>
              </w:rPr>
            </w:pPr>
            <w:r>
              <w:rPr>
                <w:rFonts w:ascii="Arial Narrow" w:hAnsi="Arial Narrow"/>
                <w:sz w:val="16"/>
                <w:szCs w:val="16"/>
              </w:rPr>
              <w:t>NA</w:t>
            </w:r>
          </w:p>
        </w:tc>
        <w:tc>
          <w:tcPr>
            <w:tcW w:w="377" w:type="pct"/>
          </w:tcPr>
          <w:p w14:paraId="5C9C6910" w14:textId="77777777" w:rsidR="005B189A" w:rsidRDefault="000E65B7" w:rsidP="006459ED">
            <w:pPr>
              <w:jc w:val="left"/>
              <w:rPr>
                <w:rFonts w:ascii="Arial Narrow" w:hAnsi="Arial Narrow"/>
                <w:sz w:val="16"/>
                <w:szCs w:val="16"/>
              </w:rPr>
            </w:pPr>
            <w:r>
              <w:rPr>
                <w:rFonts w:ascii="Arial Narrow" w:hAnsi="Arial Narrow"/>
                <w:sz w:val="16"/>
                <w:szCs w:val="16"/>
              </w:rPr>
              <w:t xml:space="preserve">-1.56 </w:t>
            </w:r>
            <w:r w:rsidR="009040D5">
              <w:rPr>
                <w:rFonts w:ascii="Arial Narrow" w:hAnsi="Arial Narrow"/>
                <w:sz w:val="16"/>
                <w:szCs w:val="16"/>
              </w:rPr>
              <w:t xml:space="preserve"> </w:t>
            </w:r>
            <w:r w:rsidR="009040D5">
              <w:rPr>
                <w:rFonts w:ascii="Arial Narrow" w:hAnsi="Arial Narrow"/>
                <w:sz w:val="16"/>
                <w:szCs w:val="16"/>
              </w:rPr>
              <w:br/>
            </w:r>
            <w:r>
              <w:rPr>
                <w:rFonts w:ascii="Arial Narrow" w:hAnsi="Arial Narrow"/>
                <w:sz w:val="16"/>
                <w:szCs w:val="16"/>
              </w:rPr>
              <w:t>(</w:t>
            </w:r>
            <w:r w:rsidRPr="000E65B7">
              <w:rPr>
                <w:rFonts w:ascii="Arial Narrow" w:hAnsi="Arial Narrow"/>
                <w:sz w:val="16"/>
                <w:szCs w:val="16"/>
              </w:rPr>
              <w:t>-1.82, -1.29)</w:t>
            </w:r>
          </w:p>
          <w:p w14:paraId="77776147" w14:textId="77777777" w:rsidR="000E65B7" w:rsidRPr="000E65B7" w:rsidRDefault="000E65B7" w:rsidP="006459ED">
            <w:pPr>
              <w:jc w:val="left"/>
              <w:rPr>
                <w:rFonts w:ascii="Arial Narrow" w:hAnsi="Arial Narrow"/>
                <w:sz w:val="16"/>
                <w:szCs w:val="16"/>
              </w:rPr>
            </w:pPr>
            <w:r>
              <w:rPr>
                <w:rFonts w:ascii="Arial Narrow" w:hAnsi="Arial Narrow"/>
                <w:sz w:val="16"/>
                <w:szCs w:val="16"/>
              </w:rPr>
              <w:t>P=0.000</w:t>
            </w:r>
          </w:p>
        </w:tc>
        <w:tc>
          <w:tcPr>
            <w:tcW w:w="469" w:type="pct"/>
            <w:hideMark/>
          </w:tcPr>
          <w:p w14:paraId="39DBD229" w14:textId="77777777" w:rsidR="000E65B7" w:rsidRPr="000E65B7" w:rsidRDefault="005B189A" w:rsidP="006459ED">
            <w:pPr>
              <w:jc w:val="left"/>
              <w:rPr>
                <w:rFonts w:ascii="Arial Narrow" w:hAnsi="Arial Narrow"/>
                <w:sz w:val="16"/>
                <w:szCs w:val="16"/>
              </w:rPr>
            </w:pPr>
            <w:r w:rsidRPr="00D4733A">
              <w:rPr>
                <w:rFonts w:ascii="Cambria Math" w:hAnsi="Cambria Math"/>
                <w:color w:val="00B050"/>
              </w:rPr>
              <w:t>⨁⨁⨁</w:t>
            </w:r>
            <w:r w:rsidRPr="00D4733A">
              <w:rPr>
                <w:rFonts w:ascii="Cambria Math" w:hAnsi="Cambria Math" w:cs="Cambria Math"/>
                <w:color w:val="C00000"/>
              </w:rPr>
              <w:t>⨀</w:t>
            </w:r>
            <w:r w:rsidR="000E65B7" w:rsidRPr="000E65B7">
              <w:rPr>
                <w:rFonts w:ascii="Arial Narrow" w:hAnsi="Arial Narrow"/>
                <w:sz w:val="16"/>
                <w:szCs w:val="16"/>
              </w:rPr>
              <w:br/>
            </w:r>
            <w:r w:rsidR="000E65B7" w:rsidRPr="000E65B7">
              <w:rPr>
                <w:rStyle w:val="quality-text"/>
                <w:rFonts w:ascii="Arial Narrow" w:hAnsi="Arial Narrow"/>
                <w:sz w:val="16"/>
                <w:szCs w:val="16"/>
              </w:rPr>
              <w:t>MODERATE</w:t>
            </w:r>
            <w:r w:rsidR="000E65B7" w:rsidRPr="000E65B7">
              <w:rPr>
                <w:rFonts w:ascii="Arial Narrow" w:hAnsi="Arial Narrow"/>
                <w:sz w:val="16"/>
                <w:szCs w:val="16"/>
              </w:rPr>
              <w:t xml:space="preserve"> </w:t>
            </w:r>
          </w:p>
        </w:tc>
        <w:tc>
          <w:tcPr>
            <w:tcW w:w="407" w:type="pct"/>
            <w:hideMark/>
          </w:tcPr>
          <w:p w14:paraId="411A41FE" w14:textId="77777777" w:rsidR="000E65B7" w:rsidRPr="000E65B7" w:rsidRDefault="009040D5" w:rsidP="006459ED">
            <w:pPr>
              <w:jc w:val="left"/>
              <w:rPr>
                <w:rFonts w:ascii="Arial Narrow" w:hAnsi="Arial Narrow"/>
                <w:sz w:val="16"/>
                <w:szCs w:val="16"/>
              </w:rPr>
            </w:pPr>
            <w:r>
              <w:rPr>
                <w:rFonts w:ascii="Arial Narrow" w:hAnsi="Arial Narrow"/>
                <w:sz w:val="16"/>
                <w:szCs w:val="16"/>
              </w:rPr>
              <w:t>CRITICAL</w:t>
            </w:r>
          </w:p>
        </w:tc>
      </w:tr>
      <w:tr w:rsidR="000E65B7" w:rsidRPr="000E65B7" w14:paraId="3EA35506" w14:textId="77777777" w:rsidTr="009040D5">
        <w:trPr>
          <w:cantSplit/>
        </w:trPr>
        <w:tc>
          <w:tcPr>
            <w:tcW w:w="5000" w:type="pct"/>
            <w:gridSpan w:val="15"/>
            <w:shd w:val="clear" w:color="auto" w:fill="FFFFFF"/>
            <w:hideMark/>
          </w:tcPr>
          <w:p w14:paraId="06AD3A54" w14:textId="77777777" w:rsidR="000E65B7" w:rsidRPr="000E65B7" w:rsidRDefault="000E65B7" w:rsidP="009040D5">
            <w:pPr>
              <w:jc w:val="left"/>
              <w:rPr>
                <w:rFonts w:ascii="Arial Narrow" w:hAnsi="Arial Narrow"/>
                <w:b/>
                <w:bCs/>
                <w:color w:val="000000"/>
                <w:sz w:val="16"/>
                <w:szCs w:val="16"/>
              </w:rPr>
            </w:pPr>
            <w:r w:rsidRPr="000E65B7">
              <w:rPr>
                <w:rStyle w:val="label"/>
                <w:rFonts w:ascii="Arial Narrow" w:hAnsi="Arial Narrow"/>
                <w:b/>
                <w:bCs/>
                <w:color w:val="000000"/>
                <w:sz w:val="16"/>
                <w:szCs w:val="16"/>
              </w:rPr>
              <w:lastRenderedPageBreak/>
              <w:t>ECZ compared with no ECZ (assessed with EDSS at follow-up)</w:t>
            </w:r>
          </w:p>
        </w:tc>
      </w:tr>
      <w:tr w:rsidR="009040D5" w:rsidRPr="000E65B7" w14:paraId="52495A1D" w14:textId="77777777" w:rsidTr="006459ED">
        <w:trPr>
          <w:cantSplit/>
          <w:trHeight w:val="879"/>
        </w:trPr>
        <w:tc>
          <w:tcPr>
            <w:tcW w:w="468" w:type="pct"/>
            <w:hideMark/>
          </w:tcPr>
          <w:p w14:paraId="5E6466F4" w14:textId="77777777" w:rsidR="004F4ACD" w:rsidRDefault="004F4ACD" w:rsidP="006459ED">
            <w:pPr>
              <w:jc w:val="left"/>
              <w:rPr>
                <w:rFonts w:ascii="Arial Narrow" w:hAnsi="Arial Narrow"/>
                <w:sz w:val="16"/>
                <w:szCs w:val="16"/>
              </w:rPr>
            </w:pPr>
            <w:r>
              <w:rPr>
                <w:rFonts w:ascii="Arial Narrow" w:hAnsi="Arial Narrow"/>
                <w:sz w:val="16"/>
                <w:szCs w:val="16"/>
              </w:rPr>
              <w:t>K=</w:t>
            </w:r>
            <w:r w:rsidR="009040D5" w:rsidRPr="000E65B7">
              <w:rPr>
                <w:rFonts w:ascii="Arial Narrow" w:hAnsi="Arial Narrow"/>
                <w:sz w:val="16"/>
                <w:szCs w:val="16"/>
              </w:rPr>
              <w:t>1</w:t>
            </w:r>
          </w:p>
          <w:p w14:paraId="1B019CFA" w14:textId="5EEE191D" w:rsidR="009040D5" w:rsidRPr="000E65B7" w:rsidRDefault="004F4ACD" w:rsidP="006459ED">
            <w:pPr>
              <w:jc w:val="left"/>
              <w:rPr>
                <w:rFonts w:ascii="Arial Narrow" w:hAnsi="Arial Narrow"/>
                <w:sz w:val="16"/>
                <w:szCs w:val="16"/>
              </w:rPr>
            </w:pPr>
            <w:r>
              <w:rPr>
                <w:rFonts w:ascii="Arial Narrow" w:hAnsi="Arial Narrow"/>
                <w:sz w:val="16"/>
                <w:szCs w:val="16"/>
              </w:rPr>
              <w:t>N=143</w:t>
            </w:r>
            <w:r w:rsidR="009040D5" w:rsidRPr="000E65B7">
              <w:rPr>
                <w:rFonts w:ascii="Arial Narrow" w:hAnsi="Arial Narrow"/>
                <w:sz w:val="16"/>
                <w:szCs w:val="16"/>
              </w:rPr>
              <w:t xml:space="preserve"> </w:t>
            </w:r>
          </w:p>
        </w:tc>
        <w:tc>
          <w:tcPr>
            <w:tcW w:w="328" w:type="pct"/>
            <w:hideMark/>
          </w:tcPr>
          <w:p w14:paraId="27EFD579"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randomised trials </w:t>
            </w:r>
          </w:p>
        </w:tc>
        <w:tc>
          <w:tcPr>
            <w:tcW w:w="328" w:type="pct"/>
            <w:hideMark/>
          </w:tcPr>
          <w:p w14:paraId="36DD54B4"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74" w:type="pct"/>
            <w:hideMark/>
          </w:tcPr>
          <w:p w14:paraId="64075DBF"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29" w:type="pct"/>
            <w:hideMark/>
          </w:tcPr>
          <w:p w14:paraId="09A458DC"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28" w:type="pct"/>
            <w:hideMark/>
          </w:tcPr>
          <w:p w14:paraId="00F195B1"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61" w:type="pct"/>
            <w:hideMark/>
          </w:tcPr>
          <w:p w14:paraId="4F084964" w14:textId="77777777" w:rsidR="009040D5" w:rsidRPr="000E65B7" w:rsidRDefault="009040D5" w:rsidP="006459ED">
            <w:pPr>
              <w:jc w:val="left"/>
              <w:rPr>
                <w:rFonts w:ascii="Arial Narrow" w:hAnsi="Arial Narrow"/>
                <w:sz w:val="16"/>
                <w:szCs w:val="16"/>
              </w:rPr>
            </w:pPr>
            <w:r>
              <w:rPr>
                <w:rFonts w:ascii="Arial Narrow" w:hAnsi="Arial Narrow"/>
                <w:sz w:val="16"/>
                <w:szCs w:val="16"/>
              </w:rPr>
              <w:t>none</w:t>
            </w:r>
            <w:r w:rsidRPr="000E65B7">
              <w:rPr>
                <w:rFonts w:ascii="Arial Narrow" w:hAnsi="Arial Narrow"/>
                <w:sz w:val="16"/>
                <w:szCs w:val="16"/>
              </w:rPr>
              <w:t xml:space="preserve"> </w:t>
            </w:r>
          </w:p>
        </w:tc>
        <w:tc>
          <w:tcPr>
            <w:tcW w:w="435" w:type="pct"/>
            <w:gridSpan w:val="2"/>
            <w:hideMark/>
          </w:tcPr>
          <w:p w14:paraId="0BF473F9"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-0.18 (SD 0.81)</w:t>
            </w:r>
          </w:p>
        </w:tc>
        <w:tc>
          <w:tcPr>
            <w:tcW w:w="375" w:type="pct"/>
            <w:gridSpan w:val="2"/>
          </w:tcPr>
          <w:p w14:paraId="3C11D2F3"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0.12 (SD 0.96)</w:t>
            </w:r>
          </w:p>
        </w:tc>
        <w:tc>
          <w:tcPr>
            <w:tcW w:w="421" w:type="pct"/>
          </w:tcPr>
          <w:p w14:paraId="12D696A9" w14:textId="77777777" w:rsidR="009040D5" w:rsidRDefault="009040D5" w:rsidP="006459ED">
            <w:pPr>
              <w:jc w:val="left"/>
              <w:rPr>
                <w:rFonts w:ascii="Arial Narrow" w:hAnsi="Arial Narrow"/>
                <w:sz w:val="16"/>
                <w:szCs w:val="16"/>
              </w:rPr>
            </w:pPr>
            <w:r w:rsidRPr="000E65B7">
              <w:rPr>
                <w:rFonts w:ascii="Arial Narrow" w:hAnsi="Arial Narrow"/>
                <w:sz w:val="16"/>
                <w:szCs w:val="16"/>
              </w:rPr>
              <w:t xml:space="preserve">HR -0.29 </w:t>
            </w:r>
            <w:r w:rsidR="005B189A">
              <w:rPr>
                <w:rFonts w:ascii="Arial Narrow" w:hAnsi="Arial Narrow"/>
                <w:sz w:val="16"/>
                <w:szCs w:val="16"/>
              </w:rPr>
              <w:br/>
            </w:r>
            <w:r w:rsidRPr="000E65B7">
              <w:rPr>
                <w:rFonts w:ascii="Arial Narrow" w:hAnsi="Arial Narrow"/>
                <w:sz w:val="16"/>
                <w:szCs w:val="16"/>
              </w:rPr>
              <w:t>(-0.59, 0.01)</w:t>
            </w:r>
          </w:p>
          <w:p w14:paraId="4D5E97D4" w14:textId="77777777" w:rsidR="009040D5" w:rsidRPr="000E65B7" w:rsidRDefault="009040D5" w:rsidP="006459ED">
            <w:pPr>
              <w:jc w:val="left"/>
              <w:rPr>
                <w:rFonts w:ascii="Arial Narrow" w:hAnsi="Arial Narrow"/>
                <w:sz w:val="16"/>
                <w:szCs w:val="16"/>
              </w:rPr>
            </w:pPr>
            <w:r>
              <w:rPr>
                <w:rFonts w:ascii="Arial Narrow" w:hAnsi="Arial Narrow"/>
                <w:sz w:val="16"/>
                <w:szCs w:val="16"/>
              </w:rPr>
              <w:t>P not significant</w:t>
            </w:r>
          </w:p>
        </w:tc>
        <w:tc>
          <w:tcPr>
            <w:tcW w:w="377" w:type="pct"/>
          </w:tcPr>
          <w:p w14:paraId="40F36FF7" w14:textId="77777777" w:rsidR="009040D5" w:rsidRPr="000E65B7" w:rsidRDefault="009040D5" w:rsidP="006459ED">
            <w:pPr>
              <w:jc w:val="left"/>
              <w:rPr>
                <w:rFonts w:ascii="Arial Narrow" w:hAnsi="Arial Narrow"/>
                <w:sz w:val="16"/>
                <w:szCs w:val="16"/>
              </w:rPr>
            </w:pPr>
            <w:r>
              <w:rPr>
                <w:rFonts w:ascii="Arial Narrow" w:hAnsi="Arial Narrow"/>
                <w:sz w:val="16"/>
                <w:szCs w:val="16"/>
              </w:rPr>
              <w:t>NA</w:t>
            </w:r>
          </w:p>
        </w:tc>
        <w:tc>
          <w:tcPr>
            <w:tcW w:w="469" w:type="pct"/>
            <w:hideMark/>
          </w:tcPr>
          <w:p w14:paraId="561B294D" w14:textId="77777777" w:rsidR="009040D5" w:rsidRPr="000E65B7" w:rsidRDefault="005B189A" w:rsidP="006459ED">
            <w:pPr>
              <w:jc w:val="left"/>
              <w:rPr>
                <w:rFonts w:ascii="Arial Narrow" w:hAnsi="Arial Narrow"/>
                <w:sz w:val="16"/>
                <w:szCs w:val="16"/>
              </w:rPr>
            </w:pPr>
            <w:r w:rsidRPr="00D4733A">
              <w:rPr>
                <w:rFonts w:ascii="Cambria Math" w:hAnsi="Cambria Math"/>
                <w:color w:val="00B050"/>
              </w:rPr>
              <w:t>⨁⨁⨁⨁</w:t>
            </w:r>
            <w:r w:rsidR="009040D5" w:rsidRPr="000E65B7">
              <w:rPr>
                <w:rFonts w:ascii="Arial Narrow" w:hAnsi="Arial Narrow"/>
                <w:sz w:val="16"/>
                <w:szCs w:val="16"/>
              </w:rPr>
              <w:br/>
            </w:r>
            <w:r w:rsidR="009040D5" w:rsidRPr="000E65B7">
              <w:rPr>
                <w:rStyle w:val="quality-text"/>
                <w:rFonts w:ascii="Arial Narrow" w:hAnsi="Arial Narrow"/>
                <w:sz w:val="16"/>
                <w:szCs w:val="16"/>
              </w:rPr>
              <w:t>HIGH</w:t>
            </w:r>
            <w:r w:rsidR="009040D5" w:rsidRPr="000E65B7">
              <w:rPr>
                <w:rFonts w:ascii="Arial Narrow" w:hAnsi="Arial Narrow"/>
                <w:sz w:val="16"/>
                <w:szCs w:val="16"/>
              </w:rPr>
              <w:t xml:space="preserve"> </w:t>
            </w:r>
          </w:p>
        </w:tc>
        <w:tc>
          <w:tcPr>
            <w:tcW w:w="407" w:type="pct"/>
            <w:hideMark/>
          </w:tcPr>
          <w:p w14:paraId="6B0C4F41" w14:textId="77777777" w:rsidR="009040D5" w:rsidRPr="000E65B7" w:rsidRDefault="009040D5" w:rsidP="006459ED">
            <w:pPr>
              <w:jc w:val="left"/>
              <w:rPr>
                <w:rFonts w:ascii="Arial Narrow" w:hAnsi="Arial Narrow"/>
                <w:sz w:val="16"/>
                <w:szCs w:val="16"/>
              </w:rPr>
            </w:pPr>
            <w:r>
              <w:rPr>
                <w:rFonts w:ascii="Arial Narrow" w:hAnsi="Arial Narrow"/>
                <w:sz w:val="16"/>
                <w:szCs w:val="16"/>
              </w:rPr>
              <w:t>CRITICAL</w:t>
            </w:r>
          </w:p>
        </w:tc>
      </w:tr>
      <w:tr w:rsidR="000E65B7" w:rsidRPr="000E65B7" w14:paraId="65601919" w14:textId="77777777" w:rsidTr="009040D5">
        <w:trPr>
          <w:cantSplit/>
        </w:trPr>
        <w:tc>
          <w:tcPr>
            <w:tcW w:w="5000" w:type="pct"/>
            <w:gridSpan w:val="15"/>
            <w:shd w:val="clear" w:color="auto" w:fill="FFFFFF"/>
            <w:hideMark/>
          </w:tcPr>
          <w:p w14:paraId="6312DAC8" w14:textId="77777777" w:rsidR="000E65B7" w:rsidRPr="000E65B7" w:rsidRDefault="000E65B7" w:rsidP="009040D5">
            <w:pPr>
              <w:jc w:val="left"/>
              <w:rPr>
                <w:rFonts w:ascii="Arial Narrow" w:hAnsi="Arial Narrow"/>
                <w:b/>
                <w:bCs/>
                <w:color w:val="000000"/>
                <w:sz w:val="16"/>
                <w:szCs w:val="16"/>
              </w:rPr>
            </w:pPr>
            <w:r w:rsidRPr="000E65B7">
              <w:rPr>
                <w:rStyle w:val="label"/>
                <w:rFonts w:ascii="Arial Narrow" w:hAnsi="Arial Narrow"/>
                <w:b/>
                <w:bCs/>
                <w:color w:val="000000"/>
                <w:sz w:val="16"/>
                <w:szCs w:val="16"/>
              </w:rPr>
              <w:t>ECZ compared with no ECZ (assessed with ARR at follow-up)</w:t>
            </w:r>
          </w:p>
        </w:tc>
      </w:tr>
      <w:tr w:rsidR="009040D5" w:rsidRPr="000E65B7" w14:paraId="6B4E3855" w14:textId="77777777" w:rsidTr="006459ED">
        <w:trPr>
          <w:cantSplit/>
          <w:trHeight w:val="717"/>
        </w:trPr>
        <w:tc>
          <w:tcPr>
            <w:tcW w:w="468" w:type="pct"/>
            <w:hideMark/>
          </w:tcPr>
          <w:p w14:paraId="22095BF6" w14:textId="77777777" w:rsidR="004F4ACD" w:rsidRDefault="004F4ACD" w:rsidP="006459ED">
            <w:pPr>
              <w:jc w:val="left"/>
              <w:rPr>
                <w:rFonts w:ascii="Arial Narrow" w:hAnsi="Arial Narrow"/>
                <w:sz w:val="16"/>
                <w:szCs w:val="16"/>
              </w:rPr>
            </w:pPr>
            <w:r>
              <w:rPr>
                <w:rFonts w:ascii="Arial Narrow" w:hAnsi="Arial Narrow"/>
                <w:sz w:val="16"/>
                <w:szCs w:val="16"/>
              </w:rPr>
              <w:t>K=</w:t>
            </w:r>
            <w:r w:rsidR="009040D5" w:rsidRPr="000E65B7">
              <w:rPr>
                <w:rFonts w:ascii="Arial Narrow" w:hAnsi="Arial Narrow"/>
                <w:sz w:val="16"/>
                <w:szCs w:val="16"/>
              </w:rPr>
              <w:t>1</w:t>
            </w:r>
          </w:p>
          <w:p w14:paraId="32AFCA3F" w14:textId="3F7BFDA7" w:rsidR="009040D5" w:rsidRPr="000E65B7" w:rsidRDefault="004F4ACD" w:rsidP="006459ED">
            <w:pPr>
              <w:jc w:val="left"/>
              <w:rPr>
                <w:rFonts w:ascii="Arial Narrow" w:hAnsi="Arial Narrow"/>
                <w:sz w:val="16"/>
                <w:szCs w:val="16"/>
              </w:rPr>
            </w:pPr>
            <w:r>
              <w:rPr>
                <w:rFonts w:ascii="Arial Narrow" w:hAnsi="Arial Narrow"/>
                <w:sz w:val="16"/>
                <w:szCs w:val="16"/>
              </w:rPr>
              <w:t>N=143</w:t>
            </w:r>
            <w:r w:rsidR="009040D5" w:rsidRPr="000E65B7">
              <w:rPr>
                <w:rFonts w:ascii="Arial Narrow" w:hAnsi="Arial Narrow"/>
                <w:sz w:val="16"/>
                <w:szCs w:val="16"/>
              </w:rPr>
              <w:t xml:space="preserve"> </w:t>
            </w:r>
          </w:p>
        </w:tc>
        <w:tc>
          <w:tcPr>
            <w:tcW w:w="328" w:type="pct"/>
            <w:hideMark/>
          </w:tcPr>
          <w:p w14:paraId="1CEE9786"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randomised trials </w:t>
            </w:r>
          </w:p>
        </w:tc>
        <w:tc>
          <w:tcPr>
            <w:tcW w:w="328" w:type="pct"/>
            <w:hideMark/>
          </w:tcPr>
          <w:p w14:paraId="0837B1D8"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74" w:type="pct"/>
            <w:hideMark/>
          </w:tcPr>
          <w:p w14:paraId="5BAE6DDB"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29" w:type="pct"/>
            <w:hideMark/>
          </w:tcPr>
          <w:p w14:paraId="4DB941D9"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28" w:type="pct"/>
            <w:hideMark/>
          </w:tcPr>
          <w:p w14:paraId="5720131F"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61" w:type="pct"/>
            <w:hideMark/>
          </w:tcPr>
          <w:p w14:paraId="048A7EAE"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strong association </w:t>
            </w:r>
          </w:p>
        </w:tc>
        <w:tc>
          <w:tcPr>
            <w:tcW w:w="402" w:type="pct"/>
            <w:hideMark/>
          </w:tcPr>
          <w:p w14:paraId="502A9AB3" w14:textId="77777777" w:rsidR="009040D5" w:rsidRDefault="009040D5" w:rsidP="006459ED">
            <w:pPr>
              <w:jc w:val="left"/>
              <w:rPr>
                <w:rFonts w:ascii="Arial Narrow" w:hAnsi="Arial Narrow"/>
                <w:sz w:val="16"/>
                <w:szCs w:val="16"/>
              </w:rPr>
            </w:pPr>
            <w:r w:rsidRPr="000E65B7">
              <w:rPr>
                <w:rFonts w:ascii="Arial Narrow" w:hAnsi="Arial Narrow"/>
                <w:sz w:val="16"/>
                <w:szCs w:val="16"/>
              </w:rPr>
              <w:t xml:space="preserve">0.02 (SD 0.01-0.05) </w:t>
            </w:r>
          </w:p>
        </w:tc>
        <w:tc>
          <w:tcPr>
            <w:tcW w:w="402" w:type="pct"/>
            <w:gridSpan w:val="2"/>
          </w:tcPr>
          <w:p w14:paraId="0D7D956E" w14:textId="77777777" w:rsidR="009040D5" w:rsidRDefault="009040D5" w:rsidP="006459ED">
            <w:pPr>
              <w:jc w:val="left"/>
              <w:rPr>
                <w:rFonts w:ascii="Arial Narrow" w:hAnsi="Arial Narrow"/>
                <w:sz w:val="16"/>
                <w:szCs w:val="16"/>
              </w:rPr>
            </w:pPr>
            <w:r w:rsidRPr="000E65B7">
              <w:rPr>
                <w:rFonts w:ascii="Arial Narrow" w:hAnsi="Arial Narrow"/>
                <w:sz w:val="16"/>
                <w:szCs w:val="16"/>
              </w:rPr>
              <w:t xml:space="preserve">0.35 (SD 0.20-0.62) </w:t>
            </w:r>
          </w:p>
        </w:tc>
        <w:tc>
          <w:tcPr>
            <w:tcW w:w="427" w:type="pct"/>
            <w:gridSpan w:val="2"/>
          </w:tcPr>
          <w:p w14:paraId="25DA4C9E" w14:textId="77777777" w:rsidR="009040D5" w:rsidRDefault="009040D5" w:rsidP="006459ED">
            <w:pPr>
              <w:jc w:val="left"/>
              <w:rPr>
                <w:rFonts w:ascii="Arial Narrow" w:hAnsi="Arial Narrow"/>
                <w:sz w:val="16"/>
                <w:szCs w:val="16"/>
              </w:rPr>
            </w:pPr>
            <w:r w:rsidRPr="000E65B7">
              <w:rPr>
                <w:rFonts w:ascii="Arial Narrow" w:hAnsi="Arial Narrow"/>
                <w:sz w:val="16"/>
                <w:szCs w:val="16"/>
              </w:rPr>
              <w:t xml:space="preserve">HR 0.04 </w:t>
            </w:r>
            <w:r w:rsidR="005B189A">
              <w:rPr>
                <w:rFonts w:ascii="Arial Narrow" w:hAnsi="Arial Narrow"/>
                <w:sz w:val="16"/>
                <w:szCs w:val="16"/>
              </w:rPr>
              <w:br/>
            </w:r>
            <w:r w:rsidRPr="000E65B7">
              <w:rPr>
                <w:rFonts w:ascii="Arial Narrow" w:hAnsi="Arial Narrow"/>
                <w:sz w:val="16"/>
                <w:szCs w:val="16"/>
              </w:rPr>
              <w:t>(0.01, 0.015)</w:t>
            </w:r>
          </w:p>
          <w:p w14:paraId="42BA10F5" w14:textId="77777777" w:rsidR="009040D5" w:rsidRPr="000E65B7" w:rsidRDefault="009040D5" w:rsidP="006459ED">
            <w:pPr>
              <w:jc w:val="left"/>
              <w:rPr>
                <w:rFonts w:ascii="Arial Narrow" w:hAnsi="Arial Narrow"/>
                <w:sz w:val="16"/>
                <w:szCs w:val="16"/>
              </w:rPr>
            </w:pPr>
            <w:r>
              <w:rPr>
                <w:rFonts w:ascii="Arial Narrow" w:hAnsi="Arial Narrow"/>
                <w:sz w:val="16"/>
                <w:szCs w:val="16"/>
              </w:rPr>
              <w:t>P&lt;0.001</w:t>
            </w:r>
          </w:p>
        </w:tc>
        <w:tc>
          <w:tcPr>
            <w:tcW w:w="377" w:type="pct"/>
          </w:tcPr>
          <w:p w14:paraId="77294C62" w14:textId="77777777" w:rsidR="009040D5" w:rsidRPr="000E65B7" w:rsidRDefault="009040D5" w:rsidP="006459ED">
            <w:pPr>
              <w:jc w:val="left"/>
              <w:rPr>
                <w:rFonts w:ascii="Arial Narrow" w:hAnsi="Arial Narrow"/>
                <w:sz w:val="16"/>
                <w:szCs w:val="16"/>
              </w:rPr>
            </w:pPr>
            <w:r>
              <w:rPr>
                <w:rFonts w:ascii="Arial Narrow" w:hAnsi="Arial Narrow"/>
                <w:sz w:val="16"/>
                <w:szCs w:val="16"/>
              </w:rPr>
              <w:t>NA</w:t>
            </w:r>
          </w:p>
        </w:tc>
        <w:tc>
          <w:tcPr>
            <w:tcW w:w="469" w:type="pct"/>
            <w:hideMark/>
          </w:tcPr>
          <w:p w14:paraId="06645373" w14:textId="77777777" w:rsidR="009040D5" w:rsidRPr="000E65B7" w:rsidRDefault="005B189A" w:rsidP="006459ED">
            <w:pPr>
              <w:jc w:val="left"/>
              <w:rPr>
                <w:rFonts w:ascii="Arial Narrow" w:hAnsi="Arial Narrow"/>
                <w:sz w:val="16"/>
                <w:szCs w:val="16"/>
              </w:rPr>
            </w:pPr>
            <w:r w:rsidRPr="00D4733A">
              <w:rPr>
                <w:rFonts w:ascii="Cambria Math" w:hAnsi="Cambria Math"/>
                <w:color w:val="00B050"/>
              </w:rPr>
              <w:t>⨁⨁⨁⨁</w:t>
            </w:r>
            <w:r w:rsidR="009040D5" w:rsidRPr="000E65B7">
              <w:rPr>
                <w:rFonts w:ascii="Arial Narrow" w:hAnsi="Arial Narrow"/>
                <w:sz w:val="16"/>
                <w:szCs w:val="16"/>
              </w:rPr>
              <w:br/>
            </w:r>
            <w:r w:rsidR="009040D5" w:rsidRPr="000E65B7">
              <w:rPr>
                <w:rStyle w:val="quality-text"/>
                <w:rFonts w:ascii="Arial Narrow" w:hAnsi="Arial Narrow"/>
                <w:sz w:val="16"/>
                <w:szCs w:val="16"/>
              </w:rPr>
              <w:t>HIGH</w:t>
            </w:r>
            <w:r w:rsidR="009040D5" w:rsidRPr="000E65B7">
              <w:rPr>
                <w:rFonts w:ascii="Arial Narrow" w:hAnsi="Arial Narrow"/>
                <w:sz w:val="16"/>
                <w:szCs w:val="16"/>
              </w:rPr>
              <w:t xml:space="preserve"> </w:t>
            </w:r>
          </w:p>
        </w:tc>
        <w:tc>
          <w:tcPr>
            <w:tcW w:w="407" w:type="pct"/>
            <w:hideMark/>
          </w:tcPr>
          <w:p w14:paraId="51E22264" w14:textId="77777777" w:rsidR="009040D5" w:rsidRPr="000E65B7" w:rsidRDefault="009040D5" w:rsidP="006459ED">
            <w:pPr>
              <w:jc w:val="left"/>
              <w:rPr>
                <w:rFonts w:ascii="Arial Narrow" w:hAnsi="Arial Narrow"/>
                <w:sz w:val="16"/>
                <w:szCs w:val="16"/>
              </w:rPr>
            </w:pPr>
            <w:r>
              <w:rPr>
                <w:rFonts w:ascii="Arial Narrow" w:hAnsi="Arial Narrow"/>
                <w:sz w:val="16"/>
                <w:szCs w:val="16"/>
              </w:rPr>
              <w:t>CRITICAL</w:t>
            </w:r>
          </w:p>
        </w:tc>
      </w:tr>
      <w:tr w:rsidR="000E65B7" w:rsidRPr="000E65B7" w14:paraId="0AD833CC" w14:textId="77777777" w:rsidTr="009040D5">
        <w:trPr>
          <w:cantSplit/>
        </w:trPr>
        <w:tc>
          <w:tcPr>
            <w:tcW w:w="5000" w:type="pct"/>
            <w:gridSpan w:val="15"/>
            <w:shd w:val="clear" w:color="auto" w:fill="FFFFFF"/>
            <w:hideMark/>
          </w:tcPr>
          <w:p w14:paraId="32D40533" w14:textId="77777777" w:rsidR="000E65B7" w:rsidRPr="000E65B7" w:rsidRDefault="000E65B7" w:rsidP="009040D5">
            <w:pPr>
              <w:jc w:val="left"/>
              <w:rPr>
                <w:rFonts w:ascii="Arial Narrow" w:hAnsi="Arial Narrow"/>
                <w:b/>
                <w:bCs/>
                <w:color w:val="000000"/>
                <w:sz w:val="16"/>
                <w:szCs w:val="16"/>
              </w:rPr>
            </w:pPr>
            <w:r w:rsidRPr="000E65B7">
              <w:rPr>
                <w:rStyle w:val="label"/>
                <w:rFonts w:ascii="Arial Narrow" w:hAnsi="Arial Narrow"/>
                <w:b/>
                <w:bCs/>
                <w:color w:val="000000"/>
                <w:sz w:val="16"/>
                <w:szCs w:val="16"/>
              </w:rPr>
              <w:t>ECZ compared with no ECZ (assessed with first adjudicated relapse)</w:t>
            </w:r>
          </w:p>
        </w:tc>
      </w:tr>
      <w:tr w:rsidR="009040D5" w:rsidRPr="000E65B7" w14:paraId="67324CBC" w14:textId="77777777" w:rsidTr="006459ED">
        <w:trPr>
          <w:cantSplit/>
          <w:trHeight w:val="541"/>
        </w:trPr>
        <w:tc>
          <w:tcPr>
            <w:tcW w:w="468" w:type="pct"/>
            <w:hideMark/>
          </w:tcPr>
          <w:p w14:paraId="4E727084" w14:textId="77777777" w:rsidR="004F4ACD" w:rsidRDefault="004F4ACD" w:rsidP="006459ED">
            <w:pPr>
              <w:jc w:val="left"/>
              <w:rPr>
                <w:rFonts w:ascii="Arial Narrow" w:hAnsi="Arial Narrow"/>
                <w:sz w:val="16"/>
                <w:szCs w:val="16"/>
              </w:rPr>
            </w:pPr>
            <w:r>
              <w:rPr>
                <w:rFonts w:ascii="Arial Narrow" w:hAnsi="Arial Narrow"/>
                <w:sz w:val="16"/>
                <w:szCs w:val="16"/>
              </w:rPr>
              <w:t>K=</w:t>
            </w:r>
            <w:r w:rsidR="009040D5" w:rsidRPr="000E65B7">
              <w:rPr>
                <w:rFonts w:ascii="Arial Narrow" w:hAnsi="Arial Narrow"/>
                <w:sz w:val="16"/>
                <w:szCs w:val="16"/>
              </w:rPr>
              <w:t>1</w:t>
            </w:r>
          </w:p>
          <w:p w14:paraId="2347CA6A" w14:textId="6D8D1818" w:rsidR="009040D5" w:rsidRPr="000E65B7" w:rsidRDefault="004F4ACD" w:rsidP="006459ED">
            <w:pPr>
              <w:jc w:val="left"/>
              <w:rPr>
                <w:rFonts w:ascii="Arial Narrow" w:hAnsi="Arial Narrow"/>
                <w:sz w:val="16"/>
                <w:szCs w:val="16"/>
              </w:rPr>
            </w:pPr>
            <w:r>
              <w:rPr>
                <w:rFonts w:ascii="Arial Narrow" w:hAnsi="Arial Narrow"/>
                <w:sz w:val="16"/>
                <w:szCs w:val="16"/>
              </w:rPr>
              <w:t>N=143</w:t>
            </w:r>
            <w:r w:rsidR="009040D5" w:rsidRPr="000E65B7">
              <w:rPr>
                <w:rFonts w:ascii="Arial Narrow" w:hAnsi="Arial Narrow"/>
                <w:sz w:val="16"/>
                <w:szCs w:val="16"/>
              </w:rPr>
              <w:t xml:space="preserve"> </w:t>
            </w:r>
          </w:p>
        </w:tc>
        <w:tc>
          <w:tcPr>
            <w:tcW w:w="328" w:type="pct"/>
            <w:hideMark/>
          </w:tcPr>
          <w:p w14:paraId="142D0BEB"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randomised trials </w:t>
            </w:r>
          </w:p>
        </w:tc>
        <w:tc>
          <w:tcPr>
            <w:tcW w:w="328" w:type="pct"/>
            <w:hideMark/>
          </w:tcPr>
          <w:p w14:paraId="1F2EEDD2"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74" w:type="pct"/>
            <w:hideMark/>
          </w:tcPr>
          <w:p w14:paraId="666654A6"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29" w:type="pct"/>
            <w:hideMark/>
          </w:tcPr>
          <w:p w14:paraId="7ECA4974"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28" w:type="pct"/>
            <w:hideMark/>
          </w:tcPr>
          <w:p w14:paraId="3170EF96"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not serious </w:t>
            </w:r>
          </w:p>
        </w:tc>
        <w:tc>
          <w:tcPr>
            <w:tcW w:w="361" w:type="pct"/>
            <w:hideMark/>
          </w:tcPr>
          <w:p w14:paraId="54A41E7D"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 xml:space="preserve">strong association </w:t>
            </w:r>
          </w:p>
        </w:tc>
        <w:tc>
          <w:tcPr>
            <w:tcW w:w="402" w:type="pct"/>
            <w:hideMark/>
          </w:tcPr>
          <w:p w14:paraId="373288D0" w14:textId="77777777" w:rsidR="009040D5" w:rsidRPr="000E65B7" w:rsidRDefault="009040D5" w:rsidP="006459ED">
            <w:pPr>
              <w:jc w:val="left"/>
              <w:rPr>
                <w:rFonts w:ascii="Arial Narrow" w:hAnsi="Arial Narrow"/>
                <w:sz w:val="16"/>
                <w:szCs w:val="16"/>
              </w:rPr>
            </w:pPr>
            <w:r>
              <w:rPr>
                <w:rFonts w:ascii="Arial Narrow" w:hAnsi="Arial Narrow"/>
                <w:sz w:val="16"/>
                <w:szCs w:val="16"/>
              </w:rPr>
              <w:t>3</w:t>
            </w:r>
            <w:r w:rsidRPr="000E65B7">
              <w:rPr>
                <w:rFonts w:ascii="Arial Narrow" w:hAnsi="Arial Narrow"/>
                <w:sz w:val="16"/>
                <w:szCs w:val="16"/>
              </w:rPr>
              <w:t>%</w:t>
            </w:r>
          </w:p>
        </w:tc>
        <w:tc>
          <w:tcPr>
            <w:tcW w:w="402" w:type="pct"/>
            <w:gridSpan w:val="2"/>
          </w:tcPr>
          <w:p w14:paraId="28B76084" w14:textId="77777777" w:rsidR="009040D5" w:rsidRPr="000E65B7" w:rsidRDefault="009040D5" w:rsidP="006459ED">
            <w:pPr>
              <w:jc w:val="left"/>
              <w:rPr>
                <w:rFonts w:ascii="Arial Narrow" w:hAnsi="Arial Narrow"/>
                <w:sz w:val="16"/>
                <w:szCs w:val="16"/>
              </w:rPr>
            </w:pPr>
            <w:r w:rsidRPr="000E65B7">
              <w:rPr>
                <w:rFonts w:ascii="Arial Narrow" w:hAnsi="Arial Narrow"/>
                <w:sz w:val="16"/>
                <w:szCs w:val="16"/>
              </w:rPr>
              <w:t>43%</w:t>
            </w:r>
          </w:p>
        </w:tc>
        <w:tc>
          <w:tcPr>
            <w:tcW w:w="427" w:type="pct"/>
            <w:gridSpan w:val="2"/>
          </w:tcPr>
          <w:p w14:paraId="1DFE7056" w14:textId="77777777" w:rsidR="009040D5" w:rsidRDefault="009040D5" w:rsidP="006459ED">
            <w:pPr>
              <w:jc w:val="left"/>
              <w:rPr>
                <w:rFonts w:ascii="Arial Narrow" w:hAnsi="Arial Narrow"/>
                <w:sz w:val="16"/>
                <w:szCs w:val="16"/>
              </w:rPr>
            </w:pPr>
            <w:r w:rsidRPr="000E65B7">
              <w:rPr>
                <w:rFonts w:ascii="Arial Narrow" w:hAnsi="Arial Narrow"/>
                <w:sz w:val="16"/>
                <w:szCs w:val="16"/>
              </w:rPr>
              <w:t xml:space="preserve">HR 0.06 </w:t>
            </w:r>
            <w:r w:rsidR="005B189A">
              <w:rPr>
                <w:rFonts w:ascii="Arial Narrow" w:hAnsi="Arial Narrow"/>
                <w:sz w:val="16"/>
                <w:szCs w:val="16"/>
              </w:rPr>
              <w:br/>
            </w:r>
            <w:r w:rsidRPr="000E65B7">
              <w:rPr>
                <w:rFonts w:ascii="Arial Narrow" w:hAnsi="Arial Narrow"/>
                <w:sz w:val="16"/>
                <w:szCs w:val="16"/>
              </w:rPr>
              <w:t>(0.02, 0.20)</w:t>
            </w:r>
          </w:p>
          <w:p w14:paraId="4528588D" w14:textId="77777777" w:rsidR="009040D5" w:rsidRPr="000E65B7" w:rsidRDefault="009040D5" w:rsidP="006459ED">
            <w:pPr>
              <w:jc w:val="left"/>
              <w:rPr>
                <w:rFonts w:ascii="Arial Narrow" w:hAnsi="Arial Narrow"/>
                <w:sz w:val="16"/>
                <w:szCs w:val="16"/>
              </w:rPr>
            </w:pPr>
            <w:r>
              <w:rPr>
                <w:rFonts w:ascii="Arial Narrow" w:hAnsi="Arial Narrow"/>
                <w:sz w:val="16"/>
                <w:szCs w:val="16"/>
              </w:rPr>
              <w:t>p&lt;0.001</w:t>
            </w:r>
          </w:p>
        </w:tc>
        <w:tc>
          <w:tcPr>
            <w:tcW w:w="377" w:type="pct"/>
          </w:tcPr>
          <w:p w14:paraId="37D9F3BD" w14:textId="77777777" w:rsidR="009040D5" w:rsidRPr="000E65B7" w:rsidRDefault="009040D5" w:rsidP="006459ED">
            <w:pPr>
              <w:jc w:val="left"/>
              <w:rPr>
                <w:rFonts w:ascii="Arial Narrow" w:hAnsi="Arial Narrow"/>
                <w:sz w:val="16"/>
                <w:szCs w:val="16"/>
              </w:rPr>
            </w:pPr>
            <w:r>
              <w:rPr>
                <w:rFonts w:ascii="Arial Narrow" w:hAnsi="Arial Narrow"/>
                <w:sz w:val="16"/>
                <w:szCs w:val="16"/>
              </w:rPr>
              <w:t>NA</w:t>
            </w:r>
          </w:p>
        </w:tc>
        <w:tc>
          <w:tcPr>
            <w:tcW w:w="469" w:type="pct"/>
            <w:hideMark/>
          </w:tcPr>
          <w:p w14:paraId="3F685D52" w14:textId="77777777" w:rsidR="009040D5" w:rsidRPr="000E65B7" w:rsidRDefault="005B189A" w:rsidP="006459ED">
            <w:pPr>
              <w:jc w:val="left"/>
              <w:rPr>
                <w:rFonts w:ascii="Arial Narrow" w:hAnsi="Arial Narrow"/>
                <w:sz w:val="16"/>
                <w:szCs w:val="16"/>
              </w:rPr>
            </w:pPr>
            <w:r w:rsidRPr="00D4733A">
              <w:rPr>
                <w:rFonts w:ascii="Cambria Math" w:hAnsi="Cambria Math"/>
                <w:color w:val="00B050"/>
              </w:rPr>
              <w:t>⨁⨁⨁⨁</w:t>
            </w:r>
            <w:r w:rsidR="009040D5" w:rsidRPr="000E65B7">
              <w:rPr>
                <w:rFonts w:ascii="Arial Narrow" w:hAnsi="Arial Narrow"/>
                <w:sz w:val="16"/>
                <w:szCs w:val="16"/>
              </w:rPr>
              <w:br/>
            </w:r>
            <w:r w:rsidR="009040D5" w:rsidRPr="000E65B7">
              <w:rPr>
                <w:rStyle w:val="quality-text"/>
                <w:rFonts w:ascii="Arial Narrow" w:hAnsi="Arial Narrow"/>
                <w:sz w:val="16"/>
                <w:szCs w:val="16"/>
              </w:rPr>
              <w:t>HIGH</w:t>
            </w:r>
            <w:r w:rsidR="009040D5" w:rsidRPr="000E65B7">
              <w:rPr>
                <w:rFonts w:ascii="Arial Narrow" w:hAnsi="Arial Narrow"/>
                <w:sz w:val="16"/>
                <w:szCs w:val="16"/>
              </w:rPr>
              <w:t xml:space="preserve"> </w:t>
            </w:r>
          </w:p>
        </w:tc>
        <w:tc>
          <w:tcPr>
            <w:tcW w:w="407" w:type="pct"/>
            <w:hideMark/>
          </w:tcPr>
          <w:p w14:paraId="21D0ED74" w14:textId="77777777" w:rsidR="009040D5" w:rsidRPr="000E65B7" w:rsidRDefault="005B189A" w:rsidP="006459ED">
            <w:pPr>
              <w:jc w:val="left"/>
              <w:rPr>
                <w:rFonts w:ascii="Arial Narrow" w:hAnsi="Arial Narrow"/>
                <w:sz w:val="16"/>
                <w:szCs w:val="16"/>
              </w:rPr>
            </w:pPr>
            <w:r>
              <w:rPr>
                <w:rFonts w:ascii="Arial Narrow" w:hAnsi="Arial Narrow"/>
                <w:sz w:val="16"/>
                <w:szCs w:val="16"/>
              </w:rPr>
              <w:t>CRITICAL</w:t>
            </w:r>
          </w:p>
        </w:tc>
      </w:tr>
    </w:tbl>
    <w:p w14:paraId="0FB6C116" w14:textId="77777777" w:rsidR="000E65B7" w:rsidRPr="00C05F0C" w:rsidRDefault="00700899" w:rsidP="005B189A">
      <w:pPr>
        <w:spacing w:after="80"/>
        <w:rPr>
          <w:rFonts w:ascii="Arial Narrow" w:hAnsi="Arial Narrow"/>
          <w:sz w:val="16"/>
          <w:szCs w:val="16"/>
          <w:lang w:val="en"/>
        </w:rPr>
      </w:pPr>
      <w:r w:rsidRPr="00EA6789">
        <w:rPr>
          <w:rFonts w:ascii="Arial Narrow" w:hAnsi="Arial Narrow" w:cs="Times New Roman"/>
          <w:color w:val="000000"/>
          <w:sz w:val="16"/>
          <w:szCs w:val="16"/>
          <w:lang w:val="en"/>
        </w:rPr>
        <w:t>CI:</w:t>
      </w:r>
      <w:r w:rsidRPr="001E36E9">
        <w:rPr>
          <w:rFonts w:ascii="Arial Narrow" w:hAnsi="Arial Narrow" w:cs="Times New Roman"/>
          <w:color w:val="000000"/>
          <w:sz w:val="16"/>
          <w:szCs w:val="16"/>
          <w:lang w:val="en"/>
        </w:rPr>
        <w:t xml:space="preserve"> Confidence interval</w:t>
      </w:r>
      <w:r w:rsidR="000E65B7">
        <w:rPr>
          <w:rFonts w:ascii="Arial Narrow" w:hAnsi="Arial Narrow" w:cs="Times New Roman"/>
          <w:color w:val="000000"/>
          <w:sz w:val="16"/>
          <w:szCs w:val="16"/>
          <w:lang w:val="en"/>
        </w:rPr>
        <w:t xml:space="preserve">; </w:t>
      </w:r>
      <w:r w:rsidR="009040D5">
        <w:rPr>
          <w:rFonts w:ascii="Arial Narrow" w:hAnsi="Arial Narrow" w:cs="Times New Roman"/>
          <w:color w:val="000000"/>
          <w:sz w:val="16"/>
          <w:szCs w:val="16"/>
          <w:lang w:val="en"/>
        </w:rPr>
        <w:t xml:space="preserve">ECZ = eculizumab therapy; </w:t>
      </w:r>
      <w:r w:rsidR="00671A22">
        <w:rPr>
          <w:rFonts w:ascii="Arial Narrow" w:hAnsi="Arial Narrow" w:cs="Times New Roman"/>
          <w:color w:val="000000"/>
          <w:sz w:val="16"/>
          <w:szCs w:val="16"/>
          <w:lang w:val="en"/>
        </w:rPr>
        <w:t xml:space="preserve">EDSS = expanded disability severity score; </w:t>
      </w:r>
      <w:r w:rsidR="000E65B7">
        <w:rPr>
          <w:rFonts w:ascii="Arial Narrow" w:hAnsi="Arial Narrow"/>
          <w:sz w:val="16"/>
          <w:szCs w:val="16"/>
          <w:lang w:val="en"/>
        </w:rPr>
        <w:t>HR = hazard ratio; NA = not available; NMOSD = neuromyelitis optica spectrum disorder</w:t>
      </w:r>
      <w:r w:rsidR="00983E2E">
        <w:rPr>
          <w:rFonts w:ascii="Arial Narrow" w:hAnsi="Arial Narrow"/>
          <w:sz w:val="16"/>
          <w:szCs w:val="16"/>
          <w:lang w:val="en"/>
        </w:rPr>
        <w:t>s</w:t>
      </w:r>
      <w:r w:rsidR="000E65B7">
        <w:rPr>
          <w:rFonts w:ascii="Arial Narrow" w:hAnsi="Arial Narrow"/>
          <w:sz w:val="16"/>
          <w:szCs w:val="16"/>
          <w:lang w:val="en"/>
        </w:rPr>
        <w:t xml:space="preserve">; </w:t>
      </w:r>
      <w:r w:rsidR="00671A22">
        <w:rPr>
          <w:rFonts w:ascii="Arial Narrow" w:hAnsi="Arial Narrow"/>
          <w:sz w:val="16"/>
          <w:szCs w:val="16"/>
          <w:lang w:val="en"/>
        </w:rPr>
        <w:t xml:space="preserve">PLEX = plasma exchange therapy; </w:t>
      </w:r>
      <w:r w:rsidR="000E65B7">
        <w:rPr>
          <w:rFonts w:ascii="Arial Narrow" w:hAnsi="Arial Narrow"/>
          <w:sz w:val="16"/>
          <w:szCs w:val="16"/>
          <w:lang w:val="en"/>
        </w:rPr>
        <w:t>RTX = rituximab therapy</w:t>
      </w:r>
    </w:p>
    <w:p w14:paraId="711A14F9" w14:textId="77777777" w:rsidR="005B189A" w:rsidRPr="00C05F0C" w:rsidRDefault="005B189A" w:rsidP="005B189A">
      <w:pPr>
        <w:spacing w:after="80"/>
        <w:rPr>
          <w:rFonts w:ascii="Arial Narrow" w:hAnsi="Arial Narrow"/>
          <w:b/>
          <w:bCs/>
          <w:sz w:val="16"/>
          <w:szCs w:val="16"/>
          <w:lang w:val="en"/>
        </w:rPr>
      </w:pPr>
      <w:r w:rsidRPr="00C05F0C">
        <w:rPr>
          <w:rFonts w:ascii="Arial Narrow" w:hAnsi="Arial Narrow"/>
          <w:b/>
          <w:bCs/>
          <w:sz w:val="16"/>
          <w:szCs w:val="16"/>
          <w:lang w:val="en"/>
        </w:rPr>
        <w:t>Explanations</w:t>
      </w:r>
    </w:p>
    <w:p w14:paraId="10A38634" w14:textId="77777777" w:rsidR="005B189A" w:rsidRPr="00C05F0C" w:rsidRDefault="005B189A" w:rsidP="005B189A">
      <w:pPr>
        <w:rPr>
          <w:rFonts w:ascii="Arial Narrow" w:hAnsi="Arial Narrow"/>
          <w:sz w:val="16"/>
          <w:szCs w:val="16"/>
          <w:lang w:val="en"/>
        </w:rPr>
      </w:pPr>
      <w:r w:rsidRPr="00C05F0C">
        <w:rPr>
          <w:rFonts w:ascii="Arial Narrow" w:hAnsi="Arial Narrow"/>
          <w:sz w:val="16"/>
          <w:szCs w:val="16"/>
          <w:lang w:val="en"/>
        </w:rPr>
        <w:t xml:space="preserve">a. Retrospective study design at risk of selection bias </w:t>
      </w:r>
    </w:p>
    <w:p w14:paraId="6C60222C" w14:textId="77777777" w:rsidR="005B189A" w:rsidRDefault="005B189A" w:rsidP="005B189A">
      <w:pPr>
        <w:pStyle w:val="Tablenotes0"/>
        <w:rPr>
          <w:szCs w:val="18"/>
        </w:rPr>
      </w:pPr>
      <w:r w:rsidRPr="005B189A">
        <w:rPr>
          <w:b/>
          <w:szCs w:val="18"/>
        </w:rPr>
        <w:t>GRADE Working Group grades of evidence (Guyatt et al., 2013)</w:t>
      </w:r>
      <w:r w:rsidRPr="005B189A">
        <w:rPr>
          <w:b/>
          <w:szCs w:val="18"/>
        </w:rPr>
        <w:br/>
      </w:r>
      <w:r w:rsidRPr="00D4733A">
        <w:rPr>
          <w:rFonts w:ascii="Cambria Math" w:hAnsi="Cambria Math"/>
          <w:color w:val="00B050"/>
        </w:rPr>
        <w:t>⨁⨁⨁⨁</w:t>
      </w:r>
      <w:r>
        <w:rPr>
          <w:rFonts w:ascii="Cambria Math" w:hAnsi="Cambria Math"/>
          <w:color w:val="00B050"/>
        </w:rPr>
        <w:t xml:space="preserve"> </w:t>
      </w:r>
      <w:r w:rsidRPr="00E10B76">
        <w:rPr>
          <w:b/>
          <w:bCs/>
          <w:szCs w:val="18"/>
        </w:rPr>
        <w:t>High quality:</w:t>
      </w:r>
      <w:r w:rsidRPr="00E10B76">
        <w:rPr>
          <w:szCs w:val="18"/>
        </w:rPr>
        <w:t xml:space="preserve"> </w:t>
      </w:r>
      <w:r>
        <w:rPr>
          <w:szCs w:val="18"/>
        </w:rPr>
        <w:t>We are very confident that the true effect lies close to that of the estimate of effect.</w:t>
      </w:r>
      <w:r w:rsidRPr="00E10B76">
        <w:rPr>
          <w:szCs w:val="18"/>
        </w:rPr>
        <w:t xml:space="preserve"> </w:t>
      </w:r>
      <w:r w:rsidRPr="00E10B76">
        <w:rPr>
          <w:szCs w:val="18"/>
        </w:rPr>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Moderate quality:</w:t>
      </w:r>
      <w:r w:rsidRPr="00E10B76">
        <w:rPr>
          <w:szCs w:val="18"/>
        </w:rPr>
        <w:t xml:space="preserve"> </w:t>
      </w:r>
      <w:r>
        <w:rPr>
          <w:szCs w:val="18"/>
        </w:rPr>
        <w:t xml:space="preserve">We are moderately confident in the effect estimate: The true effect is likely to be close to the estimate of the effect, but there is a possibility that it is substantially different. </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Low quality:</w:t>
      </w:r>
      <w:r w:rsidRPr="00E10B76">
        <w:rPr>
          <w:szCs w:val="18"/>
        </w:rPr>
        <w:t xml:space="preserve"> </w:t>
      </w:r>
      <w:r>
        <w:rPr>
          <w:szCs w:val="18"/>
        </w:rPr>
        <w:t>Our confidence in the effect estimate is limited: The true effect may be substantially different from the estimate of the effect.</w:t>
      </w:r>
      <w:r w:rsidRPr="00E10B76">
        <w:rPr>
          <w:szCs w:val="18"/>
        </w:rPr>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szCs w:val="18"/>
        </w:rPr>
        <w:t>Very low quality:</w:t>
      </w:r>
      <w:r w:rsidRPr="00E10B76">
        <w:rPr>
          <w:szCs w:val="18"/>
        </w:rPr>
        <w:t xml:space="preserve"> </w:t>
      </w:r>
      <w:r>
        <w:rPr>
          <w:szCs w:val="18"/>
        </w:rPr>
        <w:t>We have very little confidence in the effect estimate: The true effect is likely to be substantially different from the estimate of effect.</w:t>
      </w:r>
    </w:p>
    <w:p w14:paraId="4FACAD9A" w14:textId="77777777" w:rsidR="006E310A" w:rsidRPr="00183E4D" w:rsidRDefault="006E310A" w:rsidP="00ED65EE"/>
    <w:p w14:paraId="2E8CC30A" w14:textId="77777777" w:rsidR="00ED65EE" w:rsidRPr="00F346ED" w:rsidRDefault="00ED65EE" w:rsidP="00ED65EE">
      <w:pPr>
        <w:sectPr w:rsidR="00ED65EE" w:rsidRPr="00F346ED" w:rsidSect="001229D7">
          <w:pgSz w:w="16838" w:h="11906" w:orient="landscape"/>
          <w:pgMar w:top="1440" w:right="851" w:bottom="1440" w:left="851" w:header="720" w:footer="720" w:gutter="0"/>
          <w:paperSrc w:first="7" w:other="7"/>
          <w:cols w:space="720"/>
        </w:sectPr>
      </w:pPr>
    </w:p>
    <w:p w14:paraId="69232528" w14:textId="5E5649D9" w:rsidR="00ED65EE" w:rsidRPr="00183E4D" w:rsidRDefault="00ED65EE" w:rsidP="00ED65EE">
      <w:pPr>
        <w:pStyle w:val="Heading1"/>
        <w:jc w:val="both"/>
      </w:pPr>
      <w:bookmarkStart w:id="651" w:name="_Ref364237293"/>
      <w:bookmarkStart w:id="652" w:name="_Ref363131580"/>
      <w:bookmarkStart w:id="653" w:name="_Toc379118102"/>
      <w:bookmarkStart w:id="654" w:name="_Toc381796506"/>
      <w:bookmarkStart w:id="655" w:name="_Toc39588395"/>
      <w:r w:rsidRPr="00183E4D">
        <w:lastRenderedPageBreak/>
        <w:t xml:space="preserve">Appendix </w:t>
      </w:r>
      <w:r w:rsidR="00E66384">
        <w:rPr>
          <w:noProof/>
        </w:rPr>
        <w:fldChar w:fldCharType="begin"/>
      </w:r>
      <w:r w:rsidR="00E66384">
        <w:rPr>
          <w:noProof/>
        </w:rPr>
        <w:instrText xml:space="preserve"> SEQ Appendix \* ALPHABETIC </w:instrText>
      </w:r>
      <w:r w:rsidR="00E66384">
        <w:rPr>
          <w:noProof/>
        </w:rPr>
        <w:fldChar w:fldCharType="separate"/>
      </w:r>
      <w:r w:rsidR="005E0404">
        <w:rPr>
          <w:noProof/>
        </w:rPr>
        <w:t>E</w:t>
      </w:r>
      <w:r w:rsidR="00E66384">
        <w:rPr>
          <w:noProof/>
        </w:rPr>
        <w:fldChar w:fldCharType="end"/>
      </w:r>
      <w:bookmarkEnd w:id="651"/>
      <w:r w:rsidRPr="00183E4D">
        <w:tab/>
      </w:r>
      <w:bookmarkEnd w:id="635"/>
      <w:bookmarkEnd w:id="652"/>
      <w:bookmarkEnd w:id="653"/>
      <w:bookmarkEnd w:id="654"/>
      <w:r w:rsidRPr="00183E4D">
        <w:t>Excluded Studies</w:t>
      </w:r>
      <w:bookmarkEnd w:id="655"/>
    </w:p>
    <w:bookmarkEnd w:id="636"/>
    <w:p w14:paraId="04555729" w14:textId="77777777" w:rsidR="00ED65EE" w:rsidRDefault="005D7566" w:rsidP="00ED65EE">
      <w:r>
        <w:t xml:space="preserve">Studies which met the inclusion criteria but from which relevant data could not be extracted, full-text articles which </w:t>
      </w:r>
      <w:r w:rsidR="00706BE3">
        <w:t>were not available</w:t>
      </w:r>
      <w:r>
        <w:t xml:space="preserve">, and articles which duplicated data from within studies were excluded and listed in </w:t>
      </w:r>
      <w:r w:rsidR="004C73F7">
        <w:fldChar w:fldCharType="begin"/>
      </w:r>
      <w:r w:rsidR="004C73F7">
        <w:instrText xml:space="preserve"> REF _Ref34129967 \h </w:instrText>
      </w:r>
      <w:r w:rsidR="004C73F7">
        <w:fldChar w:fldCharType="separate"/>
      </w:r>
      <w:r w:rsidR="004C73F7">
        <w:t xml:space="preserve">Table </w:t>
      </w:r>
      <w:r w:rsidR="004C73F7">
        <w:rPr>
          <w:noProof/>
        </w:rPr>
        <w:t>85</w:t>
      </w:r>
      <w:r w:rsidR="004C73F7">
        <w:fldChar w:fldCharType="end"/>
      </w:r>
    </w:p>
    <w:p w14:paraId="58FD7B63" w14:textId="0E4D939F" w:rsidR="004C73F7" w:rsidRDefault="004C73F7" w:rsidP="001E4549">
      <w:pPr>
        <w:pStyle w:val="Caption"/>
      </w:pPr>
      <w:bookmarkStart w:id="656" w:name="_Ref34129967"/>
      <w:bookmarkStart w:id="657" w:name="_Toc39580887"/>
      <w:r>
        <w:t xml:space="preserve">Table </w:t>
      </w:r>
      <w:fldSimple w:instr=" SEQ Table \* ARABIC ">
        <w:r w:rsidR="00FA7BCD">
          <w:rPr>
            <w:noProof/>
          </w:rPr>
          <w:t>106</w:t>
        </w:r>
      </w:fldSimple>
      <w:bookmarkEnd w:id="656"/>
      <w:r>
        <w:tab/>
        <w:t>Articles meeting eligibility criteria but excluded, by reason</w:t>
      </w:r>
      <w:bookmarkEnd w:id="657"/>
    </w:p>
    <w:tbl>
      <w:tblPr>
        <w:tblStyle w:val="TableGrid"/>
        <w:tblW w:w="9781" w:type="dxa"/>
        <w:tblInd w:w="-147" w:type="dxa"/>
        <w:tblLook w:val="04A0" w:firstRow="1" w:lastRow="0" w:firstColumn="1" w:lastColumn="0" w:noHBand="0" w:noVBand="1"/>
        <w:tblCaption w:val="Table 100 Articles meeting eligibility criteria but excluded, by reason"/>
      </w:tblPr>
      <w:tblGrid>
        <w:gridCol w:w="9781"/>
      </w:tblGrid>
      <w:tr w:rsidR="004C73F7" w:rsidRPr="00D41F5E" w14:paraId="595087C3" w14:textId="77777777" w:rsidTr="00706BE3">
        <w:trPr>
          <w:trHeight w:val="300"/>
        </w:trPr>
        <w:tc>
          <w:tcPr>
            <w:tcW w:w="9781" w:type="dxa"/>
            <w:noWrap/>
          </w:tcPr>
          <w:p w14:paraId="0F736759" w14:textId="77777777" w:rsidR="004C73F7" w:rsidRPr="00D41F5E" w:rsidRDefault="004C73F7" w:rsidP="00F31882">
            <w:pPr>
              <w:spacing w:after="0" w:line="259" w:lineRule="auto"/>
              <w:ind w:left="0"/>
              <w:rPr>
                <w:b/>
              </w:rPr>
            </w:pPr>
            <w:r w:rsidRPr="00D41F5E">
              <w:rPr>
                <w:b/>
              </w:rPr>
              <w:t>Could not extract relevant data</w:t>
            </w:r>
          </w:p>
        </w:tc>
      </w:tr>
      <w:tr w:rsidR="005D7566" w:rsidRPr="005D7566" w14:paraId="0944BCBE" w14:textId="77777777" w:rsidTr="00706BE3">
        <w:trPr>
          <w:trHeight w:val="300"/>
        </w:trPr>
        <w:tc>
          <w:tcPr>
            <w:tcW w:w="9781" w:type="dxa"/>
            <w:noWrap/>
            <w:hideMark/>
          </w:tcPr>
          <w:p w14:paraId="01753A28" w14:textId="77777777" w:rsidR="005D7566" w:rsidRPr="005D7566" w:rsidRDefault="005D7566" w:rsidP="009D6DEC">
            <w:pPr>
              <w:spacing w:after="0" w:line="259" w:lineRule="auto"/>
              <w:ind w:left="0"/>
            </w:pPr>
            <w:r w:rsidRPr="005D7566">
              <w:t>Abdeldayem, S. M.,Fathy, S. M.,Awad, E. M.,Hussein, W. R.,El-Wakil, S.  Distinction of neuromyelitis optica from multiple sclerosis: The role of anti-aquaporin-4 antibody. Egyptian Journal of Neurology, Psychiatry and Neurosurgery.  2012. 49:251-257</w:t>
            </w:r>
          </w:p>
        </w:tc>
      </w:tr>
      <w:tr w:rsidR="005D7566" w:rsidRPr="005D7566" w14:paraId="6057D88D" w14:textId="77777777" w:rsidTr="00706BE3">
        <w:trPr>
          <w:trHeight w:val="300"/>
        </w:trPr>
        <w:tc>
          <w:tcPr>
            <w:tcW w:w="9781" w:type="dxa"/>
            <w:noWrap/>
            <w:hideMark/>
          </w:tcPr>
          <w:p w14:paraId="2D097EF2" w14:textId="77777777" w:rsidR="005D7566" w:rsidRPr="005D7566" w:rsidRDefault="005D7566" w:rsidP="009D6DEC">
            <w:pPr>
              <w:spacing w:after="0" w:line="259" w:lineRule="auto"/>
              <w:ind w:left="0"/>
            </w:pPr>
            <w:r w:rsidRPr="005D7566">
              <w:t>Abdullah, S.,Wong, W. F.,Tan, C. T</w:t>
            </w:r>
            <w:r w:rsidR="009D6DEC">
              <w:t>.</w:t>
            </w:r>
            <w:r w:rsidRPr="005D7566">
              <w:t xml:space="preserve"> The Prevalence of Anti-Aquaporin 4 Antibody in Patients with Idiopathic Inflammatory Demyelinating Diseases Presented to a Tertiary Hospital in Malaysia: Presentation and Prognosis. Multiple </w:t>
            </w:r>
            <w:r w:rsidR="00D41F5E">
              <w:t>Sclerosis International.  2017.</w:t>
            </w:r>
          </w:p>
        </w:tc>
      </w:tr>
      <w:tr w:rsidR="005D7566" w:rsidRPr="005D7566" w14:paraId="29DC05CB" w14:textId="77777777" w:rsidTr="00706BE3">
        <w:trPr>
          <w:trHeight w:val="300"/>
        </w:trPr>
        <w:tc>
          <w:tcPr>
            <w:tcW w:w="9781" w:type="dxa"/>
            <w:noWrap/>
            <w:hideMark/>
          </w:tcPr>
          <w:p w14:paraId="251B781F" w14:textId="77777777" w:rsidR="005D7566" w:rsidRPr="005D7566" w:rsidRDefault="005D7566" w:rsidP="009D6DEC">
            <w:pPr>
              <w:spacing w:after="0" w:line="259" w:lineRule="auto"/>
              <w:ind w:left="0"/>
            </w:pPr>
            <w:r w:rsidRPr="005D7566">
              <w:t>Absoud, M.,Lim, M. J.,Appleton, R.,</w:t>
            </w:r>
            <w:r w:rsidR="00D41F5E">
              <w:t xml:space="preserve"> et al</w:t>
            </w:r>
            <w:r w:rsidRPr="005D7566">
              <w:t>.  Paediatric neuromyelitis optica: clinical, MRI of the brain and prognostic features. J Neurol Neurosurg Psychiatry.  2015. 86:470-2</w:t>
            </w:r>
          </w:p>
        </w:tc>
      </w:tr>
      <w:tr w:rsidR="005D7566" w:rsidRPr="005D7566" w14:paraId="6D8D558B" w14:textId="77777777" w:rsidTr="00706BE3">
        <w:trPr>
          <w:trHeight w:val="300"/>
        </w:trPr>
        <w:tc>
          <w:tcPr>
            <w:tcW w:w="9781" w:type="dxa"/>
            <w:noWrap/>
            <w:hideMark/>
          </w:tcPr>
          <w:p w14:paraId="78D70FFD" w14:textId="77777777" w:rsidR="005D7566" w:rsidRPr="005D7566" w:rsidRDefault="005D7566" w:rsidP="009D6DEC">
            <w:pPr>
              <w:spacing w:after="0" w:line="259" w:lineRule="auto"/>
              <w:ind w:left="0"/>
            </w:pPr>
            <w:r w:rsidRPr="005D7566">
              <w:t>Adoni, T.,Lino, A. M.,Marchiori, P. E.,Kok, F.,Callegaro, D.  Seroprevalence of NMO-IgG antibody in Brazilian patients with neuromyelitis optica. Arq Neuropsiquiatr.  2008. 66:295-7</w:t>
            </w:r>
          </w:p>
        </w:tc>
      </w:tr>
      <w:tr w:rsidR="005D7566" w:rsidRPr="005D7566" w14:paraId="3F720A81" w14:textId="77777777" w:rsidTr="00706BE3">
        <w:trPr>
          <w:trHeight w:val="300"/>
        </w:trPr>
        <w:tc>
          <w:tcPr>
            <w:tcW w:w="9781" w:type="dxa"/>
            <w:noWrap/>
            <w:hideMark/>
          </w:tcPr>
          <w:p w14:paraId="6217A06B" w14:textId="77777777" w:rsidR="005D7566" w:rsidRPr="005D7566" w:rsidRDefault="005D7566" w:rsidP="00F31882">
            <w:pPr>
              <w:spacing w:after="0" w:line="259" w:lineRule="auto"/>
              <w:ind w:left="0"/>
            </w:pPr>
            <w:r w:rsidRPr="005D7566">
              <w:t>Akaishi, T.,Kaneko, K.,Himori, N.,</w:t>
            </w:r>
            <w:r w:rsidR="00D41F5E">
              <w:t xml:space="preserve"> et al</w:t>
            </w:r>
            <w:r w:rsidRPr="005D7566">
              <w:t>.  Subclinical retinal atrophy in the unaffected fellow eyes of multiple sclerosis and neuromyelitis optica. J Neuroimmunol.  2017. 313:10-15</w:t>
            </w:r>
          </w:p>
        </w:tc>
      </w:tr>
      <w:tr w:rsidR="005D7566" w:rsidRPr="005D7566" w14:paraId="32BE1067" w14:textId="77777777" w:rsidTr="00706BE3">
        <w:trPr>
          <w:trHeight w:val="300"/>
        </w:trPr>
        <w:tc>
          <w:tcPr>
            <w:tcW w:w="9781" w:type="dxa"/>
            <w:noWrap/>
            <w:hideMark/>
          </w:tcPr>
          <w:p w14:paraId="1509C458" w14:textId="77777777" w:rsidR="005D7566" w:rsidRPr="005D7566" w:rsidRDefault="005D7566" w:rsidP="009D6DEC">
            <w:pPr>
              <w:spacing w:after="0" w:line="259" w:lineRule="auto"/>
              <w:ind w:left="0"/>
            </w:pPr>
            <w:r w:rsidRPr="005D7566">
              <w:t>Akaishi, T.,Takahashi, T.,Nakashima, I.  Chloride imbalance between serum and CSF in the acute phase of neuromyelitis optica. J Neuroimmunol.  2018. 315:45-49</w:t>
            </w:r>
          </w:p>
        </w:tc>
      </w:tr>
      <w:tr w:rsidR="005D7566" w:rsidRPr="005D7566" w14:paraId="3E973DA9" w14:textId="77777777" w:rsidTr="00706BE3">
        <w:trPr>
          <w:trHeight w:val="300"/>
        </w:trPr>
        <w:tc>
          <w:tcPr>
            <w:tcW w:w="9781" w:type="dxa"/>
            <w:noWrap/>
            <w:hideMark/>
          </w:tcPr>
          <w:p w14:paraId="40880E3E" w14:textId="77777777" w:rsidR="005D7566" w:rsidRPr="005D7566" w:rsidRDefault="005D7566" w:rsidP="00F31882">
            <w:pPr>
              <w:spacing w:after="0" w:line="259" w:lineRule="auto"/>
              <w:ind w:left="0"/>
            </w:pPr>
            <w:r w:rsidRPr="005D7566">
              <w:t>Akaza, M.,Tanaka, K.,Tanaka, M.,</w:t>
            </w:r>
            <w:r w:rsidR="00D41F5E">
              <w:t xml:space="preserve"> et al</w:t>
            </w:r>
            <w:r w:rsidRPr="005D7566">
              <w:t>.  Can anti-AQP4 antibody damage the blood-brain barrier?. Eur Neurol.  2014. 72:273-7</w:t>
            </w:r>
          </w:p>
        </w:tc>
      </w:tr>
      <w:tr w:rsidR="005D7566" w:rsidRPr="005D7566" w14:paraId="71253C14" w14:textId="77777777" w:rsidTr="00706BE3">
        <w:trPr>
          <w:trHeight w:val="300"/>
        </w:trPr>
        <w:tc>
          <w:tcPr>
            <w:tcW w:w="9781" w:type="dxa"/>
            <w:noWrap/>
            <w:hideMark/>
          </w:tcPr>
          <w:p w14:paraId="4B254DC4" w14:textId="77777777" w:rsidR="005D7566" w:rsidRPr="005D7566" w:rsidRDefault="005D7566" w:rsidP="00F31882">
            <w:pPr>
              <w:spacing w:after="0" w:line="259" w:lineRule="auto"/>
              <w:ind w:left="0"/>
            </w:pPr>
            <w:r w:rsidRPr="005D7566">
              <w:t>Alexopoulos, H.,Kampylafka, E. I.,Chatzi, I.,</w:t>
            </w:r>
            <w:r w:rsidR="00D41F5E">
              <w:t xml:space="preserve"> et al</w:t>
            </w:r>
            <w:r w:rsidRPr="005D7566">
              <w:t>.  Reactivity to AQP4 epitopes in relapsing-remitting multiple sclerosis. J Neuroimmunol.  2013. 260:117-20</w:t>
            </w:r>
          </w:p>
        </w:tc>
      </w:tr>
      <w:tr w:rsidR="005D7566" w:rsidRPr="005D7566" w14:paraId="680B63DB" w14:textId="77777777" w:rsidTr="00706BE3">
        <w:trPr>
          <w:trHeight w:val="300"/>
        </w:trPr>
        <w:tc>
          <w:tcPr>
            <w:tcW w:w="9781" w:type="dxa"/>
            <w:noWrap/>
            <w:hideMark/>
          </w:tcPr>
          <w:p w14:paraId="3C7ED057" w14:textId="77777777" w:rsidR="005D7566" w:rsidRPr="005D7566" w:rsidRDefault="005D7566" w:rsidP="009D6DEC">
            <w:pPr>
              <w:spacing w:after="0" w:line="259" w:lineRule="auto"/>
              <w:ind w:left="0"/>
            </w:pPr>
            <w:r w:rsidRPr="005D7566">
              <w:t>Al-Khathaami, A. M.,Yunus, F.,Alamgir, M. J.,Kojan, S.,Aljumah, M.  Neuromyelitis optica and neuromyelitisoptica-IgG seropositivity in Saudis with demyelinating diseases of the central nervous system. Neurology Asia.  2014. 19:295-300</w:t>
            </w:r>
          </w:p>
        </w:tc>
      </w:tr>
      <w:tr w:rsidR="005D7566" w:rsidRPr="005D7566" w14:paraId="3DE55220" w14:textId="77777777" w:rsidTr="00706BE3">
        <w:trPr>
          <w:trHeight w:val="300"/>
        </w:trPr>
        <w:tc>
          <w:tcPr>
            <w:tcW w:w="9781" w:type="dxa"/>
            <w:noWrap/>
            <w:hideMark/>
          </w:tcPr>
          <w:p w14:paraId="1802C8FD" w14:textId="77777777" w:rsidR="005D7566" w:rsidRPr="005D7566" w:rsidRDefault="005D7566" w:rsidP="00F31882">
            <w:pPr>
              <w:spacing w:after="0" w:line="259" w:lineRule="auto"/>
              <w:ind w:left="0"/>
            </w:pPr>
            <w:r w:rsidRPr="005D7566">
              <w:t>Altintas, A.,Karabudak, R.,Balci, B. P.,</w:t>
            </w:r>
            <w:r w:rsidR="00D41F5E">
              <w:t xml:space="preserve"> et al</w:t>
            </w:r>
            <w:r w:rsidRPr="005D7566">
              <w:t>.  Neuromyelitis Optica and Neuromyelitis Optica Spectrum Disorder Patients in Turkish Cohort: Demographic, Clinical, and Laboratory Features. Neurologist.  2015. 20:61-6</w:t>
            </w:r>
          </w:p>
        </w:tc>
      </w:tr>
      <w:tr w:rsidR="005D7566" w:rsidRPr="005D7566" w14:paraId="21B17005" w14:textId="77777777" w:rsidTr="00706BE3">
        <w:trPr>
          <w:trHeight w:val="300"/>
        </w:trPr>
        <w:tc>
          <w:tcPr>
            <w:tcW w:w="9781" w:type="dxa"/>
            <w:noWrap/>
            <w:hideMark/>
          </w:tcPr>
          <w:p w14:paraId="218C62A7" w14:textId="77777777" w:rsidR="005D7566" w:rsidRPr="005D7566" w:rsidRDefault="005D7566" w:rsidP="009D6DEC">
            <w:pPr>
              <w:spacing w:after="0" w:line="259" w:lineRule="auto"/>
              <w:ind w:left="0"/>
            </w:pPr>
            <w:r w:rsidRPr="005D7566">
              <w:t>Altıokka-Uzun, G.,Erdağ, E.,Baykan, B.,</w:t>
            </w:r>
            <w:r w:rsidR="00D41F5E">
              <w:t xml:space="preserve"> </w:t>
            </w:r>
            <w:r w:rsidR="00E5100F">
              <w:t xml:space="preserve"> et al</w:t>
            </w:r>
            <w:r w:rsidRPr="005D7566">
              <w:t>.  Glial and neuronal antibodies in patients with idiopathic intracranial hypertension. Neurological Sciences.  2017. 38:1817-1822</w:t>
            </w:r>
          </w:p>
        </w:tc>
      </w:tr>
      <w:tr w:rsidR="005D7566" w:rsidRPr="005D7566" w14:paraId="741BCE40" w14:textId="77777777" w:rsidTr="00706BE3">
        <w:trPr>
          <w:trHeight w:val="300"/>
        </w:trPr>
        <w:tc>
          <w:tcPr>
            <w:tcW w:w="9781" w:type="dxa"/>
            <w:noWrap/>
            <w:hideMark/>
          </w:tcPr>
          <w:p w14:paraId="2F233101" w14:textId="77777777" w:rsidR="005D7566" w:rsidRPr="005D7566" w:rsidRDefault="005D7566" w:rsidP="009D6DEC">
            <w:pPr>
              <w:spacing w:after="0" w:line="259" w:lineRule="auto"/>
              <w:ind w:left="0"/>
            </w:pPr>
            <w:r w:rsidRPr="005D7566">
              <w:t>Alvarenga, M. P.,Alvarenga, R. M. P.,Alvarenga, M. P.,Santos, A. M.,Thuler, L. C. S.  Anti-AQP4 antibody in idiopathic acute transverse myelitis with recurrent clinical course: Frequency of positivity and influence in prognosis. Journal of Spinal Cord Medicine.  2012. 35:251-255</w:t>
            </w:r>
          </w:p>
        </w:tc>
      </w:tr>
      <w:tr w:rsidR="005D7566" w:rsidRPr="005D7566" w14:paraId="2BCDD92C" w14:textId="77777777" w:rsidTr="00706BE3">
        <w:trPr>
          <w:trHeight w:val="300"/>
        </w:trPr>
        <w:tc>
          <w:tcPr>
            <w:tcW w:w="9781" w:type="dxa"/>
            <w:noWrap/>
            <w:hideMark/>
          </w:tcPr>
          <w:p w14:paraId="69C453C0" w14:textId="77777777" w:rsidR="005D7566" w:rsidRPr="005D7566" w:rsidRDefault="005D7566" w:rsidP="009D6DEC">
            <w:pPr>
              <w:spacing w:after="0" w:line="259" w:lineRule="auto"/>
              <w:ind w:left="0"/>
            </w:pPr>
            <w:r w:rsidRPr="005D7566">
              <w:t>Ambika, S.,Balasubramanian, M.,Theresa, L.,Veeraputhiran, A.,Arjundas, D.  Aquaporin 4 antibody [NMO Ab] status in patients with severe optic neuritis in India. Int Ophthalmol.  2015. 35:801-6</w:t>
            </w:r>
          </w:p>
        </w:tc>
      </w:tr>
      <w:tr w:rsidR="005D7566" w:rsidRPr="005D7566" w14:paraId="17E28952" w14:textId="77777777" w:rsidTr="00706BE3">
        <w:trPr>
          <w:trHeight w:val="300"/>
        </w:trPr>
        <w:tc>
          <w:tcPr>
            <w:tcW w:w="9781" w:type="dxa"/>
            <w:noWrap/>
            <w:hideMark/>
          </w:tcPr>
          <w:p w14:paraId="13114075" w14:textId="77777777" w:rsidR="005D7566" w:rsidRPr="005D7566" w:rsidRDefault="005D7566" w:rsidP="00F31882">
            <w:pPr>
              <w:spacing w:after="0" w:line="259" w:lineRule="auto"/>
              <w:ind w:left="0"/>
            </w:pPr>
            <w:r w:rsidRPr="005D7566">
              <w:t>Apiwattanakul, M.,Asawavichienjinda, T.,Pulkes, T.,</w:t>
            </w:r>
            <w:r w:rsidR="00E5100F">
              <w:t xml:space="preserve"> et al</w:t>
            </w:r>
            <w:r w:rsidRPr="005D7566">
              <w:t>.  Diagnostic utility of NMO/AQP4-IgG in evaluating CNS inflammatory disease in Thai patients. J Neurol Sci.  2012. 320:118-20</w:t>
            </w:r>
          </w:p>
        </w:tc>
      </w:tr>
      <w:tr w:rsidR="005D7566" w:rsidRPr="005D7566" w14:paraId="606AD47C" w14:textId="77777777" w:rsidTr="00706BE3">
        <w:trPr>
          <w:trHeight w:val="300"/>
        </w:trPr>
        <w:tc>
          <w:tcPr>
            <w:tcW w:w="9781" w:type="dxa"/>
            <w:noWrap/>
            <w:hideMark/>
          </w:tcPr>
          <w:p w14:paraId="68BAC6D5" w14:textId="77777777" w:rsidR="005D7566" w:rsidRPr="005D7566" w:rsidRDefault="005D7566" w:rsidP="009D6DEC">
            <w:pPr>
              <w:spacing w:after="0" w:line="259" w:lineRule="auto"/>
              <w:ind w:left="0"/>
            </w:pPr>
            <w:r w:rsidRPr="005D7566">
              <w:t>Apiwattanakul, M.,Kasemsuk, C.  NMO spectrum disorders comprise the major portion of CNS inflammatory diseases in Thai patients: A cross sectional study. Multiple Sclerosis and Related Disorders.  2014. 3:61-66</w:t>
            </w:r>
          </w:p>
        </w:tc>
      </w:tr>
      <w:tr w:rsidR="005D7566" w:rsidRPr="005D7566" w14:paraId="60D3434C" w14:textId="77777777" w:rsidTr="00706BE3">
        <w:trPr>
          <w:trHeight w:val="300"/>
        </w:trPr>
        <w:tc>
          <w:tcPr>
            <w:tcW w:w="9781" w:type="dxa"/>
            <w:noWrap/>
            <w:hideMark/>
          </w:tcPr>
          <w:p w14:paraId="7D668397" w14:textId="77777777" w:rsidR="005D7566" w:rsidRPr="005D7566" w:rsidRDefault="005D7566" w:rsidP="00F31882">
            <w:pPr>
              <w:spacing w:after="0" w:line="259" w:lineRule="auto"/>
              <w:ind w:left="0"/>
            </w:pPr>
            <w:r w:rsidRPr="005D7566">
              <w:t>Araki, M.,Matsuoka, T.,Miyamoto, K.,</w:t>
            </w:r>
            <w:r w:rsidR="00E5100F">
              <w:t xml:space="preserve"> et al</w:t>
            </w:r>
            <w:r w:rsidRPr="005D7566">
              <w:t>.  Efficacy of the anti-IL-6 receptor antibody tocilizumab in neuromyelitis optica: a pilot study. Neurology.  2014. 82:1302-6</w:t>
            </w:r>
          </w:p>
        </w:tc>
      </w:tr>
      <w:tr w:rsidR="005D7566" w:rsidRPr="005D7566" w14:paraId="07848F20" w14:textId="77777777" w:rsidTr="00706BE3">
        <w:trPr>
          <w:trHeight w:val="300"/>
        </w:trPr>
        <w:tc>
          <w:tcPr>
            <w:tcW w:w="9781" w:type="dxa"/>
            <w:noWrap/>
            <w:hideMark/>
          </w:tcPr>
          <w:p w14:paraId="23C995CD" w14:textId="77777777" w:rsidR="005D7566" w:rsidRPr="005D7566" w:rsidRDefault="005D7566" w:rsidP="009D6DEC">
            <w:pPr>
              <w:spacing w:after="0" w:line="259" w:lineRule="auto"/>
              <w:ind w:left="0"/>
            </w:pPr>
            <w:r w:rsidRPr="005D7566">
              <w:t>Asgari, N.,Kyvik, K. O.,Steenstrup, T.,Stenager, E.,Lillevang, S. T.  Antibodies against interferon-beta in neuromyelitis optica patients. J Neurol Sci.  2014. 339:52-6</w:t>
            </w:r>
          </w:p>
        </w:tc>
      </w:tr>
      <w:tr w:rsidR="005D7566" w:rsidRPr="005D7566" w14:paraId="7F3D9D7E" w14:textId="77777777" w:rsidTr="00706BE3">
        <w:trPr>
          <w:trHeight w:val="300"/>
        </w:trPr>
        <w:tc>
          <w:tcPr>
            <w:tcW w:w="9781" w:type="dxa"/>
            <w:noWrap/>
            <w:hideMark/>
          </w:tcPr>
          <w:p w14:paraId="03737434" w14:textId="77777777" w:rsidR="005D7566" w:rsidRPr="005D7566" w:rsidRDefault="005D7566" w:rsidP="009D6DEC">
            <w:pPr>
              <w:spacing w:after="0" w:line="259" w:lineRule="auto"/>
              <w:ind w:left="0"/>
            </w:pPr>
            <w:r w:rsidRPr="005D7566">
              <w:t>Asgari, N.,Lillevang, S. T.,Skejoe, H. P.,Falah, M.,Stenager, E.,Kyvik, K. O.  A population-based study of neuromyelitis optica in Caucasians. Neurology.  2011. 76:1589-95</w:t>
            </w:r>
          </w:p>
        </w:tc>
      </w:tr>
      <w:tr w:rsidR="005D7566" w:rsidRPr="005D7566" w14:paraId="38598BDC" w14:textId="77777777" w:rsidTr="00706BE3">
        <w:trPr>
          <w:trHeight w:val="300"/>
        </w:trPr>
        <w:tc>
          <w:tcPr>
            <w:tcW w:w="9781" w:type="dxa"/>
            <w:noWrap/>
            <w:hideMark/>
          </w:tcPr>
          <w:p w14:paraId="79CFEA39" w14:textId="77777777" w:rsidR="005D7566" w:rsidRPr="005D7566" w:rsidRDefault="005D7566" w:rsidP="00F31882">
            <w:pPr>
              <w:spacing w:after="0" w:line="259" w:lineRule="auto"/>
              <w:ind w:left="0"/>
            </w:pPr>
            <w:r w:rsidRPr="005D7566">
              <w:t>Ayzenberg, I.,Schollhammer, J.,Hoepner, R.,</w:t>
            </w:r>
            <w:r w:rsidR="00E5100F">
              <w:t xml:space="preserve"> et al</w:t>
            </w:r>
            <w:r w:rsidRPr="005D7566">
              <w:t>.  Efficacy of glatiramer acetate in neuromyelitis optica spectrum disorder: a multicenter retrospective study. J Neurol.  2016. 263:575-82</w:t>
            </w:r>
          </w:p>
        </w:tc>
      </w:tr>
      <w:tr w:rsidR="005D7566" w:rsidRPr="005D7566" w14:paraId="582C4A37" w14:textId="77777777" w:rsidTr="00706BE3">
        <w:trPr>
          <w:trHeight w:val="300"/>
        </w:trPr>
        <w:tc>
          <w:tcPr>
            <w:tcW w:w="9781" w:type="dxa"/>
            <w:noWrap/>
            <w:hideMark/>
          </w:tcPr>
          <w:p w14:paraId="5E575A33" w14:textId="77777777" w:rsidR="005D7566" w:rsidRPr="005D7566" w:rsidRDefault="005D7566" w:rsidP="00F31882">
            <w:pPr>
              <w:spacing w:after="0" w:line="259" w:lineRule="auto"/>
              <w:ind w:left="0"/>
            </w:pPr>
            <w:r w:rsidRPr="005D7566">
              <w:lastRenderedPageBreak/>
              <w:t>Banwell, B.,Tenembaum, S.,Lennon, V. A.,</w:t>
            </w:r>
            <w:r w:rsidR="00E5100F">
              <w:t xml:space="preserve"> et al</w:t>
            </w:r>
            <w:r w:rsidRPr="005D7566">
              <w:t>.  Neuromyelitis optica-IgG in childhood inflammatory demyelinating CNS disorders. Neurology.  2008. 70:344-52</w:t>
            </w:r>
          </w:p>
        </w:tc>
      </w:tr>
      <w:tr w:rsidR="005D7566" w:rsidRPr="005D7566" w14:paraId="3942A0F5" w14:textId="77777777" w:rsidTr="00706BE3">
        <w:trPr>
          <w:trHeight w:val="300"/>
        </w:trPr>
        <w:tc>
          <w:tcPr>
            <w:tcW w:w="9781" w:type="dxa"/>
            <w:noWrap/>
            <w:hideMark/>
          </w:tcPr>
          <w:p w14:paraId="36280B34" w14:textId="77777777" w:rsidR="005D7566" w:rsidRPr="005D7566" w:rsidRDefault="005D7566" w:rsidP="009D6DEC">
            <w:pPr>
              <w:spacing w:after="0" w:line="259" w:lineRule="auto"/>
              <w:ind w:left="0"/>
            </w:pPr>
            <w:r w:rsidRPr="005D7566">
              <w:t>Barhate, K. S.,Ganeshan, M.,Singhal, B. S.  A clinical and radiological profile of neuromyelitis optica and spectrum disorders in an Indian cohort. Annals of Indian Academy of Neurology.  2014. 17:77-79</w:t>
            </w:r>
          </w:p>
        </w:tc>
      </w:tr>
      <w:tr w:rsidR="005D7566" w:rsidRPr="005D7566" w14:paraId="5D5FDBBE" w14:textId="77777777" w:rsidTr="00706BE3">
        <w:trPr>
          <w:trHeight w:val="300"/>
        </w:trPr>
        <w:tc>
          <w:tcPr>
            <w:tcW w:w="9781" w:type="dxa"/>
            <w:noWrap/>
            <w:hideMark/>
          </w:tcPr>
          <w:p w14:paraId="4C25B364" w14:textId="77777777" w:rsidR="005D7566" w:rsidRPr="005D7566" w:rsidRDefault="005D7566" w:rsidP="009D6DEC">
            <w:pPr>
              <w:spacing w:after="0" w:line="259" w:lineRule="auto"/>
              <w:ind w:left="0"/>
            </w:pPr>
            <w:r w:rsidRPr="005D7566">
              <w:t>Bedi, G. S.,Brown, A. D.,Delgado, S. R.,Usmani, N.,Lam, B. L.,Sheremata, W. A.  Impact of rituximab on relapse rate and disability in neuromyelitis optica. Mult Scler.  2011. 17:1225-30</w:t>
            </w:r>
          </w:p>
        </w:tc>
      </w:tr>
      <w:tr w:rsidR="005D7566" w:rsidRPr="005D7566" w14:paraId="173D16B7" w14:textId="77777777" w:rsidTr="00706BE3">
        <w:trPr>
          <w:trHeight w:val="300"/>
        </w:trPr>
        <w:tc>
          <w:tcPr>
            <w:tcW w:w="9781" w:type="dxa"/>
            <w:noWrap/>
            <w:hideMark/>
          </w:tcPr>
          <w:p w14:paraId="417DEEC0" w14:textId="77777777" w:rsidR="005D7566" w:rsidRPr="005D7566" w:rsidRDefault="005D7566" w:rsidP="00F31882">
            <w:pPr>
              <w:spacing w:after="0" w:line="259" w:lineRule="auto"/>
              <w:ind w:left="0"/>
            </w:pPr>
            <w:r w:rsidRPr="005D7566">
              <w:t>Benoilid, A.,Tilikete, C.,Collongues, N.,</w:t>
            </w:r>
            <w:r w:rsidR="00E5100F">
              <w:t xml:space="preserve"> et al</w:t>
            </w:r>
            <w:r w:rsidRPr="005D7566">
              <w:t>.  Relapsing optic neuritis: a multicentre study of 62 patients. Mult Scler.  2014. 20:848-53</w:t>
            </w:r>
          </w:p>
        </w:tc>
      </w:tr>
      <w:tr w:rsidR="005D7566" w:rsidRPr="005D7566" w14:paraId="32842FCB" w14:textId="77777777" w:rsidTr="00706BE3">
        <w:trPr>
          <w:trHeight w:val="300"/>
        </w:trPr>
        <w:tc>
          <w:tcPr>
            <w:tcW w:w="9781" w:type="dxa"/>
            <w:noWrap/>
            <w:hideMark/>
          </w:tcPr>
          <w:p w14:paraId="1D9D3197" w14:textId="77777777" w:rsidR="005D7566" w:rsidRPr="005D7566" w:rsidRDefault="005D7566" w:rsidP="009D6DEC">
            <w:pPr>
              <w:spacing w:after="0" w:line="259" w:lineRule="auto"/>
              <w:ind w:left="0"/>
            </w:pPr>
            <w:r w:rsidRPr="005D7566">
              <w:t>Beres, S. J.,Graves, J.,Waubant, E.  Rituximab use in pediatric central demyelinating disease. Pediatr Neurol.  2014. 51:114-8</w:t>
            </w:r>
          </w:p>
        </w:tc>
      </w:tr>
      <w:tr w:rsidR="005D7566" w:rsidRPr="005D7566" w14:paraId="36AF4E83" w14:textId="77777777" w:rsidTr="00706BE3">
        <w:trPr>
          <w:trHeight w:val="300"/>
        </w:trPr>
        <w:tc>
          <w:tcPr>
            <w:tcW w:w="9781" w:type="dxa"/>
            <w:noWrap/>
            <w:hideMark/>
          </w:tcPr>
          <w:p w14:paraId="142A5298" w14:textId="2B67A2AF" w:rsidR="005D7566" w:rsidRPr="005D7566" w:rsidRDefault="005D7566" w:rsidP="00B956DB">
            <w:pPr>
              <w:spacing w:after="0" w:line="259" w:lineRule="auto"/>
              <w:ind w:left="0"/>
            </w:pPr>
            <w:r w:rsidRPr="005D7566">
              <w:t>Bizzoco, E.,Lolli, F.,Repice, A. M.,Hakiki, B.,Falcini, M.,Barilaro, A.,Taiuti, R.,Siracusa, G.,Amato, M. P.,Biagioli, T.,Lori, S.,Moretti, M.,Vinattieri, A.,Nencini, P.,Massacesi, L.,Mata, S.  Prevalence of neuromyelitis optica spectrum disorder and phenotype distribution. J Neurol.  2009. 256:1891-8</w:t>
            </w:r>
          </w:p>
        </w:tc>
      </w:tr>
      <w:tr w:rsidR="005D7566" w:rsidRPr="005D7566" w14:paraId="53FF164F" w14:textId="77777777" w:rsidTr="00706BE3">
        <w:trPr>
          <w:trHeight w:val="300"/>
        </w:trPr>
        <w:tc>
          <w:tcPr>
            <w:tcW w:w="9781" w:type="dxa"/>
            <w:noWrap/>
            <w:hideMark/>
          </w:tcPr>
          <w:p w14:paraId="7E63C164" w14:textId="77777777" w:rsidR="005D7566" w:rsidRPr="005D7566" w:rsidRDefault="005D7566" w:rsidP="00F31882">
            <w:pPr>
              <w:spacing w:after="0" w:line="259" w:lineRule="auto"/>
              <w:ind w:left="0"/>
            </w:pPr>
            <w:r w:rsidRPr="005D7566">
              <w:t>Boesen, M. S.,Jensen, P. E. H.,Born, A. P.,</w:t>
            </w:r>
            <w:r w:rsidR="00E5100F">
              <w:t xml:space="preserve"> et al.</w:t>
            </w:r>
            <w:r w:rsidRPr="005D7566">
              <w:t xml:space="preserve">  Incidence of pediatric neuromyelitis optica spectrum disorder and myelin oligodendrocyte glycoprotein antibody-associated disease in Denmark 2008‒2018: A nationwide, population-based cohort study. Multiple Sclerosis and Related Disorders.  2019. 33:162-167</w:t>
            </w:r>
          </w:p>
        </w:tc>
      </w:tr>
      <w:tr w:rsidR="005D7566" w:rsidRPr="005D7566" w14:paraId="4D9D375B" w14:textId="77777777" w:rsidTr="00706BE3">
        <w:trPr>
          <w:trHeight w:val="300"/>
        </w:trPr>
        <w:tc>
          <w:tcPr>
            <w:tcW w:w="9781" w:type="dxa"/>
            <w:noWrap/>
            <w:hideMark/>
          </w:tcPr>
          <w:p w14:paraId="7C07ADA3" w14:textId="77777777" w:rsidR="005D7566" w:rsidRPr="005D7566" w:rsidRDefault="005D7566" w:rsidP="009D6DEC">
            <w:pPr>
              <w:spacing w:after="0" w:line="259" w:lineRule="auto"/>
              <w:ind w:left="0"/>
            </w:pPr>
            <w:r w:rsidRPr="005D7566">
              <w:t>Boesen, M. S.,Magyari, M.,Born, A. P.,Thygesen, L. C.  Pediatric acquired demyelinating syndromes: A nationwide validation study of the danish national patient register. Clinical Epidemiology.  2018. 10:391-399</w:t>
            </w:r>
          </w:p>
        </w:tc>
      </w:tr>
      <w:tr w:rsidR="005D7566" w:rsidRPr="005D7566" w14:paraId="6EDF719A" w14:textId="77777777" w:rsidTr="00706BE3">
        <w:trPr>
          <w:trHeight w:val="300"/>
        </w:trPr>
        <w:tc>
          <w:tcPr>
            <w:tcW w:w="9781" w:type="dxa"/>
            <w:noWrap/>
            <w:hideMark/>
          </w:tcPr>
          <w:p w14:paraId="236182B0" w14:textId="77777777" w:rsidR="005D7566" w:rsidRPr="005D7566" w:rsidRDefault="005D7566" w:rsidP="009D6DEC">
            <w:pPr>
              <w:spacing w:after="0" w:line="259" w:lineRule="auto"/>
              <w:ind w:left="0"/>
            </w:pPr>
            <w:r w:rsidRPr="005D7566">
              <w:t>Bonnan, M.,Cabre, P.  Plasma exchange in severe attacks of neuromyelitis optica. Multiple Sclerosis International.  2012. #volume#:#pages#</w:t>
            </w:r>
          </w:p>
        </w:tc>
      </w:tr>
      <w:tr w:rsidR="005D7566" w:rsidRPr="005D7566" w14:paraId="223F605E" w14:textId="77777777" w:rsidTr="00706BE3">
        <w:trPr>
          <w:trHeight w:val="300"/>
        </w:trPr>
        <w:tc>
          <w:tcPr>
            <w:tcW w:w="9781" w:type="dxa"/>
            <w:noWrap/>
            <w:hideMark/>
          </w:tcPr>
          <w:p w14:paraId="0D160EB8" w14:textId="77777777" w:rsidR="005D7566" w:rsidRPr="005D7566" w:rsidRDefault="005D7566" w:rsidP="009D6DEC">
            <w:pPr>
              <w:spacing w:after="0" w:line="259" w:lineRule="auto"/>
              <w:ind w:left="0"/>
            </w:pPr>
            <w:r w:rsidRPr="005D7566">
              <w:t>Borisow, N.,Hellwig, K.,Paul, F.  Neuromyelitis optica spectrum disorders and pregnancy: relapse-preventive measures and personalized treatment strategies. EPMA Journal.  2018. 9:249-256</w:t>
            </w:r>
          </w:p>
        </w:tc>
      </w:tr>
      <w:tr w:rsidR="005D7566" w:rsidRPr="005D7566" w14:paraId="3EC4E95A" w14:textId="77777777" w:rsidTr="00706BE3">
        <w:trPr>
          <w:trHeight w:val="300"/>
        </w:trPr>
        <w:tc>
          <w:tcPr>
            <w:tcW w:w="9781" w:type="dxa"/>
            <w:noWrap/>
            <w:hideMark/>
          </w:tcPr>
          <w:p w14:paraId="7460C079" w14:textId="77777777" w:rsidR="005D7566" w:rsidRPr="005D7566" w:rsidRDefault="005D7566" w:rsidP="00F31882">
            <w:pPr>
              <w:spacing w:after="0" w:line="259" w:lineRule="auto"/>
              <w:ind w:left="0"/>
            </w:pPr>
            <w:r w:rsidRPr="005D7566">
              <w:t>Bukhari, W.,Prain, K. M.,Waters, P.,</w:t>
            </w:r>
            <w:r w:rsidR="00E5100F">
              <w:t xml:space="preserve"> et al</w:t>
            </w:r>
            <w:r w:rsidRPr="005D7566">
              <w:t>.  Incidence and prevalence of NMOSD in Australia and New Zealand. J Neurol Neurosurg Psychiatry.  2017. 88:632-638</w:t>
            </w:r>
          </w:p>
        </w:tc>
      </w:tr>
      <w:tr w:rsidR="005D7566" w:rsidRPr="005D7566" w14:paraId="5D63F970" w14:textId="77777777" w:rsidTr="00706BE3">
        <w:trPr>
          <w:trHeight w:val="300"/>
        </w:trPr>
        <w:tc>
          <w:tcPr>
            <w:tcW w:w="9781" w:type="dxa"/>
            <w:noWrap/>
            <w:hideMark/>
          </w:tcPr>
          <w:p w14:paraId="2339043A" w14:textId="77777777" w:rsidR="005D7566" w:rsidRPr="005D7566" w:rsidRDefault="005D7566" w:rsidP="00F31882">
            <w:pPr>
              <w:spacing w:after="0" w:line="259" w:lineRule="auto"/>
              <w:ind w:left="0"/>
            </w:pPr>
            <w:r w:rsidRPr="005D7566">
              <w:t>Cabre, P.,Mejdoubi, M.,Jeannin, S.,</w:t>
            </w:r>
            <w:r w:rsidR="00E5100F">
              <w:t xml:space="preserve"> et al</w:t>
            </w:r>
            <w:r w:rsidRPr="005D7566">
              <w:t>.  Treatment of neuromyelitis optica with rituximab: a 2-year prospective multicenter study. J Neurol.  2018. 265:917-925</w:t>
            </w:r>
          </w:p>
        </w:tc>
      </w:tr>
      <w:tr w:rsidR="005D7566" w:rsidRPr="005D7566" w14:paraId="474C84CC" w14:textId="77777777" w:rsidTr="00706BE3">
        <w:trPr>
          <w:trHeight w:val="300"/>
        </w:trPr>
        <w:tc>
          <w:tcPr>
            <w:tcW w:w="9781" w:type="dxa"/>
            <w:noWrap/>
            <w:hideMark/>
          </w:tcPr>
          <w:p w14:paraId="5F652BC1" w14:textId="77777777" w:rsidR="005D7566" w:rsidRPr="005D7566" w:rsidRDefault="005D7566" w:rsidP="00F31882">
            <w:pPr>
              <w:spacing w:after="0" w:line="259" w:lineRule="auto"/>
              <w:ind w:left="0"/>
            </w:pPr>
            <w:r w:rsidRPr="005D7566">
              <w:t>Cabrera-Gomez, J. A.,Bonnan, M.,Gonzalez-Quevedo, A.,</w:t>
            </w:r>
            <w:r w:rsidR="00E5100F">
              <w:t xml:space="preserve"> et al</w:t>
            </w:r>
            <w:r w:rsidRPr="005D7566">
              <w:t>.  Neuromyelitis optica positive antibodies confer a worse course in relapsing-neuromyelitis optica in Cuba and French West Indies. Mult Scler.  2009. 15:828-33</w:t>
            </w:r>
          </w:p>
        </w:tc>
      </w:tr>
      <w:tr w:rsidR="005D7566" w:rsidRPr="005D7566" w14:paraId="6049BFFB" w14:textId="77777777" w:rsidTr="00706BE3">
        <w:trPr>
          <w:trHeight w:val="300"/>
        </w:trPr>
        <w:tc>
          <w:tcPr>
            <w:tcW w:w="9781" w:type="dxa"/>
            <w:noWrap/>
            <w:hideMark/>
          </w:tcPr>
          <w:p w14:paraId="5D8F5F59" w14:textId="77777777" w:rsidR="005D7566" w:rsidRPr="005D7566" w:rsidRDefault="005D7566" w:rsidP="00F31882">
            <w:pPr>
              <w:spacing w:after="0" w:line="259" w:lineRule="auto"/>
              <w:ind w:left="0"/>
            </w:pPr>
            <w:r w:rsidRPr="005D7566">
              <w:t>Cai, W.,Tan, S.,Zhang, L.,</w:t>
            </w:r>
            <w:r w:rsidR="00E5100F">
              <w:t xml:space="preserve"> et al</w:t>
            </w:r>
            <w:r w:rsidRPr="005D7566">
              <w:t>.  Linear lesions may assist early diagnosis of neuromyelitis optica and longitudinally extensive transverse myelitis, two subtypes of NMOSD. J Neurol Sci.  2016. 360:88-93</w:t>
            </w:r>
          </w:p>
        </w:tc>
      </w:tr>
      <w:tr w:rsidR="005D7566" w:rsidRPr="005D7566" w14:paraId="0BD671BA" w14:textId="77777777" w:rsidTr="00706BE3">
        <w:trPr>
          <w:trHeight w:val="300"/>
        </w:trPr>
        <w:tc>
          <w:tcPr>
            <w:tcW w:w="9781" w:type="dxa"/>
            <w:noWrap/>
            <w:hideMark/>
          </w:tcPr>
          <w:p w14:paraId="0856FA8C" w14:textId="77777777" w:rsidR="005D7566" w:rsidRPr="005D7566" w:rsidRDefault="005D7566" w:rsidP="00F31882">
            <w:pPr>
              <w:spacing w:after="0" w:line="259" w:lineRule="auto"/>
              <w:ind w:left="0"/>
            </w:pPr>
            <w:r w:rsidRPr="005D7566">
              <w:t>Carnero Contentti, E.,Daccach Marques, V.,Soto de Castillo, I.,</w:t>
            </w:r>
            <w:r w:rsidR="00E5100F">
              <w:t xml:space="preserve"> et al</w:t>
            </w:r>
            <w:r w:rsidRPr="005D7566">
              <w:t>.  Frequency of brain MRI abnormalities in neuromyelitis optica spectrum disorder at presentation: A cohort of Latin American patients. Mult Scler Relat Disord.  2018. 19:73-78</w:t>
            </w:r>
          </w:p>
        </w:tc>
      </w:tr>
      <w:tr w:rsidR="005D7566" w:rsidRPr="005D7566" w14:paraId="6C8625B7" w14:textId="77777777" w:rsidTr="00706BE3">
        <w:trPr>
          <w:trHeight w:val="300"/>
        </w:trPr>
        <w:tc>
          <w:tcPr>
            <w:tcW w:w="9781" w:type="dxa"/>
            <w:noWrap/>
            <w:hideMark/>
          </w:tcPr>
          <w:p w14:paraId="3CD5AE22" w14:textId="77777777" w:rsidR="005D7566" w:rsidRPr="005D7566" w:rsidRDefault="005D7566" w:rsidP="00F31882">
            <w:pPr>
              <w:spacing w:after="0" w:line="259" w:lineRule="auto"/>
              <w:ind w:left="0"/>
            </w:pPr>
            <w:r w:rsidRPr="005D7566">
              <w:t>Carnero Contentti, E.,Daccach Marques, V.,Soto de Castillo, I.,</w:t>
            </w:r>
            <w:r w:rsidR="00E5100F">
              <w:t xml:space="preserve"> et al</w:t>
            </w:r>
            <w:r w:rsidRPr="005D7566">
              <w:t>.  Short-segment transverse myelitis lesions in a cohort of Latin American patients with neuromyelitis optica spectrum disorders. Spinal Cord.  2018. 56:949-954</w:t>
            </w:r>
          </w:p>
        </w:tc>
      </w:tr>
      <w:tr w:rsidR="005D7566" w:rsidRPr="005D7566" w14:paraId="5151A207" w14:textId="77777777" w:rsidTr="00706BE3">
        <w:trPr>
          <w:trHeight w:val="300"/>
        </w:trPr>
        <w:tc>
          <w:tcPr>
            <w:tcW w:w="9781" w:type="dxa"/>
            <w:noWrap/>
            <w:hideMark/>
          </w:tcPr>
          <w:p w14:paraId="7161D5BD" w14:textId="77777777" w:rsidR="005D7566" w:rsidRPr="005D7566" w:rsidRDefault="005D7566" w:rsidP="00F31882">
            <w:pPr>
              <w:spacing w:after="0" w:line="259" w:lineRule="auto"/>
              <w:ind w:left="0"/>
            </w:pPr>
            <w:r w:rsidRPr="005D7566">
              <w:t>Carnero Contentti, E.,De Virgiliis, M.,Hryb, J. P.,</w:t>
            </w:r>
            <w:r w:rsidR="00E5100F">
              <w:t xml:space="preserve"> et al</w:t>
            </w:r>
            <w:r w:rsidRPr="005D7566">
              <w:t>.  Diagnostic Utility of Systematic Aquaporin-4 Antibodies Determination in the First Event of Immune-Mediated Optic Neuritis. Eur Neurol.  2016. 76:227-233</w:t>
            </w:r>
          </w:p>
        </w:tc>
      </w:tr>
      <w:tr w:rsidR="005D7566" w:rsidRPr="005D7566" w14:paraId="7E345C48" w14:textId="77777777" w:rsidTr="00706BE3">
        <w:trPr>
          <w:trHeight w:val="300"/>
        </w:trPr>
        <w:tc>
          <w:tcPr>
            <w:tcW w:w="9781" w:type="dxa"/>
            <w:noWrap/>
            <w:hideMark/>
          </w:tcPr>
          <w:p w14:paraId="43C1D5D0" w14:textId="77777777" w:rsidR="005D7566" w:rsidRPr="005D7566" w:rsidRDefault="005D7566" w:rsidP="00F31882">
            <w:pPr>
              <w:spacing w:after="0" w:line="259" w:lineRule="auto"/>
              <w:ind w:left="0"/>
            </w:pPr>
            <w:r w:rsidRPr="005D7566">
              <w:t>Chan, K. H.,Lee, R.,Lee, J. C.,</w:t>
            </w:r>
            <w:r w:rsidR="00E5100F">
              <w:t xml:space="preserve"> et al</w:t>
            </w:r>
            <w:r w:rsidRPr="005D7566">
              <w:t>.  Central nervous system inflammatory demyelinating disorders among Hong Kong Chinese. J Neuroimmunol.  2013. 262:100-5</w:t>
            </w:r>
          </w:p>
        </w:tc>
      </w:tr>
      <w:tr w:rsidR="005D7566" w:rsidRPr="005D7566" w14:paraId="5F4A2794" w14:textId="77777777" w:rsidTr="00706BE3">
        <w:trPr>
          <w:trHeight w:val="300"/>
        </w:trPr>
        <w:tc>
          <w:tcPr>
            <w:tcW w:w="9781" w:type="dxa"/>
            <w:noWrap/>
            <w:hideMark/>
          </w:tcPr>
          <w:p w14:paraId="39C5408D" w14:textId="77777777" w:rsidR="005D7566" w:rsidRPr="005D7566" w:rsidRDefault="005D7566" w:rsidP="00F31882">
            <w:pPr>
              <w:spacing w:after="0" w:line="259" w:lineRule="auto"/>
              <w:ind w:left="0"/>
            </w:pPr>
            <w:r w:rsidRPr="005D7566">
              <w:t>Chang, K. H.,Lyu, R. K.,Chen, C. M.,</w:t>
            </w:r>
            <w:r w:rsidR="00E5100F">
              <w:t xml:space="preserve"> et al</w:t>
            </w:r>
            <w:r w:rsidRPr="005D7566">
              <w:t>.  Distinct features between longitudinally extensive transverse myelitis presenting with and without anti-aquaporin 4 antibodies. Mult Scler.  2013. 19:299-307</w:t>
            </w:r>
          </w:p>
        </w:tc>
      </w:tr>
      <w:tr w:rsidR="005D7566" w:rsidRPr="005D7566" w14:paraId="562430DD" w14:textId="77777777" w:rsidTr="00706BE3">
        <w:trPr>
          <w:trHeight w:val="300"/>
        </w:trPr>
        <w:tc>
          <w:tcPr>
            <w:tcW w:w="9781" w:type="dxa"/>
            <w:noWrap/>
            <w:hideMark/>
          </w:tcPr>
          <w:p w14:paraId="3ADD481C" w14:textId="77777777" w:rsidR="005D7566" w:rsidRPr="005D7566" w:rsidRDefault="005D7566" w:rsidP="00F31882">
            <w:pPr>
              <w:spacing w:after="0" w:line="259" w:lineRule="auto"/>
              <w:ind w:left="0"/>
            </w:pPr>
            <w:r w:rsidRPr="005D7566">
              <w:t>Chanson, J. B.,Alame, M.,Collongues, N.,</w:t>
            </w:r>
            <w:r w:rsidR="00E5100F">
              <w:t xml:space="preserve"> et al</w:t>
            </w:r>
            <w:r w:rsidRPr="005D7566">
              <w:t>.  Evaluation of clinical interest of anti-aquaporin-4 autoantibody followup in neuromyelitis optica. Clin Dev Immunol.  2013. 2013:146219</w:t>
            </w:r>
          </w:p>
        </w:tc>
      </w:tr>
      <w:tr w:rsidR="005D7566" w:rsidRPr="005D7566" w14:paraId="78573AD1" w14:textId="77777777" w:rsidTr="00706BE3">
        <w:trPr>
          <w:trHeight w:val="300"/>
        </w:trPr>
        <w:tc>
          <w:tcPr>
            <w:tcW w:w="9781" w:type="dxa"/>
            <w:noWrap/>
            <w:hideMark/>
          </w:tcPr>
          <w:p w14:paraId="45736E32" w14:textId="77777777" w:rsidR="005D7566" w:rsidRPr="005D7566" w:rsidRDefault="005D7566" w:rsidP="00F31882">
            <w:pPr>
              <w:spacing w:after="0" w:line="259" w:lineRule="auto"/>
              <w:ind w:left="0"/>
            </w:pPr>
            <w:r w:rsidRPr="005D7566">
              <w:t>Chen, H.,Liu, S. M.,Zhang, X. X.,</w:t>
            </w:r>
            <w:r w:rsidR="00E5100F">
              <w:t xml:space="preserve"> et al</w:t>
            </w:r>
            <w:r w:rsidRPr="005D7566">
              <w:t>.  Clinical Features of Patients with Multiple Sclerosis and Neuromyelitis Optica Spectrum Disorders. Chin Med J (Engl).  2016. 129:2079-84</w:t>
            </w:r>
          </w:p>
        </w:tc>
      </w:tr>
      <w:tr w:rsidR="005D7566" w:rsidRPr="005D7566" w14:paraId="384CA4CD" w14:textId="77777777" w:rsidTr="00706BE3">
        <w:trPr>
          <w:trHeight w:val="300"/>
        </w:trPr>
        <w:tc>
          <w:tcPr>
            <w:tcW w:w="9781" w:type="dxa"/>
            <w:noWrap/>
            <w:hideMark/>
          </w:tcPr>
          <w:p w14:paraId="45786F24" w14:textId="77777777" w:rsidR="005D7566" w:rsidRPr="005D7566" w:rsidRDefault="005D7566" w:rsidP="00F31882">
            <w:pPr>
              <w:spacing w:after="0" w:line="259" w:lineRule="auto"/>
              <w:ind w:left="0"/>
            </w:pPr>
            <w:r w:rsidRPr="005D7566">
              <w:t>Chen, H.,Zhang, Y.,Shi, Z.,</w:t>
            </w:r>
            <w:r w:rsidR="00E5100F">
              <w:t xml:space="preserve"> et al</w:t>
            </w:r>
            <w:r w:rsidRPr="005D7566">
              <w:t>.  The Efficacy and Tolerability of Mycophenolate Mofetil in Treating Neuromyelitis Optica and Neuromyelitis Optica Spectrum Disorder in Western China. Clin Neuropharmacol.  2016. 39:81-7</w:t>
            </w:r>
          </w:p>
        </w:tc>
      </w:tr>
      <w:tr w:rsidR="005D7566" w:rsidRPr="005D7566" w14:paraId="1452D9D6" w14:textId="77777777" w:rsidTr="00706BE3">
        <w:trPr>
          <w:trHeight w:val="300"/>
        </w:trPr>
        <w:tc>
          <w:tcPr>
            <w:tcW w:w="9781" w:type="dxa"/>
            <w:noWrap/>
            <w:hideMark/>
          </w:tcPr>
          <w:p w14:paraId="6F5B1573" w14:textId="77777777" w:rsidR="005D7566" w:rsidRPr="005D7566" w:rsidRDefault="005D7566" w:rsidP="00F31882">
            <w:pPr>
              <w:spacing w:after="0" w:line="259" w:lineRule="auto"/>
              <w:ind w:left="0"/>
            </w:pPr>
            <w:r w:rsidRPr="005D7566">
              <w:t>Chen, J. J.,Flanagan, E. P.,Jitprapaikulsan, J.,</w:t>
            </w:r>
            <w:r w:rsidR="00E5100F">
              <w:t xml:space="preserve"> et al</w:t>
            </w:r>
            <w:r w:rsidRPr="005D7566">
              <w:t>.  Myelin Oligodendrocyte Glycoprotein Antibody-Positive Optic Neuritis: Clinical Characteristics, Radiologic Clues, and Outcome. Am J Ophthalmol.  2018. 195:8-15</w:t>
            </w:r>
          </w:p>
        </w:tc>
      </w:tr>
      <w:tr w:rsidR="005D7566" w:rsidRPr="005D7566" w14:paraId="26C3DD6A" w14:textId="77777777" w:rsidTr="00706BE3">
        <w:trPr>
          <w:trHeight w:val="300"/>
        </w:trPr>
        <w:tc>
          <w:tcPr>
            <w:tcW w:w="9781" w:type="dxa"/>
            <w:noWrap/>
            <w:hideMark/>
          </w:tcPr>
          <w:p w14:paraId="497BA05D" w14:textId="77777777" w:rsidR="005D7566" w:rsidRPr="005D7566" w:rsidRDefault="005D7566" w:rsidP="00F31882">
            <w:pPr>
              <w:spacing w:after="0" w:line="259" w:lineRule="auto"/>
              <w:ind w:left="0"/>
            </w:pPr>
            <w:r w:rsidRPr="005D7566">
              <w:t>Cheng, C.,Jiang, Y.,Chen, X.,</w:t>
            </w:r>
            <w:r w:rsidR="00E5100F">
              <w:t xml:space="preserve"> et al</w:t>
            </w:r>
            <w:r w:rsidRPr="005D7566">
              <w:t>.  Clinical, radiographic characteristics and immunomodulating changes in neuromyelitis optica with extensive brain lesions. BMC Neurol.  2013. 13:72</w:t>
            </w:r>
          </w:p>
        </w:tc>
      </w:tr>
      <w:tr w:rsidR="005D7566" w:rsidRPr="005D7566" w14:paraId="20ACAF53" w14:textId="77777777" w:rsidTr="00706BE3">
        <w:trPr>
          <w:trHeight w:val="300"/>
        </w:trPr>
        <w:tc>
          <w:tcPr>
            <w:tcW w:w="9781" w:type="dxa"/>
            <w:noWrap/>
            <w:hideMark/>
          </w:tcPr>
          <w:p w14:paraId="4311E5E1" w14:textId="77777777" w:rsidR="005D7566" w:rsidRPr="005D7566" w:rsidRDefault="005D7566" w:rsidP="00F31882">
            <w:pPr>
              <w:spacing w:after="0" w:line="259" w:lineRule="auto"/>
              <w:ind w:left="0"/>
            </w:pPr>
            <w:r w:rsidRPr="005D7566">
              <w:lastRenderedPageBreak/>
              <w:t>Chitnis, T.,Ness, J.,Krupp, L.,</w:t>
            </w:r>
            <w:r w:rsidR="00E5100F">
              <w:t xml:space="preserve"> et al</w:t>
            </w:r>
            <w:r w:rsidRPr="005D7566">
              <w:t>.  Clinical features of neuromyelitis optica in children: US Network of Pediatric MS Centers report. Neurology.  2016. 86:245-52</w:t>
            </w:r>
          </w:p>
        </w:tc>
      </w:tr>
      <w:tr w:rsidR="005D7566" w:rsidRPr="005D7566" w14:paraId="64DC492D" w14:textId="77777777" w:rsidTr="00706BE3">
        <w:trPr>
          <w:trHeight w:val="300"/>
        </w:trPr>
        <w:tc>
          <w:tcPr>
            <w:tcW w:w="9781" w:type="dxa"/>
            <w:noWrap/>
            <w:hideMark/>
          </w:tcPr>
          <w:p w14:paraId="1BCEBAAD" w14:textId="77777777" w:rsidR="005D7566" w:rsidRPr="005D7566" w:rsidRDefault="005D7566" w:rsidP="009D6DEC">
            <w:pPr>
              <w:spacing w:after="0" w:line="259" w:lineRule="auto"/>
              <w:ind w:left="0"/>
            </w:pPr>
            <w:r w:rsidRPr="005D7566">
              <w:t>Cho, E. B.,Cho, H. J.,Seok, J. M.,Min, J. H.,Kang, E. S.,Kim, B. J.  The IL-10-producing regulatory B cells (B10 cells) and regulatory T cell subsets in neuromyelitis optica spectrum disorder. Neurol Sci.  2018. 39:543-549</w:t>
            </w:r>
          </w:p>
        </w:tc>
      </w:tr>
      <w:tr w:rsidR="005D7566" w:rsidRPr="005D7566" w14:paraId="24B07FB2" w14:textId="77777777" w:rsidTr="00706BE3">
        <w:trPr>
          <w:trHeight w:val="300"/>
        </w:trPr>
        <w:tc>
          <w:tcPr>
            <w:tcW w:w="9781" w:type="dxa"/>
            <w:noWrap/>
            <w:hideMark/>
          </w:tcPr>
          <w:p w14:paraId="71F02461" w14:textId="77777777" w:rsidR="005D7566" w:rsidRPr="005D7566" w:rsidRDefault="005D7566" w:rsidP="00F31882">
            <w:pPr>
              <w:spacing w:after="0" w:line="259" w:lineRule="auto"/>
              <w:ind w:left="0"/>
            </w:pPr>
            <w:r w:rsidRPr="005D7566">
              <w:t>Cobo-Calvo, A.,Ruiz, A.,Maillart, E.,</w:t>
            </w:r>
            <w:r w:rsidR="00E5100F">
              <w:t xml:space="preserve"> et al.</w:t>
            </w:r>
            <w:r w:rsidRPr="005D7566">
              <w:t xml:space="preserve"> Clinical spectrum and prognostic value of CNS MOG autoimmunity in adults: The MOGADOR study. Neurology.  2018. 90:e1858-e1869</w:t>
            </w:r>
          </w:p>
        </w:tc>
      </w:tr>
      <w:tr w:rsidR="005D7566" w:rsidRPr="005D7566" w14:paraId="31DF20BF" w14:textId="77777777" w:rsidTr="00706BE3">
        <w:trPr>
          <w:trHeight w:val="300"/>
        </w:trPr>
        <w:tc>
          <w:tcPr>
            <w:tcW w:w="9781" w:type="dxa"/>
            <w:noWrap/>
            <w:hideMark/>
          </w:tcPr>
          <w:p w14:paraId="221F9D38" w14:textId="77777777" w:rsidR="005D7566" w:rsidRPr="005D7566" w:rsidRDefault="005D7566" w:rsidP="009D6DEC">
            <w:pPr>
              <w:spacing w:after="0" w:line="259" w:lineRule="auto"/>
              <w:ind w:left="0"/>
            </w:pPr>
            <w:r w:rsidRPr="005D7566">
              <w:t>Collongues, N.,Marignier, R.,Jacob, A.,</w:t>
            </w:r>
            <w:r w:rsidR="00E5100F">
              <w:t xml:space="preserve"> et al</w:t>
            </w:r>
            <w:r w:rsidRPr="005D7566">
              <w:t>.  Characterization of neuromyelitis optica and neuromyelitis optica spectrum disorder patients with a late onset. Mult Scler.  2014. 20:1086-94</w:t>
            </w:r>
          </w:p>
        </w:tc>
      </w:tr>
      <w:tr w:rsidR="005D7566" w:rsidRPr="005D7566" w14:paraId="61A7F1DD" w14:textId="77777777" w:rsidTr="00706BE3">
        <w:trPr>
          <w:trHeight w:val="300"/>
        </w:trPr>
        <w:tc>
          <w:tcPr>
            <w:tcW w:w="9781" w:type="dxa"/>
            <w:noWrap/>
            <w:hideMark/>
          </w:tcPr>
          <w:p w14:paraId="57F80A17" w14:textId="77777777" w:rsidR="005D7566" w:rsidRPr="005D7566" w:rsidRDefault="005D7566" w:rsidP="00F31882">
            <w:pPr>
              <w:spacing w:after="0" w:line="259" w:lineRule="auto"/>
              <w:ind w:left="0"/>
            </w:pPr>
            <w:r w:rsidRPr="005D7566">
              <w:t>Collongues, N.,Marignier, R.,Zephir, H.,</w:t>
            </w:r>
            <w:r w:rsidR="00E5100F">
              <w:t xml:space="preserve"> et al</w:t>
            </w:r>
            <w:r w:rsidRPr="005D7566">
              <w:t>.  High-risk syndrome for neuromyelitis optica: a descriptive and comparative study. Mult Scler.  2011. 17:720-4</w:t>
            </w:r>
          </w:p>
        </w:tc>
      </w:tr>
      <w:tr w:rsidR="005D7566" w:rsidRPr="005D7566" w14:paraId="4A51C0C6" w14:textId="77777777" w:rsidTr="00706BE3">
        <w:trPr>
          <w:trHeight w:val="300"/>
        </w:trPr>
        <w:tc>
          <w:tcPr>
            <w:tcW w:w="9781" w:type="dxa"/>
            <w:noWrap/>
            <w:hideMark/>
          </w:tcPr>
          <w:p w14:paraId="02F69F81" w14:textId="77777777" w:rsidR="005D7566" w:rsidRPr="005D7566" w:rsidRDefault="005D7566" w:rsidP="00F31882">
            <w:pPr>
              <w:spacing w:after="0" w:line="259" w:lineRule="auto"/>
              <w:ind w:left="0"/>
            </w:pPr>
            <w:r w:rsidRPr="005D7566">
              <w:t>Contentti, E. C.,De Virgiliis, M.,Hryb, J. P.,</w:t>
            </w:r>
            <w:r w:rsidR="00852B0C">
              <w:t xml:space="preserve"> et al</w:t>
            </w:r>
            <w:r w:rsidRPr="005D7566">
              <w:t>.  Diagnostic utility of systematic aquaporin-4 antibodies determination in the first event of immune-mediated optic neuritis. European Neurology.  2016. 76:227-233</w:t>
            </w:r>
          </w:p>
        </w:tc>
      </w:tr>
      <w:tr w:rsidR="005D7566" w:rsidRPr="005D7566" w14:paraId="3F4D339A" w14:textId="77777777" w:rsidTr="00706BE3">
        <w:trPr>
          <w:trHeight w:val="300"/>
        </w:trPr>
        <w:tc>
          <w:tcPr>
            <w:tcW w:w="9781" w:type="dxa"/>
            <w:noWrap/>
            <w:hideMark/>
          </w:tcPr>
          <w:p w14:paraId="3D5D4C84" w14:textId="77777777" w:rsidR="005D7566" w:rsidRPr="005D7566" w:rsidRDefault="005D7566" w:rsidP="009D6DEC">
            <w:pPr>
              <w:spacing w:after="0" w:line="259" w:lineRule="auto"/>
              <w:ind w:left="0"/>
            </w:pPr>
            <w:r w:rsidRPr="005D7566">
              <w:t>Correale, J.,Fiol, M.  Activation of humoral immunity and eosinophils in neuromyelitis optica. Neurology.  2004. 63:2363-70</w:t>
            </w:r>
          </w:p>
        </w:tc>
      </w:tr>
      <w:tr w:rsidR="005D7566" w:rsidRPr="005D7566" w14:paraId="0C25AF22" w14:textId="77777777" w:rsidTr="00706BE3">
        <w:trPr>
          <w:trHeight w:val="300"/>
        </w:trPr>
        <w:tc>
          <w:tcPr>
            <w:tcW w:w="9781" w:type="dxa"/>
            <w:noWrap/>
            <w:hideMark/>
          </w:tcPr>
          <w:p w14:paraId="0FC17802" w14:textId="77777777" w:rsidR="005D7566" w:rsidRPr="005D7566" w:rsidRDefault="005D7566" w:rsidP="00F31882">
            <w:pPr>
              <w:spacing w:after="0" w:line="259" w:lineRule="auto"/>
              <w:ind w:left="0"/>
            </w:pPr>
            <w:r w:rsidRPr="005D7566">
              <w:t>Cossburn, M.,Tackley, G.,Baker, K.,</w:t>
            </w:r>
            <w:r w:rsidR="00852B0C">
              <w:t xml:space="preserve"> et al</w:t>
            </w:r>
            <w:r w:rsidRPr="005D7566">
              <w:t>.  The prevalence of neuromyelitis optica in South East Wales. Eur J Neurol.  2012. 19:655-9</w:t>
            </w:r>
          </w:p>
        </w:tc>
      </w:tr>
      <w:tr w:rsidR="005D7566" w:rsidRPr="005D7566" w14:paraId="03AE0440" w14:textId="77777777" w:rsidTr="00706BE3">
        <w:trPr>
          <w:trHeight w:val="300"/>
        </w:trPr>
        <w:tc>
          <w:tcPr>
            <w:tcW w:w="9781" w:type="dxa"/>
            <w:noWrap/>
            <w:hideMark/>
          </w:tcPr>
          <w:p w14:paraId="1CBC6CFE" w14:textId="77777777" w:rsidR="005D7566" w:rsidRPr="005D7566" w:rsidRDefault="005D7566" w:rsidP="009D6DEC">
            <w:pPr>
              <w:spacing w:after="0" w:line="259" w:lineRule="auto"/>
              <w:ind w:left="0"/>
            </w:pPr>
            <w:r w:rsidRPr="005D7566">
              <w:t>Costa, B. K. D.,Passos, G. R. D.,Becker, J.,Sato, D. K.  MOG-IgG associated optic neuritis is not multiple sclerosis. Arq Neuropsiquiatr.  2017. 75:687-691</w:t>
            </w:r>
          </w:p>
        </w:tc>
      </w:tr>
      <w:tr w:rsidR="005D7566" w:rsidRPr="005D7566" w14:paraId="1803EC11" w14:textId="77777777" w:rsidTr="00706BE3">
        <w:trPr>
          <w:trHeight w:val="300"/>
        </w:trPr>
        <w:tc>
          <w:tcPr>
            <w:tcW w:w="9781" w:type="dxa"/>
            <w:noWrap/>
            <w:hideMark/>
          </w:tcPr>
          <w:p w14:paraId="45E5B2AA" w14:textId="77777777" w:rsidR="005D7566" w:rsidRPr="005D7566" w:rsidRDefault="005D7566" w:rsidP="00F31882">
            <w:pPr>
              <w:spacing w:after="0" w:line="259" w:lineRule="auto"/>
              <w:ind w:left="0"/>
            </w:pPr>
            <w:r w:rsidRPr="005D7566">
              <w:t>Costa, C.,Arrambide, G.,Tintore, M.,</w:t>
            </w:r>
            <w:r w:rsidR="00852B0C">
              <w:t xml:space="preserve"> et al</w:t>
            </w:r>
            <w:r w:rsidRPr="005D7566">
              <w:t>.  Value of NMO-IgG determination at the time of presentation as CIS. Neurology.  2012. 78:1608-11</w:t>
            </w:r>
          </w:p>
        </w:tc>
      </w:tr>
      <w:tr w:rsidR="005D7566" w:rsidRPr="005D7566" w14:paraId="08FAD497" w14:textId="77777777" w:rsidTr="00706BE3">
        <w:trPr>
          <w:trHeight w:val="300"/>
        </w:trPr>
        <w:tc>
          <w:tcPr>
            <w:tcW w:w="9781" w:type="dxa"/>
            <w:noWrap/>
            <w:hideMark/>
          </w:tcPr>
          <w:p w14:paraId="69840684" w14:textId="77777777" w:rsidR="005D7566" w:rsidRPr="005D7566" w:rsidRDefault="005D7566" w:rsidP="00F31882">
            <w:pPr>
              <w:spacing w:after="0" w:line="259" w:lineRule="auto"/>
              <w:ind w:left="0"/>
            </w:pPr>
            <w:r w:rsidRPr="005D7566">
              <w:t>Dale, G. H.,Svendsen, K. B.,Gjelstrup, M. C.,</w:t>
            </w:r>
            <w:r w:rsidR="00852B0C">
              <w:t xml:space="preserve"> et al</w:t>
            </w:r>
            <w:r w:rsidRPr="005D7566">
              <w:t>.  Incidence of neuromyelitis optica spectrum disorder in the Central Denmark Region. Acta Neurol Scand.  2018. 137:582-588</w:t>
            </w:r>
          </w:p>
        </w:tc>
      </w:tr>
      <w:tr w:rsidR="005D7566" w:rsidRPr="005D7566" w14:paraId="1F3A0B44" w14:textId="77777777" w:rsidTr="00706BE3">
        <w:trPr>
          <w:trHeight w:val="300"/>
        </w:trPr>
        <w:tc>
          <w:tcPr>
            <w:tcW w:w="9781" w:type="dxa"/>
            <w:noWrap/>
            <w:hideMark/>
          </w:tcPr>
          <w:p w14:paraId="19BA6825" w14:textId="77777777" w:rsidR="005D7566" w:rsidRPr="005D7566" w:rsidRDefault="005D7566" w:rsidP="009D6DEC">
            <w:pPr>
              <w:spacing w:after="0" w:line="259" w:lineRule="auto"/>
              <w:ind w:left="0"/>
            </w:pPr>
            <w:r w:rsidRPr="005D7566">
              <w:t>Damato, V.,Evoli, A.,Iorio, R.  Efficacy and Safety of Rituximab Therapy in Neuromyelitis Optica Spectrum Disorders: A Systematic Review and Meta-analysis. JAMA Neurol.  2016. 73:1342-1348</w:t>
            </w:r>
          </w:p>
        </w:tc>
      </w:tr>
      <w:tr w:rsidR="005D7566" w:rsidRPr="005D7566" w14:paraId="6DC8780B" w14:textId="77777777" w:rsidTr="00706BE3">
        <w:trPr>
          <w:trHeight w:val="300"/>
        </w:trPr>
        <w:tc>
          <w:tcPr>
            <w:tcW w:w="9781" w:type="dxa"/>
            <w:noWrap/>
            <w:hideMark/>
          </w:tcPr>
          <w:p w14:paraId="10CEEF8C" w14:textId="77777777" w:rsidR="005D7566" w:rsidRPr="005D7566" w:rsidRDefault="005D7566" w:rsidP="009D6DEC">
            <w:pPr>
              <w:spacing w:after="0" w:line="259" w:lineRule="auto"/>
              <w:ind w:left="0"/>
            </w:pPr>
            <w:r w:rsidRPr="005D7566">
              <w:t>Daniëlle van Pelt, E.,Wong, Y. Y. M.,Ketelslegers, I. A.,Siepman, D. A. M.,Hamann, D.,Hintzen, R. Q.  Incidence of AQP4-IgG seropositive neuromyelitis optica spectrum disorders in the Netherlands: About one in a million. Multiple Sclerosis Journal - Experimental, Translational and Clinical.  2016. 2:#pages#</w:t>
            </w:r>
          </w:p>
        </w:tc>
      </w:tr>
      <w:tr w:rsidR="005D7566" w:rsidRPr="005D7566" w14:paraId="52CD4D1B" w14:textId="77777777" w:rsidTr="00706BE3">
        <w:trPr>
          <w:trHeight w:val="300"/>
        </w:trPr>
        <w:tc>
          <w:tcPr>
            <w:tcW w:w="9781" w:type="dxa"/>
            <w:noWrap/>
            <w:hideMark/>
          </w:tcPr>
          <w:p w14:paraId="3EB221F3" w14:textId="77777777" w:rsidR="005D7566" w:rsidRPr="005D7566" w:rsidRDefault="005D7566" w:rsidP="009D6DEC">
            <w:pPr>
              <w:spacing w:after="0" w:line="259" w:lineRule="auto"/>
              <w:ind w:left="0"/>
            </w:pPr>
            <w:r w:rsidRPr="005D7566">
              <w:t>Daoudi, S.,Bouzar, M.  Neuromyelitis optica spectrum disorders in Algeria: A preliminary study in the region of Tizi Ouzou. Mult Scler Relat Disord.  2016. 6:37-40</w:t>
            </w:r>
          </w:p>
        </w:tc>
      </w:tr>
      <w:tr w:rsidR="005D7566" w:rsidRPr="005D7566" w14:paraId="797401EE" w14:textId="77777777" w:rsidTr="00706BE3">
        <w:trPr>
          <w:trHeight w:val="300"/>
        </w:trPr>
        <w:tc>
          <w:tcPr>
            <w:tcW w:w="9781" w:type="dxa"/>
            <w:noWrap/>
            <w:hideMark/>
          </w:tcPr>
          <w:p w14:paraId="2913D8E1" w14:textId="77777777" w:rsidR="005D7566" w:rsidRPr="005D7566" w:rsidRDefault="005D7566" w:rsidP="00F31882">
            <w:pPr>
              <w:spacing w:after="0" w:line="259" w:lineRule="auto"/>
              <w:ind w:left="0"/>
            </w:pPr>
            <w:r w:rsidRPr="005D7566">
              <w:t>De Vidi, I.,Boursier, G.,Delouche, N.,</w:t>
            </w:r>
            <w:r w:rsidR="00852B0C">
              <w:t xml:space="preserve"> et al</w:t>
            </w:r>
            <w:r w:rsidRPr="005D7566">
              <w:t>.  Strategy for anti-aquaporin-4 auto-antibody identification and quantification using a new cell-based assay. Clin Immunol.  2011. 138:239-46</w:t>
            </w:r>
          </w:p>
        </w:tc>
      </w:tr>
      <w:tr w:rsidR="005D7566" w:rsidRPr="005D7566" w14:paraId="7660253A" w14:textId="77777777" w:rsidTr="00706BE3">
        <w:trPr>
          <w:trHeight w:val="300"/>
        </w:trPr>
        <w:tc>
          <w:tcPr>
            <w:tcW w:w="9781" w:type="dxa"/>
            <w:noWrap/>
            <w:hideMark/>
          </w:tcPr>
          <w:p w14:paraId="727B11A0" w14:textId="77777777" w:rsidR="005D7566" w:rsidRPr="005D7566" w:rsidRDefault="005D7566" w:rsidP="009D6DEC">
            <w:pPr>
              <w:spacing w:after="0" w:line="259" w:lineRule="auto"/>
              <w:ind w:left="0"/>
            </w:pPr>
            <w:r w:rsidRPr="005D7566">
              <w:t>Del Negro, M. C.,Marinho, P. B.,Papais-Alvarenga, R. M.  Neuromyelitis optica: phenotypic characteristics in a Brazilian case series. Arq Neuropsiquiatr.  2017. 75:81-86</w:t>
            </w:r>
          </w:p>
        </w:tc>
      </w:tr>
      <w:tr w:rsidR="005D7566" w:rsidRPr="005D7566" w14:paraId="3057BCD6" w14:textId="77777777" w:rsidTr="00706BE3">
        <w:trPr>
          <w:trHeight w:val="300"/>
        </w:trPr>
        <w:tc>
          <w:tcPr>
            <w:tcW w:w="9781" w:type="dxa"/>
            <w:noWrap/>
            <w:hideMark/>
          </w:tcPr>
          <w:p w14:paraId="618116E2" w14:textId="77777777" w:rsidR="005D7566" w:rsidRPr="005D7566" w:rsidRDefault="005D7566" w:rsidP="009D6DEC">
            <w:pPr>
              <w:spacing w:after="0" w:line="259" w:lineRule="auto"/>
              <w:ind w:left="0"/>
            </w:pPr>
            <w:r w:rsidRPr="005D7566">
              <w:t>Dellavance, A.,Alvarenga, R. R.,Rodrigues, S. H.,Kok, F.,e Souza, A. W.,Andrade, L. E.  Anti-aquaporin-4 antibodies in the context of assorted immune-mediated diseases. Eur J Neurol.  2012. 19:248-52</w:t>
            </w:r>
          </w:p>
        </w:tc>
      </w:tr>
      <w:tr w:rsidR="005D7566" w:rsidRPr="005D7566" w14:paraId="2122620A" w14:textId="77777777" w:rsidTr="00706BE3">
        <w:trPr>
          <w:trHeight w:val="300"/>
        </w:trPr>
        <w:tc>
          <w:tcPr>
            <w:tcW w:w="9781" w:type="dxa"/>
            <w:noWrap/>
            <w:hideMark/>
          </w:tcPr>
          <w:p w14:paraId="30F42453" w14:textId="77777777" w:rsidR="005D7566" w:rsidRPr="005D7566" w:rsidRDefault="005D7566" w:rsidP="00F31882">
            <w:pPr>
              <w:spacing w:after="0" w:line="259" w:lineRule="auto"/>
              <w:ind w:left="0"/>
            </w:pPr>
            <w:r w:rsidRPr="005D7566">
              <w:t>Deschamps, R.,Gueguen, A.,Lecler, A.,</w:t>
            </w:r>
            <w:r w:rsidR="00852B0C">
              <w:t xml:space="preserve"> et al</w:t>
            </w:r>
            <w:r w:rsidRPr="005D7566">
              <w:t>.  Acute idiopathic optic neuritis: not always benign. Eur J Neurol.  2018. 25:1378-1383</w:t>
            </w:r>
          </w:p>
        </w:tc>
      </w:tr>
      <w:tr w:rsidR="005D7566" w:rsidRPr="005D7566" w14:paraId="12913567" w14:textId="77777777" w:rsidTr="00706BE3">
        <w:trPr>
          <w:trHeight w:val="300"/>
        </w:trPr>
        <w:tc>
          <w:tcPr>
            <w:tcW w:w="9781" w:type="dxa"/>
            <w:noWrap/>
            <w:hideMark/>
          </w:tcPr>
          <w:p w14:paraId="3F17E3F6" w14:textId="77777777" w:rsidR="005D7566" w:rsidRPr="005D7566" w:rsidRDefault="005D7566" w:rsidP="00F31882">
            <w:pPr>
              <w:spacing w:after="0" w:line="259" w:lineRule="auto"/>
              <w:ind w:left="0"/>
            </w:pPr>
            <w:r w:rsidRPr="005D7566">
              <w:t>Deschamps, R.,Gueguen, A.,Parquet, N.,</w:t>
            </w:r>
            <w:r w:rsidR="00852B0C">
              <w:t xml:space="preserve"> et al</w:t>
            </w:r>
            <w:r w:rsidRPr="005D7566">
              <w:t>.  Plasma exchange response in 34 patients with severe optic neuritis. Journal of Neurology.  2016. 263:883-887</w:t>
            </w:r>
          </w:p>
        </w:tc>
      </w:tr>
      <w:tr w:rsidR="005D7566" w:rsidRPr="005D7566" w14:paraId="75E1AAFD" w14:textId="77777777" w:rsidTr="00706BE3">
        <w:trPr>
          <w:trHeight w:val="300"/>
        </w:trPr>
        <w:tc>
          <w:tcPr>
            <w:tcW w:w="9781" w:type="dxa"/>
            <w:noWrap/>
            <w:hideMark/>
          </w:tcPr>
          <w:p w14:paraId="67BA6C82" w14:textId="77777777" w:rsidR="005D7566" w:rsidRPr="005D7566" w:rsidRDefault="005D7566" w:rsidP="009D6DEC">
            <w:pPr>
              <w:spacing w:after="0" w:line="259" w:lineRule="auto"/>
              <w:ind w:left="0"/>
            </w:pPr>
            <w:r w:rsidRPr="005D7566">
              <w:t>Deschamps, R.,Lecler, A.,Lamirel, C.,</w:t>
            </w:r>
            <w:r w:rsidR="00852B0C">
              <w:t xml:space="preserve"> et al</w:t>
            </w:r>
            <w:r w:rsidRPr="005D7566">
              <w:t>.  Etiologies of acute demyelinating optic neuritis: an observational study of 110 patients. Eur J Neurol.  2017. 24:875-879</w:t>
            </w:r>
          </w:p>
        </w:tc>
      </w:tr>
      <w:tr w:rsidR="005D7566" w:rsidRPr="005D7566" w14:paraId="07E31E65" w14:textId="77777777" w:rsidTr="00706BE3">
        <w:trPr>
          <w:trHeight w:val="300"/>
        </w:trPr>
        <w:tc>
          <w:tcPr>
            <w:tcW w:w="9781" w:type="dxa"/>
            <w:noWrap/>
            <w:hideMark/>
          </w:tcPr>
          <w:p w14:paraId="6D699E19" w14:textId="77777777" w:rsidR="005D7566" w:rsidRPr="005D7566" w:rsidRDefault="005D7566" w:rsidP="00F31882">
            <w:pPr>
              <w:spacing w:after="0" w:line="259" w:lineRule="auto"/>
              <w:ind w:left="0"/>
            </w:pPr>
            <w:r w:rsidRPr="005D7566">
              <w:t>Domingos, J.,Isidoro, L.,Figueiredo, R.,</w:t>
            </w:r>
            <w:r w:rsidR="00852B0C">
              <w:t xml:space="preserve"> et al</w:t>
            </w:r>
            <w:r w:rsidRPr="005D7566">
              <w:t>.  Neuromyelitis optica in Portugal (NEMIPORT) - A multicentre study. Clinical Neurology and Neurosurgery.  2015. 134:79-84</w:t>
            </w:r>
          </w:p>
        </w:tc>
      </w:tr>
      <w:tr w:rsidR="005D7566" w:rsidRPr="005D7566" w14:paraId="56DF8A1E" w14:textId="77777777" w:rsidTr="00706BE3">
        <w:trPr>
          <w:trHeight w:val="300"/>
        </w:trPr>
        <w:tc>
          <w:tcPr>
            <w:tcW w:w="9781" w:type="dxa"/>
            <w:noWrap/>
            <w:hideMark/>
          </w:tcPr>
          <w:p w14:paraId="2F11BF2A" w14:textId="77777777" w:rsidR="005D7566" w:rsidRPr="005D7566" w:rsidRDefault="005D7566" w:rsidP="009D6DEC">
            <w:pPr>
              <w:spacing w:after="0" w:line="259" w:lineRule="auto"/>
              <w:ind w:left="0"/>
            </w:pPr>
            <w:r w:rsidRPr="005D7566">
              <w:t>Downer, J. J.,Leite, M. I.,Carter, R.,Palace, J.,Kuker, W.,Quaghebeur, G.  Diagnosis of neuromyelitis optica (NMO) spectrum disorders: is MRI obsolete?. Neuroradiology.  2012. 54:279-85</w:t>
            </w:r>
          </w:p>
        </w:tc>
      </w:tr>
      <w:tr w:rsidR="005D7566" w:rsidRPr="005D7566" w14:paraId="3BE5088D" w14:textId="77777777" w:rsidTr="00706BE3">
        <w:trPr>
          <w:trHeight w:val="300"/>
        </w:trPr>
        <w:tc>
          <w:tcPr>
            <w:tcW w:w="9781" w:type="dxa"/>
            <w:noWrap/>
            <w:hideMark/>
          </w:tcPr>
          <w:p w14:paraId="58C29543" w14:textId="77777777" w:rsidR="005D7566" w:rsidRPr="005D7566" w:rsidRDefault="005D7566" w:rsidP="009D6DEC">
            <w:pPr>
              <w:spacing w:after="0" w:line="259" w:lineRule="auto"/>
              <w:ind w:left="0"/>
            </w:pPr>
            <w:r w:rsidRPr="005D7566">
              <w:t>Elsone, L.,Panicker, J.,Mutch, K.,Boggild, M.,Appleton, R.,Jacob, A.  Role of intravenous immunoglobulin in the treatment of acute relapses of neuromyelitis optica: experience in 10 patients. Mult Scler.  2014. 20:501-4</w:t>
            </w:r>
          </w:p>
        </w:tc>
      </w:tr>
      <w:tr w:rsidR="005D7566" w:rsidRPr="005D7566" w14:paraId="172B3113" w14:textId="77777777" w:rsidTr="00706BE3">
        <w:trPr>
          <w:trHeight w:val="300"/>
        </w:trPr>
        <w:tc>
          <w:tcPr>
            <w:tcW w:w="9781" w:type="dxa"/>
            <w:noWrap/>
            <w:hideMark/>
          </w:tcPr>
          <w:p w14:paraId="5C85E190" w14:textId="77777777" w:rsidR="005D7566" w:rsidRPr="005D7566" w:rsidRDefault="005D7566" w:rsidP="009D6DEC">
            <w:pPr>
              <w:spacing w:after="0" w:line="259" w:lineRule="auto"/>
              <w:ind w:left="0"/>
            </w:pPr>
            <w:r w:rsidRPr="005D7566">
              <w:t>Eskandarieh, S.,Nedjat, S.,Azimi, A. R.,Moghadasi, A. N.,Sahraian, M. A.  Neuromyelitis optica spectrum disorders in Iran. Mult Scler Relat Disord.  2017. 18:209-212</w:t>
            </w:r>
          </w:p>
        </w:tc>
      </w:tr>
      <w:tr w:rsidR="005D7566" w:rsidRPr="005D7566" w14:paraId="6268E6DB" w14:textId="77777777" w:rsidTr="00706BE3">
        <w:trPr>
          <w:trHeight w:val="300"/>
        </w:trPr>
        <w:tc>
          <w:tcPr>
            <w:tcW w:w="9781" w:type="dxa"/>
            <w:noWrap/>
            <w:hideMark/>
          </w:tcPr>
          <w:p w14:paraId="6F065E9F" w14:textId="77777777" w:rsidR="005D7566" w:rsidRPr="005D7566" w:rsidRDefault="005D7566" w:rsidP="006B7FA9">
            <w:pPr>
              <w:spacing w:after="0" w:line="259" w:lineRule="auto"/>
              <w:ind w:left="0"/>
            </w:pPr>
            <w:r w:rsidRPr="005D7566">
              <w:lastRenderedPageBreak/>
              <w:t>Etemadifar, M.,Abbasi, M.,Salari, M.,Etemadifar, F.,Tavakoli, H.  Comparing myelin oligodendrocyte glycoprotein antibody (MOG-Ab) and non MOG-Ab associated optic neuritis: Clinical course and treatment outcome. Mult Scler Relat Disord.  2019. 27:127-130</w:t>
            </w:r>
          </w:p>
        </w:tc>
      </w:tr>
      <w:tr w:rsidR="005D7566" w:rsidRPr="005D7566" w14:paraId="14F1B0B1" w14:textId="77777777" w:rsidTr="00706BE3">
        <w:trPr>
          <w:trHeight w:val="300"/>
        </w:trPr>
        <w:tc>
          <w:tcPr>
            <w:tcW w:w="9781" w:type="dxa"/>
            <w:noWrap/>
            <w:hideMark/>
          </w:tcPr>
          <w:p w14:paraId="6D6D4B61" w14:textId="77777777" w:rsidR="005D7566" w:rsidRPr="005D7566" w:rsidRDefault="005D7566" w:rsidP="006B7FA9">
            <w:pPr>
              <w:spacing w:after="0" w:line="259" w:lineRule="auto"/>
              <w:ind w:left="0"/>
            </w:pPr>
            <w:r w:rsidRPr="005D7566">
              <w:t>Etemadifar, M.,Abtahi, M. A.,Razmjoo, H.,</w:t>
            </w:r>
            <w:r w:rsidR="00852B0C">
              <w:t xml:space="preserve"> et al</w:t>
            </w:r>
            <w:r w:rsidRPr="005D7566">
              <w:t>.  Anti-aquaporin-4 IgG in patients presenting with unilateral optic neuritis: A cohort study. International Journal of Preventive Medicine.  2012. 3:612-615</w:t>
            </w:r>
          </w:p>
        </w:tc>
      </w:tr>
      <w:tr w:rsidR="005D7566" w:rsidRPr="005D7566" w14:paraId="7CC9FAFF" w14:textId="77777777" w:rsidTr="00706BE3">
        <w:trPr>
          <w:trHeight w:val="300"/>
        </w:trPr>
        <w:tc>
          <w:tcPr>
            <w:tcW w:w="9781" w:type="dxa"/>
            <w:noWrap/>
            <w:hideMark/>
          </w:tcPr>
          <w:p w14:paraId="171431DF" w14:textId="77777777" w:rsidR="005D7566" w:rsidRPr="005D7566" w:rsidRDefault="005D7566" w:rsidP="006B7FA9">
            <w:pPr>
              <w:spacing w:after="0" w:line="259" w:lineRule="auto"/>
              <w:ind w:left="0"/>
            </w:pPr>
            <w:r w:rsidRPr="005D7566">
              <w:t>Etemadifar, M.,Dashti, M.,Vosoughi, R.,Abtahi, S. H.,Ramagopalan, S. V.,Nasr, Z.  An epidemiological study of neuromyelitis optica in Isfahan. Mult Scler.  2014. 20:1920-2</w:t>
            </w:r>
          </w:p>
        </w:tc>
      </w:tr>
      <w:tr w:rsidR="005D7566" w:rsidRPr="005D7566" w14:paraId="316C5A76" w14:textId="77777777" w:rsidTr="00706BE3">
        <w:trPr>
          <w:trHeight w:val="300"/>
        </w:trPr>
        <w:tc>
          <w:tcPr>
            <w:tcW w:w="9781" w:type="dxa"/>
            <w:noWrap/>
            <w:hideMark/>
          </w:tcPr>
          <w:p w14:paraId="6BAEF14F" w14:textId="77777777" w:rsidR="005D7566" w:rsidRPr="005D7566" w:rsidRDefault="005D7566" w:rsidP="00F31882">
            <w:pPr>
              <w:spacing w:after="0" w:line="259" w:lineRule="auto"/>
              <w:ind w:left="0"/>
            </w:pPr>
            <w:r w:rsidRPr="005D7566">
              <w:t>Fabis-Pedrini, M. J.,Bundell, C.,Wee, C. K.,</w:t>
            </w:r>
            <w:r w:rsidR="00852B0C">
              <w:t xml:space="preserve"> et al.</w:t>
            </w:r>
            <w:r w:rsidRPr="005D7566">
              <w:t xml:space="preserve"> Prevalence of anti-aquaporin 4 antibody in a diagnostic cohort of patients being investigated for possible neuromyelitis optica spectrum disorder in Western Australia. J Neuroimmunol.  2018. 324:76-80</w:t>
            </w:r>
          </w:p>
        </w:tc>
      </w:tr>
      <w:tr w:rsidR="005D7566" w:rsidRPr="005D7566" w14:paraId="6F6449E4" w14:textId="77777777" w:rsidTr="00706BE3">
        <w:trPr>
          <w:trHeight w:val="300"/>
        </w:trPr>
        <w:tc>
          <w:tcPr>
            <w:tcW w:w="9781" w:type="dxa"/>
            <w:noWrap/>
            <w:hideMark/>
          </w:tcPr>
          <w:p w14:paraId="24D736F6" w14:textId="77777777" w:rsidR="005D7566" w:rsidRPr="005D7566" w:rsidRDefault="005D7566" w:rsidP="006B7FA9">
            <w:pPr>
              <w:spacing w:after="0" w:line="259" w:lineRule="auto"/>
              <w:ind w:left="0"/>
            </w:pPr>
            <w:r w:rsidRPr="005D7566">
              <w:t>Fan, M.,Fu, Y.,Su, L.,</w:t>
            </w:r>
            <w:r w:rsidR="00852B0C">
              <w:t xml:space="preserve"> et al</w:t>
            </w:r>
            <w:r w:rsidRPr="005D7566">
              <w:t>.  Comparison of brain and spinal cord magnetic resonance imaging features in neuromyelitis optica spectrum disorders patients with or without aquaporin-4 antibody. Mult Scler Relat Disord.  2017. 13:58-66</w:t>
            </w:r>
          </w:p>
        </w:tc>
      </w:tr>
      <w:tr w:rsidR="005D7566" w:rsidRPr="005D7566" w14:paraId="6E861F12" w14:textId="77777777" w:rsidTr="00706BE3">
        <w:trPr>
          <w:trHeight w:val="300"/>
        </w:trPr>
        <w:tc>
          <w:tcPr>
            <w:tcW w:w="9781" w:type="dxa"/>
            <w:noWrap/>
            <w:hideMark/>
          </w:tcPr>
          <w:p w14:paraId="75739773" w14:textId="77777777" w:rsidR="005D7566" w:rsidRPr="005D7566" w:rsidRDefault="005D7566" w:rsidP="00F31882">
            <w:pPr>
              <w:spacing w:after="0" w:line="259" w:lineRule="auto"/>
              <w:ind w:left="0"/>
            </w:pPr>
            <w:r w:rsidRPr="005D7566">
              <w:t>Fazio, R.,Malosio, M. L.,Lampasona, V.,</w:t>
            </w:r>
            <w:r w:rsidR="00852B0C">
              <w:t xml:space="preserve"> et al.</w:t>
            </w:r>
            <w:r w:rsidRPr="005D7566">
              <w:t xml:space="preserve"> Antiacquaporin 4 antibodies detection by different techniques in neuromyelitis optica patients. Mult Scler.  2009. 15:1153-63</w:t>
            </w:r>
          </w:p>
        </w:tc>
      </w:tr>
      <w:tr w:rsidR="005D7566" w:rsidRPr="005D7566" w14:paraId="2E107316" w14:textId="77777777" w:rsidTr="00706BE3">
        <w:trPr>
          <w:trHeight w:val="300"/>
        </w:trPr>
        <w:tc>
          <w:tcPr>
            <w:tcW w:w="9781" w:type="dxa"/>
            <w:noWrap/>
            <w:hideMark/>
          </w:tcPr>
          <w:p w14:paraId="2A62DEF7" w14:textId="77777777" w:rsidR="005D7566" w:rsidRPr="005D7566" w:rsidRDefault="005D7566" w:rsidP="00F31882">
            <w:pPr>
              <w:spacing w:after="0" w:line="259" w:lineRule="auto"/>
              <w:ind w:left="0"/>
            </w:pPr>
            <w:r w:rsidRPr="005D7566">
              <w:t>Fernandez-Carbonell, C.,Vargas-Lowy, D.,Musallam, A.,</w:t>
            </w:r>
            <w:r w:rsidR="00852B0C">
              <w:t xml:space="preserve"> et al</w:t>
            </w:r>
            <w:r w:rsidRPr="005D7566">
              <w:t>.  Clinical and MRI phenotype of children with MOG antibodies. Mult Scler.  2016. 22:174-84</w:t>
            </w:r>
          </w:p>
        </w:tc>
      </w:tr>
      <w:tr w:rsidR="005D7566" w:rsidRPr="005D7566" w14:paraId="7159A48F" w14:textId="77777777" w:rsidTr="00706BE3">
        <w:trPr>
          <w:trHeight w:val="300"/>
        </w:trPr>
        <w:tc>
          <w:tcPr>
            <w:tcW w:w="9781" w:type="dxa"/>
            <w:noWrap/>
            <w:hideMark/>
          </w:tcPr>
          <w:p w14:paraId="481BE62A" w14:textId="77777777" w:rsidR="005D7566" w:rsidRPr="005D7566" w:rsidRDefault="005D7566" w:rsidP="006B7FA9">
            <w:pPr>
              <w:spacing w:after="0" w:line="259" w:lineRule="auto"/>
              <w:ind w:left="0"/>
            </w:pPr>
            <w:r w:rsidRPr="005D7566">
              <w:t>Flanagan, E. P.,Cabre, P.,Weinshenker, B. G.,</w:t>
            </w:r>
            <w:r w:rsidR="00852B0C">
              <w:t xml:space="preserve"> et al</w:t>
            </w:r>
            <w:r w:rsidRPr="005D7566">
              <w:t>.  Epidemiology of aquaporin-4 autoimmunity and neuromyelitis optica spectrum. Annals of Neurology.  2016. 79:775-783</w:t>
            </w:r>
          </w:p>
        </w:tc>
      </w:tr>
      <w:tr w:rsidR="005D7566" w:rsidRPr="005D7566" w14:paraId="19C661B7" w14:textId="77777777" w:rsidTr="00706BE3">
        <w:trPr>
          <w:trHeight w:val="300"/>
        </w:trPr>
        <w:tc>
          <w:tcPr>
            <w:tcW w:w="9781" w:type="dxa"/>
            <w:noWrap/>
            <w:hideMark/>
          </w:tcPr>
          <w:p w14:paraId="170AF0D9" w14:textId="77777777" w:rsidR="005D7566" w:rsidRPr="005D7566" w:rsidRDefault="005D7566" w:rsidP="006B7FA9">
            <w:pPr>
              <w:spacing w:after="0" w:line="259" w:lineRule="auto"/>
              <w:ind w:left="0"/>
            </w:pPr>
            <w:r w:rsidRPr="005D7566">
              <w:t>Flanagan, E. P.,Weinshenker, B. G.,Krecke, K. N.,</w:t>
            </w:r>
            <w:r w:rsidR="00852B0C">
              <w:t xml:space="preserve"> et al</w:t>
            </w:r>
            <w:r w:rsidRPr="005D7566">
              <w:t>.  Short myelitis lesions in aquaporin-4-IgG-positive neuromyelitis optica spectrum disorders. JAMA Neurol.  2015. 72:81-7</w:t>
            </w:r>
          </w:p>
        </w:tc>
      </w:tr>
      <w:tr w:rsidR="005D7566" w:rsidRPr="005D7566" w14:paraId="035B5F87" w14:textId="77777777" w:rsidTr="00706BE3">
        <w:trPr>
          <w:trHeight w:val="300"/>
        </w:trPr>
        <w:tc>
          <w:tcPr>
            <w:tcW w:w="9781" w:type="dxa"/>
            <w:noWrap/>
            <w:hideMark/>
          </w:tcPr>
          <w:p w14:paraId="6A9F7BC0" w14:textId="77777777" w:rsidR="005D7566" w:rsidRPr="005D7566" w:rsidRDefault="005D7566" w:rsidP="00F31882">
            <w:pPr>
              <w:spacing w:after="0" w:line="259" w:lineRule="auto"/>
              <w:ind w:left="0"/>
            </w:pPr>
            <w:r w:rsidRPr="005D7566">
              <w:t>Fryer, J. P.,Lennon, V. A.,Pittock, S. J.,</w:t>
            </w:r>
            <w:r w:rsidR="00852B0C">
              <w:t xml:space="preserve"> et al</w:t>
            </w:r>
            <w:r w:rsidRPr="005D7566">
              <w:t>.  AQP4 autoantibody assay performance in clinical laboratory service. Neurology: Neuroimmunology and NeuroInflammation.  2014. 1:#pages#</w:t>
            </w:r>
          </w:p>
        </w:tc>
      </w:tr>
      <w:tr w:rsidR="005D7566" w:rsidRPr="005D7566" w14:paraId="515D37B9" w14:textId="77777777" w:rsidTr="00706BE3">
        <w:trPr>
          <w:trHeight w:val="300"/>
        </w:trPr>
        <w:tc>
          <w:tcPr>
            <w:tcW w:w="9781" w:type="dxa"/>
            <w:noWrap/>
            <w:hideMark/>
          </w:tcPr>
          <w:p w14:paraId="636C6B4C" w14:textId="77777777" w:rsidR="005D7566" w:rsidRPr="005D7566" w:rsidRDefault="005D7566" w:rsidP="00F31882">
            <w:pPr>
              <w:spacing w:after="0" w:line="259" w:lineRule="auto"/>
              <w:ind w:left="0"/>
            </w:pPr>
            <w:r w:rsidRPr="005D7566">
              <w:t>Gao, C.,Wu, L.,Chen, X.,</w:t>
            </w:r>
            <w:r w:rsidR="00852B0C">
              <w:t xml:space="preserve"> et al</w:t>
            </w:r>
            <w:r w:rsidRPr="005D7566">
              <w:t>.  Hypothalamic abnormality in patients with inflammatory demyelinating disorders. Int J Neurosci.  2016. 126:1036-43</w:t>
            </w:r>
          </w:p>
        </w:tc>
      </w:tr>
      <w:tr w:rsidR="005D7566" w:rsidRPr="005D7566" w14:paraId="3ADC5A5E" w14:textId="77777777" w:rsidTr="00706BE3">
        <w:trPr>
          <w:trHeight w:val="300"/>
        </w:trPr>
        <w:tc>
          <w:tcPr>
            <w:tcW w:w="9781" w:type="dxa"/>
            <w:noWrap/>
            <w:hideMark/>
          </w:tcPr>
          <w:p w14:paraId="002F8A61" w14:textId="77777777" w:rsidR="005D7566" w:rsidRPr="005D7566" w:rsidRDefault="005D7566" w:rsidP="006B7FA9">
            <w:pPr>
              <w:spacing w:after="0" w:line="259" w:lineRule="auto"/>
              <w:ind w:left="0"/>
            </w:pPr>
            <w:r w:rsidRPr="005D7566">
              <w:t>Gaye, N. M.,Fall, M.,Diop, A. M.,</w:t>
            </w:r>
            <w:r w:rsidR="00852B0C">
              <w:t xml:space="preserve"> et al</w:t>
            </w:r>
            <w:r w:rsidRPr="005D7566">
              <w:t>.  Neuromyelitis optica spectrum disorders (NMO-SD) in a Sub-Saharan Africa country: A preliminary study of sixteen Senegalese cases. Mult Scler Relat Disord.  2019. 27:179-183</w:t>
            </w:r>
          </w:p>
        </w:tc>
      </w:tr>
      <w:tr w:rsidR="005D7566" w:rsidRPr="005D7566" w14:paraId="005D164A" w14:textId="77777777" w:rsidTr="00706BE3">
        <w:trPr>
          <w:trHeight w:val="300"/>
        </w:trPr>
        <w:tc>
          <w:tcPr>
            <w:tcW w:w="9781" w:type="dxa"/>
            <w:noWrap/>
            <w:hideMark/>
          </w:tcPr>
          <w:p w14:paraId="3283ABA8" w14:textId="77777777" w:rsidR="005D7566" w:rsidRPr="005D7566" w:rsidRDefault="005D7566" w:rsidP="00F31882">
            <w:pPr>
              <w:spacing w:after="0" w:line="259" w:lineRule="auto"/>
              <w:ind w:left="0"/>
            </w:pPr>
            <w:r w:rsidRPr="005D7566">
              <w:t>Granieri, L.,Marnetto, F.,Valentino, P.,</w:t>
            </w:r>
            <w:r w:rsidR="00852B0C">
              <w:t xml:space="preserve"> et al</w:t>
            </w:r>
            <w:r w:rsidRPr="005D7566">
              <w:t>.  Evaluation of a multiparametric immunofluorescence assay for standardization of neuromyelitis optica serology. PLoS One.  2012. 7:e38896</w:t>
            </w:r>
          </w:p>
        </w:tc>
      </w:tr>
      <w:tr w:rsidR="005D7566" w:rsidRPr="005D7566" w14:paraId="6717E2B5" w14:textId="77777777" w:rsidTr="00706BE3">
        <w:trPr>
          <w:trHeight w:val="300"/>
        </w:trPr>
        <w:tc>
          <w:tcPr>
            <w:tcW w:w="9781" w:type="dxa"/>
            <w:noWrap/>
            <w:hideMark/>
          </w:tcPr>
          <w:p w14:paraId="0E2CC896" w14:textId="77777777" w:rsidR="005D7566" w:rsidRPr="005D7566" w:rsidRDefault="005D7566" w:rsidP="006B7FA9">
            <w:pPr>
              <w:spacing w:after="0" w:line="259" w:lineRule="auto"/>
              <w:ind w:left="0"/>
            </w:pPr>
            <w:r w:rsidRPr="005D7566">
              <w:t>Guerra, H.,Pittock, S. J.,Moder, K. G.,Fryer, J. P.,Gadoth, A.,Flanagan, E. P.  Frequency of Aquaporin-4 Immunoglobulin G in Longitudinally Extensive Transverse Myelitis With Antiphospholipid Antibodies. Mayo Clin Proc.  2018. 93:1299-1304</w:t>
            </w:r>
          </w:p>
        </w:tc>
      </w:tr>
      <w:tr w:rsidR="005D7566" w:rsidRPr="005D7566" w14:paraId="1975253A" w14:textId="77777777" w:rsidTr="00706BE3">
        <w:trPr>
          <w:trHeight w:val="300"/>
        </w:trPr>
        <w:tc>
          <w:tcPr>
            <w:tcW w:w="9781" w:type="dxa"/>
            <w:noWrap/>
            <w:hideMark/>
          </w:tcPr>
          <w:p w14:paraId="1A611526" w14:textId="77777777" w:rsidR="005D7566" w:rsidRPr="005D7566" w:rsidRDefault="005D7566" w:rsidP="006B7FA9">
            <w:pPr>
              <w:spacing w:after="0" w:line="259" w:lineRule="auto"/>
              <w:ind w:left="0"/>
            </w:pPr>
            <w:r w:rsidRPr="005D7566">
              <w:t>Habek, M.,Adamec, I.,Pavlisa, G.,Brinar, V. V.  Diagnostic approach of patients with longitudinally extensive transverse myelitis. Acta Neurol Belg.  2012. 112:39-43</w:t>
            </w:r>
          </w:p>
        </w:tc>
      </w:tr>
      <w:tr w:rsidR="005D7566" w:rsidRPr="005D7566" w14:paraId="37AA7840" w14:textId="77777777" w:rsidTr="00706BE3">
        <w:trPr>
          <w:trHeight w:val="300"/>
        </w:trPr>
        <w:tc>
          <w:tcPr>
            <w:tcW w:w="9781" w:type="dxa"/>
            <w:noWrap/>
            <w:hideMark/>
          </w:tcPr>
          <w:p w14:paraId="3E21F46B" w14:textId="77777777" w:rsidR="005D7566" w:rsidRPr="005D7566" w:rsidRDefault="005D7566" w:rsidP="006B7FA9">
            <w:pPr>
              <w:spacing w:after="0" w:line="259" w:lineRule="auto"/>
              <w:ind w:left="0"/>
            </w:pPr>
            <w:r w:rsidRPr="005D7566">
              <w:t>Harirchian, M. H.,Aghamollaii, V.,Tafakhori, A.,</w:t>
            </w:r>
            <w:r w:rsidR="00852B0C">
              <w:t xml:space="preserve"> et al</w:t>
            </w:r>
            <w:r w:rsidRPr="005D7566">
              <w:t>.  Seroprevalence of NMO-igg antibody in neuromyelitis optica (NMO) and Its Specificity in Differentiating NMO from other demyelinating diseases with overlap symptoms: An Iranian experience. Iranian Journal of Allergy, Asthma and Immunology.  2015. 14:98-104</w:t>
            </w:r>
          </w:p>
        </w:tc>
      </w:tr>
      <w:tr w:rsidR="005D7566" w:rsidRPr="005D7566" w14:paraId="5CE0DADF" w14:textId="77777777" w:rsidTr="00706BE3">
        <w:trPr>
          <w:trHeight w:val="300"/>
        </w:trPr>
        <w:tc>
          <w:tcPr>
            <w:tcW w:w="9781" w:type="dxa"/>
            <w:noWrap/>
            <w:hideMark/>
          </w:tcPr>
          <w:p w14:paraId="21D3FEC0" w14:textId="77777777" w:rsidR="005D7566" w:rsidRPr="005D7566" w:rsidRDefault="005D7566" w:rsidP="00F31882">
            <w:pPr>
              <w:spacing w:after="0" w:line="259" w:lineRule="auto"/>
              <w:ind w:left="0"/>
            </w:pPr>
            <w:r w:rsidRPr="005D7566">
              <w:t>Harirchian, M. H.,Tafakhori, A.,Taslimi, S.,</w:t>
            </w:r>
            <w:r w:rsidR="00852B0C">
              <w:t xml:space="preserve"> et al.</w:t>
            </w:r>
            <w:r w:rsidRPr="005D7566">
              <w:t xml:space="preserve"> Seroprevalence of NMO-IgG Antibody in Neuromyelitis optica (NMO) and Its Specificity in Differentiating NMO from Other Demyelinating Diseases with Overlap Symptoms: An Iranian Experience. Iran J Allergy Asthma Immunol.  2015. 14:98-104</w:t>
            </w:r>
          </w:p>
        </w:tc>
      </w:tr>
      <w:tr w:rsidR="005D7566" w:rsidRPr="005D7566" w14:paraId="713D2511" w14:textId="77777777" w:rsidTr="00706BE3">
        <w:trPr>
          <w:trHeight w:val="300"/>
        </w:trPr>
        <w:tc>
          <w:tcPr>
            <w:tcW w:w="9781" w:type="dxa"/>
            <w:noWrap/>
            <w:hideMark/>
          </w:tcPr>
          <w:p w14:paraId="39399606" w14:textId="77777777" w:rsidR="005D7566" w:rsidRPr="005D7566" w:rsidRDefault="005D7566" w:rsidP="006B7FA9">
            <w:pPr>
              <w:spacing w:after="0" w:line="259" w:lineRule="auto"/>
              <w:ind w:left="0"/>
            </w:pPr>
            <w:r w:rsidRPr="005D7566">
              <w:t>Hayakawa, S.,Mori, M.,Okuta, A.,</w:t>
            </w:r>
            <w:r w:rsidR="00D30CAC">
              <w:t xml:space="preserve"> et al.</w:t>
            </w:r>
            <w:r w:rsidRPr="005D7566">
              <w:t xml:space="preserve"> Neuromyelitis optica and anti-aquaporin-4 antibodies measured by an enzyme-linked immunosorbent assay. J Neuroimmunol.  2008. 196:181-7</w:t>
            </w:r>
          </w:p>
        </w:tc>
      </w:tr>
      <w:tr w:rsidR="005D7566" w:rsidRPr="005D7566" w14:paraId="62D73248" w14:textId="77777777" w:rsidTr="00706BE3">
        <w:trPr>
          <w:trHeight w:val="300"/>
        </w:trPr>
        <w:tc>
          <w:tcPr>
            <w:tcW w:w="9781" w:type="dxa"/>
            <w:noWrap/>
            <w:hideMark/>
          </w:tcPr>
          <w:p w14:paraId="51C3E28E" w14:textId="77777777" w:rsidR="005D7566" w:rsidRPr="005D7566" w:rsidRDefault="005D7566" w:rsidP="006B7FA9">
            <w:pPr>
              <w:spacing w:after="0" w:line="259" w:lineRule="auto"/>
              <w:ind w:left="0"/>
            </w:pPr>
            <w:r w:rsidRPr="005D7566">
              <w:t>Hintzen, R. Q.,Dale, R. C.,Neuteboom, R. F.,Mar, S.,Banwell, B.  Pediatric acquired CNS demyelinating syndromes: Features associated with multiple sclerosis. Neurology.  2016. 87:S67-73</w:t>
            </w:r>
          </w:p>
        </w:tc>
      </w:tr>
      <w:tr w:rsidR="005D7566" w:rsidRPr="005D7566" w14:paraId="417637CC" w14:textId="77777777" w:rsidTr="00706BE3">
        <w:trPr>
          <w:trHeight w:val="300"/>
        </w:trPr>
        <w:tc>
          <w:tcPr>
            <w:tcW w:w="9781" w:type="dxa"/>
            <w:noWrap/>
            <w:hideMark/>
          </w:tcPr>
          <w:p w14:paraId="74B0E60B" w14:textId="77777777" w:rsidR="005D7566" w:rsidRPr="005D7566" w:rsidRDefault="005D7566" w:rsidP="006B7FA9">
            <w:pPr>
              <w:spacing w:after="0" w:line="259" w:lineRule="auto"/>
              <w:ind w:left="0"/>
            </w:pPr>
            <w:r w:rsidRPr="005D7566">
              <w:t>Hoftberger, R.,Sabater, L.,Marignier, R.,</w:t>
            </w:r>
            <w:r w:rsidR="00D30CAC">
              <w:t xml:space="preserve"> et al</w:t>
            </w:r>
            <w:r w:rsidRPr="005D7566">
              <w:t>.  An optimized immunohistochemistry technique improves NMO-IgG detection: study comparison with cell-based assays. PLoS One.  2013. 8:e79083</w:t>
            </w:r>
          </w:p>
        </w:tc>
      </w:tr>
      <w:tr w:rsidR="005D7566" w:rsidRPr="005D7566" w14:paraId="1E70EA8B" w14:textId="77777777" w:rsidTr="00706BE3">
        <w:trPr>
          <w:trHeight w:val="300"/>
        </w:trPr>
        <w:tc>
          <w:tcPr>
            <w:tcW w:w="9781" w:type="dxa"/>
            <w:noWrap/>
            <w:hideMark/>
          </w:tcPr>
          <w:p w14:paraId="6F475410" w14:textId="77777777" w:rsidR="005D7566" w:rsidRPr="005D7566" w:rsidRDefault="005D7566" w:rsidP="006B7FA9">
            <w:pPr>
              <w:spacing w:after="0" w:line="259" w:lineRule="auto"/>
              <w:ind w:left="0"/>
            </w:pPr>
            <w:r w:rsidRPr="005D7566">
              <w:t>Hoftberger, R.,Sepulveda, M.,Armangue, T.,</w:t>
            </w:r>
            <w:r w:rsidR="00D30CAC">
              <w:t xml:space="preserve"> et al</w:t>
            </w:r>
            <w:r w:rsidRPr="005D7566">
              <w:t>.  Antibodies to MOG and AQP4 in adults with neuromyelitis optica and suspected limited forms of the disease. Mult Scler.  2015. 21:866-874</w:t>
            </w:r>
          </w:p>
        </w:tc>
      </w:tr>
      <w:tr w:rsidR="005D7566" w:rsidRPr="005D7566" w14:paraId="4A2FE2FD" w14:textId="77777777" w:rsidTr="00706BE3">
        <w:trPr>
          <w:trHeight w:val="300"/>
        </w:trPr>
        <w:tc>
          <w:tcPr>
            <w:tcW w:w="9781" w:type="dxa"/>
            <w:noWrap/>
            <w:hideMark/>
          </w:tcPr>
          <w:p w14:paraId="6CE28C5E" w14:textId="77777777" w:rsidR="005D7566" w:rsidRPr="005D7566" w:rsidRDefault="005D7566" w:rsidP="006B7FA9">
            <w:pPr>
              <w:spacing w:after="0" w:line="259" w:lineRule="auto"/>
              <w:ind w:left="0"/>
            </w:pPr>
            <w:r w:rsidRPr="005D7566">
              <w:t>Holroyd, K. B.,Aziz, F.,Szolics, M.,Alsaadi, T.,Levy, M.,Schiess, N.  Prevalence and characteristics of transverse myelitis and neuromyelitis optica spectrum disorders in the United Arab Emirates: A multicenter, retrospective study. Clinical and Experimental Neuroimmunology.  2018. 9:155-161</w:t>
            </w:r>
          </w:p>
        </w:tc>
      </w:tr>
      <w:tr w:rsidR="005D7566" w:rsidRPr="005D7566" w14:paraId="402F3BB2" w14:textId="77777777" w:rsidTr="00706BE3">
        <w:trPr>
          <w:trHeight w:val="300"/>
        </w:trPr>
        <w:tc>
          <w:tcPr>
            <w:tcW w:w="9781" w:type="dxa"/>
            <w:noWrap/>
            <w:hideMark/>
          </w:tcPr>
          <w:p w14:paraId="2A23F308" w14:textId="77777777" w:rsidR="005D7566" w:rsidRPr="005D7566" w:rsidRDefault="005D7566" w:rsidP="00F31882">
            <w:pPr>
              <w:spacing w:after="0" w:line="259" w:lineRule="auto"/>
              <w:ind w:left="0"/>
            </w:pPr>
            <w:r w:rsidRPr="005D7566">
              <w:t>Hor, J. Y.,Lim, T. T.,Chia, Y. K.,</w:t>
            </w:r>
            <w:r w:rsidR="00D30CAC">
              <w:t xml:space="preserve"> et al</w:t>
            </w:r>
            <w:r w:rsidRPr="005D7566">
              <w:t>.  Prevalence of neuromyelitis optica spectrum disorder in the multi-ethnic Penang Island, Malaysia, and a review of worldwide prevalence. Mult Scler Relat Disord.  2018. 19:20-24</w:t>
            </w:r>
          </w:p>
        </w:tc>
      </w:tr>
      <w:tr w:rsidR="005D7566" w:rsidRPr="005D7566" w14:paraId="1C0789F0" w14:textId="77777777" w:rsidTr="00706BE3">
        <w:trPr>
          <w:trHeight w:val="300"/>
        </w:trPr>
        <w:tc>
          <w:tcPr>
            <w:tcW w:w="9781" w:type="dxa"/>
            <w:noWrap/>
            <w:hideMark/>
          </w:tcPr>
          <w:p w14:paraId="6F11E192" w14:textId="77777777" w:rsidR="005D7566" w:rsidRPr="005D7566" w:rsidRDefault="005D7566" w:rsidP="006B7FA9">
            <w:pPr>
              <w:spacing w:after="0" w:line="259" w:lineRule="auto"/>
              <w:ind w:left="0"/>
            </w:pPr>
            <w:r w:rsidRPr="005D7566">
              <w:lastRenderedPageBreak/>
              <w:t>Horwitz, H.,Friis, T.,Modvig, S.,</w:t>
            </w:r>
            <w:r w:rsidR="00D30CAC">
              <w:t xml:space="preserve"> et al.</w:t>
            </w:r>
            <w:r w:rsidRPr="005D7566">
              <w:t xml:space="preserve">  Differential diagnoses to MS: experiences from an optic neuritis clinic. J Neurol.  2014. 261:98-105</w:t>
            </w:r>
          </w:p>
        </w:tc>
      </w:tr>
      <w:tr w:rsidR="005D7566" w:rsidRPr="005D7566" w14:paraId="015B7930" w14:textId="77777777" w:rsidTr="00706BE3">
        <w:trPr>
          <w:trHeight w:val="300"/>
        </w:trPr>
        <w:tc>
          <w:tcPr>
            <w:tcW w:w="9781" w:type="dxa"/>
            <w:noWrap/>
            <w:hideMark/>
          </w:tcPr>
          <w:p w14:paraId="6843853E" w14:textId="77777777" w:rsidR="005D7566" w:rsidRPr="005D7566" w:rsidRDefault="005D7566" w:rsidP="006B7FA9">
            <w:pPr>
              <w:spacing w:after="0" w:line="259" w:lineRule="auto"/>
              <w:ind w:left="0"/>
            </w:pPr>
            <w:r w:rsidRPr="005D7566">
              <w:t>Huh, S. Y.,Min, J. H.,Kim, W.,</w:t>
            </w:r>
            <w:r w:rsidR="00D30CAC">
              <w:t xml:space="preserve"> et al</w:t>
            </w:r>
            <w:r w:rsidRPr="005D7566">
              <w:t>.  The usefulness of brain MRI at onset in the differentiation of multiple sclerosis and seropositive neuromyelitis optica spectrum disorders. Mult Scler.  2014. 20:695-704</w:t>
            </w:r>
          </w:p>
        </w:tc>
      </w:tr>
      <w:tr w:rsidR="005D7566" w:rsidRPr="005D7566" w14:paraId="45B37451" w14:textId="77777777" w:rsidTr="00706BE3">
        <w:trPr>
          <w:trHeight w:val="300"/>
        </w:trPr>
        <w:tc>
          <w:tcPr>
            <w:tcW w:w="9781" w:type="dxa"/>
            <w:noWrap/>
            <w:hideMark/>
          </w:tcPr>
          <w:p w14:paraId="2D44DBDD" w14:textId="77777777" w:rsidR="005D7566" w:rsidRPr="005D7566" w:rsidRDefault="005D7566" w:rsidP="006B7FA9">
            <w:pPr>
              <w:spacing w:after="0" w:line="259" w:lineRule="auto"/>
              <w:ind w:left="0"/>
            </w:pPr>
            <w:r w:rsidRPr="005D7566">
              <w:t>Huppke, P.,Bluthner, M.,Bauer, O.,</w:t>
            </w:r>
            <w:r w:rsidR="00D30CAC">
              <w:t xml:space="preserve"> et al</w:t>
            </w:r>
            <w:r w:rsidRPr="005D7566">
              <w:t>.  Neuromyelitis optica and NMO-IgG in European pediatric patients. Neurology.  2010. 75:1740-4</w:t>
            </w:r>
          </w:p>
        </w:tc>
      </w:tr>
      <w:tr w:rsidR="005D7566" w:rsidRPr="005D7566" w14:paraId="6E1BAEA0" w14:textId="77777777" w:rsidTr="00706BE3">
        <w:trPr>
          <w:trHeight w:val="300"/>
        </w:trPr>
        <w:tc>
          <w:tcPr>
            <w:tcW w:w="9781" w:type="dxa"/>
            <w:noWrap/>
            <w:hideMark/>
          </w:tcPr>
          <w:p w14:paraId="10823443" w14:textId="77777777" w:rsidR="005D7566" w:rsidRPr="005D7566" w:rsidRDefault="005D7566" w:rsidP="006B7FA9">
            <w:pPr>
              <w:spacing w:after="0" w:line="259" w:lineRule="auto"/>
              <w:ind w:left="0"/>
            </w:pPr>
            <w:r w:rsidRPr="005D7566">
              <w:t>Hyun, J. W.,Kim, S. H.,Huh, S. Y.,</w:t>
            </w:r>
            <w:r w:rsidR="00D30CAC">
              <w:t xml:space="preserve"> et al</w:t>
            </w:r>
            <w:r w:rsidRPr="005D7566">
              <w:t>.  Idiopathic aquaporin-4 antibody negative longitudinally extensive transverse myelitis. Mult Scler.  2015. 21:710-7</w:t>
            </w:r>
          </w:p>
        </w:tc>
      </w:tr>
      <w:tr w:rsidR="005D7566" w:rsidRPr="005D7566" w14:paraId="28F5A25A" w14:textId="77777777" w:rsidTr="00706BE3">
        <w:trPr>
          <w:trHeight w:val="300"/>
        </w:trPr>
        <w:tc>
          <w:tcPr>
            <w:tcW w:w="9781" w:type="dxa"/>
            <w:noWrap/>
            <w:hideMark/>
          </w:tcPr>
          <w:p w14:paraId="37072A7C" w14:textId="77777777" w:rsidR="005D7566" w:rsidRPr="005D7566" w:rsidRDefault="005D7566" w:rsidP="00F31882">
            <w:pPr>
              <w:spacing w:after="0" w:line="259" w:lineRule="auto"/>
              <w:ind w:left="0"/>
            </w:pPr>
            <w:r w:rsidRPr="005D7566">
              <w:t>Iorio, R.,Damato, V.,Mirabella, M.,</w:t>
            </w:r>
            <w:r w:rsidR="00D30CAC">
              <w:t xml:space="preserve"> et al.</w:t>
            </w:r>
            <w:r w:rsidRPr="005D7566">
              <w:t xml:space="preserve">  Distinctive clinical and neuroimaging characteristics of longitudinally extensive transverse myelitis associated with aquaporin-4 autoantibodies. J Neurol.  2013. 260:2396-402</w:t>
            </w:r>
          </w:p>
        </w:tc>
      </w:tr>
      <w:tr w:rsidR="005D7566" w:rsidRPr="005D7566" w14:paraId="3954C751" w14:textId="77777777" w:rsidTr="00706BE3">
        <w:trPr>
          <w:trHeight w:val="300"/>
        </w:trPr>
        <w:tc>
          <w:tcPr>
            <w:tcW w:w="9781" w:type="dxa"/>
            <w:noWrap/>
            <w:hideMark/>
          </w:tcPr>
          <w:p w14:paraId="72621F39" w14:textId="77777777" w:rsidR="005D7566" w:rsidRPr="005D7566" w:rsidRDefault="005D7566" w:rsidP="006B7FA9">
            <w:pPr>
              <w:spacing w:after="0" w:line="259" w:lineRule="auto"/>
              <w:ind w:left="0"/>
            </w:pPr>
            <w:r w:rsidRPr="005D7566">
              <w:t>Isobe, N.,Yonekawa, T.,Matsushita, T.,</w:t>
            </w:r>
            <w:r w:rsidR="00D30CAC">
              <w:t xml:space="preserve"> et al</w:t>
            </w:r>
            <w:r w:rsidRPr="005D7566">
              <w:t>.  Quantitative assays for anti-aquaporin-4 antibody with subclass analysis in neuromyelitis optica. Mult Scler.  2012. 18:1541-51</w:t>
            </w:r>
          </w:p>
        </w:tc>
      </w:tr>
      <w:tr w:rsidR="005D7566" w:rsidRPr="005D7566" w14:paraId="3B14B74F" w14:textId="77777777" w:rsidTr="00706BE3">
        <w:trPr>
          <w:trHeight w:val="300"/>
        </w:trPr>
        <w:tc>
          <w:tcPr>
            <w:tcW w:w="9781" w:type="dxa"/>
            <w:noWrap/>
            <w:hideMark/>
          </w:tcPr>
          <w:p w14:paraId="046F40C7" w14:textId="77777777" w:rsidR="005D7566" w:rsidRPr="005D7566" w:rsidRDefault="005D7566" w:rsidP="006B7FA9">
            <w:pPr>
              <w:spacing w:after="0" w:line="259" w:lineRule="auto"/>
              <w:ind w:left="0"/>
            </w:pPr>
            <w:r w:rsidRPr="005D7566">
              <w:t>Jacob, A.,Panicker, J.,Lythgoe, D.,</w:t>
            </w:r>
            <w:r w:rsidR="00D30CAC">
              <w:t xml:space="preserve"> et al</w:t>
            </w:r>
            <w:r w:rsidRPr="005D7566">
              <w:t>.  The epidemiology of neuromyelitis optica amongst adults in the Merseyside county of United Kingdom. J Neurol.  2013. 260:2134-7</w:t>
            </w:r>
          </w:p>
        </w:tc>
      </w:tr>
      <w:tr w:rsidR="005D7566" w:rsidRPr="005D7566" w14:paraId="530B70A7" w14:textId="77777777" w:rsidTr="00706BE3">
        <w:trPr>
          <w:trHeight w:val="300"/>
        </w:trPr>
        <w:tc>
          <w:tcPr>
            <w:tcW w:w="9781" w:type="dxa"/>
            <w:noWrap/>
            <w:hideMark/>
          </w:tcPr>
          <w:p w14:paraId="24C92133" w14:textId="77777777" w:rsidR="005D7566" w:rsidRPr="005D7566" w:rsidRDefault="005D7566" w:rsidP="006B7FA9">
            <w:pPr>
              <w:spacing w:after="0" w:line="259" w:lineRule="auto"/>
              <w:ind w:left="0"/>
            </w:pPr>
            <w:r w:rsidRPr="005D7566">
              <w:t>Jarius, S.,Aboul-Enein, F.,Waters, P.,</w:t>
            </w:r>
            <w:r w:rsidR="00D30CAC">
              <w:t xml:space="preserve"> et al</w:t>
            </w:r>
            <w:r w:rsidRPr="005D7566">
              <w:t>.  Antibody to aquaporin-4 in the long-term course of neuromyelitis optica. Brain.  2008. 131:3072-80</w:t>
            </w:r>
          </w:p>
        </w:tc>
      </w:tr>
      <w:tr w:rsidR="005D7566" w:rsidRPr="005D7566" w14:paraId="4BB9A950" w14:textId="77777777" w:rsidTr="00706BE3">
        <w:trPr>
          <w:trHeight w:val="300"/>
        </w:trPr>
        <w:tc>
          <w:tcPr>
            <w:tcW w:w="9781" w:type="dxa"/>
            <w:noWrap/>
            <w:hideMark/>
          </w:tcPr>
          <w:p w14:paraId="78ED8950" w14:textId="77777777" w:rsidR="005D7566" w:rsidRPr="005D7566" w:rsidRDefault="005D7566" w:rsidP="006B7FA9">
            <w:pPr>
              <w:spacing w:after="0" w:line="259" w:lineRule="auto"/>
              <w:ind w:left="0"/>
            </w:pPr>
            <w:r w:rsidRPr="005D7566">
              <w:t>Jarius, S.,Franciotta, D.,Paul, F.,</w:t>
            </w:r>
            <w:r w:rsidR="00D30CAC">
              <w:t xml:space="preserve"> et al</w:t>
            </w:r>
            <w:r w:rsidRPr="005D7566">
              <w:t>.  Testing for antibodies to human aquaporin-4 by ELISA: sensitivity, specificity, and direct comparison with immunohistochemistry. J Neurol Sci.  2012. 320:32-7</w:t>
            </w:r>
          </w:p>
        </w:tc>
      </w:tr>
      <w:tr w:rsidR="005D7566" w:rsidRPr="005D7566" w14:paraId="42444A6A" w14:textId="77777777" w:rsidTr="00706BE3">
        <w:trPr>
          <w:trHeight w:val="300"/>
        </w:trPr>
        <w:tc>
          <w:tcPr>
            <w:tcW w:w="9781" w:type="dxa"/>
            <w:noWrap/>
            <w:hideMark/>
          </w:tcPr>
          <w:p w14:paraId="2CA14798" w14:textId="77777777" w:rsidR="005D7566" w:rsidRPr="005D7566" w:rsidRDefault="005D7566" w:rsidP="006B7FA9">
            <w:pPr>
              <w:spacing w:after="0" w:line="259" w:lineRule="auto"/>
              <w:ind w:left="0"/>
            </w:pPr>
            <w:r w:rsidRPr="005D7566">
              <w:t>Jarius, S.,Frederikson, J.,Waters, P.,</w:t>
            </w:r>
            <w:r w:rsidR="00D30CAC">
              <w:t xml:space="preserve"> et al</w:t>
            </w:r>
            <w:r w:rsidRPr="005D7566">
              <w:t>.  Frequency and prognostic impact of antibodies to aquaporin-4 in patients with optic neuritis. J Neurol Sci.  2010. 298:158-62</w:t>
            </w:r>
          </w:p>
        </w:tc>
      </w:tr>
      <w:tr w:rsidR="005D7566" w:rsidRPr="005D7566" w14:paraId="6205BEBE" w14:textId="77777777" w:rsidTr="00706BE3">
        <w:trPr>
          <w:trHeight w:val="300"/>
        </w:trPr>
        <w:tc>
          <w:tcPr>
            <w:tcW w:w="9781" w:type="dxa"/>
            <w:noWrap/>
            <w:hideMark/>
          </w:tcPr>
          <w:p w14:paraId="50E7A730" w14:textId="77777777" w:rsidR="005D7566" w:rsidRPr="005D7566" w:rsidRDefault="005D7566" w:rsidP="00F31882">
            <w:pPr>
              <w:spacing w:after="0" w:line="259" w:lineRule="auto"/>
              <w:ind w:left="0"/>
            </w:pPr>
            <w:r w:rsidRPr="005D7566">
              <w:t>Jarius, S.,Paul, F.,Fechner, K.,</w:t>
            </w:r>
            <w:r w:rsidR="00D30CAC">
              <w:t xml:space="preserve"> et al</w:t>
            </w:r>
            <w:r w:rsidRPr="005D7566">
              <w:t>.  Aquaporin-4 antibody testing: direct comparison of M1-AQP4-DNA-transfected cells with leaky scanning versus M23-AQP4-DNA-transfected cells as antigenic substrate. J Neuroinflammation.  2014. 11:129</w:t>
            </w:r>
          </w:p>
        </w:tc>
      </w:tr>
      <w:tr w:rsidR="005D7566" w:rsidRPr="005D7566" w14:paraId="12F0D345" w14:textId="77777777" w:rsidTr="00706BE3">
        <w:trPr>
          <w:trHeight w:val="300"/>
        </w:trPr>
        <w:tc>
          <w:tcPr>
            <w:tcW w:w="9781" w:type="dxa"/>
            <w:noWrap/>
            <w:hideMark/>
          </w:tcPr>
          <w:p w14:paraId="117364DB" w14:textId="77777777" w:rsidR="005D7566" w:rsidRPr="005D7566" w:rsidRDefault="005D7566" w:rsidP="006B7FA9">
            <w:pPr>
              <w:spacing w:after="0" w:line="259" w:lineRule="auto"/>
              <w:ind w:left="0"/>
            </w:pPr>
            <w:r w:rsidRPr="005D7566">
              <w:t>Jarius, S.,Probst, C.,Borowski, K.,</w:t>
            </w:r>
            <w:r w:rsidR="00D30CAC">
              <w:t xml:space="preserve"> et al</w:t>
            </w:r>
            <w:r w:rsidRPr="005D7566">
              <w:t>.  Standardized method for the detection of antibodies to aquaporin-4 based on a highly sensitive immunofluorescence assay employing recombinant target antigen. J Neurol Sci.  2010. 291:52-6</w:t>
            </w:r>
          </w:p>
        </w:tc>
      </w:tr>
      <w:tr w:rsidR="005D7566" w:rsidRPr="005D7566" w14:paraId="74B3C05B" w14:textId="77777777" w:rsidTr="00706BE3">
        <w:trPr>
          <w:trHeight w:val="300"/>
        </w:trPr>
        <w:tc>
          <w:tcPr>
            <w:tcW w:w="9781" w:type="dxa"/>
            <w:noWrap/>
            <w:hideMark/>
          </w:tcPr>
          <w:p w14:paraId="3BE5A9E6" w14:textId="77777777" w:rsidR="005D7566" w:rsidRPr="005D7566" w:rsidRDefault="005D7566" w:rsidP="006B7FA9">
            <w:pPr>
              <w:spacing w:after="0" w:line="259" w:lineRule="auto"/>
              <w:ind w:left="0"/>
            </w:pPr>
            <w:r w:rsidRPr="005D7566">
              <w:t>Jarius, S.,Ruprecht, K.,Wildemann, B.,</w:t>
            </w:r>
            <w:r w:rsidR="00D30CAC">
              <w:t xml:space="preserve"> et al</w:t>
            </w:r>
            <w:r w:rsidRPr="005D7566">
              <w:t>.  Contrasting disease patterns in seropositive and seronegative neuromyelitis optica: A multicentre study of 175 patients. J Neuroinflammation.  2012. 9:14</w:t>
            </w:r>
          </w:p>
        </w:tc>
      </w:tr>
      <w:tr w:rsidR="005D7566" w:rsidRPr="005D7566" w14:paraId="7D8756B4" w14:textId="77777777" w:rsidTr="00706BE3">
        <w:trPr>
          <w:trHeight w:val="300"/>
        </w:trPr>
        <w:tc>
          <w:tcPr>
            <w:tcW w:w="9781" w:type="dxa"/>
            <w:noWrap/>
            <w:hideMark/>
          </w:tcPr>
          <w:p w14:paraId="2EE7612A" w14:textId="77777777" w:rsidR="005D7566" w:rsidRPr="005D7566" w:rsidRDefault="005D7566" w:rsidP="006B7FA9">
            <w:pPr>
              <w:spacing w:after="0" w:line="259" w:lineRule="auto"/>
              <w:ind w:left="0"/>
            </w:pPr>
            <w:r w:rsidRPr="005D7566">
              <w:t>Jarius, S.,Wildemann, B.  Aquaporin-4 antibodies (NMO-IgG) as a serological marker of neuromyelitis optica: a critical review of the literature. Brain Pathol.  2013. 23:661-83</w:t>
            </w:r>
          </w:p>
        </w:tc>
      </w:tr>
      <w:tr w:rsidR="005D7566" w:rsidRPr="005D7566" w14:paraId="0C652846" w14:textId="77777777" w:rsidTr="00706BE3">
        <w:trPr>
          <w:trHeight w:val="300"/>
        </w:trPr>
        <w:tc>
          <w:tcPr>
            <w:tcW w:w="9781" w:type="dxa"/>
            <w:noWrap/>
            <w:hideMark/>
          </w:tcPr>
          <w:p w14:paraId="4C163E69" w14:textId="77777777" w:rsidR="005D7566" w:rsidRPr="005D7566" w:rsidRDefault="005D7566" w:rsidP="006B7FA9">
            <w:pPr>
              <w:spacing w:after="0" w:line="259" w:lineRule="auto"/>
              <w:ind w:left="0"/>
            </w:pPr>
            <w:r w:rsidRPr="005D7566">
              <w:t>Jiao, Y.,Fryer, J. P.,Lennon, V. A.,</w:t>
            </w:r>
            <w:r w:rsidR="00BE24FF">
              <w:t xml:space="preserve"> et al</w:t>
            </w:r>
            <w:r w:rsidRPr="005D7566">
              <w:t>.  Updated estimate of AQP4-IgG serostatus and disability outcome in neuromyelitis optica. Neurology.  2013. 81:1197-204</w:t>
            </w:r>
          </w:p>
        </w:tc>
      </w:tr>
      <w:tr w:rsidR="005D7566" w:rsidRPr="005D7566" w14:paraId="290067CE" w14:textId="77777777" w:rsidTr="00706BE3">
        <w:trPr>
          <w:trHeight w:val="300"/>
        </w:trPr>
        <w:tc>
          <w:tcPr>
            <w:tcW w:w="9781" w:type="dxa"/>
            <w:noWrap/>
            <w:hideMark/>
          </w:tcPr>
          <w:p w14:paraId="1FC6CF03" w14:textId="77777777" w:rsidR="005D7566" w:rsidRPr="005D7566" w:rsidRDefault="005D7566" w:rsidP="00F31882">
            <w:pPr>
              <w:spacing w:after="0" w:line="259" w:lineRule="auto"/>
              <w:ind w:left="0"/>
            </w:pPr>
            <w:r w:rsidRPr="005D7566">
              <w:t>Jiao, Y.,Fryer, J. P.,Lennon, V. A.,</w:t>
            </w:r>
            <w:r w:rsidR="00BE24FF">
              <w:t xml:space="preserve"> et al</w:t>
            </w:r>
            <w:r w:rsidRPr="005D7566">
              <w:t>.  Aquaporin 4 IgG serostatus and outcome in recurrent longitudinally extensive transverse myelitis. JAMA Neurol.  2014. 71:48-54</w:t>
            </w:r>
          </w:p>
        </w:tc>
      </w:tr>
      <w:tr w:rsidR="005D7566" w:rsidRPr="005D7566" w14:paraId="49AC83F2" w14:textId="77777777" w:rsidTr="00706BE3">
        <w:trPr>
          <w:trHeight w:val="300"/>
        </w:trPr>
        <w:tc>
          <w:tcPr>
            <w:tcW w:w="9781" w:type="dxa"/>
            <w:noWrap/>
            <w:hideMark/>
          </w:tcPr>
          <w:p w14:paraId="0F9B08C7" w14:textId="77777777" w:rsidR="005D7566" w:rsidRPr="005D7566" w:rsidRDefault="005D7566" w:rsidP="00F31882">
            <w:pPr>
              <w:spacing w:after="0" w:line="259" w:lineRule="auto"/>
              <w:ind w:left="0"/>
            </w:pPr>
            <w:r w:rsidRPr="005D7566">
              <w:t>Jitprapaikulsan, J.,Chen, J. J.,Flanagan, E. P.,</w:t>
            </w:r>
            <w:r w:rsidR="00BE24FF">
              <w:t xml:space="preserve"> et al</w:t>
            </w:r>
            <w:r w:rsidRPr="005D7566">
              <w:t xml:space="preserve">  Aquaporin-4 and Myelin Oligodendrocyte Glycoprotein Autoantibody Status Predict Outcome of Recurrent Optic Neuritis. Ophthalmology.  2018. 125:1628-1637</w:t>
            </w:r>
          </w:p>
        </w:tc>
      </w:tr>
      <w:tr w:rsidR="005D7566" w:rsidRPr="005D7566" w14:paraId="3BA69D30" w14:textId="77777777" w:rsidTr="00706BE3">
        <w:trPr>
          <w:trHeight w:val="300"/>
        </w:trPr>
        <w:tc>
          <w:tcPr>
            <w:tcW w:w="9781" w:type="dxa"/>
            <w:noWrap/>
            <w:hideMark/>
          </w:tcPr>
          <w:p w14:paraId="7A4EC9F4" w14:textId="77777777" w:rsidR="005D7566" w:rsidRPr="005D7566" w:rsidRDefault="005D7566" w:rsidP="006B7FA9">
            <w:pPr>
              <w:spacing w:after="0" w:line="259" w:lineRule="auto"/>
              <w:ind w:left="0"/>
            </w:pPr>
            <w:r w:rsidRPr="005D7566">
              <w:t>Jonsson, D. I.,Sveinsson, O.,Hakim, R.,Brundin, L.  Epidemiology of NMOSD in Sweden from 1987 to 2013: A nationwide population-based study. Neurology.  2019. 93:E181-E189</w:t>
            </w:r>
          </w:p>
        </w:tc>
      </w:tr>
      <w:tr w:rsidR="005D7566" w:rsidRPr="005D7566" w14:paraId="6360149F" w14:textId="77777777" w:rsidTr="00706BE3">
        <w:trPr>
          <w:trHeight w:val="300"/>
        </w:trPr>
        <w:tc>
          <w:tcPr>
            <w:tcW w:w="9781" w:type="dxa"/>
            <w:noWrap/>
            <w:hideMark/>
          </w:tcPr>
          <w:p w14:paraId="01E9048C" w14:textId="77777777" w:rsidR="005D7566" w:rsidRPr="005D7566" w:rsidRDefault="005D7566" w:rsidP="00F31882">
            <w:pPr>
              <w:spacing w:after="0" w:line="259" w:lineRule="auto"/>
              <w:ind w:left="0"/>
            </w:pPr>
            <w:r w:rsidRPr="005D7566">
              <w:t>Jurynczyk, M.,Messina, S.,Woodhall, M. R.,</w:t>
            </w:r>
            <w:r w:rsidR="00BE24FF">
              <w:t xml:space="preserve"> et al.</w:t>
            </w:r>
            <w:r w:rsidRPr="005D7566">
              <w:t xml:space="preserve">  Clinical presentation and prognosis in MOG-antibody disease: a UK study. Brain.  2017. 140:3128-3138</w:t>
            </w:r>
          </w:p>
        </w:tc>
      </w:tr>
      <w:tr w:rsidR="005D7566" w:rsidRPr="005D7566" w14:paraId="4D7D6569" w14:textId="77777777" w:rsidTr="00706BE3">
        <w:trPr>
          <w:trHeight w:val="300"/>
        </w:trPr>
        <w:tc>
          <w:tcPr>
            <w:tcW w:w="9781" w:type="dxa"/>
            <w:noWrap/>
            <w:hideMark/>
          </w:tcPr>
          <w:p w14:paraId="78040694" w14:textId="77777777" w:rsidR="005D7566" w:rsidRPr="005D7566" w:rsidRDefault="005D7566" w:rsidP="006B7FA9">
            <w:pPr>
              <w:spacing w:after="0" w:line="259" w:lineRule="auto"/>
              <w:ind w:left="0"/>
            </w:pPr>
            <w:r w:rsidRPr="005D7566">
              <w:t>Jurynczyk, M.,Tackley, G.,Kong, Y.,</w:t>
            </w:r>
            <w:r w:rsidR="00BE24FF">
              <w:t xml:space="preserve"> et al</w:t>
            </w:r>
            <w:r w:rsidRPr="005D7566">
              <w:t>.  Brain lesion distribution criteria distinguish MS from AQP4-antibody NMOSD and MOG-antibody disease. J Neurol Neurosurg Psychiatry.  2017. 88:132-136</w:t>
            </w:r>
          </w:p>
        </w:tc>
      </w:tr>
      <w:tr w:rsidR="005D7566" w:rsidRPr="005D7566" w14:paraId="76DAD8AF" w14:textId="77777777" w:rsidTr="00706BE3">
        <w:trPr>
          <w:trHeight w:val="300"/>
        </w:trPr>
        <w:tc>
          <w:tcPr>
            <w:tcW w:w="9781" w:type="dxa"/>
            <w:noWrap/>
            <w:hideMark/>
          </w:tcPr>
          <w:p w14:paraId="5EA83A8B" w14:textId="77777777" w:rsidR="005D7566" w:rsidRPr="005D7566" w:rsidRDefault="005D7566" w:rsidP="006B7FA9">
            <w:pPr>
              <w:spacing w:after="0" w:line="259" w:lineRule="auto"/>
              <w:ind w:left="0"/>
            </w:pPr>
            <w:r w:rsidRPr="005D7566">
              <w:t>Kalluri, S. R.,Illes, Z.,Srivastava, R.,</w:t>
            </w:r>
            <w:r w:rsidR="00BE24FF">
              <w:t xml:space="preserve"> et al</w:t>
            </w:r>
            <w:r w:rsidRPr="005D7566">
              <w:t>.  Quantification and functional characterization of antibodies to native aquaporin 4 in neuromyelitis optica. Arch Neurol.  2010. 67:1201-8</w:t>
            </w:r>
          </w:p>
        </w:tc>
      </w:tr>
      <w:tr w:rsidR="005D7566" w:rsidRPr="005D7566" w14:paraId="55237CF0" w14:textId="77777777" w:rsidTr="00706BE3">
        <w:trPr>
          <w:trHeight w:val="300"/>
        </w:trPr>
        <w:tc>
          <w:tcPr>
            <w:tcW w:w="9781" w:type="dxa"/>
            <w:noWrap/>
            <w:hideMark/>
          </w:tcPr>
          <w:p w14:paraId="44B7AAE2" w14:textId="77777777" w:rsidR="005D7566" w:rsidRPr="005D7566" w:rsidRDefault="005D7566" w:rsidP="006B7FA9">
            <w:pPr>
              <w:spacing w:after="0" w:line="259" w:lineRule="auto"/>
              <w:ind w:left="0"/>
            </w:pPr>
            <w:r w:rsidRPr="005D7566">
              <w:t>Kang, E. S.,Min, J. H.,Lee, K. H.,Kim, B. J.  Clinical usefulness of cell-based indirect immunofluorescence assay for the detection of aquaporin-4 antibodies in neuromyelitis optica spectrum disorder. Ann Lab Med.  2012. 32:331-8</w:t>
            </w:r>
          </w:p>
        </w:tc>
      </w:tr>
      <w:tr w:rsidR="005D7566" w:rsidRPr="005D7566" w14:paraId="4A85C3B9" w14:textId="77777777" w:rsidTr="00706BE3">
        <w:trPr>
          <w:trHeight w:val="300"/>
        </w:trPr>
        <w:tc>
          <w:tcPr>
            <w:tcW w:w="9781" w:type="dxa"/>
            <w:noWrap/>
            <w:hideMark/>
          </w:tcPr>
          <w:p w14:paraId="4D7CDF0D" w14:textId="77777777" w:rsidR="005D7566" w:rsidRPr="005D7566" w:rsidRDefault="005D7566" w:rsidP="006B7FA9">
            <w:pPr>
              <w:spacing w:after="0" w:line="259" w:lineRule="auto"/>
              <w:ind w:left="0"/>
            </w:pPr>
            <w:r w:rsidRPr="005D7566">
              <w:t>Kang, H.,Chen, T.,Li, H.,Xu, Q.,Cao, S.,Wei, S.  Prognostic factors and disease course in aquaporin-4 antibody-positive Chinese patients with acute optic neuritis. J Neurol.  2017. 264:2130-2140</w:t>
            </w:r>
          </w:p>
        </w:tc>
      </w:tr>
      <w:tr w:rsidR="005D7566" w:rsidRPr="005D7566" w14:paraId="401C7A36" w14:textId="77777777" w:rsidTr="00706BE3">
        <w:trPr>
          <w:trHeight w:val="300"/>
        </w:trPr>
        <w:tc>
          <w:tcPr>
            <w:tcW w:w="9781" w:type="dxa"/>
            <w:noWrap/>
            <w:hideMark/>
          </w:tcPr>
          <w:p w14:paraId="08B26D6C" w14:textId="77777777" w:rsidR="005D7566" w:rsidRPr="005D7566" w:rsidRDefault="005D7566" w:rsidP="006B7FA9">
            <w:pPr>
              <w:spacing w:after="0" w:line="259" w:lineRule="auto"/>
              <w:ind w:left="0"/>
            </w:pPr>
            <w:r w:rsidRPr="005D7566">
              <w:t>Kanjan, K.,Siritho, S.,Apiwattanakul, M.,Prayoonwiwat, N.,Uawithya, P.  Detection of aquaporin-4 antibody status of Thai patients with neuromyelitis optica spectrum disorders using a recombinant Escherichia coli aquaporin-4 enzyme-linked immunosorbent assay. Clinical and Experimental Neuroimmunology.  2015. 6:57-66</w:t>
            </w:r>
          </w:p>
        </w:tc>
      </w:tr>
      <w:tr w:rsidR="005D7566" w:rsidRPr="005D7566" w14:paraId="70D0C6F5" w14:textId="77777777" w:rsidTr="00706BE3">
        <w:trPr>
          <w:trHeight w:val="300"/>
        </w:trPr>
        <w:tc>
          <w:tcPr>
            <w:tcW w:w="9781" w:type="dxa"/>
            <w:noWrap/>
            <w:hideMark/>
          </w:tcPr>
          <w:p w14:paraId="1F894961" w14:textId="77777777" w:rsidR="005D7566" w:rsidRPr="005D7566" w:rsidRDefault="005D7566" w:rsidP="006B7FA9">
            <w:pPr>
              <w:spacing w:after="0" w:line="259" w:lineRule="auto"/>
              <w:ind w:left="0"/>
            </w:pPr>
            <w:r w:rsidRPr="005D7566">
              <w:lastRenderedPageBreak/>
              <w:t>Kashipazha, D.,Mohammadianinejad, S. E.,Majdinasab, N.,Azizi, M.,Jafari, M.  A descriptive study of prevalence, clinical features and other findings of neuromyelitis optica and neuromyelitis optica spectrum disorder in Khuzestan Province, Iran. Iranian Journal of Neurology.  2015. 14:204-210</w:t>
            </w:r>
          </w:p>
        </w:tc>
      </w:tr>
      <w:tr w:rsidR="005D7566" w:rsidRPr="005D7566" w14:paraId="4A8AB4E7" w14:textId="77777777" w:rsidTr="00706BE3">
        <w:trPr>
          <w:trHeight w:val="300"/>
        </w:trPr>
        <w:tc>
          <w:tcPr>
            <w:tcW w:w="9781" w:type="dxa"/>
            <w:noWrap/>
            <w:hideMark/>
          </w:tcPr>
          <w:p w14:paraId="146D921A" w14:textId="77777777" w:rsidR="005D7566" w:rsidRPr="005D7566" w:rsidRDefault="005D7566" w:rsidP="006B7FA9">
            <w:pPr>
              <w:spacing w:after="0" w:line="259" w:lineRule="auto"/>
              <w:ind w:left="0"/>
            </w:pPr>
            <w:r w:rsidRPr="005D7566">
              <w:t>Kessler, R. A.,Mealy, M. A.,Jimenez-Arango, J. A.,</w:t>
            </w:r>
            <w:r w:rsidR="00BE24FF">
              <w:t xml:space="preserve"> et al</w:t>
            </w:r>
            <w:r w:rsidRPr="005D7566">
              <w:t>.  Anti-aquaporin-4 titer is not predictive of disease course in neuromyelitis optica spectrum disorder: A multicenter cohort study. Mult Scler Relat Disord.  2017. 17:198-201</w:t>
            </w:r>
          </w:p>
        </w:tc>
      </w:tr>
      <w:tr w:rsidR="005D7566" w:rsidRPr="005D7566" w14:paraId="430DF9EE" w14:textId="77777777" w:rsidTr="00706BE3">
        <w:trPr>
          <w:trHeight w:val="300"/>
        </w:trPr>
        <w:tc>
          <w:tcPr>
            <w:tcW w:w="9781" w:type="dxa"/>
            <w:noWrap/>
            <w:hideMark/>
          </w:tcPr>
          <w:p w14:paraId="464AEA5E" w14:textId="77777777" w:rsidR="005D7566" w:rsidRPr="005D7566" w:rsidRDefault="005D7566" w:rsidP="006B7FA9">
            <w:pPr>
              <w:spacing w:after="0" w:line="259" w:lineRule="auto"/>
              <w:ind w:left="0"/>
            </w:pPr>
            <w:r w:rsidRPr="005D7566">
              <w:t>Ketelslegers, I. A.,Modderman, P. W.,Vennegoor, A.,Killestein, J.,Hamann, D.,Hintzen, R. Q.  Antibodies against aquaporin-4 in neuromyelitis optica: distinction between recurrent and monophasic patients. Mult Scler.  2011. 17:1527-30</w:t>
            </w:r>
          </w:p>
        </w:tc>
      </w:tr>
      <w:tr w:rsidR="005D7566" w:rsidRPr="005D7566" w14:paraId="6D5A2DED" w14:textId="77777777" w:rsidTr="00706BE3">
        <w:trPr>
          <w:trHeight w:val="300"/>
        </w:trPr>
        <w:tc>
          <w:tcPr>
            <w:tcW w:w="9781" w:type="dxa"/>
            <w:noWrap/>
            <w:hideMark/>
          </w:tcPr>
          <w:p w14:paraId="0A39FAE1" w14:textId="77777777" w:rsidR="005D7566" w:rsidRPr="005D7566" w:rsidRDefault="005D7566" w:rsidP="006B7FA9">
            <w:pPr>
              <w:spacing w:after="0" w:line="259" w:lineRule="auto"/>
              <w:ind w:left="0"/>
            </w:pPr>
            <w:r w:rsidRPr="005D7566">
              <w:t>Ketelslegers, I. A.,Van Pelt, D. E.,Bryde, S.,</w:t>
            </w:r>
            <w:r w:rsidR="00235907">
              <w:t xml:space="preserve"> et al</w:t>
            </w:r>
            <w:r w:rsidRPr="005D7566">
              <w:t>.  Anti-MOG antibodies plead against MS diagnosis in an Acquired Demyelinating Syndromes cohort. Mult Scler.  2015. 21:1513-20</w:t>
            </w:r>
          </w:p>
        </w:tc>
      </w:tr>
      <w:tr w:rsidR="005D7566" w:rsidRPr="005D7566" w14:paraId="2FCCD683" w14:textId="77777777" w:rsidTr="00706BE3">
        <w:trPr>
          <w:trHeight w:val="300"/>
        </w:trPr>
        <w:tc>
          <w:tcPr>
            <w:tcW w:w="9781" w:type="dxa"/>
            <w:noWrap/>
            <w:hideMark/>
          </w:tcPr>
          <w:p w14:paraId="37A0D309" w14:textId="77777777" w:rsidR="005D7566" w:rsidRPr="005D7566" w:rsidRDefault="005D7566" w:rsidP="006B7FA9">
            <w:pPr>
              <w:spacing w:after="0" w:line="259" w:lineRule="auto"/>
              <w:ind w:left="0"/>
            </w:pPr>
            <w:r w:rsidRPr="005D7566">
              <w:t>Kim, J. E.,Kim, S. M.,Ahn, S. W.,</w:t>
            </w:r>
            <w:r w:rsidR="00235907">
              <w:t xml:space="preserve"> et al</w:t>
            </w:r>
            <w:r w:rsidRPr="005D7566">
              <w:t>.  Brain abnormalities in neuromyelitis optica. J Neurol Sci.  2011. 302:43-8</w:t>
            </w:r>
          </w:p>
        </w:tc>
      </w:tr>
      <w:tr w:rsidR="005D7566" w:rsidRPr="005D7566" w14:paraId="34629E1B" w14:textId="77777777" w:rsidTr="00706BE3">
        <w:trPr>
          <w:trHeight w:val="300"/>
        </w:trPr>
        <w:tc>
          <w:tcPr>
            <w:tcW w:w="9781" w:type="dxa"/>
            <w:noWrap/>
            <w:hideMark/>
          </w:tcPr>
          <w:p w14:paraId="604E3C0D" w14:textId="77777777" w:rsidR="005D7566" w:rsidRPr="005D7566" w:rsidRDefault="005D7566" w:rsidP="006B7FA9">
            <w:pPr>
              <w:spacing w:after="0" w:line="259" w:lineRule="auto"/>
              <w:ind w:left="0"/>
            </w:pPr>
            <w:r w:rsidRPr="005D7566">
              <w:t>Kim, K. M.,Kim, U. S.  Aquaporin 4 Antibody in the Korean Patient with New-Onset Optic Neuritis. Semin Ophthalmol.  2018. 33:215-218</w:t>
            </w:r>
          </w:p>
        </w:tc>
      </w:tr>
      <w:tr w:rsidR="005D7566" w:rsidRPr="005D7566" w14:paraId="45AB41D8" w14:textId="77777777" w:rsidTr="00706BE3">
        <w:trPr>
          <w:trHeight w:val="300"/>
        </w:trPr>
        <w:tc>
          <w:tcPr>
            <w:tcW w:w="9781" w:type="dxa"/>
            <w:noWrap/>
            <w:hideMark/>
          </w:tcPr>
          <w:p w14:paraId="4658546A" w14:textId="77777777" w:rsidR="005D7566" w:rsidRPr="005D7566" w:rsidRDefault="005D7566" w:rsidP="006B7FA9">
            <w:pPr>
              <w:spacing w:after="0" w:line="259" w:lineRule="auto"/>
              <w:ind w:left="0"/>
            </w:pPr>
            <w:r w:rsidRPr="005D7566">
              <w:t>Kim, S. H.,Huh, S. Y.,Lee, S. J.,Joung, A.,Kim, H. J.  A 5-year follow-up of rituximab treatment in patients with neuromyelitis optica spectrum disorder. JAMA Neurol.  2013. 70:1110-7</w:t>
            </w:r>
          </w:p>
        </w:tc>
      </w:tr>
      <w:tr w:rsidR="005D7566" w:rsidRPr="005D7566" w14:paraId="54B30D91" w14:textId="77777777" w:rsidTr="00706BE3">
        <w:trPr>
          <w:trHeight w:val="300"/>
        </w:trPr>
        <w:tc>
          <w:tcPr>
            <w:tcW w:w="9781" w:type="dxa"/>
            <w:noWrap/>
            <w:hideMark/>
          </w:tcPr>
          <w:p w14:paraId="5609E56B" w14:textId="77777777" w:rsidR="005D7566" w:rsidRPr="005D7566" w:rsidRDefault="005D7566" w:rsidP="006B7FA9">
            <w:pPr>
              <w:spacing w:after="0" w:line="259" w:lineRule="auto"/>
              <w:ind w:left="0"/>
            </w:pPr>
            <w:r w:rsidRPr="005D7566">
              <w:t>Kim, S. H.,Hyun, J. W.,Joung, A.,Lee, S. H.,Kim, H. J.  Occurrence of Asymptomatic Acute Neuromyelitis Optica Spectrum Disorder-Typical Brain Lesions during an Attack of Optic Neuritis or Myelitis. PLoS One.  2016. 11:e0167783</w:t>
            </w:r>
          </w:p>
        </w:tc>
      </w:tr>
      <w:tr w:rsidR="005D7566" w:rsidRPr="005D7566" w14:paraId="7C3879BC" w14:textId="77777777" w:rsidTr="00706BE3">
        <w:trPr>
          <w:trHeight w:val="300"/>
        </w:trPr>
        <w:tc>
          <w:tcPr>
            <w:tcW w:w="9781" w:type="dxa"/>
            <w:noWrap/>
            <w:hideMark/>
          </w:tcPr>
          <w:p w14:paraId="741C4964" w14:textId="77777777" w:rsidR="005D7566" w:rsidRPr="005D7566" w:rsidRDefault="005D7566" w:rsidP="006B7FA9">
            <w:pPr>
              <w:spacing w:after="0" w:line="259" w:lineRule="auto"/>
              <w:ind w:left="0"/>
            </w:pPr>
            <w:r w:rsidRPr="005D7566">
              <w:t>Kim, S. H.,Jeong, I. H.,Hyun, J. W.,</w:t>
            </w:r>
            <w:r w:rsidR="00235907">
              <w:t xml:space="preserve"> et al</w:t>
            </w:r>
            <w:r w:rsidRPr="005D7566">
              <w:t>.  Treatment Outcomes With Rituximab in 100 Patients With Neuromyelitis Optica: Influence of FCGR3A Polymorphisms on the Therapeutic Response to Rituximab. JAMA Neurol.  2015. 72:989-95</w:t>
            </w:r>
          </w:p>
        </w:tc>
      </w:tr>
      <w:tr w:rsidR="005D7566" w:rsidRPr="005D7566" w14:paraId="15B383FA" w14:textId="77777777" w:rsidTr="00706BE3">
        <w:trPr>
          <w:trHeight w:val="300"/>
        </w:trPr>
        <w:tc>
          <w:tcPr>
            <w:tcW w:w="9781" w:type="dxa"/>
            <w:noWrap/>
            <w:hideMark/>
          </w:tcPr>
          <w:p w14:paraId="1DA31D9B" w14:textId="77777777" w:rsidR="005D7566" w:rsidRPr="005D7566" w:rsidRDefault="005D7566" w:rsidP="006B7FA9">
            <w:pPr>
              <w:spacing w:after="0" w:line="259" w:lineRule="auto"/>
              <w:ind w:left="0"/>
            </w:pPr>
            <w:r w:rsidRPr="005D7566">
              <w:t>Kim, S. H.,Kim, S. M.,Vincent, A.,</w:t>
            </w:r>
            <w:r w:rsidR="00235907">
              <w:t xml:space="preserve"> et al</w:t>
            </w:r>
            <w:r w:rsidRPr="005D7566">
              <w:t>.  Clinical characteristics, prognosis, and seropositivity to the anti-aquaporin-4 antibody in Korean patients with longitudinally extensive transverse myelitis. J Neurol.  2010. 257:920-5</w:t>
            </w:r>
          </w:p>
        </w:tc>
      </w:tr>
      <w:tr w:rsidR="005D7566" w:rsidRPr="005D7566" w14:paraId="3BCF0273" w14:textId="77777777" w:rsidTr="00706BE3">
        <w:trPr>
          <w:trHeight w:val="300"/>
        </w:trPr>
        <w:tc>
          <w:tcPr>
            <w:tcW w:w="9781" w:type="dxa"/>
            <w:noWrap/>
            <w:hideMark/>
          </w:tcPr>
          <w:p w14:paraId="22DAB7EF" w14:textId="77777777" w:rsidR="005D7566" w:rsidRPr="005D7566" w:rsidRDefault="005D7566" w:rsidP="006B7FA9">
            <w:pPr>
              <w:spacing w:after="0" w:line="259" w:lineRule="auto"/>
              <w:ind w:left="0"/>
            </w:pPr>
            <w:r w:rsidRPr="005D7566">
              <w:t>Kim, S. H.,Kim, W.,Li, X. F.,Jung, I. J.,Kim, H. J.  Clinical spectrum of CNS aquaporin-4 autoimmunity. Neurology.  2012. 78:1179-85</w:t>
            </w:r>
          </w:p>
        </w:tc>
      </w:tr>
      <w:tr w:rsidR="005D7566" w:rsidRPr="005D7566" w14:paraId="30D738BD" w14:textId="77777777" w:rsidTr="00706BE3">
        <w:trPr>
          <w:trHeight w:val="300"/>
        </w:trPr>
        <w:tc>
          <w:tcPr>
            <w:tcW w:w="9781" w:type="dxa"/>
            <w:noWrap/>
            <w:hideMark/>
          </w:tcPr>
          <w:p w14:paraId="0F9DB937" w14:textId="77777777" w:rsidR="005D7566" w:rsidRPr="005D7566" w:rsidRDefault="005D7566" w:rsidP="006B7FA9">
            <w:pPr>
              <w:spacing w:after="0" w:line="259" w:lineRule="auto"/>
              <w:ind w:left="0"/>
            </w:pPr>
            <w:r w:rsidRPr="005D7566">
              <w:t>Kim, S. H.,Kim, W.,Li, X. F.,Jung, I. J.,Kim, H. J.  Does interferon beta treatment exacerbate neuromyelitis optica spectrum disorder?. Multiple Sclerosis Journal.  2012. 18:1480-1483</w:t>
            </w:r>
          </w:p>
        </w:tc>
      </w:tr>
      <w:tr w:rsidR="005D7566" w:rsidRPr="005D7566" w14:paraId="1B8E0D10" w14:textId="77777777" w:rsidTr="00706BE3">
        <w:trPr>
          <w:trHeight w:val="300"/>
        </w:trPr>
        <w:tc>
          <w:tcPr>
            <w:tcW w:w="9781" w:type="dxa"/>
            <w:noWrap/>
            <w:hideMark/>
          </w:tcPr>
          <w:p w14:paraId="4BA8889F" w14:textId="77777777" w:rsidR="005D7566" w:rsidRPr="005D7566" w:rsidRDefault="005D7566" w:rsidP="006B7FA9">
            <w:pPr>
              <w:spacing w:after="0" w:line="259" w:lineRule="auto"/>
              <w:ind w:left="0"/>
            </w:pPr>
            <w:r w:rsidRPr="005D7566">
              <w:t>Kim, S. H.,Kim, W.,Li, X. F.,Jung, I. J.,Kim, H. J.  Repeated treatment with rituximab based on the assessment of peripheral circulating memory B cells in patients with relapsing neuromyelitis optica over 2 years. Arch Neurol.  2011. 68:1412-20</w:t>
            </w:r>
          </w:p>
        </w:tc>
      </w:tr>
      <w:tr w:rsidR="005D7566" w:rsidRPr="005D7566" w14:paraId="62E10D40" w14:textId="77777777" w:rsidTr="00706BE3">
        <w:trPr>
          <w:trHeight w:val="300"/>
        </w:trPr>
        <w:tc>
          <w:tcPr>
            <w:tcW w:w="9781" w:type="dxa"/>
            <w:noWrap/>
            <w:hideMark/>
          </w:tcPr>
          <w:p w14:paraId="3397D55D" w14:textId="77777777" w:rsidR="005D7566" w:rsidRPr="005D7566" w:rsidRDefault="005D7566" w:rsidP="006B7FA9">
            <w:pPr>
              <w:spacing w:after="0" w:line="259" w:lineRule="auto"/>
              <w:ind w:left="0"/>
            </w:pPr>
            <w:r w:rsidRPr="005D7566">
              <w:t>Kim, S. H.,Mealy, M. A.,Levy, M.,Schmidt, F.,Ruprecht, K.,Paul, F.,</w:t>
            </w:r>
            <w:r w:rsidR="00817006">
              <w:t xml:space="preserve"> et al</w:t>
            </w:r>
            <w:r w:rsidRPr="005D7566">
              <w:t>.  Racial differences in neuromyelitis optica spectrum disorder. Neurology.  2018. 91:e2089-e2099</w:t>
            </w:r>
          </w:p>
        </w:tc>
      </w:tr>
      <w:tr w:rsidR="005D7566" w:rsidRPr="005D7566" w14:paraId="46A4FF5C" w14:textId="77777777" w:rsidTr="00706BE3">
        <w:trPr>
          <w:trHeight w:val="300"/>
        </w:trPr>
        <w:tc>
          <w:tcPr>
            <w:tcW w:w="9781" w:type="dxa"/>
            <w:noWrap/>
            <w:hideMark/>
          </w:tcPr>
          <w:p w14:paraId="6EC6407D" w14:textId="77777777" w:rsidR="005D7566" w:rsidRPr="005D7566" w:rsidRDefault="005D7566" w:rsidP="006B7FA9">
            <w:pPr>
              <w:spacing w:after="0" w:line="259" w:lineRule="auto"/>
              <w:ind w:left="0"/>
            </w:pPr>
            <w:r w:rsidRPr="005D7566">
              <w:t>Kim, S. M.,Go, M. J.,Sung, J. J.,Park, K. S.,Lee, K. W.  Painful tonic spasm in neuromyelitis optica: incidence, diagnostic utility, and clinical characteristics. Arch Neurol.  2012. 69:1026-31</w:t>
            </w:r>
          </w:p>
        </w:tc>
      </w:tr>
      <w:tr w:rsidR="005D7566" w:rsidRPr="005D7566" w14:paraId="7007928B" w14:textId="77777777" w:rsidTr="00706BE3">
        <w:trPr>
          <w:trHeight w:val="300"/>
        </w:trPr>
        <w:tc>
          <w:tcPr>
            <w:tcW w:w="9781" w:type="dxa"/>
            <w:noWrap/>
            <w:hideMark/>
          </w:tcPr>
          <w:p w14:paraId="42E54151" w14:textId="77777777" w:rsidR="005D7566" w:rsidRPr="005D7566" w:rsidRDefault="005D7566" w:rsidP="006B7FA9">
            <w:pPr>
              <w:spacing w:after="0" w:line="259" w:lineRule="auto"/>
              <w:ind w:left="0"/>
            </w:pPr>
            <w:r w:rsidRPr="005D7566">
              <w:t>Kim, S. M.,Waters, P.,Woodhall, M.,</w:t>
            </w:r>
            <w:r w:rsidR="00CB6123">
              <w:t xml:space="preserve"> et al</w:t>
            </w:r>
            <w:r w:rsidRPr="005D7566">
              <w:t>.  Utility of aquaporin-4 antibody assay in patients with neuromyelitis optica spectrum disorders. Mult Scler.  2013. 19:1060-7</w:t>
            </w:r>
          </w:p>
        </w:tc>
      </w:tr>
      <w:tr w:rsidR="005D7566" w:rsidRPr="005D7566" w14:paraId="77184599" w14:textId="77777777" w:rsidTr="00706BE3">
        <w:trPr>
          <w:trHeight w:val="300"/>
        </w:trPr>
        <w:tc>
          <w:tcPr>
            <w:tcW w:w="9781" w:type="dxa"/>
            <w:noWrap/>
            <w:hideMark/>
          </w:tcPr>
          <w:p w14:paraId="6D8DE1B1" w14:textId="77777777" w:rsidR="005D7566" w:rsidRPr="005D7566" w:rsidRDefault="005D7566" w:rsidP="006B7FA9">
            <w:pPr>
              <w:spacing w:after="0" w:line="259" w:lineRule="auto"/>
              <w:ind w:left="0"/>
            </w:pPr>
            <w:r w:rsidRPr="005D7566">
              <w:t>Kim, S. M.,Woodhall, M. R.,Kim, J. S.,</w:t>
            </w:r>
            <w:r w:rsidR="00CB6123">
              <w:t xml:space="preserve"> et al</w:t>
            </w:r>
            <w:r w:rsidRPr="005D7566">
              <w:t>.  Antibodies to MOG in adults with inflammatory demyelinating disease of the CNS. Neurology: Neuroimmunology and NeuroInflammation.  2015. 2:#pages#</w:t>
            </w:r>
          </w:p>
        </w:tc>
      </w:tr>
      <w:tr w:rsidR="005D7566" w:rsidRPr="005D7566" w14:paraId="33AD3F0B" w14:textId="77777777" w:rsidTr="00706BE3">
        <w:trPr>
          <w:trHeight w:val="300"/>
        </w:trPr>
        <w:tc>
          <w:tcPr>
            <w:tcW w:w="9781" w:type="dxa"/>
            <w:noWrap/>
            <w:hideMark/>
          </w:tcPr>
          <w:p w14:paraId="7932F9FC" w14:textId="77777777" w:rsidR="005D7566" w:rsidRPr="005D7566" w:rsidRDefault="005D7566" w:rsidP="006B7FA9">
            <w:pPr>
              <w:spacing w:after="0" w:line="259" w:lineRule="auto"/>
              <w:ind w:left="0"/>
            </w:pPr>
            <w:r w:rsidRPr="005D7566">
              <w:t>Kim, W.,Lee, J. E.,Li, X. F.,</w:t>
            </w:r>
            <w:r w:rsidR="00CB6123">
              <w:t xml:space="preserve"> et al</w:t>
            </w:r>
            <w:r w:rsidRPr="005D7566">
              <w:t>.  Quantitative measurement of anti-aquaporin-4 antibodies by enzyme-linked immunosorbent assay using purified recombinant human aquaporin-4. Mult Scler.  2012. 18:578-86</w:t>
            </w:r>
          </w:p>
        </w:tc>
      </w:tr>
      <w:tr w:rsidR="005D7566" w:rsidRPr="005D7566" w14:paraId="12197A50" w14:textId="77777777" w:rsidTr="00706BE3">
        <w:trPr>
          <w:trHeight w:val="300"/>
        </w:trPr>
        <w:tc>
          <w:tcPr>
            <w:tcW w:w="9781" w:type="dxa"/>
            <w:noWrap/>
            <w:hideMark/>
          </w:tcPr>
          <w:p w14:paraId="185864A3" w14:textId="77777777" w:rsidR="005D7566" w:rsidRPr="005D7566" w:rsidRDefault="005D7566" w:rsidP="006B7FA9">
            <w:pPr>
              <w:spacing w:after="0" w:line="259" w:lineRule="auto"/>
              <w:ind w:left="0"/>
            </w:pPr>
            <w:r w:rsidRPr="005D7566">
              <w:t>Kim, Y. J.,Jung, S. W.,Kim, Y.,Park, Y. J.,Han, K.,Oh, E. J.  Detection of anti-aquaporin-4 antibodies in neuromyelitis optica: comparison of tissue-based and cell-based indirect immunofluorescence assays and ELISA. J Clin Lab Anal.  2012. 26:184-9</w:t>
            </w:r>
          </w:p>
        </w:tc>
      </w:tr>
      <w:tr w:rsidR="005D7566" w:rsidRPr="005D7566" w14:paraId="2AA7DEA6" w14:textId="77777777" w:rsidTr="00706BE3">
        <w:trPr>
          <w:trHeight w:val="300"/>
        </w:trPr>
        <w:tc>
          <w:tcPr>
            <w:tcW w:w="9781" w:type="dxa"/>
            <w:noWrap/>
            <w:hideMark/>
          </w:tcPr>
          <w:p w14:paraId="76761245" w14:textId="77777777" w:rsidR="005D7566" w:rsidRPr="005D7566" w:rsidRDefault="005D7566" w:rsidP="006B7FA9">
            <w:pPr>
              <w:spacing w:after="0" w:line="259" w:lineRule="auto"/>
              <w:ind w:left="0"/>
            </w:pPr>
            <w:r w:rsidRPr="005D7566">
              <w:t>Kishk, N. A.,Abokrysha, N. T.,Rashed, L.,Ahmed, N.  Diagnostic value of aquaporin 4 antibody in assessing idiopathic inflammatory demyelinating central nervous system diseases in Egyptian patients. J Clin Neurosci.  2015. 22:670-5</w:t>
            </w:r>
          </w:p>
        </w:tc>
      </w:tr>
      <w:tr w:rsidR="005D7566" w:rsidRPr="005D7566" w14:paraId="1CCEE2E1" w14:textId="77777777" w:rsidTr="00706BE3">
        <w:trPr>
          <w:trHeight w:val="300"/>
        </w:trPr>
        <w:tc>
          <w:tcPr>
            <w:tcW w:w="9781" w:type="dxa"/>
            <w:noWrap/>
            <w:hideMark/>
          </w:tcPr>
          <w:p w14:paraId="05154A45" w14:textId="77777777" w:rsidR="005D7566" w:rsidRPr="005D7566" w:rsidRDefault="005D7566" w:rsidP="006B7FA9">
            <w:pPr>
              <w:spacing w:after="0" w:line="259" w:lineRule="auto"/>
              <w:ind w:left="0"/>
            </w:pPr>
            <w:r w:rsidRPr="005D7566">
              <w:t>Kitley, J.,Elsone, L.,George, J.,</w:t>
            </w:r>
            <w:r w:rsidR="00CB6123">
              <w:t xml:space="preserve"> et al</w:t>
            </w:r>
            <w:r w:rsidRPr="005D7566">
              <w:t>.  Methotrexate is an alternative to azathioprine in neuromyelitis optica spectrum disorders with aquaporin-4 antibodies. J Neurol Neurosurg Psychiatry.  2013. 84:918-21</w:t>
            </w:r>
          </w:p>
        </w:tc>
      </w:tr>
      <w:tr w:rsidR="005D7566" w:rsidRPr="005D7566" w14:paraId="5A28891D" w14:textId="77777777" w:rsidTr="00706BE3">
        <w:trPr>
          <w:trHeight w:val="300"/>
        </w:trPr>
        <w:tc>
          <w:tcPr>
            <w:tcW w:w="9781" w:type="dxa"/>
            <w:noWrap/>
            <w:hideMark/>
          </w:tcPr>
          <w:p w14:paraId="47E292DA" w14:textId="77777777" w:rsidR="005D7566" w:rsidRPr="005D7566" w:rsidRDefault="005D7566" w:rsidP="006B7FA9">
            <w:pPr>
              <w:spacing w:after="0" w:line="259" w:lineRule="auto"/>
              <w:ind w:left="0"/>
            </w:pPr>
            <w:r w:rsidRPr="005D7566">
              <w:t>Kitley, J.,Leite, M. I.,Kuker, W.,</w:t>
            </w:r>
            <w:r w:rsidR="00BB77DC">
              <w:t xml:space="preserve"> et al</w:t>
            </w:r>
            <w:r w:rsidRPr="005D7566">
              <w:t>.  Longitudinally extensive transverse myelitis with and without aquaporin 4 antibodies. JAMA Neurol.  2013. 70:1375-81</w:t>
            </w:r>
          </w:p>
        </w:tc>
      </w:tr>
      <w:tr w:rsidR="005D7566" w:rsidRPr="005D7566" w14:paraId="6E42D293" w14:textId="77777777" w:rsidTr="00706BE3">
        <w:trPr>
          <w:trHeight w:val="300"/>
        </w:trPr>
        <w:tc>
          <w:tcPr>
            <w:tcW w:w="9781" w:type="dxa"/>
            <w:noWrap/>
            <w:hideMark/>
          </w:tcPr>
          <w:p w14:paraId="60210828" w14:textId="77777777" w:rsidR="005D7566" w:rsidRPr="005D7566" w:rsidRDefault="005D7566" w:rsidP="006B7FA9">
            <w:pPr>
              <w:spacing w:after="0" w:line="259" w:lineRule="auto"/>
              <w:ind w:left="0"/>
            </w:pPr>
            <w:r w:rsidRPr="005D7566">
              <w:t>Kitley, J.,Leite, M. I.,Nakashima, I.,</w:t>
            </w:r>
            <w:r w:rsidR="006579A6">
              <w:t xml:space="preserve"> et al</w:t>
            </w:r>
            <w:r w:rsidRPr="005D7566">
              <w:t>.  Prognostic factors and disease course in aquaporin-4 antibody-positive patients with neuromyelitis optica spectrum disorder from the United Kingdom and Japan. Brain.  2012. 135:1834-49</w:t>
            </w:r>
          </w:p>
        </w:tc>
      </w:tr>
      <w:tr w:rsidR="005D7566" w:rsidRPr="005D7566" w14:paraId="3EFB3DF8" w14:textId="77777777" w:rsidTr="00706BE3">
        <w:trPr>
          <w:trHeight w:val="300"/>
        </w:trPr>
        <w:tc>
          <w:tcPr>
            <w:tcW w:w="9781" w:type="dxa"/>
            <w:noWrap/>
            <w:hideMark/>
          </w:tcPr>
          <w:p w14:paraId="14954EC3" w14:textId="77777777" w:rsidR="005D7566" w:rsidRPr="005D7566" w:rsidRDefault="005D7566" w:rsidP="006B7FA9">
            <w:pPr>
              <w:spacing w:after="0" w:line="259" w:lineRule="auto"/>
              <w:ind w:left="0"/>
            </w:pPr>
            <w:r w:rsidRPr="005D7566">
              <w:lastRenderedPageBreak/>
              <w:t>Kitley, J.,Waters, P.,Woodhall, M.,</w:t>
            </w:r>
            <w:r w:rsidR="006579A6">
              <w:t xml:space="preserve"> et al</w:t>
            </w:r>
            <w:r w:rsidRPr="005D7566">
              <w:t>.  Neuromyelitis optica spectrum disorders with aquaporin-4 and myelin-oligodendrocyte glycoprotein antibodies: a comparative study. JAMA Neurol.  2014. 71:276-83</w:t>
            </w:r>
          </w:p>
        </w:tc>
      </w:tr>
      <w:tr w:rsidR="005D7566" w:rsidRPr="005D7566" w14:paraId="5C8C6DD0" w14:textId="77777777" w:rsidTr="00706BE3">
        <w:trPr>
          <w:trHeight w:val="300"/>
        </w:trPr>
        <w:tc>
          <w:tcPr>
            <w:tcW w:w="9781" w:type="dxa"/>
            <w:noWrap/>
            <w:hideMark/>
          </w:tcPr>
          <w:p w14:paraId="47853699" w14:textId="77777777" w:rsidR="005D7566" w:rsidRPr="005D7566" w:rsidRDefault="005D7566" w:rsidP="006B7FA9">
            <w:pPr>
              <w:spacing w:after="0" w:line="259" w:lineRule="auto"/>
              <w:ind w:left="0"/>
            </w:pPr>
            <w:r w:rsidRPr="005D7566">
              <w:t>Kiyat-Atamer, A.,Ekizoglu, E.,Tuzun, E.,Kurtuncu, M.,Shugaiv, E.,Akman-Demir, G.,Eraksoy, M.  Long-term MRI findings in neuromyelitis optica: seropositive versus seronegative patients. Eur J Neurol.  2013. 20:781-7</w:t>
            </w:r>
          </w:p>
        </w:tc>
      </w:tr>
      <w:tr w:rsidR="005D7566" w:rsidRPr="005D7566" w14:paraId="2D533E6D" w14:textId="77777777" w:rsidTr="00706BE3">
        <w:trPr>
          <w:trHeight w:val="300"/>
        </w:trPr>
        <w:tc>
          <w:tcPr>
            <w:tcW w:w="9781" w:type="dxa"/>
            <w:noWrap/>
            <w:hideMark/>
          </w:tcPr>
          <w:p w14:paraId="125DA36D" w14:textId="77777777" w:rsidR="005D7566" w:rsidRPr="005D7566" w:rsidRDefault="005D7566" w:rsidP="006B7FA9">
            <w:pPr>
              <w:spacing w:after="0" w:line="259" w:lineRule="auto"/>
              <w:ind w:left="0"/>
            </w:pPr>
            <w:r w:rsidRPr="005D7566">
              <w:t>Kleiter, I.,Gahlen, A.,Borisow, N.,</w:t>
            </w:r>
            <w:r w:rsidR="006579A6">
              <w:t xml:space="preserve"> et al</w:t>
            </w:r>
            <w:r w:rsidRPr="005D7566">
              <w:t>.  Apheresis therapies for NMOSD attacks A retrospective study of 207 therapeutic interventions. Neurology: Neuroimmunology and NeuroInflammation.  2018. 5:</w:t>
            </w:r>
            <w:r w:rsidR="00224ADF">
              <w:t>6</w:t>
            </w:r>
          </w:p>
        </w:tc>
      </w:tr>
      <w:tr w:rsidR="005D7566" w:rsidRPr="005D7566" w14:paraId="159FC933" w14:textId="77777777" w:rsidTr="00706BE3">
        <w:trPr>
          <w:trHeight w:val="300"/>
        </w:trPr>
        <w:tc>
          <w:tcPr>
            <w:tcW w:w="9781" w:type="dxa"/>
            <w:noWrap/>
            <w:hideMark/>
          </w:tcPr>
          <w:p w14:paraId="6D8EAD6B" w14:textId="77777777" w:rsidR="005D7566" w:rsidRPr="005D7566" w:rsidRDefault="005D7566" w:rsidP="006B7FA9">
            <w:pPr>
              <w:spacing w:after="0" w:line="259" w:lineRule="auto"/>
              <w:ind w:left="0"/>
            </w:pPr>
            <w:r w:rsidRPr="005D7566">
              <w:t>Kleiter, I.,Gahlen, A.,Borisow, N.,</w:t>
            </w:r>
            <w:r w:rsidR="006579A6">
              <w:t xml:space="preserve"> et al</w:t>
            </w:r>
            <w:r w:rsidRPr="005D7566">
              <w:t>.  Neuromyelitis optica: Evaluation of 871 attacks and 1,153 treatment courses. Ann Neurol.  2016. 79:206-16</w:t>
            </w:r>
          </w:p>
        </w:tc>
      </w:tr>
      <w:tr w:rsidR="005D7566" w:rsidRPr="005D7566" w14:paraId="6223A0F6" w14:textId="77777777" w:rsidTr="00706BE3">
        <w:trPr>
          <w:trHeight w:val="300"/>
        </w:trPr>
        <w:tc>
          <w:tcPr>
            <w:tcW w:w="9781" w:type="dxa"/>
            <w:noWrap/>
            <w:hideMark/>
          </w:tcPr>
          <w:p w14:paraId="2DF66F96" w14:textId="77777777" w:rsidR="005D7566" w:rsidRPr="005D7566" w:rsidRDefault="005D7566" w:rsidP="006B7FA9">
            <w:pPr>
              <w:spacing w:after="0" w:line="259" w:lineRule="auto"/>
              <w:ind w:left="0"/>
            </w:pPr>
            <w:r w:rsidRPr="005D7566">
              <w:t>Kleiter, I.,Hellwig, K.,Berthele, A.,</w:t>
            </w:r>
            <w:r w:rsidR="006579A6">
              <w:t xml:space="preserve"> et al</w:t>
            </w:r>
            <w:r w:rsidRPr="005D7566">
              <w:t>.  Failure of natalizumab to prevent relapses in neuromyelitis optica. Arch Neurol.  2012. 69:239-45</w:t>
            </w:r>
          </w:p>
        </w:tc>
      </w:tr>
      <w:tr w:rsidR="005D7566" w:rsidRPr="005D7566" w14:paraId="1A6686E9" w14:textId="77777777" w:rsidTr="00706BE3">
        <w:trPr>
          <w:trHeight w:val="300"/>
        </w:trPr>
        <w:tc>
          <w:tcPr>
            <w:tcW w:w="9781" w:type="dxa"/>
            <w:noWrap/>
            <w:hideMark/>
          </w:tcPr>
          <w:p w14:paraId="0BE2E48C" w14:textId="77777777" w:rsidR="005D7566" w:rsidRPr="005D7566" w:rsidRDefault="005D7566" w:rsidP="006B7FA9">
            <w:pPr>
              <w:spacing w:after="0" w:line="259" w:lineRule="auto"/>
              <w:ind w:left="0"/>
            </w:pPr>
            <w:r w:rsidRPr="005D7566">
              <w:t>Kremer, L.,Mealy, M.,Jacob, A.,</w:t>
            </w:r>
            <w:r w:rsidR="006579A6">
              <w:t xml:space="preserve"> et al</w:t>
            </w:r>
            <w:r w:rsidRPr="005D7566">
              <w:t>.  Brainstem manifestations in neuromyelitis optica: a multicenter study of 258 patients. Mult Scler.  2014. 20:843-7</w:t>
            </w:r>
          </w:p>
        </w:tc>
      </w:tr>
      <w:tr w:rsidR="005D7566" w:rsidRPr="005D7566" w14:paraId="717B9BBA" w14:textId="77777777" w:rsidTr="00706BE3">
        <w:trPr>
          <w:trHeight w:val="300"/>
        </w:trPr>
        <w:tc>
          <w:tcPr>
            <w:tcW w:w="9781" w:type="dxa"/>
            <w:noWrap/>
            <w:hideMark/>
          </w:tcPr>
          <w:p w14:paraId="6A524706" w14:textId="77777777" w:rsidR="005D7566" w:rsidRPr="005D7566" w:rsidRDefault="005D7566" w:rsidP="006B7FA9">
            <w:pPr>
              <w:spacing w:after="0" w:line="259" w:lineRule="auto"/>
              <w:ind w:left="0"/>
            </w:pPr>
            <w:r w:rsidRPr="005D7566">
              <w:t>Lai, C.,Tian, G.,Takahashi, T.,Liu, W.,Yang, L.,Zhang, X.  Neuromyelitis optica antibodies in patients with severe optic neuritis in China. J Neuroophthalmol.  2011. 31:16-9</w:t>
            </w:r>
          </w:p>
        </w:tc>
      </w:tr>
      <w:tr w:rsidR="005D7566" w:rsidRPr="005D7566" w14:paraId="0688A27F" w14:textId="77777777" w:rsidTr="00706BE3">
        <w:trPr>
          <w:trHeight w:val="300"/>
        </w:trPr>
        <w:tc>
          <w:tcPr>
            <w:tcW w:w="9781" w:type="dxa"/>
            <w:noWrap/>
            <w:hideMark/>
          </w:tcPr>
          <w:p w14:paraId="2E1213A6" w14:textId="77777777" w:rsidR="005D7566" w:rsidRPr="005D7566" w:rsidRDefault="005D7566" w:rsidP="006B7FA9">
            <w:pPr>
              <w:spacing w:after="0" w:line="259" w:lineRule="auto"/>
              <w:ind w:left="0"/>
            </w:pPr>
            <w:r w:rsidRPr="005D7566">
              <w:t>Lebrun, C.,Cohen, M.,Rosenthal-Allieri, M. A.,</w:t>
            </w:r>
            <w:r w:rsidR="006579A6">
              <w:t xml:space="preserve"> et al</w:t>
            </w:r>
            <w:r w:rsidRPr="005D7566">
              <w:t>.  Only Follow-Up of Memory B Cells Helps Monitor Rituximab Administration to Patients with Neuromyelitis Optica Spectrum Disorders. Neurology and Therapy.  2018. 7:373-383</w:t>
            </w:r>
          </w:p>
        </w:tc>
      </w:tr>
      <w:tr w:rsidR="005D7566" w:rsidRPr="005D7566" w14:paraId="0AA1D5F6" w14:textId="77777777" w:rsidTr="00706BE3">
        <w:trPr>
          <w:trHeight w:val="300"/>
        </w:trPr>
        <w:tc>
          <w:tcPr>
            <w:tcW w:w="9781" w:type="dxa"/>
            <w:noWrap/>
            <w:hideMark/>
          </w:tcPr>
          <w:p w14:paraId="42CE97C9" w14:textId="77777777" w:rsidR="005D7566" w:rsidRPr="005D7566" w:rsidRDefault="005D7566" w:rsidP="006B7FA9">
            <w:pPr>
              <w:spacing w:after="0" w:line="259" w:lineRule="auto"/>
              <w:ind w:left="0"/>
            </w:pPr>
            <w:r w:rsidRPr="005D7566">
              <w:t>Lechner, C.,Baumann, M.,Hennes, E. M.,</w:t>
            </w:r>
            <w:r w:rsidR="006579A6">
              <w:t xml:space="preserve"> et al</w:t>
            </w:r>
            <w:r w:rsidRPr="005D7566">
              <w:t>.  Antibodies to MOG and AQP4 in children with neuromyelitis optica and limited forms of the disease. J Neurol Neurosurg Psychiatry.  2016. 87:897-905</w:t>
            </w:r>
          </w:p>
        </w:tc>
      </w:tr>
      <w:tr w:rsidR="005D7566" w:rsidRPr="005D7566" w14:paraId="1524E58D" w14:textId="77777777" w:rsidTr="00706BE3">
        <w:trPr>
          <w:trHeight w:val="300"/>
        </w:trPr>
        <w:tc>
          <w:tcPr>
            <w:tcW w:w="9781" w:type="dxa"/>
            <w:noWrap/>
            <w:hideMark/>
          </w:tcPr>
          <w:p w14:paraId="7D99ECF8" w14:textId="77777777" w:rsidR="005D7566" w:rsidRPr="005D7566" w:rsidRDefault="005D7566" w:rsidP="006B7FA9">
            <w:pPr>
              <w:spacing w:after="0" w:line="259" w:lineRule="auto"/>
              <w:ind w:left="0"/>
            </w:pPr>
            <w:r w:rsidRPr="005D7566">
              <w:t>Lee, H. J.,Kim, B.,Waters, P.,</w:t>
            </w:r>
            <w:r w:rsidR="006579A6">
              <w:t xml:space="preserve"> et al</w:t>
            </w:r>
            <w:r w:rsidRPr="005D7566">
              <w:t>.  Chronic relapsing inflammatory optic neuropathy (CRION): a manifestation of myelin oligodendrocyte glycoprotein antibodies. J Neuroinflammation.  2018. 15:302</w:t>
            </w:r>
          </w:p>
        </w:tc>
      </w:tr>
      <w:tr w:rsidR="005D7566" w:rsidRPr="005D7566" w14:paraId="2DCA3783" w14:textId="77777777" w:rsidTr="00706BE3">
        <w:trPr>
          <w:trHeight w:val="300"/>
        </w:trPr>
        <w:tc>
          <w:tcPr>
            <w:tcW w:w="9781" w:type="dxa"/>
            <w:noWrap/>
            <w:hideMark/>
          </w:tcPr>
          <w:p w14:paraId="438704A6" w14:textId="77777777" w:rsidR="005D7566" w:rsidRPr="005D7566" w:rsidRDefault="005D7566" w:rsidP="006B7FA9">
            <w:pPr>
              <w:spacing w:after="0" w:line="259" w:lineRule="auto"/>
              <w:ind w:left="0"/>
            </w:pPr>
            <w:r w:rsidRPr="005D7566">
              <w:t>Lennon, V. A.,Wingerchuk, D. M.,Kryzer, T. J.,</w:t>
            </w:r>
            <w:r w:rsidR="006579A6">
              <w:t xml:space="preserve"> et al</w:t>
            </w:r>
            <w:r w:rsidRPr="005D7566">
              <w:t>.  A serum autoantibody marker of neuromyelitis optica: distinction from multiple sclerosis. Lancet.  2004. 364:2106-12</w:t>
            </w:r>
          </w:p>
        </w:tc>
      </w:tr>
      <w:tr w:rsidR="005D7566" w:rsidRPr="005D7566" w14:paraId="0CA0CD43" w14:textId="77777777" w:rsidTr="00706BE3">
        <w:trPr>
          <w:trHeight w:val="300"/>
        </w:trPr>
        <w:tc>
          <w:tcPr>
            <w:tcW w:w="9781" w:type="dxa"/>
            <w:noWrap/>
            <w:hideMark/>
          </w:tcPr>
          <w:p w14:paraId="41C062F3" w14:textId="77777777" w:rsidR="005D7566" w:rsidRPr="005D7566" w:rsidRDefault="005D7566" w:rsidP="006B7FA9">
            <w:pPr>
              <w:spacing w:after="0" w:line="259" w:lineRule="auto"/>
              <w:ind w:left="0"/>
            </w:pPr>
            <w:r w:rsidRPr="005D7566">
              <w:t>Li, H.,Zhang, Y.,Yi, Z.,Huang, D.,Wei, S.  Frequency of autoantibodies and connective tissue diseases in Chinese patients with optic neuritis. PLoS One.  2014. 9:e99323</w:t>
            </w:r>
          </w:p>
        </w:tc>
      </w:tr>
      <w:tr w:rsidR="005D7566" w:rsidRPr="005D7566" w14:paraId="669E0707" w14:textId="77777777" w:rsidTr="00706BE3">
        <w:trPr>
          <w:trHeight w:val="300"/>
        </w:trPr>
        <w:tc>
          <w:tcPr>
            <w:tcW w:w="9781" w:type="dxa"/>
            <w:noWrap/>
            <w:hideMark/>
          </w:tcPr>
          <w:p w14:paraId="0FEF33AC" w14:textId="77777777" w:rsidR="005D7566" w:rsidRPr="005D7566" w:rsidRDefault="005D7566" w:rsidP="006B7FA9">
            <w:pPr>
              <w:spacing w:after="0" w:line="259" w:lineRule="auto"/>
              <w:ind w:left="0"/>
            </w:pPr>
            <w:r w:rsidRPr="005D7566">
              <w:t>Li, M.,Su, W. H.,Wang, J.,Pisani, F.,Frigeri, A.,Ma, T. H.  Detection of anti-aquaporin-4 autoantibodies in the sera of Chinese neuromyelitis optica patients. Neural Regeneration Research.  2013. 8:708-713</w:t>
            </w:r>
          </w:p>
        </w:tc>
      </w:tr>
      <w:tr w:rsidR="005D7566" w:rsidRPr="005D7566" w14:paraId="786A6D2A" w14:textId="77777777" w:rsidTr="00706BE3">
        <w:trPr>
          <w:trHeight w:val="300"/>
        </w:trPr>
        <w:tc>
          <w:tcPr>
            <w:tcW w:w="9781" w:type="dxa"/>
            <w:noWrap/>
            <w:hideMark/>
          </w:tcPr>
          <w:p w14:paraId="57808490" w14:textId="77777777" w:rsidR="005D7566" w:rsidRPr="005D7566" w:rsidRDefault="005D7566" w:rsidP="006B7FA9">
            <w:pPr>
              <w:spacing w:after="0" w:line="259" w:lineRule="auto"/>
              <w:ind w:left="0"/>
            </w:pPr>
            <w:r w:rsidRPr="005D7566">
              <w:t>Li, R.,Qiu, W.,Lu, Z.,</w:t>
            </w:r>
            <w:r w:rsidR="006579A6">
              <w:t xml:space="preserve"> et al</w:t>
            </w:r>
            <w:r w:rsidRPr="005D7566">
              <w:t>.  Acute transverse myelitis in demyelinating diseases among the Chinese. J Neurol.  2011. 258:2206-13</w:t>
            </w:r>
          </w:p>
        </w:tc>
      </w:tr>
      <w:tr w:rsidR="005D7566" w:rsidRPr="005D7566" w14:paraId="3C5A367F" w14:textId="77777777" w:rsidTr="00706BE3">
        <w:trPr>
          <w:trHeight w:val="300"/>
        </w:trPr>
        <w:tc>
          <w:tcPr>
            <w:tcW w:w="9781" w:type="dxa"/>
            <w:noWrap/>
            <w:hideMark/>
          </w:tcPr>
          <w:p w14:paraId="25EAD0D5" w14:textId="77777777" w:rsidR="005D7566" w:rsidRPr="005D7566" w:rsidRDefault="005D7566" w:rsidP="006B7FA9">
            <w:pPr>
              <w:spacing w:after="0" w:line="259" w:lineRule="auto"/>
              <w:ind w:left="0"/>
            </w:pPr>
            <w:r w:rsidRPr="005D7566">
              <w:t>Li, S.,Chu, L.,Dong, S.,Yu, H.,Xu, Z.,Wang, H.  Serum anti-aquaporin 4 antibody in neuromyelitis patients is not correlated with the length of injured spinal cord segments. Neural Regeneration Research.  2011. 6:2725-2731</w:t>
            </w:r>
          </w:p>
        </w:tc>
      </w:tr>
      <w:tr w:rsidR="005D7566" w:rsidRPr="005D7566" w14:paraId="79AE36AB" w14:textId="77777777" w:rsidTr="00706BE3">
        <w:trPr>
          <w:trHeight w:val="300"/>
        </w:trPr>
        <w:tc>
          <w:tcPr>
            <w:tcW w:w="9781" w:type="dxa"/>
            <w:noWrap/>
            <w:hideMark/>
          </w:tcPr>
          <w:p w14:paraId="6BE98C09" w14:textId="77777777" w:rsidR="005D7566" w:rsidRPr="005D7566" w:rsidRDefault="005D7566" w:rsidP="006B7FA9">
            <w:pPr>
              <w:spacing w:after="0" w:line="259" w:lineRule="auto"/>
              <w:ind w:left="0"/>
            </w:pPr>
            <w:r w:rsidRPr="005D7566">
              <w:t>Liu, Y.,Han, Y.,Duan, Y.,</w:t>
            </w:r>
            <w:r w:rsidR="006579A6">
              <w:t xml:space="preserve"> et al</w:t>
            </w:r>
            <w:r w:rsidRPr="005D7566">
              <w:t>.  Anti-aquaporin-4 antibody positivity in neuromyelitis optica is associated with lesion activity. Eur Neurol.  2013. 70:113-6</w:t>
            </w:r>
          </w:p>
        </w:tc>
      </w:tr>
      <w:tr w:rsidR="005D7566" w:rsidRPr="005D7566" w14:paraId="23C75C13" w14:textId="77777777" w:rsidTr="00706BE3">
        <w:trPr>
          <w:trHeight w:val="300"/>
        </w:trPr>
        <w:tc>
          <w:tcPr>
            <w:tcW w:w="9781" w:type="dxa"/>
            <w:noWrap/>
            <w:hideMark/>
          </w:tcPr>
          <w:p w14:paraId="2B7432A3" w14:textId="77777777" w:rsidR="005D7566" w:rsidRPr="005D7566" w:rsidRDefault="005D7566" w:rsidP="006B7FA9">
            <w:pPr>
              <w:spacing w:after="0" w:line="259" w:lineRule="auto"/>
              <w:ind w:left="0"/>
            </w:pPr>
            <w:r w:rsidRPr="005D7566">
              <w:t>Long, Y.,Hu, X.,Peng, F.,</w:t>
            </w:r>
            <w:r w:rsidR="006579A6">
              <w:t xml:space="preserve"> et al</w:t>
            </w:r>
            <w:r w:rsidRPr="005D7566">
              <w:t>.  Neuromyelitis optica immunoglobulin G in Chinese patients detected by immunofluorescence assay on a monkey brain substrate. Neuroimmunomodulation.  2012. 19:20-4</w:t>
            </w:r>
          </w:p>
        </w:tc>
      </w:tr>
      <w:tr w:rsidR="005D7566" w:rsidRPr="005D7566" w14:paraId="2E51D57B" w14:textId="77777777" w:rsidTr="00706BE3">
        <w:trPr>
          <w:trHeight w:val="300"/>
        </w:trPr>
        <w:tc>
          <w:tcPr>
            <w:tcW w:w="9781" w:type="dxa"/>
            <w:noWrap/>
            <w:hideMark/>
          </w:tcPr>
          <w:p w14:paraId="32241BF8" w14:textId="77777777" w:rsidR="005D7566" w:rsidRPr="005D7566" w:rsidRDefault="005D7566" w:rsidP="006B7FA9">
            <w:pPr>
              <w:spacing w:after="0" w:line="259" w:lineRule="auto"/>
              <w:ind w:left="0"/>
            </w:pPr>
            <w:r w:rsidRPr="005D7566">
              <w:t>Long, Y.,Liang, J.,Zhong, R.,</w:t>
            </w:r>
            <w:r w:rsidR="00AE0EB1">
              <w:t xml:space="preserve"> et al</w:t>
            </w:r>
            <w:r w:rsidRPr="005D7566">
              <w:t>. Aquaporin-4 antibody in neuromyelitis optica: re-testing study in a large population from China. Int J Neurosci.  2017. 127:790-799</w:t>
            </w:r>
          </w:p>
        </w:tc>
      </w:tr>
      <w:tr w:rsidR="005D7566" w:rsidRPr="005D7566" w14:paraId="4D78ADCF" w14:textId="77777777" w:rsidTr="00706BE3">
        <w:trPr>
          <w:trHeight w:val="300"/>
        </w:trPr>
        <w:tc>
          <w:tcPr>
            <w:tcW w:w="9781" w:type="dxa"/>
            <w:noWrap/>
            <w:hideMark/>
          </w:tcPr>
          <w:p w14:paraId="1477A81A" w14:textId="77777777" w:rsidR="005D7566" w:rsidRPr="005D7566" w:rsidRDefault="005D7566" w:rsidP="006B7FA9">
            <w:pPr>
              <w:spacing w:after="0" w:line="259" w:lineRule="auto"/>
              <w:ind w:left="0"/>
            </w:pPr>
            <w:r w:rsidRPr="005D7566">
              <w:t>Long, Y.,Qiu, W.,Hu, X.,</w:t>
            </w:r>
            <w:r w:rsidR="00AE0EB1">
              <w:t xml:space="preserve"> et l</w:t>
            </w:r>
            <w:r w:rsidRPr="005D7566">
              <w:t>.  Anti-aquaporin-4 antibody in Chinese patients with central nervous system inflammatory demyelinating disorders. Clin Neurol Neurosurg.  2012. 114:1131-4</w:t>
            </w:r>
          </w:p>
        </w:tc>
      </w:tr>
      <w:tr w:rsidR="005D7566" w:rsidRPr="005D7566" w14:paraId="7BBC475D" w14:textId="77777777" w:rsidTr="00706BE3">
        <w:trPr>
          <w:trHeight w:val="300"/>
        </w:trPr>
        <w:tc>
          <w:tcPr>
            <w:tcW w:w="9781" w:type="dxa"/>
            <w:noWrap/>
            <w:hideMark/>
          </w:tcPr>
          <w:p w14:paraId="29B0B92A" w14:textId="77777777" w:rsidR="005D7566" w:rsidRPr="005D7566" w:rsidRDefault="005D7566" w:rsidP="006B7FA9">
            <w:pPr>
              <w:spacing w:after="0" w:line="259" w:lineRule="auto"/>
              <w:ind w:left="0"/>
            </w:pPr>
            <w:r w:rsidRPr="005D7566">
              <w:t>Long, Y.,Qiu, W.,Lu, Z.,</w:t>
            </w:r>
            <w:r w:rsidR="00AE0EB1">
              <w:t xml:space="preserve"> et al</w:t>
            </w:r>
            <w:r w:rsidRPr="005D7566">
              <w:t>.  Aquaporin 4 antibodies in the cerebrospinal fluid are helpful in diagnosing Chinese patients with neuromyelitis optica. Neuroimmunomodulation.  2012. 19:96-102</w:t>
            </w:r>
          </w:p>
        </w:tc>
      </w:tr>
      <w:tr w:rsidR="005D7566" w:rsidRPr="005D7566" w14:paraId="101F56D7" w14:textId="77777777" w:rsidTr="00706BE3">
        <w:trPr>
          <w:trHeight w:val="300"/>
        </w:trPr>
        <w:tc>
          <w:tcPr>
            <w:tcW w:w="9781" w:type="dxa"/>
            <w:noWrap/>
            <w:hideMark/>
          </w:tcPr>
          <w:p w14:paraId="010AA317" w14:textId="77777777" w:rsidR="005D7566" w:rsidRPr="005D7566" w:rsidRDefault="005D7566" w:rsidP="006B7FA9">
            <w:pPr>
              <w:spacing w:after="0" w:line="259" w:lineRule="auto"/>
              <w:ind w:left="0"/>
            </w:pPr>
            <w:r w:rsidRPr="005D7566">
              <w:t>Long, Y.,Zheng, Y.,Shan, F.,</w:t>
            </w:r>
            <w:r w:rsidR="00AE0EB1">
              <w:t xml:space="preserve"> et al</w:t>
            </w:r>
            <w:r w:rsidRPr="005D7566">
              <w:t>.  Development of a cell-based assay for the detection of anti-aquaporin 1 antibodies in neuromyelitis optica spectrum disorders. J Neuroimmunol.  2014. 273:103-10</w:t>
            </w:r>
          </w:p>
        </w:tc>
      </w:tr>
      <w:tr w:rsidR="005D7566" w:rsidRPr="005D7566" w14:paraId="1BE7A55D" w14:textId="77777777" w:rsidTr="00706BE3">
        <w:trPr>
          <w:trHeight w:val="300"/>
        </w:trPr>
        <w:tc>
          <w:tcPr>
            <w:tcW w:w="9781" w:type="dxa"/>
            <w:noWrap/>
            <w:hideMark/>
          </w:tcPr>
          <w:p w14:paraId="1D533367" w14:textId="77777777" w:rsidR="005D7566" w:rsidRPr="005D7566" w:rsidRDefault="005D7566" w:rsidP="006B7FA9">
            <w:pPr>
              <w:spacing w:after="0" w:line="259" w:lineRule="auto"/>
              <w:ind w:left="0"/>
            </w:pPr>
            <w:r w:rsidRPr="005D7566">
              <w:t>Longoni, G.,Banwell, B.,Filippi, M.,Yeh, E. A.  Rituximab as a first-line preventive treatment in pediatric NMOSDs: Preliminary results in 5 children. Neurology: Neuroimmunology and NeuroInflammation.  2014. 1:#pages#</w:t>
            </w:r>
          </w:p>
        </w:tc>
      </w:tr>
      <w:tr w:rsidR="005D7566" w:rsidRPr="005D7566" w14:paraId="725DFC49" w14:textId="77777777" w:rsidTr="00706BE3">
        <w:trPr>
          <w:trHeight w:val="300"/>
        </w:trPr>
        <w:tc>
          <w:tcPr>
            <w:tcW w:w="9781" w:type="dxa"/>
            <w:noWrap/>
            <w:hideMark/>
          </w:tcPr>
          <w:p w14:paraId="20BF9FB1" w14:textId="77777777" w:rsidR="005D7566" w:rsidRPr="005D7566" w:rsidRDefault="005D7566" w:rsidP="006B7FA9">
            <w:pPr>
              <w:spacing w:after="0" w:line="259" w:lineRule="auto"/>
              <w:ind w:left="0"/>
            </w:pPr>
            <w:r w:rsidRPr="005D7566">
              <w:t>Lopez-Chiriboga, A. S.,Majed, M.,Fryer, J.,</w:t>
            </w:r>
            <w:r w:rsidR="00AE0EB1">
              <w:t xml:space="preserve"> et al</w:t>
            </w:r>
            <w:r w:rsidRPr="005D7566">
              <w:t>.  Association of MOG-IgG Serostatus With Relapse After Acute Disseminated Encephalomyelitis and Proposed Diagnostic Criteria for MOG-IgG-Associated Disorders. JAMA Neurol.  2018. 75:1355-1363</w:t>
            </w:r>
          </w:p>
        </w:tc>
      </w:tr>
      <w:tr w:rsidR="005D7566" w:rsidRPr="005D7566" w14:paraId="33EE3FDE" w14:textId="77777777" w:rsidTr="00706BE3">
        <w:trPr>
          <w:trHeight w:val="300"/>
        </w:trPr>
        <w:tc>
          <w:tcPr>
            <w:tcW w:w="9781" w:type="dxa"/>
            <w:noWrap/>
            <w:hideMark/>
          </w:tcPr>
          <w:p w14:paraId="1AA480CF" w14:textId="77777777" w:rsidR="005D7566" w:rsidRPr="005D7566" w:rsidRDefault="005D7566" w:rsidP="006B7FA9">
            <w:pPr>
              <w:spacing w:after="0" w:line="259" w:lineRule="auto"/>
              <w:ind w:left="0"/>
            </w:pPr>
            <w:r w:rsidRPr="005D7566">
              <w:t>Mader, S.,Gredler, V.,Schanda, K.,</w:t>
            </w:r>
            <w:r w:rsidR="00AE0EB1">
              <w:t xml:space="preserve"> et al</w:t>
            </w:r>
            <w:r w:rsidRPr="005D7566">
              <w:t>.  Complement activating antibodies to myelin oligodendrocyte glycoprotein in neuromyelitis optica and related disorders. J Neuroinflammation.  2011. 8:184</w:t>
            </w:r>
          </w:p>
        </w:tc>
      </w:tr>
      <w:tr w:rsidR="005D7566" w:rsidRPr="005D7566" w14:paraId="00317B37" w14:textId="77777777" w:rsidTr="00706BE3">
        <w:trPr>
          <w:trHeight w:val="300"/>
        </w:trPr>
        <w:tc>
          <w:tcPr>
            <w:tcW w:w="9781" w:type="dxa"/>
            <w:noWrap/>
            <w:hideMark/>
          </w:tcPr>
          <w:p w14:paraId="56150A1A" w14:textId="77777777" w:rsidR="005D7566" w:rsidRPr="005D7566" w:rsidRDefault="005D7566" w:rsidP="006B7FA9">
            <w:pPr>
              <w:spacing w:after="0" w:line="259" w:lineRule="auto"/>
              <w:ind w:left="0"/>
            </w:pPr>
            <w:r w:rsidRPr="005D7566">
              <w:t>Majed, M.,Fryer, J. P.,McKeon, A.,Lennon, V. A.,Pittock, S. J.  Clinical utility of testing AQP4-IgG in CSF: Guidance for physicians. Neurology: Neuroimmunology and NeuroInflammation.  2016. 3:#pages#</w:t>
            </w:r>
          </w:p>
        </w:tc>
      </w:tr>
      <w:tr w:rsidR="005D7566" w:rsidRPr="005D7566" w14:paraId="7F0EF25C" w14:textId="77777777" w:rsidTr="00706BE3">
        <w:trPr>
          <w:trHeight w:val="300"/>
        </w:trPr>
        <w:tc>
          <w:tcPr>
            <w:tcW w:w="9781" w:type="dxa"/>
            <w:noWrap/>
            <w:hideMark/>
          </w:tcPr>
          <w:p w14:paraId="05509273" w14:textId="77777777" w:rsidR="005D7566" w:rsidRPr="005D7566" w:rsidRDefault="005D7566" w:rsidP="006B7FA9">
            <w:pPr>
              <w:spacing w:after="0" w:line="259" w:lineRule="auto"/>
              <w:ind w:left="0"/>
            </w:pPr>
            <w:r w:rsidRPr="005D7566">
              <w:lastRenderedPageBreak/>
              <w:t>Mariano, R.,Messina, S.,Kumar, K.,Kuker, W.,Leite, M. I.,Palace, J.  Comparison of Clinical Outcomes of Transverse Myelitis Among Adults With Myelin Oligodendrocyte Glycoprotein Antibody vs Aquaporin-4 Antibody Disease. JAMA network open.  2019. 2:e1912732</w:t>
            </w:r>
          </w:p>
        </w:tc>
      </w:tr>
      <w:tr w:rsidR="005D7566" w:rsidRPr="005D7566" w14:paraId="43F38D45" w14:textId="77777777" w:rsidTr="00706BE3">
        <w:trPr>
          <w:trHeight w:val="300"/>
        </w:trPr>
        <w:tc>
          <w:tcPr>
            <w:tcW w:w="9781" w:type="dxa"/>
            <w:noWrap/>
            <w:hideMark/>
          </w:tcPr>
          <w:p w14:paraId="7B749E8D" w14:textId="77777777" w:rsidR="005D7566" w:rsidRPr="005D7566" w:rsidRDefault="005D7566" w:rsidP="006B7FA9">
            <w:pPr>
              <w:spacing w:after="0" w:line="259" w:lineRule="auto"/>
              <w:ind w:left="0"/>
            </w:pPr>
            <w:r w:rsidRPr="005D7566">
              <w:t>Marignier, R.,Bernard-Valnet, R.,Giraudon, P.,</w:t>
            </w:r>
            <w:r w:rsidR="00AE0EB1">
              <w:t xml:space="preserve"> et al</w:t>
            </w:r>
            <w:r w:rsidRPr="005D7566">
              <w:t>.  Aquaporin-4 antibody-negative neuromyelitis optica: distinct assay sensitivity-dependent entity. Neurology.  2013. 80:2194-200</w:t>
            </w:r>
          </w:p>
        </w:tc>
      </w:tr>
      <w:tr w:rsidR="005D7566" w:rsidRPr="005D7566" w14:paraId="3FCF7DCC" w14:textId="77777777" w:rsidTr="00706BE3">
        <w:trPr>
          <w:trHeight w:val="300"/>
        </w:trPr>
        <w:tc>
          <w:tcPr>
            <w:tcW w:w="9781" w:type="dxa"/>
            <w:noWrap/>
            <w:hideMark/>
          </w:tcPr>
          <w:p w14:paraId="717F6841" w14:textId="77777777" w:rsidR="005D7566" w:rsidRPr="005D7566" w:rsidRDefault="005D7566" w:rsidP="006B7FA9">
            <w:pPr>
              <w:spacing w:after="0" w:line="259" w:lineRule="auto"/>
              <w:ind w:left="0"/>
            </w:pPr>
            <w:r w:rsidRPr="005D7566">
              <w:t>Marignier, R.,Sèze, J.,Vukusic, S.,</w:t>
            </w:r>
            <w:r w:rsidR="00AE0EB1">
              <w:t xml:space="preserve"> et al</w:t>
            </w:r>
            <w:r w:rsidRPr="005D7566">
              <w:t>.  NMO-lgG and Devic's neuromyelitis optica: A French experience. Multiple Sclerosis.  2008. 14:440-445</w:t>
            </w:r>
          </w:p>
        </w:tc>
      </w:tr>
      <w:tr w:rsidR="005D7566" w:rsidRPr="005D7566" w14:paraId="7A10A8AB" w14:textId="77777777" w:rsidTr="00706BE3">
        <w:trPr>
          <w:trHeight w:val="300"/>
        </w:trPr>
        <w:tc>
          <w:tcPr>
            <w:tcW w:w="9781" w:type="dxa"/>
            <w:noWrap/>
            <w:hideMark/>
          </w:tcPr>
          <w:p w14:paraId="1619E270" w14:textId="77777777" w:rsidR="005D7566" w:rsidRPr="005D7566" w:rsidRDefault="005D7566" w:rsidP="006B7FA9">
            <w:pPr>
              <w:spacing w:after="0" w:line="259" w:lineRule="auto"/>
              <w:ind w:left="0"/>
            </w:pPr>
            <w:r w:rsidRPr="005D7566">
              <w:t>Mariotto, S.,Ferrari, S.,Monaco, S.,</w:t>
            </w:r>
            <w:r w:rsidR="00AE0EB1">
              <w:t xml:space="preserve"> et al</w:t>
            </w:r>
            <w:r w:rsidRPr="005D7566">
              <w:t>.  Clinical spectrum and IgG subclass analysis of anti-myelin oligodendrocyte glycoprotein antibody-associated syndromes: a multicenter study. J Neurol.  2017. 264:2420-2430</w:t>
            </w:r>
          </w:p>
        </w:tc>
      </w:tr>
      <w:tr w:rsidR="005D7566" w:rsidRPr="005D7566" w14:paraId="2CFDA0EC" w14:textId="77777777" w:rsidTr="00706BE3">
        <w:trPr>
          <w:trHeight w:val="300"/>
        </w:trPr>
        <w:tc>
          <w:tcPr>
            <w:tcW w:w="9781" w:type="dxa"/>
            <w:noWrap/>
            <w:hideMark/>
          </w:tcPr>
          <w:p w14:paraId="6C239AFC" w14:textId="77777777" w:rsidR="005D7566" w:rsidRPr="005D7566" w:rsidRDefault="005D7566" w:rsidP="006B7FA9">
            <w:pPr>
              <w:spacing w:after="0" w:line="259" w:lineRule="auto"/>
              <w:ind w:left="0"/>
            </w:pPr>
            <w:r w:rsidRPr="005D7566">
              <w:t>Masuda, H.,Mori, M.,Uzawa, A.,</w:t>
            </w:r>
            <w:r w:rsidR="00AE0EB1">
              <w:t xml:space="preserve"> et al</w:t>
            </w:r>
            <w:r w:rsidRPr="005D7566">
              <w:t>.  Recovery from optic neuritis attack in neuromyelitis optica spectrum disorder and multiple sclerosis. J Neurol Sci.  2016. 367:375-9</w:t>
            </w:r>
          </w:p>
        </w:tc>
      </w:tr>
      <w:tr w:rsidR="005D7566" w:rsidRPr="005D7566" w14:paraId="1202E2E5" w14:textId="77777777" w:rsidTr="00706BE3">
        <w:trPr>
          <w:trHeight w:val="300"/>
        </w:trPr>
        <w:tc>
          <w:tcPr>
            <w:tcW w:w="9781" w:type="dxa"/>
            <w:noWrap/>
            <w:hideMark/>
          </w:tcPr>
          <w:p w14:paraId="19133C74" w14:textId="77777777" w:rsidR="005D7566" w:rsidRPr="005D7566" w:rsidRDefault="005D7566" w:rsidP="006B7FA9">
            <w:pPr>
              <w:spacing w:after="0" w:line="259" w:lineRule="auto"/>
              <w:ind w:left="0"/>
            </w:pPr>
            <w:r w:rsidRPr="005D7566">
              <w:t>Matiello, M.,Lennon, V. A.,Jacob, A.,</w:t>
            </w:r>
            <w:r w:rsidR="00AE0EB1">
              <w:t xml:space="preserve"> et al</w:t>
            </w:r>
            <w:r w:rsidRPr="005D7566">
              <w:t>.  NMO-IgG predicts the outcome of recurrent optic neuritis. Neurology.  2008. 70:2197-200</w:t>
            </w:r>
          </w:p>
        </w:tc>
      </w:tr>
      <w:tr w:rsidR="005D7566" w:rsidRPr="005D7566" w14:paraId="58386012" w14:textId="77777777" w:rsidTr="00706BE3">
        <w:trPr>
          <w:trHeight w:val="300"/>
        </w:trPr>
        <w:tc>
          <w:tcPr>
            <w:tcW w:w="9781" w:type="dxa"/>
            <w:noWrap/>
            <w:hideMark/>
          </w:tcPr>
          <w:p w14:paraId="13C719E0" w14:textId="77777777" w:rsidR="005D7566" w:rsidRPr="005D7566" w:rsidRDefault="005D7566" w:rsidP="006B7FA9">
            <w:pPr>
              <w:spacing w:after="0" w:line="259" w:lineRule="auto"/>
              <w:ind w:left="0"/>
            </w:pPr>
            <w:r w:rsidRPr="005D7566">
              <w:t>Matsumoto, Y.,Mori, S.,Ueda, K.,</w:t>
            </w:r>
            <w:r w:rsidR="00AE0EB1">
              <w:t xml:space="preserve"> et al</w:t>
            </w:r>
            <w:r w:rsidRPr="005D7566">
              <w:t>. Impact of the anti-aquaporin-4 autoantibody on inner retinal structure, function and structure-function associations in Japanese patients with optic neuritis. PLoS One.  2017. 12:e0171880</w:t>
            </w:r>
          </w:p>
        </w:tc>
      </w:tr>
      <w:tr w:rsidR="005D7566" w:rsidRPr="005D7566" w14:paraId="40E35FF7" w14:textId="77777777" w:rsidTr="00706BE3">
        <w:trPr>
          <w:trHeight w:val="300"/>
        </w:trPr>
        <w:tc>
          <w:tcPr>
            <w:tcW w:w="9781" w:type="dxa"/>
            <w:noWrap/>
            <w:hideMark/>
          </w:tcPr>
          <w:p w14:paraId="05CA6723" w14:textId="77777777" w:rsidR="005D7566" w:rsidRPr="005D7566" w:rsidRDefault="005D7566" w:rsidP="006B7FA9">
            <w:pPr>
              <w:spacing w:after="0" w:line="259" w:lineRule="auto"/>
              <w:ind w:left="0"/>
            </w:pPr>
            <w:r w:rsidRPr="005D7566">
              <w:t>Matsushita, T.,Isobe, N.,Piao, H.,</w:t>
            </w:r>
            <w:r w:rsidR="00AE0EB1">
              <w:t xml:space="preserve"> et al</w:t>
            </w:r>
            <w:r w:rsidRPr="005D7566">
              <w:t>. Reappraisal of brain MRI features in patients with multiple sclerosis and neuromyelitis optica according to anti-aquaporin-4 antibody status. J Neurol Sci.  2010. 291:37-43</w:t>
            </w:r>
          </w:p>
        </w:tc>
      </w:tr>
      <w:tr w:rsidR="005D7566" w:rsidRPr="005D7566" w14:paraId="10E2334E" w14:textId="77777777" w:rsidTr="00706BE3">
        <w:trPr>
          <w:trHeight w:val="300"/>
        </w:trPr>
        <w:tc>
          <w:tcPr>
            <w:tcW w:w="9781" w:type="dxa"/>
            <w:noWrap/>
            <w:hideMark/>
          </w:tcPr>
          <w:p w14:paraId="6DE54DAF" w14:textId="77777777" w:rsidR="005D7566" w:rsidRPr="005D7566" w:rsidRDefault="005D7566" w:rsidP="006B7FA9">
            <w:pPr>
              <w:spacing w:after="0" w:line="259" w:lineRule="auto"/>
              <w:ind w:left="0"/>
            </w:pPr>
            <w:r w:rsidRPr="005D7566">
              <w:t>McKeon, A.,Fryer, J. P.,Apiwattanakul, M.,</w:t>
            </w:r>
            <w:r w:rsidR="00AE0EB1">
              <w:t xml:space="preserve"> et al</w:t>
            </w:r>
            <w:r w:rsidRPr="005D7566">
              <w:t>. Diagnosis of neuromyelitis spectrum disorders: comparative sensitivities and specificities of immunohistochemical and immunoprecipitation assays. Arch Neurol.  2009. 66:1134-8</w:t>
            </w:r>
          </w:p>
        </w:tc>
      </w:tr>
      <w:tr w:rsidR="005D7566" w:rsidRPr="005D7566" w14:paraId="6056FB18" w14:textId="77777777" w:rsidTr="00706BE3">
        <w:trPr>
          <w:trHeight w:val="300"/>
        </w:trPr>
        <w:tc>
          <w:tcPr>
            <w:tcW w:w="9781" w:type="dxa"/>
            <w:noWrap/>
            <w:hideMark/>
          </w:tcPr>
          <w:p w14:paraId="50D6ED35" w14:textId="77777777" w:rsidR="005D7566" w:rsidRPr="005D7566" w:rsidRDefault="005D7566" w:rsidP="006B7FA9">
            <w:pPr>
              <w:spacing w:after="0" w:line="259" w:lineRule="auto"/>
              <w:ind w:left="0"/>
            </w:pPr>
            <w:r w:rsidRPr="005D7566">
              <w:t>Mealy, M. A.,Kim, S. H.,Schmidt, F.,Lopez, R.,Jimenez Arango, J. A.,Paul, F.,Wingerchuk, D. M.,Greenberg, B. M.,Kim, H. J.,Levy, M. Aquaporin-4 serostatus does not predict response to immunotherapy in neuromyelitis optica spectrum disorders. Mult Scler.  2018. 24:1737-1742</w:t>
            </w:r>
          </w:p>
        </w:tc>
      </w:tr>
      <w:tr w:rsidR="005D7566" w:rsidRPr="005D7566" w14:paraId="04CC5828" w14:textId="77777777" w:rsidTr="00706BE3">
        <w:trPr>
          <w:trHeight w:val="300"/>
        </w:trPr>
        <w:tc>
          <w:tcPr>
            <w:tcW w:w="9781" w:type="dxa"/>
            <w:noWrap/>
            <w:hideMark/>
          </w:tcPr>
          <w:p w14:paraId="03EBB6B1" w14:textId="77777777" w:rsidR="005D7566" w:rsidRPr="005D7566" w:rsidRDefault="005D7566" w:rsidP="006B7FA9">
            <w:pPr>
              <w:spacing w:after="0" w:line="259" w:lineRule="auto"/>
              <w:ind w:left="0"/>
            </w:pPr>
            <w:r w:rsidRPr="005D7566">
              <w:t>Mealy, M. A.,Shin, K.,John, G.,Levy, M.Bevacizumab is safe in acute relapses of neuromyelitis optica. Clinical and Experimental Neuroimmunology.  2015. 6:413-418</w:t>
            </w:r>
          </w:p>
        </w:tc>
      </w:tr>
      <w:tr w:rsidR="005D7566" w:rsidRPr="005D7566" w14:paraId="7EEC7492" w14:textId="77777777" w:rsidTr="00706BE3">
        <w:trPr>
          <w:trHeight w:val="300"/>
        </w:trPr>
        <w:tc>
          <w:tcPr>
            <w:tcW w:w="9781" w:type="dxa"/>
            <w:noWrap/>
            <w:hideMark/>
          </w:tcPr>
          <w:p w14:paraId="2E5E9E52" w14:textId="77777777" w:rsidR="005D7566" w:rsidRPr="005D7566" w:rsidRDefault="005D7566" w:rsidP="006B7FA9">
            <w:pPr>
              <w:spacing w:after="0" w:line="259" w:lineRule="auto"/>
              <w:ind w:left="0"/>
            </w:pPr>
            <w:r w:rsidRPr="005D7566">
              <w:t>Mealy, M. A.,Wingerchuk, D. M.,Greenberg, B. M.,Levy, M.</w:t>
            </w:r>
            <w:r w:rsidR="006B7FA9">
              <w:t xml:space="preserve"> </w:t>
            </w:r>
            <w:r w:rsidRPr="005D7566">
              <w:t xml:space="preserve"> Epidemiology of neuromyelitis optica in the United States: a multicenter analysis. Arch Neurol.  2012. 69:1176-80</w:t>
            </w:r>
          </w:p>
        </w:tc>
      </w:tr>
      <w:tr w:rsidR="005D7566" w:rsidRPr="005D7566" w14:paraId="67FD3E15" w14:textId="77777777" w:rsidTr="00706BE3">
        <w:trPr>
          <w:trHeight w:val="300"/>
        </w:trPr>
        <w:tc>
          <w:tcPr>
            <w:tcW w:w="9781" w:type="dxa"/>
            <w:noWrap/>
            <w:hideMark/>
          </w:tcPr>
          <w:p w14:paraId="5040FB80" w14:textId="77777777" w:rsidR="005D7566" w:rsidRPr="005D7566" w:rsidRDefault="005D7566" w:rsidP="006B7FA9">
            <w:pPr>
              <w:spacing w:after="0" w:line="259" w:lineRule="auto"/>
              <w:ind w:left="0"/>
            </w:pPr>
            <w:r w:rsidRPr="005D7566">
              <w:t>Murchison, A.,Kitley, J.,Leite, M. I.,Kuker, W.,Palace, J.  Predictive value of MRI parameters in severity and recovery of first-episode myelitis in aquaporin-4 antibody disease. J Neurol Sci.  2015. 355:49-53</w:t>
            </w:r>
          </w:p>
        </w:tc>
      </w:tr>
      <w:tr w:rsidR="005D7566" w:rsidRPr="005D7566" w14:paraId="2F2A7558" w14:textId="77777777" w:rsidTr="00706BE3">
        <w:trPr>
          <w:trHeight w:val="300"/>
        </w:trPr>
        <w:tc>
          <w:tcPr>
            <w:tcW w:w="9781" w:type="dxa"/>
            <w:noWrap/>
            <w:hideMark/>
          </w:tcPr>
          <w:p w14:paraId="79438AA3" w14:textId="77777777" w:rsidR="005D7566" w:rsidRPr="005D7566" w:rsidRDefault="005D7566" w:rsidP="006B7FA9">
            <w:pPr>
              <w:spacing w:after="0" w:line="259" w:lineRule="auto"/>
              <w:ind w:left="0"/>
            </w:pPr>
            <w:r w:rsidRPr="005D7566">
              <w:t>Narayan, R. N.,McCreary, M.,Conger, D.,Wang, C.,Greenberg, B. M.  Unique characteristics of optical coherence tomography (OCT) results and visual acuity testing in myelin oligodendrocyte glycoprotein (MOG) antibody positive pediatric patients. Mult Scler Relat Disord.  2019. 28:86-90</w:t>
            </w:r>
          </w:p>
        </w:tc>
      </w:tr>
      <w:tr w:rsidR="005D7566" w:rsidRPr="005D7566" w14:paraId="7A4114CD" w14:textId="77777777" w:rsidTr="00706BE3">
        <w:trPr>
          <w:trHeight w:val="300"/>
        </w:trPr>
        <w:tc>
          <w:tcPr>
            <w:tcW w:w="9781" w:type="dxa"/>
            <w:noWrap/>
            <w:hideMark/>
          </w:tcPr>
          <w:p w14:paraId="0AE47AA0" w14:textId="77777777" w:rsidR="005D7566" w:rsidRPr="005D7566" w:rsidRDefault="005D7566" w:rsidP="006B7FA9">
            <w:pPr>
              <w:spacing w:after="0" w:line="259" w:lineRule="auto"/>
              <w:ind w:left="0"/>
            </w:pPr>
            <w:r w:rsidRPr="005D7566">
              <w:t>Pandit, L.,Sato, D.,Mustafa, S.,</w:t>
            </w:r>
            <w:r w:rsidR="00AE0EB1">
              <w:t xml:space="preserve"> et al</w:t>
            </w:r>
            <w:r w:rsidRPr="005D7566">
              <w:t>.  Serological markers associated with neuromyelitis optica spectrum disorders in South India. Annals of Indian Academy of Neurology.  2016. 19:505-509</w:t>
            </w:r>
          </w:p>
        </w:tc>
      </w:tr>
      <w:tr w:rsidR="005D7566" w:rsidRPr="005D7566" w14:paraId="6D4EFDEB" w14:textId="77777777" w:rsidTr="00706BE3">
        <w:trPr>
          <w:trHeight w:val="300"/>
        </w:trPr>
        <w:tc>
          <w:tcPr>
            <w:tcW w:w="9781" w:type="dxa"/>
            <w:noWrap/>
            <w:hideMark/>
          </w:tcPr>
          <w:p w14:paraId="2DC80405" w14:textId="77777777" w:rsidR="005D7566" w:rsidRPr="005D7566" w:rsidRDefault="005D7566" w:rsidP="00F31882">
            <w:pPr>
              <w:spacing w:after="0" w:line="259" w:lineRule="auto"/>
              <w:ind w:left="0"/>
            </w:pPr>
            <w:r w:rsidRPr="005D7566">
              <w:t>Papp, V.,Iljicsov, A.,Rajda, C.,</w:t>
            </w:r>
            <w:r w:rsidR="00AE0EB1">
              <w:t xml:space="preserve"> et al</w:t>
            </w:r>
            <w:r w:rsidRPr="005D7566">
              <w:t>.  The population-based epidemiological study of neuromyelitis optica spectrum disorder in Hungary. European journal of neurology.  2019. #volume#:#pages#</w:t>
            </w:r>
          </w:p>
        </w:tc>
      </w:tr>
      <w:tr w:rsidR="005D7566" w:rsidRPr="005D7566" w14:paraId="089070BF" w14:textId="77777777" w:rsidTr="00706BE3">
        <w:trPr>
          <w:trHeight w:val="300"/>
        </w:trPr>
        <w:tc>
          <w:tcPr>
            <w:tcW w:w="9781" w:type="dxa"/>
            <w:noWrap/>
            <w:hideMark/>
          </w:tcPr>
          <w:p w14:paraId="0A7012DD" w14:textId="77777777" w:rsidR="005D7566" w:rsidRPr="005D7566" w:rsidRDefault="005D7566" w:rsidP="006B7FA9">
            <w:pPr>
              <w:spacing w:after="0" w:line="259" w:lineRule="auto"/>
              <w:ind w:left="0"/>
            </w:pPr>
            <w:r w:rsidRPr="005D7566">
              <w:t>Papp, V.,Illes, Z.,Magyari, M.,</w:t>
            </w:r>
            <w:r w:rsidR="00AE0EB1">
              <w:t xml:space="preserve"> et al</w:t>
            </w:r>
            <w:r w:rsidRPr="005D7566">
              <w:t>.  Nationwide prevalence and incidence study of neuromyelitis optica spectrum disorder in Denmark. Neurology.  2018. 91:e2265-e2275</w:t>
            </w:r>
          </w:p>
        </w:tc>
      </w:tr>
      <w:tr w:rsidR="005D7566" w:rsidRPr="005D7566" w14:paraId="056C615E" w14:textId="77777777" w:rsidTr="00706BE3">
        <w:trPr>
          <w:trHeight w:val="300"/>
        </w:trPr>
        <w:tc>
          <w:tcPr>
            <w:tcW w:w="9781" w:type="dxa"/>
            <w:noWrap/>
            <w:hideMark/>
          </w:tcPr>
          <w:p w14:paraId="2841F54D" w14:textId="77777777" w:rsidR="005D7566" w:rsidRPr="005D7566" w:rsidRDefault="005D7566" w:rsidP="006B7FA9">
            <w:pPr>
              <w:spacing w:after="0" w:line="259" w:lineRule="auto"/>
              <w:ind w:left="0"/>
            </w:pPr>
            <w:r w:rsidRPr="005D7566">
              <w:t>Patra, K.,Cree, B. A. C.,Katz, E.,Pulkstenis, E.,Dmitrienko, A.,Cutter, G.  Statistical Considerations for an Adaptive Design for a Serious Rare Disease. Therapeutic innovation and regulatory science.  2015. 50:375‐384</w:t>
            </w:r>
          </w:p>
        </w:tc>
      </w:tr>
      <w:tr w:rsidR="005D7566" w:rsidRPr="005D7566" w14:paraId="14E63D38" w14:textId="77777777" w:rsidTr="00706BE3">
        <w:trPr>
          <w:trHeight w:val="300"/>
        </w:trPr>
        <w:tc>
          <w:tcPr>
            <w:tcW w:w="9781" w:type="dxa"/>
            <w:noWrap/>
            <w:hideMark/>
          </w:tcPr>
          <w:p w14:paraId="29E0172F" w14:textId="77777777" w:rsidR="005D7566" w:rsidRPr="005D7566" w:rsidRDefault="005D7566" w:rsidP="006B7FA9">
            <w:pPr>
              <w:spacing w:after="0" w:line="259" w:lineRule="auto"/>
              <w:ind w:left="0"/>
            </w:pPr>
            <w:r w:rsidRPr="005D7566">
              <w:t>Paul, F.,Jarius, S.,Aktas, O.,</w:t>
            </w:r>
            <w:r w:rsidR="00AE0EB1">
              <w:t xml:space="preserve"> et al</w:t>
            </w:r>
            <w:r w:rsidRPr="005D7566">
              <w:t>.  Antibody to aquaporin 4 in the diagnosis of neuromyelitis optica. PLoS Med.  2007. 4:e133</w:t>
            </w:r>
          </w:p>
        </w:tc>
      </w:tr>
      <w:tr w:rsidR="005D7566" w:rsidRPr="005D7566" w14:paraId="7B7B9989" w14:textId="77777777" w:rsidTr="00706BE3">
        <w:trPr>
          <w:trHeight w:val="300"/>
        </w:trPr>
        <w:tc>
          <w:tcPr>
            <w:tcW w:w="9781" w:type="dxa"/>
            <w:noWrap/>
            <w:hideMark/>
          </w:tcPr>
          <w:p w14:paraId="5FC74A55" w14:textId="77777777" w:rsidR="005D7566" w:rsidRPr="005D7566" w:rsidRDefault="005D7566" w:rsidP="006B7FA9">
            <w:pPr>
              <w:spacing w:after="0" w:line="259" w:lineRule="auto"/>
              <w:ind w:left="0"/>
            </w:pPr>
            <w:r w:rsidRPr="005D7566">
              <w:t>Peng, Y.,Liu, L.,Zheng, Y.,Qiao, Z.,Feng, K.,Wang, J.  Diagnostic implications of MOG/AQP4 antibodies in recurrent optic neuritis. Experimental and Therapeutic Medicine.  2018. 16:950-958</w:t>
            </w:r>
          </w:p>
        </w:tc>
      </w:tr>
      <w:tr w:rsidR="005D7566" w:rsidRPr="005D7566" w14:paraId="47A75974" w14:textId="77777777" w:rsidTr="00706BE3">
        <w:trPr>
          <w:trHeight w:val="300"/>
        </w:trPr>
        <w:tc>
          <w:tcPr>
            <w:tcW w:w="9781" w:type="dxa"/>
            <w:noWrap/>
            <w:hideMark/>
          </w:tcPr>
          <w:p w14:paraId="4FBE03DF" w14:textId="77777777" w:rsidR="005D7566" w:rsidRPr="005D7566" w:rsidRDefault="005D7566" w:rsidP="006B7FA9">
            <w:pPr>
              <w:spacing w:after="0" w:line="259" w:lineRule="auto"/>
              <w:ind w:left="0"/>
            </w:pPr>
            <w:r w:rsidRPr="005D7566">
              <w:t>Petzold, A.,Woodhall, M.,Khaleeli, Z.,</w:t>
            </w:r>
            <w:r w:rsidR="00AE0EB1">
              <w:t xml:space="preserve"> et al</w:t>
            </w:r>
            <w:r w:rsidRPr="005D7566">
              <w:t>.  Aquaporin-4 and myelin oligodendrocyte glycoprotein antibodies in immune-mediated optic neuritis at long-term follow-up. Journal of Neurology, Neurosurgery and Psychiatry.  2019. 90:1021-1026</w:t>
            </w:r>
          </w:p>
        </w:tc>
      </w:tr>
      <w:tr w:rsidR="005D7566" w:rsidRPr="005D7566" w14:paraId="27E4608A" w14:textId="77777777" w:rsidTr="00706BE3">
        <w:trPr>
          <w:trHeight w:val="300"/>
        </w:trPr>
        <w:tc>
          <w:tcPr>
            <w:tcW w:w="9781" w:type="dxa"/>
            <w:noWrap/>
            <w:hideMark/>
          </w:tcPr>
          <w:p w14:paraId="7A1F9001" w14:textId="77777777" w:rsidR="005D7566" w:rsidRPr="005D7566" w:rsidRDefault="005D7566" w:rsidP="00F31882">
            <w:pPr>
              <w:spacing w:after="0" w:line="259" w:lineRule="auto"/>
              <w:ind w:left="0"/>
            </w:pPr>
            <w:r w:rsidRPr="005D7566">
              <w:t>Piccolo, L.,Woodhall, M.,Tackley, G.,</w:t>
            </w:r>
            <w:r w:rsidR="00AE0EB1">
              <w:t xml:space="preserve"> et al</w:t>
            </w:r>
            <w:r w:rsidRPr="005D7566">
              <w:t>.  Isolated new onset 'atypical' optic neuritis in the NMO clinic: serum antibodies, prognoses and diagnoses at follow-up. J Neurol.  2016. 263:370-379</w:t>
            </w:r>
          </w:p>
        </w:tc>
      </w:tr>
      <w:tr w:rsidR="005D7566" w:rsidRPr="005D7566" w14:paraId="7A12F5BC" w14:textId="77777777" w:rsidTr="00706BE3">
        <w:trPr>
          <w:trHeight w:val="300"/>
        </w:trPr>
        <w:tc>
          <w:tcPr>
            <w:tcW w:w="9781" w:type="dxa"/>
            <w:noWrap/>
            <w:hideMark/>
          </w:tcPr>
          <w:p w14:paraId="7F585071" w14:textId="77777777" w:rsidR="005D7566" w:rsidRPr="005D7566" w:rsidRDefault="005D7566" w:rsidP="006B7FA9">
            <w:pPr>
              <w:spacing w:after="0" w:line="259" w:lineRule="auto"/>
              <w:ind w:left="0"/>
            </w:pPr>
            <w:r w:rsidRPr="005D7566">
              <w:t>Pisani, F.,Sparaneo, A.,Tortorella, C.,</w:t>
            </w:r>
            <w:r w:rsidR="00AE0EB1">
              <w:t xml:space="preserve"> et al</w:t>
            </w:r>
            <w:r w:rsidRPr="005D7566">
              <w:t>.  Aquaporin-4 autoantibodies in Neuromyelitis Optica: AQP4 isoform-dependent sensitivity and specificity. PLoS One.  2013. 8:e79185</w:t>
            </w:r>
          </w:p>
        </w:tc>
      </w:tr>
      <w:tr w:rsidR="005D7566" w:rsidRPr="005D7566" w14:paraId="36C26BDF" w14:textId="77777777" w:rsidTr="00706BE3">
        <w:trPr>
          <w:trHeight w:val="300"/>
        </w:trPr>
        <w:tc>
          <w:tcPr>
            <w:tcW w:w="9781" w:type="dxa"/>
            <w:noWrap/>
            <w:hideMark/>
          </w:tcPr>
          <w:p w14:paraId="446A22B6" w14:textId="77777777" w:rsidR="005D7566" w:rsidRPr="005D7566" w:rsidRDefault="005D7566" w:rsidP="006B7FA9">
            <w:pPr>
              <w:spacing w:after="0" w:line="259" w:lineRule="auto"/>
              <w:ind w:left="0"/>
            </w:pPr>
            <w:r w:rsidRPr="005D7566">
              <w:t>Pittock, S. J.,Lennon, V. A.,Bakshi, N.,</w:t>
            </w:r>
            <w:r w:rsidR="00AE0EB1">
              <w:t xml:space="preserve"> et al</w:t>
            </w:r>
            <w:r w:rsidRPr="005D7566">
              <w:t>.  Seroprevalence of aquaporin-4-IgG in a northern California population representative cohort of multiple sclerosis. JAMA Neurol.  2014. 71:1433-6</w:t>
            </w:r>
          </w:p>
        </w:tc>
      </w:tr>
      <w:tr w:rsidR="005D7566" w:rsidRPr="005D7566" w14:paraId="33A56BCB" w14:textId="77777777" w:rsidTr="00706BE3">
        <w:trPr>
          <w:trHeight w:val="300"/>
        </w:trPr>
        <w:tc>
          <w:tcPr>
            <w:tcW w:w="9781" w:type="dxa"/>
            <w:noWrap/>
            <w:hideMark/>
          </w:tcPr>
          <w:p w14:paraId="5BB115FD" w14:textId="77777777" w:rsidR="005D7566" w:rsidRPr="005D7566" w:rsidRDefault="005D7566" w:rsidP="006B7FA9">
            <w:pPr>
              <w:spacing w:after="0" w:line="259" w:lineRule="auto"/>
              <w:ind w:left="0"/>
            </w:pPr>
            <w:r w:rsidRPr="005D7566">
              <w:lastRenderedPageBreak/>
              <w:t>Pittock, S. J.,Lennon, V. A.,McKeon, A.,</w:t>
            </w:r>
            <w:r w:rsidR="00AE0EB1">
              <w:t xml:space="preserve"> et al</w:t>
            </w:r>
            <w:r w:rsidRPr="005D7566">
              <w:t>.  Eculizumab in AQP4-IgG-positive relapsing neuromyelitis optica spectrum disorders: an open-label pilot study. Lancet Neurol.  2013. 12:554-62</w:t>
            </w:r>
          </w:p>
        </w:tc>
      </w:tr>
      <w:tr w:rsidR="005D7566" w:rsidRPr="005D7566" w14:paraId="672D4958" w14:textId="77777777" w:rsidTr="00706BE3">
        <w:trPr>
          <w:trHeight w:val="300"/>
        </w:trPr>
        <w:tc>
          <w:tcPr>
            <w:tcW w:w="9781" w:type="dxa"/>
            <w:noWrap/>
            <w:hideMark/>
          </w:tcPr>
          <w:p w14:paraId="6C251F43" w14:textId="77777777" w:rsidR="005D7566" w:rsidRPr="005D7566" w:rsidRDefault="005D7566" w:rsidP="006B7FA9">
            <w:pPr>
              <w:spacing w:after="0" w:line="259" w:lineRule="auto"/>
              <w:ind w:left="0"/>
            </w:pPr>
            <w:r w:rsidRPr="005D7566">
              <w:t>Popescu, B. F. G.,Guo, Y.,Jentoft, M. E.,</w:t>
            </w:r>
            <w:r w:rsidR="00AE0EB1">
              <w:t xml:space="preserve"> et al</w:t>
            </w:r>
            <w:r w:rsidR="006B7FA9">
              <w:t>.</w:t>
            </w:r>
            <w:r w:rsidRPr="005D7566">
              <w:t xml:space="preserve">  Diagnostic utility of aquaporin-4 in the analysis of active demyelinating lesions. Neurology.  2014. 84:148-158</w:t>
            </w:r>
          </w:p>
        </w:tc>
      </w:tr>
      <w:tr w:rsidR="005D7566" w:rsidRPr="005D7566" w14:paraId="3CF6C401" w14:textId="77777777" w:rsidTr="00706BE3">
        <w:trPr>
          <w:trHeight w:val="300"/>
        </w:trPr>
        <w:tc>
          <w:tcPr>
            <w:tcW w:w="9781" w:type="dxa"/>
            <w:noWrap/>
            <w:hideMark/>
          </w:tcPr>
          <w:p w14:paraId="4F63A67C" w14:textId="77777777" w:rsidR="005D7566" w:rsidRPr="005D7566" w:rsidRDefault="005D7566" w:rsidP="006B7FA9">
            <w:pPr>
              <w:spacing w:after="0" w:line="259" w:lineRule="auto"/>
              <w:ind w:left="0"/>
            </w:pPr>
            <w:r w:rsidRPr="005D7566">
              <w:t>Probstel, A. K.,Rudolf, G.,Dornmair, K.,</w:t>
            </w:r>
            <w:r w:rsidR="00AE0EB1">
              <w:t xml:space="preserve"> et al</w:t>
            </w:r>
            <w:r w:rsidRPr="005D7566">
              <w:t>.  Anti-MOG antibodies are present in a subgroup of patients with a neuromyelitis optica phenotype. J Neuroinflammation.  2015. 12:46</w:t>
            </w:r>
          </w:p>
        </w:tc>
      </w:tr>
      <w:tr w:rsidR="005D7566" w:rsidRPr="005D7566" w14:paraId="2580BDB8" w14:textId="77777777" w:rsidTr="00706BE3">
        <w:trPr>
          <w:trHeight w:val="300"/>
        </w:trPr>
        <w:tc>
          <w:tcPr>
            <w:tcW w:w="9781" w:type="dxa"/>
            <w:noWrap/>
            <w:hideMark/>
          </w:tcPr>
          <w:p w14:paraId="61CA35D9" w14:textId="77777777" w:rsidR="005D7566" w:rsidRPr="005D7566" w:rsidRDefault="005D7566" w:rsidP="006B7FA9">
            <w:pPr>
              <w:spacing w:after="0" w:line="259" w:lineRule="auto"/>
              <w:ind w:left="0"/>
            </w:pPr>
            <w:r w:rsidRPr="005D7566">
              <w:t>Ramanathan, R. S.,Malhotra, K.,Scott, T.  Treatment of neuromyelitis optica/neuromyelitis optica spectrum disorders with methotrexate. BMC Neurol.  2014. 14:51</w:t>
            </w:r>
          </w:p>
        </w:tc>
      </w:tr>
      <w:tr w:rsidR="005D7566" w:rsidRPr="005D7566" w14:paraId="7753C513" w14:textId="77777777" w:rsidTr="00706BE3">
        <w:trPr>
          <w:trHeight w:val="300"/>
        </w:trPr>
        <w:tc>
          <w:tcPr>
            <w:tcW w:w="9781" w:type="dxa"/>
            <w:noWrap/>
            <w:hideMark/>
          </w:tcPr>
          <w:p w14:paraId="56FB074C" w14:textId="77777777" w:rsidR="005D7566" w:rsidRPr="005D7566" w:rsidRDefault="005D7566" w:rsidP="006B7FA9">
            <w:pPr>
              <w:spacing w:after="0" w:line="259" w:lineRule="auto"/>
              <w:ind w:left="0"/>
            </w:pPr>
            <w:r w:rsidRPr="005D7566">
              <w:t>Ringelstein, M.,Ayzenberg, I.,Harmel, J.,</w:t>
            </w:r>
            <w:r w:rsidR="00EC3043">
              <w:t xml:space="preserve"> et al</w:t>
            </w:r>
            <w:r w:rsidRPr="005D7566">
              <w:t>.  Long-term Therapy With Interleukin 6 Receptor Blockade in Highly Active Neuromyelitis Optica Spectrum Disorder. JAMA Neurol.  2015. 72:756-63</w:t>
            </w:r>
          </w:p>
        </w:tc>
      </w:tr>
      <w:tr w:rsidR="005D7566" w:rsidRPr="005D7566" w14:paraId="4C063929" w14:textId="77777777" w:rsidTr="00706BE3">
        <w:trPr>
          <w:trHeight w:val="300"/>
        </w:trPr>
        <w:tc>
          <w:tcPr>
            <w:tcW w:w="9781" w:type="dxa"/>
            <w:noWrap/>
            <w:hideMark/>
          </w:tcPr>
          <w:p w14:paraId="63BC5B44" w14:textId="77777777" w:rsidR="005D7566" w:rsidRPr="005D7566" w:rsidRDefault="005D7566" w:rsidP="006B7FA9">
            <w:pPr>
              <w:spacing w:after="0" w:line="259" w:lineRule="auto"/>
              <w:ind w:left="0"/>
            </w:pPr>
            <w:r w:rsidRPr="005D7566">
              <w:t>Rostasy, K.,Mader, S.,Hennes, E. M.,</w:t>
            </w:r>
            <w:r w:rsidR="00EC3043">
              <w:t xml:space="preserve"> et al</w:t>
            </w:r>
            <w:r w:rsidRPr="005D7566">
              <w:t>.  Persisting myelin oligodendrocyte glycoprotein antibodies in aquaporin-4 antibody negative pediatric neuromyelitis optica. Mult Scler.  2013. 19:1052-9</w:t>
            </w:r>
          </w:p>
        </w:tc>
      </w:tr>
      <w:tr w:rsidR="005D7566" w:rsidRPr="005D7566" w14:paraId="1541C7E0" w14:textId="77777777" w:rsidTr="00706BE3">
        <w:trPr>
          <w:trHeight w:val="300"/>
        </w:trPr>
        <w:tc>
          <w:tcPr>
            <w:tcW w:w="9781" w:type="dxa"/>
            <w:noWrap/>
            <w:hideMark/>
          </w:tcPr>
          <w:p w14:paraId="25CBC498" w14:textId="77777777" w:rsidR="005D7566" w:rsidRPr="005D7566" w:rsidRDefault="005D7566" w:rsidP="006B7FA9">
            <w:pPr>
              <w:spacing w:after="0" w:line="259" w:lineRule="auto"/>
              <w:ind w:left="0"/>
            </w:pPr>
            <w:r w:rsidRPr="005D7566">
              <w:t>Sahraian, M. A.,Moinfar, Z.,Khorramnia, S.,Ebrahim, M. M.  Relapsing neuromyelitis optica: demographic and clinical features in Iranian patients. Eur J Neurol.  2010. 17:794-9</w:t>
            </w:r>
          </w:p>
        </w:tc>
      </w:tr>
      <w:tr w:rsidR="005D7566" w:rsidRPr="005D7566" w14:paraId="11991BE6" w14:textId="77777777" w:rsidTr="00706BE3">
        <w:trPr>
          <w:trHeight w:val="300"/>
        </w:trPr>
        <w:tc>
          <w:tcPr>
            <w:tcW w:w="9781" w:type="dxa"/>
            <w:noWrap/>
            <w:hideMark/>
          </w:tcPr>
          <w:p w14:paraId="179D88E3" w14:textId="77777777" w:rsidR="005D7566" w:rsidRPr="005D7566" w:rsidRDefault="005D7566" w:rsidP="006B7FA9">
            <w:pPr>
              <w:spacing w:after="0" w:line="259" w:lineRule="auto"/>
              <w:ind w:left="0"/>
            </w:pPr>
            <w:r w:rsidRPr="005D7566">
              <w:t>Saiz, A.,Zuliani, L.,Blanco, Y.,Tavolato, B.,Giometto, B.,Graus, F.  Revised diagnostic criteria for neuromyelitis optica (NMO). Application in a series of suspected patients. J Neurol.  2007. 254:1233-7</w:t>
            </w:r>
          </w:p>
        </w:tc>
      </w:tr>
      <w:tr w:rsidR="005D7566" w:rsidRPr="005D7566" w14:paraId="7A9837FF" w14:textId="77777777" w:rsidTr="00706BE3">
        <w:trPr>
          <w:trHeight w:val="300"/>
        </w:trPr>
        <w:tc>
          <w:tcPr>
            <w:tcW w:w="9781" w:type="dxa"/>
            <w:noWrap/>
            <w:hideMark/>
          </w:tcPr>
          <w:p w14:paraId="39CFF935" w14:textId="77777777" w:rsidR="005D7566" w:rsidRPr="005D7566" w:rsidRDefault="005D7566" w:rsidP="006B7FA9">
            <w:pPr>
              <w:spacing w:after="0" w:line="259" w:lineRule="auto"/>
              <w:ind w:left="0"/>
            </w:pPr>
            <w:r w:rsidRPr="005D7566">
              <w:t>Sakalauskaite-Juodeikiene, E.,Armaliene, G.,Kizlaitiene, R.,</w:t>
            </w:r>
            <w:r w:rsidR="00EC3043">
              <w:t xml:space="preserve"> et al</w:t>
            </w:r>
            <w:r w:rsidRPr="005D7566">
              <w:t>.  Detection of aquaporin-4 antibodies for patients with CNS inflammatory demyelinating diseases other than typical MS in Lithuania. Brain Behav.  2018. 8:e01129</w:t>
            </w:r>
          </w:p>
        </w:tc>
      </w:tr>
      <w:tr w:rsidR="005D7566" w:rsidRPr="005D7566" w14:paraId="42E3EBAD" w14:textId="77777777" w:rsidTr="00706BE3">
        <w:trPr>
          <w:trHeight w:val="300"/>
        </w:trPr>
        <w:tc>
          <w:tcPr>
            <w:tcW w:w="9781" w:type="dxa"/>
            <w:noWrap/>
            <w:hideMark/>
          </w:tcPr>
          <w:p w14:paraId="3CA9385C" w14:textId="77777777" w:rsidR="005D7566" w:rsidRPr="005D7566" w:rsidRDefault="005D7566" w:rsidP="00F31882">
            <w:pPr>
              <w:spacing w:after="0" w:line="259" w:lineRule="auto"/>
              <w:ind w:left="0"/>
            </w:pPr>
            <w:r w:rsidRPr="005D7566">
              <w:t>Salama, S.,Marouf, H.,Ihab Reda, M.,Mansour, A. R.,E. Lkholy O, Levy.  Clinical and radiological characteristics of neuromyelitis optica spectrum disorder in the North Egyptian Nile Delta. J Neuroimmunol.  2018. 324:22-25</w:t>
            </w:r>
          </w:p>
        </w:tc>
      </w:tr>
      <w:tr w:rsidR="005D7566" w:rsidRPr="005D7566" w14:paraId="581C4238" w14:textId="77777777" w:rsidTr="00706BE3">
        <w:trPr>
          <w:trHeight w:val="300"/>
        </w:trPr>
        <w:tc>
          <w:tcPr>
            <w:tcW w:w="9781" w:type="dxa"/>
            <w:noWrap/>
            <w:hideMark/>
          </w:tcPr>
          <w:p w14:paraId="3CD525E9" w14:textId="77777777" w:rsidR="005D7566" w:rsidRPr="005D7566" w:rsidRDefault="005D7566" w:rsidP="006B7FA9">
            <w:pPr>
              <w:spacing w:after="0" w:line="259" w:lineRule="auto"/>
              <w:ind w:left="0"/>
            </w:pPr>
            <w:r w:rsidRPr="005D7566">
              <w:t>Sanchez Gomar, I.,Diaz Sanchez, M.,Ucles Sanchez, A. J.,</w:t>
            </w:r>
            <w:r w:rsidR="00F328E8">
              <w:t xml:space="preserve"> et al</w:t>
            </w:r>
            <w:r w:rsidRPr="005D7566">
              <w:t>.  An immunoassay that distinguishes real neuromyelitis optica signals from a labeling detected in patients receiving natalizumab. BMC Neurol.  2014. 14:139</w:t>
            </w:r>
          </w:p>
        </w:tc>
      </w:tr>
      <w:tr w:rsidR="005D7566" w:rsidRPr="005D7566" w14:paraId="65BD68A5" w14:textId="77777777" w:rsidTr="00706BE3">
        <w:trPr>
          <w:trHeight w:val="300"/>
        </w:trPr>
        <w:tc>
          <w:tcPr>
            <w:tcW w:w="9781" w:type="dxa"/>
            <w:noWrap/>
            <w:hideMark/>
          </w:tcPr>
          <w:p w14:paraId="4F2551BC" w14:textId="77777777" w:rsidR="005D7566" w:rsidRPr="005D7566" w:rsidRDefault="005D7566" w:rsidP="006B7FA9">
            <w:pPr>
              <w:spacing w:after="0" w:line="259" w:lineRule="auto"/>
              <w:ind w:left="0"/>
            </w:pPr>
            <w:r w:rsidRPr="005D7566">
              <w:t>Sandy, S.,Pittock, S. J.,Seemungal, T. A. R.,Ali, A.  Aquaporin-4 immuneglobulin G testing in 36 consecutive jamaican patients with inflammatory central nervous system demyelinating disease. Neurology International.  2014. 6:40-42</w:t>
            </w:r>
          </w:p>
        </w:tc>
      </w:tr>
      <w:tr w:rsidR="005D7566" w:rsidRPr="005D7566" w14:paraId="5D2FE1A9" w14:textId="77777777" w:rsidTr="00706BE3">
        <w:trPr>
          <w:trHeight w:val="300"/>
        </w:trPr>
        <w:tc>
          <w:tcPr>
            <w:tcW w:w="9781" w:type="dxa"/>
            <w:noWrap/>
            <w:hideMark/>
          </w:tcPr>
          <w:p w14:paraId="2E64697E" w14:textId="77777777" w:rsidR="005D7566" w:rsidRPr="005D7566" w:rsidRDefault="005D7566" w:rsidP="006B7FA9">
            <w:pPr>
              <w:spacing w:after="0" w:line="259" w:lineRule="auto"/>
              <w:ind w:left="0"/>
            </w:pPr>
            <w:r w:rsidRPr="005D7566">
              <w:t>Sato, D. K.,Callegaro, D.,Lana-Peixoto, M. A.,</w:t>
            </w:r>
            <w:r w:rsidR="00F328E8">
              <w:t xml:space="preserve"> et al</w:t>
            </w:r>
            <w:r w:rsidRPr="005D7566">
              <w:t>.  Distinction between MOG antibodypositive and AQP4 antibody-positive NMO spectrum disorders. Neurology.  2014. 82:474-481</w:t>
            </w:r>
          </w:p>
        </w:tc>
      </w:tr>
      <w:tr w:rsidR="005D7566" w:rsidRPr="005D7566" w14:paraId="073C9B9E" w14:textId="77777777" w:rsidTr="00706BE3">
        <w:trPr>
          <w:trHeight w:val="300"/>
        </w:trPr>
        <w:tc>
          <w:tcPr>
            <w:tcW w:w="9781" w:type="dxa"/>
            <w:noWrap/>
            <w:hideMark/>
          </w:tcPr>
          <w:p w14:paraId="10F0F6E6" w14:textId="77777777" w:rsidR="005D7566" w:rsidRPr="005D7566" w:rsidRDefault="005D7566" w:rsidP="006B7FA9">
            <w:pPr>
              <w:spacing w:after="0" w:line="259" w:lineRule="auto"/>
              <w:ind w:left="0"/>
            </w:pPr>
            <w:r w:rsidRPr="005D7566">
              <w:t>Sechi, E.,Shosha, E.,Williams, J. P.,</w:t>
            </w:r>
            <w:r w:rsidR="00F328E8">
              <w:t xml:space="preserve"> et al</w:t>
            </w:r>
            <w:r w:rsidRPr="005D7566">
              <w:t>.  Aquaporin-4 and MOG autoantibody discovery in idiopathic transverse myelitis epidemiology. Neurology.  2019. 93:e414-e420</w:t>
            </w:r>
          </w:p>
        </w:tc>
      </w:tr>
      <w:tr w:rsidR="005D7566" w:rsidRPr="005D7566" w14:paraId="6EB5A109" w14:textId="77777777" w:rsidTr="00706BE3">
        <w:trPr>
          <w:trHeight w:val="300"/>
        </w:trPr>
        <w:tc>
          <w:tcPr>
            <w:tcW w:w="9781" w:type="dxa"/>
            <w:noWrap/>
            <w:hideMark/>
          </w:tcPr>
          <w:p w14:paraId="3B2AA982" w14:textId="77777777" w:rsidR="005D7566" w:rsidRPr="005D7566" w:rsidRDefault="005D7566" w:rsidP="006B7FA9">
            <w:pPr>
              <w:spacing w:after="0" w:line="259" w:lineRule="auto"/>
              <w:ind w:left="0"/>
            </w:pPr>
            <w:r w:rsidRPr="005D7566">
              <w:t>Sepúlveda, M.,Aldea, M.,Escudero, D.,</w:t>
            </w:r>
            <w:r w:rsidR="00F328E8">
              <w:t xml:space="preserve"> et al</w:t>
            </w:r>
            <w:r w:rsidRPr="005D7566">
              <w:t>.  Epidemiology of NMOSD in Catalonia: Influence of the new 2015 criteria in incidence and prevalence estimates. Multiple Sclerosis Journal.  2018. 24:1843-1851</w:t>
            </w:r>
          </w:p>
        </w:tc>
      </w:tr>
      <w:tr w:rsidR="005D7566" w:rsidRPr="005D7566" w14:paraId="34B309BE" w14:textId="77777777" w:rsidTr="00706BE3">
        <w:trPr>
          <w:trHeight w:val="300"/>
        </w:trPr>
        <w:tc>
          <w:tcPr>
            <w:tcW w:w="9781" w:type="dxa"/>
            <w:noWrap/>
            <w:hideMark/>
          </w:tcPr>
          <w:p w14:paraId="48EFDB0B" w14:textId="77777777" w:rsidR="005D7566" w:rsidRPr="005D7566" w:rsidRDefault="005D7566" w:rsidP="006B7FA9">
            <w:pPr>
              <w:spacing w:after="0" w:line="259" w:lineRule="auto"/>
              <w:ind w:left="0"/>
            </w:pPr>
            <w:r w:rsidRPr="005D7566">
              <w:t>Shi, B.,Zhao, M.,Geng, T.,Qiao, L.,Zhao, Y.,Zhao, X.  Effectiveness and safety of immunosuppressive therapy in neuromyelitis optica spectrum disorder during pregnancy. Journal of the Neurological Sciences.  2017. 377:72-76</w:t>
            </w:r>
          </w:p>
        </w:tc>
      </w:tr>
      <w:tr w:rsidR="005D7566" w:rsidRPr="005D7566" w14:paraId="5D551055" w14:textId="77777777" w:rsidTr="00706BE3">
        <w:trPr>
          <w:trHeight w:val="300"/>
        </w:trPr>
        <w:tc>
          <w:tcPr>
            <w:tcW w:w="9781" w:type="dxa"/>
            <w:noWrap/>
            <w:hideMark/>
          </w:tcPr>
          <w:p w14:paraId="53898235" w14:textId="77777777" w:rsidR="005D7566" w:rsidRPr="005D7566" w:rsidRDefault="005D7566" w:rsidP="006B7FA9">
            <w:pPr>
              <w:spacing w:after="0" w:line="259" w:lineRule="auto"/>
              <w:ind w:left="0"/>
            </w:pPr>
            <w:r w:rsidRPr="005D7566">
              <w:t>Siritho, S.,Apiwattanakul, M.,Nakashima, I.,Takahashi, T.,Fujihara, K.,Prayoonwiwat, N.  Features of anti-aquaporin 4 antibody-seronegative Thai patients with neuromyelitis optica spectrum disorders: a comparison with seropositive cases. J Neurol Sci.  2014. 341:17-21</w:t>
            </w:r>
          </w:p>
        </w:tc>
      </w:tr>
      <w:tr w:rsidR="005D7566" w:rsidRPr="005D7566" w14:paraId="44825051" w14:textId="77777777" w:rsidTr="00706BE3">
        <w:trPr>
          <w:trHeight w:val="300"/>
        </w:trPr>
        <w:tc>
          <w:tcPr>
            <w:tcW w:w="9781" w:type="dxa"/>
            <w:noWrap/>
            <w:hideMark/>
          </w:tcPr>
          <w:p w14:paraId="236067FE" w14:textId="77777777" w:rsidR="005D7566" w:rsidRPr="005D7566" w:rsidRDefault="005D7566" w:rsidP="006B7FA9">
            <w:pPr>
              <w:spacing w:after="0" w:line="259" w:lineRule="auto"/>
              <w:ind w:left="0"/>
            </w:pPr>
            <w:r w:rsidRPr="005D7566">
              <w:t>Siritho, S.,Apiwattanakul, M.,Prayoonwiwat, N.  The use of AQP4-antibody testing in diagnosis Thai patients with neuromyelitis optica. Neurology Asia.  2014. 19:375-385</w:t>
            </w:r>
          </w:p>
        </w:tc>
      </w:tr>
      <w:tr w:rsidR="005D7566" w:rsidRPr="005D7566" w14:paraId="590850A4" w14:textId="77777777" w:rsidTr="00706BE3">
        <w:trPr>
          <w:trHeight w:val="300"/>
        </w:trPr>
        <w:tc>
          <w:tcPr>
            <w:tcW w:w="9781" w:type="dxa"/>
            <w:noWrap/>
            <w:hideMark/>
          </w:tcPr>
          <w:p w14:paraId="5650137C" w14:textId="77777777" w:rsidR="005D7566" w:rsidRPr="005D7566" w:rsidRDefault="005D7566" w:rsidP="006B7FA9">
            <w:pPr>
              <w:spacing w:after="0" w:line="259" w:lineRule="auto"/>
              <w:ind w:left="0"/>
            </w:pPr>
            <w:r w:rsidRPr="005D7566">
              <w:t>Siritho, S.,Nakashima, I.,Takahashi, T.,Fujihara, K.,Prayoonwiwat, N.  AQP4 antibody-positive Thai cases: clinical features and diagnostic problems. Neurology.  2011. 77:827-34</w:t>
            </w:r>
          </w:p>
        </w:tc>
      </w:tr>
      <w:tr w:rsidR="005D7566" w:rsidRPr="005D7566" w14:paraId="40E49EC2" w14:textId="77777777" w:rsidTr="00706BE3">
        <w:trPr>
          <w:trHeight w:val="300"/>
        </w:trPr>
        <w:tc>
          <w:tcPr>
            <w:tcW w:w="9781" w:type="dxa"/>
            <w:noWrap/>
            <w:hideMark/>
          </w:tcPr>
          <w:p w14:paraId="2F0A8031" w14:textId="77777777" w:rsidR="005D7566" w:rsidRPr="005D7566" w:rsidRDefault="005D7566" w:rsidP="006B7FA9">
            <w:pPr>
              <w:spacing w:after="0" w:line="259" w:lineRule="auto"/>
              <w:ind w:left="0"/>
            </w:pPr>
            <w:r w:rsidRPr="005D7566">
              <w:t>Siritho, S.,Sato, D. K.,Kaneko, K.,Fujihara, K.,Prayoonwiwat, N.  The clinical spectrum associated with myelin oligodendrocyte glycoprotein antibodies (anti-MOG-Ab) in Thai patients. Mult Scler.  2016. 22:964-8</w:t>
            </w:r>
          </w:p>
        </w:tc>
      </w:tr>
      <w:tr w:rsidR="005D7566" w:rsidRPr="005D7566" w14:paraId="5095DE31" w14:textId="77777777" w:rsidTr="00706BE3">
        <w:trPr>
          <w:trHeight w:val="300"/>
        </w:trPr>
        <w:tc>
          <w:tcPr>
            <w:tcW w:w="9781" w:type="dxa"/>
            <w:noWrap/>
            <w:hideMark/>
          </w:tcPr>
          <w:p w14:paraId="1DAB52D8" w14:textId="77777777" w:rsidR="005D7566" w:rsidRPr="005D7566" w:rsidRDefault="005D7566" w:rsidP="006B7FA9">
            <w:pPr>
              <w:spacing w:after="0" w:line="259" w:lineRule="auto"/>
              <w:ind w:left="0"/>
            </w:pPr>
            <w:r w:rsidRPr="005D7566">
              <w:t>Siuko, M.,Tienari, P. J.,Saastamoinen, K. P.,</w:t>
            </w:r>
            <w:r w:rsidR="00F328E8">
              <w:t xml:space="preserve"> et al</w:t>
            </w:r>
            <w:r w:rsidRPr="005D7566">
              <w:t>.  Neuromyelitis optica and aquaporin-4 (AQP4) autoantibodies in consecutive optic neuritis patients in Southern Finland. Acta Ophthalmol.  2014. 92:387-91</w:t>
            </w:r>
          </w:p>
        </w:tc>
      </w:tr>
      <w:tr w:rsidR="005D7566" w:rsidRPr="005D7566" w14:paraId="7EAE5099" w14:textId="77777777" w:rsidTr="00706BE3">
        <w:trPr>
          <w:trHeight w:val="300"/>
        </w:trPr>
        <w:tc>
          <w:tcPr>
            <w:tcW w:w="9781" w:type="dxa"/>
            <w:noWrap/>
            <w:hideMark/>
          </w:tcPr>
          <w:p w14:paraId="2079E0B5" w14:textId="77777777" w:rsidR="005D7566" w:rsidRPr="005D7566" w:rsidRDefault="005D7566" w:rsidP="006B7FA9">
            <w:pPr>
              <w:spacing w:after="0" w:line="259" w:lineRule="auto"/>
              <w:ind w:left="0"/>
            </w:pPr>
            <w:r w:rsidRPr="005D7566">
              <w:t>Soelberg, K.,Jarius, S.,Skejoe, H.,</w:t>
            </w:r>
            <w:r w:rsidR="00F328E8">
              <w:t xml:space="preserve"> et al</w:t>
            </w:r>
            <w:r w:rsidRPr="005D7566">
              <w:t>.  A population-based prospective study of optic neuritis. Mult Scler.  2017. 23:1893-1901</w:t>
            </w:r>
          </w:p>
        </w:tc>
      </w:tr>
      <w:tr w:rsidR="005D7566" w:rsidRPr="005D7566" w14:paraId="24447A7D" w14:textId="77777777" w:rsidTr="00706BE3">
        <w:trPr>
          <w:trHeight w:val="300"/>
        </w:trPr>
        <w:tc>
          <w:tcPr>
            <w:tcW w:w="9781" w:type="dxa"/>
            <w:noWrap/>
            <w:hideMark/>
          </w:tcPr>
          <w:p w14:paraId="0056FD6A" w14:textId="77777777" w:rsidR="005D7566" w:rsidRPr="005D7566" w:rsidRDefault="005D7566" w:rsidP="006B7FA9">
            <w:pPr>
              <w:spacing w:after="0" w:line="259" w:lineRule="auto"/>
              <w:ind w:left="0"/>
            </w:pPr>
            <w:r w:rsidRPr="005D7566">
              <w:t>Sotirchos, E. S.,Filippatou, A.,Fitzgerald, K. C.,</w:t>
            </w:r>
            <w:r w:rsidR="00F328E8">
              <w:t xml:space="preserve"> et al</w:t>
            </w:r>
            <w:r w:rsidRPr="005D7566">
              <w:t>.  Aquaporin-4 IgG seropositivity is associated with worse visual outcomes after optic neuritis than MOG-IgG seropositivity and multiple sclerosis, independent of macular ganglion cell layer thinning. Multiple Sclerosis Journal.  2019. #volume#:#pages#</w:t>
            </w:r>
          </w:p>
        </w:tc>
      </w:tr>
      <w:tr w:rsidR="005D7566" w:rsidRPr="005D7566" w14:paraId="32DF89AE" w14:textId="77777777" w:rsidTr="00706BE3">
        <w:trPr>
          <w:trHeight w:val="300"/>
        </w:trPr>
        <w:tc>
          <w:tcPr>
            <w:tcW w:w="9781" w:type="dxa"/>
            <w:noWrap/>
            <w:hideMark/>
          </w:tcPr>
          <w:p w14:paraId="721BE2FA" w14:textId="77777777" w:rsidR="005D7566" w:rsidRPr="005D7566" w:rsidRDefault="005D7566" w:rsidP="006B7FA9">
            <w:pPr>
              <w:spacing w:after="0" w:line="259" w:lineRule="auto"/>
              <w:ind w:left="0"/>
            </w:pPr>
            <w:r w:rsidRPr="005D7566">
              <w:t>Sugimoto, K.,Mori, M.,Liu, J.,</w:t>
            </w:r>
            <w:r w:rsidR="00F328E8">
              <w:t xml:space="preserve"> et al</w:t>
            </w:r>
            <w:r w:rsidRPr="005D7566">
              <w:t>.  The accuracy of flow cytometric cell-based assay to detect anti-myelin oligodendrocyte glycoprotein (MOG) antibodies determining the optimal method for positivity judgement. Journal of Neuroimmunology.  2019. 336:#pages#</w:t>
            </w:r>
          </w:p>
        </w:tc>
      </w:tr>
      <w:tr w:rsidR="005D7566" w:rsidRPr="005D7566" w14:paraId="6FF72F2B" w14:textId="77777777" w:rsidTr="00706BE3">
        <w:trPr>
          <w:trHeight w:val="300"/>
        </w:trPr>
        <w:tc>
          <w:tcPr>
            <w:tcW w:w="9781" w:type="dxa"/>
            <w:noWrap/>
            <w:hideMark/>
          </w:tcPr>
          <w:p w14:paraId="44B1B19A" w14:textId="77777777" w:rsidR="005D7566" w:rsidRPr="005D7566" w:rsidRDefault="005D7566" w:rsidP="006B7FA9">
            <w:pPr>
              <w:spacing w:after="0" w:line="259" w:lineRule="auto"/>
              <w:ind w:left="0"/>
            </w:pPr>
            <w:r w:rsidRPr="005D7566">
              <w:lastRenderedPageBreak/>
              <w:t>Sun, H.,Sun, X.,Li, J.,</w:t>
            </w:r>
            <w:r w:rsidR="00F328E8">
              <w:t xml:space="preserve"> et al</w:t>
            </w:r>
            <w:r w:rsidRPr="005D7566">
              <w:t>.  Gender differences among Chinese patients with neuromyelitis optica spectrum disorders. Mult Scler Relat Disord.  2017. 17:5-8</w:t>
            </w:r>
          </w:p>
        </w:tc>
      </w:tr>
      <w:tr w:rsidR="005D7566" w:rsidRPr="005D7566" w14:paraId="49ACFCB6" w14:textId="77777777" w:rsidTr="00706BE3">
        <w:trPr>
          <w:trHeight w:val="300"/>
        </w:trPr>
        <w:tc>
          <w:tcPr>
            <w:tcW w:w="9781" w:type="dxa"/>
            <w:noWrap/>
            <w:hideMark/>
          </w:tcPr>
          <w:p w14:paraId="78D976BC" w14:textId="77777777" w:rsidR="005D7566" w:rsidRPr="005D7566" w:rsidRDefault="005D7566" w:rsidP="006B7FA9">
            <w:pPr>
              <w:spacing w:after="0" w:line="259" w:lineRule="auto"/>
              <w:ind w:left="0"/>
            </w:pPr>
            <w:r w:rsidRPr="005D7566">
              <w:t>Takahashi, T.,Fujihara, K.,Nakashima, I.,</w:t>
            </w:r>
            <w:r w:rsidR="00F328E8">
              <w:t xml:space="preserve"> et al</w:t>
            </w:r>
            <w:r w:rsidRPr="005D7566">
              <w:t>.  Anti-aquaporin-4 antibody is involved in the pathogenesis of NMO: a study on antibody titre. Brain.  2007. 130:1235-43</w:t>
            </w:r>
          </w:p>
        </w:tc>
      </w:tr>
      <w:tr w:rsidR="005D7566" w:rsidRPr="005D7566" w14:paraId="02590F5E" w14:textId="77777777" w:rsidTr="00706BE3">
        <w:trPr>
          <w:trHeight w:val="300"/>
        </w:trPr>
        <w:tc>
          <w:tcPr>
            <w:tcW w:w="9781" w:type="dxa"/>
            <w:noWrap/>
            <w:hideMark/>
          </w:tcPr>
          <w:p w14:paraId="0C67BA0C" w14:textId="77777777" w:rsidR="005D7566" w:rsidRPr="005D7566" w:rsidRDefault="005D7566" w:rsidP="006B7FA9">
            <w:pPr>
              <w:spacing w:after="0" w:line="259" w:lineRule="auto"/>
              <w:ind w:left="0"/>
            </w:pPr>
            <w:r w:rsidRPr="005D7566">
              <w:t>Tanaka, M.,Tanaka, K.,Komori, M.  Interferon-β1b treatment in neuromyelitis optica. European Neurology.  2009. 62:167-170</w:t>
            </w:r>
          </w:p>
        </w:tc>
      </w:tr>
      <w:tr w:rsidR="005D7566" w:rsidRPr="005D7566" w14:paraId="3584E582" w14:textId="77777777" w:rsidTr="00706BE3">
        <w:trPr>
          <w:trHeight w:val="300"/>
        </w:trPr>
        <w:tc>
          <w:tcPr>
            <w:tcW w:w="9781" w:type="dxa"/>
            <w:noWrap/>
            <w:hideMark/>
          </w:tcPr>
          <w:p w14:paraId="2DAF34AF" w14:textId="77777777" w:rsidR="005D7566" w:rsidRPr="005D7566" w:rsidRDefault="005D7566" w:rsidP="006B7FA9">
            <w:pPr>
              <w:spacing w:after="0" w:line="259" w:lineRule="auto"/>
              <w:ind w:left="0"/>
            </w:pPr>
            <w:r w:rsidRPr="005D7566">
              <w:t>Tuller, F.,Holzer, H.,Schanda, K.,</w:t>
            </w:r>
            <w:r w:rsidR="00F328E8">
              <w:t xml:space="preserve"> et al</w:t>
            </w:r>
            <w:r w:rsidRPr="005D7566">
              <w:t>.  Characterization of the binding pattern of human aquaporin-4 autoantibodies in patients with neuromyelitis optica spectrum disorders. Journal of Neuroinflammation.  2016. 13:#pages#</w:t>
            </w:r>
          </w:p>
        </w:tc>
      </w:tr>
      <w:tr w:rsidR="005D7566" w:rsidRPr="005D7566" w14:paraId="3FAFAD87" w14:textId="77777777" w:rsidTr="00706BE3">
        <w:trPr>
          <w:trHeight w:val="300"/>
        </w:trPr>
        <w:tc>
          <w:tcPr>
            <w:tcW w:w="9781" w:type="dxa"/>
            <w:noWrap/>
            <w:hideMark/>
          </w:tcPr>
          <w:p w14:paraId="46658517" w14:textId="77777777" w:rsidR="005D7566" w:rsidRPr="005D7566" w:rsidRDefault="005D7566" w:rsidP="006B7FA9">
            <w:pPr>
              <w:spacing w:after="0" w:line="259" w:lineRule="auto"/>
              <w:ind w:left="0"/>
            </w:pPr>
            <w:r w:rsidRPr="005D7566">
              <w:t>Tuzun, E.,Tzartos, J.,Ekizoglu, E.,</w:t>
            </w:r>
            <w:r w:rsidR="00F328E8">
              <w:t xml:space="preserve"> et al</w:t>
            </w:r>
            <w:r w:rsidRPr="005D7566">
              <w:t>.  Aquaporin-1 antibody in neuromyelitis optical patients. Eur Neurol.  2014. 72:271-2</w:t>
            </w:r>
          </w:p>
        </w:tc>
      </w:tr>
      <w:tr w:rsidR="005D7566" w:rsidRPr="005D7566" w14:paraId="28090F4C" w14:textId="77777777" w:rsidTr="00706BE3">
        <w:trPr>
          <w:trHeight w:val="300"/>
        </w:trPr>
        <w:tc>
          <w:tcPr>
            <w:tcW w:w="9781" w:type="dxa"/>
            <w:noWrap/>
            <w:hideMark/>
          </w:tcPr>
          <w:p w14:paraId="51A0FCA4" w14:textId="77777777" w:rsidR="005D7566" w:rsidRPr="005D7566" w:rsidRDefault="005D7566" w:rsidP="006B7FA9">
            <w:pPr>
              <w:spacing w:after="0" w:line="259" w:lineRule="auto"/>
              <w:ind w:left="0"/>
            </w:pPr>
            <w:r w:rsidRPr="005D7566">
              <w:t>Unni, N.,Barhate, K.,Ahmad, N.,Ganeshan, M.,Singhal, B.  Neuromyelitis optica-IgG testing in an Indian cohort with neuromyelitis optica and related demyelinating disorders: Our experience. Annals of Indian Academy of Neurology.  2013. 16:376-379</w:t>
            </w:r>
          </w:p>
        </w:tc>
      </w:tr>
      <w:tr w:rsidR="005D7566" w:rsidRPr="005D7566" w14:paraId="5B2A28F5" w14:textId="77777777" w:rsidTr="00706BE3">
        <w:trPr>
          <w:trHeight w:val="300"/>
        </w:trPr>
        <w:tc>
          <w:tcPr>
            <w:tcW w:w="9781" w:type="dxa"/>
            <w:noWrap/>
            <w:hideMark/>
          </w:tcPr>
          <w:p w14:paraId="7E9CA9C7" w14:textId="77777777" w:rsidR="005D7566" w:rsidRPr="005D7566" w:rsidRDefault="005D7566" w:rsidP="006B7FA9">
            <w:pPr>
              <w:spacing w:after="0" w:line="259" w:lineRule="auto"/>
              <w:ind w:left="0"/>
            </w:pPr>
            <w:r w:rsidRPr="005D7566">
              <w:t>Uzawa, A.,Mori, M.,Muto, M.,Masuda, S.,Kuwabara, S.  When is neuromyelitis optica diagnosed after disease onset?. J Neurol.  2012. 259:1600-5</w:t>
            </w:r>
          </w:p>
        </w:tc>
      </w:tr>
      <w:tr w:rsidR="005D7566" w:rsidRPr="005D7566" w14:paraId="665A83AB" w14:textId="77777777" w:rsidTr="00706BE3">
        <w:trPr>
          <w:trHeight w:val="300"/>
        </w:trPr>
        <w:tc>
          <w:tcPr>
            <w:tcW w:w="9781" w:type="dxa"/>
            <w:noWrap/>
            <w:hideMark/>
          </w:tcPr>
          <w:p w14:paraId="7B722DF8" w14:textId="77777777" w:rsidR="005D7566" w:rsidRPr="005D7566" w:rsidRDefault="005D7566" w:rsidP="00F31882">
            <w:pPr>
              <w:spacing w:after="0" w:line="259" w:lineRule="auto"/>
              <w:ind w:left="0"/>
            </w:pPr>
            <w:r w:rsidRPr="005D7566">
              <w:t>Vanikieti, K.,Poonyathalang, A.,Jindahra, P.,Bouzika, P.,Rizzo, J. F.,rd, Cestari.  Clinical characteristics and long-term visual outcome of optic neuritis in neuromyelitis optica spectrum disorder: A comparison between Thai and American-Caucasian cohorts. Mult Scler Relat Disord.  2017. 17:87-91</w:t>
            </w:r>
          </w:p>
        </w:tc>
      </w:tr>
      <w:tr w:rsidR="005D7566" w:rsidRPr="005D7566" w14:paraId="1EE8D100" w14:textId="77777777" w:rsidTr="00706BE3">
        <w:trPr>
          <w:trHeight w:val="300"/>
        </w:trPr>
        <w:tc>
          <w:tcPr>
            <w:tcW w:w="9781" w:type="dxa"/>
            <w:noWrap/>
            <w:hideMark/>
          </w:tcPr>
          <w:p w14:paraId="397A2BA3" w14:textId="77777777" w:rsidR="005D7566" w:rsidRPr="005D7566" w:rsidRDefault="005D7566" w:rsidP="006B7FA9">
            <w:pPr>
              <w:spacing w:after="0" w:line="259" w:lineRule="auto"/>
              <w:ind w:left="0"/>
            </w:pPr>
            <w:r w:rsidRPr="005D7566">
              <w:t>Viswanathan, S.,Arip, M.,Mustafa, N.,</w:t>
            </w:r>
            <w:r w:rsidR="00F328E8">
              <w:t xml:space="preserve"> et al</w:t>
            </w:r>
            <w:r w:rsidRPr="005D7566">
              <w:t>.  The Frequency of Anti-Aquaporin-4 Ig G Antibody in Neuromyelitis Optica and Its Spectrum Disorders at a Single Tertiary Referral Center in Malaysia. Multiple Scle</w:t>
            </w:r>
            <w:r w:rsidR="00F328E8">
              <w:t>rosis International.  2014.</w:t>
            </w:r>
          </w:p>
        </w:tc>
      </w:tr>
      <w:tr w:rsidR="005D7566" w:rsidRPr="005D7566" w14:paraId="6BB14896" w14:textId="77777777" w:rsidTr="00706BE3">
        <w:trPr>
          <w:trHeight w:val="300"/>
        </w:trPr>
        <w:tc>
          <w:tcPr>
            <w:tcW w:w="9781" w:type="dxa"/>
            <w:noWrap/>
            <w:hideMark/>
          </w:tcPr>
          <w:p w14:paraId="64A6BD19" w14:textId="77777777" w:rsidR="005D7566" w:rsidRPr="005D7566" w:rsidRDefault="005D7566" w:rsidP="006B7FA9">
            <w:pPr>
              <w:spacing w:after="0" w:line="259" w:lineRule="auto"/>
              <w:ind w:left="0"/>
            </w:pPr>
            <w:r w:rsidRPr="005D7566">
              <w:t>Viswanathan, S.,Rose, N.,Arip, M.,</w:t>
            </w:r>
            <w:r w:rsidR="00F328E8">
              <w:t xml:space="preserve"> et al</w:t>
            </w:r>
            <w:r w:rsidRPr="005D7566">
              <w:t>.  Multiple sclerosis and neuromyelitis optica spectrum disorders in Malaysia: A comparison in different ethnic groups. Mult Scler Relat Disord.  2018. 25:300-308</w:t>
            </w:r>
          </w:p>
        </w:tc>
      </w:tr>
      <w:tr w:rsidR="005D7566" w:rsidRPr="005D7566" w14:paraId="633B5B83" w14:textId="77777777" w:rsidTr="00706BE3">
        <w:trPr>
          <w:trHeight w:val="300"/>
        </w:trPr>
        <w:tc>
          <w:tcPr>
            <w:tcW w:w="9781" w:type="dxa"/>
            <w:noWrap/>
            <w:hideMark/>
          </w:tcPr>
          <w:p w14:paraId="0B3AA0E6" w14:textId="77777777" w:rsidR="005D7566" w:rsidRPr="005D7566" w:rsidRDefault="005D7566" w:rsidP="006B7FA9">
            <w:pPr>
              <w:spacing w:after="0" w:line="259" w:lineRule="auto"/>
              <w:ind w:left="0"/>
            </w:pPr>
            <w:r w:rsidRPr="005D7566">
              <w:t>Viswanathan, S.,Wong, A. H.,Quek, A. M.,Yuki, N.  Intravenous immunoglobulin may reduce relapse frequency in neuromyelitis optica. J Neuroimmunol.  2015. 282:92-6</w:t>
            </w:r>
          </w:p>
        </w:tc>
      </w:tr>
      <w:tr w:rsidR="005D7566" w:rsidRPr="005D7566" w14:paraId="6D425E19" w14:textId="77777777" w:rsidTr="00706BE3">
        <w:trPr>
          <w:trHeight w:val="300"/>
        </w:trPr>
        <w:tc>
          <w:tcPr>
            <w:tcW w:w="9781" w:type="dxa"/>
            <w:noWrap/>
            <w:hideMark/>
          </w:tcPr>
          <w:p w14:paraId="7732A720" w14:textId="77777777" w:rsidR="005D7566" w:rsidRPr="005D7566" w:rsidRDefault="005D7566" w:rsidP="006B7FA9">
            <w:pPr>
              <w:spacing w:after="0" w:line="259" w:lineRule="auto"/>
              <w:ind w:left="0"/>
            </w:pPr>
            <w:r w:rsidRPr="005D7566">
              <w:t>Wang, J.,Li, X.,Zhang, D. Q.,Yang, C. S.,</w:t>
            </w:r>
            <w:r w:rsidR="00F328E8">
              <w:t xml:space="preserve"> et al</w:t>
            </w:r>
            <w:r w:rsidRPr="005D7566">
              <w:t>.  Quantitative analysis of aquaporin-4 antibody in longitudinally extensive transverse myelitis. J Neuroimmunol.  2015. 278:26-9</w:t>
            </w:r>
          </w:p>
        </w:tc>
      </w:tr>
      <w:tr w:rsidR="005D7566" w:rsidRPr="005D7566" w14:paraId="5628BD5A" w14:textId="77777777" w:rsidTr="00706BE3">
        <w:trPr>
          <w:trHeight w:val="300"/>
        </w:trPr>
        <w:tc>
          <w:tcPr>
            <w:tcW w:w="9781" w:type="dxa"/>
            <w:noWrap/>
            <w:hideMark/>
          </w:tcPr>
          <w:p w14:paraId="2620DF71" w14:textId="77777777" w:rsidR="005D7566" w:rsidRPr="005D7566" w:rsidRDefault="005D7566" w:rsidP="006B7FA9">
            <w:pPr>
              <w:spacing w:after="0" w:line="259" w:lineRule="auto"/>
              <w:ind w:left="0"/>
            </w:pPr>
            <w:r w:rsidRPr="005D7566">
              <w:t>Wang, K. C.,Lee, C. L.,Chen, S. Y.,Tsai, C. P.  The prevalence of long spinal cord lesions and antiaquaporin 4 antibodies in neuromyelitis optica patients in taiwan. Multiple Sclerosis.  2012. 18:526</w:t>
            </w:r>
          </w:p>
        </w:tc>
      </w:tr>
      <w:tr w:rsidR="005D7566" w:rsidRPr="005D7566" w14:paraId="1C23B81A" w14:textId="77777777" w:rsidTr="00706BE3">
        <w:trPr>
          <w:trHeight w:val="300"/>
        </w:trPr>
        <w:tc>
          <w:tcPr>
            <w:tcW w:w="9781" w:type="dxa"/>
            <w:noWrap/>
            <w:hideMark/>
          </w:tcPr>
          <w:p w14:paraId="73F51496" w14:textId="77777777" w:rsidR="005D7566" w:rsidRPr="005D7566" w:rsidRDefault="005D7566" w:rsidP="006B7FA9">
            <w:pPr>
              <w:spacing w:after="0" w:line="259" w:lineRule="auto"/>
              <w:ind w:left="0"/>
            </w:pPr>
            <w:r w:rsidRPr="005D7566">
              <w:t>Wang, K. C.,Lin, K. H.,Lee, T. C.,</w:t>
            </w:r>
            <w:r w:rsidR="00E038CA">
              <w:t xml:space="preserve"> et al</w:t>
            </w:r>
            <w:r w:rsidRPr="005D7566">
              <w:t>.  Poor responses to interferon-beta treatment in patients with neuromyelitis optica and multiple sclerosis with long spinal cord lesions. PLoS One.  2014. 9:e98192</w:t>
            </w:r>
          </w:p>
        </w:tc>
      </w:tr>
      <w:tr w:rsidR="005D7566" w:rsidRPr="005D7566" w14:paraId="2A4B2A20" w14:textId="77777777" w:rsidTr="00706BE3">
        <w:trPr>
          <w:trHeight w:val="300"/>
        </w:trPr>
        <w:tc>
          <w:tcPr>
            <w:tcW w:w="9781" w:type="dxa"/>
            <w:noWrap/>
            <w:hideMark/>
          </w:tcPr>
          <w:p w14:paraId="215A8FCB" w14:textId="77777777" w:rsidR="005D7566" w:rsidRPr="005D7566" w:rsidRDefault="005D7566" w:rsidP="006B7FA9">
            <w:pPr>
              <w:spacing w:after="0" w:line="259" w:lineRule="auto"/>
              <w:ind w:left="0"/>
            </w:pPr>
            <w:r w:rsidRPr="005D7566">
              <w:t>Wang, K. C.,Tsai, C. P.,Lee, C. L.,Chen, S. Y.,Chen, S. J.  The prevalence of long spinal cord lesions and anti-aquaporin 4 antibodies in neuromyelitis optica patients in Taiwan. Eur Neurol.  2011. 65:99-104</w:t>
            </w:r>
          </w:p>
        </w:tc>
      </w:tr>
      <w:tr w:rsidR="005D7566" w:rsidRPr="005D7566" w14:paraId="167EE3C1" w14:textId="77777777" w:rsidTr="00706BE3">
        <w:trPr>
          <w:trHeight w:val="300"/>
        </w:trPr>
        <w:tc>
          <w:tcPr>
            <w:tcW w:w="9781" w:type="dxa"/>
            <w:noWrap/>
            <w:hideMark/>
          </w:tcPr>
          <w:p w14:paraId="209BDD20" w14:textId="77777777" w:rsidR="005D7566" w:rsidRPr="005D7566" w:rsidRDefault="005D7566" w:rsidP="006B7FA9">
            <w:pPr>
              <w:spacing w:after="0" w:line="259" w:lineRule="auto"/>
              <w:ind w:left="0"/>
            </w:pPr>
            <w:r w:rsidRPr="005D7566">
              <w:t>Wang, K. C.,Wang, S. J.,Lee, C. L.,Chen, S. Y.,Tsai, C. P.  The rescue effect of plasma exchange for neuromyelitis optica. J Clin Neurosci.  2011. 18:43-6</w:t>
            </w:r>
          </w:p>
        </w:tc>
      </w:tr>
      <w:tr w:rsidR="005D7566" w:rsidRPr="005D7566" w14:paraId="59FF7CF1" w14:textId="77777777" w:rsidTr="00706BE3">
        <w:trPr>
          <w:trHeight w:val="300"/>
        </w:trPr>
        <w:tc>
          <w:tcPr>
            <w:tcW w:w="9781" w:type="dxa"/>
            <w:noWrap/>
            <w:hideMark/>
          </w:tcPr>
          <w:p w14:paraId="1CF40F66" w14:textId="77777777" w:rsidR="005D7566" w:rsidRPr="005D7566" w:rsidRDefault="005D7566" w:rsidP="006B7FA9">
            <w:pPr>
              <w:spacing w:after="0" w:line="259" w:lineRule="auto"/>
              <w:ind w:left="0"/>
            </w:pPr>
            <w:r w:rsidRPr="005D7566">
              <w:t>Wang, X.,Chen, X.,Zhu, C.,</w:t>
            </w:r>
            <w:r w:rsidR="00E038CA">
              <w:t xml:space="preserve"> et al</w:t>
            </w:r>
            <w:r w:rsidRPr="005D7566">
              <w:t>.  A multi-facet comparative analysis of neuromyelitis optica spectrum disorders in patients with seropositive and seronegative AQP4-IgG. Medicine (Baltimore).  2018. 97:e13100</w:t>
            </w:r>
          </w:p>
        </w:tc>
      </w:tr>
      <w:tr w:rsidR="005D7566" w:rsidRPr="005D7566" w14:paraId="0E6E9116" w14:textId="77777777" w:rsidTr="00706BE3">
        <w:trPr>
          <w:trHeight w:val="300"/>
        </w:trPr>
        <w:tc>
          <w:tcPr>
            <w:tcW w:w="9781" w:type="dxa"/>
            <w:noWrap/>
            <w:hideMark/>
          </w:tcPr>
          <w:p w14:paraId="39690EEE" w14:textId="77777777" w:rsidR="005D7566" w:rsidRPr="005D7566" w:rsidRDefault="005D7566" w:rsidP="006B7FA9">
            <w:pPr>
              <w:spacing w:after="0" w:line="259" w:lineRule="auto"/>
              <w:ind w:left="0"/>
            </w:pPr>
            <w:r w:rsidRPr="005D7566">
              <w:t>Watanabe, S.,Nakashima, I.,Misu, T.,</w:t>
            </w:r>
            <w:r w:rsidR="00E038CA">
              <w:t xml:space="preserve"> et al</w:t>
            </w:r>
            <w:r w:rsidRPr="005D7566">
              <w:t>.  Therapeutic efficacy of plasma exchange in NMO-IgG-positive patients with neuromyelitis optica. Mult Scler.  2007. 13:128-32</w:t>
            </w:r>
          </w:p>
        </w:tc>
      </w:tr>
      <w:tr w:rsidR="005D7566" w:rsidRPr="005D7566" w14:paraId="7734ABC7" w14:textId="77777777" w:rsidTr="00706BE3">
        <w:trPr>
          <w:trHeight w:val="300"/>
        </w:trPr>
        <w:tc>
          <w:tcPr>
            <w:tcW w:w="9781" w:type="dxa"/>
            <w:noWrap/>
            <w:hideMark/>
          </w:tcPr>
          <w:p w14:paraId="42C0BD8D" w14:textId="77777777" w:rsidR="005D7566" w:rsidRPr="005D7566" w:rsidRDefault="005D7566" w:rsidP="006B7FA9">
            <w:pPr>
              <w:spacing w:after="0" w:line="259" w:lineRule="auto"/>
              <w:ind w:left="0"/>
            </w:pPr>
            <w:r w:rsidRPr="005D7566">
              <w:t>Waters, P. J.,Komorowski, L.,Woodhall, M.,</w:t>
            </w:r>
            <w:r w:rsidR="00E038CA">
              <w:t xml:space="preserve"> et al</w:t>
            </w:r>
            <w:r w:rsidRPr="005D7566">
              <w:t>.  A multicenter comparison of MOG-IgG cell-based assays. Neurology.  2019. 92:E1250-E1255</w:t>
            </w:r>
          </w:p>
        </w:tc>
      </w:tr>
      <w:tr w:rsidR="005D7566" w:rsidRPr="005D7566" w14:paraId="618DC83F" w14:textId="77777777" w:rsidTr="00706BE3">
        <w:trPr>
          <w:trHeight w:val="300"/>
        </w:trPr>
        <w:tc>
          <w:tcPr>
            <w:tcW w:w="9781" w:type="dxa"/>
            <w:noWrap/>
            <w:hideMark/>
          </w:tcPr>
          <w:p w14:paraId="3AAEDE2A" w14:textId="77777777" w:rsidR="005D7566" w:rsidRPr="005D7566" w:rsidRDefault="005D7566" w:rsidP="006B7FA9">
            <w:pPr>
              <w:spacing w:after="0" w:line="259" w:lineRule="auto"/>
              <w:ind w:left="0"/>
            </w:pPr>
            <w:r w:rsidRPr="005D7566">
              <w:t>Waters, P. J.,McKeon, A.,Leite, M. I.,</w:t>
            </w:r>
            <w:r w:rsidR="00E038CA">
              <w:t xml:space="preserve"> et al</w:t>
            </w:r>
            <w:r w:rsidRPr="005D7566">
              <w:t>.  Serologic diagnosis of NMO: a multicenter comparison of aquaporin-4-IgG assays. Neurology.  2012. 78:665-71; discussion 669</w:t>
            </w:r>
          </w:p>
        </w:tc>
      </w:tr>
      <w:tr w:rsidR="005D7566" w:rsidRPr="005D7566" w14:paraId="434DC0A8" w14:textId="77777777" w:rsidTr="00706BE3">
        <w:trPr>
          <w:trHeight w:val="300"/>
        </w:trPr>
        <w:tc>
          <w:tcPr>
            <w:tcW w:w="9781" w:type="dxa"/>
            <w:noWrap/>
            <w:hideMark/>
          </w:tcPr>
          <w:p w14:paraId="174814AC" w14:textId="77777777" w:rsidR="005D7566" w:rsidRPr="005D7566" w:rsidRDefault="005D7566" w:rsidP="006B7FA9">
            <w:pPr>
              <w:spacing w:after="0" w:line="259" w:lineRule="auto"/>
              <w:ind w:left="0"/>
            </w:pPr>
            <w:r w:rsidRPr="005D7566">
              <w:t>Waters, P.,Reindl, M.,Saiz, A.,</w:t>
            </w:r>
            <w:r w:rsidR="00E038CA">
              <w:t xml:space="preserve"> et al</w:t>
            </w:r>
            <w:r w:rsidRPr="005D7566">
              <w:t>.  Multicentre comparison of a diagnostic assay: aquaporin-4 antibodies in neuromyelitis optica. J Neurol Neurosurg Psychiatry.  2016. 87:1005-15</w:t>
            </w:r>
          </w:p>
        </w:tc>
      </w:tr>
      <w:tr w:rsidR="005D7566" w:rsidRPr="005D7566" w14:paraId="1D8E3517" w14:textId="77777777" w:rsidTr="00706BE3">
        <w:trPr>
          <w:trHeight w:val="300"/>
        </w:trPr>
        <w:tc>
          <w:tcPr>
            <w:tcW w:w="9781" w:type="dxa"/>
            <w:noWrap/>
            <w:hideMark/>
          </w:tcPr>
          <w:p w14:paraId="18E4D363" w14:textId="77777777" w:rsidR="005D7566" w:rsidRPr="005D7566" w:rsidRDefault="005D7566" w:rsidP="006B7FA9">
            <w:pPr>
              <w:spacing w:after="0" w:line="259" w:lineRule="auto"/>
              <w:ind w:left="0"/>
            </w:pPr>
            <w:r w:rsidRPr="005D7566">
              <w:t>Waters, P.,Vincent, A.  Detection of anti-aquaporin-4 antibodies in neuromyelitis optica: current status of the assays. Int MS J.  2008. 15:99-105</w:t>
            </w:r>
          </w:p>
        </w:tc>
      </w:tr>
      <w:tr w:rsidR="005D7566" w:rsidRPr="005D7566" w14:paraId="1298A7D2" w14:textId="77777777" w:rsidTr="00706BE3">
        <w:trPr>
          <w:trHeight w:val="300"/>
        </w:trPr>
        <w:tc>
          <w:tcPr>
            <w:tcW w:w="9781" w:type="dxa"/>
            <w:noWrap/>
            <w:hideMark/>
          </w:tcPr>
          <w:p w14:paraId="739768B4" w14:textId="77777777" w:rsidR="005D7566" w:rsidRPr="005D7566" w:rsidRDefault="005D7566" w:rsidP="006B7FA9">
            <w:pPr>
              <w:spacing w:after="0" w:line="259" w:lineRule="auto"/>
              <w:ind w:left="0"/>
            </w:pPr>
            <w:r w:rsidRPr="005D7566">
              <w:t>Weinstock-Guttman, B.,Miller, C.,Yeh, E.,</w:t>
            </w:r>
            <w:r w:rsidR="00E038CA">
              <w:t xml:space="preserve"> et al</w:t>
            </w:r>
            <w:r w:rsidRPr="005D7566">
              <w:t>.  Neuromyelitis optica immunoglobulins as a marker of disease activity and response to therapy in patients with neuromyelitis optica. Mult Scler.  2008. 14:1061-7</w:t>
            </w:r>
          </w:p>
        </w:tc>
      </w:tr>
      <w:tr w:rsidR="005D7566" w:rsidRPr="005D7566" w14:paraId="707E5AB3" w14:textId="77777777" w:rsidTr="00706BE3">
        <w:trPr>
          <w:trHeight w:val="300"/>
        </w:trPr>
        <w:tc>
          <w:tcPr>
            <w:tcW w:w="9781" w:type="dxa"/>
            <w:noWrap/>
            <w:hideMark/>
          </w:tcPr>
          <w:p w14:paraId="056AE275" w14:textId="77777777" w:rsidR="005D7566" w:rsidRPr="005D7566" w:rsidRDefault="005D7566" w:rsidP="006B7FA9">
            <w:pPr>
              <w:spacing w:after="0" w:line="259" w:lineRule="auto"/>
              <w:ind w:left="0"/>
            </w:pPr>
            <w:r w:rsidRPr="005D7566">
              <w:t>Wu, L.,Huang, D.,Yang, Y.,Wu, W.  Combined screening for serum anti-nuclear and anti-aquaporin-4 antibodies improves diagnostic accuracy for distinguishing neuromyelitis optica from multiple sclerosis. Eur Neurol.  2014. 72:103-8</w:t>
            </w:r>
          </w:p>
        </w:tc>
      </w:tr>
      <w:tr w:rsidR="005D7566" w:rsidRPr="005D7566" w14:paraId="1F196D23" w14:textId="77777777" w:rsidTr="00706BE3">
        <w:trPr>
          <w:trHeight w:val="300"/>
        </w:trPr>
        <w:tc>
          <w:tcPr>
            <w:tcW w:w="9781" w:type="dxa"/>
            <w:noWrap/>
            <w:hideMark/>
          </w:tcPr>
          <w:p w14:paraId="3A6A67B5" w14:textId="77777777" w:rsidR="005D7566" w:rsidRPr="005D7566" w:rsidRDefault="005D7566" w:rsidP="006B7FA9">
            <w:pPr>
              <w:spacing w:after="0" w:line="259" w:lineRule="auto"/>
              <w:ind w:left="0"/>
            </w:pPr>
            <w:r w:rsidRPr="005D7566">
              <w:lastRenderedPageBreak/>
              <w:t>Xu, Y.,Zhang, Y.,Liu, C. Y.,</w:t>
            </w:r>
            <w:r w:rsidR="00E038CA">
              <w:t xml:space="preserve"> et al</w:t>
            </w:r>
            <w:r w:rsidRPr="005D7566">
              <w:t>.  Serum antibodies to 25 myelin oligodendrocyte glycoprotein epitopes in multiple sclerosis and neuromyelitis optica: clinical value for diagnosis and disease activity. Chin Med J (Engl).  2012. 125:3207-10</w:t>
            </w:r>
          </w:p>
        </w:tc>
      </w:tr>
      <w:tr w:rsidR="005D7566" w:rsidRPr="005D7566" w14:paraId="20CBE7C1" w14:textId="77777777" w:rsidTr="00706BE3">
        <w:trPr>
          <w:trHeight w:val="300"/>
        </w:trPr>
        <w:tc>
          <w:tcPr>
            <w:tcW w:w="9781" w:type="dxa"/>
            <w:noWrap/>
            <w:hideMark/>
          </w:tcPr>
          <w:p w14:paraId="2D7C9E26" w14:textId="77777777" w:rsidR="005D7566" w:rsidRPr="005D7566" w:rsidRDefault="005D7566" w:rsidP="006B7FA9">
            <w:pPr>
              <w:spacing w:after="0" w:line="259" w:lineRule="auto"/>
              <w:ind w:left="0"/>
            </w:pPr>
            <w:r w:rsidRPr="005D7566">
              <w:t>Yan, Y.,Li, Y.,Fu, Y.,</w:t>
            </w:r>
            <w:r w:rsidR="00E038CA">
              <w:t xml:space="preserve"> et al</w:t>
            </w:r>
            <w:r w:rsidRPr="005D7566">
              <w:t>.  Autoantibody to MOG suggests two distinct clinical subtypes of NMOSD. Sci China Life Sci.  2016. 59:1270-1281</w:t>
            </w:r>
          </w:p>
        </w:tc>
      </w:tr>
      <w:tr w:rsidR="005D7566" w:rsidRPr="005D7566" w14:paraId="4E287EDB" w14:textId="77777777" w:rsidTr="00706BE3">
        <w:trPr>
          <w:trHeight w:val="300"/>
        </w:trPr>
        <w:tc>
          <w:tcPr>
            <w:tcW w:w="9781" w:type="dxa"/>
            <w:noWrap/>
            <w:hideMark/>
          </w:tcPr>
          <w:p w14:paraId="4986A9AF" w14:textId="77777777" w:rsidR="005D7566" w:rsidRPr="005D7566" w:rsidRDefault="005D7566" w:rsidP="006B7FA9">
            <w:pPr>
              <w:spacing w:after="0" w:line="259" w:lineRule="auto"/>
              <w:ind w:left="0"/>
            </w:pPr>
            <w:r w:rsidRPr="005D7566">
              <w:t>Yang, C. S.,Zhang, D. Q.,Wang, J. H.,</w:t>
            </w:r>
            <w:r w:rsidR="00E038CA">
              <w:t xml:space="preserve"> et al</w:t>
            </w:r>
            <w:r w:rsidRPr="005D7566">
              <w:t>.  Clinical features and sera anti-aquaporin 4 antibody positivity in patients with demyelinating disorders of the central nervous system from Tianjin, China. CNS Neurosci Ther.  2014. 20:32-9</w:t>
            </w:r>
          </w:p>
        </w:tc>
      </w:tr>
      <w:tr w:rsidR="005D7566" w:rsidRPr="005D7566" w14:paraId="093EECB3" w14:textId="77777777" w:rsidTr="00706BE3">
        <w:trPr>
          <w:trHeight w:val="300"/>
        </w:trPr>
        <w:tc>
          <w:tcPr>
            <w:tcW w:w="9781" w:type="dxa"/>
            <w:noWrap/>
            <w:hideMark/>
          </w:tcPr>
          <w:p w14:paraId="02978110" w14:textId="77777777" w:rsidR="005D7566" w:rsidRPr="005D7566" w:rsidRDefault="005D7566" w:rsidP="006B7FA9">
            <w:pPr>
              <w:spacing w:after="0" w:line="259" w:lineRule="auto"/>
              <w:ind w:left="0"/>
            </w:pPr>
            <w:r w:rsidRPr="005D7566">
              <w:t>Yang, J.,Kim, S. M.,Kim, Y. J.,</w:t>
            </w:r>
            <w:r w:rsidR="00E038CA">
              <w:t xml:space="preserve"> et al</w:t>
            </w:r>
            <w:r w:rsidRPr="005D7566">
              <w:t>.  Accuracy of the fluorescence-activated cell sorting assay for the aquaporin-4 antibody (AQP4-Ab): Comparison with the commercial AQP4-Ab assay kit. PLoS ONE.  2016. 11:#pages#</w:t>
            </w:r>
          </w:p>
        </w:tc>
      </w:tr>
      <w:tr w:rsidR="005D7566" w:rsidRPr="005D7566" w14:paraId="2419B3F7" w14:textId="77777777" w:rsidTr="00706BE3">
        <w:trPr>
          <w:trHeight w:val="300"/>
        </w:trPr>
        <w:tc>
          <w:tcPr>
            <w:tcW w:w="9781" w:type="dxa"/>
            <w:noWrap/>
            <w:hideMark/>
          </w:tcPr>
          <w:p w14:paraId="4E0B571C" w14:textId="77777777" w:rsidR="005D7566" w:rsidRPr="005D7566" w:rsidRDefault="005D7566" w:rsidP="006B7FA9">
            <w:pPr>
              <w:spacing w:after="0" w:line="259" w:lineRule="auto"/>
              <w:ind w:left="0"/>
            </w:pPr>
            <w:r w:rsidRPr="005D7566">
              <w:t>Yang, Y.,Huang, D. H.,Wu, W. P.,Wu, L.,Chen, L. F.,Wu, Q.  The role of aquaporin-4 antibodies in Chinese patients with neuromyelitis optica. J Clin Neurosci.  2013. 20:94-8</w:t>
            </w:r>
          </w:p>
        </w:tc>
      </w:tr>
      <w:tr w:rsidR="005D7566" w:rsidRPr="005D7566" w14:paraId="404E9320" w14:textId="77777777" w:rsidTr="00706BE3">
        <w:trPr>
          <w:trHeight w:val="300"/>
        </w:trPr>
        <w:tc>
          <w:tcPr>
            <w:tcW w:w="9781" w:type="dxa"/>
            <w:noWrap/>
            <w:hideMark/>
          </w:tcPr>
          <w:p w14:paraId="0919DD61" w14:textId="77777777" w:rsidR="005D7566" w:rsidRPr="005D7566" w:rsidRDefault="005D7566" w:rsidP="006B7FA9">
            <w:pPr>
              <w:spacing w:after="0" w:line="259" w:lineRule="auto"/>
              <w:ind w:left="0"/>
            </w:pPr>
            <w:r w:rsidRPr="005D7566">
              <w:t>Zephir, H.,Bernard-Valnet, R.,Lebrun, C.,</w:t>
            </w:r>
            <w:r w:rsidR="00E038CA">
              <w:t xml:space="preserve"> et al</w:t>
            </w:r>
            <w:r w:rsidRPr="005D7566">
              <w:t>.  Rituximab as first-line therapy in neuromyelitis optica: efficiency and tolerability. J Neurol.  2015. 262:2329-35</w:t>
            </w:r>
          </w:p>
        </w:tc>
      </w:tr>
      <w:tr w:rsidR="005D7566" w:rsidRPr="005D7566" w14:paraId="3DF8AEFD" w14:textId="77777777" w:rsidTr="00706BE3">
        <w:trPr>
          <w:trHeight w:val="300"/>
        </w:trPr>
        <w:tc>
          <w:tcPr>
            <w:tcW w:w="9781" w:type="dxa"/>
            <w:noWrap/>
            <w:hideMark/>
          </w:tcPr>
          <w:p w14:paraId="216F1801" w14:textId="77777777" w:rsidR="005D7566" w:rsidRPr="005D7566" w:rsidRDefault="005D7566" w:rsidP="006B7FA9">
            <w:pPr>
              <w:spacing w:after="0" w:line="259" w:lineRule="auto"/>
              <w:ind w:left="0"/>
            </w:pPr>
            <w:r w:rsidRPr="005D7566">
              <w:t>Zhang, C.,Tian, D. C.,Yang, C. S.,</w:t>
            </w:r>
            <w:r w:rsidR="00E038CA">
              <w:t xml:space="preserve"> et al</w:t>
            </w:r>
            <w:r w:rsidRPr="005D7566">
              <w:t>.  Safety and Efficacy of Bortezomib in Patients With Highly Relapsing Neuromyelitis Optica Spectrum Disorder. JAMA Neurol.  2017. 74:1010-1012</w:t>
            </w:r>
          </w:p>
        </w:tc>
      </w:tr>
      <w:tr w:rsidR="005D7566" w:rsidRPr="005D7566" w14:paraId="1512B127" w14:textId="77777777" w:rsidTr="00706BE3">
        <w:trPr>
          <w:trHeight w:val="300"/>
        </w:trPr>
        <w:tc>
          <w:tcPr>
            <w:tcW w:w="9781" w:type="dxa"/>
            <w:noWrap/>
            <w:hideMark/>
          </w:tcPr>
          <w:p w14:paraId="085DE479" w14:textId="77777777" w:rsidR="005D7566" w:rsidRPr="005D7566" w:rsidRDefault="005D7566" w:rsidP="006B7FA9">
            <w:pPr>
              <w:spacing w:after="0" w:line="259" w:lineRule="auto"/>
              <w:ind w:left="0"/>
            </w:pPr>
            <w:r w:rsidRPr="005D7566">
              <w:t>Zhao, G.,Chen, Q.,Huang, Y.,Li, Z.,</w:t>
            </w:r>
            <w:r w:rsidR="001E4549">
              <w:t xml:space="preserve"> et al</w:t>
            </w:r>
            <w:r w:rsidRPr="005D7566">
              <w:t>.  Clinical characteristics of myelin oligodendrocyte glycoprotein seropositive optic neuritis: a cohort study in Shanghai, China. J Neurol.  2018. 265:33-40</w:t>
            </w:r>
          </w:p>
        </w:tc>
      </w:tr>
      <w:tr w:rsidR="005D7566" w:rsidRPr="005D7566" w14:paraId="1BB822C4" w14:textId="77777777" w:rsidTr="00706BE3">
        <w:trPr>
          <w:trHeight w:val="300"/>
        </w:trPr>
        <w:tc>
          <w:tcPr>
            <w:tcW w:w="9781" w:type="dxa"/>
            <w:noWrap/>
            <w:hideMark/>
          </w:tcPr>
          <w:p w14:paraId="0922EBAE" w14:textId="77777777" w:rsidR="005D7566" w:rsidRPr="005D7566" w:rsidRDefault="005D7566" w:rsidP="006B7FA9">
            <w:pPr>
              <w:spacing w:after="0" w:line="259" w:lineRule="auto"/>
              <w:ind w:left="0"/>
            </w:pPr>
            <w:r w:rsidRPr="005D7566">
              <w:t>Zhao, X.,Qiu, W.,Zhang, Y.,</w:t>
            </w:r>
            <w:r w:rsidR="001E4549">
              <w:t xml:space="preserve"> et al</w:t>
            </w:r>
            <w:r w:rsidRPr="005D7566">
              <w:t>.  A prospective case-control study comparing optical coherence tomography characteristics in neuromyelitis optica spectrum disorder- optic neuritis and idiopathic optic neuritis. BMC Ophthalmol.  2018. 18:247</w:t>
            </w:r>
          </w:p>
        </w:tc>
      </w:tr>
      <w:tr w:rsidR="005D7566" w:rsidRPr="005D7566" w14:paraId="4ED2F253" w14:textId="77777777" w:rsidTr="00706BE3">
        <w:trPr>
          <w:trHeight w:val="300"/>
        </w:trPr>
        <w:tc>
          <w:tcPr>
            <w:tcW w:w="9781" w:type="dxa"/>
            <w:noWrap/>
            <w:hideMark/>
          </w:tcPr>
          <w:p w14:paraId="021A87A8" w14:textId="77777777" w:rsidR="005D7566" w:rsidRPr="005D7566" w:rsidRDefault="005D7566" w:rsidP="006B7FA9">
            <w:pPr>
              <w:spacing w:after="0" w:line="259" w:lineRule="auto"/>
              <w:ind w:left="0"/>
            </w:pPr>
            <w:r w:rsidRPr="005D7566">
              <w:t>Zhao, Y.,Tan, S.,Chan, T. C. Y.,</w:t>
            </w:r>
            <w:r w:rsidR="001E4549">
              <w:t xml:space="preserve"> et al</w:t>
            </w:r>
            <w:r w:rsidRPr="005D7566">
              <w:t>.  Clinical features of demyelinating optic neuritis with seropositive myelin oligodendrocyte glycoprotein antibody in Chinese patients. Br J Ophthalmol.  2018. 102:1372-1377</w:t>
            </w:r>
          </w:p>
        </w:tc>
      </w:tr>
      <w:tr w:rsidR="005D7566" w:rsidRPr="005D7566" w14:paraId="64542AFF" w14:textId="77777777" w:rsidTr="00706BE3">
        <w:trPr>
          <w:trHeight w:val="300"/>
        </w:trPr>
        <w:tc>
          <w:tcPr>
            <w:tcW w:w="9781" w:type="dxa"/>
            <w:noWrap/>
            <w:hideMark/>
          </w:tcPr>
          <w:p w14:paraId="0DA74023" w14:textId="77777777" w:rsidR="005D7566" w:rsidRPr="005D7566" w:rsidRDefault="005D7566" w:rsidP="006B7FA9">
            <w:pPr>
              <w:spacing w:after="0" w:line="259" w:lineRule="auto"/>
              <w:ind w:left="0"/>
            </w:pPr>
            <w:r w:rsidRPr="005D7566">
              <w:t>Zhou, Y.,Zhong, X.,Shu, Y.,</w:t>
            </w:r>
            <w:r w:rsidR="001E4549">
              <w:t xml:space="preserve"> et al</w:t>
            </w:r>
            <w:r w:rsidRPr="005D7566">
              <w:t>.  Clinical course, treatment responses and outcomes in Chinese paediatric neuromyelitis optica spectrum disorder. Mult Scler Relat Disord.  2019. 28:213-220</w:t>
            </w:r>
          </w:p>
        </w:tc>
      </w:tr>
      <w:tr w:rsidR="005D7566" w:rsidRPr="005D7566" w14:paraId="52256CD8" w14:textId="77777777" w:rsidTr="00706BE3">
        <w:trPr>
          <w:trHeight w:val="300"/>
        </w:trPr>
        <w:tc>
          <w:tcPr>
            <w:tcW w:w="9781" w:type="dxa"/>
            <w:noWrap/>
            <w:hideMark/>
          </w:tcPr>
          <w:p w14:paraId="0C025FE4" w14:textId="77777777" w:rsidR="005D7566" w:rsidRPr="005D7566" w:rsidRDefault="005D7566" w:rsidP="00F31882">
            <w:pPr>
              <w:spacing w:after="0" w:line="259" w:lineRule="auto"/>
              <w:ind w:left="0"/>
              <w:rPr>
                <w:b/>
                <w:bCs/>
              </w:rPr>
            </w:pPr>
            <w:r w:rsidRPr="005D7566">
              <w:rPr>
                <w:b/>
                <w:bCs/>
              </w:rPr>
              <w:t>Data duplicated elsewhere</w:t>
            </w:r>
          </w:p>
        </w:tc>
      </w:tr>
      <w:tr w:rsidR="005D7566" w:rsidRPr="005D7566" w14:paraId="63923C47" w14:textId="77777777" w:rsidTr="00706BE3">
        <w:trPr>
          <w:trHeight w:val="300"/>
        </w:trPr>
        <w:tc>
          <w:tcPr>
            <w:tcW w:w="9781" w:type="dxa"/>
            <w:noWrap/>
            <w:hideMark/>
          </w:tcPr>
          <w:p w14:paraId="00CD6B19" w14:textId="77777777" w:rsidR="005D7566" w:rsidRPr="005D7566" w:rsidRDefault="005D7566" w:rsidP="006B7FA9">
            <w:pPr>
              <w:spacing w:after="0" w:line="259" w:lineRule="auto"/>
              <w:ind w:left="0"/>
            </w:pPr>
            <w:r w:rsidRPr="005D7566">
              <w:t>Alonso, V. R.,e Jesus Flores Rivera, J.,Garci, Y. R.,</w:t>
            </w:r>
            <w:r w:rsidR="001E4549">
              <w:t xml:space="preserve"> et al</w:t>
            </w:r>
            <w:r w:rsidRPr="005D7566">
              <w:t>.  Neuromyelitis Optica (NMO IgG+) and Genetic Susceptibility, Potential Ethnic Influences. Cent Nerv Syst Agents Med Chem.  2018. 18:4-7</w:t>
            </w:r>
          </w:p>
        </w:tc>
      </w:tr>
      <w:tr w:rsidR="005D7566" w:rsidRPr="005D7566" w14:paraId="5880BBAA" w14:textId="77777777" w:rsidTr="00706BE3">
        <w:trPr>
          <w:trHeight w:val="300"/>
        </w:trPr>
        <w:tc>
          <w:tcPr>
            <w:tcW w:w="9781" w:type="dxa"/>
            <w:noWrap/>
            <w:hideMark/>
          </w:tcPr>
          <w:p w14:paraId="7C1F5159" w14:textId="77777777" w:rsidR="005D7566" w:rsidRPr="005D7566" w:rsidRDefault="005D7566" w:rsidP="006B7FA9">
            <w:pPr>
              <w:spacing w:after="0" w:line="259" w:lineRule="auto"/>
              <w:ind w:left="0"/>
            </w:pPr>
            <w:r w:rsidRPr="005D7566">
              <w:t>Asgari, N.  Epidemiological, clinical and immunological aspects of neuromyelitis optica (NMO). Dan Med J.  2013. 60:B4730</w:t>
            </w:r>
          </w:p>
        </w:tc>
      </w:tr>
      <w:tr w:rsidR="005D7566" w:rsidRPr="005D7566" w14:paraId="38A589AA" w14:textId="77777777" w:rsidTr="00706BE3">
        <w:trPr>
          <w:trHeight w:val="300"/>
        </w:trPr>
        <w:tc>
          <w:tcPr>
            <w:tcW w:w="9781" w:type="dxa"/>
            <w:noWrap/>
            <w:hideMark/>
          </w:tcPr>
          <w:p w14:paraId="5DAC5E2B" w14:textId="77777777" w:rsidR="005D7566" w:rsidRPr="005D7566" w:rsidRDefault="005D7566" w:rsidP="006B7FA9">
            <w:pPr>
              <w:spacing w:after="0" w:line="259" w:lineRule="auto"/>
              <w:ind w:left="0"/>
            </w:pPr>
            <w:r w:rsidRPr="005D7566">
              <w:t>Ayzenberg, I.,Kleiter, I.,Schroder, A.,</w:t>
            </w:r>
            <w:r w:rsidR="00F31882">
              <w:t xml:space="preserve"> et al</w:t>
            </w:r>
            <w:r w:rsidRPr="005D7566">
              <w:t>.  Interleukin 6 receptor blockade in patients with neuromyelitis optica nonresponsive to anti-CD20 therapy. JAMA Neurol.  2013. 70:394-7</w:t>
            </w:r>
          </w:p>
        </w:tc>
      </w:tr>
      <w:tr w:rsidR="005D7566" w:rsidRPr="005D7566" w14:paraId="0C605B36" w14:textId="77777777" w:rsidTr="00706BE3">
        <w:trPr>
          <w:trHeight w:val="300"/>
        </w:trPr>
        <w:tc>
          <w:tcPr>
            <w:tcW w:w="9781" w:type="dxa"/>
            <w:noWrap/>
            <w:hideMark/>
          </w:tcPr>
          <w:p w14:paraId="419F03C4" w14:textId="77777777" w:rsidR="005D7566" w:rsidRPr="005D7566" w:rsidRDefault="005D7566" w:rsidP="006B7FA9">
            <w:pPr>
              <w:spacing w:after="0" w:line="259" w:lineRule="auto"/>
              <w:ind w:left="0"/>
            </w:pPr>
            <w:r w:rsidRPr="005D7566">
              <w:t>Barnett, M. H.,Sutton, I.  Neuromyelitis optica: not a multiple sclerosis variant. Curr Opin Neurol.  2012. 25:215-20</w:t>
            </w:r>
          </w:p>
        </w:tc>
      </w:tr>
      <w:tr w:rsidR="005D7566" w:rsidRPr="005D7566" w14:paraId="46BC2638" w14:textId="77777777" w:rsidTr="00706BE3">
        <w:trPr>
          <w:trHeight w:val="300"/>
        </w:trPr>
        <w:tc>
          <w:tcPr>
            <w:tcW w:w="9781" w:type="dxa"/>
            <w:noWrap/>
            <w:hideMark/>
          </w:tcPr>
          <w:p w14:paraId="6797D465" w14:textId="77777777" w:rsidR="005D7566" w:rsidRPr="005D7566" w:rsidRDefault="005D7566" w:rsidP="006B7FA9">
            <w:pPr>
              <w:spacing w:after="0" w:line="259" w:lineRule="auto"/>
              <w:ind w:left="0"/>
            </w:pPr>
            <w:r w:rsidRPr="005D7566">
              <w:t>Baumann, M.,Sahin, K.,Lechner, C.,</w:t>
            </w:r>
            <w:r w:rsidR="00F31882">
              <w:t xml:space="preserve"> et al</w:t>
            </w:r>
            <w:r w:rsidRPr="005D7566">
              <w:t>.  Clinical and neuroradiological differences of paediatric acute disseminating encephalomyelitis with and without antibodies to the myelin oligodendrocyte glycoprotein. J Neurol Neurosurg Psychiatry.  2015. 86:265-72</w:t>
            </w:r>
          </w:p>
        </w:tc>
      </w:tr>
      <w:tr w:rsidR="005D7566" w:rsidRPr="005D7566" w14:paraId="65A76EA8" w14:textId="77777777" w:rsidTr="00706BE3">
        <w:trPr>
          <w:trHeight w:val="300"/>
        </w:trPr>
        <w:tc>
          <w:tcPr>
            <w:tcW w:w="9781" w:type="dxa"/>
            <w:noWrap/>
            <w:hideMark/>
          </w:tcPr>
          <w:p w14:paraId="3B131207" w14:textId="77777777" w:rsidR="005D7566" w:rsidRPr="005D7566" w:rsidRDefault="005D7566" w:rsidP="006B7FA9">
            <w:pPr>
              <w:spacing w:after="0" w:line="259" w:lineRule="auto"/>
              <w:ind w:left="0"/>
            </w:pPr>
            <w:r w:rsidRPr="005D7566">
              <w:t>Beauchemin, P.,Iorio, R.,Traboulsee, A. L.,Field, T.,Tinker, A. V.,Carruthers, R. L.  Paraneoplastic Neuromyelitis Optica Spectrum Disorder: A single center cohort description with two cases of histological validation. Mult Scler Relat Disord.  2018. 20:37-42</w:t>
            </w:r>
          </w:p>
        </w:tc>
      </w:tr>
      <w:tr w:rsidR="005D7566" w:rsidRPr="005D7566" w14:paraId="1F0EA056" w14:textId="77777777" w:rsidTr="00706BE3">
        <w:trPr>
          <w:trHeight w:val="300"/>
        </w:trPr>
        <w:tc>
          <w:tcPr>
            <w:tcW w:w="9781" w:type="dxa"/>
            <w:noWrap/>
            <w:hideMark/>
          </w:tcPr>
          <w:p w14:paraId="634D143F" w14:textId="41E89373" w:rsidR="005D7566" w:rsidRPr="005D7566" w:rsidRDefault="005D7566" w:rsidP="00B956DB">
            <w:pPr>
              <w:spacing w:after="0" w:line="259" w:lineRule="auto"/>
              <w:ind w:left="0"/>
            </w:pPr>
            <w:r w:rsidRPr="005D7566">
              <w:t>Behbehani, R.  Expanding the spectrum of neuromyelitis optica: friend or foe? Curr Opin Ophthalmol.  2007. 18:459-62</w:t>
            </w:r>
          </w:p>
        </w:tc>
      </w:tr>
      <w:tr w:rsidR="005D7566" w:rsidRPr="005D7566" w14:paraId="510B2338" w14:textId="77777777" w:rsidTr="00706BE3">
        <w:trPr>
          <w:trHeight w:val="300"/>
        </w:trPr>
        <w:tc>
          <w:tcPr>
            <w:tcW w:w="9781" w:type="dxa"/>
            <w:noWrap/>
            <w:hideMark/>
          </w:tcPr>
          <w:p w14:paraId="0F29C8DB" w14:textId="77777777" w:rsidR="005D7566" w:rsidRPr="005D7566" w:rsidRDefault="005D7566" w:rsidP="006B7FA9">
            <w:pPr>
              <w:spacing w:after="0" w:line="259" w:lineRule="auto"/>
              <w:ind w:left="0"/>
            </w:pPr>
            <w:r w:rsidRPr="005D7566">
              <w:t>Benavente, E.,Paira, S.  Neuromyelitis Optica-AQP4: an update. Curr Rheumatol Rep.  2011. 13:496-505</w:t>
            </w:r>
          </w:p>
        </w:tc>
      </w:tr>
      <w:tr w:rsidR="005D7566" w:rsidRPr="005D7566" w14:paraId="10895E44" w14:textId="77777777" w:rsidTr="00706BE3">
        <w:trPr>
          <w:trHeight w:val="300"/>
        </w:trPr>
        <w:tc>
          <w:tcPr>
            <w:tcW w:w="9781" w:type="dxa"/>
            <w:noWrap/>
            <w:hideMark/>
          </w:tcPr>
          <w:p w14:paraId="3352F4E2" w14:textId="77777777" w:rsidR="005D7566" w:rsidRPr="005D7566" w:rsidRDefault="005D7566" w:rsidP="006B7FA9">
            <w:pPr>
              <w:spacing w:after="0" w:line="259" w:lineRule="auto"/>
              <w:ind w:left="0"/>
            </w:pPr>
            <w:r w:rsidRPr="005D7566">
              <w:t>Bennett, J. L.  Finding NMO: The Evolving Diagnostic Criteria of Neuromyelitis Optica. J Neuroophthalmol.  2016. 36:238-45</w:t>
            </w:r>
          </w:p>
        </w:tc>
      </w:tr>
      <w:tr w:rsidR="005D7566" w:rsidRPr="005D7566" w14:paraId="62E47CB5" w14:textId="77777777" w:rsidTr="00706BE3">
        <w:trPr>
          <w:trHeight w:val="300"/>
        </w:trPr>
        <w:tc>
          <w:tcPr>
            <w:tcW w:w="9781" w:type="dxa"/>
            <w:noWrap/>
            <w:hideMark/>
          </w:tcPr>
          <w:p w14:paraId="00F21A38" w14:textId="77777777" w:rsidR="005D7566" w:rsidRPr="005D7566" w:rsidRDefault="005D7566" w:rsidP="006B7FA9">
            <w:pPr>
              <w:spacing w:after="0" w:line="259" w:lineRule="auto"/>
              <w:ind w:left="0"/>
            </w:pPr>
            <w:r w:rsidRPr="005D7566">
              <w:t>Bradl, M.,Reindl, M.,Lassmann, H.  Mechanisms for lesion localization in neuromyelitis optica spectrum disorders. Curr Opin Neurol.  2018. 31:325-333</w:t>
            </w:r>
          </w:p>
        </w:tc>
      </w:tr>
      <w:tr w:rsidR="005D7566" w:rsidRPr="005D7566" w14:paraId="4090755B" w14:textId="77777777" w:rsidTr="00706BE3">
        <w:trPr>
          <w:trHeight w:val="300"/>
        </w:trPr>
        <w:tc>
          <w:tcPr>
            <w:tcW w:w="9781" w:type="dxa"/>
            <w:noWrap/>
            <w:hideMark/>
          </w:tcPr>
          <w:p w14:paraId="72910597" w14:textId="77777777" w:rsidR="005D7566" w:rsidRPr="005D7566" w:rsidRDefault="005D7566" w:rsidP="006B7FA9">
            <w:pPr>
              <w:spacing w:after="0" w:line="259" w:lineRule="auto"/>
              <w:ind w:left="0"/>
            </w:pPr>
            <w:r w:rsidRPr="005D7566">
              <w:t>Carnero Contentti, E.,Daccach Marques, V.,Soto, I.,</w:t>
            </w:r>
            <w:r w:rsidR="00F31882">
              <w:t xml:space="preserve"> et al</w:t>
            </w:r>
            <w:r w:rsidRPr="005D7566">
              <w:t>.  Clinical outcomes of neuromyelitis optica spectrum disorder with brain and spinal magnetic resonance imaging abnormalities: a Latin American multicenter study. Multiple sclerosis (Houndmills, Basingstoke, England).  2016. Conference: 32nd Congress of the European Committee for Treatment and Research in Multiple Sclerosis, ECTRIMS 2016. United Kingdom. Conference Start: 20160914. Conference End: 20160917. 22:735</w:t>
            </w:r>
          </w:p>
        </w:tc>
      </w:tr>
      <w:tr w:rsidR="005D7566" w:rsidRPr="005D7566" w14:paraId="03C140B7" w14:textId="77777777" w:rsidTr="00706BE3">
        <w:trPr>
          <w:trHeight w:val="300"/>
        </w:trPr>
        <w:tc>
          <w:tcPr>
            <w:tcW w:w="9781" w:type="dxa"/>
            <w:noWrap/>
            <w:hideMark/>
          </w:tcPr>
          <w:p w14:paraId="00F2F583" w14:textId="77777777" w:rsidR="005D7566" w:rsidRPr="005D7566" w:rsidRDefault="005D7566" w:rsidP="006B7FA9">
            <w:pPr>
              <w:spacing w:after="0" w:line="259" w:lineRule="auto"/>
              <w:ind w:left="0"/>
            </w:pPr>
            <w:r w:rsidRPr="005D7566">
              <w:lastRenderedPageBreak/>
              <w:t>Carvalho, D. C.,Tironi, T. S.,Freitas, D. S.,Kleinpaul, R.,Talim, N. C.,Lana-Peixoto, M. A.  Sjogren syndrome and neuromyelitis optica spectrum disorder co-exist in a common autoimmune milieu. Arq Neuropsiquiatr.  2014. 72:619-24</w:t>
            </w:r>
          </w:p>
        </w:tc>
      </w:tr>
      <w:tr w:rsidR="005D7566" w:rsidRPr="005D7566" w14:paraId="4C76D5E1" w14:textId="77777777" w:rsidTr="00706BE3">
        <w:trPr>
          <w:trHeight w:val="300"/>
        </w:trPr>
        <w:tc>
          <w:tcPr>
            <w:tcW w:w="9781" w:type="dxa"/>
            <w:noWrap/>
            <w:hideMark/>
          </w:tcPr>
          <w:p w14:paraId="27DC60B5" w14:textId="77777777" w:rsidR="005D7566" w:rsidRPr="005D7566" w:rsidRDefault="005D7566" w:rsidP="006B7FA9">
            <w:pPr>
              <w:spacing w:after="0" w:line="259" w:lineRule="auto"/>
              <w:ind w:left="0"/>
            </w:pPr>
            <w:r w:rsidRPr="005D7566">
              <w:t>Chan, K. H.,Kwan, J. S.,Ho, P. W.,</w:t>
            </w:r>
            <w:r w:rsidR="00F31882">
              <w:t xml:space="preserve"> et al</w:t>
            </w:r>
            <w:r w:rsidRPr="005D7566">
              <w:t>.  Aquaporin-4 water channel expression by thymoma of patients with and without myasthenia gravis. J Neuroimmunol.  2010. 227:178-84</w:t>
            </w:r>
          </w:p>
        </w:tc>
      </w:tr>
      <w:tr w:rsidR="005D7566" w:rsidRPr="005D7566" w14:paraId="14B03314" w14:textId="77777777" w:rsidTr="00706BE3">
        <w:trPr>
          <w:trHeight w:val="300"/>
        </w:trPr>
        <w:tc>
          <w:tcPr>
            <w:tcW w:w="9781" w:type="dxa"/>
            <w:noWrap/>
            <w:hideMark/>
          </w:tcPr>
          <w:p w14:paraId="05F7F64A" w14:textId="77777777" w:rsidR="005D7566" w:rsidRPr="005D7566" w:rsidRDefault="005D7566" w:rsidP="006B7FA9">
            <w:pPr>
              <w:spacing w:after="0" w:line="259" w:lineRule="auto"/>
              <w:ind w:left="0"/>
            </w:pPr>
            <w:r w:rsidRPr="005D7566">
              <w:t>Chaudhuri, A.,Behan, P. O.  Antimyelin antibodies in multiple sclerosis. N Engl J Med.  2003. 349:2269-71; author reply 2269-71</w:t>
            </w:r>
          </w:p>
        </w:tc>
      </w:tr>
      <w:tr w:rsidR="005D7566" w:rsidRPr="005D7566" w14:paraId="23E94F7A" w14:textId="77777777" w:rsidTr="00706BE3">
        <w:trPr>
          <w:trHeight w:val="300"/>
        </w:trPr>
        <w:tc>
          <w:tcPr>
            <w:tcW w:w="9781" w:type="dxa"/>
            <w:noWrap/>
            <w:hideMark/>
          </w:tcPr>
          <w:p w14:paraId="46A4309A" w14:textId="77777777" w:rsidR="005D7566" w:rsidRPr="005D7566" w:rsidRDefault="005D7566" w:rsidP="006B7FA9">
            <w:pPr>
              <w:spacing w:after="0" w:line="259" w:lineRule="auto"/>
              <w:ind w:left="0"/>
            </w:pPr>
            <w:r w:rsidRPr="005D7566">
              <w:t>Chitnis, T.,Ness, J.,Krupp, L.,</w:t>
            </w:r>
            <w:r w:rsidR="00F31882">
              <w:t xml:space="preserve"> et al</w:t>
            </w:r>
            <w:r w:rsidRPr="005D7566">
              <w:t>.  Clinical features of neuromyelitis optica in children: US Network of Pediatric MS Centers report. Neurology.  2016. 86:245-52</w:t>
            </w:r>
          </w:p>
        </w:tc>
      </w:tr>
      <w:tr w:rsidR="005D7566" w:rsidRPr="005D7566" w14:paraId="71BA9392" w14:textId="77777777" w:rsidTr="00706BE3">
        <w:trPr>
          <w:trHeight w:val="300"/>
        </w:trPr>
        <w:tc>
          <w:tcPr>
            <w:tcW w:w="9781" w:type="dxa"/>
            <w:noWrap/>
            <w:hideMark/>
          </w:tcPr>
          <w:p w14:paraId="489AB264" w14:textId="77777777" w:rsidR="005D7566" w:rsidRPr="005D7566" w:rsidRDefault="005D7566" w:rsidP="006B7FA9">
            <w:pPr>
              <w:spacing w:after="0" w:line="259" w:lineRule="auto"/>
              <w:ind w:left="0"/>
            </w:pPr>
            <w:r w:rsidRPr="005D7566">
              <w:t>Correale, J.,Farez, M. F.,Ysrraelit, M. C.  Increase in multiple sclerosis activity after assisted reproduction technology. Ann Neurol.  2012. 72:682-94</w:t>
            </w:r>
          </w:p>
        </w:tc>
      </w:tr>
      <w:tr w:rsidR="005D7566" w:rsidRPr="005D7566" w14:paraId="5A350F64" w14:textId="77777777" w:rsidTr="00706BE3">
        <w:trPr>
          <w:trHeight w:val="300"/>
        </w:trPr>
        <w:tc>
          <w:tcPr>
            <w:tcW w:w="9781" w:type="dxa"/>
            <w:noWrap/>
            <w:hideMark/>
          </w:tcPr>
          <w:p w14:paraId="1DBC41CD" w14:textId="77777777" w:rsidR="005D7566" w:rsidRPr="005D7566" w:rsidRDefault="005D7566" w:rsidP="006B7FA9">
            <w:pPr>
              <w:spacing w:after="0" w:line="259" w:lineRule="auto"/>
              <w:ind w:left="0"/>
            </w:pPr>
            <w:r w:rsidRPr="005D7566">
              <w:t>de Andres, C.,Teijeiro, R.,Saiz, A.,Fernandez, P.,Sanchez-Ramon, S.  Changes in B and T-cell subsets and NMO-IgG levels after immunoglobulins and rituximab treatment for an acute attack of neuromyelitis optica. Neurologia.  2015. 30:276-82</w:t>
            </w:r>
          </w:p>
        </w:tc>
      </w:tr>
      <w:tr w:rsidR="005D7566" w:rsidRPr="005D7566" w14:paraId="49088D43" w14:textId="77777777" w:rsidTr="00706BE3">
        <w:trPr>
          <w:trHeight w:val="300"/>
        </w:trPr>
        <w:tc>
          <w:tcPr>
            <w:tcW w:w="9781" w:type="dxa"/>
            <w:noWrap/>
            <w:hideMark/>
          </w:tcPr>
          <w:p w14:paraId="409C58D4" w14:textId="77777777" w:rsidR="005D7566" w:rsidRPr="005D7566" w:rsidRDefault="005D7566" w:rsidP="006B7FA9">
            <w:pPr>
              <w:spacing w:after="0" w:line="259" w:lineRule="auto"/>
              <w:ind w:left="0"/>
            </w:pPr>
            <w:r w:rsidRPr="005D7566">
              <w:t>De Santis, G.,Caniatti, L.,De Vito, A.,De Gennaro, R.,Granieri, E.,Tola, M. R.  A possible paraneoplastic neuromyelitis optica associated with lung cancer. Neurol Sci.  2009. 30:397-400</w:t>
            </w:r>
          </w:p>
        </w:tc>
      </w:tr>
      <w:tr w:rsidR="005D7566" w:rsidRPr="005D7566" w14:paraId="3622BBD2" w14:textId="77777777" w:rsidTr="00706BE3">
        <w:trPr>
          <w:trHeight w:val="300"/>
        </w:trPr>
        <w:tc>
          <w:tcPr>
            <w:tcW w:w="9781" w:type="dxa"/>
            <w:noWrap/>
            <w:hideMark/>
          </w:tcPr>
          <w:p w14:paraId="682031C8" w14:textId="77777777" w:rsidR="005D7566" w:rsidRPr="005D7566" w:rsidRDefault="005D7566" w:rsidP="006B7FA9">
            <w:pPr>
              <w:spacing w:after="0" w:line="259" w:lineRule="auto"/>
              <w:ind w:left="0"/>
            </w:pPr>
            <w:r w:rsidRPr="005D7566">
              <w:t>de Seze, J.,Collongues, N.  Novel advances in the diagnosis and treatment of neuromyelitis optica: is there a need to redefine the gold standard?. Expert Rev Clin Immunol.  2013. 9:979-86</w:t>
            </w:r>
          </w:p>
        </w:tc>
      </w:tr>
      <w:tr w:rsidR="005D7566" w:rsidRPr="005D7566" w14:paraId="357DE543" w14:textId="77777777" w:rsidTr="00706BE3">
        <w:trPr>
          <w:trHeight w:val="300"/>
        </w:trPr>
        <w:tc>
          <w:tcPr>
            <w:tcW w:w="9781" w:type="dxa"/>
            <w:noWrap/>
            <w:hideMark/>
          </w:tcPr>
          <w:p w14:paraId="6D8C2BEC" w14:textId="77777777" w:rsidR="005D7566" w:rsidRPr="005D7566" w:rsidRDefault="005D7566" w:rsidP="006B7FA9">
            <w:pPr>
              <w:spacing w:after="0" w:line="259" w:lineRule="auto"/>
              <w:ind w:left="0"/>
            </w:pPr>
            <w:r w:rsidRPr="005D7566">
              <w:t>de Seze, J.  MOG-antibody neuromyelitis optica spectrum disorder: is it a separate disease?. Brain.  2017. 140:3072-3075</w:t>
            </w:r>
          </w:p>
        </w:tc>
      </w:tr>
      <w:tr w:rsidR="005D7566" w:rsidRPr="005D7566" w14:paraId="21A57FBC" w14:textId="77777777" w:rsidTr="00706BE3">
        <w:trPr>
          <w:trHeight w:val="300"/>
        </w:trPr>
        <w:tc>
          <w:tcPr>
            <w:tcW w:w="9781" w:type="dxa"/>
            <w:noWrap/>
            <w:hideMark/>
          </w:tcPr>
          <w:p w14:paraId="39D0FDCD" w14:textId="77777777" w:rsidR="005D7566" w:rsidRPr="005D7566" w:rsidRDefault="005D7566" w:rsidP="006B7FA9">
            <w:pPr>
              <w:spacing w:after="0" w:line="259" w:lineRule="auto"/>
              <w:ind w:left="0"/>
            </w:pPr>
            <w:r w:rsidRPr="005D7566">
              <w:t>de Seze, J.  Myelin oligodendrocyte glycoprotein antibodies in neuromyelitis optica spectrum disorder. Curr Opin Neurol.  2019. 32:111-114</w:t>
            </w:r>
          </w:p>
        </w:tc>
      </w:tr>
      <w:tr w:rsidR="005D7566" w:rsidRPr="005D7566" w14:paraId="67B6D63C" w14:textId="77777777" w:rsidTr="00706BE3">
        <w:trPr>
          <w:trHeight w:val="300"/>
        </w:trPr>
        <w:tc>
          <w:tcPr>
            <w:tcW w:w="9781" w:type="dxa"/>
            <w:noWrap/>
            <w:hideMark/>
          </w:tcPr>
          <w:p w14:paraId="6522161A" w14:textId="77777777" w:rsidR="005D7566" w:rsidRPr="005D7566" w:rsidRDefault="005D7566" w:rsidP="006B7FA9">
            <w:pPr>
              <w:spacing w:after="0" w:line="259" w:lineRule="auto"/>
              <w:ind w:left="0"/>
            </w:pPr>
            <w:r w:rsidRPr="005D7566">
              <w:t>Derfuss, T.,Meinl, E.  Identifying autoantigens in demyelinating diseases: valuable clues to diagnosis and treatment?. Curr Opin Neurol.  2012. 25:231-8</w:t>
            </w:r>
          </w:p>
        </w:tc>
      </w:tr>
      <w:tr w:rsidR="005D7566" w:rsidRPr="005D7566" w14:paraId="461CCDC8" w14:textId="77777777" w:rsidTr="00706BE3">
        <w:trPr>
          <w:trHeight w:val="300"/>
        </w:trPr>
        <w:tc>
          <w:tcPr>
            <w:tcW w:w="9781" w:type="dxa"/>
            <w:noWrap/>
            <w:hideMark/>
          </w:tcPr>
          <w:p w14:paraId="6C45A020" w14:textId="77777777" w:rsidR="005D7566" w:rsidRPr="005D7566" w:rsidRDefault="005D7566" w:rsidP="006B7FA9">
            <w:pPr>
              <w:spacing w:after="0" w:line="259" w:lineRule="auto"/>
              <w:ind w:left="0"/>
            </w:pPr>
            <w:r w:rsidRPr="005D7566">
              <w:t>Deschamps, R.,Gueguen, A.,Lecler, A.,</w:t>
            </w:r>
            <w:r w:rsidR="00F31882">
              <w:t xml:space="preserve"> et al</w:t>
            </w:r>
            <w:r w:rsidRPr="005D7566">
              <w:t>.  Acute idiopathic optic neuritis: not always benign. Eur J Neurol.  2018. 25:1378-1383</w:t>
            </w:r>
          </w:p>
        </w:tc>
      </w:tr>
      <w:tr w:rsidR="005D7566" w:rsidRPr="005D7566" w14:paraId="178B1BEA" w14:textId="77777777" w:rsidTr="00706BE3">
        <w:trPr>
          <w:trHeight w:val="300"/>
        </w:trPr>
        <w:tc>
          <w:tcPr>
            <w:tcW w:w="9781" w:type="dxa"/>
            <w:noWrap/>
            <w:hideMark/>
          </w:tcPr>
          <w:p w14:paraId="5A0F49B2" w14:textId="77777777" w:rsidR="005D7566" w:rsidRPr="005D7566" w:rsidRDefault="005D7566" w:rsidP="006B7FA9">
            <w:pPr>
              <w:spacing w:after="0" w:line="259" w:lineRule="auto"/>
              <w:ind w:left="0"/>
            </w:pPr>
            <w:r w:rsidRPr="005D7566">
              <w:t>Deschamps, R.,Vasseur, V.,Shor, N.,</w:t>
            </w:r>
            <w:r w:rsidR="00F31882">
              <w:t xml:space="preserve"> et al</w:t>
            </w:r>
            <w:r w:rsidRPr="005D7566">
              <w:t>.  A new association: acute macular neuroretinopathy in acute optic neuritis. Acta Ophthalmol.  2019. 97:e753-e756</w:t>
            </w:r>
          </w:p>
        </w:tc>
      </w:tr>
      <w:tr w:rsidR="005D7566" w:rsidRPr="005D7566" w14:paraId="69FA6836" w14:textId="77777777" w:rsidTr="00706BE3">
        <w:trPr>
          <w:trHeight w:val="300"/>
        </w:trPr>
        <w:tc>
          <w:tcPr>
            <w:tcW w:w="9781" w:type="dxa"/>
            <w:noWrap/>
            <w:hideMark/>
          </w:tcPr>
          <w:p w14:paraId="4EBAA936" w14:textId="77777777" w:rsidR="005D7566" w:rsidRPr="005D7566" w:rsidRDefault="005D7566" w:rsidP="006B7FA9">
            <w:pPr>
              <w:spacing w:after="0" w:line="259" w:lineRule="auto"/>
              <w:ind w:left="0"/>
            </w:pPr>
            <w:r w:rsidRPr="005D7566">
              <w:t>Di Pauli, F.,Berger, T.  Myelin Oligodendrocyte Glycoprotein Antibody-Associated Disorders: Toward a New Spectrum of Inflammatory Demyelinating CNS Disorders?. Front Immunol.  2018. 9:2753</w:t>
            </w:r>
          </w:p>
        </w:tc>
      </w:tr>
      <w:tr w:rsidR="005D7566" w:rsidRPr="005D7566" w14:paraId="3EB1D7D3" w14:textId="77777777" w:rsidTr="00706BE3">
        <w:trPr>
          <w:trHeight w:val="300"/>
        </w:trPr>
        <w:tc>
          <w:tcPr>
            <w:tcW w:w="9781" w:type="dxa"/>
            <w:noWrap/>
            <w:hideMark/>
          </w:tcPr>
          <w:p w14:paraId="467CD987" w14:textId="77777777" w:rsidR="005D7566" w:rsidRPr="005D7566" w:rsidRDefault="005D7566" w:rsidP="006B7FA9">
            <w:pPr>
              <w:spacing w:after="0" w:line="259" w:lineRule="auto"/>
              <w:ind w:left="0"/>
            </w:pPr>
            <w:r w:rsidRPr="005D7566">
              <w:t>Doi, H.,Matsushita, T.,Isobe, N.,Ishizu, T.,Ohyagi, Y.,Kira, J.  Frequency of chronic headaches in Japanese patients with multiple sclerosis: with special reference to opticospinal and common forms of multiple sclerosis. Headache.  2009. 49:1513-20</w:t>
            </w:r>
          </w:p>
        </w:tc>
      </w:tr>
      <w:tr w:rsidR="005D7566" w:rsidRPr="005D7566" w14:paraId="028559AC" w14:textId="77777777" w:rsidTr="00706BE3">
        <w:trPr>
          <w:trHeight w:val="300"/>
        </w:trPr>
        <w:tc>
          <w:tcPr>
            <w:tcW w:w="9781" w:type="dxa"/>
            <w:noWrap/>
            <w:hideMark/>
          </w:tcPr>
          <w:p w14:paraId="47B193F1" w14:textId="77777777" w:rsidR="005D7566" w:rsidRPr="005D7566" w:rsidRDefault="005D7566" w:rsidP="006B7FA9">
            <w:pPr>
              <w:spacing w:after="0" w:line="259" w:lineRule="auto"/>
              <w:ind w:left="0"/>
            </w:pPr>
            <w:r w:rsidRPr="005D7566">
              <w:t>Duan, H.,Luo, Y.,Hao, H.,</w:t>
            </w:r>
            <w:r w:rsidR="00F31882">
              <w:t xml:space="preserve"> et al</w:t>
            </w:r>
            <w:r w:rsidRPr="005D7566">
              <w:t>.  Soluble CD146 in cerebrospinal fluid of active multiple sclerosis. Neuroscience.  2013. 235:16-26</w:t>
            </w:r>
          </w:p>
        </w:tc>
      </w:tr>
      <w:tr w:rsidR="005D7566" w:rsidRPr="005D7566" w14:paraId="04836E49" w14:textId="77777777" w:rsidTr="00706BE3">
        <w:trPr>
          <w:trHeight w:val="300"/>
        </w:trPr>
        <w:tc>
          <w:tcPr>
            <w:tcW w:w="9781" w:type="dxa"/>
            <w:noWrap/>
            <w:hideMark/>
          </w:tcPr>
          <w:p w14:paraId="50CDDC26" w14:textId="77777777" w:rsidR="005D7566" w:rsidRPr="005D7566" w:rsidRDefault="005D7566" w:rsidP="006B7FA9">
            <w:pPr>
              <w:spacing w:after="0" w:line="259" w:lineRule="auto"/>
              <w:ind w:left="0"/>
            </w:pPr>
            <w:r w:rsidRPr="005D7566">
              <w:t>Duignan, S.,Brownlee, W.,Wassmer, E.,</w:t>
            </w:r>
            <w:r w:rsidR="00F31882">
              <w:t xml:space="preserve"> et al</w:t>
            </w:r>
            <w:r w:rsidRPr="005D7566">
              <w:t>.  Paediatric multiple sclerosis: a new era in diagnosis and treatment. Developmental medicine and child neurology.  2019. #volume#:#pages#</w:t>
            </w:r>
          </w:p>
        </w:tc>
      </w:tr>
      <w:tr w:rsidR="005D7566" w:rsidRPr="005D7566" w14:paraId="188E1264" w14:textId="77777777" w:rsidTr="00706BE3">
        <w:trPr>
          <w:trHeight w:val="300"/>
        </w:trPr>
        <w:tc>
          <w:tcPr>
            <w:tcW w:w="9781" w:type="dxa"/>
            <w:noWrap/>
            <w:hideMark/>
          </w:tcPr>
          <w:p w14:paraId="412A8DC8" w14:textId="77777777" w:rsidR="005D7566" w:rsidRPr="005D7566" w:rsidRDefault="005D7566" w:rsidP="006B7FA9">
            <w:pPr>
              <w:spacing w:after="0" w:line="259" w:lineRule="auto"/>
              <w:ind w:left="0"/>
            </w:pPr>
            <w:r w:rsidRPr="005D7566">
              <w:t>Eichel, R.,Meiner, Z.,Abramsky, O.,Gotkine, M.  Acute disseminating encephalomyelitis in neuromyelitis optica: closing the floodgates. Arch Neurol.  2008. 65:267-71</w:t>
            </w:r>
          </w:p>
        </w:tc>
      </w:tr>
      <w:tr w:rsidR="005D7566" w:rsidRPr="005D7566" w14:paraId="2BE76488" w14:textId="77777777" w:rsidTr="00706BE3">
        <w:trPr>
          <w:trHeight w:val="300"/>
        </w:trPr>
        <w:tc>
          <w:tcPr>
            <w:tcW w:w="9781" w:type="dxa"/>
            <w:noWrap/>
            <w:hideMark/>
          </w:tcPr>
          <w:p w14:paraId="1D644CEA" w14:textId="77777777" w:rsidR="005D7566" w:rsidRPr="005D7566" w:rsidRDefault="005D7566" w:rsidP="006B7FA9">
            <w:pPr>
              <w:spacing w:after="0" w:line="259" w:lineRule="auto"/>
              <w:ind w:left="0"/>
            </w:pPr>
            <w:r w:rsidRPr="005D7566">
              <w:t>Eskandarieh, S.,Nedjat, S.,Abdollahpour, I.,</w:t>
            </w:r>
            <w:r w:rsidR="00F31882">
              <w:t xml:space="preserve"> et al</w:t>
            </w:r>
            <w:r w:rsidRPr="005D7566">
              <w:t>.  Environmental risk factors in neuromyelitis optica spectrum disorder: a case-control study. Acta Neurol Belg.  2018. 118:277-287</w:t>
            </w:r>
          </w:p>
        </w:tc>
      </w:tr>
      <w:tr w:rsidR="005D7566" w:rsidRPr="005D7566" w14:paraId="4C193054" w14:textId="77777777" w:rsidTr="00706BE3">
        <w:trPr>
          <w:trHeight w:val="300"/>
        </w:trPr>
        <w:tc>
          <w:tcPr>
            <w:tcW w:w="9781" w:type="dxa"/>
            <w:noWrap/>
            <w:hideMark/>
          </w:tcPr>
          <w:p w14:paraId="67087FBC" w14:textId="77777777" w:rsidR="005D7566" w:rsidRPr="005D7566" w:rsidRDefault="005D7566" w:rsidP="006B7FA9">
            <w:pPr>
              <w:spacing w:after="0" w:line="259" w:lineRule="auto"/>
              <w:ind w:left="0"/>
            </w:pPr>
            <w:r w:rsidRPr="005D7566">
              <w:t>Gomar, I. S.,Sánchez, M. D.,Sánchez, A. J. U.,</w:t>
            </w:r>
            <w:r w:rsidR="00F31882">
              <w:t xml:space="preserve"> et al</w:t>
            </w:r>
            <w:r w:rsidRPr="005D7566">
              <w:t>.  An immunoassay that distinguishes real neuromyelitis optica signals from a labeling detected in patients receiving natalizumab. BMC Neurology.  2014. 14:#pages#</w:t>
            </w:r>
          </w:p>
        </w:tc>
      </w:tr>
      <w:tr w:rsidR="005D7566" w:rsidRPr="005D7566" w14:paraId="637965DB" w14:textId="77777777" w:rsidTr="00706BE3">
        <w:trPr>
          <w:trHeight w:val="300"/>
        </w:trPr>
        <w:tc>
          <w:tcPr>
            <w:tcW w:w="9781" w:type="dxa"/>
            <w:noWrap/>
            <w:hideMark/>
          </w:tcPr>
          <w:p w14:paraId="7D5FE8F8" w14:textId="77777777" w:rsidR="005D7566" w:rsidRPr="005D7566" w:rsidRDefault="005D7566" w:rsidP="006B7FA9">
            <w:pPr>
              <w:spacing w:after="0" w:line="259" w:lineRule="auto"/>
              <w:ind w:left="0"/>
            </w:pPr>
            <w:r w:rsidRPr="005D7566">
              <w:t>Jarius, S.,Ruprecht, K.,Kleiter, I.,</w:t>
            </w:r>
            <w:r w:rsidR="00F31882">
              <w:t xml:space="preserve"> et al</w:t>
            </w:r>
            <w:r w:rsidRPr="005D7566">
              <w:t>.  MOG-IgG in NMO and related disorders: a multicenter study. Part 2: epidemiology, clinical presentation, radiological and laboratory features, treatment, and longterm outcome. Multiple sclerosis (Houndmills, Basingstoke, England).  2016. Conference: 32nd Congress of the European Committee for Treatment and Research in Multiple Sclerosis, ECTRIMS 2016. United Kingdom. Conference Start: 20160914. Conference End: 20160917. 22:409</w:t>
            </w:r>
          </w:p>
        </w:tc>
      </w:tr>
      <w:tr w:rsidR="005D7566" w:rsidRPr="005D7566" w14:paraId="5A9F9C91" w14:textId="77777777" w:rsidTr="00706BE3">
        <w:trPr>
          <w:trHeight w:val="300"/>
        </w:trPr>
        <w:tc>
          <w:tcPr>
            <w:tcW w:w="9781" w:type="dxa"/>
            <w:noWrap/>
            <w:hideMark/>
          </w:tcPr>
          <w:p w14:paraId="434574D3" w14:textId="77777777" w:rsidR="005D7566" w:rsidRPr="005D7566" w:rsidRDefault="005D7566" w:rsidP="006B7FA9">
            <w:pPr>
              <w:spacing w:after="0" w:line="259" w:lineRule="auto"/>
              <w:ind w:left="0"/>
            </w:pPr>
            <w:r w:rsidRPr="005D7566">
              <w:t>Li, H.,Liu, Z.,Gong, Y.,</w:t>
            </w:r>
            <w:r w:rsidR="00F31882">
              <w:t xml:space="preserve"> et al</w:t>
            </w:r>
            <w:r w:rsidRPr="005D7566">
              <w:t>.  Application of immunosuppressant facilitates the therapy of optic neuritis combined with Sjogren's syndrome. Chin Med J (Engl).  2014. 127:3098-104</w:t>
            </w:r>
          </w:p>
        </w:tc>
      </w:tr>
      <w:tr w:rsidR="005D7566" w:rsidRPr="005D7566" w14:paraId="79F7DBB1" w14:textId="77777777" w:rsidTr="00706BE3">
        <w:trPr>
          <w:trHeight w:val="300"/>
        </w:trPr>
        <w:tc>
          <w:tcPr>
            <w:tcW w:w="9781" w:type="dxa"/>
            <w:noWrap/>
            <w:hideMark/>
          </w:tcPr>
          <w:p w14:paraId="38463F51" w14:textId="77777777" w:rsidR="005D7566" w:rsidRPr="005D7566" w:rsidRDefault="005D7566" w:rsidP="006B7FA9">
            <w:pPr>
              <w:spacing w:after="0" w:line="259" w:lineRule="auto"/>
              <w:ind w:left="0"/>
            </w:pPr>
            <w:r w:rsidRPr="005D7566">
              <w:t>Long, Y.,Zheng, Y.,Chen, M.,</w:t>
            </w:r>
            <w:r w:rsidR="00F31882">
              <w:t xml:space="preserve"> et al</w:t>
            </w:r>
            <w:r w:rsidRPr="005D7566">
              <w:t>.  Antineutrophil cytoplasmic antibodies in patients with idiopathic inflammatory-demyelinating diseases. Neuroimmunomodulation.  2014. 21:297-303</w:t>
            </w:r>
          </w:p>
        </w:tc>
      </w:tr>
      <w:tr w:rsidR="005D7566" w:rsidRPr="005D7566" w14:paraId="79FA9B01" w14:textId="77777777" w:rsidTr="00706BE3">
        <w:trPr>
          <w:trHeight w:val="300"/>
        </w:trPr>
        <w:tc>
          <w:tcPr>
            <w:tcW w:w="9781" w:type="dxa"/>
            <w:noWrap/>
            <w:hideMark/>
          </w:tcPr>
          <w:p w14:paraId="34B40A44" w14:textId="77777777" w:rsidR="005D7566" w:rsidRPr="005D7566" w:rsidRDefault="005D7566" w:rsidP="006B7FA9">
            <w:pPr>
              <w:spacing w:after="0" w:line="259" w:lineRule="auto"/>
              <w:ind w:left="0"/>
            </w:pPr>
            <w:r w:rsidRPr="005D7566">
              <w:lastRenderedPageBreak/>
              <w:t>Long, Y.,Zheng, Y.,Chen, M.,</w:t>
            </w:r>
            <w:r w:rsidR="00F31882">
              <w:t xml:space="preserve"> et al</w:t>
            </w:r>
            <w:r w:rsidRPr="005D7566">
              <w:t>.  Serum thyroid-stimulating hormone and anti-thyroglobulin antibody are independently associated with lesions in spinal cord in central nervous system demyelinating diseases. PLoS One.  2014. 9:e100672</w:t>
            </w:r>
          </w:p>
        </w:tc>
      </w:tr>
      <w:tr w:rsidR="005D7566" w:rsidRPr="005D7566" w14:paraId="5360DA98" w14:textId="77777777" w:rsidTr="00706BE3">
        <w:trPr>
          <w:trHeight w:val="300"/>
        </w:trPr>
        <w:tc>
          <w:tcPr>
            <w:tcW w:w="9781" w:type="dxa"/>
            <w:noWrap/>
            <w:hideMark/>
          </w:tcPr>
          <w:p w14:paraId="1E19806F" w14:textId="77777777" w:rsidR="005D7566" w:rsidRPr="005D7566" w:rsidRDefault="005D7566" w:rsidP="006B7FA9">
            <w:pPr>
              <w:spacing w:after="0" w:line="259" w:lineRule="auto"/>
              <w:ind w:left="0"/>
            </w:pPr>
            <w:r w:rsidRPr="005D7566">
              <w:t>Lopez-Chiriboga, A. S.,Majed, M.,Fryer, J.,</w:t>
            </w:r>
            <w:r w:rsidR="00F31882">
              <w:t xml:space="preserve"> et al</w:t>
            </w:r>
            <w:r w:rsidRPr="005D7566">
              <w:t>.  Association of MOG-IgG Serostatus With Relapse After Acute Disseminated Encephalomyelitis and Proposed Diagnostic Criteria for MOG-IgG-Associated Disorders. JAMA Neurol.  2018. 75:1355-1363</w:t>
            </w:r>
          </w:p>
        </w:tc>
      </w:tr>
      <w:tr w:rsidR="005D7566" w:rsidRPr="005D7566" w14:paraId="61423CD5" w14:textId="77777777" w:rsidTr="00706BE3">
        <w:trPr>
          <w:trHeight w:val="300"/>
        </w:trPr>
        <w:tc>
          <w:tcPr>
            <w:tcW w:w="9781" w:type="dxa"/>
            <w:noWrap/>
            <w:hideMark/>
          </w:tcPr>
          <w:p w14:paraId="45AEE2DE" w14:textId="77777777" w:rsidR="005D7566" w:rsidRPr="005D7566" w:rsidRDefault="005D7566" w:rsidP="006B7FA9">
            <w:pPr>
              <w:spacing w:after="0" w:line="259" w:lineRule="auto"/>
              <w:ind w:left="0"/>
            </w:pPr>
            <w:r w:rsidRPr="005D7566">
              <w:t>Marignier, R.,De Seze, J.,Vukusic, S.,</w:t>
            </w:r>
            <w:r w:rsidR="00F31882">
              <w:t xml:space="preserve"> et al</w:t>
            </w:r>
            <w:r w:rsidRPr="005D7566">
              <w:t>.  NMO-IgG and Devic's neuromyelitis optica: a French experience. Mult Scler.  2008. 14:440-5</w:t>
            </w:r>
          </w:p>
        </w:tc>
      </w:tr>
      <w:tr w:rsidR="005D7566" w:rsidRPr="005D7566" w14:paraId="28BE2DAE" w14:textId="77777777" w:rsidTr="00706BE3">
        <w:trPr>
          <w:trHeight w:val="300"/>
        </w:trPr>
        <w:tc>
          <w:tcPr>
            <w:tcW w:w="9781" w:type="dxa"/>
            <w:noWrap/>
            <w:hideMark/>
          </w:tcPr>
          <w:p w14:paraId="45249D95" w14:textId="77777777" w:rsidR="005D7566" w:rsidRPr="005D7566" w:rsidRDefault="005D7566" w:rsidP="006B7FA9">
            <w:pPr>
              <w:spacing w:after="0" w:line="259" w:lineRule="auto"/>
              <w:ind w:left="0"/>
            </w:pPr>
            <w:r w:rsidRPr="005D7566">
              <w:t>Matsumoto, H.,Shimizu, T.,Okabe, S.,</w:t>
            </w:r>
            <w:r w:rsidR="00F31882">
              <w:t xml:space="preserve"> et al</w:t>
            </w:r>
            <w:r w:rsidRPr="005D7566">
              <w:t>.  Recurrent spinal cord attacks in a patient with a limited form of neuromyelitis optica. Intern Med.  2011. 50:509-13</w:t>
            </w:r>
          </w:p>
        </w:tc>
      </w:tr>
      <w:tr w:rsidR="005D7566" w:rsidRPr="005D7566" w14:paraId="32AF8327" w14:textId="77777777" w:rsidTr="00706BE3">
        <w:trPr>
          <w:trHeight w:val="300"/>
        </w:trPr>
        <w:tc>
          <w:tcPr>
            <w:tcW w:w="9781" w:type="dxa"/>
            <w:noWrap/>
            <w:hideMark/>
          </w:tcPr>
          <w:p w14:paraId="22EB29CE" w14:textId="77777777" w:rsidR="005D7566" w:rsidRPr="005D7566" w:rsidRDefault="005D7566" w:rsidP="006B7FA9">
            <w:pPr>
              <w:spacing w:after="0" w:line="259" w:lineRule="auto"/>
              <w:ind w:left="0"/>
            </w:pPr>
            <w:r w:rsidRPr="005D7566">
              <w:t>Mori, M.,Kawaguchi, N.,Uzawa, A.,Nemoto, Y.,Masuda, S.,Kuwabara, S.  Seroconversion of anti-aquaporin-4 antibody in NMO spectrum disorder: a case report. J Neurol.  2012. 259:980-1</w:t>
            </w:r>
          </w:p>
        </w:tc>
      </w:tr>
      <w:tr w:rsidR="005D7566" w:rsidRPr="005D7566" w14:paraId="50D4A569" w14:textId="77777777" w:rsidTr="00706BE3">
        <w:trPr>
          <w:trHeight w:val="300"/>
        </w:trPr>
        <w:tc>
          <w:tcPr>
            <w:tcW w:w="9781" w:type="dxa"/>
            <w:noWrap/>
            <w:hideMark/>
          </w:tcPr>
          <w:p w14:paraId="1247354E" w14:textId="77777777" w:rsidR="005D7566" w:rsidRPr="005D7566" w:rsidRDefault="005D7566" w:rsidP="006B7FA9">
            <w:pPr>
              <w:spacing w:after="0" w:line="259" w:lineRule="auto"/>
              <w:ind w:left="0"/>
            </w:pPr>
            <w:r w:rsidRPr="005D7566">
              <w:t>Mori, M.,Masuda, H.  A case of anti-aquaporin-4 antibody-seronegative NMO spectrum disorder with Balo concentric lesions. Intern Med.  2014. 53:531</w:t>
            </w:r>
          </w:p>
        </w:tc>
      </w:tr>
      <w:tr w:rsidR="005D7566" w:rsidRPr="005D7566" w14:paraId="43DAD350" w14:textId="77777777" w:rsidTr="00706BE3">
        <w:trPr>
          <w:trHeight w:val="300"/>
        </w:trPr>
        <w:tc>
          <w:tcPr>
            <w:tcW w:w="9781" w:type="dxa"/>
            <w:noWrap/>
            <w:hideMark/>
          </w:tcPr>
          <w:p w14:paraId="08DA9034" w14:textId="77777777" w:rsidR="005D7566" w:rsidRPr="005D7566" w:rsidRDefault="005D7566" w:rsidP="006B7FA9">
            <w:pPr>
              <w:spacing w:after="0" w:line="259" w:lineRule="auto"/>
              <w:ind w:left="0"/>
            </w:pPr>
            <w:r w:rsidRPr="005D7566">
              <w:t>Nagaishi, A.,Takagi, M.,Umemura, A.,</w:t>
            </w:r>
            <w:r w:rsidR="00F31882">
              <w:t xml:space="preserve"> et al</w:t>
            </w:r>
            <w:r w:rsidRPr="005D7566">
              <w:t>.  Clinical features of neuromyelitis optica in a large Japanese cohort: comparison between phenotypes. J Neurol Neurosurg Psychiatry.  2011. 82:1360-4</w:t>
            </w:r>
          </w:p>
        </w:tc>
      </w:tr>
      <w:tr w:rsidR="005D7566" w:rsidRPr="005D7566" w14:paraId="63454776" w14:textId="77777777" w:rsidTr="00706BE3">
        <w:trPr>
          <w:trHeight w:val="300"/>
        </w:trPr>
        <w:tc>
          <w:tcPr>
            <w:tcW w:w="9781" w:type="dxa"/>
            <w:noWrap/>
            <w:hideMark/>
          </w:tcPr>
          <w:p w14:paraId="3CE97549" w14:textId="77777777" w:rsidR="005D7566" w:rsidRPr="005D7566" w:rsidRDefault="005D7566" w:rsidP="006B7FA9">
            <w:pPr>
              <w:spacing w:after="0" w:line="259" w:lineRule="auto"/>
              <w:ind w:left="0"/>
            </w:pPr>
            <w:r w:rsidRPr="005D7566">
              <w:t>Otallah, S.,Banwell, B.  Pediatric Multiple Sclerosis: an Update. Curr Neurol Neurosci Rep.  2018. 18:76</w:t>
            </w:r>
          </w:p>
        </w:tc>
      </w:tr>
      <w:tr w:rsidR="005D7566" w:rsidRPr="005D7566" w14:paraId="0F3621CC" w14:textId="77777777" w:rsidTr="00706BE3">
        <w:trPr>
          <w:trHeight w:val="300"/>
        </w:trPr>
        <w:tc>
          <w:tcPr>
            <w:tcW w:w="9781" w:type="dxa"/>
            <w:noWrap/>
            <w:hideMark/>
          </w:tcPr>
          <w:p w14:paraId="73D360D1" w14:textId="77777777" w:rsidR="005D7566" w:rsidRPr="005D7566" w:rsidRDefault="005D7566" w:rsidP="006B7FA9">
            <w:pPr>
              <w:spacing w:after="0" w:line="259" w:lineRule="auto"/>
              <w:ind w:left="0"/>
            </w:pPr>
            <w:r w:rsidRPr="005D7566">
              <w:t>Papais-Alvarenga, R. M.,Vasconcelos, C. C.,Carra, A.,e Castillo, I. S.,</w:t>
            </w:r>
            <w:r w:rsidR="00F31882">
              <w:t xml:space="preserve"> et al</w:t>
            </w:r>
            <w:r w:rsidRPr="005D7566">
              <w:t>.  Central Nervous System Idiopathic Inflammatory Demyelinating Disorders in South Americans: A Descriptive, Multicenter, Cross-Sectional Study. PLoS One.  2015. 10:e0127757</w:t>
            </w:r>
          </w:p>
        </w:tc>
      </w:tr>
      <w:tr w:rsidR="005D7566" w:rsidRPr="005D7566" w14:paraId="6E0FF97D" w14:textId="77777777" w:rsidTr="00706BE3">
        <w:trPr>
          <w:trHeight w:val="300"/>
        </w:trPr>
        <w:tc>
          <w:tcPr>
            <w:tcW w:w="9781" w:type="dxa"/>
            <w:noWrap/>
            <w:hideMark/>
          </w:tcPr>
          <w:p w14:paraId="2ABB49EE" w14:textId="77777777" w:rsidR="005D7566" w:rsidRPr="005D7566" w:rsidRDefault="005D7566" w:rsidP="006B7FA9">
            <w:pPr>
              <w:spacing w:after="0" w:line="259" w:lineRule="auto"/>
              <w:ind w:left="0"/>
            </w:pPr>
            <w:r w:rsidRPr="005D7566">
              <w:t>Qiu, W.,Raven, S.,Wu, J. S.,</w:t>
            </w:r>
            <w:r w:rsidR="00F31882">
              <w:t xml:space="preserve"> et al</w:t>
            </w:r>
            <w:r w:rsidRPr="005D7566">
              <w:t>.  Hypothalamic lesions in multiple sclerosis. J Neurol Neurosurg Psychiatry.  2011. 82:819-22</w:t>
            </w:r>
          </w:p>
        </w:tc>
      </w:tr>
      <w:tr w:rsidR="005D7566" w:rsidRPr="005D7566" w14:paraId="24B36C7A" w14:textId="77777777" w:rsidTr="00706BE3">
        <w:trPr>
          <w:trHeight w:val="300"/>
        </w:trPr>
        <w:tc>
          <w:tcPr>
            <w:tcW w:w="9781" w:type="dxa"/>
            <w:noWrap/>
            <w:hideMark/>
          </w:tcPr>
          <w:p w14:paraId="75E31BEE" w14:textId="77777777" w:rsidR="005D7566" w:rsidRPr="005D7566" w:rsidRDefault="005D7566" w:rsidP="006B7FA9">
            <w:pPr>
              <w:spacing w:after="0" w:line="259" w:lineRule="auto"/>
              <w:ind w:left="0"/>
            </w:pPr>
            <w:r w:rsidRPr="005D7566">
              <w:t>Sato, D. K.,Takahashi, T.,Waters, P. J.,Fujihara, K.  Distinction between MOG antibody-positive and AQP4 antibody-positive NMO: Spectrum disorders: Response. Neurology.  2014. 83:475-476</w:t>
            </w:r>
          </w:p>
        </w:tc>
      </w:tr>
      <w:tr w:rsidR="005D7566" w:rsidRPr="005D7566" w14:paraId="6F01A876" w14:textId="77777777" w:rsidTr="00706BE3">
        <w:trPr>
          <w:trHeight w:val="300"/>
        </w:trPr>
        <w:tc>
          <w:tcPr>
            <w:tcW w:w="9781" w:type="dxa"/>
            <w:noWrap/>
            <w:hideMark/>
          </w:tcPr>
          <w:p w14:paraId="12555745" w14:textId="77777777" w:rsidR="005D7566" w:rsidRPr="005D7566" w:rsidRDefault="005D7566" w:rsidP="006B7FA9">
            <w:pPr>
              <w:spacing w:after="0" w:line="259" w:lineRule="auto"/>
              <w:ind w:left="0"/>
            </w:pPr>
            <w:r w:rsidRPr="005D7566">
              <w:t>Sato, S.,Yamamoto, K.,Kawano, Y.,</w:t>
            </w:r>
            <w:r w:rsidR="00F31882">
              <w:t xml:space="preserve"> et al</w:t>
            </w:r>
            <w:r w:rsidRPr="005D7566">
              <w:t>.  Copy number variation in multiple sclerosis and neuromyelitis optica: A genome-wide survey. Multiple Sclerosis.  2013. 19:381</w:t>
            </w:r>
          </w:p>
        </w:tc>
      </w:tr>
      <w:tr w:rsidR="005D7566" w:rsidRPr="005D7566" w14:paraId="3BC647D2" w14:textId="77777777" w:rsidTr="00706BE3">
        <w:trPr>
          <w:trHeight w:val="300"/>
        </w:trPr>
        <w:tc>
          <w:tcPr>
            <w:tcW w:w="9781" w:type="dxa"/>
            <w:noWrap/>
            <w:hideMark/>
          </w:tcPr>
          <w:p w14:paraId="2DA8B220" w14:textId="77777777" w:rsidR="005D7566" w:rsidRPr="005D7566" w:rsidRDefault="005D7566" w:rsidP="006B7FA9">
            <w:pPr>
              <w:spacing w:after="0" w:line="259" w:lineRule="auto"/>
              <w:ind w:left="0"/>
            </w:pPr>
            <w:r w:rsidRPr="005D7566">
              <w:t>Waters, P.,Jarius, S.,Littleton, E.,</w:t>
            </w:r>
            <w:r w:rsidR="00F31882">
              <w:t xml:space="preserve"> et al</w:t>
            </w:r>
            <w:r w:rsidRPr="005D7566">
              <w:t>.  Aquaporin-4 antibodies in neuromyelitis optica and longitudinally extensive transverse myelitis. Arch Neurol.  2008. 65:913-9</w:t>
            </w:r>
          </w:p>
        </w:tc>
      </w:tr>
      <w:tr w:rsidR="005D7566" w:rsidRPr="005D7566" w14:paraId="59EE9B75" w14:textId="77777777" w:rsidTr="00706BE3">
        <w:trPr>
          <w:trHeight w:val="300"/>
        </w:trPr>
        <w:tc>
          <w:tcPr>
            <w:tcW w:w="9781" w:type="dxa"/>
            <w:noWrap/>
            <w:hideMark/>
          </w:tcPr>
          <w:p w14:paraId="40BE2718" w14:textId="77777777" w:rsidR="005D7566" w:rsidRPr="005D7566" w:rsidRDefault="005D7566" w:rsidP="00F31882">
            <w:pPr>
              <w:spacing w:after="0" w:line="259" w:lineRule="auto"/>
              <w:ind w:left="0"/>
              <w:rPr>
                <w:b/>
                <w:bCs/>
              </w:rPr>
            </w:pPr>
            <w:r w:rsidRPr="005D7566">
              <w:rPr>
                <w:b/>
                <w:bCs/>
              </w:rPr>
              <w:t>Unable to retrieve full text article</w:t>
            </w:r>
          </w:p>
        </w:tc>
      </w:tr>
      <w:tr w:rsidR="005D7566" w:rsidRPr="005D7566" w14:paraId="657E4036" w14:textId="77777777" w:rsidTr="00706BE3">
        <w:trPr>
          <w:trHeight w:val="300"/>
        </w:trPr>
        <w:tc>
          <w:tcPr>
            <w:tcW w:w="9781" w:type="dxa"/>
            <w:noWrap/>
            <w:hideMark/>
          </w:tcPr>
          <w:p w14:paraId="31CECC3E" w14:textId="77777777" w:rsidR="005D7566" w:rsidRPr="005D7566" w:rsidRDefault="005D7566" w:rsidP="006B7FA9">
            <w:pPr>
              <w:spacing w:after="0" w:line="259" w:lineRule="auto"/>
              <w:ind w:left="0"/>
            </w:pPr>
            <w:r w:rsidRPr="005D7566">
              <w:t>Sangwirotekun, P.,Tritanon, O.,Jindahra, P.,</w:t>
            </w:r>
            <w:r w:rsidR="00F31882">
              <w:t xml:space="preserve"> et al</w:t>
            </w:r>
            <w:r w:rsidRPr="005D7566">
              <w:t>.  Brain MRI study in thai patient with neuromyelitis optica. Journal of the Medical Association of Thailand.  2018. 101:126-130</w:t>
            </w:r>
          </w:p>
        </w:tc>
      </w:tr>
    </w:tbl>
    <w:p w14:paraId="377241B7" w14:textId="77777777" w:rsidR="005D7566" w:rsidRPr="00183E4D" w:rsidRDefault="005D7566" w:rsidP="00ED65EE"/>
    <w:p w14:paraId="354FEB1D" w14:textId="77777777" w:rsidR="00ED65EE" w:rsidRDefault="00ED65EE" w:rsidP="00ED65EE">
      <w:pPr>
        <w:rPr>
          <w:rFonts w:eastAsiaTheme="minorHAnsi"/>
          <w:lang w:eastAsia="en-US"/>
        </w:rPr>
      </w:pPr>
      <w:r w:rsidRPr="00183E4D">
        <w:rPr>
          <w:rFonts w:eastAsiaTheme="minorHAnsi"/>
          <w:lang w:eastAsia="en-US"/>
        </w:rPr>
        <w:br w:type="page"/>
      </w:r>
    </w:p>
    <w:p w14:paraId="55FB8503" w14:textId="32F2446F" w:rsidR="00635D45" w:rsidRPr="00183E4D" w:rsidRDefault="00635D45" w:rsidP="00635D45">
      <w:pPr>
        <w:pStyle w:val="Heading1"/>
        <w:jc w:val="both"/>
      </w:pPr>
      <w:bookmarkStart w:id="658" w:name="_Ref33191314"/>
      <w:bookmarkStart w:id="659" w:name="_Ref30417450"/>
      <w:bookmarkStart w:id="660" w:name="_Toc39588396"/>
      <w:r w:rsidRPr="00183E4D">
        <w:lastRenderedPageBreak/>
        <w:t xml:space="preserve">Appendix </w:t>
      </w:r>
      <w:r>
        <w:rPr>
          <w:noProof/>
        </w:rPr>
        <w:fldChar w:fldCharType="begin"/>
      </w:r>
      <w:r>
        <w:rPr>
          <w:noProof/>
        </w:rPr>
        <w:instrText xml:space="preserve"> SEQ Appendix \* ALPHABETIC </w:instrText>
      </w:r>
      <w:r>
        <w:rPr>
          <w:noProof/>
        </w:rPr>
        <w:fldChar w:fldCharType="separate"/>
      </w:r>
      <w:r w:rsidR="005E0404">
        <w:rPr>
          <w:noProof/>
        </w:rPr>
        <w:t>F</w:t>
      </w:r>
      <w:r>
        <w:rPr>
          <w:noProof/>
        </w:rPr>
        <w:fldChar w:fldCharType="end"/>
      </w:r>
      <w:bookmarkEnd w:id="658"/>
      <w:r w:rsidRPr="00183E4D">
        <w:tab/>
      </w:r>
      <w:r w:rsidR="00F76534">
        <w:t>IPND diagnostic criteria for NMOSD</w:t>
      </w:r>
      <w:bookmarkEnd w:id="659"/>
      <w:bookmarkEnd w:id="660"/>
    </w:p>
    <w:p w14:paraId="2D2A96E3" w14:textId="1E5CBB9F" w:rsidR="00F76534" w:rsidRDefault="00F76534" w:rsidP="005520FE">
      <w:pPr>
        <w:pStyle w:val="Caption"/>
        <w:rPr>
          <w:lang w:val="en-GB" w:eastAsia="ja-JP"/>
        </w:rPr>
      </w:pPr>
      <w:bookmarkStart w:id="661" w:name="_Ref23241000"/>
      <w:bookmarkStart w:id="662" w:name="_Toc39580888"/>
      <w:r w:rsidRPr="00F76534">
        <w:rPr>
          <w:lang w:val="en-GB" w:eastAsia="ja-JP"/>
        </w:rPr>
        <w:t xml:space="preserve">Table </w:t>
      </w:r>
      <w:r w:rsidRPr="00F76534">
        <w:rPr>
          <w:lang w:val="en-GB" w:eastAsia="ja-JP"/>
        </w:rPr>
        <w:fldChar w:fldCharType="begin"/>
      </w:r>
      <w:r w:rsidRPr="00F76534">
        <w:rPr>
          <w:lang w:val="en-GB" w:eastAsia="ja-JP"/>
        </w:rPr>
        <w:instrText xml:space="preserve"> SEQ Table \* ARABIC </w:instrText>
      </w:r>
      <w:r w:rsidRPr="00F76534">
        <w:rPr>
          <w:lang w:val="en-GB" w:eastAsia="ja-JP"/>
        </w:rPr>
        <w:fldChar w:fldCharType="separate"/>
      </w:r>
      <w:r w:rsidR="00FA7BCD">
        <w:rPr>
          <w:noProof/>
          <w:lang w:val="en-GB" w:eastAsia="ja-JP"/>
        </w:rPr>
        <w:t>107</w:t>
      </w:r>
      <w:r w:rsidRPr="00F76534">
        <w:rPr>
          <w:lang w:val="en-GB" w:eastAsia="ja-JP"/>
        </w:rPr>
        <w:fldChar w:fldCharType="end"/>
      </w:r>
      <w:bookmarkEnd w:id="661"/>
      <w:r w:rsidRPr="00F76534">
        <w:rPr>
          <w:lang w:val="en-GB" w:eastAsia="ja-JP"/>
        </w:rPr>
        <w:tab/>
        <w:t xml:space="preserve">Diagnostic criteria for NMOSD </w:t>
      </w:r>
      <w:r w:rsidRPr="00F76534">
        <w:rPr>
          <w:lang w:val="en-GB" w:eastAsia="ja-JP"/>
        </w:rPr>
        <w:fldChar w:fldCharType="begin"/>
      </w:r>
      <w:r w:rsidR="00646E7C">
        <w:rPr>
          <w:lang w:val="en-GB" w:eastAsia="ja-JP"/>
        </w:rPr>
        <w:instrText xml:space="preserve"> ADDIN EN.CITE &lt;EndNote&gt;&lt;Cite&gt;&lt;Author&gt;Wingerchuk&lt;/Author&gt;&lt;Year&gt;2015&lt;/Year&gt;&lt;RecNum&gt;35&lt;/RecNum&gt;&lt;DisplayText&gt;(Wingerchuk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Pr="00F76534">
        <w:rPr>
          <w:lang w:val="en-GB" w:eastAsia="ja-JP"/>
        </w:rPr>
        <w:fldChar w:fldCharType="separate"/>
      </w:r>
      <w:r w:rsidR="00646E7C">
        <w:rPr>
          <w:noProof/>
          <w:lang w:val="en-GB" w:eastAsia="ja-JP"/>
        </w:rPr>
        <w:t>(Wingerchuk et al. 2015)</w:t>
      </w:r>
      <w:bookmarkEnd w:id="662"/>
      <w:r w:rsidRPr="00F76534">
        <w:rPr>
          <w:lang w:val="en-GB" w:eastAsia="ja-JP"/>
        </w:rPr>
        <w:fldChar w:fldCharType="end"/>
      </w:r>
    </w:p>
    <w:tbl>
      <w:tblPr>
        <w:tblStyle w:val="TableGrid"/>
        <w:tblW w:w="0" w:type="auto"/>
        <w:tblLook w:val="04A0" w:firstRow="1" w:lastRow="0" w:firstColumn="1" w:lastColumn="0" w:noHBand="0" w:noVBand="1"/>
        <w:tblCaption w:val="Diagnostic criteria for NMOSD (Wingerchuk et al. 2015b)"/>
        <w:tblDescription w:val="Criteria required with and without knowledge of AQP4 antibodies. "/>
      </w:tblPr>
      <w:tblGrid>
        <w:gridCol w:w="9016"/>
      </w:tblGrid>
      <w:tr w:rsidR="00340849" w14:paraId="610EA616" w14:textId="77777777" w:rsidTr="00340849">
        <w:tc>
          <w:tcPr>
            <w:tcW w:w="9016" w:type="dxa"/>
          </w:tcPr>
          <w:p w14:paraId="54EB8368" w14:textId="77777777" w:rsidR="00340849" w:rsidRPr="00340849" w:rsidRDefault="00340849" w:rsidP="00340849">
            <w:pPr>
              <w:pStyle w:val="TableText0"/>
              <w:ind w:left="0"/>
              <w:rPr>
                <w:b/>
                <w:lang w:val="en-GB"/>
              </w:rPr>
            </w:pPr>
            <w:r w:rsidRPr="00340849">
              <w:rPr>
                <w:b/>
                <w:lang w:val="en-GB"/>
              </w:rPr>
              <w:t>Diagnostic criteria for NMOSD with AQP4-IgG</w:t>
            </w:r>
          </w:p>
          <w:p w14:paraId="40C6AB22" w14:textId="77777777" w:rsidR="00340849" w:rsidRDefault="00340849" w:rsidP="00340849">
            <w:pPr>
              <w:pStyle w:val="TableText0"/>
              <w:ind w:left="0"/>
              <w:rPr>
                <w:lang w:val="en-GB"/>
              </w:rPr>
            </w:pPr>
            <w:r>
              <w:rPr>
                <w:lang w:val="en-GB"/>
              </w:rPr>
              <w:t>1. At least 1 core clinical characteristic</w:t>
            </w:r>
          </w:p>
          <w:p w14:paraId="0296D32E" w14:textId="77777777" w:rsidR="00340849" w:rsidRDefault="00340849" w:rsidP="00340849">
            <w:pPr>
              <w:pStyle w:val="TableText0"/>
              <w:ind w:left="0"/>
              <w:rPr>
                <w:lang w:val="en-GB"/>
              </w:rPr>
            </w:pPr>
            <w:r>
              <w:rPr>
                <w:lang w:val="en-GB"/>
              </w:rPr>
              <w:t>2. Positive test for AQP4-IgG using best available detection method (cell-based assay strongly recommended)</w:t>
            </w:r>
          </w:p>
          <w:p w14:paraId="42055159" w14:textId="3B8EE792" w:rsidR="00340849" w:rsidRDefault="00340849" w:rsidP="00340849">
            <w:pPr>
              <w:pStyle w:val="TableText0"/>
              <w:ind w:left="0"/>
              <w:rPr>
                <w:lang w:val="en-GB"/>
              </w:rPr>
            </w:pPr>
            <w:r>
              <w:rPr>
                <w:lang w:val="en-GB"/>
              </w:rPr>
              <w:t>3. Exclusion of alternative diagnosis</w:t>
            </w:r>
          </w:p>
        </w:tc>
      </w:tr>
      <w:tr w:rsidR="00340849" w14:paraId="36E6A969" w14:textId="77777777" w:rsidTr="00340849">
        <w:tc>
          <w:tcPr>
            <w:tcW w:w="9016" w:type="dxa"/>
          </w:tcPr>
          <w:p w14:paraId="463519D0" w14:textId="77777777" w:rsidR="00340849" w:rsidRPr="00340849" w:rsidRDefault="00340849" w:rsidP="00340849">
            <w:pPr>
              <w:pStyle w:val="TableText0"/>
              <w:ind w:left="0"/>
              <w:rPr>
                <w:b/>
                <w:lang w:val="en-GB"/>
              </w:rPr>
            </w:pPr>
            <w:r w:rsidRPr="00340849">
              <w:rPr>
                <w:b/>
                <w:lang w:val="en-GB"/>
              </w:rPr>
              <w:t>Diagnostic criteria for NMOSD without AQP4-IgG or NMOSD with unknown AQP4-IgG status</w:t>
            </w:r>
          </w:p>
          <w:p w14:paraId="2C0C6A57" w14:textId="77777777" w:rsidR="00340849" w:rsidRDefault="00340849" w:rsidP="00340849">
            <w:pPr>
              <w:pStyle w:val="TableText0"/>
              <w:ind w:left="0"/>
              <w:rPr>
                <w:lang w:val="en-GB"/>
              </w:rPr>
            </w:pPr>
            <w:r>
              <w:rPr>
                <w:lang w:val="en-GB"/>
              </w:rPr>
              <w:t>1. At least 2 core clinical characteristics occurring as a result of one or more clinical attacks and meeting all of the following requirements:</w:t>
            </w:r>
          </w:p>
          <w:p w14:paraId="16F1FFF7" w14:textId="77777777" w:rsidR="00340849" w:rsidRDefault="00340849" w:rsidP="00340849">
            <w:pPr>
              <w:pStyle w:val="TableText0"/>
              <w:ind w:left="0"/>
              <w:rPr>
                <w:lang w:val="en-GB"/>
              </w:rPr>
            </w:pPr>
            <w:r>
              <w:rPr>
                <w:lang w:val="en-GB"/>
              </w:rPr>
              <w:tab/>
              <w:t xml:space="preserve">a. At least 1 core clinical characteristic must be optic neuritis, acute myelitis with LETM, or area postrema </w:t>
            </w:r>
            <w:r>
              <w:rPr>
                <w:lang w:val="en-GB"/>
              </w:rPr>
              <w:tab/>
              <w:t>syndrome</w:t>
            </w:r>
          </w:p>
          <w:p w14:paraId="7C19970C" w14:textId="29C225EF" w:rsidR="00340849" w:rsidRDefault="00340849" w:rsidP="00340849">
            <w:pPr>
              <w:pStyle w:val="TableText0"/>
              <w:ind w:left="0"/>
              <w:rPr>
                <w:lang w:val="en-GB"/>
              </w:rPr>
            </w:pPr>
            <w:r>
              <w:rPr>
                <w:lang w:val="en-GB"/>
              </w:rPr>
              <w:tab/>
              <w:t>b. Dissemination in space (2 or more different core clinical characteristics)</w:t>
            </w:r>
          </w:p>
          <w:p w14:paraId="2B509161" w14:textId="77777777" w:rsidR="00340849" w:rsidRDefault="00340849" w:rsidP="00340849">
            <w:pPr>
              <w:pStyle w:val="TableText0"/>
              <w:ind w:left="0"/>
              <w:rPr>
                <w:lang w:val="en-GB"/>
              </w:rPr>
            </w:pPr>
            <w:r>
              <w:rPr>
                <w:lang w:val="en-GB"/>
              </w:rPr>
              <w:tab/>
              <w:t>c. Fulfillment of additional MRI requirements, as applicable</w:t>
            </w:r>
          </w:p>
          <w:p w14:paraId="5AE43E84" w14:textId="77777777" w:rsidR="00340849" w:rsidRDefault="00340849" w:rsidP="00340849">
            <w:pPr>
              <w:pStyle w:val="TableText0"/>
              <w:ind w:left="0"/>
              <w:rPr>
                <w:lang w:val="en-GB"/>
              </w:rPr>
            </w:pPr>
            <w:r>
              <w:rPr>
                <w:lang w:val="en-GB"/>
              </w:rPr>
              <w:t>2. Negative tests for AQP4-IgG using best available detection method, or testing unavailable</w:t>
            </w:r>
          </w:p>
          <w:p w14:paraId="0A068345" w14:textId="0786F4B5" w:rsidR="00340849" w:rsidRDefault="00340849" w:rsidP="00340849">
            <w:pPr>
              <w:pStyle w:val="TableText0"/>
              <w:ind w:left="0"/>
              <w:rPr>
                <w:lang w:val="en-GB"/>
              </w:rPr>
            </w:pPr>
            <w:r>
              <w:rPr>
                <w:lang w:val="en-GB"/>
              </w:rPr>
              <w:t>3. Exclusion of alternative diagnoses</w:t>
            </w:r>
          </w:p>
        </w:tc>
      </w:tr>
      <w:tr w:rsidR="00340849" w14:paraId="2EC37088" w14:textId="77777777" w:rsidTr="00340849">
        <w:tc>
          <w:tcPr>
            <w:tcW w:w="9016" w:type="dxa"/>
          </w:tcPr>
          <w:p w14:paraId="1E002A33" w14:textId="77777777" w:rsidR="00340849" w:rsidRPr="00340849" w:rsidRDefault="00340849" w:rsidP="00340849">
            <w:pPr>
              <w:pStyle w:val="TableText0"/>
              <w:ind w:left="0"/>
              <w:rPr>
                <w:b/>
                <w:lang w:val="en-GB"/>
              </w:rPr>
            </w:pPr>
            <w:r w:rsidRPr="00340849">
              <w:rPr>
                <w:b/>
                <w:lang w:val="en-GB"/>
              </w:rPr>
              <w:t>Core clinical characteristics</w:t>
            </w:r>
          </w:p>
          <w:p w14:paraId="44FA328B" w14:textId="77777777" w:rsidR="00340849" w:rsidRDefault="00340849" w:rsidP="00340849">
            <w:pPr>
              <w:pStyle w:val="TableText0"/>
              <w:ind w:left="0"/>
              <w:rPr>
                <w:lang w:val="en-GB"/>
              </w:rPr>
            </w:pPr>
            <w:r>
              <w:rPr>
                <w:lang w:val="en-GB"/>
              </w:rPr>
              <w:t>1. Optic neuritis</w:t>
            </w:r>
          </w:p>
          <w:p w14:paraId="601FE1D6" w14:textId="27520966" w:rsidR="00340849" w:rsidRDefault="00340849" w:rsidP="00340849">
            <w:pPr>
              <w:pStyle w:val="TableText0"/>
              <w:ind w:left="0"/>
              <w:rPr>
                <w:lang w:val="en-GB"/>
              </w:rPr>
            </w:pPr>
            <w:r>
              <w:rPr>
                <w:lang w:val="en-GB"/>
              </w:rPr>
              <w:t>2. Acute myelitis</w:t>
            </w:r>
          </w:p>
          <w:p w14:paraId="113F4D26" w14:textId="1A7FFAF7" w:rsidR="00340849" w:rsidRDefault="00340849" w:rsidP="00340849">
            <w:pPr>
              <w:pStyle w:val="TableText0"/>
              <w:ind w:left="0"/>
              <w:rPr>
                <w:lang w:val="en-GB"/>
              </w:rPr>
            </w:pPr>
            <w:r>
              <w:rPr>
                <w:lang w:val="en-GB"/>
              </w:rPr>
              <w:t>3. Area postrema syndrome: episode of otherwise unexplained hiccups or nausea and vomiting</w:t>
            </w:r>
          </w:p>
          <w:p w14:paraId="3ACBA155" w14:textId="6215B815" w:rsidR="00340849" w:rsidRDefault="00340849" w:rsidP="00340849">
            <w:pPr>
              <w:pStyle w:val="TableText0"/>
              <w:ind w:left="0"/>
              <w:rPr>
                <w:lang w:val="en-GB"/>
              </w:rPr>
            </w:pPr>
            <w:r>
              <w:rPr>
                <w:lang w:val="en-GB"/>
              </w:rPr>
              <w:t>4. Acute brainstem syndrome</w:t>
            </w:r>
          </w:p>
          <w:p w14:paraId="7643DA3D" w14:textId="1A221CAD" w:rsidR="00340849" w:rsidRDefault="00340849" w:rsidP="00340849">
            <w:pPr>
              <w:pStyle w:val="TableText0"/>
              <w:ind w:left="0"/>
              <w:rPr>
                <w:lang w:val="en-GB"/>
              </w:rPr>
            </w:pPr>
            <w:r>
              <w:rPr>
                <w:lang w:val="en-GB"/>
              </w:rPr>
              <w:t>5. Symptomatic narcolepsy or acute diencephalic clinical syndrome with NMOSD-typical diencephalic MRI lesions</w:t>
            </w:r>
          </w:p>
          <w:p w14:paraId="49FDF597" w14:textId="4B2D38CC" w:rsidR="00340849" w:rsidRDefault="00340849" w:rsidP="005E0404">
            <w:pPr>
              <w:pStyle w:val="TableText0"/>
              <w:ind w:left="0"/>
              <w:rPr>
                <w:lang w:val="en-GB"/>
              </w:rPr>
            </w:pPr>
            <w:r>
              <w:rPr>
                <w:lang w:val="en-GB"/>
              </w:rPr>
              <w:t>6. Symptomatic cerebral syndrome with NMOSD-typical brain lesions</w:t>
            </w:r>
          </w:p>
        </w:tc>
      </w:tr>
      <w:tr w:rsidR="00340849" w14:paraId="747573EC" w14:textId="77777777" w:rsidTr="00340849">
        <w:tc>
          <w:tcPr>
            <w:tcW w:w="9016" w:type="dxa"/>
          </w:tcPr>
          <w:p w14:paraId="43D47627" w14:textId="77777777" w:rsidR="00340849" w:rsidRDefault="005E0404" w:rsidP="00340849">
            <w:pPr>
              <w:pStyle w:val="TableText0"/>
              <w:ind w:left="0"/>
              <w:rPr>
                <w:b/>
                <w:lang w:val="en-GB"/>
              </w:rPr>
            </w:pPr>
            <w:r>
              <w:rPr>
                <w:b/>
                <w:lang w:val="en-GB"/>
              </w:rPr>
              <w:t>Additional MRI requirements for NMOSD without AQP4-IgG and NMOSD with unknown AQP4-IgG status</w:t>
            </w:r>
          </w:p>
          <w:p w14:paraId="5BF93E41" w14:textId="77777777" w:rsidR="005E0404" w:rsidRDefault="005E0404" w:rsidP="00340849">
            <w:pPr>
              <w:pStyle w:val="TableText0"/>
              <w:ind w:left="0"/>
              <w:rPr>
                <w:lang w:val="en-GB"/>
              </w:rPr>
            </w:pPr>
            <w:r>
              <w:rPr>
                <w:lang w:val="en-GB"/>
              </w:rPr>
              <w:t>1. Acute optic neuritis: requires brain MRI showing (a) normal findings or only nonspecific white matter lesions, OR (b) optic nerve MRI with T2-hyperintense lesion or T1-weighted gadolinium-enhancing lesion extending over &gt;1/2 optic nerve length or involving optic chiasm</w:t>
            </w:r>
          </w:p>
          <w:p w14:paraId="1C7B1A61" w14:textId="77777777" w:rsidR="005E0404" w:rsidRDefault="005E0404" w:rsidP="00340849">
            <w:pPr>
              <w:pStyle w:val="TableText0"/>
              <w:ind w:left="0"/>
              <w:rPr>
                <w:lang w:val="en-GB"/>
              </w:rPr>
            </w:pPr>
            <w:r>
              <w:rPr>
                <w:lang w:val="en-GB"/>
              </w:rPr>
              <w:t>2. Acute myelitis: requires associated intramedullary MRI lesion extending over ≥3 contiguous segments of focal spinal cord atrophy in patients wth history compatible with acute myelitis</w:t>
            </w:r>
          </w:p>
          <w:p w14:paraId="3DEE1BDD" w14:textId="77777777" w:rsidR="005E0404" w:rsidRDefault="005E0404" w:rsidP="00340849">
            <w:pPr>
              <w:pStyle w:val="TableText0"/>
              <w:ind w:left="0"/>
              <w:rPr>
                <w:lang w:val="en-GB"/>
              </w:rPr>
            </w:pPr>
            <w:r>
              <w:rPr>
                <w:lang w:val="en-GB"/>
              </w:rPr>
              <w:t>3. Areas postreme syndrome: requires associated dorsal medulla/area postrema lesions</w:t>
            </w:r>
          </w:p>
          <w:p w14:paraId="1AC0E09C" w14:textId="00A05681" w:rsidR="005E0404" w:rsidRPr="005E0404" w:rsidRDefault="005E0404" w:rsidP="00340849">
            <w:pPr>
              <w:pStyle w:val="TableText0"/>
              <w:ind w:left="0"/>
              <w:rPr>
                <w:lang w:val="en-GB"/>
              </w:rPr>
            </w:pPr>
            <w:r>
              <w:rPr>
                <w:lang w:val="en-GB"/>
              </w:rPr>
              <w:t>4. Acute brainstem syndrome: requires associated periependymal brainstem lesions</w:t>
            </w:r>
          </w:p>
        </w:tc>
      </w:tr>
    </w:tbl>
    <w:p w14:paraId="3F9A6105" w14:textId="77777777" w:rsidR="00F76534" w:rsidRPr="00F76534" w:rsidRDefault="00F76534" w:rsidP="00F76534">
      <w:pPr>
        <w:widowControl w:val="0"/>
        <w:spacing w:after="120" w:line="240" w:lineRule="auto"/>
        <w:contextualSpacing/>
        <w:jc w:val="left"/>
        <w:rPr>
          <w:rFonts w:ascii="Arial Narrow" w:hAnsi="Arial Narrow" w:cs="Arial"/>
          <w:snapToGrid w:val="0"/>
          <w:sz w:val="18"/>
          <w:szCs w:val="20"/>
        </w:rPr>
      </w:pPr>
      <w:r w:rsidRPr="00F76534">
        <w:rPr>
          <w:rFonts w:ascii="Arial Narrow" w:hAnsi="Arial Narrow" w:cs="Arial"/>
          <w:snapToGrid w:val="0"/>
          <w:sz w:val="18"/>
          <w:szCs w:val="20"/>
        </w:rPr>
        <w:t>AQP4= aquaporin-4; IgG=immunoglobulin G; LETM=longitudinally extensive transverse myelitis lesions; NMOSD=neuromyelitis optica spectrum disorders</w:t>
      </w:r>
    </w:p>
    <w:p w14:paraId="2088CE31" w14:textId="77777777" w:rsidR="00F76534" w:rsidRPr="00F76534" w:rsidRDefault="00F76534" w:rsidP="00F76534">
      <w:pPr>
        <w:widowControl w:val="0"/>
        <w:spacing w:after="120" w:line="240" w:lineRule="auto"/>
        <w:contextualSpacing/>
        <w:jc w:val="left"/>
        <w:rPr>
          <w:rFonts w:ascii="Arial Narrow" w:hAnsi="Arial Narrow" w:cs="Arial"/>
          <w:snapToGrid w:val="0"/>
          <w:sz w:val="18"/>
          <w:szCs w:val="20"/>
        </w:rPr>
      </w:pPr>
      <w:r w:rsidRPr="00F76534">
        <w:rPr>
          <w:rFonts w:ascii="Arial Narrow" w:hAnsi="Arial Narrow" w:cs="Arial"/>
          <w:snapToGrid w:val="0"/>
          <w:sz w:val="18"/>
          <w:szCs w:val="20"/>
          <w:vertAlign w:val="superscript"/>
        </w:rPr>
        <w:t>a.</w:t>
      </w:r>
      <w:r w:rsidRPr="00F76534">
        <w:rPr>
          <w:rFonts w:ascii="Arial Narrow" w:hAnsi="Arial Narrow" w:cs="Arial"/>
          <w:snapToGrid w:val="0"/>
          <w:sz w:val="18"/>
          <w:szCs w:val="20"/>
        </w:rPr>
        <w:t xml:space="preserve"> See Wingerchuk et al (2015) for recommendations regarding interpretation of clinical and serologic testing</w:t>
      </w:r>
    </w:p>
    <w:p w14:paraId="3B5AEB51" w14:textId="76A69F9D" w:rsidR="00F76534" w:rsidRPr="00F76534" w:rsidRDefault="00F76534" w:rsidP="00F76534">
      <w:pPr>
        <w:widowControl w:val="0"/>
        <w:spacing w:after="120" w:line="240" w:lineRule="auto"/>
        <w:contextualSpacing/>
        <w:jc w:val="left"/>
        <w:rPr>
          <w:rFonts w:ascii="Arial Narrow" w:hAnsi="Arial Narrow" w:cs="Arial"/>
          <w:noProof/>
          <w:snapToGrid w:val="0"/>
          <w:sz w:val="18"/>
          <w:szCs w:val="20"/>
        </w:rPr>
      </w:pPr>
      <w:r w:rsidRPr="00F76534">
        <w:rPr>
          <w:rFonts w:ascii="Arial Narrow" w:hAnsi="Arial Narrow" w:cs="Arial"/>
          <w:snapToGrid w:val="0"/>
          <w:sz w:val="18"/>
          <w:szCs w:val="20"/>
        </w:rPr>
        <w:t xml:space="preserve">Please note: Figure 1, 2 and 3 referenced in </w:t>
      </w:r>
      <w:r w:rsidRPr="00F76534">
        <w:rPr>
          <w:rFonts w:ascii="Arial Narrow" w:hAnsi="Arial Narrow" w:cs="Arial"/>
          <w:snapToGrid w:val="0"/>
          <w:sz w:val="18"/>
          <w:szCs w:val="20"/>
        </w:rPr>
        <w:fldChar w:fldCharType="begin"/>
      </w:r>
      <w:r w:rsidR="00646E7C">
        <w:rPr>
          <w:rFonts w:ascii="Arial Narrow" w:hAnsi="Arial Narrow" w:cs="Arial"/>
          <w:snapToGrid w:val="0"/>
          <w:sz w:val="18"/>
          <w:szCs w:val="20"/>
        </w:rPr>
        <w:instrText xml:space="preserve"> ADDIN EN.CITE &lt;EndNote&gt;&lt;Cite&gt;&lt;Author&gt;Wingerchuk&lt;/Author&gt;&lt;Year&gt;2015&lt;/Year&gt;&lt;RecNum&gt;35&lt;/RecNum&gt;&lt;DisplayText&gt;(Wingerchuk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Pr="00F76534">
        <w:rPr>
          <w:rFonts w:ascii="Arial Narrow" w:hAnsi="Arial Narrow" w:cs="Arial"/>
          <w:snapToGrid w:val="0"/>
          <w:sz w:val="18"/>
          <w:szCs w:val="20"/>
        </w:rPr>
        <w:fldChar w:fldCharType="separate"/>
      </w:r>
      <w:r w:rsidR="00646E7C">
        <w:rPr>
          <w:rFonts w:ascii="Arial Narrow" w:hAnsi="Arial Narrow" w:cs="Arial"/>
          <w:noProof/>
          <w:snapToGrid w:val="0"/>
          <w:sz w:val="18"/>
          <w:szCs w:val="20"/>
        </w:rPr>
        <w:t>(Wingerchuk et al. 2015)</w:t>
      </w:r>
      <w:r w:rsidRPr="00F76534">
        <w:rPr>
          <w:rFonts w:ascii="Arial Narrow" w:hAnsi="Arial Narrow" w:cs="Arial"/>
          <w:snapToGrid w:val="0"/>
          <w:sz w:val="18"/>
          <w:szCs w:val="20"/>
        </w:rPr>
        <w:fldChar w:fldCharType="end"/>
      </w:r>
      <w:r w:rsidRPr="00F76534">
        <w:rPr>
          <w:rFonts w:ascii="Arial Narrow" w:hAnsi="Arial Narrow" w:cs="Arial"/>
          <w:snapToGrid w:val="0"/>
          <w:sz w:val="18"/>
          <w:szCs w:val="20"/>
        </w:rPr>
        <w:t>.</w:t>
      </w:r>
    </w:p>
    <w:p w14:paraId="2A026123" w14:textId="77777777" w:rsidR="00635D45" w:rsidRDefault="00635D45" w:rsidP="00ED65EE">
      <w:pPr>
        <w:rPr>
          <w:rFonts w:eastAsiaTheme="minorHAnsi"/>
          <w:lang w:eastAsia="en-US"/>
        </w:rPr>
      </w:pPr>
    </w:p>
    <w:p w14:paraId="385545F8" w14:textId="77777777" w:rsidR="00864C12" w:rsidRDefault="00864C12">
      <w:pPr>
        <w:jc w:val="left"/>
        <w:rPr>
          <w:rFonts w:eastAsiaTheme="minorHAnsi"/>
          <w:lang w:eastAsia="en-US"/>
        </w:rPr>
      </w:pPr>
      <w:r>
        <w:rPr>
          <w:rFonts w:eastAsiaTheme="minorHAnsi"/>
          <w:lang w:eastAsia="en-US"/>
        </w:rPr>
        <w:br w:type="page"/>
      </w:r>
    </w:p>
    <w:p w14:paraId="3A6A1529" w14:textId="74DC97FF" w:rsidR="00864C12" w:rsidRPr="00183E4D" w:rsidRDefault="00864C12" w:rsidP="00864C12">
      <w:pPr>
        <w:pStyle w:val="Heading1"/>
        <w:jc w:val="both"/>
      </w:pPr>
      <w:bookmarkStart w:id="663" w:name="_Ref30422443"/>
      <w:bookmarkStart w:id="664" w:name="_Toc39588397"/>
      <w:r w:rsidRPr="00183E4D">
        <w:lastRenderedPageBreak/>
        <w:t xml:space="preserve">Appendix </w:t>
      </w:r>
      <w:r>
        <w:rPr>
          <w:noProof/>
        </w:rPr>
        <w:fldChar w:fldCharType="begin"/>
      </w:r>
      <w:r>
        <w:rPr>
          <w:noProof/>
        </w:rPr>
        <w:instrText xml:space="preserve"> SEQ Appendix \* ALPHABETIC </w:instrText>
      </w:r>
      <w:r>
        <w:rPr>
          <w:noProof/>
        </w:rPr>
        <w:fldChar w:fldCharType="separate"/>
      </w:r>
      <w:r w:rsidR="005E0404">
        <w:rPr>
          <w:noProof/>
        </w:rPr>
        <w:t>G</w:t>
      </w:r>
      <w:r>
        <w:rPr>
          <w:noProof/>
        </w:rPr>
        <w:fldChar w:fldCharType="end"/>
      </w:r>
      <w:r w:rsidRPr="00183E4D">
        <w:tab/>
      </w:r>
      <w:r>
        <w:t>PPICO criteria for linked evidence</w:t>
      </w:r>
      <w:bookmarkEnd w:id="663"/>
      <w:bookmarkEnd w:id="664"/>
      <w:r>
        <w:t xml:space="preserve"> </w:t>
      </w:r>
    </w:p>
    <w:p w14:paraId="12BA861C" w14:textId="77777777" w:rsidR="00B27F54" w:rsidRPr="0048055F" w:rsidRDefault="0048055F" w:rsidP="0048055F">
      <w:pPr>
        <w:pStyle w:val="Caption"/>
        <w:ind w:left="720" w:hanging="720"/>
        <w:jc w:val="left"/>
      </w:pPr>
      <w:bookmarkStart w:id="665" w:name="_Toc39580897"/>
      <w:r>
        <w:t xml:space="preserve">Box </w:t>
      </w:r>
      <w:fldSimple w:instr=" SEQ Box \* ARABIC ">
        <w:r w:rsidR="009D7D75">
          <w:rPr>
            <w:noProof/>
          </w:rPr>
          <w:t>2</w:t>
        </w:r>
      </w:fldSimple>
      <w:r w:rsidR="00B27F54" w:rsidRPr="0048055F">
        <w:t>:</w:t>
      </w:r>
      <w:r w:rsidR="00B27F54" w:rsidRPr="0048055F">
        <w:tab/>
        <w:t>PPICO criteria for assessing the clinical validity of antibody testing in patients with symptoms of NMOSD (linked evidence)</w:t>
      </w:r>
      <w:bookmarkEnd w:id="665"/>
    </w:p>
    <w:tbl>
      <w:tblPr>
        <w:tblStyle w:val="TableGrid1"/>
        <w:tblW w:w="5000" w:type="pct"/>
        <w:tblLook w:val="00A0" w:firstRow="1" w:lastRow="0" w:firstColumn="1" w:lastColumn="0" w:noHBand="0" w:noVBand="0"/>
      </w:tblPr>
      <w:tblGrid>
        <w:gridCol w:w="2119"/>
        <w:gridCol w:w="6897"/>
      </w:tblGrid>
      <w:tr w:rsidR="00B27F54" w:rsidRPr="00B27F54" w14:paraId="109E14EE" w14:textId="77777777" w:rsidTr="00BE0118">
        <w:trPr>
          <w:cnfStyle w:val="100000000000" w:firstRow="1" w:lastRow="0" w:firstColumn="0" w:lastColumn="0" w:oddVBand="0" w:evenVBand="0" w:oddHBand="0" w:evenHBand="0" w:firstRowFirstColumn="0" w:firstRowLastColumn="0" w:lastRowFirstColumn="0" w:lastRowLastColumn="0"/>
        </w:trPr>
        <w:tc>
          <w:tcPr>
            <w:tcW w:w="1175" w:type="pct"/>
          </w:tcPr>
          <w:p w14:paraId="18B7AD33" w14:textId="77777777" w:rsidR="00B27F54" w:rsidRPr="00B27F54" w:rsidRDefault="00B27F54" w:rsidP="00B27F54">
            <w:pPr>
              <w:jc w:val="left"/>
              <w:rPr>
                <w:rFonts w:eastAsia="Calibri" w:cs="Times New Roman"/>
                <w:b/>
                <w:lang w:eastAsia="en-US"/>
              </w:rPr>
            </w:pPr>
            <w:r w:rsidRPr="00B27F54">
              <w:rPr>
                <w:rFonts w:eastAsia="Calibri" w:cs="Times New Roman"/>
                <w:b/>
                <w:lang w:eastAsia="en-US"/>
              </w:rPr>
              <w:t>Component</w:t>
            </w:r>
          </w:p>
        </w:tc>
        <w:tc>
          <w:tcPr>
            <w:tcW w:w="3825" w:type="pct"/>
          </w:tcPr>
          <w:p w14:paraId="597C4CE0" w14:textId="77777777" w:rsidR="00B27F54" w:rsidRPr="00B27F54" w:rsidRDefault="00B27F54" w:rsidP="00B27F54">
            <w:pPr>
              <w:rPr>
                <w:rFonts w:eastAsia="Calibri" w:cs="Times New Roman"/>
                <w:b/>
                <w:lang w:eastAsia="en-US"/>
              </w:rPr>
            </w:pPr>
            <w:r w:rsidRPr="00B27F54">
              <w:rPr>
                <w:rFonts w:eastAsia="Calibri" w:cs="Times New Roman"/>
                <w:b/>
                <w:lang w:eastAsia="en-US"/>
              </w:rPr>
              <w:t>Description</w:t>
            </w:r>
          </w:p>
        </w:tc>
      </w:tr>
      <w:tr w:rsidR="00B27F54" w:rsidRPr="00B27F54" w14:paraId="6969C088" w14:textId="77777777" w:rsidTr="00BE0118">
        <w:tc>
          <w:tcPr>
            <w:tcW w:w="1175" w:type="pct"/>
          </w:tcPr>
          <w:p w14:paraId="1B95A2FD" w14:textId="77777777" w:rsidR="00B27F54" w:rsidRPr="00B27F54" w:rsidRDefault="00B27F54" w:rsidP="00B27F54">
            <w:pPr>
              <w:jc w:val="left"/>
              <w:rPr>
                <w:rFonts w:eastAsia="Calibri" w:cs="Arial"/>
                <w:lang w:eastAsia="en-US"/>
              </w:rPr>
            </w:pPr>
            <w:r w:rsidRPr="00B27F54">
              <w:rPr>
                <w:rFonts w:eastAsia="Calibri" w:cs="Arial"/>
                <w:lang w:eastAsia="en-US"/>
              </w:rPr>
              <w:t>Patients</w:t>
            </w:r>
          </w:p>
        </w:tc>
        <w:tc>
          <w:tcPr>
            <w:tcW w:w="3825" w:type="pct"/>
          </w:tcPr>
          <w:p w14:paraId="569A840C" w14:textId="77777777" w:rsidR="00B27F54" w:rsidRPr="00B27F54" w:rsidRDefault="00B27F54" w:rsidP="003816F6">
            <w:pPr>
              <w:numPr>
                <w:ilvl w:val="0"/>
                <w:numId w:val="32"/>
              </w:numPr>
              <w:ind w:left="316" w:hanging="316"/>
              <w:contextualSpacing/>
              <w:jc w:val="left"/>
              <w:rPr>
                <w:rFonts w:eastAsia="Calibri" w:cs="Times New Roman"/>
                <w:lang w:eastAsia="en-US"/>
              </w:rPr>
            </w:pPr>
            <w:r w:rsidRPr="00B27F54">
              <w:rPr>
                <w:rFonts w:eastAsia="Calibri" w:cs="Times New Roman"/>
                <w:lang w:eastAsia="en-US"/>
              </w:rPr>
              <w:t xml:space="preserve">Patients suspected of having neuromyelitis optica spectrum disorder (NMOSD) e.g. those with: </w:t>
            </w:r>
          </w:p>
          <w:p w14:paraId="00C8ACC9" w14:textId="77777777" w:rsidR="00B27F54" w:rsidRPr="00B27F54" w:rsidRDefault="00B27F54" w:rsidP="003816F6">
            <w:pPr>
              <w:numPr>
                <w:ilvl w:val="0"/>
                <w:numId w:val="30"/>
              </w:numPr>
              <w:contextualSpacing/>
              <w:jc w:val="left"/>
              <w:rPr>
                <w:rFonts w:eastAsia="Calibri" w:cs="Times New Roman"/>
                <w:lang w:eastAsia="en-US"/>
              </w:rPr>
            </w:pPr>
            <w:r w:rsidRPr="00B27F54">
              <w:rPr>
                <w:rFonts w:eastAsia="Calibri" w:cs="Times New Roman"/>
                <w:lang w:eastAsia="en-US"/>
              </w:rPr>
              <w:t>Recurrent, bilateral or severe optic neuritis; or</w:t>
            </w:r>
          </w:p>
          <w:p w14:paraId="2D994821" w14:textId="77777777" w:rsidR="00B27F54" w:rsidRPr="00B27F54" w:rsidRDefault="00B27F54" w:rsidP="003816F6">
            <w:pPr>
              <w:numPr>
                <w:ilvl w:val="0"/>
                <w:numId w:val="30"/>
              </w:numPr>
              <w:contextualSpacing/>
              <w:jc w:val="left"/>
              <w:rPr>
                <w:rFonts w:eastAsia="Calibri" w:cs="Times New Roman"/>
                <w:lang w:eastAsia="en-US"/>
              </w:rPr>
            </w:pPr>
            <w:r w:rsidRPr="00B27F54">
              <w:rPr>
                <w:rFonts w:eastAsia="Calibri" w:cs="Times New Roman"/>
                <w:lang w:eastAsia="en-US"/>
              </w:rPr>
              <w:t>Recurrent longitudinal extensive transverse myelitis (LETM)</w:t>
            </w:r>
            <w:r w:rsidRPr="00B27F54">
              <w:rPr>
                <w:rFonts w:eastAsia="Calibri" w:cs="Calibri"/>
                <w:lang w:eastAsia="en-US"/>
              </w:rPr>
              <w:t>*</w:t>
            </w:r>
            <w:r w:rsidRPr="00B27F54">
              <w:rPr>
                <w:rFonts w:eastAsia="Calibri" w:cs="Times New Roman"/>
                <w:lang w:eastAsia="en-US"/>
              </w:rPr>
              <w:t>; or</w:t>
            </w:r>
          </w:p>
          <w:p w14:paraId="6C70DACD" w14:textId="77777777" w:rsidR="00B27F54" w:rsidRPr="00B27F54" w:rsidRDefault="00B27F54" w:rsidP="003816F6">
            <w:pPr>
              <w:numPr>
                <w:ilvl w:val="0"/>
                <w:numId w:val="30"/>
              </w:numPr>
              <w:contextualSpacing/>
              <w:jc w:val="left"/>
              <w:rPr>
                <w:rFonts w:eastAsia="Calibri" w:cs="Times New Roman"/>
                <w:lang w:eastAsia="en-US"/>
              </w:rPr>
            </w:pPr>
            <w:r w:rsidRPr="00B27F54">
              <w:rPr>
                <w:rFonts w:eastAsia="Calibri" w:cs="Times New Roman"/>
                <w:lang w:eastAsia="en-US"/>
              </w:rPr>
              <w:t>Area postrema syndrome (otherwise unexplained hiccups or nausea/vomiting) or</w:t>
            </w:r>
          </w:p>
          <w:p w14:paraId="4086D462" w14:textId="77777777" w:rsidR="00B27F54" w:rsidRPr="00B27F54" w:rsidRDefault="00B27F54" w:rsidP="003816F6">
            <w:pPr>
              <w:numPr>
                <w:ilvl w:val="0"/>
                <w:numId w:val="30"/>
              </w:numPr>
              <w:contextualSpacing/>
              <w:jc w:val="left"/>
              <w:rPr>
                <w:rFonts w:eastAsia="Calibri" w:cs="Times New Roman"/>
                <w:lang w:eastAsia="en-US"/>
              </w:rPr>
            </w:pPr>
            <w:r w:rsidRPr="00B27F54">
              <w:rPr>
                <w:rFonts w:eastAsia="Calibri" w:cs="Times New Roman"/>
                <w:lang w:eastAsia="en-US"/>
              </w:rPr>
              <w:t>Acute brainstem syndrome or</w:t>
            </w:r>
          </w:p>
          <w:p w14:paraId="0F8E9709" w14:textId="77777777" w:rsidR="00B27F54" w:rsidRPr="00B27F54" w:rsidRDefault="00B27F54" w:rsidP="003816F6">
            <w:pPr>
              <w:numPr>
                <w:ilvl w:val="0"/>
                <w:numId w:val="30"/>
              </w:numPr>
              <w:contextualSpacing/>
              <w:jc w:val="left"/>
              <w:rPr>
                <w:rFonts w:eastAsia="Calibri" w:cs="Times New Roman"/>
                <w:lang w:eastAsia="en-US"/>
              </w:rPr>
            </w:pPr>
            <w:r w:rsidRPr="00B27F54">
              <w:rPr>
                <w:rFonts w:eastAsia="Calibri" w:cs="Times New Roman"/>
                <w:lang w:eastAsia="en-US"/>
              </w:rPr>
              <w:t>Symptomatic narcolepsy or acute diencephalic clinical syndrome with typical NMOSD MRI lesions or</w:t>
            </w:r>
          </w:p>
          <w:p w14:paraId="6C44E92B" w14:textId="77777777" w:rsidR="00B27F54" w:rsidRPr="00B27F54" w:rsidRDefault="00B27F54" w:rsidP="003816F6">
            <w:pPr>
              <w:numPr>
                <w:ilvl w:val="0"/>
                <w:numId w:val="30"/>
              </w:numPr>
              <w:contextualSpacing/>
              <w:jc w:val="left"/>
              <w:rPr>
                <w:rFonts w:eastAsia="Calibri" w:cs="Times New Roman"/>
                <w:lang w:eastAsia="en-US"/>
              </w:rPr>
            </w:pPr>
            <w:r w:rsidRPr="00B27F54">
              <w:rPr>
                <w:rFonts w:eastAsia="Calibri" w:cs="Times New Roman"/>
                <w:lang w:eastAsia="en-US"/>
              </w:rPr>
              <w:t>Symptomatic cerebral syndrome with typical NMOSD MRI lesions or</w:t>
            </w:r>
          </w:p>
          <w:p w14:paraId="2AB1F99A" w14:textId="77777777" w:rsidR="00B27F54" w:rsidRPr="00B27F54" w:rsidRDefault="00B27F54" w:rsidP="003816F6">
            <w:pPr>
              <w:numPr>
                <w:ilvl w:val="0"/>
                <w:numId w:val="30"/>
              </w:numPr>
              <w:contextualSpacing/>
              <w:jc w:val="left"/>
              <w:rPr>
                <w:rFonts w:eastAsia="Calibri" w:cs="Times New Roman"/>
                <w:lang w:eastAsia="en-US"/>
              </w:rPr>
            </w:pPr>
            <w:r w:rsidRPr="00B27F54">
              <w:rPr>
                <w:rFonts w:eastAsia="Calibri" w:cs="Times New Roman"/>
                <w:lang w:eastAsia="en-US"/>
              </w:rPr>
              <w:t>Monophasic neuromyelitis optica (no recurrence; simultaneous or closely related optic neuritis and LETM within 30 days) or</w:t>
            </w:r>
          </w:p>
          <w:p w14:paraId="08C160D7" w14:textId="77777777" w:rsidR="00B27F54" w:rsidRPr="00B27F54" w:rsidRDefault="00B27F54" w:rsidP="003816F6">
            <w:pPr>
              <w:numPr>
                <w:ilvl w:val="0"/>
                <w:numId w:val="30"/>
              </w:numPr>
              <w:jc w:val="left"/>
              <w:rPr>
                <w:rFonts w:eastAsia="Calibri" w:cs="Times New Roman"/>
                <w:lang w:eastAsia="en-US"/>
              </w:rPr>
            </w:pPr>
            <w:r w:rsidRPr="00B27F54">
              <w:rPr>
                <w:rFonts w:eastAsia="Calibri" w:cs="Times New Roman"/>
                <w:lang w:eastAsia="en-US"/>
              </w:rPr>
              <w:t>Patient has poor recovery from multiple sclerosis relapses</w:t>
            </w:r>
          </w:p>
          <w:p w14:paraId="7DACCE0D" w14:textId="77777777" w:rsidR="00B27F54" w:rsidRPr="00B27F54" w:rsidRDefault="00B27F54" w:rsidP="003816F6">
            <w:pPr>
              <w:numPr>
                <w:ilvl w:val="0"/>
                <w:numId w:val="32"/>
              </w:numPr>
              <w:ind w:left="316" w:hanging="316"/>
              <w:contextualSpacing/>
              <w:jc w:val="left"/>
              <w:rPr>
                <w:rFonts w:eastAsia="Calibri" w:cs="Times New Roman"/>
                <w:u w:val="dotted"/>
                <w:lang w:eastAsia="en-US"/>
              </w:rPr>
            </w:pPr>
            <w:r w:rsidRPr="00B27F54">
              <w:rPr>
                <w:rFonts w:eastAsia="Calibri" w:cs="Times New Roman"/>
                <w:lang w:eastAsia="en-US"/>
              </w:rPr>
              <w:t>Patients previously diagnosed with NMOSD who are being monitored or tested for signs of relapse</w:t>
            </w:r>
          </w:p>
        </w:tc>
      </w:tr>
      <w:tr w:rsidR="00B27F54" w:rsidRPr="00B27F54" w14:paraId="3E71A369" w14:textId="77777777" w:rsidTr="00BE0118">
        <w:tc>
          <w:tcPr>
            <w:tcW w:w="1175" w:type="pct"/>
          </w:tcPr>
          <w:p w14:paraId="190C0C55" w14:textId="77777777" w:rsidR="00B27F54" w:rsidRPr="00B27F54" w:rsidRDefault="00B27F54" w:rsidP="00B27F54">
            <w:pPr>
              <w:jc w:val="left"/>
              <w:rPr>
                <w:rFonts w:eastAsia="Calibri" w:cs="Arial"/>
                <w:lang w:eastAsia="en-US"/>
              </w:rPr>
            </w:pPr>
            <w:r w:rsidRPr="00B27F54">
              <w:rPr>
                <w:rFonts w:eastAsia="Calibri" w:cs="Arial"/>
                <w:lang w:eastAsia="en-US"/>
              </w:rPr>
              <w:t>Prior tests</w:t>
            </w:r>
          </w:p>
        </w:tc>
        <w:tc>
          <w:tcPr>
            <w:tcW w:w="3825" w:type="pct"/>
          </w:tcPr>
          <w:p w14:paraId="7E41D412"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MRI: findings of at least one clinical characteristic of NMOSD</w:t>
            </w:r>
          </w:p>
        </w:tc>
      </w:tr>
      <w:tr w:rsidR="00B27F54" w:rsidRPr="00B27F54" w14:paraId="3F9ADBDB" w14:textId="77777777" w:rsidTr="00BE0118">
        <w:tc>
          <w:tcPr>
            <w:tcW w:w="1175" w:type="pct"/>
          </w:tcPr>
          <w:p w14:paraId="2896CA23" w14:textId="77777777" w:rsidR="00B27F54" w:rsidRPr="00B27F54" w:rsidRDefault="00B27F54" w:rsidP="00B27F54">
            <w:pPr>
              <w:jc w:val="left"/>
              <w:rPr>
                <w:rFonts w:eastAsia="Calibri" w:cs="Arial"/>
                <w:lang w:eastAsia="en-US"/>
              </w:rPr>
            </w:pPr>
            <w:r w:rsidRPr="00B27F54">
              <w:rPr>
                <w:rFonts w:eastAsia="Calibri" w:cs="Arial"/>
                <w:lang w:eastAsia="en-US"/>
              </w:rPr>
              <w:t>Intervention</w:t>
            </w:r>
          </w:p>
        </w:tc>
        <w:tc>
          <w:tcPr>
            <w:tcW w:w="3825" w:type="pct"/>
          </w:tcPr>
          <w:p w14:paraId="3BD57622" w14:textId="77777777" w:rsidR="00B27F54" w:rsidRPr="00B27F54" w:rsidRDefault="00B27F54" w:rsidP="003816F6">
            <w:pPr>
              <w:numPr>
                <w:ilvl w:val="0"/>
                <w:numId w:val="34"/>
              </w:numPr>
              <w:contextualSpacing/>
              <w:jc w:val="left"/>
              <w:rPr>
                <w:rFonts w:eastAsia="Calibri" w:cs="Times New Roman"/>
                <w:lang w:eastAsia="en-US"/>
              </w:rPr>
            </w:pPr>
            <w:r w:rsidRPr="00B27F54">
              <w:rPr>
                <w:rFonts w:eastAsia="Calibri" w:cs="Times New Roman"/>
                <w:lang w:eastAsia="en-US"/>
              </w:rPr>
              <w:t xml:space="preserve">AQP4-Ab and MOG-Ab concurrent testing OR sequential testing (AQP4-Ab followed by MOG-Ab testing in those found -ve for AQP4-Ab) using a variety of diagnostic substrates (cell, tissue or protein) </w:t>
            </w:r>
          </w:p>
          <w:p w14:paraId="0721D2E4" w14:textId="77777777" w:rsidR="00B27F54" w:rsidRPr="00B27F54" w:rsidRDefault="00B27F54" w:rsidP="003816F6">
            <w:pPr>
              <w:numPr>
                <w:ilvl w:val="0"/>
                <w:numId w:val="35"/>
              </w:numPr>
              <w:contextualSpacing/>
              <w:jc w:val="left"/>
              <w:rPr>
                <w:rFonts w:eastAsia="Calibri" w:cs="Times New Roman"/>
                <w:lang w:eastAsia="en-US"/>
              </w:rPr>
            </w:pPr>
            <w:r w:rsidRPr="00B27F54">
              <w:rPr>
                <w:rFonts w:eastAsia="Calibri" w:cs="Times New Roman"/>
                <w:lang w:eastAsia="en-US"/>
              </w:rPr>
              <w:t>Serum</w:t>
            </w:r>
          </w:p>
          <w:p w14:paraId="37A434D1" w14:textId="77777777" w:rsidR="00B27F54" w:rsidRPr="00B27F54" w:rsidRDefault="00B27F54" w:rsidP="003816F6">
            <w:pPr>
              <w:numPr>
                <w:ilvl w:val="0"/>
                <w:numId w:val="35"/>
              </w:numPr>
              <w:contextualSpacing/>
              <w:jc w:val="left"/>
              <w:rPr>
                <w:rFonts w:eastAsia="Calibri" w:cs="Times New Roman"/>
                <w:lang w:eastAsia="en-US"/>
              </w:rPr>
            </w:pPr>
            <w:r w:rsidRPr="00B27F54">
              <w:rPr>
                <w:rFonts w:eastAsia="Calibri" w:cs="Times New Roman"/>
                <w:lang w:eastAsia="en-US"/>
              </w:rPr>
              <w:t>CSF</w:t>
            </w:r>
          </w:p>
          <w:p w14:paraId="318B1469" w14:textId="77777777" w:rsidR="00B27F54" w:rsidRPr="00B27F54" w:rsidRDefault="00B27F54" w:rsidP="003816F6">
            <w:pPr>
              <w:numPr>
                <w:ilvl w:val="0"/>
                <w:numId w:val="34"/>
              </w:numPr>
              <w:contextualSpacing/>
              <w:jc w:val="left"/>
              <w:rPr>
                <w:rFonts w:eastAsia="Calibri" w:cs="Times New Roman"/>
                <w:u w:val="dotted"/>
                <w:lang w:eastAsia="en-US"/>
              </w:rPr>
            </w:pPr>
            <w:r w:rsidRPr="00B27F54">
              <w:rPr>
                <w:rFonts w:eastAsia="Calibri" w:cs="Times New Roman"/>
                <w:u w:val="dotted"/>
                <w:lang w:eastAsia="en-US"/>
              </w:rPr>
              <w:t>Antibody testing (AQP4-Ab or MOG-Ab) of serum to monitor for signs of relapse in previously diagnosed patients?</w:t>
            </w:r>
          </w:p>
        </w:tc>
      </w:tr>
      <w:tr w:rsidR="00B27F54" w:rsidRPr="00B27F54" w14:paraId="5BA83297" w14:textId="77777777" w:rsidTr="00BE0118">
        <w:tc>
          <w:tcPr>
            <w:tcW w:w="1175" w:type="pct"/>
          </w:tcPr>
          <w:p w14:paraId="32F146FD" w14:textId="77777777" w:rsidR="00B27F54" w:rsidRPr="00B27F54" w:rsidRDefault="00B27F54" w:rsidP="00B27F54">
            <w:pPr>
              <w:jc w:val="left"/>
              <w:rPr>
                <w:rFonts w:eastAsia="Calibri" w:cs="Arial"/>
                <w:lang w:eastAsia="en-US"/>
              </w:rPr>
            </w:pPr>
            <w:r w:rsidRPr="00B27F54">
              <w:rPr>
                <w:rFonts w:eastAsia="Calibri" w:cs="Arial"/>
                <w:lang w:eastAsia="en-US"/>
              </w:rPr>
              <w:t>Reference standard</w:t>
            </w:r>
          </w:p>
        </w:tc>
        <w:tc>
          <w:tcPr>
            <w:tcW w:w="3825" w:type="pct"/>
          </w:tcPr>
          <w:p w14:paraId="6D3D16FF"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None available</w:t>
            </w:r>
          </w:p>
        </w:tc>
      </w:tr>
      <w:tr w:rsidR="00B27F54" w:rsidRPr="00B27F54" w14:paraId="36483F9C" w14:textId="77777777" w:rsidTr="00BE0118">
        <w:tc>
          <w:tcPr>
            <w:tcW w:w="1175" w:type="pct"/>
          </w:tcPr>
          <w:p w14:paraId="5EA9B1BB" w14:textId="77777777" w:rsidR="00B27F54" w:rsidRPr="00B27F54" w:rsidRDefault="00B27F54" w:rsidP="00B27F54">
            <w:pPr>
              <w:jc w:val="left"/>
              <w:rPr>
                <w:rFonts w:eastAsia="Calibri" w:cs="Arial"/>
                <w:lang w:eastAsia="en-US"/>
              </w:rPr>
            </w:pPr>
            <w:r w:rsidRPr="00B27F54">
              <w:rPr>
                <w:rFonts w:eastAsia="Calibri" w:cs="Arial"/>
                <w:lang w:eastAsia="en-US"/>
              </w:rPr>
              <w:t>Comparator (evidentiary standard)</w:t>
            </w:r>
          </w:p>
        </w:tc>
        <w:tc>
          <w:tcPr>
            <w:tcW w:w="3825" w:type="pct"/>
          </w:tcPr>
          <w:p w14:paraId="2F143BD6"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Diagnosis by clinical characteristics alone (including MRI)</w:t>
            </w:r>
          </w:p>
        </w:tc>
      </w:tr>
      <w:tr w:rsidR="00B27F54" w:rsidRPr="00B27F54" w14:paraId="303B638A" w14:textId="77777777" w:rsidTr="00BE0118">
        <w:tc>
          <w:tcPr>
            <w:tcW w:w="1175" w:type="pct"/>
          </w:tcPr>
          <w:p w14:paraId="0CBD065D" w14:textId="77777777" w:rsidR="00B27F54" w:rsidRPr="00B27F54" w:rsidRDefault="00B27F54" w:rsidP="00B27F54">
            <w:pPr>
              <w:jc w:val="left"/>
              <w:rPr>
                <w:rFonts w:eastAsia="Calibri" w:cs="Arial"/>
                <w:lang w:eastAsia="en-US"/>
              </w:rPr>
            </w:pPr>
            <w:r w:rsidRPr="00B27F54">
              <w:rPr>
                <w:rFonts w:eastAsia="Calibri" w:cs="Arial"/>
                <w:lang w:eastAsia="en-US"/>
              </w:rPr>
              <w:t>Outcomes</w:t>
            </w:r>
          </w:p>
        </w:tc>
        <w:tc>
          <w:tcPr>
            <w:tcW w:w="3825" w:type="pct"/>
          </w:tcPr>
          <w:p w14:paraId="4AA9C439" w14:textId="77777777" w:rsidR="00B27F54" w:rsidRPr="00B27F54" w:rsidRDefault="00B27F54" w:rsidP="003816F6">
            <w:pPr>
              <w:numPr>
                <w:ilvl w:val="0"/>
                <w:numId w:val="24"/>
              </w:numPr>
              <w:contextualSpacing/>
              <w:jc w:val="left"/>
              <w:rPr>
                <w:rFonts w:eastAsia="Calibri" w:cs="Times New Roman"/>
                <w:u w:val="dotted"/>
                <w:lang w:eastAsia="en-US"/>
              </w:rPr>
            </w:pPr>
            <w:r w:rsidRPr="00B27F54">
              <w:rPr>
                <w:rFonts w:eastAsia="Calibri" w:cs="Times New Roman"/>
                <w:lang w:eastAsia="en-US"/>
              </w:rPr>
              <w:t>Sensitivity</w:t>
            </w:r>
          </w:p>
          <w:p w14:paraId="6DD99F83" w14:textId="77777777" w:rsidR="00B27F54" w:rsidRPr="00B27F54" w:rsidRDefault="00B27F54" w:rsidP="003816F6">
            <w:pPr>
              <w:numPr>
                <w:ilvl w:val="0"/>
                <w:numId w:val="24"/>
              </w:numPr>
              <w:contextualSpacing/>
              <w:jc w:val="left"/>
              <w:rPr>
                <w:rFonts w:eastAsia="Calibri" w:cs="Times New Roman"/>
                <w:lang w:eastAsia="en-US"/>
              </w:rPr>
            </w:pPr>
            <w:r w:rsidRPr="00B27F54">
              <w:rPr>
                <w:rFonts w:eastAsia="Calibri" w:cs="Times New Roman"/>
                <w:lang w:eastAsia="en-US"/>
              </w:rPr>
              <w:t>Specificity</w:t>
            </w:r>
          </w:p>
          <w:p w14:paraId="50C95881" w14:textId="77777777" w:rsidR="00B27F54" w:rsidRPr="00B27F54" w:rsidRDefault="00B27F54" w:rsidP="003816F6">
            <w:pPr>
              <w:numPr>
                <w:ilvl w:val="0"/>
                <w:numId w:val="24"/>
              </w:numPr>
              <w:contextualSpacing/>
              <w:jc w:val="left"/>
              <w:rPr>
                <w:rFonts w:eastAsia="Calibri" w:cs="Times New Roman"/>
                <w:lang w:eastAsia="en-US"/>
              </w:rPr>
            </w:pPr>
            <w:r w:rsidRPr="00B27F54">
              <w:rPr>
                <w:rFonts w:eastAsia="Calibri" w:cs="Times New Roman"/>
                <w:lang w:eastAsia="en-US"/>
              </w:rPr>
              <w:t>Need for re-testing</w:t>
            </w:r>
          </w:p>
          <w:p w14:paraId="575526B4" w14:textId="77777777" w:rsidR="00B27F54" w:rsidRPr="00B27F54" w:rsidRDefault="00B27F54" w:rsidP="003816F6">
            <w:pPr>
              <w:numPr>
                <w:ilvl w:val="0"/>
                <w:numId w:val="24"/>
              </w:numPr>
              <w:contextualSpacing/>
              <w:jc w:val="left"/>
              <w:rPr>
                <w:rFonts w:eastAsia="Calibri" w:cs="Times New Roman"/>
                <w:lang w:eastAsia="en-US"/>
              </w:rPr>
            </w:pPr>
            <w:r w:rsidRPr="00B27F54">
              <w:rPr>
                <w:rFonts w:eastAsia="Calibri" w:cs="Times New Roman"/>
                <w:lang w:eastAsia="en-US"/>
              </w:rPr>
              <w:t>Reliability</w:t>
            </w:r>
          </w:p>
          <w:p w14:paraId="78BA990F" w14:textId="77777777" w:rsidR="00B27F54" w:rsidRPr="00B27F54" w:rsidRDefault="00B27F54" w:rsidP="003816F6">
            <w:pPr>
              <w:numPr>
                <w:ilvl w:val="0"/>
                <w:numId w:val="24"/>
              </w:numPr>
              <w:contextualSpacing/>
              <w:jc w:val="left"/>
              <w:rPr>
                <w:rFonts w:eastAsia="Calibri" w:cs="Times New Roman"/>
                <w:lang w:eastAsia="en-US"/>
              </w:rPr>
            </w:pPr>
            <w:r w:rsidRPr="00B27F54">
              <w:rPr>
                <w:rFonts w:eastAsia="Calibri" w:cs="Times New Roman"/>
                <w:lang w:eastAsia="en-US"/>
              </w:rPr>
              <w:t>Reproducibility</w:t>
            </w:r>
          </w:p>
          <w:p w14:paraId="298ED434" w14:textId="77777777" w:rsidR="00B27F54" w:rsidRPr="00B27F54" w:rsidRDefault="00B27F54" w:rsidP="003816F6">
            <w:pPr>
              <w:numPr>
                <w:ilvl w:val="0"/>
                <w:numId w:val="24"/>
              </w:numPr>
              <w:contextualSpacing/>
              <w:jc w:val="left"/>
              <w:rPr>
                <w:rFonts w:eastAsia="Calibri" w:cs="Times New Roman"/>
                <w:lang w:eastAsia="en-US"/>
              </w:rPr>
            </w:pPr>
            <w:r w:rsidRPr="00B27F54">
              <w:rPr>
                <w:rFonts w:eastAsia="Calibri" w:cs="Times New Roman"/>
                <w:lang w:eastAsia="en-US"/>
              </w:rPr>
              <w:t>PPV</w:t>
            </w:r>
          </w:p>
          <w:p w14:paraId="676F9D30" w14:textId="77777777" w:rsidR="00B27F54" w:rsidRPr="00B27F54" w:rsidRDefault="00B27F54" w:rsidP="003816F6">
            <w:pPr>
              <w:numPr>
                <w:ilvl w:val="0"/>
                <w:numId w:val="24"/>
              </w:numPr>
              <w:contextualSpacing/>
              <w:jc w:val="left"/>
              <w:rPr>
                <w:rFonts w:eastAsia="Calibri" w:cs="Times New Roman"/>
                <w:lang w:eastAsia="en-US"/>
              </w:rPr>
            </w:pPr>
            <w:r w:rsidRPr="00B27F54">
              <w:rPr>
                <w:rFonts w:eastAsia="Calibri" w:cs="Times New Roman"/>
                <w:lang w:eastAsia="en-US"/>
              </w:rPr>
              <w:t>NPV</w:t>
            </w:r>
          </w:p>
          <w:p w14:paraId="3FEE3386" w14:textId="77777777" w:rsidR="00B27F54" w:rsidRPr="00B27F54" w:rsidRDefault="00B27F54" w:rsidP="003816F6">
            <w:pPr>
              <w:numPr>
                <w:ilvl w:val="0"/>
                <w:numId w:val="24"/>
              </w:numPr>
              <w:contextualSpacing/>
              <w:jc w:val="left"/>
              <w:rPr>
                <w:rFonts w:eastAsia="Calibri" w:cs="Times New Roman"/>
                <w:color w:val="FF0000"/>
                <w:lang w:eastAsia="en-US"/>
              </w:rPr>
            </w:pPr>
            <w:r w:rsidRPr="00B27F54">
              <w:rPr>
                <w:rFonts w:eastAsia="Calibri" w:cs="Times New Roman"/>
                <w:lang w:eastAsia="en-US"/>
              </w:rPr>
              <w:t>Diagnostic yield</w:t>
            </w:r>
          </w:p>
        </w:tc>
      </w:tr>
      <w:tr w:rsidR="00B27F54" w:rsidRPr="00B27F54" w14:paraId="2180BAAB" w14:textId="77777777" w:rsidTr="00BE0118">
        <w:tc>
          <w:tcPr>
            <w:tcW w:w="1175" w:type="pct"/>
          </w:tcPr>
          <w:p w14:paraId="71666006" w14:textId="77777777" w:rsidR="00B27F54" w:rsidRPr="00B27F54" w:rsidRDefault="00B27F54" w:rsidP="00B27F54">
            <w:pPr>
              <w:jc w:val="left"/>
              <w:rPr>
                <w:rFonts w:eastAsia="Calibri" w:cs="Arial"/>
                <w:lang w:eastAsia="en-US"/>
              </w:rPr>
            </w:pPr>
            <w:r w:rsidRPr="00B27F54">
              <w:rPr>
                <w:rFonts w:eastAsia="Calibri" w:cs="Arial"/>
                <w:lang w:eastAsia="en-US"/>
              </w:rPr>
              <w:t>Research question</w:t>
            </w:r>
          </w:p>
        </w:tc>
        <w:tc>
          <w:tcPr>
            <w:tcW w:w="3825" w:type="pct"/>
          </w:tcPr>
          <w:p w14:paraId="7F7EBD89"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 xml:space="preserve">What is the clinical validity of AQP4-Ab with/without MOG-Ab testing (either concurrently or sequentially) in patients suspected of NMOSD, compared to being diagnosed by clinical characteristics alone? </w:t>
            </w:r>
          </w:p>
          <w:p w14:paraId="3C3A3E9C"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What is the clinical validity of AQP4-Ab or MOG-Ab monitoring in patients previously diagnosed with NMOSD compared to those monitored by clinical characteristics alone?</w:t>
            </w:r>
          </w:p>
        </w:tc>
      </w:tr>
    </w:tbl>
    <w:p w14:paraId="6285FD59" w14:textId="77777777" w:rsidR="00B27F54" w:rsidRPr="00B27F54" w:rsidRDefault="00B27F54" w:rsidP="00B27F54">
      <w:pPr>
        <w:widowControl w:val="0"/>
        <w:spacing w:after="120" w:line="240" w:lineRule="auto"/>
        <w:contextualSpacing/>
        <w:jc w:val="left"/>
        <w:rPr>
          <w:rFonts w:ascii="Arial Narrow" w:hAnsi="Arial Narrow" w:cs="Arial"/>
          <w:snapToGrid w:val="0"/>
          <w:sz w:val="18"/>
          <w:szCs w:val="20"/>
          <w:lang w:eastAsia="en-US"/>
        </w:rPr>
      </w:pPr>
      <w:r w:rsidRPr="00B27F54">
        <w:rPr>
          <w:rFonts w:ascii="Arial Narrow" w:hAnsi="Arial Narrow" w:cs="Arial"/>
          <w:snapToGrid w:val="0"/>
          <w:sz w:val="18"/>
          <w:szCs w:val="20"/>
          <w:lang w:eastAsia="en-US"/>
        </w:rPr>
        <w:t>AQP4-Ab = aquaporin 4 antibodies; CSF = cerebrospinal fluid; LETM = longitudinal extensive transverse myelitis; MRI = magnetic resonance imaging; NMOSD = neuromyelitis optica spectrum disorder</w:t>
      </w:r>
      <w:r w:rsidR="00D62E57">
        <w:rPr>
          <w:rFonts w:ascii="Arial Narrow" w:hAnsi="Arial Narrow" w:cs="Arial"/>
          <w:snapToGrid w:val="0"/>
          <w:sz w:val="18"/>
          <w:szCs w:val="20"/>
          <w:lang w:eastAsia="en-US"/>
        </w:rPr>
        <w:t>s</w:t>
      </w:r>
      <w:r w:rsidRPr="00B27F54">
        <w:rPr>
          <w:rFonts w:ascii="Arial Narrow" w:hAnsi="Arial Narrow" w:cs="Arial"/>
          <w:snapToGrid w:val="0"/>
          <w:sz w:val="18"/>
          <w:szCs w:val="20"/>
          <w:lang w:eastAsia="en-US"/>
        </w:rPr>
        <w:t xml:space="preserve"> (includes MARD); NPV = negative predictive value; PPV = positive predictive value</w:t>
      </w:r>
    </w:p>
    <w:p w14:paraId="49552742" w14:textId="13343722" w:rsidR="00B27F54" w:rsidRPr="00B27F54" w:rsidRDefault="00B27F54" w:rsidP="00B27F54">
      <w:pPr>
        <w:widowControl w:val="0"/>
        <w:spacing w:after="120" w:line="240" w:lineRule="auto"/>
        <w:contextualSpacing/>
        <w:jc w:val="left"/>
        <w:rPr>
          <w:rFonts w:ascii="Arial Narrow" w:hAnsi="Arial Narrow" w:cs="Arial"/>
          <w:snapToGrid w:val="0"/>
          <w:sz w:val="18"/>
          <w:szCs w:val="20"/>
          <w:lang w:eastAsia="en-US"/>
        </w:rPr>
      </w:pPr>
      <w:r w:rsidRPr="00B27F54">
        <w:rPr>
          <w:rFonts w:ascii="Arial Narrow" w:hAnsi="Arial Narrow" w:cs="Arial"/>
          <w:snapToGrid w:val="0"/>
          <w:sz w:val="18"/>
          <w:szCs w:val="20"/>
          <w:lang w:eastAsia="en-US"/>
        </w:rPr>
        <w:t xml:space="preserve">* LETM defined as a spinal cord lesion that extends over 3 or more vertebrae segments </w:t>
      </w:r>
      <w:r w:rsidRPr="00B27F54">
        <w:rPr>
          <w:rFonts w:ascii="Arial Narrow" w:hAnsi="Arial Narrow" w:cs="Arial"/>
          <w:snapToGrid w:val="0"/>
          <w:sz w:val="18"/>
          <w:szCs w:val="20"/>
          <w:lang w:eastAsia="en-US"/>
        </w:rPr>
        <w:fldChar w:fldCharType="begin"/>
      </w:r>
      <w:r w:rsidR="00646E7C">
        <w:rPr>
          <w:rFonts w:ascii="Arial Narrow" w:hAnsi="Arial Narrow" w:cs="Arial"/>
          <w:snapToGrid w:val="0"/>
          <w:sz w:val="18"/>
          <w:szCs w:val="20"/>
          <w:lang w:eastAsia="en-US"/>
        </w:rPr>
        <w:instrText xml:space="preserve"> ADDIN EN.CITE &lt;EndNote&gt;&lt;Cite&gt;&lt;Author&gt;Wingerchuk&lt;/Author&gt;&lt;Year&gt;2015&lt;/Year&gt;&lt;RecNum&gt;35&lt;/RecNum&gt;&lt;DisplayText&gt;(Wingerchuk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Pr="00B27F54">
        <w:rPr>
          <w:rFonts w:ascii="Arial Narrow" w:hAnsi="Arial Narrow" w:cs="Arial"/>
          <w:snapToGrid w:val="0"/>
          <w:sz w:val="18"/>
          <w:szCs w:val="20"/>
          <w:lang w:eastAsia="en-US"/>
        </w:rPr>
        <w:fldChar w:fldCharType="separate"/>
      </w:r>
      <w:r w:rsidR="00646E7C">
        <w:rPr>
          <w:rFonts w:ascii="Arial Narrow" w:hAnsi="Arial Narrow" w:cs="Arial"/>
          <w:noProof/>
          <w:snapToGrid w:val="0"/>
          <w:sz w:val="18"/>
          <w:szCs w:val="20"/>
          <w:lang w:eastAsia="en-US"/>
        </w:rPr>
        <w:t>(Wingerchuk et al. 2015)</w:t>
      </w:r>
      <w:r w:rsidRPr="00B27F54">
        <w:rPr>
          <w:rFonts w:ascii="Arial Narrow" w:hAnsi="Arial Narrow" w:cs="Arial"/>
          <w:snapToGrid w:val="0"/>
          <w:sz w:val="18"/>
          <w:szCs w:val="20"/>
          <w:lang w:eastAsia="en-US"/>
        </w:rPr>
        <w:fldChar w:fldCharType="end"/>
      </w:r>
    </w:p>
    <w:p w14:paraId="62CFE657" w14:textId="77777777" w:rsidR="00B27F54" w:rsidRPr="00B27F54" w:rsidRDefault="00B27F54" w:rsidP="00B27F54">
      <w:pPr>
        <w:spacing w:after="200" w:line="276" w:lineRule="auto"/>
        <w:jc w:val="left"/>
        <w:rPr>
          <w:rFonts w:eastAsia="Calibri" w:cs="Times New Roman"/>
          <w:lang w:eastAsia="en-US"/>
        </w:rPr>
      </w:pPr>
      <w:r w:rsidRPr="00B27F54">
        <w:rPr>
          <w:rFonts w:eastAsia="Calibri" w:cs="Times New Roman"/>
          <w:lang w:eastAsia="en-US"/>
        </w:rPr>
        <w:br w:type="page"/>
      </w:r>
    </w:p>
    <w:p w14:paraId="5CC48FDD" w14:textId="77777777" w:rsidR="00B27F54" w:rsidRPr="00B27F54" w:rsidRDefault="0048055F" w:rsidP="009D7D75">
      <w:pPr>
        <w:pStyle w:val="Caption"/>
        <w:ind w:left="720" w:hanging="720"/>
        <w:jc w:val="left"/>
        <w:rPr>
          <w:lang w:val="en-GB"/>
        </w:rPr>
      </w:pPr>
      <w:bookmarkStart w:id="666" w:name="_Toc39580898"/>
      <w:r>
        <w:lastRenderedPageBreak/>
        <w:t xml:space="preserve">Box </w:t>
      </w:r>
      <w:fldSimple w:instr=" SEQ Box \* ARABIC ">
        <w:r w:rsidR="009D7D75">
          <w:rPr>
            <w:noProof/>
          </w:rPr>
          <w:t>3</w:t>
        </w:r>
      </w:fldSimple>
      <w:r w:rsidR="00B27F54" w:rsidRPr="00B27F54">
        <w:rPr>
          <w:lang w:val="en-GB"/>
        </w:rPr>
        <w:t>:</w:t>
      </w:r>
      <w:r w:rsidR="00B27F54" w:rsidRPr="00B27F54">
        <w:rPr>
          <w:lang w:val="en-GB"/>
        </w:rPr>
        <w:tab/>
        <w:t>PPICO criteria for assessing the impact on patient management of antibody testing in patients with symptoms of NMOSD (linked evidence)</w:t>
      </w:r>
      <w:bookmarkEnd w:id="666"/>
    </w:p>
    <w:tbl>
      <w:tblPr>
        <w:tblStyle w:val="TableGrid1"/>
        <w:tblW w:w="5000" w:type="pct"/>
        <w:tblLook w:val="00A0" w:firstRow="1" w:lastRow="0" w:firstColumn="1" w:lastColumn="0" w:noHBand="0" w:noVBand="0"/>
      </w:tblPr>
      <w:tblGrid>
        <w:gridCol w:w="1812"/>
        <w:gridCol w:w="7204"/>
      </w:tblGrid>
      <w:tr w:rsidR="00B27F54" w:rsidRPr="00B27F54" w14:paraId="32A1B53A" w14:textId="77777777" w:rsidTr="00BE0118">
        <w:trPr>
          <w:cnfStyle w:val="100000000000" w:firstRow="1" w:lastRow="0" w:firstColumn="0" w:lastColumn="0" w:oddVBand="0" w:evenVBand="0" w:oddHBand="0" w:evenHBand="0" w:firstRowFirstColumn="0" w:firstRowLastColumn="0" w:lastRowFirstColumn="0" w:lastRowLastColumn="0"/>
        </w:trPr>
        <w:tc>
          <w:tcPr>
            <w:tcW w:w="1005" w:type="pct"/>
          </w:tcPr>
          <w:p w14:paraId="7BCFFF94" w14:textId="77777777" w:rsidR="00B27F54" w:rsidRPr="00B27F54" w:rsidRDefault="00B27F54" w:rsidP="00B27F54">
            <w:pPr>
              <w:jc w:val="left"/>
              <w:rPr>
                <w:rFonts w:eastAsia="Calibri" w:cs="Times New Roman"/>
                <w:b/>
                <w:lang w:eastAsia="en-US"/>
              </w:rPr>
            </w:pPr>
            <w:r w:rsidRPr="00B27F54">
              <w:rPr>
                <w:rFonts w:eastAsia="Calibri" w:cs="Times New Roman"/>
                <w:b/>
                <w:lang w:eastAsia="en-US"/>
              </w:rPr>
              <w:t>Component</w:t>
            </w:r>
          </w:p>
        </w:tc>
        <w:tc>
          <w:tcPr>
            <w:tcW w:w="3995" w:type="pct"/>
          </w:tcPr>
          <w:p w14:paraId="758CB8FD" w14:textId="77777777" w:rsidR="00B27F54" w:rsidRPr="00B27F54" w:rsidRDefault="00B27F54" w:rsidP="00B27F54">
            <w:pPr>
              <w:rPr>
                <w:rFonts w:eastAsia="Calibri" w:cs="Times New Roman"/>
                <w:b/>
                <w:lang w:eastAsia="en-US"/>
              </w:rPr>
            </w:pPr>
            <w:r w:rsidRPr="00B27F54">
              <w:rPr>
                <w:rFonts w:eastAsia="Calibri" w:cs="Times New Roman"/>
                <w:b/>
                <w:lang w:eastAsia="en-US"/>
              </w:rPr>
              <w:t>Description</w:t>
            </w:r>
          </w:p>
        </w:tc>
      </w:tr>
      <w:tr w:rsidR="00B27F54" w:rsidRPr="00B27F54" w14:paraId="4220DB3A" w14:textId="77777777" w:rsidTr="00BE0118">
        <w:tc>
          <w:tcPr>
            <w:tcW w:w="1005" w:type="pct"/>
          </w:tcPr>
          <w:p w14:paraId="00B23A88"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Patients</w:t>
            </w:r>
          </w:p>
        </w:tc>
        <w:tc>
          <w:tcPr>
            <w:tcW w:w="3995" w:type="pct"/>
          </w:tcPr>
          <w:p w14:paraId="507C1952" w14:textId="77777777" w:rsidR="00B27F54" w:rsidRPr="00B27F54" w:rsidRDefault="00B27F54" w:rsidP="003816F6">
            <w:pPr>
              <w:numPr>
                <w:ilvl w:val="0"/>
                <w:numId w:val="33"/>
              </w:numPr>
              <w:spacing w:line="276" w:lineRule="auto"/>
              <w:ind w:left="339" w:hanging="339"/>
              <w:contextualSpacing/>
              <w:jc w:val="left"/>
              <w:rPr>
                <w:rFonts w:eastAsia="Calibri" w:cs="Times New Roman"/>
                <w:lang w:eastAsia="en-US"/>
              </w:rPr>
            </w:pPr>
            <w:r w:rsidRPr="00B27F54">
              <w:rPr>
                <w:rFonts w:eastAsia="Calibri" w:cs="Times New Roman"/>
                <w:lang w:eastAsia="en-US"/>
              </w:rPr>
              <w:t xml:space="preserve">Patients suspected of having neuromyelitis optica spectrum disorder (NMOSD) e.g. those with: </w:t>
            </w:r>
          </w:p>
          <w:p w14:paraId="43E4352F" w14:textId="77777777" w:rsidR="00B27F54" w:rsidRPr="00B27F54" w:rsidRDefault="00B27F54" w:rsidP="003816F6">
            <w:pPr>
              <w:numPr>
                <w:ilvl w:val="0"/>
                <w:numId w:val="31"/>
              </w:numPr>
              <w:contextualSpacing/>
              <w:jc w:val="left"/>
              <w:rPr>
                <w:rFonts w:eastAsia="Calibri" w:cs="Times New Roman"/>
                <w:lang w:eastAsia="en-US"/>
              </w:rPr>
            </w:pPr>
            <w:r w:rsidRPr="00B27F54">
              <w:rPr>
                <w:rFonts w:eastAsia="Calibri" w:cs="Times New Roman"/>
                <w:lang w:eastAsia="en-US"/>
              </w:rPr>
              <w:t>Recurrent, bilateral or severe optic neuritis; or</w:t>
            </w:r>
          </w:p>
          <w:p w14:paraId="24D91B93" w14:textId="77777777" w:rsidR="00B27F54" w:rsidRPr="00B27F54" w:rsidRDefault="00B27F54" w:rsidP="003816F6">
            <w:pPr>
              <w:numPr>
                <w:ilvl w:val="0"/>
                <w:numId w:val="31"/>
              </w:numPr>
              <w:contextualSpacing/>
              <w:jc w:val="left"/>
              <w:rPr>
                <w:rFonts w:eastAsia="Calibri" w:cs="Times New Roman"/>
                <w:lang w:eastAsia="en-US"/>
              </w:rPr>
            </w:pPr>
            <w:r w:rsidRPr="00B27F54">
              <w:rPr>
                <w:rFonts w:eastAsia="Calibri" w:cs="Times New Roman"/>
                <w:lang w:eastAsia="en-US"/>
              </w:rPr>
              <w:t>Recurrent longitudinal extensive transverse myelitis (LETM)*; or</w:t>
            </w:r>
          </w:p>
          <w:p w14:paraId="3803A587" w14:textId="77777777" w:rsidR="00B27F54" w:rsidRPr="00B27F54" w:rsidRDefault="00B27F54" w:rsidP="003816F6">
            <w:pPr>
              <w:numPr>
                <w:ilvl w:val="0"/>
                <w:numId w:val="31"/>
              </w:numPr>
              <w:contextualSpacing/>
              <w:jc w:val="left"/>
              <w:rPr>
                <w:rFonts w:eastAsia="Calibri" w:cs="Times New Roman"/>
                <w:lang w:eastAsia="en-US"/>
              </w:rPr>
            </w:pPr>
            <w:r w:rsidRPr="00B27F54">
              <w:rPr>
                <w:rFonts w:eastAsia="Calibri" w:cs="Times New Roman"/>
                <w:lang w:eastAsia="en-US"/>
              </w:rPr>
              <w:t>Area postrema syndrome (otherwise unexplained hiccups or nausea/vomiting) or</w:t>
            </w:r>
          </w:p>
          <w:p w14:paraId="7EF1FEAF" w14:textId="77777777" w:rsidR="00B27F54" w:rsidRPr="00B27F54" w:rsidRDefault="00B27F54" w:rsidP="003816F6">
            <w:pPr>
              <w:numPr>
                <w:ilvl w:val="0"/>
                <w:numId w:val="31"/>
              </w:numPr>
              <w:contextualSpacing/>
              <w:jc w:val="left"/>
              <w:rPr>
                <w:rFonts w:eastAsia="Calibri" w:cs="Times New Roman"/>
                <w:lang w:eastAsia="en-US"/>
              </w:rPr>
            </w:pPr>
            <w:r w:rsidRPr="00B27F54">
              <w:rPr>
                <w:rFonts w:eastAsia="Calibri" w:cs="Times New Roman"/>
                <w:lang w:eastAsia="en-US"/>
              </w:rPr>
              <w:t>Acute brainstem syndrome or</w:t>
            </w:r>
          </w:p>
          <w:p w14:paraId="24C48D31" w14:textId="77777777" w:rsidR="00B27F54" w:rsidRPr="00B27F54" w:rsidRDefault="00B27F54" w:rsidP="003816F6">
            <w:pPr>
              <w:numPr>
                <w:ilvl w:val="0"/>
                <w:numId w:val="31"/>
              </w:numPr>
              <w:contextualSpacing/>
              <w:jc w:val="left"/>
              <w:rPr>
                <w:rFonts w:eastAsia="Calibri" w:cs="Times New Roman"/>
                <w:lang w:eastAsia="en-US"/>
              </w:rPr>
            </w:pPr>
            <w:r w:rsidRPr="00B27F54">
              <w:rPr>
                <w:rFonts w:eastAsia="Calibri" w:cs="Times New Roman"/>
                <w:lang w:eastAsia="en-US"/>
              </w:rPr>
              <w:t>Symptomatic narcolepsy or acute diencephalic clinical syndrome with typical NMOSD MRI lesions or</w:t>
            </w:r>
          </w:p>
          <w:p w14:paraId="23694FF8" w14:textId="77777777" w:rsidR="00B27F54" w:rsidRPr="00B27F54" w:rsidRDefault="00B27F54" w:rsidP="003816F6">
            <w:pPr>
              <w:numPr>
                <w:ilvl w:val="0"/>
                <w:numId w:val="31"/>
              </w:numPr>
              <w:contextualSpacing/>
              <w:jc w:val="left"/>
              <w:rPr>
                <w:rFonts w:eastAsia="Calibri" w:cs="Times New Roman"/>
                <w:lang w:eastAsia="en-US"/>
              </w:rPr>
            </w:pPr>
            <w:r w:rsidRPr="00B27F54">
              <w:rPr>
                <w:rFonts w:eastAsia="Calibri" w:cs="Times New Roman"/>
                <w:lang w:eastAsia="en-US"/>
              </w:rPr>
              <w:t>Symptomatic cerebral syndrome with typical NMOSD MRI lesions or</w:t>
            </w:r>
          </w:p>
          <w:p w14:paraId="1A2D954B" w14:textId="77777777" w:rsidR="00B27F54" w:rsidRPr="00B27F54" w:rsidRDefault="00B27F54" w:rsidP="003816F6">
            <w:pPr>
              <w:numPr>
                <w:ilvl w:val="0"/>
                <w:numId w:val="31"/>
              </w:numPr>
              <w:contextualSpacing/>
              <w:jc w:val="left"/>
              <w:rPr>
                <w:rFonts w:eastAsia="Calibri" w:cs="Times New Roman"/>
                <w:lang w:eastAsia="en-US"/>
              </w:rPr>
            </w:pPr>
            <w:r w:rsidRPr="00B27F54">
              <w:rPr>
                <w:rFonts w:eastAsia="Calibri" w:cs="Times New Roman"/>
                <w:lang w:eastAsia="en-US"/>
              </w:rPr>
              <w:t>Monophasic neuromyelitis optica (no recurrence; simultaneous or closely related optic neuritis and LETM within 30 days) or</w:t>
            </w:r>
          </w:p>
          <w:p w14:paraId="61C51A90" w14:textId="77777777" w:rsidR="00B27F54" w:rsidRPr="00B27F54" w:rsidRDefault="00B27F54" w:rsidP="003816F6">
            <w:pPr>
              <w:numPr>
                <w:ilvl w:val="0"/>
                <w:numId w:val="31"/>
              </w:numPr>
              <w:contextualSpacing/>
              <w:jc w:val="left"/>
              <w:rPr>
                <w:rFonts w:eastAsia="Calibri" w:cs="Times New Roman"/>
                <w:lang w:eastAsia="en-US"/>
              </w:rPr>
            </w:pPr>
            <w:r w:rsidRPr="00B27F54">
              <w:rPr>
                <w:rFonts w:eastAsia="Calibri" w:cs="Times New Roman"/>
                <w:lang w:eastAsia="en-US"/>
              </w:rPr>
              <w:t>Patient has poor recovery from multiple sclerosis relapses</w:t>
            </w:r>
          </w:p>
          <w:p w14:paraId="6198E89E" w14:textId="77777777" w:rsidR="00B27F54" w:rsidRPr="00B27F54" w:rsidRDefault="00B27F54" w:rsidP="003816F6">
            <w:pPr>
              <w:numPr>
                <w:ilvl w:val="0"/>
                <w:numId w:val="33"/>
              </w:numPr>
              <w:spacing w:line="276" w:lineRule="auto"/>
              <w:ind w:left="339" w:hanging="339"/>
              <w:contextualSpacing/>
              <w:jc w:val="left"/>
              <w:rPr>
                <w:rFonts w:eastAsia="Calibri" w:cs="Times New Roman"/>
                <w:lang w:eastAsia="en-US"/>
              </w:rPr>
            </w:pPr>
            <w:r w:rsidRPr="00B27F54">
              <w:rPr>
                <w:rFonts w:eastAsia="Calibri" w:cs="Times New Roman"/>
                <w:lang w:eastAsia="en-US"/>
              </w:rPr>
              <w:t>Patients previously diagnosed with NMOSD who are being monitored or tested for signs of relapse</w:t>
            </w:r>
          </w:p>
        </w:tc>
      </w:tr>
      <w:tr w:rsidR="00B27F54" w:rsidRPr="00B27F54" w14:paraId="7DB2103B" w14:textId="77777777" w:rsidTr="00BE0118">
        <w:tc>
          <w:tcPr>
            <w:tcW w:w="1005" w:type="pct"/>
          </w:tcPr>
          <w:p w14:paraId="01871425"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Prior tests</w:t>
            </w:r>
          </w:p>
        </w:tc>
        <w:tc>
          <w:tcPr>
            <w:tcW w:w="3995" w:type="pct"/>
          </w:tcPr>
          <w:p w14:paraId="361C7B47" w14:textId="77777777" w:rsidR="00B27F54" w:rsidRPr="00B27F54" w:rsidRDefault="00B27F54" w:rsidP="00B27F54">
            <w:pPr>
              <w:spacing w:line="276" w:lineRule="auto"/>
              <w:jc w:val="left"/>
              <w:rPr>
                <w:rFonts w:eastAsia="Calibri" w:cs="Times New Roman"/>
                <w:lang w:eastAsia="en-US"/>
              </w:rPr>
            </w:pPr>
            <w:r w:rsidRPr="00B27F54">
              <w:rPr>
                <w:rFonts w:eastAsia="Calibri" w:cs="Times New Roman"/>
                <w:lang w:eastAsia="en-US"/>
              </w:rPr>
              <w:t>MRI: findings of at least one clinical characteristic of NMOSD</w:t>
            </w:r>
          </w:p>
        </w:tc>
      </w:tr>
      <w:tr w:rsidR="00B27F54" w:rsidRPr="00B27F54" w14:paraId="2C7D0322" w14:textId="77777777" w:rsidTr="00BE0118">
        <w:tc>
          <w:tcPr>
            <w:tcW w:w="1005" w:type="pct"/>
          </w:tcPr>
          <w:p w14:paraId="3325B101"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Intervention</w:t>
            </w:r>
          </w:p>
        </w:tc>
        <w:tc>
          <w:tcPr>
            <w:tcW w:w="3995" w:type="pct"/>
          </w:tcPr>
          <w:p w14:paraId="480439B9" w14:textId="77777777" w:rsidR="00B27F54" w:rsidRPr="00B27F54" w:rsidRDefault="00B27F54" w:rsidP="003816F6">
            <w:pPr>
              <w:numPr>
                <w:ilvl w:val="0"/>
                <w:numId w:val="36"/>
              </w:numPr>
              <w:spacing w:line="276" w:lineRule="auto"/>
              <w:contextualSpacing/>
              <w:jc w:val="left"/>
              <w:rPr>
                <w:rFonts w:eastAsia="Calibri" w:cs="Times New Roman"/>
                <w:lang w:eastAsia="en-US"/>
              </w:rPr>
            </w:pPr>
            <w:r w:rsidRPr="00B27F54">
              <w:rPr>
                <w:rFonts w:eastAsia="Calibri" w:cs="Times New Roman"/>
                <w:lang w:eastAsia="en-US"/>
              </w:rPr>
              <w:t>AQP4-Ab and MOG-Ab concurrent testing or sequential testing (AQP4-Ab testing followed by MOG-Ab testing in those testing –ve for AQP4-Ab) in serum or cerebrospinal fluid, using currently available assays</w:t>
            </w:r>
          </w:p>
          <w:p w14:paraId="6527372F" w14:textId="77777777" w:rsidR="00B27F54" w:rsidRPr="00B27F54" w:rsidRDefault="00B27F54" w:rsidP="003816F6">
            <w:pPr>
              <w:numPr>
                <w:ilvl w:val="0"/>
                <w:numId w:val="36"/>
              </w:numPr>
              <w:spacing w:line="276" w:lineRule="auto"/>
              <w:contextualSpacing/>
              <w:jc w:val="left"/>
              <w:rPr>
                <w:rFonts w:eastAsia="Calibri" w:cs="Times New Roman"/>
                <w:lang w:eastAsia="en-US"/>
              </w:rPr>
            </w:pPr>
            <w:r w:rsidRPr="00B27F54">
              <w:rPr>
                <w:rFonts w:eastAsia="Calibri" w:cs="Times New Roman"/>
                <w:lang w:eastAsia="en-US"/>
              </w:rPr>
              <w:t>Antibody testing (AQP4-Ab OR MOG-Ab) of serum to monitor for relapse in those previously diagnosed, using currently available assays</w:t>
            </w:r>
          </w:p>
        </w:tc>
      </w:tr>
      <w:tr w:rsidR="00B27F54" w:rsidRPr="00B27F54" w14:paraId="5785AA78" w14:textId="77777777" w:rsidTr="00BE0118">
        <w:tc>
          <w:tcPr>
            <w:tcW w:w="1005" w:type="pct"/>
          </w:tcPr>
          <w:p w14:paraId="52EDE8E5"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Comparator</w:t>
            </w:r>
          </w:p>
        </w:tc>
        <w:tc>
          <w:tcPr>
            <w:tcW w:w="3995" w:type="pct"/>
          </w:tcPr>
          <w:p w14:paraId="0C0C8637" w14:textId="77777777" w:rsidR="00B27F54" w:rsidRPr="00B27F54" w:rsidRDefault="00B27F54" w:rsidP="00B27F54">
            <w:pPr>
              <w:spacing w:line="276" w:lineRule="auto"/>
              <w:jc w:val="left"/>
              <w:rPr>
                <w:rFonts w:eastAsia="Calibri" w:cs="Times New Roman"/>
                <w:lang w:eastAsia="en-US"/>
              </w:rPr>
            </w:pPr>
            <w:r w:rsidRPr="00B27F54">
              <w:rPr>
                <w:rFonts w:eastAsia="Calibri" w:cs="Times New Roman"/>
                <w:lang w:eastAsia="en-US"/>
              </w:rPr>
              <w:t>No AQP4-Ab OR MOG-Ab testing: diagnosis by clinical characteristics alone, including tests to exclude other related diagnoses</w:t>
            </w:r>
          </w:p>
        </w:tc>
      </w:tr>
      <w:tr w:rsidR="00B27F54" w:rsidRPr="00B27F54" w14:paraId="559BA8B3" w14:textId="77777777" w:rsidTr="00BE0118">
        <w:tc>
          <w:tcPr>
            <w:tcW w:w="1005" w:type="pct"/>
          </w:tcPr>
          <w:p w14:paraId="3DE9AA2A"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Outcomes</w:t>
            </w:r>
          </w:p>
        </w:tc>
        <w:tc>
          <w:tcPr>
            <w:tcW w:w="3995" w:type="pct"/>
          </w:tcPr>
          <w:p w14:paraId="4831EEAA" w14:textId="77777777" w:rsidR="00B27F54" w:rsidRPr="00B27F54" w:rsidRDefault="00B27F54" w:rsidP="003816F6">
            <w:pPr>
              <w:numPr>
                <w:ilvl w:val="0"/>
                <w:numId w:val="24"/>
              </w:numPr>
              <w:spacing w:line="276" w:lineRule="auto"/>
              <w:contextualSpacing/>
              <w:jc w:val="left"/>
              <w:rPr>
                <w:rFonts w:eastAsia="Calibri" w:cs="Times New Roman"/>
                <w:lang w:eastAsia="en-US"/>
              </w:rPr>
            </w:pPr>
            <w:r w:rsidRPr="00B27F54">
              <w:rPr>
                <w:rFonts w:eastAsia="Calibri" w:cs="Times New Roman"/>
                <w:lang w:eastAsia="en-US"/>
              </w:rPr>
              <w:t>Time to diagnosis or commencement of therapy</w:t>
            </w:r>
          </w:p>
          <w:p w14:paraId="3E9DCEB1" w14:textId="77777777" w:rsidR="00B27F54" w:rsidRPr="00B27F54" w:rsidRDefault="00B27F54" w:rsidP="003816F6">
            <w:pPr>
              <w:numPr>
                <w:ilvl w:val="0"/>
                <w:numId w:val="24"/>
              </w:numPr>
              <w:spacing w:line="276" w:lineRule="auto"/>
              <w:contextualSpacing/>
              <w:jc w:val="left"/>
              <w:rPr>
                <w:rFonts w:eastAsia="Calibri" w:cs="Times New Roman"/>
                <w:lang w:eastAsia="en-US"/>
              </w:rPr>
            </w:pPr>
            <w:r w:rsidRPr="00B27F54">
              <w:rPr>
                <w:rFonts w:eastAsia="Calibri" w:cs="Times New Roman"/>
                <w:lang w:eastAsia="en-US"/>
              </w:rPr>
              <w:t>Change in treatments recommended or received by patient</w:t>
            </w:r>
          </w:p>
          <w:p w14:paraId="470F3B76" w14:textId="77777777" w:rsidR="00B27F54" w:rsidRPr="00B27F54" w:rsidRDefault="00B27F54" w:rsidP="003816F6">
            <w:pPr>
              <w:numPr>
                <w:ilvl w:val="0"/>
                <w:numId w:val="24"/>
              </w:numPr>
              <w:spacing w:line="276" w:lineRule="auto"/>
              <w:contextualSpacing/>
              <w:jc w:val="left"/>
              <w:rPr>
                <w:rFonts w:eastAsia="Calibri" w:cs="Times New Roman"/>
                <w:lang w:eastAsia="en-US"/>
              </w:rPr>
            </w:pPr>
            <w:r w:rsidRPr="00B27F54">
              <w:rPr>
                <w:rFonts w:eastAsia="Calibri" w:cs="Times New Roman"/>
                <w:lang w:eastAsia="en-US"/>
              </w:rPr>
              <w:t>Number of additional tests performed/avoided (e.g. further investigations after an AQP4-Ab or MOG-Ab test result vs investigations in the absence of antibody testing)</w:t>
            </w:r>
          </w:p>
          <w:p w14:paraId="2E68EB92" w14:textId="77777777" w:rsidR="00B27F54" w:rsidRPr="00B27F54" w:rsidRDefault="00B27F54" w:rsidP="003816F6">
            <w:pPr>
              <w:numPr>
                <w:ilvl w:val="0"/>
                <w:numId w:val="24"/>
              </w:numPr>
              <w:spacing w:line="276" w:lineRule="auto"/>
              <w:contextualSpacing/>
              <w:jc w:val="left"/>
              <w:rPr>
                <w:rFonts w:eastAsia="Calibri" w:cs="Times New Roman"/>
                <w:lang w:eastAsia="en-US"/>
              </w:rPr>
            </w:pPr>
            <w:r w:rsidRPr="00B27F54">
              <w:rPr>
                <w:rFonts w:eastAsia="Calibri" w:cs="Times New Roman"/>
                <w:lang w:eastAsia="en-US"/>
              </w:rPr>
              <w:t>Change in specialist referrals</w:t>
            </w:r>
          </w:p>
          <w:p w14:paraId="0A220161" w14:textId="77777777" w:rsidR="00B27F54" w:rsidRPr="00B27F54" w:rsidRDefault="00B27F54" w:rsidP="003816F6">
            <w:pPr>
              <w:numPr>
                <w:ilvl w:val="0"/>
                <w:numId w:val="24"/>
              </w:numPr>
              <w:spacing w:line="276" w:lineRule="auto"/>
              <w:contextualSpacing/>
              <w:jc w:val="left"/>
              <w:rPr>
                <w:rFonts w:eastAsia="Calibri" w:cs="Times New Roman"/>
                <w:lang w:eastAsia="en-US"/>
              </w:rPr>
            </w:pPr>
            <w:r w:rsidRPr="00B27F54">
              <w:rPr>
                <w:rFonts w:eastAsia="Calibri" w:cs="Times New Roman"/>
                <w:lang w:eastAsia="en-US"/>
              </w:rPr>
              <w:t>Change in diagnosis</w:t>
            </w:r>
          </w:p>
        </w:tc>
      </w:tr>
      <w:tr w:rsidR="00B27F54" w:rsidRPr="00B27F54" w14:paraId="073DAFE7" w14:textId="77777777" w:rsidTr="00BE0118">
        <w:tc>
          <w:tcPr>
            <w:tcW w:w="1005" w:type="pct"/>
          </w:tcPr>
          <w:p w14:paraId="4FA3B949"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Research question</w:t>
            </w:r>
          </w:p>
        </w:tc>
        <w:tc>
          <w:tcPr>
            <w:tcW w:w="3995" w:type="pct"/>
          </w:tcPr>
          <w:p w14:paraId="570812B0" w14:textId="77777777" w:rsidR="00B27F54" w:rsidRPr="00B27F54" w:rsidRDefault="00B27F54" w:rsidP="00B27F54">
            <w:pPr>
              <w:spacing w:line="276" w:lineRule="auto"/>
              <w:jc w:val="left"/>
              <w:rPr>
                <w:rFonts w:eastAsia="Calibri" w:cs="Times New Roman"/>
                <w:lang w:eastAsia="en-US"/>
              </w:rPr>
            </w:pPr>
            <w:r w:rsidRPr="00B27F54">
              <w:rPr>
                <w:rFonts w:eastAsia="Calibri" w:cs="Times New Roman"/>
                <w:lang w:eastAsia="en-US"/>
              </w:rPr>
              <w:t>Do AQP4-Ab with/without MOG-Ab testing in patients suspected of NMOSD change management, compared to being diagnosed by clinical characteristics alone?</w:t>
            </w:r>
          </w:p>
          <w:p w14:paraId="6BC1DCBA" w14:textId="77777777" w:rsidR="00B27F54" w:rsidRPr="00B27F54" w:rsidRDefault="00B27F54" w:rsidP="00B27F54">
            <w:pPr>
              <w:spacing w:line="276" w:lineRule="auto"/>
              <w:jc w:val="left"/>
              <w:rPr>
                <w:rFonts w:eastAsia="Calibri" w:cs="Times New Roman"/>
                <w:lang w:eastAsia="en-US"/>
              </w:rPr>
            </w:pPr>
            <w:r w:rsidRPr="00B27F54">
              <w:rPr>
                <w:rFonts w:eastAsia="Calibri" w:cs="Times New Roman"/>
                <w:lang w:eastAsia="en-US"/>
              </w:rPr>
              <w:t>Does monitoring by AQP4-Ab or MOG-Ab testing in patients previously diagnosed with NMOSD change management compared to monitoring by clinical characteristics alone?</w:t>
            </w:r>
          </w:p>
        </w:tc>
      </w:tr>
    </w:tbl>
    <w:p w14:paraId="6491ECC9" w14:textId="77777777" w:rsidR="00B27F54" w:rsidRPr="00B27F54" w:rsidRDefault="00B27F54" w:rsidP="00B27F54">
      <w:pPr>
        <w:widowControl w:val="0"/>
        <w:spacing w:after="120" w:line="240" w:lineRule="auto"/>
        <w:contextualSpacing/>
        <w:jc w:val="left"/>
        <w:rPr>
          <w:rFonts w:ascii="Arial Narrow" w:hAnsi="Arial Narrow" w:cs="Arial"/>
          <w:snapToGrid w:val="0"/>
          <w:sz w:val="18"/>
          <w:szCs w:val="20"/>
          <w:lang w:eastAsia="en-US"/>
        </w:rPr>
      </w:pPr>
      <w:r w:rsidRPr="00B27F54">
        <w:rPr>
          <w:rFonts w:ascii="Arial Narrow" w:hAnsi="Arial Narrow" w:cs="Arial"/>
          <w:snapToGrid w:val="0"/>
          <w:sz w:val="18"/>
          <w:szCs w:val="20"/>
          <w:lang w:eastAsia="en-US"/>
        </w:rPr>
        <w:t>AQP4-Ab = aquaporin 4 antibodies; LETM = longitudinal extensive transverse myelitis; MARD = MOG antibody related disorder; MRI = magnetic resonance imaging; NMOSD = neuromyelitis optica spectrum disorder</w:t>
      </w:r>
      <w:r w:rsidR="001431B2">
        <w:rPr>
          <w:rFonts w:ascii="Arial Narrow" w:hAnsi="Arial Narrow" w:cs="Arial"/>
          <w:snapToGrid w:val="0"/>
          <w:sz w:val="18"/>
          <w:szCs w:val="20"/>
          <w:lang w:eastAsia="en-US"/>
        </w:rPr>
        <w:t>s</w:t>
      </w:r>
      <w:r w:rsidRPr="00B27F54">
        <w:rPr>
          <w:rFonts w:ascii="Arial Narrow" w:hAnsi="Arial Narrow" w:cs="Arial"/>
          <w:snapToGrid w:val="0"/>
          <w:sz w:val="18"/>
          <w:szCs w:val="20"/>
          <w:lang w:eastAsia="en-US"/>
        </w:rPr>
        <w:t xml:space="preserve"> (includes MARD)</w:t>
      </w:r>
    </w:p>
    <w:p w14:paraId="4D35B9E1" w14:textId="1F936772" w:rsidR="00B27F54" w:rsidRPr="00B27F54" w:rsidRDefault="00B27F54" w:rsidP="00B27F54">
      <w:pPr>
        <w:widowControl w:val="0"/>
        <w:spacing w:after="120" w:line="240" w:lineRule="auto"/>
        <w:contextualSpacing/>
        <w:jc w:val="left"/>
        <w:rPr>
          <w:rFonts w:ascii="Arial Narrow" w:hAnsi="Arial Narrow" w:cs="Arial"/>
          <w:snapToGrid w:val="0"/>
          <w:sz w:val="18"/>
          <w:szCs w:val="20"/>
          <w:lang w:eastAsia="en-US"/>
        </w:rPr>
      </w:pPr>
      <w:r w:rsidRPr="00B27F54">
        <w:rPr>
          <w:rFonts w:ascii="Arial Narrow" w:hAnsi="Arial Narrow" w:cs="Arial"/>
          <w:snapToGrid w:val="0"/>
          <w:sz w:val="18"/>
          <w:szCs w:val="20"/>
          <w:lang w:eastAsia="en-US"/>
        </w:rPr>
        <w:t>* LETM defined as a spinal cord lesion that extends over 3 or more vertebrae segments</w:t>
      </w:r>
      <w:r w:rsidR="00646E7C">
        <w:rPr>
          <w:rFonts w:ascii="Arial Narrow" w:hAnsi="Arial Narrow" w:cs="Arial"/>
          <w:snapToGrid w:val="0"/>
          <w:sz w:val="18"/>
          <w:szCs w:val="20"/>
          <w:lang w:eastAsia="en-US"/>
        </w:rPr>
        <w:t xml:space="preserve"> </w:t>
      </w:r>
      <w:r w:rsidR="00C3034B">
        <w:rPr>
          <w:rFonts w:ascii="Arial Narrow" w:hAnsi="Arial Narrow" w:cs="Arial"/>
          <w:snapToGrid w:val="0"/>
          <w:sz w:val="18"/>
          <w:szCs w:val="20"/>
          <w:lang w:eastAsia="en-US"/>
        </w:rPr>
        <w:fldChar w:fldCharType="begin"/>
      </w:r>
      <w:r w:rsidR="00C3034B">
        <w:rPr>
          <w:rFonts w:ascii="Arial Narrow" w:hAnsi="Arial Narrow" w:cs="Arial"/>
          <w:snapToGrid w:val="0"/>
          <w:sz w:val="18"/>
          <w:szCs w:val="20"/>
          <w:lang w:eastAsia="en-US"/>
        </w:rPr>
        <w:instrText xml:space="preserve"> ADDIN EN.CITE &lt;EndNote&gt;&lt;Cite&gt;&lt;Author&gt;Wingerchuk&lt;/Author&gt;&lt;Year&gt;2015&lt;/Year&gt;&lt;RecNum&gt;35&lt;/RecNum&gt;&lt;DisplayText&gt;(Wingerchuk et al. 2015)&lt;/DisplayText&gt;&lt;record&gt;&lt;rec-number&gt;35&lt;/rec-number&gt;&lt;foreign-keys&gt;&lt;key app="EN" db-id="r25zptaswpdzade29ws5pf9gx55ztppatt20" timestamp="1576104083"&gt;35&lt;/key&gt;&lt;/foreign-keys&gt;&lt;ref-type name="Journal Article"&gt;17&lt;/ref-type&gt;&lt;contributors&gt;&lt;authors&gt;&lt;author&gt;Wingerchuk, D. M.&lt;/author&gt;&lt;author&gt;Banwell, B.&lt;/author&gt;&lt;author&gt;Bennett, J. L.&lt;/author&gt;&lt;author&gt;Cabre, P.&lt;/author&gt;&lt;author&gt;Carroll, W. M.&lt;/author&gt;&lt;author&gt;Chitnis, T.&lt;/author&gt;&lt;author&gt;de Seze, J.&lt;/author&gt;&lt;author&gt;Fujihara, K.&lt;/author&gt;&lt;author&gt;Greenberg, B. M.&lt;/author&gt;&lt;author&gt;Jacob, A.&lt;/author&gt;&lt;author&gt;Jarius, S.&lt;/author&gt;&lt;author&gt;Lana-Peixoto, M.&lt;/author&gt;&lt;author&gt;Levy, M.&lt;/author&gt;&lt;author&gt;Simon, J. H.&lt;/author&gt;&lt;author&gt;Tenembaum, S.&lt;/author&gt;&lt;author&gt;Traboulsee, A. L.&lt;/author&gt;&lt;author&gt;Waters, P.&lt;/author&gt;&lt;author&gt;Wellik, K. E.&lt;/author&gt;&lt;author&gt;Weinshenker, B. G.&lt;/author&gt;&lt;/authors&gt;&lt;/contributors&gt;&lt;titles&gt;&lt;title&gt;International consensus diagnostic criteria for neuromyelitis optica spectrum disorders&lt;/title&gt;&lt;secondary-title&gt;Neurology&lt;/secondary-title&gt;&lt;/titles&gt;&lt;periodical&gt;&lt;full-title&gt;Neurology&lt;/full-title&gt;&lt;/periodical&gt;&lt;pages&gt;177-189&lt;/pages&gt;&lt;volume&gt;85&lt;/volume&gt;&lt;number&gt;2&lt;/number&gt;&lt;dates&gt;&lt;year&gt;2015&lt;/year&gt;&lt;/dates&gt;&lt;urls&gt;&lt;related-urls&gt;&lt;url&gt;http://n.neurology.org/content/85/2/177.abstract&lt;/url&gt;&lt;/related-urls&gt;&lt;/urls&gt;&lt;electronic-resource-num&gt;10.1212/WNL.0000000000001729&lt;/electronic-resource-num&gt;&lt;/record&gt;&lt;/Cite&gt;&lt;/EndNote&gt;</w:instrText>
      </w:r>
      <w:r w:rsidR="00C3034B">
        <w:rPr>
          <w:rFonts w:ascii="Arial Narrow" w:hAnsi="Arial Narrow" w:cs="Arial"/>
          <w:snapToGrid w:val="0"/>
          <w:sz w:val="18"/>
          <w:szCs w:val="20"/>
          <w:lang w:eastAsia="en-US"/>
        </w:rPr>
        <w:fldChar w:fldCharType="separate"/>
      </w:r>
      <w:r w:rsidR="00C3034B">
        <w:rPr>
          <w:rFonts w:ascii="Arial Narrow" w:hAnsi="Arial Narrow" w:cs="Arial"/>
          <w:noProof/>
          <w:snapToGrid w:val="0"/>
          <w:sz w:val="18"/>
          <w:szCs w:val="20"/>
          <w:lang w:eastAsia="en-US"/>
        </w:rPr>
        <w:t>(Wingerchuk et al. 2015)</w:t>
      </w:r>
      <w:r w:rsidR="00C3034B">
        <w:rPr>
          <w:rFonts w:ascii="Arial Narrow" w:hAnsi="Arial Narrow" w:cs="Arial"/>
          <w:snapToGrid w:val="0"/>
          <w:sz w:val="18"/>
          <w:szCs w:val="20"/>
          <w:lang w:eastAsia="en-US"/>
        </w:rPr>
        <w:fldChar w:fldCharType="end"/>
      </w:r>
    </w:p>
    <w:p w14:paraId="2128C4EE" w14:textId="77777777" w:rsidR="00B27F54" w:rsidRPr="00B27F54" w:rsidRDefault="00B27F54" w:rsidP="00B27F54">
      <w:pPr>
        <w:spacing w:after="200" w:line="276" w:lineRule="auto"/>
        <w:jc w:val="left"/>
        <w:rPr>
          <w:rFonts w:eastAsia="Calibri" w:cs="Times New Roman"/>
          <w:u w:val="dotted"/>
          <w:lang w:eastAsia="en-US"/>
        </w:rPr>
      </w:pPr>
      <w:r w:rsidRPr="00B27F54">
        <w:rPr>
          <w:rFonts w:eastAsia="Calibri" w:cs="Times New Roman"/>
          <w:u w:val="dotted"/>
          <w:lang w:eastAsia="en-US"/>
        </w:rPr>
        <w:br w:type="page"/>
      </w:r>
    </w:p>
    <w:p w14:paraId="3417B049" w14:textId="77777777" w:rsidR="00B27F54" w:rsidRPr="00B27F54" w:rsidRDefault="009D7D75" w:rsidP="009D7D75">
      <w:pPr>
        <w:pStyle w:val="Caption"/>
        <w:ind w:left="720" w:hanging="720"/>
        <w:jc w:val="left"/>
        <w:rPr>
          <w:lang w:val="en-GB"/>
        </w:rPr>
      </w:pPr>
      <w:bookmarkStart w:id="667" w:name="_Toc39580899"/>
      <w:r>
        <w:lastRenderedPageBreak/>
        <w:t xml:space="preserve">Box </w:t>
      </w:r>
      <w:fldSimple w:instr=" SEQ Box \* ARABIC ">
        <w:r>
          <w:rPr>
            <w:noProof/>
          </w:rPr>
          <w:t>4</w:t>
        </w:r>
      </w:fldSimple>
      <w:r w:rsidR="00B27F54" w:rsidRPr="00B27F54">
        <w:rPr>
          <w:lang w:val="en-GB"/>
        </w:rPr>
        <w:t>:</w:t>
      </w:r>
      <w:r w:rsidR="00B27F54" w:rsidRPr="00B27F54">
        <w:rPr>
          <w:lang w:val="en-GB"/>
        </w:rPr>
        <w:tab/>
        <w:t>PICO criteria for assessing the therapeutic effectiveness (impact of the change in patient management) of antibody testing in patients with symptoms of NMOSD (linked evidence)</w:t>
      </w:r>
      <w:bookmarkEnd w:id="667"/>
    </w:p>
    <w:tbl>
      <w:tblPr>
        <w:tblStyle w:val="TableGrid1"/>
        <w:tblW w:w="5000" w:type="pct"/>
        <w:tblLook w:val="00A0" w:firstRow="1" w:lastRow="0" w:firstColumn="1" w:lastColumn="0" w:noHBand="0" w:noVBand="0"/>
      </w:tblPr>
      <w:tblGrid>
        <w:gridCol w:w="1834"/>
        <w:gridCol w:w="7182"/>
      </w:tblGrid>
      <w:tr w:rsidR="00B27F54" w:rsidRPr="00B27F54" w14:paraId="05317769" w14:textId="77777777" w:rsidTr="00BE0118">
        <w:trPr>
          <w:cnfStyle w:val="100000000000" w:firstRow="1" w:lastRow="0" w:firstColumn="0" w:lastColumn="0" w:oddVBand="0" w:evenVBand="0" w:oddHBand="0" w:evenHBand="0" w:firstRowFirstColumn="0" w:firstRowLastColumn="0" w:lastRowFirstColumn="0" w:lastRowLastColumn="0"/>
        </w:trPr>
        <w:tc>
          <w:tcPr>
            <w:tcW w:w="1017" w:type="pct"/>
          </w:tcPr>
          <w:p w14:paraId="0BD2A17C" w14:textId="77777777" w:rsidR="00B27F54" w:rsidRPr="00B27F54" w:rsidRDefault="00B27F54" w:rsidP="00B27F54">
            <w:pPr>
              <w:jc w:val="left"/>
              <w:rPr>
                <w:rFonts w:eastAsia="Calibri" w:cs="Times New Roman"/>
                <w:b/>
                <w:lang w:eastAsia="en-US"/>
              </w:rPr>
            </w:pPr>
            <w:r w:rsidRPr="00B27F54">
              <w:rPr>
                <w:rFonts w:eastAsia="Calibri" w:cs="Times New Roman"/>
                <w:b/>
                <w:lang w:eastAsia="en-US"/>
              </w:rPr>
              <w:t>Component</w:t>
            </w:r>
          </w:p>
        </w:tc>
        <w:tc>
          <w:tcPr>
            <w:tcW w:w="3983" w:type="pct"/>
          </w:tcPr>
          <w:p w14:paraId="2A89D808" w14:textId="77777777" w:rsidR="00B27F54" w:rsidRPr="00B27F54" w:rsidRDefault="00B27F54" w:rsidP="00B27F54">
            <w:pPr>
              <w:rPr>
                <w:rFonts w:eastAsia="Calibri" w:cs="Times New Roman"/>
                <w:b/>
                <w:lang w:eastAsia="en-US"/>
              </w:rPr>
            </w:pPr>
            <w:r w:rsidRPr="00B27F54">
              <w:rPr>
                <w:rFonts w:eastAsia="Calibri" w:cs="Times New Roman"/>
                <w:b/>
                <w:lang w:eastAsia="en-US"/>
              </w:rPr>
              <w:t>Description</w:t>
            </w:r>
          </w:p>
        </w:tc>
      </w:tr>
      <w:tr w:rsidR="00B27F54" w:rsidRPr="00B27F54" w14:paraId="0DB4C7F4" w14:textId="77777777" w:rsidTr="00BE0118">
        <w:tc>
          <w:tcPr>
            <w:tcW w:w="1017" w:type="pct"/>
          </w:tcPr>
          <w:p w14:paraId="55BEBC14" w14:textId="77777777" w:rsidR="00B27F54" w:rsidRPr="00B27F54" w:rsidRDefault="00B27F54" w:rsidP="00B27F54">
            <w:pPr>
              <w:jc w:val="left"/>
              <w:rPr>
                <w:rFonts w:eastAsia="Calibri" w:cs="Arial"/>
                <w:lang w:eastAsia="en-US"/>
              </w:rPr>
            </w:pPr>
            <w:r w:rsidRPr="00B27F54">
              <w:rPr>
                <w:rFonts w:eastAsia="Calibri" w:cs="Arial"/>
                <w:lang w:eastAsia="en-US"/>
              </w:rPr>
              <w:t>Patients</w:t>
            </w:r>
          </w:p>
        </w:tc>
        <w:tc>
          <w:tcPr>
            <w:tcW w:w="3983" w:type="pct"/>
          </w:tcPr>
          <w:p w14:paraId="1142294E" w14:textId="12B6352D" w:rsidR="00B27F54" w:rsidRPr="00B27F54" w:rsidRDefault="00B956DB" w:rsidP="00B27F54">
            <w:pPr>
              <w:jc w:val="left"/>
              <w:rPr>
                <w:rFonts w:eastAsia="Calibri" w:cs="Times New Roman"/>
                <w:lang w:eastAsia="en-US"/>
              </w:rPr>
            </w:pPr>
            <w:r>
              <w:rPr>
                <w:rFonts w:eastAsia="Calibri" w:cs="Times New Roman"/>
                <w:lang w:eastAsia="en-US"/>
              </w:rPr>
              <w:t>1.</w:t>
            </w:r>
            <w:r w:rsidR="00B27F54" w:rsidRPr="00B27F54">
              <w:rPr>
                <w:rFonts w:eastAsia="Calibri" w:cs="Times New Roman"/>
                <w:lang w:eastAsia="en-US"/>
              </w:rPr>
              <w:t xml:space="preserve"> Patients diagnosed with NMOSD or those testing negative for AQP4-Ab and MOG-Ab</w:t>
            </w:r>
          </w:p>
          <w:p w14:paraId="3237473D" w14:textId="77777777" w:rsidR="00B27F54" w:rsidRPr="00B27F54" w:rsidRDefault="00B27F54" w:rsidP="00B27F54">
            <w:pPr>
              <w:jc w:val="left"/>
              <w:rPr>
                <w:rFonts w:eastAsia="Calibri" w:cs="Times New Roman"/>
                <w:color w:val="FF0000"/>
                <w:u w:val="dotted"/>
                <w:lang w:eastAsia="en-US"/>
              </w:rPr>
            </w:pPr>
            <w:r w:rsidRPr="00B27F54">
              <w:rPr>
                <w:rFonts w:eastAsia="Calibri" w:cs="Times New Roman"/>
                <w:lang w:eastAsia="en-US"/>
              </w:rPr>
              <w:t>2. Previously diagnosed NMOSD patients confirmed to be relapsing or those who had no increase in AQP4-Ab or MOG-Ab titre</w:t>
            </w:r>
          </w:p>
        </w:tc>
      </w:tr>
      <w:tr w:rsidR="00B27F54" w:rsidRPr="00B27F54" w14:paraId="51028067" w14:textId="77777777" w:rsidTr="00BE0118">
        <w:tc>
          <w:tcPr>
            <w:tcW w:w="1017" w:type="pct"/>
          </w:tcPr>
          <w:p w14:paraId="6B67987B" w14:textId="77777777" w:rsidR="00B27F54" w:rsidRPr="00B27F54" w:rsidRDefault="00B27F54" w:rsidP="00B27F54">
            <w:pPr>
              <w:jc w:val="left"/>
              <w:rPr>
                <w:rFonts w:eastAsia="Calibri" w:cs="Arial"/>
                <w:lang w:eastAsia="en-US"/>
              </w:rPr>
            </w:pPr>
            <w:r w:rsidRPr="00B27F54">
              <w:rPr>
                <w:rFonts w:eastAsia="Calibri" w:cs="Arial"/>
                <w:lang w:eastAsia="en-US"/>
              </w:rPr>
              <w:t>Intervention</w:t>
            </w:r>
          </w:p>
        </w:tc>
        <w:tc>
          <w:tcPr>
            <w:tcW w:w="3983" w:type="pct"/>
          </w:tcPr>
          <w:p w14:paraId="00519369" w14:textId="77777777" w:rsidR="00B27F54" w:rsidRPr="00B27F54" w:rsidRDefault="00B27F54" w:rsidP="003816F6">
            <w:pPr>
              <w:numPr>
                <w:ilvl w:val="0"/>
                <w:numId w:val="37"/>
              </w:numPr>
              <w:contextualSpacing/>
              <w:jc w:val="left"/>
              <w:rPr>
                <w:rFonts w:eastAsia="Calibri" w:cs="Times New Roman"/>
                <w:lang w:eastAsia="en-US"/>
              </w:rPr>
            </w:pPr>
            <w:r w:rsidRPr="00B27F54">
              <w:rPr>
                <w:rFonts w:eastAsia="Calibri" w:cs="Times New Roman"/>
                <w:lang w:eastAsia="en-US"/>
              </w:rPr>
              <w:t xml:space="preserve">Management changes resulting from AQP4-Ab and MOG-Ab concurrent testing or sequential testing (AQP4-Ab testing followed by MOG-Ab testing in those testing –ve for AQP4-Ab) in serum or cerebrospinal fluid using a currently available assay (e.g. earlier diagnosis, changes in treatment, avoiding unnecessary testing) </w:t>
            </w:r>
          </w:p>
          <w:p w14:paraId="5490C5D6" w14:textId="77777777" w:rsidR="00B27F54" w:rsidRPr="00B27F54" w:rsidRDefault="00B27F54" w:rsidP="003816F6">
            <w:pPr>
              <w:numPr>
                <w:ilvl w:val="0"/>
                <w:numId w:val="37"/>
              </w:numPr>
              <w:contextualSpacing/>
              <w:jc w:val="left"/>
              <w:rPr>
                <w:rFonts w:eastAsia="Calibri" w:cs="Times New Roman"/>
                <w:u w:val="dotted"/>
                <w:lang w:eastAsia="en-US"/>
              </w:rPr>
            </w:pPr>
            <w:r w:rsidRPr="00B27F54">
              <w:rPr>
                <w:rFonts w:eastAsia="Calibri" w:cs="Times New Roman"/>
                <w:lang w:eastAsia="en-US"/>
              </w:rPr>
              <w:t>Management changes resulting from antibody testing (AQP4-Ab or MOG-Ab) in serum using a currently available assay (e.g. earlier treatment, changes in treatment)</w:t>
            </w:r>
          </w:p>
        </w:tc>
      </w:tr>
      <w:tr w:rsidR="00B27F54" w:rsidRPr="00B27F54" w14:paraId="646077DB" w14:textId="77777777" w:rsidTr="00BE0118">
        <w:tc>
          <w:tcPr>
            <w:tcW w:w="1017" w:type="pct"/>
          </w:tcPr>
          <w:p w14:paraId="6804D997" w14:textId="77777777" w:rsidR="00B27F54" w:rsidRPr="00B27F54" w:rsidRDefault="00B27F54" w:rsidP="00B27F54">
            <w:pPr>
              <w:jc w:val="left"/>
              <w:rPr>
                <w:rFonts w:eastAsia="Calibri" w:cs="Arial"/>
                <w:lang w:eastAsia="en-US"/>
              </w:rPr>
            </w:pPr>
            <w:r w:rsidRPr="00B27F54">
              <w:rPr>
                <w:rFonts w:eastAsia="Calibri" w:cs="Arial"/>
                <w:lang w:eastAsia="en-US"/>
              </w:rPr>
              <w:t>Comparator</w:t>
            </w:r>
          </w:p>
        </w:tc>
        <w:tc>
          <w:tcPr>
            <w:tcW w:w="3983" w:type="pct"/>
          </w:tcPr>
          <w:p w14:paraId="1D1C5E75" w14:textId="77777777" w:rsidR="00B27F54" w:rsidRPr="00B27F54" w:rsidRDefault="00B27F54" w:rsidP="00B27F54">
            <w:pPr>
              <w:jc w:val="left"/>
              <w:rPr>
                <w:rFonts w:eastAsia="Calibri" w:cs="Times New Roman"/>
                <w:color w:val="FF0000"/>
                <w:u w:val="dotted"/>
                <w:lang w:eastAsia="en-US"/>
              </w:rPr>
            </w:pPr>
            <w:r w:rsidRPr="00B27F54">
              <w:rPr>
                <w:rFonts w:eastAsia="Calibri" w:cs="Times New Roman"/>
                <w:lang w:eastAsia="en-US"/>
              </w:rPr>
              <w:t>No management changes (management based on other diagnostic evidence only)</w:t>
            </w:r>
          </w:p>
        </w:tc>
      </w:tr>
      <w:tr w:rsidR="00B27F54" w:rsidRPr="00B27F54" w14:paraId="2275E99E" w14:textId="77777777" w:rsidTr="00BE0118">
        <w:tc>
          <w:tcPr>
            <w:tcW w:w="1017" w:type="pct"/>
          </w:tcPr>
          <w:p w14:paraId="63E30617" w14:textId="77777777" w:rsidR="00B27F54" w:rsidRPr="00B27F54" w:rsidRDefault="00B27F54" w:rsidP="00B27F54">
            <w:pPr>
              <w:jc w:val="left"/>
              <w:rPr>
                <w:rFonts w:eastAsia="Calibri" w:cs="Arial"/>
                <w:lang w:eastAsia="en-US"/>
              </w:rPr>
            </w:pPr>
            <w:r w:rsidRPr="00B27F54">
              <w:rPr>
                <w:rFonts w:eastAsia="Calibri" w:cs="Arial"/>
                <w:lang w:eastAsia="en-US"/>
              </w:rPr>
              <w:t>Outcomes</w:t>
            </w:r>
          </w:p>
        </w:tc>
        <w:tc>
          <w:tcPr>
            <w:tcW w:w="3983" w:type="pct"/>
          </w:tcPr>
          <w:p w14:paraId="176D9206" w14:textId="77777777" w:rsidR="00B27F54" w:rsidRPr="00B27F54" w:rsidRDefault="00B27F54" w:rsidP="003816F6">
            <w:pPr>
              <w:numPr>
                <w:ilvl w:val="0"/>
                <w:numId w:val="24"/>
              </w:numPr>
              <w:contextualSpacing/>
              <w:jc w:val="left"/>
              <w:rPr>
                <w:rFonts w:eastAsia="Calibri" w:cs="Times New Roman"/>
                <w:u w:val="dotted"/>
                <w:lang w:eastAsia="en-US"/>
              </w:rPr>
            </w:pPr>
            <w:r w:rsidRPr="00B27F54">
              <w:rPr>
                <w:rFonts w:eastAsia="Calibri" w:cs="Times New Roman"/>
                <w:lang w:eastAsia="en-US"/>
              </w:rPr>
              <w:t>Health impact due to diagnosis and differences between early diagnosis vs late diagnosis</w:t>
            </w:r>
          </w:p>
          <w:p w14:paraId="6187B8B5" w14:textId="77777777" w:rsidR="00B27F54" w:rsidRPr="00B27F54" w:rsidRDefault="00B27F54" w:rsidP="003816F6">
            <w:pPr>
              <w:numPr>
                <w:ilvl w:val="0"/>
                <w:numId w:val="24"/>
              </w:numPr>
              <w:contextualSpacing/>
              <w:jc w:val="left"/>
              <w:rPr>
                <w:rFonts w:eastAsia="Calibri" w:cs="Times New Roman"/>
                <w:u w:val="dotted"/>
                <w:lang w:eastAsia="en-US"/>
              </w:rPr>
            </w:pPr>
            <w:r w:rsidRPr="00B27F54">
              <w:rPr>
                <w:rFonts w:eastAsia="Calibri" w:cs="Times New Roman"/>
                <w:lang w:eastAsia="en-US"/>
              </w:rPr>
              <w:t>Health impact due to treatments received and differences between early treatment vs late treatment</w:t>
            </w:r>
          </w:p>
          <w:p w14:paraId="2EC5F15D" w14:textId="77777777" w:rsidR="00B27F54" w:rsidRPr="00B27F54" w:rsidRDefault="00B27F54" w:rsidP="003816F6">
            <w:pPr>
              <w:numPr>
                <w:ilvl w:val="0"/>
                <w:numId w:val="24"/>
              </w:numPr>
              <w:contextualSpacing/>
              <w:jc w:val="left"/>
              <w:rPr>
                <w:rFonts w:eastAsia="Calibri" w:cs="Times New Roman"/>
                <w:lang w:eastAsia="en-US"/>
              </w:rPr>
            </w:pPr>
            <w:r w:rsidRPr="00B27F54">
              <w:rPr>
                <w:rFonts w:eastAsia="Calibri" w:cs="Times New Roman"/>
                <w:lang w:eastAsia="en-US"/>
              </w:rPr>
              <w:t>Quality of life</w:t>
            </w:r>
          </w:p>
          <w:p w14:paraId="7AC94F0E" w14:textId="77777777" w:rsidR="00B27F54" w:rsidRPr="00B27F54" w:rsidRDefault="00B27F54" w:rsidP="003816F6">
            <w:pPr>
              <w:numPr>
                <w:ilvl w:val="0"/>
                <w:numId w:val="24"/>
              </w:numPr>
              <w:contextualSpacing/>
              <w:jc w:val="left"/>
              <w:rPr>
                <w:rFonts w:eastAsia="Calibri" w:cs="Times New Roman"/>
                <w:lang w:eastAsia="en-US"/>
              </w:rPr>
            </w:pPr>
            <w:r w:rsidRPr="00B27F54">
              <w:rPr>
                <w:rFonts w:eastAsia="Calibri" w:cs="Times New Roman"/>
                <w:lang w:eastAsia="en-US"/>
              </w:rPr>
              <w:t>Psychological health</w:t>
            </w:r>
          </w:p>
          <w:p w14:paraId="17EAB6DD" w14:textId="77777777" w:rsidR="00B27F54" w:rsidRPr="00B27F54" w:rsidRDefault="00B27F54" w:rsidP="003816F6">
            <w:pPr>
              <w:numPr>
                <w:ilvl w:val="0"/>
                <w:numId w:val="24"/>
              </w:numPr>
              <w:contextualSpacing/>
              <w:jc w:val="left"/>
              <w:rPr>
                <w:rFonts w:eastAsia="Calibri" w:cs="Times New Roman"/>
                <w:color w:val="FF0000"/>
                <w:lang w:eastAsia="en-US"/>
              </w:rPr>
            </w:pPr>
            <w:r w:rsidRPr="00B27F54">
              <w:rPr>
                <w:rFonts w:eastAsia="Calibri" w:cs="Times New Roman"/>
                <w:lang w:eastAsia="en-US"/>
              </w:rPr>
              <w:t>Patient acceptability, satisfaction and convenience</w:t>
            </w:r>
          </w:p>
        </w:tc>
      </w:tr>
      <w:tr w:rsidR="00B27F54" w:rsidRPr="00B27F54" w14:paraId="386F85A4" w14:textId="77777777" w:rsidTr="00BE0118">
        <w:tc>
          <w:tcPr>
            <w:tcW w:w="1017" w:type="pct"/>
          </w:tcPr>
          <w:p w14:paraId="2090281E" w14:textId="77777777" w:rsidR="00B27F54" w:rsidRPr="00B27F54" w:rsidRDefault="00B27F54" w:rsidP="00B27F54">
            <w:pPr>
              <w:jc w:val="left"/>
              <w:rPr>
                <w:rFonts w:eastAsia="Calibri" w:cs="Arial"/>
                <w:lang w:eastAsia="en-US"/>
              </w:rPr>
            </w:pPr>
            <w:r w:rsidRPr="00B27F54">
              <w:rPr>
                <w:rFonts w:eastAsia="Calibri" w:cs="Arial"/>
                <w:lang w:eastAsia="en-US"/>
              </w:rPr>
              <w:t>Research question</w:t>
            </w:r>
          </w:p>
        </w:tc>
        <w:tc>
          <w:tcPr>
            <w:tcW w:w="3983" w:type="pct"/>
          </w:tcPr>
          <w:p w14:paraId="555FD8F2"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 xml:space="preserve">How effective are the changes which result from AQP4-Ab with/without MOG-Ab testing compared to diagnosis based on clinical characteristics alone (e.g. how effective is early vs late treatment, or treatment for NMOSD rather than MS for someone with NMOSD)? </w:t>
            </w:r>
          </w:p>
          <w:p w14:paraId="591291C8" w14:textId="77777777" w:rsidR="00B27F54" w:rsidRPr="00B27F54" w:rsidRDefault="00B27F54" w:rsidP="00B27F54">
            <w:pPr>
              <w:jc w:val="left"/>
              <w:rPr>
                <w:rFonts w:eastAsia="Calibri" w:cs="Times New Roman"/>
                <w:lang w:eastAsia="en-US"/>
              </w:rPr>
            </w:pPr>
            <w:r w:rsidRPr="00B27F54">
              <w:rPr>
                <w:rFonts w:eastAsia="Calibri" w:cs="Times New Roman"/>
                <w:lang w:eastAsia="en-US"/>
              </w:rPr>
              <w:t>How effective are changes which result from AQP4-Ab or MOG-Ab testing compared to monitoring based on clinical characteristics alone (e.g. how effective is early vs late treatment) for those previously diagnosed with NMOSD?</w:t>
            </w:r>
          </w:p>
        </w:tc>
      </w:tr>
    </w:tbl>
    <w:p w14:paraId="2966B235" w14:textId="77777777" w:rsidR="00B27F54" w:rsidRPr="00B27F54" w:rsidRDefault="00B27F54" w:rsidP="00B27F54">
      <w:pPr>
        <w:widowControl w:val="0"/>
        <w:spacing w:after="120" w:line="240" w:lineRule="auto"/>
        <w:contextualSpacing/>
        <w:jc w:val="left"/>
        <w:rPr>
          <w:rFonts w:ascii="Arial Narrow" w:hAnsi="Arial Narrow" w:cs="Arial"/>
          <w:snapToGrid w:val="0"/>
          <w:sz w:val="18"/>
          <w:szCs w:val="20"/>
          <w:lang w:eastAsia="en-US"/>
        </w:rPr>
      </w:pPr>
      <w:r w:rsidRPr="00B27F54">
        <w:rPr>
          <w:rFonts w:ascii="Arial Narrow" w:hAnsi="Arial Narrow" w:cs="Arial"/>
          <w:snapToGrid w:val="0"/>
          <w:sz w:val="18"/>
          <w:szCs w:val="20"/>
          <w:lang w:eastAsia="en-US"/>
        </w:rPr>
        <w:t>AQP4-Ab = aquaporin 4 antibodies; MARD = MOG-antibody related disorder; MOG-Ab = myelin oligodendrocyte glycoprotein antibodies; NMOSD = neuromyelitis optica spectrum disorder</w:t>
      </w:r>
      <w:r w:rsidR="00825762">
        <w:rPr>
          <w:rFonts w:ascii="Arial Narrow" w:hAnsi="Arial Narrow" w:cs="Arial"/>
          <w:snapToGrid w:val="0"/>
          <w:sz w:val="18"/>
          <w:szCs w:val="20"/>
          <w:lang w:eastAsia="en-US"/>
        </w:rPr>
        <w:t>s</w:t>
      </w:r>
      <w:r w:rsidRPr="00B27F54">
        <w:rPr>
          <w:rFonts w:ascii="Arial Narrow" w:hAnsi="Arial Narrow" w:cs="Arial"/>
          <w:snapToGrid w:val="0"/>
          <w:sz w:val="18"/>
          <w:szCs w:val="20"/>
          <w:lang w:eastAsia="en-US"/>
        </w:rPr>
        <w:t xml:space="preserve"> (includes MARD)</w:t>
      </w:r>
    </w:p>
    <w:p w14:paraId="63CF559F" w14:textId="77777777" w:rsidR="00635D45" w:rsidRDefault="00635D45" w:rsidP="00ED65EE">
      <w:pPr>
        <w:rPr>
          <w:rFonts w:eastAsiaTheme="minorHAnsi"/>
          <w:lang w:eastAsia="en-US"/>
        </w:rPr>
      </w:pPr>
    </w:p>
    <w:p w14:paraId="2414A1B6" w14:textId="77777777" w:rsidR="00FC2669" w:rsidRDefault="00FC2669" w:rsidP="00ED65EE">
      <w:pPr>
        <w:rPr>
          <w:rFonts w:eastAsiaTheme="minorHAnsi"/>
          <w:lang w:eastAsia="en-US"/>
        </w:rPr>
      </w:pPr>
    </w:p>
    <w:p w14:paraId="468C7AA4" w14:textId="77777777" w:rsidR="00FC2669" w:rsidRDefault="00FC2669">
      <w:pPr>
        <w:jc w:val="left"/>
        <w:rPr>
          <w:rFonts w:eastAsiaTheme="minorHAnsi"/>
          <w:lang w:eastAsia="en-US"/>
        </w:rPr>
      </w:pPr>
      <w:r>
        <w:rPr>
          <w:rFonts w:eastAsiaTheme="minorHAnsi"/>
          <w:lang w:eastAsia="en-US"/>
        </w:rPr>
        <w:br w:type="page"/>
      </w:r>
    </w:p>
    <w:p w14:paraId="1649AFE9" w14:textId="53045810" w:rsidR="00FC2669" w:rsidRPr="00FC2669" w:rsidRDefault="00FC2669" w:rsidP="00714684">
      <w:pPr>
        <w:pStyle w:val="Heading1"/>
      </w:pPr>
      <w:bookmarkStart w:id="668" w:name="_Ref33019823"/>
      <w:bookmarkStart w:id="669" w:name="_Toc39588398"/>
      <w:r w:rsidRPr="00FC2669">
        <w:lastRenderedPageBreak/>
        <w:t xml:space="preserve">Appendix </w:t>
      </w:r>
      <w:fldSimple w:instr=" SEQ Appendix \* ALPHABETIC ">
        <w:r w:rsidR="005E0404">
          <w:rPr>
            <w:noProof/>
          </w:rPr>
          <w:t>H</w:t>
        </w:r>
      </w:fldSimple>
      <w:bookmarkEnd w:id="668"/>
      <w:r w:rsidRPr="00FC2669">
        <w:tab/>
      </w:r>
      <w:r w:rsidR="00714684">
        <w:t>Sensitivity and specificity of various</w:t>
      </w:r>
      <w:r w:rsidRPr="00FC2669">
        <w:t xml:space="preserve"> </w:t>
      </w:r>
      <w:r w:rsidR="00152D27">
        <w:t>AQP4-Ab assays</w:t>
      </w:r>
      <w:bookmarkEnd w:id="669"/>
      <w:r w:rsidRPr="00FC2669">
        <w:t xml:space="preserve"> </w:t>
      </w:r>
    </w:p>
    <w:p w14:paraId="23EE3851" w14:textId="59405B1D" w:rsidR="00FC2669" w:rsidRPr="00FC2669" w:rsidRDefault="00FC2669" w:rsidP="00FC2669">
      <w:r w:rsidRPr="00FC2669">
        <w:t xml:space="preserve">Prain et al. </w:t>
      </w:r>
      <w:r w:rsidR="00156621">
        <w:fldChar w:fldCharType="begin"/>
      </w:r>
      <w:r w:rsidR="00156621">
        <w:instrText xml:space="preserve"> ADDIN EN.CITE &lt;EndNote&gt;&lt;Cite&gt;&lt;Author&gt;Prain&lt;/Author&gt;&lt;Year&gt;2019&lt;/Year&gt;&lt;RecNum&gt;24&lt;/RecNum&gt;&lt;IDText&gt;1-7&lt;/IDText&gt;&lt;DisplayText&gt;(Prain et al. 2019)&lt;/DisplayText&gt;&lt;record&gt;&lt;rec-number&gt;24&lt;/rec-number&gt;&lt;foreign-keys&gt;&lt;key app="EN" db-id="r25zptaswpdzade29ws5pf9gx55ztppatt20" timestamp="1576104080"&gt;24&lt;/key&gt;&lt;/foreign-keys&gt;&lt;ref-type name="Journal Article"&gt;17&lt;/ref-type&gt;&lt;contributors&gt;&lt;authors&gt;&lt;author&gt;Prain, K. M.&lt;/author&gt;&lt;author&gt;Woodhall, M.&lt;/author&gt;&lt;author&gt;Vincent, A.&lt;/author&gt;&lt;author&gt;Ramanathan, S.&lt;/author&gt;&lt;author&gt;Barnett, M. H.&lt;/author&gt;&lt;author&gt;Bundell, C.&lt;/author&gt;&lt;author&gt;Parratt, J. D. E.&lt;/author&gt;&lt;author&gt;Silvestrini, R. A.&lt;/author&gt;&lt;author&gt;Bukhari, W.&lt;/author&gt;&lt;author&gt;The Australian and New Zealand NMO Collaboration.&lt;/author&gt;&lt;author&gt;Brilot, F.&lt;/author&gt;&lt;author&gt;Waters, P.&lt;/author&gt;&lt;author&gt;Broadley, S. A.&lt;/author&gt;&lt;/authors&gt;&lt;/contributors&gt;&lt;titles&gt;&lt;title&gt;AQP4 Antibody Assay Sensitivity Comparison in the Era of the 2015 Diagnostic Criteria for NMOSD&lt;/title&gt;&lt;secondary-title&gt;Front Immunol&lt;/secondary-title&gt;&lt;/titles&gt;&lt;periodical&gt;&lt;full-title&gt;Front Immunol&lt;/full-title&gt;&lt;/periodical&gt;&lt;pages&gt;1-7&lt;/pages&gt;&lt;volume&gt;10&lt;/volume&gt;&lt;dates&gt;&lt;year&gt;2019&lt;/year&gt;&lt;/dates&gt;&lt;urls&gt;&lt;/urls&gt;&lt;/record&gt;&lt;/Cite&gt;&lt;/EndNote&gt;</w:instrText>
      </w:r>
      <w:r w:rsidR="00156621">
        <w:fldChar w:fldCharType="separate"/>
      </w:r>
      <w:r w:rsidR="00156621">
        <w:rPr>
          <w:noProof/>
        </w:rPr>
        <w:t>(Prain et al. 2019)</w:t>
      </w:r>
      <w:r w:rsidR="00156621">
        <w:fldChar w:fldCharType="end"/>
      </w:r>
      <w:r w:rsidRPr="00FC2669">
        <w:t>, compared different assays (cell-based, tissue-based and immunosorbent) for serum AQP4-Ab testing. As summarised in</w:t>
      </w:r>
      <w:r w:rsidR="003661E4">
        <w:t xml:space="preserve"> the table below</w:t>
      </w:r>
      <w:r w:rsidRPr="00FC2669">
        <w:t xml:space="preserve">, both fixed and live cell-based assays were the most sensitive assays, with sensitivity of 94% and 92%, respectively. The tissue-based indirect immunofluorescence and immunosorbent assay, ELISA were less sensitive (78% and 60%, respectively). A high level of specificity was shown for all serum assay types, especially the live cell-based assay, tissue-based indirect immunofluorescence and fixed cell-based assay (100%, 99.7% and 99.5%, respectively). The immunosorbent assay, ELISA showed the least sensitivity (60%) and specificity (97%) for serum AQP4-Ab testing. This recent data </w:t>
      </w:r>
      <w:r w:rsidR="008F2AFA">
        <w:t>are</w:t>
      </w:r>
      <w:r w:rsidRPr="00FC2669">
        <w:t xml:space="preserve"> also consistent with earlier data published by Waters et al. </w:t>
      </w:r>
      <w:r w:rsidR="00156621">
        <w:fldChar w:fldCharType="begin"/>
      </w:r>
      <w:r w:rsidR="000967CF">
        <w:instrText xml:space="preserve"> ADDIN EN.CITE &lt;EndNote&gt;&lt;Cite&gt;&lt;Author&gt;Waters&lt;/Author&gt;&lt;Year&gt;2012&lt;/Year&gt;&lt;RecNum&gt;33&lt;/RecNum&gt;&lt;IDText&gt;665-71&lt;/IDText&gt;&lt;DisplayText&gt;(Waters et al. 2012)&lt;/DisplayText&gt;&lt;record&gt;&lt;rec-number&gt;33&lt;/rec-number&gt;&lt;foreign-keys&gt;&lt;key app="EN" db-id="r25zptaswpdzade29ws5pf9gx55ztppatt20" timestamp="1576104082"&gt;33&lt;/key&gt;&lt;/foreign-keys&gt;&lt;ref-type name="Journal Article"&gt;17&lt;/ref-type&gt;&lt;contributors&gt;&lt;authors&gt;&lt;author&gt;Waters, P.&lt;/author&gt;&lt;author&gt;McKeon, A.&lt;/author&gt;&lt;author&gt;Leite, M. I.&lt;/author&gt;&lt;author&gt;Rajasekharan, S.&lt;/author&gt;&lt;author&gt;Lennon, V. A.&lt;/author&gt;&lt;author&gt;Villalobos, A.&lt;/author&gt;&lt;author&gt;Palace, J.&lt;/author&gt;&lt;author&gt;Mandrekar, J. N.&lt;/author&gt;&lt;author&gt;Vincent, A.&lt;/author&gt;&lt;author&gt;Bar-Or, A.&lt;/author&gt;&lt;author&gt;Pittock, S. J.&lt;/author&gt;&lt;/authors&gt;&lt;/contributors&gt;&lt;auth-address&gt;Neuroimmunology Group, Nuffield Department of Clinical Neurosciences, Oxford, UK. paddy.waters@imm.ox.ac.uk&lt;/auth-address&gt;&lt;titles&gt;&lt;title&gt;Serologic diagnosis of NMO: a multicenter comparison of aquaporin-4-IgG assays&lt;/title&gt;&lt;secondary-title&gt;Neurology&lt;/secondary-title&gt;&lt;/titles&gt;&lt;periodical&gt;&lt;full-title&gt;Neurology&lt;/full-title&gt;&lt;/periodical&gt;&lt;pages&gt;665-71 &lt;/pages&gt;&lt;volume&gt;78&lt;/volume&gt;&lt;number&gt;9&lt;/number&gt;&lt;keywords&gt;&lt;keyword&gt;Adult&lt;/keyword&gt;&lt;keyword&gt;Aquaporin 4/ analysis/immunology&lt;/keyword&gt;&lt;keyword&gt;Humans&lt;/keyword&gt;&lt;keyword&gt;Immunoassay/ standards&lt;/keyword&gt;&lt;keyword&gt;Immunoglobulin G/ analysis/immunology&lt;/keyword&gt;&lt;keyword&gt;Neuromyelitis Optica/ diagnosis/immunology&lt;/keyword&gt;&lt;keyword&gt;Sensitivity and Specificity&lt;/keyword&gt;&lt;/keywords&gt;&lt;dates&gt;&lt;year&gt;2012&lt;/year&gt;&lt;pub-dates&gt;&lt;date&gt;Feb 28&lt;/date&gt;&lt;/pub-dates&gt;&lt;/dates&gt;&lt;accession-num&gt;22302543&lt;/accession-num&gt;&lt;urls&gt;&lt;related-urls&gt;&lt;url&gt;https://www.ncbi.nlm.nih.gov/pmc/articles/PMC3286228/pdf/znl665.pdf&lt;/url&gt;&lt;/related-urls&gt;&lt;/urls&gt;&lt;remote-database-provider&gt;Nlm&lt;/remote-database-provider&gt;&lt;research-notes&gt;Paper included in the Waters SR&amp;#xD;Cmpares 6 assay methods (in-house or commercial)&amp;#xD;CBA, IIF, ELISA, FIPA, FACS&amp;#xD;Pats with NMO, NMOSD, RRMS. misc autoimmune dis, healthy controls&amp;#xD;Wingerchuk 2006&lt;/research-notes&gt;&lt;language&gt;eng&lt;/language&gt;&lt;/record&gt;&lt;/Cite&gt;&lt;/EndNote&gt;</w:instrText>
      </w:r>
      <w:r w:rsidR="00156621">
        <w:fldChar w:fldCharType="separate"/>
      </w:r>
      <w:r w:rsidR="000967CF">
        <w:rPr>
          <w:noProof/>
        </w:rPr>
        <w:t>(Waters et al. 2012)</w:t>
      </w:r>
      <w:r w:rsidR="00156621">
        <w:fldChar w:fldCharType="end"/>
      </w:r>
      <w:r w:rsidRPr="00FC2669">
        <w:t xml:space="preserve"> (also provided by the Department) who in 2012, reported that three cell-based serum assays were more sensitive than a tissue-based assay and ELISA immunosorbent assay, but all were highly specific</w:t>
      </w:r>
      <w:r w:rsidR="003661E4">
        <w:t>.</w:t>
      </w:r>
      <w:r w:rsidRPr="00FC2669">
        <w:t xml:space="preserve"> Of particular note, however was that the overall sensitivities results reported in the 2012 paper, </w:t>
      </w:r>
      <w:r w:rsidR="00156621">
        <w:fldChar w:fldCharType="begin"/>
      </w:r>
      <w:r w:rsidR="000967CF">
        <w:instrText xml:space="preserve"> ADDIN EN.CITE &lt;EndNote&gt;&lt;Cite&gt;&lt;Author&gt;Waters&lt;/Author&gt;&lt;Year&gt;2012&lt;/Year&gt;&lt;RecNum&gt;33&lt;/RecNum&gt;&lt;IDText&gt;665-71&lt;/IDText&gt;&lt;DisplayText&gt;(Waters et al. 2012)&lt;/DisplayText&gt;&lt;record&gt;&lt;rec-number&gt;33&lt;/rec-number&gt;&lt;foreign-keys&gt;&lt;key app="EN" db-id="r25zptaswpdzade29ws5pf9gx55ztppatt20" timestamp="1576104082"&gt;33&lt;/key&gt;&lt;/foreign-keys&gt;&lt;ref-type name="Journal Article"&gt;17&lt;/ref-type&gt;&lt;contributors&gt;&lt;authors&gt;&lt;author&gt;Waters, P.&lt;/author&gt;&lt;author&gt;McKeon, A.&lt;/author&gt;&lt;author&gt;Leite, M. I.&lt;/author&gt;&lt;author&gt;Rajasekharan, S.&lt;/author&gt;&lt;author&gt;Lennon, V. A.&lt;/author&gt;&lt;author&gt;Villalobos, A.&lt;/author&gt;&lt;author&gt;Palace, J.&lt;/author&gt;&lt;author&gt;Mandrekar, J. N.&lt;/author&gt;&lt;author&gt;Vincent, A.&lt;/author&gt;&lt;author&gt;Bar-Or, A.&lt;/author&gt;&lt;author&gt;Pittock, S. J.&lt;/author&gt;&lt;/authors&gt;&lt;/contributors&gt;&lt;auth-address&gt;Neuroimmunology Group, Nuffield Department of Clinical Neurosciences, Oxford, UK. paddy.waters@imm.ox.ac.uk&lt;/auth-address&gt;&lt;titles&gt;&lt;title&gt;Serologic diagnosis of NMO: a multicenter comparison of aquaporin-4-IgG assays&lt;/title&gt;&lt;secondary-title&gt;Neurology&lt;/secondary-title&gt;&lt;/titles&gt;&lt;periodical&gt;&lt;full-title&gt;Neurology&lt;/full-title&gt;&lt;/periodical&gt;&lt;pages&gt;665-71 &lt;/pages&gt;&lt;volume&gt;78&lt;/volume&gt;&lt;number&gt;9&lt;/number&gt;&lt;keywords&gt;&lt;keyword&gt;Adult&lt;/keyword&gt;&lt;keyword&gt;Aquaporin 4/ analysis/immunology&lt;/keyword&gt;&lt;keyword&gt;Humans&lt;/keyword&gt;&lt;keyword&gt;Immunoassay/ standards&lt;/keyword&gt;&lt;keyword&gt;Immunoglobulin G/ analysis/immunology&lt;/keyword&gt;&lt;keyword&gt;Neuromyelitis Optica/ diagnosis/immunology&lt;/keyword&gt;&lt;keyword&gt;Sensitivity and Specificity&lt;/keyword&gt;&lt;/keywords&gt;&lt;dates&gt;&lt;year&gt;2012&lt;/year&gt;&lt;pub-dates&gt;&lt;date&gt;Feb 28&lt;/date&gt;&lt;/pub-dates&gt;&lt;/dates&gt;&lt;accession-num&gt;22302543&lt;/accession-num&gt;&lt;urls&gt;&lt;related-urls&gt;&lt;url&gt;https://www.ncbi.nlm.nih.gov/pmc/articles/PMC3286228/pdf/znl665.pdf&lt;/url&gt;&lt;/related-urls&gt;&lt;/urls&gt;&lt;remote-database-provider&gt;Nlm&lt;/remote-database-provider&gt;&lt;research-notes&gt;Paper included in the Waters SR&amp;#xD;Cmpares 6 assay methods (in-house or commercial)&amp;#xD;CBA, IIF, ELISA, FIPA, FACS&amp;#xD;Pats with NMO, NMOSD, RRMS. misc autoimmune dis, healthy controls&amp;#xD;Wingerchuk 2006&lt;/research-notes&gt;&lt;language&gt;eng&lt;/language&gt;&lt;/record&gt;&lt;/Cite&gt;&lt;/EndNote&gt;</w:instrText>
      </w:r>
      <w:r w:rsidR="00156621">
        <w:fldChar w:fldCharType="separate"/>
      </w:r>
      <w:r w:rsidR="000967CF">
        <w:rPr>
          <w:noProof/>
        </w:rPr>
        <w:t>(Waters et al. 2012)</w:t>
      </w:r>
      <w:r w:rsidR="00156621">
        <w:fldChar w:fldCharType="end"/>
      </w:r>
      <w:r w:rsidRPr="00FC2669">
        <w:t xml:space="preserve"> were considerably lower than results of the more recent 2019 study </w:t>
      </w:r>
      <w:r w:rsidR="00156621">
        <w:fldChar w:fldCharType="begin"/>
      </w:r>
      <w:r w:rsidR="00156621">
        <w:instrText xml:space="preserve"> ADDIN EN.CITE &lt;EndNote&gt;&lt;Cite&gt;&lt;Author&gt;Prain&lt;/Author&gt;&lt;Year&gt;2019&lt;/Year&gt;&lt;RecNum&gt;24&lt;/RecNum&gt;&lt;IDText&gt;1-7&lt;/IDText&gt;&lt;DisplayText&gt;(Prain et al. 2019)&lt;/DisplayText&gt;&lt;record&gt;&lt;rec-number&gt;24&lt;/rec-number&gt;&lt;foreign-keys&gt;&lt;key app="EN" db-id="r25zptaswpdzade29ws5pf9gx55ztppatt20" timestamp="1576104080"&gt;24&lt;/key&gt;&lt;/foreign-keys&gt;&lt;ref-type name="Journal Article"&gt;17&lt;/ref-type&gt;&lt;contributors&gt;&lt;authors&gt;&lt;author&gt;Prain, K. M.&lt;/author&gt;&lt;author&gt;Woodhall, M.&lt;/author&gt;&lt;author&gt;Vincent, A.&lt;/author&gt;&lt;author&gt;Ramanathan, S.&lt;/author&gt;&lt;author&gt;Barnett, M. H.&lt;/author&gt;&lt;author&gt;Bundell, C.&lt;/author&gt;&lt;author&gt;Parratt, J. D. E.&lt;/author&gt;&lt;author&gt;Silvestrini, R. A.&lt;/author&gt;&lt;author&gt;Bukhari, W.&lt;/author&gt;&lt;author&gt;The Australian and New Zealand NMO Collaboration.&lt;/author&gt;&lt;author&gt;Brilot, F.&lt;/author&gt;&lt;author&gt;Waters, P.&lt;/author&gt;&lt;author&gt;Broadley, S. A.&lt;/author&gt;&lt;/authors&gt;&lt;/contributors&gt;&lt;titles&gt;&lt;title&gt;AQP4 Antibody Assay Sensitivity Comparison in the Era of the 2015 Diagnostic Criteria for NMOSD&lt;/title&gt;&lt;secondary-title&gt;Front Immunol&lt;/secondary-title&gt;&lt;/titles&gt;&lt;periodical&gt;&lt;full-title&gt;Front Immunol&lt;/full-title&gt;&lt;/periodical&gt;&lt;pages&gt;1-7&lt;/pages&gt;&lt;volume&gt;10&lt;/volume&gt;&lt;dates&gt;&lt;year&gt;2019&lt;/year&gt;&lt;/dates&gt;&lt;urls&gt;&lt;/urls&gt;&lt;/record&gt;&lt;/Cite&gt;&lt;/EndNote&gt;</w:instrText>
      </w:r>
      <w:r w:rsidR="00156621">
        <w:fldChar w:fldCharType="separate"/>
      </w:r>
      <w:r w:rsidR="00156621">
        <w:rPr>
          <w:noProof/>
        </w:rPr>
        <w:t>(Prain et al. 2019)</w:t>
      </w:r>
      <w:r w:rsidR="00156621">
        <w:fldChar w:fldCharType="end"/>
      </w:r>
      <w:r w:rsidRPr="00FC2669">
        <w:t xml:space="preserve">, possibly due to the advances in detection technology over the years. </w:t>
      </w:r>
    </w:p>
    <w:p w14:paraId="04F33786" w14:textId="4320EF42" w:rsidR="00FC2669" w:rsidRPr="00FC2669" w:rsidRDefault="005520FE" w:rsidP="005520FE">
      <w:pPr>
        <w:pStyle w:val="Caption"/>
        <w:rPr>
          <w:b w:val="0"/>
          <w:bCs w:val="0"/>
        </w:rPr>
      </w:pPr>
      <w:bookmarkStart w:id="670" w:name="_Toc39580889"/>
      <w:r>
        <w:t xml:space="preserve">Table </w:t>
      </w:r>
      <w:fldSimple w:instr=" SEQ Table \* ARABIC ">
        <w:r w:rsidR="00FA7BCD">
          <w:rPr>
            <w:noProof/>
          </w:rPr>
          <w:t>108</w:t>
        </w:r>
      </w:fldSimple>
      <w:r>
        <w:tab/>
      </w:r>
      <w:r w:rsidR="00FC2669" w:rsidRPr="005520FE">
        <w:t>Comparison of sensitivity and specificity of various AQP4-Ab serum assay types</w:t>
      </w:r>
      <w:bookmarkEnd w:id="670"/>
    </w:p>
    <w:tbl>
      <w:tblPr>
        <w:tblStyle w:val="TableGrid1"/>
        <w:tblW w:w="5000" w:type="pct"/>
        <w:tblLayout w:type="fixed"/>
        <w:tblLook w:val="0020" w:firstRow="1" w:lastRow="0" w:firstColumn="0" w:lastColumn="0" w:noHBand="0" w:noVBand="0"/>
        <w:tblCaption w:val="Table 108"/>
        <w:tblDescription w:val="Comparison of sensitivity and specificity of various AQP4-Ab serum assay types"/>
      </w:tblPr>
      <w:tblGrid>
        <w:gridCol w:w="1803"/>
        <w:gridCol w:w="1803"/>
        <w:gridCol w:w="1803"/>
        <w:gridCol w:w="1803"/>
        <w:gridCol w:w="902"/>
        <w:gridCol w:w="902"/>
      </w:tblGrid>
      <w:tr w:rsidR="00FC2669" w:rsidRPr="00FC2669" w14:paraId="4D5F7CAC" w14:textId="77777777" w:rsidTr="00F21581">
        <w:trPr>
          <w:cnfStyle w:val="100000000000" w:firstRow="1" w:lastRow="0" w:firstColumn="0" w:lastColumn="0" w:oddVBand="0" w:evenVBand="0" w:oddHBand="0" w:evenHBand="0" w:firstRowFirstColumn="0" w:firstRowLastColumn="0" w:lastRowFirstColumn="0" w:lastRowLastColumn="0"/>
          <w:trHeight w:val="150"/>
          <w:tblHeader/>
        </w:trPr>
        <w:tc>
          <w:tcPr>
            <w:tcW w:w="5000" w:type="pct"/>
            <w:gridSpan w:val="6"/>
          </w:tcPr>
          <w:p w14:paraId="01A5B6B9" w14:textId="77777777" w:rsidR="00FC2669" w:rsidRPr="00FC2669" w:rsidRDefault="00FC2669" w:rsidP="00FC2669">
            <w:pPr>
              <w:spacing w:after="0"/>
              <w:contextualSpacing/>
              <w:jc w:val="left"/>
              <w:rPr>
                <w:rFonts w:ascii="Arial Narrow" w:hAnsi="Arial Narrow"/>
                <w:b/>
                <w:snapToGrid w:val="0"/>
                <w:lang w:eastAsia="en-US"/>
              </w:rPr>
            </w:pPr>
            <w:r w:rsidRPr="00FC2669">
              <w:rPr>
                <w:rFonts w:ascii="Arial Narrow" w:hAnsi="Arial Narrow"/>
                <w:b/>
                <w:snapToGrid w:val="0"/>
                <w:lang w:eastAsia="en-US"/>
              </w:rPr>
              <w:t>Prain et al 2019</w:t>
            </w:r>
          </w:p>
        </w:tc>
      </w:tr>
      <w:tr w:rsidR="00FC2669" w:rsidRPr="00FC2669" w14:paraId="4645F1B1" w14:textId="77777777" w:rsidTr="00F21581">
        <w:trPr>
          <w:trHeight w:val="150"/>
        </w:trPr>
        <w:tc>
          <w:tcPr>
            <w:tcW w:w="1000" w:type="pct"/>
          </w:tcPr>
          <w:p w14:paraId="633EA56E"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 xml:space="preserve">Assay </w:t>
            </w:r>
          </w:p>
        </w:tc>
        <w:tc>
          <w:tcPr>
            <w:tcW w:w="1000" w:type="pct"/>
          </w:tcPr>
          <w:p w14:paraId="755D552F"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 xml:space="preserve">T-IIF </w:t>
            </w:r>
          </w:p>
        </w:tc>
        <w:tc>
          <w:tcPr>
            <w:tcW w:w="1000" w:type="pct"/>
          </w:tcPr>
          <w:p w14:paraId="1899DF51"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 xml:space="preserve">ELISA </w:t>
            </w:r>
          </w:p>
        </w:tc>
        <w:tc>
          <w:tcPr>
            <w:tcW w:w="1000" w:type="pct"/>
          </w:tcPr>
          <w:p w14:paraId="6218E7FC"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Euroimmun® Fixed-CBA</w:t>
            </w:r>
          </w:p>
        </w:tc>
        <w:tc>
          <w:tcPr>
            <w:tcW w:w="1000" w:type="pct"/>
            <w:gridSpan w:val="2"/>
          </w:tcPr>
          <w:p w14:paraId="7088AC46"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 xml:space="preserve">Oxford Live-CBA </w:t>
            </w:r>
          </w:p>
        </w:tc>
      </w:tr>
      <w:tr w:rsidR="00FC2669" w:rsidRPr="00FC2669" w14:paraId="6CCB2E87" w14:textId="77777777" w:rsidTr="00F21581">
        <w:trPr>
          <w:trHeight w:val="150"/>
        </w:trPr>
        <w:tc>
          <w:tcPr>
            <w:tcW w:w="5000" w:type="pct"/>
            <w:gridSpan w:val="6"/>
          </w:tcPr>
          <w:p w14:paraId="0455DB50"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Case Sensitivity (n/N) (%)</w:t>
            </w:r>
          </w:p>
        </w:tc>
      </w:tr>
      <w:tr w:rsidR="00FC2669" w:rsidRPr="00FC2669" w14:paraId="1F1551D8" w14:textId="77777777" w:rsidTr="00F21581">
        <w:trPr>
          <w:trHeight w:val="150"/>
        </w:trPr>
        <w:tc>
          <w:tcPr>
            <w:tcW w:w="1000" w:type="pct"/>
          </w:tcPr>
          <w:p w14:paraId="49C4E029"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 xml:space="preserve">NMOSD </w:t>
            </w:r>
            <w:r w:rsidRPr="00FC2669">
              <w:rPr>
                <w:rFonts w:ascii="Arial Narrow" w:hAnsi="Arial Narrow"/>
                <w:snapToGrid w:val="0"/>
                <w:lang w:eastAsia="en-US"/>
              </w:rPr>
              <w:br/>
              <w:t>[95% CI]</w:t>
            </w:r>
          </w:p>
        </w:tc>
        <w:tc>
          <w:tcPr>
            <w:tcW w:w="1000" w:type="pct"/>
          </w:tcPr>
          <w:p w14:paraId="20D86D1F"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62/78 (78)</w:t>
            </w:r>
          </w:p>
          <w:p w14:paraId="29DF0B24"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[69-87]</w:t>
            </w:r>
          </w:p>
        </w:tc>
        <w:tc>
          <w:tcPr>
            <w:tcW w:w="1000" w:type="pct"/>
          </w:tcPr>
          <w:p w14:paraId="6CBB257D"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 xml:space="preserve">25/42 (60) </w:t>
            </w:r>
          </w:p>
          <w:p w14:paraId="629A1C34"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[45-73]</w:t>
            </w:r>
          </w:p>
        </w:tc>
        <w:tc>
          <w:tcPr>
            <w:tcW w:w="1000" w:type="pct"/>
          </w:tcPr>
          <w:p w14:paraId="4D38D107"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34/36 (94)</w:t>
            </w:r>
          </w:p>
          <w:p w14:paraId="17B7E717"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 xml:space="preserve">[82-99] </w:t>
            </w:r>
          </w:p>
        </w:tc>
        <w:tc>
          <w:tcPr>
            <w:tcW w:w="1000" w:type="pct"/>
            <w:gridSpan w:val="2"/>
          </w:tcPr>
          <w:p w14:paraId="05292644"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33/36 (92)</w:t>
            </w:r>
          </w:p>
          <w:p w14:paraId="16ADA811"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 xml:space="preserve">[78-97] </w:t>
            </w:r>
          </w:p>
        </w:tc>
      </w:tr>
      <w:tr w:rsidR="00FC2669" w:rsidRPr="00FC2669" w14:paraId="41715B20" w14:textId="77777777" w:rsidTr="00F21581">
        <w:trPr>
          <w:trHeight w:val="150"/>
        </w:trPr>
        <w:tc>
          <w:tcPr>
            <w:tcW w:w="5000" w:type="pct"/>
            <w:gridSpan w:val="6"/>
          </w:tcPr>
          <w:p w14:paraId="0FF191C1"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Control Specificity (n/N) (%)</w:t>
            </w:r>
          </w:p>
        </w:tc>
      </w:tr>
      <w:tr w:rsidR="00FC2669" w:rsidRPr="00FC2669" w14:paraId="62D29948" w14:textId="77777777" w:rsidTr="00F21581">
        <w:trPr>
          <w:trHeight w:val="150"/>
        </w:trPr>
        <w:tc>
          <w:tcPr>
            <w:tcW w:w="1000" w:type="pct"/>
          </w:tcPr>
          <w:p w14:paraId="34C1B570"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 xml:space="preserve">Controls </w:t>
            </w:r>
            <w:r w:rsidRPr="00FC2669">
              <w:rPr>
                <w:rFonts w:ascii="Arial Narrow" w:hAnsi="Arial Narrow"/>
                <w:snapToGrid w:val="0"/>
                <w:lang w:eastAsia="en-US"/>
              </w:rPr>
              <w:br/>
              <w:t>[95% CI]</w:t>
            </w:r>
          </w:p>
        </w:tc>
        <w:tc>
          <w:tcPr>
            <w:tcW w:w="1000" w:type="pct"/>
            <w:vAlign w:val="center"/>
          </w:tcPr>
          <w:p w14:paraId="065A693A"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346/346 (99.7)</w:t>
            </w:r>
          </w:p>
          <w:p w14:paraId="558379E3"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[98-100]</w:t>
            </w:r>
          </w:p>
        </w:tc>
        <w:tc>
          <w:tcPr>
            <w:tcW w:w="1000" w:type="pct"/>
            <w:vAlign w:val="center"/>
          </w:tcPr>
          <w:p w14:paraId="2FE7CC90"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255/264 (97)</w:t>
            </w:r>
          </w:p>
          <w:p w14:paraId="6A9F74A5"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[94-98]</w:t>
            </w:r>
          </w:p>
        </w:tc>
        <w:tc>
          <w:tcPr>
            <w:tcW w:w="1000" w:type="pct"/>
            <w:vAlign w:val="center"/>
          </w:tcPr>
          <w:p w14:paraId="024AD0F6"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214/215 (99.5)</w:t>
            </w:r>
          </w:p>
          <w:p w14:paraId="0B3F19E1"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[97-100]</w:t>
            </w:r>
          </w:p>
        </w:tc>
        <w:tc>
          <w:tcPr>
            <w:tcW w:w="1000" w:type="pct"/>
            <w:gridSpan w:val="2"/>
            <w:vAlign w:val="center"/>
          </w:tcPr>
          <w:p w14:paraId="0ED07C2C"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201/201 (100)</w:t>
            </w:r>
          </w:p>
          <w:p w14:paraId="6F386DA1"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[98-100]</w:t>
            </w:r>
          </w:p>
        </w:tc>
      </w:tr>
      <w:tr w:rsidR="00FC2669" w:rsidRPr="00FC2669" w14:paraId="327D6FF1" w14:textId="77777777" w:rsidTr="00F21581">
        <w:trPr>
          <w:trHeight w:val="150"/>
        </w:trPr>
        <w:tc>
          <w:tcPr>
            <w:tcW w:w="5000" w:type="pct"/>
            <w:gridSpan w:val="6"/>
          </w:tcPr>
          <w:p w14:paraId="444F5505" w14:textId="77777777" w:rsidR="00FC2669" w:rsidRPr="00FC2669" w:rsidRDefault="00FC2669" w:rsidP="00FC2669">
            <w:pPr>
              <w:spacing w:after="0"/>
              <w:contextualSpacing/>
              <w:jc w:val="left"/>
              <w:rPr>
                <w:rFonts w:ascii="Arial Narrow" w:hAnsi="Arial Narrow"/>
                <w:b/>
                <w:snapToGrid w:val="0"/>
                <w:lang w:eastAsia="en-US"/>
              </w:rPr>
            </w:pPr>
            <w:r w:rsidRPr="00FC2669">
              <w:rPr>
                <w:rFonts w:ascii="Arial Narrow" w:hAnsi="Arial Narrow"/>
                <w:b/>
                <w:snapToGrid w:val="0"/>
                <w:lang w:eastAsia="en-US"/>
              </w:rPr>
              <w:t>Waters et al 2012</w:t>
            </w:r>
          </w:p>
        </w:tc>
      </w:tr>
      <w:tr w:rsidR="00FC2669" w:rsidRPr="00FC2669" w14:paraId="05537D30" w14:textId="77777777" w:rsidTr="00F21581">
        <w:trPr>
          <w:trHeight w:val="150"/>
        </w:trPr>
        <w:tc>
          <w:tcPr>
            <w:tcW w:w="1000" w:type="pct"/>
          </w:tcPr>
          <w:p w14:paraId="113C4333"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Assay</w:t>
            </w:r>
          </w:p>
        </w:tc>
        <w:tc>
          <w:tcPr>
            <w:tcW w:w="1000" w:type="pct"/>
            <w:vAlign w:val="center"/>
          </w:tcPr>
          <w:p w14:paraId="4FEABC6A"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T-IIF</w:t>
            </w:r>
          </w:p>
        </w:tc>
        <w:tc>
          <w:tcPr>
            <w:tcW w:w="1000" w:type="pct"/>
            <w:vAlign w:val="center"/>
          </w:tcPr>
          <w:p w14:paraId="7B4B13E2"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ELISA</w:t>
            </w:r>
          </w:p>
        </w:tc>
        <w:tc>
          <w:tcPr>
            <w:tcW w:w="1000" w:type="pct"/>
            <w:vAlign w:val="center"/>
          </w:tcPr>
          <w:p w14:paraId="0A46BC17"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Euroimmun® Fixed-CBA</w:t>
            </w:r>
          </w:p>
        </w:tc>
        <w:tc>
          <w:tcPr>
            <w:tcW w:w="500" w:type="pct"/>
            <w:vAlign w:val="center"/>
          </w:tcPr>
          <w:p w14:paraId="56AA82EA" w14:textId="77777777" w:rsidR="00FC2669" w:rsidRPr="00FC2669" w:rsidRDefault="00FC2669" w:rsidP="00FC2669">
            <w:pPr>
              <w:spacing w:after="0"/>
              <w:contextualSpacing/>
              <w:jc w:val="left"/>
              <w:rPr>
                <w:rFonts w:ascii="Arial Narrow" w:hAnsi="Arial Narrow"/>
                <w:snapToGrid w:val="0"/>
                <w:vertAlign w:val="superscript"/>
                <w:lang w:eastAsia="en-US"/>
              </w:rPr>
            </w:pPr>
            <w:r w:rsidRPr="00FC2669">
              <w:rPr>
                <w:rFonts w:ascii="Arial Narrow" w:hAnsi="Arial Narrow"/>
                <w:snapToGrid w:val="0"/>
                <w:lang w:eastAsia="en-US"/>
              </w:rPr>
              <w:t>Oxford –CBA</w:t>
            </w:r>
            <w:r w:rsidRPr="00FC2669">
              <w:rPr>
                <w:rFonts w:ascii="Arial Narrow" w:hAnsi="Arial Narrow"/>
                <w:snapToGrid w:val="0"/>
                <w:vertAlign w:val="superscript"/>
                <w:lang w:eastAsia="en-US"/>
              </w:rPr>
              <w:t>a</w:t>
            </w:r>
          </w:p>
        </w:tc>
        <w:tc>
          <w:tcPr>
            <w:tcW w:w="500" w:type="pct"/>
            <w:vAlign w:val="center"/>
          </w:tcPr>
          <w:p w14:paraId="666D2C90"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FACS</w:t>
            </w:r>
          </w:p>
        </w:tc>
      </w:tr>
      <w:tr w:rsidR="00FC2669" w:rsidRPr="00FC2669" w14:paraId="79A7C0B8" w14:textId="77777777" w:rsidTr="00F21581">
        <w:trPr>
          <w:trHeight w:val="150"/>
        </w:trPr>
        <w:tc>
          <w:tcPr>
            <w:tcW w:w="5000" w:type="pct"/>
            <w:gridSpan w:val="6"/>
          </w:tcPr>
          <w:p w14:paraId="6EF64AFD"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Case Sensitivity (n/N) (%)</w:t>
            </w:r>
          </w:p>
        </w:tc>
      </w:tr>
      <w:tr w:rsidR="00FC2669" w:rsidRPr="00FC2669" w14:paraId="4CDB9678" w14:textId="77777777" w:rsidTr="00F21581">
        <w:trPr>
          <w:trHeight w:val="150"/>
        </w:trPr>
        <w:tc>
          <w:tcPr>
            <w:tcW w:w="1000" w:type="pct"/>
          </w:tcPr>
          <w:p w14:paraId="339959F1"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NMOSD/NMO</w:t>
            </w:r>
          </w:p>
        </w:tc>
        <w:tc>
          <w:tcPr>
            <w:tcW w:w="1000" w:type="pct"/>
          </w:tcPr>
          <w:p w14:paraId="1D1C3936"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29/60 (48)</w:t>
            </w:r>
          </w:p>
        </w:tc>
        <w:tc>
          <w:tcPr>
            <w:tcW w:w="1000" w:type="pct"/>
          </w:tcPr>
          <w:p w14:paraId="5ECB8B1B"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36/60 (60)</w:t>
            </w:r>
          </w:p>
        </w:tc>
        <w:tc>
          <w:tcPr>
            <w:tcW w:w="1000" w:type="pct"/>
          </w:tcPr>
          <w:p w14:paraId="41A47761"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41/60 (68)</w:t>
            </w:r>
          </w:p>
        </w:tc>
        <w:tc>
          <w:tcPr>
            <w:tcW w:w="500" w:type="pct"/>
            <w:vAlign w:val="center"/>
          </w:tcPr>
          <w:p w14:paraId="5D84A5A5"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44/60 (73)</w:t>
            </w:r>
          </w:p>
        </w:tc>
        <w:tc>
          <w:tcPr>
            <w:tcW w:w="500" w:type="pct"/>
            <w:vAlign w:val="center"/>
          </w:tcPr>
          <w:p w14:paraId="44D389E0"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46/60</w:t>
            </w:r>
          </w:p>
          <w:p w14:paraId="025D358A"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(77)</w:t>
            </w:r>
          </w:p>
        </w:tc>
      </w:tr>
      <w:tr w:rsidR="00FC2669" w:rsidRPr="00FC2669" w14:paraId="6B297A12" w14:textId="77777777" w:rsidTr="00F21581">
        <w:trPr>
          <w:trHeight w:val="150"/>
        </w:trPr>
        <w:tc>
          <w:tcPr>
            <w:tcW w:w="5000" w:type="pct"/>
            <w:gridSpan w:val="6"/>
          </w:tcPr>
          <w:p w14:paraId="1F28614D"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Control Specificity (n/N) (%)</w:t>
            </w:r>
          </w:p>
        </w:tc>
      </w:tr>
      <w:tr w:rsidR="00FC2669" w:rsidRPr="00FC2669" w14:paraId="6E09155F" w14:textId="77777777" w:rsidTr="00F21581">
        <w:trPr>
          <w:trHeight w:val="150"/>
        </w:trPr>
        <w:tc>
          <w:tcPr>
            <w:tcW w:w="1000" w:type="pct"/>
          </w:tcPr>
          <w:p w14:paraId="313D0019"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Controls</w:t>
            </w:r>
          </w:p>
        </w:tc>
        <w:tc>
          <w:tcPr>
            <w:tcW w:w="1000" w:type="pct"/>
          </w:tcPr>
          <w:p w14:paraId="0C3986CB"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86/86 (100)</w:t>
            </w:r>
          </w:p>
        </w:tc>
        <w:tc>
          <w:tcPr>
            <w:tcW w:w="1000" w:type="pct"/>
          </w:tcPr>
          <w:p w14:paraId="15F4C6B5"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86/86 (100)</w:t>
            </w:r>
          </w:p>
        </w:tc>
        <w:tc>
          <w:tcPr>
            <w:tcW w:w="1000" w:type="pct"/>
          </w:tcPr>
          <w:p w14:paraId="6A77C0A1"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86/86 (100)</w:t>
            </w:r>
          </w:p>
        </w:tc>
        <w:tc>
          <w:tcPr>
            <w:tcW w:w="500" w:type="pct"/>
            <w:vAlign w:val="center"/>
          </w:tcPr>
          <w:p w14:paraId="0F25C725"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86/86</w:t>
            </w:r>
          </w:p>
          <w:p w14:paraId="37558413"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(100)</w:t>
            </w:r>
          </w:p>
        </w:tc>
        <w:tc>
          <w:tcPr>
            <w:tcW w:w="500" w:type="pct"/>
            <w:vAlign w:val="center"/>
          </w:tcPr>
          <w:p w14:paraId="66B89821"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86/86</w:t>
            </w:r>
          </w:p>
          <w:p w14:paraId="52B111EA" w14:textId="77777777" w:rsidR="00FC2669" w:rsidRPr="00FC2669" w:rsidRDefault="00FC2669" w:rsidP="00FC2669">
            <w:pPr>
              <w:spacing w:after="0"/>
              <w:contextualSpacing/>
              <w:jc w:val="left"/>
              <w:rPr>
                <w:rFonts w:ascii="Arial Narrow" w:hAnsi="Arial Narrow"/>
                <w:snapToGrid w:val="0"/>
                <w:lang w:eastAsia="en-US"/>
              </w:rPr>
            </w:pPr>
            <w:r w:rsidRPr="00FC2669">
              <w:rPr>
                <w:rFonts w:ascii="Arial Narrow" w:hAnsi="Arial Narrow"/>
                <w:snapToGrid w:val="0"/>
                <w:lang w:eastAsia="en-US"/>
              </w:rPr>
              <w:t>(100)</w:t>
            </w:r>
          </w:p>
        </w:tc>
      </w:tr>
    </w:tbl>
    <w:p w14:paraId="6D85D5C5" w14:textId="77777777" w:rsidR="00FC2669" w:rsidRPr="00FC2669" w:rsidRDefault="00FC2669" w:rsidP="00FC2669">
      <w:pPr>
        <w:widowControl w:val="0"/>
        <w:spacing w:after="120" w:line="240" w:lineRule="auto"/>
        <w:contextualSpacing/>
        <w:jc w:val="left"/>
        <w:rPr>
          <w:rFonts w:ascii="Arial Narrow" w:hAnsi="Arial Narrow" w:cs="Arial"/>
          <w:snapToGrid w:val="0"/>
          <w:sz w:val="18"/>
          <w:szCs w:val="20"/>
          <w:lang w:eastAsia="en-US"/>
        </w:rPr>
      </w:pPr>
      <w:r w:rsidRPr="00FC2669">
        <w:rPr>
          <w:rFonts w:ascii="Arial Narrow" w:hAnsi="Arial Narrow" w:cs="Arial"/>
          <w:sz w:val="18"/>
          <w:szCs w:val="20"/>
          <w:lang w:eastAsia="en-US"/>
        </w:rPr>
        <w:t>AQP4-Ab = aquaporin-4 antibodies</w:t>
      </w:r>
      <w:r w:rsidRPr="00FC2669">
        <w:rPr>
          <w:rFonts w:ascii="Arial Narrow" w:hAnsi="Arial Narrow" w:cs="Arial"/>
          <w:snapToGrid w:val="0"/>
          <w:sz w:val="18"/>
          <w:szCs w:val="20"/>
          <w:lang w:eastAsia="en-US"/>
        </w:rPr>
        <w:t>; CBA = cell-based assay; ELISA = enzyme linked immunosorbent assay; FACS = fluorescence-activated cell sorting; NMO = neuromyelitis optica; NMOSD = neuromyelitis optica spectrum disorders; n/N = number of positive cases/total number of cases; T-IIF = tissue-based indirect immunofluorescence.</w:t>
      </w:r>
    </w:p>
    <w:p w14:paraId="4266D4F0" w14:textId="77777777" w:rsidR="00FC2669" w:rsidRPr="00FC2669" w:rsidRDefault="00FC2669" w:rsidP="00FC2669">
      <w:pPr>
        <w:widowControl w:val="0"/>
        <w:spacing w:after="120" w:line="240" w:lineRule="auto"/>
        <w:contextualSpacing/>
        <w:jc w:val="left"/>
        <w:rPr>
          <w:rFonts w:ascii="Arial Narrow" w:hAnsi="Arial Narrow" w:cs="Arial"/>
          <w:snapToGrid w:val="0"/>
          <w:sz w:val="18"/>
          <w:szCs w:val="20"/>
          <w:lang w:eastAsia="en-US"/>
        </w:rPr>
      </w:pPr>
      <w:r w:rsidRPr="00FC2669">
        <w:rPr>
          <w:rFonts w:ascii="Arial Narrow" w:hAnsi="Arial Narrow" w:cs="Arial"/>
          <w:snapToGrid w:val="0"/>
          <w:sz w:val="18"/>
          <w:szCs w:val="20"/>
          <w:lang w:eastAsia="en-US"/>
        </w:rPr>
        <w:t>Figures in italicised bold represent the cell-based assays.</w:t>
      </w:r>
    </w:p>
    <w:p w14:paraId="7E03C417" w14:textId="77777777" w:rsidR="00FC2669" w:rsidRPr="00FC2669" w:rsidRDefault="00FC2669" w:rsidP="00FC2669">
      <w:pPr>
        <w:widowControl w:val="0"/>
        <w:spacing w:after="120" w:line="240" w:lineRule="auto"/>
        <w:contextualSpacing/>
        <w:jc w:val="left"/>
        <w:rPr>
          <w:rFonts w:ascii="Arial Narrow" w:hAnsi="Arial Narrow" w:cs="Arial"/>
          <w:snapToGrid w:val="0"/>
          <w:sz w:val="18"/>
          <w:szCs w:val="20"/>
          <w:lang w:eastAsia="en-US"/>
        </w:rPr>
      </w:pPr>
      <w:r w:rsidRPr="00FC2669">
        <w:rPr>
          <w:rFonts w:ascii="Arial Narrow" w:hAnsi="Arial Narrow" w:cs="Arial"/>
          <w:snapToGrid w:val="0"/>
          <w:sz w:val="18"/>
          <w:szCs w:val="20"/>
          <w:vertAlign w:val="superscript"/>
          <w:lang w:eastAsia="en-US"/>
        </w:rPr>
        <w:t>a</w:t>
      </w:r>
      <w:r w:rsidRPr="00FC2669">
        <w:rPr>
          <w:rFonts w:ascii="Arial Narrow" w:hAnsi="Arial Narrow" w:cs="Arial"/>
          <w:snapToGrid w:val="0"/>
          <w:sz w:val="18"/>
          <w:szCs w:val="20"/>
          <w:lang w:eastAsia="en-US"/>
        </w:rPr>
        <w:t xml:space="preserve"> Publication did not state whether this was a live cell-based assay</w:t>
      </w:r>
    </w:p>
    <w:p w14:paraId="542C7F14" w14:textId="3B6C786E" w:rsidR="00864C12" w:rsidRPr="00992403" w:rsidRDefault="00FC2669" w:rsidP="00992403">
      <w:pPr>
        <w:widowControl w:val="0"/>
        <w:spacing w:after="120" w:line="240" w:lineRule="auto"/>
        <w:contextualSpacing/>
        <w:jc w:val="left"/>
        <w:rPr>
          <w:rFonts w:ascii="Arial Narrow" w:hAnsi="Arial Narrow" w:cs="Arial"/>
          <w:snapToGrid w:val="0"/>
          <w:sz w:val="18"/>
          <w:szCs w:val="20"/>
          <w:lang w:eastAsia="en-US"/>
        </w:rPr>
      </w:pPr>
      <w:r w:rsidRPr="00FC2669">
        <w:rPr>
          <w:rFonts w:ascii="Arial Narrow" w:hAnsi="Arial Narrow" w:cs="Arial"/>
          <w:snapToGrid w:val="0"/>
          <w:sz w:val="18"/>
          <w:szCs w:val="20"/>
          <w:lang w:eastAsia="en-US"/>
        </w:rPr>
        <w:t xml:space="preserve">Reference: Prain et al. </w:t>
      </w:r>
      <w:r w:rsidR="00156621">
        <w:rPr>
          <w:rFonts w:ascii="Arial Narrow" w:hAnsi="Arial Narrow" w:cs="Arial"/>
          <w:snapToGrid w:val="0"/>
          <w:sz w:val="18"/>
          <w:szCs w:val="20"/>
          <w:lang w:eastAsia="en-US"/>
        </w:rPr>
        <w:fldChar w:fldCharType="begin"/>
      </w:r>
      <w:r w:rsidR="00156621">
        <w:rPr>
          <w:rFonts w:ascii="Arial Narrow" w:hAnsi="Arial Narrow" w:cs="Arial"/>
          <w:snapToGrid w:val="0"/>
          <w:sz w:val="18"/>
          <w:szCs w:val="20"/>
          <w:lang w:eastAsia="en-US"/>
        </w:rPr>
        <w:instrText xml:space="preserve"> ADDIN EN.CITE &lt;EndNote&gt;&lt;Cite&gt;&lt;Author&gt;Prain&lt;/Author&gt;&lt;Year&gt;2019&lt;/Year&gt;&lt;RecNum&gt;24&lt;/RecNum&gt;&lt;IDText&gt;1-7&lt;/IDText&gt;&lt;DisplayText&gt;(Prain et al. 2019)&lt;/DisplayText&gt;&lt;record&gt;&lt;rec-number&gt;24&lt;/rec-number&gt;&lt;foreign-keys&gt;&lt;key app="EN" db-id="r25zptaswpdzade29ws5pf9gx55ztppatt20" timestamp="1576104080"&gt;24&lt;/key&gt;&lt;/foreign-keys&gt;&lt;ref-type name="Journal Article"&gt;17&lt;/ref-type&gt;&lt;contributors&gt;&lt;authors&gt;&lt;author&gt;Prain, K. M.&lt;/author&gt;&lt;author&gt;Woodhall, M.&lt;/author&gt;&lt;author&gt;Vincent, A.&lt;/author&gt;&lt;author&gt;Ramanathan, S.&lt;/author&gt;&lt;author&gt;Barnett, M. H.&lt;/author&gt;&lt;author&gt;Bundell, C.&lt;/author&gt;&lt;author&gt;Parratt, J. D. E.&lt;/author&gt;&lt;author&gt;Silvestrini, R. A.&lt;/author&gt;&lt;author&gt;Bukhari, W.&lt;/author&gt;&lt;author&gt;The Australian and New Zealand NMO Collaboration.&lt;/author&gt;&lt;author&gt;Brilot, F.&lt;/author&gt;&lt;author&gt;Waters, P.&lt;/author&gt;&lt;author&gt;Broadley, S. A.&lt;/author&gt;&lt;/authors&gt;&lt;/contributors&gt;&lt;titles&gt;&lt;title&gt;AQP4 Antibody Assay Sensitivity Comparison in the Era of the 2015 Diagnostic Criteria for NMOSD&lt;/title&gt;&lt;secondary-title&gt;Front Immunol&lt;/secondary-title&gt;&lt;/titles&gt;&lt;periodical&gt;&lt;full-title&gt;Front Immunol&lt;/full-title&gt;&lt;/periodical&gt;&lt;pages&gt;1-7&lt;/pages&gt;&lt;volume&gt;10&lt;/volume&gt;&lt;dates&gt;&lt;year&gt;2019&lt;/year&gt;&lt;/dates&gt;&lt;urls&gt;&lt;/urls&gt;&lt;/record&gt;&lt;/Cite&gt;&lt;/EndNote&gt;</w:instrText>
      </w:r>
      <w:r w:rsidR="00156621">
        <w:rPr>
          <w:rFonts w:ascii="Arial Narrow" w:hAnsi="Arial Narrow" w:cs="Arial"/>
          <w:snapToGrid w:val="0"/>
          <w:sz w:val="18"/>
          <w:szCs w:val="20"/>
          <w:lang w:eastAsia="en-US"/>
        </w:rPr>
        <w:fldChar w:fldCharType="separate"/>
      </w:r>
      <w:r w:rsidR="00156621">
        <w:rPr>
          <w:rFonts w:ascii="Arial Narrow" w:hAnsi="Arial Narrow" w:cs="Arial"/>
          <w:noProof/>
          <w:snapToGrid w:val="0"/>
          <w:sz w:val="18"/>
          <w:szCs w:val="20"/>
          <w:lang w:eastAsia="en-US"/>
        </w:rPr>
        <w:t>(Prain et al. 2019)</w:t>
      </w:r>
      <w:r w:rsidR="00156621">
        <w:rPr>
          <w:rFonts w:ascii="Arial Narrow" w:hAnsi="Arial Narrow" w:cs="Arial"/>
          <w:snapToGrid w:val="0"/>
          <w:sz w:val="18"/>
          <w:szCs w:val="20"/>
          <w:lang w:eastAsia="en-US"/>
        </w:rPr>
        <w:fldChar w:fldCharType="end"/>
      </w:r>
      <w:r w:rsidRPr="00FC2669">
        <w:rPr>
          <w:rFonts w:ascii="Arial Narrow" w:hAnsi="Arial Narrow" w:cs="Arial"/>
          <w:snapToGrid w:val="0"/>
          <w:sz w:val="18"/>
          <w:szCs w:val="20"/>
          <w:lang w:eastAsia="en-US"/>
        </w:rPr>
        <w:t xml:space="preserve">; Waters et al. 2012 </w:t>
      </w:r>
      <w:r w:rsidR="00156621">
        <w:rPr>
          <w:rFonts w:ascii="Arial Narrow" w:hAnsi="Arial Narrow" w:cs="Arial"/>
          <w:snapToGrid w:val="0"/>
          <w:sz w:val="18"/>
          <w:szCs w:val="20"/>
          <w:lang w:eastAsia="en-US"/>
        </w:rPr>
        <w:fldChar w:fldCharType="begin"/>
      </w:r>
      <w:r w:rsidR="000967CF">
        <w:rPr>
          <w:rFonts w:ascii="Arial Narrow" w:hAnsi="Arial Narrow" w:cs="Arial"/>
          <w:snapToGrid w:val="0"/>
          <w:sz w:val="18"/>
          <w:szCs w:val="20"/>
          <w:lang w:eastAsia="en-US"/>
        </w:rPr>
        <w:instrText xml:space="preserve"> ADDIN EN.CITE &lt;EndNote&gt;&lt;Cite&gt;&lt;Author&gt;Waters&lt;/Author&gt;&lt;Year&gt;2012&lt;/Year&gt;&lt;RecNum&gt;33&lt;/RecNum&gt;&lt;IDText&gt;665-71&lt;/IDText&gt;&lt;DisplayText&gt;(Waters et al. 2012)&lt;/DisplayText&gt;&lt;record&gt;&lt;rec-number&gt;33&lt;/rec-number&gt;&lt;foreign-keys&gt;&lt;key app="EN" db-id="r25zptaswpdzade29ws5pf9gx55ztppatt20" timestamp="1576104082"&gt;33&lt;/key&gt;&lt;/foreign-keys&gt;&lt;ref-type name="Journal Article"&gt;17&lt;/ref-type&gt;&lt;contributors&gt;&lt;authors&gt;&lt;author&gt;Waters, P.&lt;/author&gt;&lt;author&gt;McKeon, A.&lt;/author&gt;&lt;author&gt;Leite, M. I.&lt;/author&gt;&lt;author&gt;Rajasekharan, S.&lt;/author&gt;&lt;author&gt;Lennon, V. A.&lt;/author&gt;&lt;author&gt;Villalobos, A.&lt;/author&gt;&lt;author&gt;Palace, J.&lt;/author&gt;&lt;author&gt;Mandrekar, J. N.&lt;/author&gt;&lt;author&gt;Vincent, A.&lt;/author&gt;&lt;author&gt;Bar-Or, A.&lt;/author&gt;&lt;author&gt;Pittock, S. J.&lt;/author&gt;&lt;/authors&gt;&lt;/contributors&gt;&lt;auth-address&gt;Neuroimmunology Group, Nuffield Department of Clinical Neurosciences, Oxford, UK. paddy.waters@imm.ox.ac.uk&lt;/auth-address&gt;&lt;titles&gt;&lt;title&gt;Serologic diagnosis of NMO: a multicenter comparison of aquaporin-4-IgG assays&lt;/title&gt;&lt;secondary-title&gt;Neurology&lt;/secondary-title&gt;&lt;/titles&gt;&lt;periodical&gt;&lt;full-title&gt;Neurology&lt;/full-title&gt;&lt;/periodical&gt;&lt;pages&gt;665-71 &lt;/pages&gt;&lt;volume&gt;78&lt;/volume&gt;&lt;number&gt;9&lt;/number&gt;&lt;keywords&gt;&lt;keyword&gt;Adult&lt;/keyword&gt;&lt;keyword&gt;Aquaporin 4/ analysis/immunology&lt;/keyword&gt;&lt;keyword&gt;Humans&lt;/keyword&gt;&lt;keyword&gt;Immunoassay/ standards&lt;/keyword&gt;&lt;keyword&gt;Immunoglobulin G/ analysis/immunology&lt;/keyword&gt;&lt;keyword&gt;Neuromyelitis Optica/ diagnosis/immunology&lt;/keyword&gt;&lt;keyword&gt;Sensitivity and Specificity&lt;/keyword&gt;&lt;/keywords&gt;&lt;dates&gt;&lt;year&gt;2012&lt;/year&gt;&lt;pub-dates&gt;&lt;date&gt;Feb 28&lt;/date&gt;&lt;/pub-dates&gt;&lt;/dates&gt;&lt;accession-num&gt;22302543&lt;/accession-num&gt;&lt;urls&gt;&lt;related-urls&gt;&lt;url&gt;https://www.ncbi.nlm.nih.gov/pmc/articles/PMC3286228/pdf/znl665.pdf&lt;/url&gt;&lt;/related-urls&gt;&lt;/urls&gt;&lt;remote-database-provider&gt;Nlm&lt;/remote-database-provider&gt;&lt;research-notes&gt;Paper included in the Waters SR&amp;#xD;Cmpares 6 assay methods (in-house or commercial)&amp;#xD;CBA, IIF, ELISA, FIPA, FACS&amp;#xD;Pats with NMO, NMOSD, RRMS. misc autoimmune dis, healthy controls&amp;#xD;Wingerchuk 2006&lt;/research-notes&gt;&lt;language&gt;eng&lt;/language&gt;&lt;/record&gt;&lt;/Cite&gt;&lt;/EndNote&gt;</w:instrText>
      </w:r>
      <w:r w:rsidR="00156621">
        <w:rPr>
          <w:rFonts w:ascii="Arial Narrow" w:hAnsi="Arial Narrow" w:cs="Arial"/>
          <w:snapToGrid w:val="0"/>
          <w:sz w:val="18"/>
          <w:szCs w:val="20"/>
          <w:lang w:eastAsia="en-US"/>
        </w:rPr>
        <w:fldChar w:fldCharType="separate"/>
      </w:r>
      <w:r w:rsidR="000967CF">
        <w:rPr>
          <w:rFonts w:ascii="Arial Narrow" w:hAnsi="Arial Narrow" w:cs="Arial"/>
          <w:noProof/>
          <w:snapToGrid w:val="0"/>
          <w:sz w:val="18"/>
          <w:szCs w:val="20"/>
          <w:lang w:eastAsia="en-US"/>
        </w:rPr>
        <w:t>(Waters et al. 2012)</w:t>
      </w:r>
      <w:r w:rsidR="00156621">
        <w:rPr>
          <w:rFonts w:ascii="Arial Narrow" w:hAnsi="Arial Narrow" w:cs="Arial"/>
          <w:snapToGrid w:val="0"/>
          <w:sz w:val="18"/>
          <w:szCs w:val="20"/>
          <w:lang w:eastAsia="en-US"/>
        </w:rPr>
        <w:fldChar w:fldCharType="end"/>
      </w:r>
    </w:p>
    <w:p w14:paraId="13A0F791" w14:textId="77777777" w:rsidR="00A24B34" w:rsidRPr="00A24B34" w:rsidRDefault="004058BE" w:rsidP="00A24B34">
      <w:pPr>
        <w:spacing w:line="240" w:lineRule="auto"/>
        <w:rPr>
          <w:rFonts w:cs="Calibri"/>
          <w:noProof/>
        </w:rPr>
      </w:pPr>
      <w:r w:rsidRPr="00B35E47">
        <w:rPr>
          <w:rFonts w:cs="Calibri"/>
          <w:noProof/>
        </w:rPr>
        <w:fldChar w:fldCharType="begin"/>
      </w:r>
      <w:r w:rsidRPr="00B35E47">
        <w:rPr>
          <w:rFonts w:cs="Calibri"/>
          <w:noProof/>
        </w:rPr>
        <w:instrText xml:space="preserve"> ADDIN EN.REFLIST </w:instrText>
      </w:r>
      <w:r w:rsidRPr="00B35E47">
        <w:rPr>
          <w:rFonts w:cs="Calibri"/>
          <w:noProof/>
        </w:rPr>
        <w:fldChar w:fldCharType="separate"/>
      </w:r>
      <w:r w:rsidR="00A24B34" w:rsidRPr="00A24B34">
        <w:rPr>
          <w:rFonts w:cs="Calibri"/>
          <w:noProof/>
        </w:rPr>
        <w:t xml:space="preserve">Misu, T &amp; Fujihara, K 2018, 'Neuromyelitis optica spectrum and myelin oligodendrocyte glycoprotein antibody-related disseminated encephalomyelitis', </w:t>
      </w:r>
      <w:r w:rsidR="00A24B34" w:rsidRPr="00A24B34">
        <w:rPr>
          <w:rFonts w:cs="Calibri"/>
          <w:i/>
          <w:iCs/>
          <w:noProof/>
        </w:rPr>
        <w:t>Clnical and experimental Neuroimmunology</w:t>
      </w:r>
      <w:r w:rsidR="00A24B34" w:rsidRPr="00A24B34">
        <w:rPr>
          <w:rFonts w:cs="Calibri"/>
          <w:noProof/>
        </w:rPr>
        <w:t>, no. 10, pp. 9-17.</w:t>
      </w:r>
    </w:p>
    <w:p w14:paraId="7E8FC8E3" w14:textId="6FAFD30D" w:rsidR="004058BE" w:rsidRPr="00B35E47" w:rsidRDefault="004058BE" w:rsidP="00A24B34">
      <w:pPr>
        <w:spacing w:line="240" w:lineRule="auto"/>
        <w:ind w:left="567" w:hanging="142"/>
        <w:rPr>
          <w:rFonts w:cs="Calibri"/>
          <w:noProof/>
        </w:rPr>
      </w:pPr>
      <w:r w:rsidRPr="00B35E47">
        <w:rPr>
          <w:rFonts w:cs="Calibri"/>
          <w:noProof/>
        </w:rPr>
        <w:tab/>
        <w:t xml:space="preserve">Neuromyelitis optica (NMO) is characterized by severe optic neuritis and transverse myelitis. The relationship of NMO to multiple sclerosis (MS) has long been debated. With the discovery of an NMO-specific autoantibody to aquaporin 4 (AQP4), the clinical, radiological, and laboratory findings have clarified the differences between NMO and MS, and NMO spectrum </w:t>
      </w:r>
      <w:r w:rsidRPr="00B35E47">
        <w:rPr>
          <w:rFonts w:cs="Calibri"/>
          <w:noProof/>
        </w:rPr>
        <w:lastRenderedPageBreak/>
        <w:t>disorders (NMOSD) have been proposed as the unifying term for the entire clinical entity including brain syndromes. Pathological studies in NMO showed loss of immunoreactivity to AQP4 and glial fibrillary acidic protein, but a relative preservation of myelin basic protein, especially at the lesions with perivascular deposition of immunoglobulins and complements. AQP4 antibody-positive NMOSD is now considered an autoimmune astrocytopathic disease. In addition, the definite diagnosis should be made initially from the therapeutic viewpoint, because there have been several AQP4 antibody-positive NMOSD cases exacerbated by disease-modifying drugs for MS. In recent years, the antibody against myelin oligodendrocyte glycoprotein (MOG) has been studied for its association with other types of acute demyelinating diseases, such as acute or multiphasic disseminated encephalomyelitis, optic neuritis, NMOSD and brainstem or cerebral cortical encephalomyelitis. Recent brain biopsied MOG antibody-positive case reports have suggested the dominance of humoral immunity, but it is not well elucidated whether the cellular immune responses against MOG could develop perivenous inflammatory demyelination like classical acute disseminated encephalomyelitis pathology. In the present review, we focus on two distinct diseases, aquaporin 4 antibody-related NMOSD and MOG antibody-related diseases, both of which were recently differentiated from MS by means of the disease-specific autoantibodies and the distinct pathophysiologies.</w:t>
      </w:r>
    </w:p>
    <w:p w14:paraId="6D1AA985" w14:textId="77777777" w:rsidR="004058BE" w:rsidRPr="00B35E47" w:rsidRDefault="004058BE" w:rsidP="004058BE">
      <w:pPr>
        <w:spacing w:line="240" w:lineRule="auto"/>
        <w:rPr>
          <w:rFonts w:cs="Calibri"/>
          <w:noProof/>
        </w:rPr>
      </w:pPr>
    </w:p>
    <w:p w14:paraId="32E6334D" w14:textId="74F1001C" w:rsidR="004058BE" w:rsidRDefault="004058BE" w:rsidP="005E0404">
      <w:pPr>
        <w:pStyle w:val="Heading1"/>
      </w:pPr>
      <w:r w:rsidRPr="00B35E47">
        <w:lastRenderedPageBreak/>
        <w:fldChar w:fldCharType="end"/>
      </w:r>
      <w:bookmarkStart w:id="671" w:name="_Toc38031992"/>
      <w:bookmarkStart w:id="672" w:name="_Ref39584521"/>
      <w:bookmarkStart w:id="673" w:name="_Ref39584522"/>
      <w:bookmarkStart w:id="674" w:name="_Toc39588399"/>
      <w:bookmarkStart w:id="675" w:name="_Ref79672354"/>
      <w:r w:rsidR="005E0404">
        <w:t xml:space="preserve">Appendix </w:t>
      </w:r>
      <w:fldSimple w:instr=" SEQ Appendix \* ALPHABETIC ">
        <w:r w:rsidR="005E0404">
          <w:rPr>
            <w:noProof/>
          </w:rPr>
          <w:t>I</w:t>
        </w:r>
      </w:fldSimple>
      <w:bookmarkEnd w:id="675"/>
      <w:r w:rsidR="005E0404">
        <w:t xml:space="preserve"> </w:t>
      </w:r>
      <w:r w:rsidRPr="006F2353">
        <w:t>Additional information for economic</w:t>
      </w:r>
      <w:r w:rsidRPr="005E0404">
        <w:rPr>
          <w:b w:val="0"/>
          <w:smallCaps w:val="0"/>
        </w:rPr>
        <w:t xml:space="preserve"> </w:t>
      </w:r>
      <w:r w:rsidRPr="006F2353">
        <w:t>analysis</w:t>
      </w:r>
      <w:bookmarkEnd w:id="671"/>
      <w:bookmarkEnd w:id="672"/>
      <w:bookmarkEnd w:id="673"/>
      <w:bookmarkEnd w:id="674"/>
    </w:p>
    <w:p w14:paraId="444ADEAC" w14:textId="77777777" w:rsidR="004058BE" w:rsidRPr="006F2353" w:rsidRDefault="004058BE" w:rsidP="006F2353">
      <w:pPr>
        <w:pStyle w:val="Heading3"/>
      </w:pPr>
      <w:bookmarkStart w:id="676" w:name="_Toc38031993"/>
      <w:bookmarkStart w:id="677" w:name="_Toc39588400"/>
      <w:r w:rsidRPr="006F2353">
        <w:t>Summary of inputs to the model</w:t>
      </w:r>
      <w:bookmarkEnd w:id="676"/>
      <w:bookmarkEnd w:id="677"/>
    </w:p>
    <w:p w14:paraId="074D5430" w14:textId="1615D146" w:rsidR="004058BE" w:rsidRDefault="004058BE" w:rsidP="004058BE">
      <w:pPr>
        <w:pStyle w:val="Caption"/>
      </w:pPr>
      <w:bookmarkStart w:id="678" w:name="_Ref38018459"/>
      <w:bookmarkStart w:id="679" w:name="_Toc39580890"/>
      <w:r>
        <w:t xml:space="preserve">Table </w:t>
      </w:r>
      <w:fldSimple w:instr=" SEQ Table \* ARABIC ">
        <w:r w:rsidR="00FA7BCD">
          <w:rPr>
            <w:noProof/>
          </w:rPr>
          <w:t>109</w:t>
        </w:r>
      </w:fldSimple>
      <w:bookmarkEnd w:id="678"/>
      <w:r>
        <w:tab/>
        <w:t>Summary of inputs used in the model</w:t>
      </w:r>
      <w:bookmarkEnd w:id="679"/>
    </w:p>
    <w:tbl>
      <w:tblPr>
        <w:tblStyle w:val="TableGrid1"/>
        <w:tblW w:w="5000" w:type="pct"/>
        <w:tblLayout w:type="fixed"/>
        <w:tblLook w:val="04A0" w:firstRow="1" w:lastRow="0" w:firstColumn="1" w:lastColumn="0" w:noHBand="0" w:noVBand="1"/>
        <w:tblCaption w:val="Summary of inputs used in the model"/>
        <w:tblDescription w:val="Summary of inputs used in the model"/>
      </w:tblPr>
      <w:tblGrid>
        <w:gridCol w:w="1838"/>
        <w:gridCol w:w="2693"/>
        <w:gridCol w:w="2126"/>
        <w:gridCol w:w="2359"/>
      </w:tblGrid>
      <w:tr w:rsidR="004058BE" w:rsidRPr="00062BD0" w14:paraId="10DB5D8A" w14:textId="77777777" w:rsidTr="00BE0118">
        <w:trPr>
          <w:cnfStyle w:val="100000000000" w:firstRow="1" w:lastRow="0" w:firstColumn="0" w:lastColumn="0" w:oddVBand="0" w:evenVBand="0" w:oddHBand="0" w:evenHBand="0" w:firstRowFirstColumn="0" w:firstRowLastColumn="0" w:lastRowFirstColumn="0" w:lastRowLastColumn="0"/>
          <w:trHeight w:val="300"/>
        </w:trPr>
        <w:tc>
          <w:tcPr>
            <w:tcW w:w="1019" w:type="pct"/>
          </w:tcPr>
          <w:p w14:paraId="3CA377E6" w14:textId="77777777" w:rsidR="004058BE" w:rsidRPr="00062BD0" w:rsidRDefault="004058BE" w:rsidP="00A87AE2">
            <w:pPr>
              <w:pStyle w:val="TableHeading"/>
            </w:pPr>
            <w:r w:rsidRPr="00062BD0">
              <w:t>Variable name</w:t>
            </w:r>
          </w:p>
        </w:tc>
        <w:tc>
          <w:tcPr>
            <w:tcW w:w="1493" w:type="pct"/>
            <w:noWrap/>
            <w:hideMark/>
          </w:tcPr>
          <w:p w14:paraId="663B90D0" w14:textId="77777777" w:rsidR="004058BE" w:rsidRPr="00062BD0" w:rsidRDefault="004058BE" w:rsidP="00A87AE2">
            <w:pPr>
              <w:pStyle w:val="TableHeading"/>
              <w:rPr>
                <w:color w:val="000000"/>
              </w:rPr>
            </w:pPr>
            <w:r w:rsidRPr="00062BD0">
              <w:t>Description</w:t>
            </w:r>
          </w:p>
        </w:tc>
        <w:tc>
          <w:tcPr>
            <w:tcW w:w="1179" w:type="pct"/>
            <w:noWrap/>
            <w:hideMark/>
          </w:tcPr>
          <w:p w14:paraId="162F68BC" w14:textId="77777777" w:rsidR="004058BE" w:rsidRPr="00062BD0" w:rsidRDefault="004058BE" w:rsidP="00A87AE2">
            <w:pPr>
              <w:pStyle w:val="TableHeading"/>
              <w:rPr>
                <w:color w:val="000000"/>
              </w:rPr>
            </w:pPr>
            <w:r w:rsidRPr="00062BD0">
              <w:t>Source</w:t>
            </w:r>
          </w:p>
        </w:tc>
        <w:tc>
          <w:tcPr>
            <w:tcW w:w="1308" w:type="pct"/>
            <w:noWrap/>
            <w:hideMark/>
          </w:tcPr>
          <w:p w14:paraId="33D1C0BA" w14:textId="77777777" w:rsidR="004058BE" w:rsidRPr="00062BD0" w:rsidRDefault="004058BE" w:rsidP="00A87AE2">
            <w:pPr>
              <w:pStyle w:val="TableHeading"/>
              <w:rPr>
                <w:color w:val="000000"/>
              </w:rPr>
            </w:pPr>
            <w:r w:rsidRPr="00062BD0">
              <w:t>Value</w:t>
            </w:r>
          </w:p>
        </w:tc>
      </w:tr>
      <w:tr w:rsidR="004058BE" w:rsidRPr="009E7E8E" w14:paraId="1F793E05" w14:textId="77777777" w:rsidTr="00BE0118">
        <w:trPr>
          <w:trHeight w:val="300"/>
        </w:trPr>
        <w:tc>
          <w:tcPr>
            <w:tcW w:w="1019" w:type="pct"/>
          </w:tcPr>
          <w:p w14:paraId="4AA032ED" w14:textId="77777777" w:rsidR="004058BE" w:rsidRPr="00BE26E2" w:rsidRDefault="004058BE" w:rsidP="004E5C57">
            <w:pPr>
              <w:pStyle w:val="TableText0"/>
              <w:rPr>
                <w:rFonts w:cs="Calibri"/>
                <w:color w:val="000000"/>
              </w:rPr>
            </w:pPr>
            <w:r w:rsidRPr="00BE26E2">
              <w:t>ARR</w:t>
            </w:r>
          </w:p>
        </w:tc>
        <w:tc>
          <w:tcPr>
            <w:tcW w:w="1493" w:type="pct"/>
            <w:noWrap/>
            <w:hideMark/>
          </w:tcPr>
          <w:p w14:paraId="7ECE85FC" w14:textId="77777777" w:rsidR="004058BE" w:rsidRPr="009E7E8E" w:rsidRDefault="004058BE" w:rsidP="004E5C57">
            <w:pPr>
              <w:pStyle w:val="TableText0"/>
            </w:pPr>
            <w:r>
              <w:t>Annual relapse rate</w:t>
            </w:r>
          </w:p>
        </w:tc>
        <w:tc>
          <w:tcPr>
            <w:tcW w:w="1179" w:type="pct"/>
            <w:noWrap/>
            <w:hideMark/>
          </w:tcPr>
          <w:p w14:paraId="53F71739" w14:textId="77777777" w:rsidR="004058BE" w:rsidRPr="009E7E8E" w:rsidRDefault="00AC01FD" w:rsidP="004E5C57">
            <w:pPr>
              <w:pStyle w:val="TableText0"/>
            </w:pPr>
            <w:r>
              <w:fldChar w:fldCharType="begin">
                <w:fldData xml:space="preserve">PEVuZE5vdGU+PENpdGU+PEF1dGhvcj5OaWtvbzwvQXV0aG9yPjxZZWFyPjIwMTc8L1llYXI+PFJl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</w:fldData>
              </w:fldChar>
            </w:r>
            <w:r>
              <w:instrText xml:space="preserve"> ADDIN EN.CITE </w:instrText>
            </w:r>
            <w:r>
              <w:fldChar w:fldCharType="begin">
                <w:fldData xml:space="preserve">PEVuZE5vdGU+PENpdGU+PEF1dGhvcj5OaWtvbzwvQXV0aG9yPjxZZWFyPjIwMTc8L1llYXI+PFJl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</w:fldData>
              </w:fldChar>
            </w:r>
            <w:r>
              <w:instrText xml:space="preserve"> ADDIN EN.CITE.DATA </w:instrText>
            </w:r>
            <w:r>
              <w:fldChar w:fldCharType="end"/>
            </w:r>
            <w:r>
              <w:fldChar w:fldCharType="separate"/>
            </w:r>
            <w:r>
              <w:rPr>
                <w:noProof/>
              </w:rPr>
              <w:t>(Nikoo et al. 2017)</w:t>
            </w:r>
            <w:r>
              <w:fldChar w:fldCharType="end"/>
            </w:r>
          </w:p>
        </w:tc>
        <w:tc>
          <w:tcPr>
            <w:tcW w:w="1308" w:type="pct"/>
            <w:noWrap/>
            <w:hideMark/>
          </w:tcPr>
          <w:p w14:paraId="4942B727" w14:textId="77777777" w:rsidR="004058BE" w:rsidRPr="009E7E8E" w:rsidRDefault="004058BE" w:rsidP="004E5C57">
            <w:pPr>
              <w:pStyle w:val="TableText0"/>
            </w:pPr>
            <w:r w:rsidRPr="009E7E8E">
              <w:t>1.123</w:t>
            </w:r>
          </w:p>
        </w:tc>
      </w:tr>
      <w:tr w:rsidR="004058BE" w:rsidRPr="009E7E8E" w14:paraId="49A16B9E" w14:textId="77777777" w:rsidTr="00BE0118">
        <w:trPr>
          <w:trHeight w:val="300"/>
        </w:trPr>
        <w:tc>
          <w:tcPr>
            <w:tcW w:w="1019" w:type="pct"/>
          </w:tcPr>
          <w:p w14:paraId="094CFA0C" w14:textId="77777777" w:rsidR="004058BE" w:rsidRPr="00BE26E2" w:rsidRDefault="004058BE" w:rsidP="004E5C57">
            <w:pPr>
              <w:pStyle w:val="TableText0"/>
              <w:rPr>
                <w:rFonts w:cs="Calibri"/>
                <w:color w:val="000000"/>
              </w:rPr>
            </w:pPr>
            <w:r w:rsidRPr="00BE26E2">
              <w:t>ASRR</w:t>
            </w:r>
          </w:p>
        </w:tc>
        <w:tc>
          <w:tcPr>
            <w:tcW w:w="1493" w:type="pct"/>
            <w:noWrap/>
            <w:hideMark/>
          </w:tcPr>
          <w:p w14:paraId="6921429F" w14:textId="77777777" w:rsidR="004058BE" w:rsidRPr="009E7E8E" w:rsidRDefault="004058BE" w:rsidP="004E5C57">
            <w:pPr>
              <w:pStyle w:val="TableText0"/>
            </w:pPr>
            <w:r>
              <w:t>A</w:t>
            </w:r>
            <w:r w:rsidRPr="009E7E8E">
              <w:t>nnualised severe relapse rate</w:t>
            </w:r>
          </w:p>
        </w:tc>
        <w:tc>
          <w:tcPr>
            <w:tcW w:w="1179" w:type="pct"/>
            <w:noWrap/>
            <w:hideMark/>
          </w:tcPr>
          <w:p w14:paraId="3C05CAAB" w14:textId="77777777" w:rsidR="004058BE" w:rsidRPr="009E7E8E" w:rsidRDefault="00AC01FD" w:rsidP="004E5C57">
            <w:pPr>
              <w:pStyle w:val="TableText0"/>
            </w:pPr>
            <w:r>
              <w:fldChar w:fldCharType="begin"/>
            </w:r>
            <w:r>
              <w:instrText xml:space="preserve"> ADDIN EN.CITE &lt;EndNote&gt;&lt;Cite&gt;&lt;Author&gt;Jeong&lt;/Author&gt;&lt;Year&gt;2016&lt;/Year&gt;&lt;RecNum&gt;2836&lt;/RecNum&gt;&lt;DisplayText&gt;(Jeong et al. 2016)&lt;/DisplayText&gt;&lt;record&gt;&lt;rec-number&gt;2836&lt;/rec-number&gt;&lt;foreign-keys&gt;&lt;key app="EN" db-id="r9zwwf2zmrrvxfespp15vtvjapza9v2fz5s5" timestamp="1583809058"&gt;2836&lt;/key&gt;&lt;/foreign-keys&gt;&lt;ref-type name="Journal Article"&gt;17&lt;/ref-type&gt;&lt;contributors&gt;&lt;authors&gt;&lt;author&gt;Jeong, In Hye&lt;/author&gt;&lt;author&gt;Park, Boram&lt;/author&gt;&lt;author&gt;Kim, Su-Hyun&lt;/author&gt;&lt;author&gt;Hyun, Jae-Won&lt;/author&gt;&lt;author&gt;Joo, Jungnam&lt;/author&gt;&lt;author&gt;Kim, Ho Jin&lt;/author&gt;&lt;/authors&gt;&lt;/contributors&gt;&lt;titles&gt;&lt;title&gt;Comparative analysis of treatment outcomes in patients with neuromyelitis optica spectrum disorder using multifaceted endpoints&lt;/title&gt;&lt;secondary-title&gt;Multiple Sclerosis Journal&lt;/secondary-title&gt;&lt;/titles&gt;&lt;periodical&gt;&lt;full-title&gt;Multiple Sclerosis Journal&lt;/full-title&gt;&lt;/periodical&gt;&lt;pages&gt;329-339&lt;/pages&gt;&lt;volume&gt;22&lt;/volume&gt;&lt;number&gt;3&lt;/number&gt;&lt;keywords&gt;&lt;keyword&gt;Neuromyelitis optica,treatment,azathioprine,mycophenolate mofetil,rituximab&lt;/keyword&gt;&lt;/keywords&gt;&lt;dates&gt;&lt;year&gt;2016&lt;/year&gt;&lt;/dates&gt;&lt;accession-num&gt;26041804&lt;/accession-num&gt;&lt;urls&gt;&lt;related-urls&gt;&lt;url&gt;https://journals.sagepub.com/doi/abs/10.1177/1352458515587752&lt;/url&gt;&lt;url&gt;https://journals.sagepub.com/doi/pdf/10.1177/1352458515587752&lt;/url&gt;&lt;/related-urls&gt;&lt;/urls&gt;&lt;electronic-resource-num&gt;10.1177/1352458515587752&lt;/electronic-resource-num&gt;&lt;/record&gt;&lt;/Cite&gt;&lt;/EndNote&gt;</w:instrText>
            </w:r>
            <w:r>
              <w:fldChar w:fldCharType="separate"/>
            </w:r>
            <w:r>
              <w:rPr>
                <w:noProof/>
              </w:rPr>
              <w:t>(Jeong et al. 2016)</w:t>
            </w:r>
            <w:r>
              <w:fldChar w:fldCharType="end"/>
            </w:r>
          </w:p>
        </w:tc>
        <w:tc>
          <w:tcPr>
            <w:tcW w:w="1308" w:type="pct"/>
            <w:noWrap/>
            <w:hideMark/>
          </w:tcPr>
          <w:p w14:paraId="453CD418" w14:textId="77777777" w:rsidR="004058BE" w:rsidRPr="009E7E8E" w:rsidRDefault="004058BE" w:rsidP="004E5C57">
            <w:pPr>
              <w:pStyle w:val="TableText0"/>
            </w:pPr>
            <w:r w:rsidRPr="009E7E8E">
              <w:t>1.10</w:t>
            </w:r>
          </w:p>
        </w:tc>
      </w:tr>
      <w:tr w:rsidR="004058BE" w:rsidRPr="009E7E8E" w14:paraId="34C79320" w14:textId="77777777" w:rsidTr="00BE0118">
        <w:trPr>
          <w:trHeight w:val="300"/>
        </w:trPr>
        <w:tc>
          <w:tcPr>
            <w:tcW w:w="1019" w:type="pct"/>
          </w:tcPr>
          <w:p w14:paraId="50AA7080" w14:textId="77777777" w:rsidR="004058BE" w:rsidRPr="00BE26E2" w:rsidRDefault="004058BE" w:rsidP="004E5C57">
            <w:pPr>
              <w:pStyle w:val="TableText0"/>
              <w:rPr>
                <w:rFonts w:cs="Calibri"/>
                <w:color w:val="000000"/>
              </w:rPr>
            </w:pPr>
            <w:r w:rsidRPr="00BE26E2">
              <w:t>cost_Ab_Test</w:t>
            </w:r>
          </w:p>
        </w:tc>
        <w:tc>
          <w:tcPr>
            <w:tcW w:w="1493" w:type="pct"/>
            <w:noWrap/>
            <w:hideMark/>
          </w:tcPr>
          <w:p w14:paraId="35AAD21E" w14:textId="77777777" w:rsidR="004058BE" w:rsidRPr="009E7E8E" w:rsidRDefault="004058BE" w:rsidP="004E5C57">
            <w:pPr>
              <w:pStyle w:val="TableText0"/>
            </w:pPr>
            <w:r>
              <w:t>Cost of NMOSD-</w:t>
            </w:r>
            <w:r w:rsidRPr="009E7E8E">
              <w:t>Ab testing, proposed</w:t>
            </w:r>
          </w:p>
        </w:tc>
        <w:tc>
          <w:tcPr>
            <w:tcW w:w="1179" w:type="pct"/>
            <w:noWrap/>
            <w:hideMark/>
          </w:tcPr>
          <w:p w14:paraId="754B86C9" w14:textId="77777777" w:rsidR="004058BE" w:rsidRPr="009E7E8E" w:rsidRDefault="004058BE" w:rsidP="004E5C57">
            <w:pPr>
              <w:pStyle w:val="TableText0"/>
            </w:pPr>
            <w:r>
              <w:t>PICO confirmation</w:t>
            </w:r>
          </w:p>
        </w:tc>
        <w:tc>
          <w:tcPr>
            <w:tcW w:w="1308" w:type="pct"/>
            <w:noWrap/>
            <w:hideMark/>
          </w:tcPr>
          <w:p w14:paraId="6D7ECE91" w14:textId="77777777" w:rsidR="004058BE" w:rsidRPr="009E7E8E" w:rsidRDefault="004058BE" w:rsidP="004E5C57">
            <w:pPr>
              <w:pStyle w:val="TableText0"/>
            </w:pPr>
            <w:r w:rsidRPr="009E7E8E">
              <w:t>$43.00</w:t>
            </w:r>
          </w:p>
        </w:tc>
      </w:tr>
      <w:tr w:rsidR="004058BE" w:rsidRPr="009E7E8E" w14:paraId="650CFFDE" w14:textId="77777777" w:rsidTr="00BE0118">
        <w:trPr>
          <w:trHeight w:val="300"/>
        </w:trPr>
        <w:tc>
          <w:tcPr>
            <w:tcW w:w="1019" w:type="pct"/>
          </w:tcPr>
          <w:p w14:paraId="6764159A" w14:textId="77777777" w:rsidR="004058BE" w:rsidRPr="00BE26E2" w:rsidRDefault="004058BE" w:rsidP="004E5C57">
            <w:pPr>
              <w:pStyle w:val="TableText0"/>
              <w:rPr>
                <w:rFonts w:cs="Calibri"/>
                <w:color w:val="000000"/>
              </w:rPr>
            </w:pPr>
            <w:r w:rsidRPr="00BE26E2">
              <w:t>cost_AZA</w:t>
            </w:r>
          </w:p>
        </w:tc>
        <w:tc>
          <w:tcPr>
            <w:tcW w:w="1493" w:type="pct"/>
            <w:noWrap/>
            <w:hideMark/>
          </w:tcPr>
          <w:p w14:paraId="059DB321" w14:textId="77777777" w:rsidR="004058BE" w:rsidRPr="009E7E8E" w:rsidRDefault="004058BE" w:rsidP="004E5C57">
            <w:pPr>
              <w:pStyle w:val="TableText0"/>
            </w:pPr>
            <w:r>
              <w:t>C</w:t>
            </w:r>
            <w:r w:rsidRPr="009E7E8E">
              <w:t xml:space="preserve">ost associated with </w:t>
            </w:r>
            <w:r>
              <w:t>azathioprine and severe adverse events</w:t>
            </w:r>
          </w:p>
        </w:tc>
        <w:tc>
          <w:tcPr>
            <w:tcW w:w="1179" w:type="pct"/>
            <w:noWrap/>
            <w:hideMark/>
          </w:tcPr>
          <w:p w14:paraId="0DEDA7F9" w14:textId="77777777" w:rsidR="004058BE" w:rsidRPr="009E7E8E" w:rsidRDefault="004058BE" w:rsidP="004E5C57">
            <w:pPr>
              <w:pStyle w:val="TableText0"/>
            </w:pPr>
            <w:r w:rsidRPr="009E7E8E">
              <w:t>Calculated</w:t>
            </w:r>
            <w:r>
              <w:t>, Section D.4</w:t>
            </w:r>
          </w:p>
        </w:tc>
        <w:tc>
          <w:tcPr>
            <w:tcW w:w="1308" w:type="pct"/>
            <w:noWrap/>
            <w:hideMark/>
          </w:tcPr>
          <w:p w14:paraId="7151AAA9" w14:textId="77777777" w:rsidR="004058BE" w:rsidRPr="009E7E8E" w:rsidRDefault="004058BE" w:rsidP="004E5C57">
            <w:pPr>
              <w:pStyle w:val="TableText0"/>
            </w:pPr>
            <w:r w:rsidRPr="009E7E8E">
              <w:t>$1</w:t>
            </w:r>
            <w:r>
              <w:t>,</w:t>
            </w:r>
            <w:r w:rsidRPr="009E7E8E">
              <w:t>371</w:t>
            </w:r>
          </w:p>
        </w:tc>
      </w:tr>
      <w:tr w:rsidR="004058BE" w:rsidRPr="009E7E8E" w14:paraId="101C5C27" w14:textId="77777777" w:rsidTr="00BE0118">
        <w:trPr>
          <w:trHeight w:val="300"/>
        </w:trPr>
        <w:tc>
          <w:tcPr>
            <w:tcW w:w="1019" w:type="pct"/>
          </w:tcPr>
          <w:p w14:paraId="3EC0C5D5" w14:textId="77777777" w:rsidR="004058BE" w:rsidRPr="00BE26E2" w:rsidRDefault="004058BE" w:rsidP="004E5C57">
            <w:pPr>
              <w:pStyle w:val="TableText0"/>
              <w:rPr>
                <w:rFonts w:cs="Calibri"/>
                <w:color w:val="000000"/>
              </w:rPr>
            </w:pPr>
            <w:r w:rsidRPr="00BE26E2">
              <w:t>cost_IVIG</w:t>
            </w:r>
          </w:p>
        </w:tc>
        <w:tc>
          <w:tcPr>
            <w:tcW w:w="1493" w:type="pct"/>
            <w:noWrap/>
            <w:hideMark/>
          </w:tcPr>
          <w:p w14:paraId="04726296" w14:textId="77777777" w:rsidR="004058BE" w:rsidRPr="009E7E8E" w:rsidRDefault="004058BE" w:rsidP="004E5C57">
            <w:pPr>
              <w:pStyle w:val="TableText0"/>
            </w:pPr>
            <w:r>
              <w:t>C</w:t>
            </w:r>
            <w:r w:rsidRPr="009E7E8E">
              <w:t>ost of intravenous immunoglobulin</w:t>
            </w:r>
          </w:p>
        </w:tc>
        <w:tc>
          <w:tcPr>
            <w:tcW w:w="1179" w:type="pct"/>
            <w:noWrap/>
            <w:hideMark/>
          </w:tcPr>
          <w:p w14:paraId="333CBEAE" w14:textId="77777777" w:rsidR="004058BE" w:rsidRPr="009E7E8E" w:rsidRDefault="004058BE" w:rsidP="004E5C57">
            <w:pPr>
              <w:pStyle w:val="TableText0"/>
            </w:pPr>
            <w:r w:rsidRPr="009E7E8E">
              <w:t>Calculated</w:t>
            </w:r>
            <w:r>
              <w:t>, Section D.4</w:t>
            </w:r>
          </w:p>
        </w:tc>
        <w:tc>
          <w:tcPr>
            <w:tcW w:w="1308" w:type="pct"/>
            <w:noWrap/>
            <w:hideMark/>
          </w:tcPr>
          <w:p w14:paraId="3C6BD6CD" w14:textId="77777777" w:rsidR="004058BE" w:rsidRPr="009E7E8E" w:rsidRDefault="004058BE" w:rsidP="004E5C57">
            <w:pPr>
              <w:pStyle w:val="TableText0"/>
            </w:pPr>
            <w:r w:rsidRPr="009E7E8E">
              <w:t>$4</w:t>
            </w:r>
            <w:r>
              <w:t>,</w:t>
            </w:r>
            <w:r w:rsidRPr="009E7E8E">
              <w:t>245</w:t>
            </w:r>
          </w:p>
        </w:tc>
      </w:tr>
      <w:tr w:rsidR="004058BE" w:rsidRPr="009E7E8E" w14:paraId="28101A07" w14:textId="77777777" w:rsidTr="00BE0118">
        <w:trPr>
          <w:trHeight w:val="300"/>
        </w:trPr>
        <w:tc>
          <w:tcPr>
            <w:tcW w:w="1019" w:type="pct"/>
          </w:tcPr>
          <w:p w14:paraId="2B080A4D" w14:textId="77777777" w:rsidR="004058BE" w:rsidRPr="00BE26E2" w:rsidRDefault="004058BE" w:rsidP="004E5C57">
            <w:pPr>
              <w:pStyle w:val="TableText0"/>
              <w:rPr>
                <w:rFonts w:cs="Calibri"/>
                <w:color w:val="000000"/>
              </w:rPr>
            </w:pPr>
            <w:r w:rsidRPr="00BE26E2">
              <w:t>cost_IVMP</w:t>
            </w:r>
          </w:p>
        </w:tc>
        <w:tc>
          <w:tcPr>
            <w:tcW w:w="1493" w:type="pct"/>
            <w:noWrap/>
            <w:hideMark/>
          </w:tcPr>
          <w:p w14:paraId="6E800669" w14:textId="77777777" w:rsidR="004058BE" w:rsidRPr="009E7E8E" w:rsidRDefault="004058BE" w:rsidP="004E5C57">
            <w:pPr>
              <w:pStyle w:val="TableText0"/>
            </w:pPr>
            <w:r>
              <w:t>Cost of methylprednisolone (iv)</w:t>
            </w:r>
          </w:p>
        </w:tc>
        <w:tc>
          <w:tcPr>
            <w:tcW w:w="1179" w:type="pct"/>
            <w:noWrap/>
            <w:hideMark/>
          </w:tcPr>
          <w:p w14:paraId="4082CD33" w14:textId="77777777" w:rsidR="004058BE" w:rsidRPr="009E7E8E" w:rsidRDefault="004058BE" w:rsidP="004E5C57">
            <w:pPr>
              <w:pStyle w:val="TableText0"/>
            </w:pPr>
            <w:r w:rsidRPr="009E7E8E">
              <w:t>Calculated</w:t>
            </w:r>
            <w:r>
              <w:t>, Section D.4</w:t>
            </w:r>
          </w:p>
        </w:tc>
        <w:tc>
          <w:tcPr>
            <w:tcW w:w="1308" w:type="pct"/>
            <w:noWrap/>
            <w:hideMark/>
          </w:tcPr>
          <w:p w14:paraId="7506FC75" w14:textId="77777777" w:rsidR="004058BE" w:rsidRPr="009E7E8E" w:rsidRDefault="004058BE" w:rsidP="004E5C57">
            <w:pPr>
              <w:pStyle w:val="TableText0"/>
            </w:pPr>
            <w:r w:rsidRPr="009E7E8E">
              <w:t>$2</w:t>
            </w:r>
            <w:r>
              <w:t>,</w:t>
            </w:r>
            <w:r w:rsidRPr="009E7E8E">
              <w:t>665</w:t>
            </w:r>
          </w:p>
        </w:tc>
      </w:tr>
      <w:tr w:rsidR="004058BE" w:rsidRPr="009E7E8E" w14:paraId="6D1849AB" w14:textId="77777777" w:rsidTr="00BE0118">
        <w:trPr>
          <w:trHeight w:val="300"/>
        </w:trPr>
        <w:tc>
          <w:tcPr>
            <w:tcW w:w="1019" w:type="pct"/>
          </w:tcPr>
          <w:p w14:paraId="0CC34C66" w14:textId="77777777" w:rsidR="004058BE" w:rsidRPr="00BE26E2" w:rsidRDefault="004058BE" w:rsidP="004E5C57">
            <w:pPr>
              <w:pStyle w:val="TableText0"/>
            </w:pPr>
            <w:r>
              <w:t>cost_Mild_Relapse</w:t>
            </w:r>
          </w:p>
        </w:tc>
        <w:tc>
          <w:tcPr>
            <w:tcW w:w="1493" w:type="pct"/>
            <w:noWrap/>
            <w:hideMark/>
          </w:tcPr>
          <w:p w14:paraId="3B568DF7" w14:textId="77777777" w:rsidR="004058BE" w:rsidRPr="009E7E8E" w:rsidRDefault="004058BE" w:rsidP="004E5C57">
            <w:pPr>
              <w:pStyle w:val="TableText0"/>
            </w:pPr>
            <w:r w:rsidRPr="009E7E8E">
              <w:t>Annual cost of treating mild relapse</w:t>
            </w:r>
          </w:p>
        </w:tc>
        <w:tc>
          <w:tcPr>
            <w:tcW w:w="1179" w:type="pct"/>
            <w:noWrap/>
            <w:hideMark/>
          </w:tcPr>
          <w:p w14:paraId="02911D51" w14:textId="77777777" w:rsidR="004058BE" w:rsidRPr="009E7E8E" w:rsidRDefault="004058BE" w:rsidP="004E5C57">
            <w:pPr>
              <w:pStyle w:val="TableText0"/>
            </w:pPr>
            <w:r w:rsidRPr="009E7E8E">
              <w:t>Calculated</w:t>
            </w:r>
            <w:r>
              <w:t>, Section D.4</w:t>
            </w:r>
          </w:p>
        </w:tc>
        <w:tc>
          <w:tcPr>
            <w:tcW w:w="1308" w:type="pct"/>
            <w:noWrap/>
            <w:hideMark/>
          </w:tcPr>
          <w:p w14:paraId="141E6513" w14:textId="0734B2B6" w:rsidR="004058BE" w:rsidRPr="009E7E8E" w:rsidRDefault="00DF2715" w:rsidP="004E5C57">
            <w:pPr>
              <w:pStyle w:val="TableText0"/>
            </w:pPr>
            <w:r>
              <w:t>(</w:t>
            </w:r>
            <w:r w:rsidR="004058BE" w:rsidRPr="009E7E8E">
              <w:t>$3547</w:t>
            </w:r>
            <w:r>
              <w:t>/4)</w:t>
            </w:r>
            <w:r w:rsidR="004058BE" w:rsidRPr="009E7E8E">
              <w:t xml:space="preserve"> + prop_IVMP_mild</w:t>
            </w:r>
            <w:r w:rsidR="004058BE">
              <w:t xml:space="preserve"> </w:t>
            </w:r>
            <w:r w:rsidR="004058BE" w:rsidRPr="009E7E8E">
              <w:t>*</w:t>
            </w:r>
            <w:r w:rsidR="004058BE">
              <w:t xml:space="preserve"> </w:t>
            </w:r>
            <w:r w:rsidR="004058BE" w:rsidRPr="009E7E8E">
              <w:t>cost_IVMP + prop_PLEX_mild*cost_PLEX</w:t>
            </w:r>
          </w:p>
        </w:tc>
      </w:tr>
      <w:tr w:rsidR="004058BE" w:rsidRPr="009E7E8E" w14:paraId="5A7F76F2" w14:textId="77777777" w:rsidTr="00BE0118">
        <w:trPr>
          <w:trHeight w:val="300"/>
        </w:trPr>
        <w:tc>
          <w:tcPr>
            <w:tcW w:w="1019" w:type="pct"/>
          </w:tcPr>
          <w:p w14:paraId="57CF05B4" w14:textId="77777777" w:rsidR="004058BE" w:rsidRPr="00BE26E2" w:rsidRDefault="004058BE" w:rsidP="004E5C57">
            <w:pPr>
              <w:pStyle w:val="TableText0"/>
              <w:rPr>
                <w:rFonts w:cs="Calibri"/>
                <w:color w:val="000000"/>
              </w:rPr>
            </w:pPr>
            <w:r w:rsidRPr="00BE26E2">
              <w:t>cost_MST</w:t>
            </w:r>
          </w:p>
        </w:tc>
        <w:tc>
          <w:tcPr>
            <w:tcW w:w="1493" w:type="pct"/>
            <w:noWrap/>
            <w:hideMark/>
          </w:tcPr>
          <w:p w14:paraId="3C1AA97A" w14:textId="77777777" w:rsidR="004058BE" w:rsidRPr="009E7E8E" w:rsidRDefault="004058BE" w:rsidP="004E5C57">
            <w:pPr>
              <w:pStyle w:val="TableText0"/>
            </w:pPr>
            <w:r w:rsidRPr="009E7E8E">
              <w:t>Annual cost of MS therapy</w:t>
            </w:r>
          </w:p>
        </w:tc>
        <w:tc>
          <w:tcPr>
            <w:tcW w:w="1179" w:type="pct"/>
            <w:noWrap/>
            <w:hideMark/>
          </w:tcPr>
          <w:p w14:paraId="65E4740D" w14:textId="77777777" w:rsidR="004058BE" w:rsidRPr="009E7E8E" w:rsidRDefault="004058BE" w:rsidP="004E5C57">
            <w:pPr>
              <w:pStyle w:val="TableText0"/>
            </w:pPr>
            <w:r w:rsidRPr="009E7E8E">
              <w:t>Calculated</w:t>
            </w:r>
            <w:r>
              <w:t>, Section D.4</w:t>
            </w:r>
          </w:p>
        </w:tc>
        <w:tc>
          <w:tcPr>
            <w:tcW w:w="1308" w:type="pct"/>
            <w:noWrap/>
            <w:hideMark/>
          </w:tcPr>
          <w:p w14:paraId="0845028C" w14:textId="77777777" w:rsidR="004058BE" w:rsidRPr="009E7E8E" w:rsidRDefault="004058BE" w:rsidP="004E5C57">
            <w:pPr>
              <w:pStyle w:val="TableText0"/>
            </w:pPr>
            <w:r w:rsidRPr="009E7E8E">
              <w:t>$11</w:t>
            </w:r>
            <w:r>
              <w:t>,</w:t>
            </w:r>
            <w:r w:rsidRPr="009E7E8E">
              <w:t>602</w:t>
            </w:r>
          </w:p>
        </w:tc>
      </w:tr>
      <w:tr w:rsidR="004058BE" w:rsidRPr="009E7E8E" w14:paraId="1C4A8B40" w14:textId="77777777" w:rsidTr="00BE0118">
        <w:trPr>
          <w:trHeight w:val="300"/>
        </w:trPr>
        <w:tc>
          <w:tcPr>
            <w:tcW w:w="1019" w:type="pct"/>
          </w:tcPr>
          <w:p w14:paraId="670303B2" w14:textId="77777777" w:rsidR="004058BE" w:rsidRPr="00BE26E2" w:rsidRDefault="004058BE" w:rsidP="004E5C57">
            <w:pPr>
              <w:pStyle w:val="TableText0"/>
              <w:rPr>
                <w:rFonts w:cs="Calibri"/>
                <w:color w:val="000000"/>
              </w:rPr>
            </w:pPr>
            <w:r w:rsidRPr="00BE26E2">
              <w:t>cost_PLEX</w:t>
            </w:r>
          </w:p>
        </w:tc>
        <w:tc>
          <w:tcPr>
            <w:tcW w:w="1493" w:type="pct"/>
            <w:noWrap/>
            <w:hideMark/>
          </w:tcPr>
          <w:p w14:paraId="79B19F13" w14:textId="77777777" w:rsidR="004058BE" w:rsidRPr="009E7E8E" w:rsidRDefault="004058BE" w:rsidP="004E5C57">
            <w:pPr>
              <w:pStyle w:val="TableText0"/>
            </w:pPr>
            <w:r>
              <w:t>C</w:t>
            </w:r>
            <w:r w:rsidRPr="009E7E8E">
              <w:t xml:space="preserve">ost of </w:t>
            </w:r>
            <w:r>
              <w:t>p</w:t>
            </w:r>
            <w:r w:rsidRPr="009E7E8E">
              <w:t>lasma exchange</w:t>
            </w:r>
          </w:p>
        </w:tc>
        <w:tc>
          <w:tcPr>
            <w:tcW w:w="1179" w:type="pct"/>
            <w:noWrap/>
            <w:hideMark/>
          </w:tcPr>
          <w:p w14:paraId="2E308CD2" w14:textId="77777777" w:rsidR="004058BE" w:rsidRPr="009E7E8E" w:rsidRDefault="004058BE" w:rsidP="004E5C57">
            <w:pPr>
              <w:pStyle w:val="TableText0"/>
            </w:pPr>
            <w:r w:rsidRPr="009E7E8E">
              <w:t>Calculated</w:t>
            </w:r>
            <w:r>
              <w:t>, Section D.4</w:t>
            </w:r>
          </w:p>
        </w:tc>
        <w:tc>
          <w:tcPr>
            <w:tcW w:w="1308" w:type="pct"/>
            <w:noWrap/>
            <w:hideMark/>
          </w:tcPr>
          <w:p w14:paraId="179723F1" w14:textId="77777777" w:rsidR="004058BE" w:rsidRPr="009E7E8E" w:rsidRDefault="004058BE" w:rsidP="004E5C57">
            <w:pPr>
              <w:pStyle w:val="TableText0"/>
            </w:pPr>
            <w:r w:rsidRPr="009E7E8E">
              <w:t>$8</w:t>
            </w:r>
            <w:r>
              <w:t>,</w:t>
            </w:r>
            <w:r w:rsidRPr="009E7E8E">
              <w:t>477</w:t>
            </w:r>
          </w:p>
        </w:tc>
      </w:tr>
      <w:tr w:rsidR="004058BE" w:rsidRPr="009E7E8E" w14:paraId="2F304477" w14:textId="77777777" w:rsidTr="00BE0118">
        <w:trPr>
          <w:trHeight w:val="300"/>
        </w:trPr>
        <w:tc>
          <w:tcPr>
            <w:tcW w:w="1019" w:type="pct"/>
          </w:tcPr>
          <w:p w14:paraId="72CCE0A7" w14:textId="77777777" w:rsidR="004058BE" w:rsidRPr="00BE26E2" w:rsidRDefault="004058BE" w:rsidP="004E5C57">
            <w:pPr>
              <w:pStyle w:val="TableText0"/>
              <w:rPr>
                <w:rFonts w:cs="Calibri"/>
                <w:color w:val="000000"/>
              </w:rPr>
            </w:pPr>
            <w:r w:rsidRPr="00BE26E2">
              <w:t>cost_RTX</w:t>
            </w:r>
          </w:p>
        </w:tc>
        <w:tc>
          <w:tcPr>
            <w:tcW w:w="1493" w:type="pct"/>
            <w:noWrap/>
            <w:hideMark/>
          </w:tcPr>
          <w:p w14:paraId="38D34EAB" w14:textId="77777777" w:rsidR="004058BE" w:rsidRPr="009E7E8E" w:rsidRDefault="004058BE" w:rsidP="004E5C57">
            <w:pPr>
              <w:pStyle w:val="TableText0"/>
            </w:pPr>
            <w:r>
              <w:t>C</w:t>
            </w:r>
            <w:r w:rsidRPr="009E7E8E">
              <w:t xml:space="preserve">ost associated with </w:t>
            </w:r>
            <w:r>
              <w:t>rituximab</w:t>
            </w:r>
            <w:r w:rsidRPr="009E7E8E">
              <w:t xml:space="preserve"> and </w:t>
            </w:r>
            <w:r>
              <w:t>adverse events</w:t>
            </w:r>
          </w:p>
        </w:tc>
        <w:tc>
          <w:tcPr>
            <w:tcW w:w="1179" w:type="pct"/>
            <w:noWrap/>
            <w:hideMark/>
          </w:tcPr>
          <w:p w14:paraId="1D7DD475" w14:textId="77777777" w:rsidR="004058BE" w:rsidRPr="009E7E8E" w:rsidRDefault="004058BE" w:rsidP="004E5C57">
            <w:pPr>
              <w:pStyle w:val="TableText0"/>
            </w:pPr>
            <w:r w:rsidRPr="009E7E8E">
              <w:t>Calculated</w:t>
            </w:r>
            <w:r>
              <w:t>, Section D.4</w:t>
            </w:r>
          </w:p>
        </w:tc>
        <w:tc>
          <w:tcPr>
            <w:tcW w:w="1308" w:type="pct"/>
            <w:noWrap/>
            <w:hideMark/>
          </w:tcPr>
          <w:p w14:paraId="7F4C5A47" w14:textId="77777777" w:rsidR="004058BE" w:rsidRPr="009E7E8E" w:rsidRDefault="004058BE" w:rsidP="004E5C57">
            <w:pPr>
              <w:pStyle w:val="TableText0"/>
            </w:pPr>
            <w:r w:rsidRPr="009E7E8E">
              <w:t>$12,058</w:t>
            </w:r>
          </w:p>
        </w:tc>
      </w:tr>
      <w:tr w:rsidR="004058BE" w:rsidRPr="009E7E8E" w14:paraId="17BC8558" w14:textId="77777777" w:rsidTr="00BE0118">
        <w:trPr>
          <w:trHeight w:val="300"/>
        </w:trPr>
        <w:tc>
          <w:tcPr>
            <w:tcW w:w="1019" w:type="pct"/>
          </w:tcPr>
          <w:p w14:paraId="69BF47A5" w14:textId="77777777" w:rsidR="004058BE" w:rsidRPr="00BE26E2" w:rsidRDefault="004058BE" w:rsidP="004E5C57">
            <w:pPr>
              <w:pStyle w:val="TableText0"/>
              <w:rPr>
                <w:rFonts w:cs="Calibri"/>
                <w:color w:val="000000"/>
              </w:rPr>
            </w:pPr>
            <w:r w:rsidRPr="00BE26E2">
              <w:t>cost_Severe_Relapse</w:t>
            </w:r>
          </w:p>
        </w:tc>
        <w:tc>
          <w:tcPr>
            <w:tcW w:w="1493" w:type="pct"/>
            <w:noWrap/>
            <w:hideMark/>
          </w:tcPr>
          <w:p w14:paraId="6A2C6A8B" w14:textId="77777777" w:rsidR="004058BE" w:rsidRPr="009E7E8E" w:rsidRDefault="004058BE" w:rsidP="004E5C57">
            <w:pPr>
              <w:pStyle w:val="TableText0"/>
            </w:pPr>
            <w:r w:rsidRPr="009E7E8E">
              <w:t>Annual cost of treating severe relapse</w:t>
            </w:r>
          </w:p>
        </w:tc>
        <w:tc>
          <w:tcPr>
            <w:tcW w:w="1179" w:type="pct"/>
            <w:noWrap/>
            <w:hideMark/>
          </w:tcPr>
          <w:p w14:paraId="45003C06" w14:textId="77777777" w:rsidR="004058BE" w:rsidRPr="009E7E8E" w:rsidRDefault="004058BE" w:rsidP="004E5C57">
            <w:pPr>
              <w:pStyle w:val="TableText0"/>
            </w:pPr>
            <w:r w:rsidRPr="009E7E8E">
              <w:t>Calculated</w:t>
            </w:r>
            <w:r>
              <w:t>, Section D.4</w:t>
            </w:r>
          </w:p>
        </w:tc>
        <w:tc>
          <w:tcPr>
            <w:tcW w:w="1308" w:type="pct"/>
            <w:noWrap/>
            <w:hideMark/>
          </w:tcPr>
          <w:p w14:paraId="350B90BD" w14:textId="4052E8B4" w:rsidR="004058BE" w:rsidRPr="009E7E8E" w:rsidRDefault="00DF2715" w:rsidP="004E5C57">
            <w:pPr>
              <w:pStyle w:val="TableText0"/>
            </w:pPr>
            <w:r>
              <w:t>(</w:t>
            </w:r>
            <w:r w:rsidR="004058BE" w:rsidRPr="009E7E8E">
              <w:t>$11</w:t>
            </w:r>
            <w:r w:rsidR="004058BE">
              <w:t>,</w:t>
            </w:r>
            <w:r w:rsidR="004058BE" w:rsidRPr="009E7E8E">
              <w:t>277</w:t>
            </w:r>
            <w:r>
              <w:t>/4)</w:t>
            </w:r>
            <w:r w:rsidR="004058BE" w:rsidRPr="009E7E8E">
              <w:t xml:space="preserve"> + 1.3*(prop_IVMP_severe*cost_IVMP + prop_PLEX_severe</w:t>
            </w:r>
            <w:r w:rsidR="004058BE">
              <w:t xml:space="preserve"> </w:t>
            </w:r>
            <w:r w:rsidR="004058BE" w:rsidRPr="009E7E8E">
              <w:t>*</w:t>
            </w:r>
            <w:r w:rsidR="004058BE">
              <w:t xml:space="preserve"> </w:t>
            </w:r>
            <w:r w:rsidR="004058BE" w:rsidRPr="009E7E8E">
              <w:t>cost_PLEX + prop_IVIG * cost_IVIG)</w:t>
            </w:r>
          </w:p>
        </w:tc>
      </w:tr>
      <w:tr w:rsidR="004058BE" w:rsidRPr="009E7E8E" w14:paraId="406C0E77" w14:textId="77777777" w:rsidTr="00BE0118">
        <w:trPr>
          <w:trHeight w:val="300"/>
        </w:trPr>
        <w:tc>
          <w:tcPr>
            <w:tcW w:w="1019" w:type="pct"/>
          </w:tcPr>
          <w:p w14:paraId="36543CEA" w14:textId="77777777" w:rsidR="004058BE" w:rsidRPr="00BE26E2" w:rsidRDefault="004058BE" w:rsidP="004E5C57">
            <w:pPr>
              <w:pStyle w:val="TableText0"/>
              <w:rPr>
                <w:rFonts w:cs="Calibri"/>
                <w:color w:val="000000"/>
              </w:rPr>
            </w:pPr>
            <w:r w:rsidRPr="00BE26E2">
              <w:t>cost_symptomatic_Tx</w:t>
            </w:r>
          </w:p>
        </w:tc>
        <w:tc>
          <w:tcPr>
            <w:tcW w:w="1493" w:type="pct"/>
            <w:noWrap/>
            <w:hideMark/>
          </w:tcPr>
          <w:p w14:paraId="58B19C79" w14:textId="77777777" w:rsidR="004058BE" w:rsidRPr="009E7E8E" w:rsidRDefault="004058BE" w:rsidP="004E5C57">
            <w:pPr>
              <w:pStyle w:val="TableText0"/>
            </w:pPr>
            <w:r>
              <w:t>C</w:t>
            </w:r>
            <w:r w:rsidRPr="009E7E8E">
              <w:t>ost of symptomatic treatment</w:t>
            </w:r>
          </w:p>
        </w:tc>
        <w:tc>
          <w:tcPr>
            <w:tcW w:w="1179" w:type="pct"/>
            <w:noWrap/>
            <w:hideMark/>
          </w:tcPr>
          <w:p w14:paraId="30CCA207" w14:textId="77777777" w:rsidR="004058BE" w:rsidRPr="009E7E8E" w:rsidRDefault="00AC01FD" w:rsidP="004E5C57">
            <w:pPr>
              <w:pStyle w:val="TableText0"/>
            </w:pPr>
            <w:r>
              <w:fldChar w:fldCharType="begin"/>
            </w:r>
            <w:r>
              <w:instrText xml:space="preserve"> ADDIN EN.CITE &lt;EndNote&gt;&lt;Cite&gt;&lt;Author&gt;Ahmad&lt;/Author&gt;&lt;Year&gt;2018&lt;/Year&gt;&lt;RecNum&gt;2837&lt;/RecNum&gt;&lt;DisplayText&gt;(Ahmad et al. 2018)&lt;/DisplayText&gt;&lt;record&gt;&lt;rec-number&gt;2837&lt;/rec-number&gt;&lt;foreign-keys&gt;&lt;key app="EN" db-id="r9zwwf2zmrrvxfespp15vtvjapza9v2fz5s5" timestamp="1583893890"&gt;2837&lt;/key&gt;&lt;/foreign-keys&gt;&lt;ref-type name="Report"&gt;27&lt;/ref-type&gt;&lt;contributors&gt;&lt;authors&gt;&lt;author&gt;Hasnat Ahmad&lt;/author&gt;&lt;author&gt;Andrew J Palmer&lt;/author&gt;&lt;author&gt;Julie A Campbell&lt;/author&gt;&lt;author&gt;Ingrid van der Mei&lt;/author&gt;&lt;author&gt;Bruce Taylor&lt;/author&gt;&lt;/authors&gt;&lt;tertiary-authors&gt;&lt;author&gt;MS Research Australia&lt;/author&gt;&lt;/tertiary-authors&gt;&lt;subsidiary-authors&gt;&lt;author&gt;Menzies Institute for Medical Research&lt;/author&gt;&lt;/subsidiary-authors&gt;&lt;/contributors&gt;&lt;titles&gt;&lt;title&gt;Health Economic Impact of Multiple Sclerosis in Australia in 2017: An analysis of MS Research Australia’s platform – the Australian MS Longitudinal Study (AMSLS)&lt;/title&gt;&lt;/titles&gt;&lt;dates&gt;&lt;year&gt;2018&lt;/year&gt;&lt;pub-dates&gt;&lt;date&gt;August 2018&lt;/date&gt;&lt;/pub-dates&gt;&lt;/dates&gt;&lt;publisher&gt;Menzies Institute for Medical Research, University of Tasmania&lt;/publisher&gt;&lt;urls&gt;&lt;/urls&gt;&lt;/record&gt;&lt;/Cite&gt;&lt;/EndNote&gt;</w:instrText>
            </w:r>
            <w:r>
              <w:fldChar w:fldCharType="separate"/>
            </w:r>
            <w:r>
              <w:rPr>
                <w:noProof/>
              </w:rPr>
              <w:t>(Ahmad et al. 2018)</w:t>
            </w:r>
            <w:r>
              <w:fldChar w:fldCharType="end"/>
            </w:r>
          </w:p>
        </w:tc>
        <w:tc>
          <w:tcPr>
            <w:tcW w:w="1308" w:type="pct"/>
            <w:noWrap/>
            <w:hideMark/>
          </w:tcPr>
          <w:p w14:paraId="3570B8BE" w14:textId="77777777" w:rsidR="004058BE" w:rsidRPr="009E7E8E" w:rsidRDefault="004058BE" w:rsidP="004E5C57">
            <w:pPr>
              <w:pStyle w:val="TableText0"/>
            </w:pPr>
            <w:r w:rsidRPr="009E7E8E">
              <w:t>$524</w:t>
            </w:r>
          </w:p>
        </w:tc>
      </w:tr>
      <w:tr w:rsidR="004058BE" w:rsidRPr="009E7E8E" w14:paraId="00CAE211" w14:textId="77777777" w:rsidTr="00BE0118">
        <w:trPr>
          <w:trHeight w:val="300"/>
        </w:trPr>
        <w:tc>
          <w:tcPr>
            <w:tcW w:w="1019" w:type="pct"/>
          </w:tcPr>
          <w:p w14:paraId="0C73C2FA" w14:textId="77777777" w:rsidR="004058BE" w:rsidRPr="00BE26E2" w:rsidRDefault="004058BE" w:rsidP="004E5C57">
            <w:pPr>
              <w:pStyle w:val="TableText0"/>
              <w:rPr>
                <w:rFonts w:cs="Calibri"/>
                <w:color w:val="000000"/>
              </w:rPr>
            </w:pPr>
            <w:r w:rsidRPr="00BE26E2">
              <w:t>diag_yield_AQP4</w:t>
            </w:r>
          </w:p>
        </w:tc>
        <w:tc>
          <w:tcPr>
            <w:tcW w:w="1493" w:type="pct"/>
            <w:noWrap/>
            <w:hideMark/>
          </w:tcPr>
          <w:p w14:paraId="500B98D5" w14:textId="77777777" w:rsidR="004058BE" w:rsidRPr="009E7E8E" w:rsidRDefault="004058BE" w:rsidP="004E5C57">
            <w:pPr>
              <w:pStyle w:val="TableText0"/>
            </w:pPr>
            <w:r>
              <w:t>D</w:t>
            </w:r>
            <w:r w:rsidRPr="009E7E8E">
              <w:t>iagnostic yield for AQP4-Ab</w:t>
            </w:r>
          </w:p>
        </w:tc>
        <w:tc>
          <w:tcPr>
            <w:tcW w:w="1179" w:type="pct"/>
            <w:noWrap/>
            <w:hideMark/>
          </w:tcPr>
          <w:p w14:paraId="67F2FD11" w14:textId="77777777" w:rsidR="004058BE" w:rsidRPr="009E7E8E" w:rsidRDefault="004058BE" w:rsidP="004E5C57">
            <w:pPr>
              <w:pStyle w:val="TableText0"/>
            </w:pPr>
            <w:r>
              <w:t>Section C2.1</w:t>
            </w:r>
          </w:p>
        </w:tc>
        <w:tc>
          <w:tcPr>
            <w:tcW w:w="1308" w:type="pct"/>
            <w:noWrap/>
            <w:hideMark/>
          </w:tcPr>
          <w:p w14:paraId="6FE35F46" w14:textId="77777777" w:rsidR="004058BE" w:rsidRPr="009E7E8E" w:rsidRDefault="004058BE" w:rsidP="004E5C57">
            <w:pPr>
              <w:pStyle w:val="TableText0"/>
            </w:pPr>
            <w:r w:rsidRPr="009E7E8E">
              <w:t>4.2%</w:t>
            </w:r>
          </w:p>
        </w:tc>
      </w:tr>
      <w:tr w:rsidR="004058BE" w:rsidRPr="009E7E8E" w14:paraId="7D4C2E60" w14:textId="77777777" w:rsidTr="00BE0118">
        <w:trPr>
          <w:trHeight w:val="300"/>
        </w:trPr>
        <w:tc>
          <w:tcPr>
            <w:tcW w:w="1019" w:type="pct"/>
          </w:tcPr>
          <w:p w14:paraId="024F4D5E" w14:textId="77777777" w:rsidR="004058BE" w:rsidRPr="00BE26E2" w:rsidRDefault="004058BE" w:rsidP="004E5C57">
            <w:pPr>
              <w:pStyle w:val="TableText0"/>
              <w:rPr>
                <w:rFonts w:cs="Calibri"/>
                <w:color w:val="000000"/>
              </w:rPr>
            </w:pPr>
            <w:r w:rsidRPr="00BE26E2">
              <w:t>diag_yield_MOG</w:t>
            </w:r>
          </w:p>
        </w:tc>
        <w:tc>
          <w:tcPr>
            <w:tcW w:w="1493" w:type="pct"/>
            <w:noWrap/>
            <w:hideMark/>
          </w:tcPr>
          <w:p w14:paraId="3757C28D" w14:textId="77777777" w:rsidR="004058BE" w:rsidRPr="009E7E8E" w:rsidRDefault="004058BE" w:rsidP="004E5C57">
            <w:pPr>
              <w:pStyle w:val="TableText0"/>
            </w:pPr>
            <w:r>
              <w:t>D</w:t>
            </w:r>
            <w:r w:rsidRPr="009E7E8E">
              <w:t>iganostic yield for MOG-Ab in AQP4 -ves</w:t>
            </w:r>
          </w:p>
        </w:tc>
        <w:tc>
          <w:tcPr>
            <w:tcW w:w="1179" w:type="pct"/>
            <w:noWrap/>
            <w:hideMark/>
          </w:tcPr>
          <w:p w14:paraId="3CCF716D" w14:textId="77777777" w:rsidR="004058BE" w:rsidRPr="009E7E8E" w:rsidRDefault="004058BE" w:rsidP="004E5C57">
            <w:pPr>
              <w:pStyle w:val="TableText0"/>
            </w:pPr>
            <w:r>
              <w:t>Section C2.1</w:t>
            </w:r>
          </w:p>
        </w:tc>
        <w:tc>
          <w:tcPr>
            <w:tcW w:w="1308" w:type="pct"/>
            <w:noWrap/>
            <w:hideMark/>
          </w:tcPr>
          <w:p w14:paraId="7D3F37CA" w14:textId="77777777" w:rsidR="004058BE" w:rsidRPr="009E7E8E" w:rsidRDefault="004058BE" w:rsidP="004E5C57">
            <w:pPr>
              <w:pStyle w:val="TableText0"/>
            </w:pPr>
            <w:r w:rsidRPr="009E7E8E">
              <w:t>5.5%</w:t>
            </w:r>
          </w:p>
        </w:tc>
      </w:tr>
      <w:tr w:rsidR="004058BE" w:rsidRPr="009E7E8E" w14:paraId="10D9FFA6" w14:textId="77777777" w:rsidTr="00BE0118">
        <w:trPr>
          <w:trHeight w:val="300"/>
        </w:trPr>
        <w:tc>
          <w:tcPr>
            <w:tcW w:w="1019" w:type="pct"/>
          </w:tcPr>
          <w:p w14:paraId="6E9C0B96" w14:textId="77777777" w:rsidR="004058BE" w:rsidRPr="00BE26E2" w:rsidRDefault="004058BE" w:rsidP="004E5C57">
            <w:pPr>
              <w:pStyle w:val="TableText0"/>
              <w:rPr>
                <w:rFonts w:cs="Calibri"/>
                <w:color w:val="000000"/>
              </w:rPr>
            </w:pPr>
            <w:r w:rsidRPr="00BE26E2">
              <w:t>disutil_mild_relapse</w:t>
            </w:r>
          </w:p>
        </w:tc>
        <w:tc>
          <w:tcPr>
            <w:tcW w:w="1493" w:type="pct"/>
            <w:noWrap/>
            <w:hideMark/>
          </w:tcPr>
          <w:p w14:paraId="73757D4A" w14:textId="77777777" w:rsidR="004058BE" w:rsidRPr="009E7E8E" w:rsidRDefault="004058BE" w:rsidP="004E5C57">
            <w:pPr>
              <w:pStyle w:val="TableText0"/>
            </w:pPr>
            <w:r>
              <w:t>D</w:t>
            </w:r>
            <w:r w:rsidRPr="009E7E8E">
              <w:t>isutility after mild relapse</w:t>
            </w:r>
          </w:p>
        </w:tc>
        <w:tc>
          <w:tcPr>
            <w:tcW w:w="1179" w:type="pct"/>
            <w:noWrap/>
          </w:tcPr>
          <w:p w14:paraId="7D546D33" w14:textId="77777777" w:rsidR="004058BE" w:rsidRPr="009E7E8E" w:rsidRDefault="00AC01FD" w:rsidP="004E5C57">
            <w:pPr>
              <w:pStyle w:val="TableText0"/>
            </w:pPr>
            <w:r>
              <w:fldChar w:fldCharType="begin"/>
            </w:r>
            <w:r>
              <w:instrText xml:space="preserve"> ADDIN EN.CITE &lt;EndNote&gt;&lt;Cite&gt;&lt;Author&gt;Aungsumart&lt;/Author&gt;&lt;Year&gt;2020&lt;/Year&gt;&lt;RecNum&gt;2832&lt;/RecNum&gt;&lt;DisplayText&gt;(Aungsumart &amp;amp; Apiwattanakul 2020)&lt;/DisplayText&gt;&lt;record&gt;&lt;rec-number&gt;2832&lt;/rec-number&gt;&lt;foreign-keys&gt;&lt;key app="EN" db-id="r9zwwf2zmrrvxfespp15vtvjapza9v2fz5s5" timestamp="1581642811"&gt;2832&lt;/key&gt;&lt;/foreign-keys&gt;&lt;ref-type name="Journal Article"&gt;17&lt;/ref-type&gt;&lt;contributors&gt;&lt;authors&gt;&lt;author&gt;Aungsumart, S.&lt;/author&gt;&lt;author&gt;Apiwattanakul, M.&lt;/author&gt;&lt;/authors&gt;&lt;/contributors&gt;&lt;auth-address&gt;Neuroimmunology Unit, Department of Neurology, Prasat Neurological Institute, Bangkok, Thailand.&lt;/auth-address&gt;&lt;titles&gt;&lt;title&gt;Cost effectiveness of rituximab and mycophenolate mofetil for neuromyelitis optica spectrum disorder in Thailand: Economic evaluation and budget impact analysis&lt;/title&gt;&lt;secondary-title&gt;PLoS One&lt;/secondary-title&gt;&lt;/titles&gt;&lt;periodical&gt;&lt;full-title&gt;PLoS ONE&lt;/full-title&gt;&lt;/periodical&gt;&lt;pages&gt;e0229028&lt;/pages&gt;&lt;volume&gt;15&lt;/volume&gt;&lt;number&gt;2&lt;/number&gt;&lt;edition&gt;2020/02/13&lt;/edition&gt;&lt;dates&gt;&lt;year&gt;2020&lt;/year&gt;&lt;/dates&gt;&lt;isbn&gt;1932-6203 (Electronic)&amp;#xD;1932-6203 (Linking)&lt;/isbn&gt;&lt;accession-num&gt;32050011&lt;/accession-num&gt;&lt;urls&gt;&lt;related-urls&gt;&lt;url&gt;https://www.ncbi.nlm.nih.gov/pubmed/32050011&lt;/url&gt;&lt;url&gt;https://journals.plos.org/plosone/article/file?id=10.1371/journal.pone.0229028&amp;amp;type=printable&lt;/url&gt;&lt;/related-urls&gt;&lt;/urls&gt;&lt;electronic-resource-num&gt;10.1371/journal.pone.0229028&lt;/electronic-resource-num&gt;&lt;/record&gt;&lt;/Cite&gt;&lt;/EndNote&gt;</w:instrText>
            </w:r>
            <w:r>
              <w:fldChar w:fldCharType="separate"/>
            </w:r>
            <w:r>
              <w:rPr>
                <w:noProof/>
              </w:rPr>
              <w:t>(Aungsumart &amp; Apiwattanakul 2020)</w:t>
            </w:r>
            <w:r>
              <w:fldChar w:fldCharType="end"/>
            </w:r>
          </w:p>
        </w:tc>
        <w:tc>
          <w:tcPr>
            <w:tcW w:w="1308" w:type="pct"/>
            <w:noWrap/>
            <w:hideMark/>
          </w:tcPr>
          <w:p w14:paraId="2AEE3E55" w14:textId="77777777" w:rsidR="004058BE" w:rsidRPr="009E7E8E" w:rsidRDefault="004058BE" w:rsidP="004E5C57">
            <w:pPr>
              <w:pStyle w:val="TableText0"/>
            </w:pPr>
            <w:r w:rsidRPr="009E7E8E">
              <w:t>0.07</w:t>
            </w:r>
          </w:p>
        </w:tc>
      </w:tr>
      <w:tr w:rsidR="004058BE" w:rsidRPr="009E7E8E" w14:paraId="267243A7" w14:textId="77777777" w:rsidTr="00BE0118">
        <w:trPr>
          <w:trHeight w:val="300"/>
        </w:trPr>
        <w:tc>
          <w:tcPr>
            <w:tcW w:w="1019" w:type="pct"/>
          </w:tcPr>
          <w:p w14:paraId="163142B2" w14:textId="77777777" w:rsidR="004058BE" w:rsidRPr="00BE26E2" w:rsidRDefault="004058BE" w:rsidP="004E5C57">
            <w:pPr>
              <w:pStyle w:val="TableText0"/>
              <w:rPr>
                <w:rFonts w:cs="Calibri"/>
                <w:color w:val="000000"/>
              </w:rPr>
            </w:pPr>
            <w:r w:rsidRPr="00BE26E2">
              <w:t>disutil_severe_relapse</w:t>
            </w:r>
          </w:p>
        </w:tc>
        <w:tc>
          <w:tcPr>
            <w:tcW w:w="1493" w:type="pct"/>
            <w:noWrap/>
            <w:hideMark/>
          </w:tcPr>
          <w:p w14:paraId="7AD873C3" w14:textId="77777777" w:rsidR="004058BE" w:rsidRPr="009E7E8E" w:rsidRDefault="004058BE" w:rsidP="004E5C57">
            <w:pPr>
              <w:pStyle w:val="TableText0"/>
            </w:pPr>
            <w:r>
              <w:t>D</w:t>
            </w:r>
            <w:r w:rsidRPr="009E7E8E">
              <w:t>isutility after severe relapse</w:t>
            </w:r>
          </w:p>
        </w:tc>
        <w:tc>
          <w:tcPr>
            <w:tcW w:w="1179" w:type="pct"/>
            <w:noWrap/>
          </w:tcPr>
          <w:p w14:paraId="5CDDFC85" w14:textId="77777777" w:rsidR="004058BE" w:rsidRPr="009E7E8E" w:rsidRDefault="00AC01FD" w:rsidP="004E5C57">
            <w:pPr>
              <w:pStyle w:val="TableText0"/>
            </w:pPr>
            <w:r>
              <w:fldChar w:fldCharType="begin"/>
            </w:r>
            <w:r>
              <w:instrText xml:space="preserve"> ADDIN EN.CITE &lt;EndNote&gt;&lt;Cite&gt;&lt;Author&gt;Aungsumart&lt;/Author&gt;&lt;Year&gt;2020&lt;/Year&gt;&lt;RecNum&gt;2832&lt;/RecNum&gt;&lt;DisplayText&gt;(Aungsumart &amp;amp; Apiwattanakul 2020)&lt;/DisplayText&gt;&lt;record&gt;&lt;rec-number&gt;2832&lt;/rec-number&gt;&lt;foreign-keys&gt;&lt;key app="EN" db-id="r9zwwf2zmrrvxfespp15vtvjapza9v2fz5s5" timestamp="1581642811"&gt;2832&lt;/key&gt;&lt;/foreign-keys&gt;&lt;ref-type name="Journal Article"&gt;17&lt;/ref-type&gt;&lt;contributors&gt;&lt;authors&gt;&lt;author&gt;Aungsumart, S.&lt;/author&gt;&lt;author&gt;Apiwattanakul, M.&lt;/author&gt;&lt;/authors&gt;&lt;/contributors&gt;&lt;auth-address&gt;Neuroimmunology Unit, Department of Neurology, Prasat Neurological Institute, Bangkok, Thailand.&lt;/auth-address&gt;&lt;titles&gt;&lt;title&gt;Cost effectiveness of rituximab and mycophenolate mofetil for neuromyelitis optica spectrum disorder in Thailand: Economic evaluation and budget impact analysis&lt;/title&gt;&lt;secondary-title&gt;PLoS One&lt;/secondary-title&gt;&lt;/titles&gt;&lt;periodical&gt;&lt;full-title&gt;PLoS ONE&lt;/full-title&gt;&lt;/periodical&gt;&lt;pages&gt;e0229028&lt;/pages&gt;&lt;volume&gt;15&lt;/volume&gt;&lt;number&gt;2&lt;/number&gt;&lt;edition&gt;2020/02/13&lt;/edition&gt;&lt;dates&gt;&lt;year&gt;2020&lt;/year&gt;&lt;/dates&gt;&lt;isbn&gt;1932-6203 (Electronic)&amp;#xD;1932-6203 (Linking)&lt;/isbn&gt;&lt;accession-num&gt;32050011&lt;/accession-num&gt;&lt;urls&gt;&lt;related-urls&gt;&lt;url&gt;https://www.ncbi.nlm.nih.gov/pubmed/32050011&lt;/url&gt;&lt;url&gt;https://journals.plos.org/plosone/article/file?id=10.1371/journal.pone.0229028&amp;amp;type=printable&lt;/url&gt;&lt;/related-urls&gt;&lt;/urls&gt;&lt;electronic-resource-num&gt;10.1371/journal.pone.0229028&lt;/electronic-resource-num&gt;&lt;/record&gt;&lt;/Cite&gt;&lt;/EndNote&gt;</w:instrText>
            </w:r>
            <w:r>
              <w:fldChar w:fldCharType="separate"/>
            </w:r>
            <w:r>
              <w:rPr>
                <w:noProof/>
              </w:rPr>
              <w:t>(Aungsumart &amp; Apiwattanakul 2020)</w:t>
            </w:r>
            <w:r>
              <w:fldChar w:fldCharType="end"/>
            </w:r>
          </w:p>
        </w:tc>
        <w:tc>
          <w:tcPr>
            <w:tcW w:w="1308" w:type="pct"/>
            <w:noWrap/>
            <w:hideMark/>
          </w:tcPr>
          <w:p w14:paraId="4B2D5DBF" w14:textId="77777777" w:rsidR="004058BE" w:rsidRPr="009E7E8E" w:rsidRDefault="004058BE" w:rsidP="004E5C57">
            <w:pPr>
              <w:pStyle w:val="TableText0"/>
            </w:pPr>
            <w:r w:rsidRPr="009E7E8E">
              <w:t>0.29</w:t>
            </w:r>
          </w:p>
        </w:tc>
      </w:tr>
      <w:tr w:rsidR="004058BE" w:rsidRPr="009E7E8E" w14:paraId="7AC8D3EB" w14:textId="77777777" w:rsidTr="00BE0118">
        <w:trPr>
          <w:trHeight w:val="300"/>
        </w:trPr>
        <w:tc>
          <w:tcPr>
            <w:tcW w:w="1019" w:type="pct"/>
          </w:tcPr>
          <w:p w14:paraId="089A1A4A" w14:textId="77777777" w:rsidR="004058BE" w:rsidRPr="00BE26E2" w:rsidRDefault="004058BE" w:rsidP="004E5C57">
            <w:pPr>
              <w:pStyle w:val="TableText0"/>
              <w:rPr>
                <w:rFonts w:cs="Calibri"/>
                <w:color w:val="000000"/>
              </w:rPr>
            </w:pPr>
            <w:r w:rsidRPr="00BE26E2">
              <w:t>onsetAge</w:t>
            </w:r>
          </w:p>
        </w:tc>
        <w:tc>
          <w:tcPr>
            <w:tcW w:w="1493" w:type="pct"/>
            <w:noWrap/>
            <w:hideMark/>
          </w:tcPr>
          <w:p w14:paraId="1AEF3A57" w14:textId="77777777" w:rsidR="004058BE" w:rsidRPr="009E7E8E" w:rsidRDefault="004058BE" w:rsidP="004E5C57">
            <w:pPr>
              <w:pStyle w:val="TableText0"/>
            </w:pPr>
            <w:r>
              <w:t>Age at onset (years)</w:t>
            </w:r>
          </w:p>
        </w:tc>
        <w:tc>
          <w:tcPr>
            <w:tcW w:w="1179" w:type="pct"/>
            <w:noWrap/>
          </w:tcPr>
          <w:p w14:paraId="669DCA95" w14:textId="5EBB7F09" w:rsidR="004058BE" w:rsidRPr="009E7E8E" w:rsidRDefault="00AC01FD" w:rsidP="004E5C57">
            <w:pPr>
              <w:pStyle w:val="TableText0"/>
            </w:pPr>
            <w:r>
              <w:fldChar w:fldCharType="begin">
                <w:fldData xml:space="preserve">PEVuZE5vdGU+PENpdGU+PEF1dGhvcj5CdWtoYXJpPC9BdXRob3I+PFllYXI+MjAyMDwvWWVhcj48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</w:fldData>
              </w:fldChar>
            </w:r>
            <w:r w:rsidR="00D96694">
              <w:instrText xml:space="preserve"> ADDIN EN.CITE </w:instrText>
            </w:r>
            <w:r w:rsidR="00D96694">
              <w:fldChar w:fldCharType="begin">
                <w:fldData xml:space="preserve">PEVuZE5vdGU+PENpdGU+PEF1dGhvcj5CdWtoYXJpPC9BdXRob3I+PFllYXI+MjAyMDwvWWVhcj48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</w:fldData>
              </w:fldChar>
            </w:r>
            <w:r w:rsidR="00D96694">
              <w:instrText xml:space="preserve"> ADDIN EN.CITE.DATA </w:instrText>
            </w:r>
            <w:r w:rsidR="00D96694">
              <w:fldChar w:fldCharType="end"/>
            </w:r>
            <w:r>
              <w:fldChar w:fldCharType="separate"/>
            </w:r>
            <w:r>
              <w:rPr>
                <w:noProof/>
              </w:rPr>
              <w:t>(Bukhari et al. 2020)</w:t>
            </w:r>
            <w:r>
              <w:fldChar w:fldCharType="end"/>
            </w:r>
          </w:p>
        </w:tc>
        <w:tc>
          <w:tcPr>
            <w:tcW w:w="1308" w:type="pct"/>
            <w:noWrap/>
            <w:hideMark/>
          </w:tcPr>
          <w:p w14:paraId="4E71B20F" w14:textId="77777777" w:rsidR="004058BE" w:rsidRPr="009E7E8E" w:rsidRDefault="004058BE" w:rsidP="004E5C57">
            <w:pPr>
              <w:pStyle w:val="TableText0"/>
            </w:pPr>
            <w:r w:rsidRPr="009E7E8E">
              <w:t>40</w:t>
            </w:r>
          </w:p>
        </w:tc>
      </w:tr>
      <w:tr w:rsidR="004058BE" w:rsidRPr="009E7E8E" w14:paraId="479D1DBE" w14:textId="77777777" w:rsidTr="00BE0118">
        <w:trPr>
          <w:trHeight w:val="300"/>
        </w:trPr>
        <w:tc>
          <w:tcPr>
            <w:tcW w:w="1019" w:type="pct"/>
          </w:tcPr>
          <w:p w14:paraId="0576E2D9" w14:textId="77777777" w:rsidR="004058BE" w:rsidRPr="00BE26E2" w:rsidRDefault="004058BE" w:rsidP="004E5C57">
            <w:pPr>
              <w:pStyle w:val="TableText0"/>
              <w:rPr>
                <w:rFonts w:cs="Calibri"/>
                <w:color w:val="000000"/>
              </w:rPr>
            </w:pPr>
            <w:r w:rsidRPr="00BE26E2">
              <w:t>p_alt_diagnosis</w:t>
            </w:r>
          </w:p>
        </w:tc>
        <w:tc>
          <w:tcPr>
            <w:tcW w:w="1493" w:type="pct"/>
            <w:noWrap/>
            <w:hideMark/>
          </w:tcPr>
          <w:p w14:paraId="3CE957B4" w14:textId="77777777" w:rsidR="004058BE" w:rsidRPr="009E7E8E" w:rsidRDefault="004058BE" w:rsidP="004E5C57">
            <w:pPr>
              <w:pStyle w:val="TableText0"/>
            </w:pPr>
            <w:r>
              <w:t>P</w:t>
            </w:r>
            <w:r w:rsidRPr="009E7E8E">
              <w:t>rop</w:t>
            </w:r>
            <w:r>
              <w:t>o</w:t>
            </w:r>
            <w:r w:rsidRPr="009E7E8E">
              <w:t xml:space="preserve">rtion of patients misdiagnosed </w:t>
            </w:r>
          </w:p>
        </w:tc>
        <w:tc>
          <w:tcPr>
            <w:tcW w:w="1179" w:type="pct"/>
            <w:noWrap/>
          </w:tcPr>
          <w:p w14:paraId="5ED6690F" w14:textId="2ADDF4A5" w:rsidR="004058BE" w:rsidRPr="009E7E8E" w:rsidRDefault="00AB2520" w:rsidP="004E5C57">
            <w:pPr>
              <w:pStyle w:val="TableText0"/>
            </w:pPr>
            <w:r>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 </w:instrText>
            </w:r>
            <w:r w:rsidR="00024910">
              <w:fldChar w:fldCharType="begin">
                <w:fldData xml:space="preserve">PEVuZE5vdGU+PENpdGU+PEF1dGhvcj5CZWVrbWFuPC9BdXRob3I+PFllYXI+MjAxOTwvWWVhcj48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</w:fldData>
              </w:fldChar>
            </w:r>
            <w:r w:rsidR="00024910">
              <w:instrText xml:space="preserve"> ADDIN EN.CITE.DATA </w:instrText>
            </w:r>
            <w:r w:rsidR="00024910">
              <w:fldChar w:fldCharType="end"/>
            </w:r>
            <w:r>
              <w:fldChar w:fldCharType="separate"/>
            </w:r>
            <w:r w:rsidR="00024910">
              <w:rPr>
                <w:noProof/>
              </w:rPr>
              <w:t>(Beekman et al. 2019)</w:t>
            </w:r>
            <w:r>
              <w:fldChar w:fldCharType="end"/>
            </w:r>
          </w:p>
        </w:tc>
        <w:tc>
          <w:tcPr>
            <w:tcW w:w="1308" w:type="pct"/>
            <w:noWrap/>
            <w:hideMark/>
          </w:tcPr>
          <w:p w14:paraId="62894807" w14:textId="77777777" w:rsidR="004058BE" w:rsidRPr="009E7E8E" w:rsidRDefault="004058BE" w:rsidP="004E5C57">
            <w:pPr>
              <w:pStyle w:val="TableText0"/>
            </w:pPr>
            <w:r w:rsidRPr="009E7E8E">
              <w:t>65.8%</w:t>
            </w:r>
          </w:p>
        </w:tc>
      </w:tr>
      <w:tr w:rsidR="004058BE" w:rsidRPr="009E7E8E" w14:paraId="7F618533" w14:textId="77777777" w:rsidTr="00BE0118">
        <w:trPr>
          <w:trHeight w:val="300"/>
        </w:trPr>
        <w:tc>
          <w:tcPr>
            <w:tcW w:w="1019" w:type="pct"/>
          </w:tcPr>
          <w:p w14:paraId="718ADCC2" w14:textId="77777777" w:rsidR="004058BE" w:rsidRPr="00BE26E2" w:rsidRDefault="004058BE" w:rsidP="004E5C57">
            <w:pPr>
              <w:pStyle w:val="TableText0"/>
              <w:rPr>
                <w:rFonts w:cs="Calibri"/>
                <w:color w:val="000000"/>
              </w:rPr>
            </w:pPr>
            <w:r w:rsidRPr="00BE26E2">
              <w:t>p_diagnosed_noTest</w:t>
            </w:r>
          </w:p>
        </w:tc>
        <w:tc>
          <w:tcPr>
            <w:tcW w:w="1493" w:type="pct"/>
            <w:noWrap/>
            <w:hideMark/>
          </w:tcPr>
          <w:p w14:paraId="7743FD67" w14:textId="77777777" w:rsidR="004058BE" w:rsidRPr="009E7E8E" w:rsidRDefault="004058BE" w:rsidP="004E5C57">
            <w:pPr>
              <w:pStyle w:val="TableText0"/>
            </w:pPr>
            <w:r>
              <w:t>P</w:t>
            </w:r>
            <w:r w:rsidRPr="009E7E8E">
              <w:t>roportion of patients diagnosed with NMOSD at baseline without antibody testing</w:t>
            </w:r>
          </w:p>
        </w:tc>
        <w:tc>
          <w:tcPr>
            <w:tcW w:w="1179" w:type="pct"/>
            <w:noWrap/>
          </w:tcPr>
          <w:p w14:paraId="065D4D3C" w14:textId="2FD68DB2" w:rsidR="004058BE" w:rsidRPr="009E7E8E" w:rsidRDefault="00AC01FD" w:rsidP="004E5C57">
            <w:pPr>
              <w:pStyle w:val="TableText0"/>
            </w:pPr>
            <w:r>
              <w:fldChar w:fldCharType="begin"/>
            </w:r>
            <w:r w:rsidR="00D96694">
              <w:instrText xml:space="preserve"> ADDIN EN.CITE &lt;EndNote&gt;&lt;Cite&gt;&lt;Author&gt;McCreary&lt;/Author&gt;&lt;Year&gt;2018&lt;/Year&gt;&lt;RecNum&gt;92&lt;/RecNum&gt;&lt;DisplayText&gt;(McCreary et al. 2018)&lt;/DisplayText&gt;&lt;record&gt;&lt;rec-number&gt;92&lt;/rec-number&gt;&lt;foreign-keys&gt;&lt;key app="EN" db-id="r25zptaswpdzade29ws5pf9gx55ztppatt20" timestamp="1585101524"&gt;92&lt;/key&gt;&lt;key app="ENWeb" db-id=""&gt;0&lt;/key&gt;&lt;/foreign-keys&gt;&lt;ref-type name="Journal Article"&gt;17&lt;/ref-type&gt;&lt;contributors&gt;&lt;authors&gt;&lt;author&gt;McCreary, M.&lt;/author&gt;&lt;author&gt;Mealy, M. A.&lt;/author&gt;&lt;author&gt;Wingerchuk, D. M.&lt;/author&gt;&lt;author&gt;Levy, M.&lt;/author&gt;&lt;author&gt;DeSena, A.&lt;/author&gt;&lt;author&gt;Greenberg, B. M.&lt;/author&gt;&lt;/authors&gt;&lt;/contributors&gt;&lt;auth-address&gt;Department of Neurology and Neurotherapeutics, University of Texas Southwestern Medical Center, USA.&amp;#xD;Department of Neurology, Johns Hopkins Hospital, USA.&amp;#xD;Department of Neurology, Mayo Clinic, USA.&lt;/auth-address&gt;&lt;titles&gt;&lt;title&gt;Updated diagnostic criteria for neuromyelitis optica spectrum disorder: Similar outcomes of previously separate cohorts&lt;/title&gt;&lt;secondary-title&gt;Mult Scler J Exp Transl Clin&lt;/secondary-title&gt;&lt;/titles&gt;&lt;periodical&gt;&lt;full-title&gt;Mult Scler J Exp Transl Clin&lt;/full-title&gt;&lt;/periodical&gt;&lt;pages&gt;2055217318815925&lt;/pages&gt;&lt;volume&gt;4&lt;/volume&gt;&lt;number&gt;4&lt;/number&gt;&lt;keywords&gt;&lt;keyword&gt;Neuromyelitis optica&lt;/keyword&gt;&lt;keyword&gt;annual relapse rate&lt;/keyword&gt;&lt;keyword&gt;diagnostic criteria&lt;/keyword&gt;&lt;keyword&gt;neuromyelitis optica spectrum disorder&lt;/keyword&gt;&lt;keyword&gt;treatment response&lt;/keyword&gt;&lt;/keywords&gt;&lt;dates&gt;&lt;year&gt;2018&lt;/year&gt;&lt;pub-dates&gt;&lt;date&gt;Oct-Dec&lt;/date&gt;&lt;/pub-dates&gt;&lt;/dates&gt;&lt;isbn&gt;2055-2173 (Print)&amp;#xD;2055-2173 (Linking)&lt;/isbn&gt;&lt;accession-num&gt;30559975&lt;/accession-num&gt;&lt;urls&gt;&lt;related-urls&gt;&lt;url&gt;https://www.ncbi.nlm.nih.gov/pubmed/30559975&lt;/url&gt;&lt;/related-urls&gt;&lt;/urls&gt;&lt;custom2&gt;6293372&lt;/custom2&gt;&lt;electronic-resource-num&gt;10.1177/2055217318815925&lt;/electronic-resource-num&gt;&lt;/record&gt;&lt;/Cite&gt;&lt;/EndNote&gt;</w:instrText>
            </w:r>
            <w:r>
              <w:fldChar w:fldCharType="separate"/>
            </w:r>
            <w:r>
              <w:rPr>
                <w:noProof/>
              </w:rPr>
              <w:t>(McCreary et al. 2018)</w:t>
            </w:r>
            <w:r>
              <w:fldChar w:fldCharType="end"/>
            </w:r>
          </w:p>
        </w:tc>
        <w:tc>
          <w:tcPr>
            <w:tcW w:w="1308" w:type="pct"/>
            <w:noWrap/>
            <w:hideMark/>
          </w:tcPr>
          <w:p w14:paraId="4468B12B" w14:textId="77777777" w:rsidR="004058BE" w:rsidRPr="009E7E8E" w:rsidRDefault="004058BE" w:rsidP="004E5C57">
            <w:pPr>
              <w:pStyle w:val="TableText0"/>
            </w:pPr>
            <w:r w:rsidRPr="009E7E8E">
              <w:t>5.4%</w:t>
            </w:r>
          </w:p>
        </w:tc>
      </w:tr>
      <w:tr w:rsidR="004058BE" w:rsidRPr="009E7E8E" w14:paraId="6183E791" w14:textId="77777777" w:rsidTr="00BE0118">
        <w:trPr>
          <w:trHeight w:val="300"/>
        </w:trPr>
        <w:tc>
          <w:tcPr>
            <w:tcW w:w="1019" w:type="pct"/>
          </w:tcPr>
          <w:p w14:paraId="5B3FF9C6" w14:textId="77777777" w:rsidR="004058BE" w:rsidRPr="00BE26E2" w:rsidRDefault="004058BE" w:rsidP="004E5C57">
            <w:pPr>
              <w:pStyle w:val="TableText0"/>
              <w:rPr>
                <w:rFonts w:cs="Calibri"/>
                <w:color w:val="000000"/>
              </w:rPr>
            </w:pPr>
            <w:r w:rsidRPr="00BE26E2">
              <w:t>p_dis_death</w:t>
            </w:r>
          </w:p>
        </w:tc>
        <w:tc>
          <w:tcPr>
            <w:tcW w:w="1493" w:type="pct"/>
            <w:noWrap/>
            <w:hideMark/>
          </w:tcPr>
          <w:p w14:paraId="405E11B2" w14:textId="77777777" w:rsidR="004058BE" w:rsidRPr="009E7E8E" w:rsidRDefault="004058BE" w:rsidP="004E5C57">
            <w:pPr>
              <w:pStyle w:val="TableText0"/>
            </w:pPr>
            <w:r>
              <w:t>P</w:t>
            </w:r>
            <w:r w:rsidRPr="009E7E8E">
              <w:t>robability of death due to disability</w:t>
            </w:r>
          </w:p>
        </w:tc>
        <w:tc>
          <w:tcPr>
            <w:tcW w:w="1179" w:type="pct"/>
            <w:noWrap/>
          </w:tcPr>
          <w:p w14:paraId="73D9C1A9" w14:textId="77777777" w:rsidR="004058BE" w:rsidRPr="009E7E8E" w:rsidRDefault="00AC01FD" w:rsidP="004E5C57">
            <w:pPr>
              <w:pStyle w:val="TableText0"/>
            </w:pPr>
            <w:r>
              <w:fldChar w:fldCharType="begin"/>
            </w:r>
            <w:r>
              <w:instrText xml:space="preserve"> ADDIN EN.CITE &lt;EndNote&gt;&lt;Cite&gt;&lt;Author&gt;Aungsumart&lt;/Author&gt;&lt;Year&gt;2020&lt;/Year&gt;&lt;RecNum&gt;2832&lt;/RecNum&gt;&lt;DisplayText&gt;(Aungsumart &amp;amp; Apiwattanakul 2020)&lt;/DisplayText&gt;&lt;record&gt;&lt;rec-number&gt;2832&lt;/rec-number&gt;&lt;foreign-keys&gt;&lt;key app="EN" db-id="r9zwwf2zmrrvxfespp15vtvjapza9v2fz5s5" timestamp="1581642811"&gt;2832&lt;/key&gt;&lt;/foreign-keys&gt;&lt;ref-type name="Journal Article"&gt;17&lt;/ref-type&gt;&lt;contributors&gt;&lt;authors&gt;&lt;author&gt;Aungsumart, S.&lt;/author&gt;&lt;author&gt;Apiwattanakul, M.&lt;/author&gt;&lt;/authors&gt;&lt;/contributors&gt;&lt;auth-address&gt;Neuroimmunology Unit, Department of Neurology, Prasat Neurological Institute, Bangkok, Thailand.&lt;/auth-address&gt;&lt;titles&gt;&lt;title&gt;Cost effectiveness of rituximab and mycophenolate mofetil for neuromyelitis optica spectrum disorder in Thailand: Economic evaluation and budget impact analysis&lt;/title&gt;&lt;secondary-title&gt;PLoS One&lt;/secondary-title&gt;&lt;/titles&gt;&lt;periodical&gt;&lt;full-title&gt;PLoS ONE&lt;/full-title&gt;&lt;/periodical&gt;&lt;pages&gt;e0229028&lt;/pages&gt;&lt;volume&gt;15&lt;/volume&gt;&lt;number&gt;2&lt;/number&gt;&lt;edition&gt;2020/02/13&lt;/edition&gt;&lt;dates&gt;&lt;year&gt;2020&lt;/year&gt;&lt;/dates&gt;&lt;isbn&gt;1932-6203 (Electronic)&amp;#xD;1932-6203 (Linking)&lt;/isbn&gt;&lt;accession-num&gt;32050011&lt;/accession-num&gt;&lt;urls&gt;&lt;related-urls&gt;&lt;url&gt;https://www.ncbi.nlm.nih.gov/pubmed/32050011&lt;/url&gt;&lt;url&gt;https://journals.plos.org/plosone/article/file?id=10.1371/journal.pone.0229028&amp;amp;type=printable&lt;/url&gt;&lt;/related-urls&gt;&lt;/urls&gt;&lt;electronic-resource-num&gt;10.1371/journal.pone.0229028&lt;/electronic-resource-num&gt;&lt;/record&gt;&lt;/Cite&gt;&lt;/EndNote&gt;</w:instrText>
            </w:r>
            <w:r>
              <w:fldChar w:fldCharType="separate"/>
            </w:r>
            <w:r>
              <w:rPr>
                <w:noProof/>
              </w:rPr>
              <w:t>(Aungsumart &amp; Apiwattanakul 2020)</w:t>
            </w:r>
            <w:r>
              <w:fldChar w:fldCharType="end"/>
            </w:r>
          </w:p>
        </w:tc>
        <w:tc>
          <w:tcPr>
            <w:tcW w:w="1308" w:type="pct"/>
            <w:noWrap/>
            <w:hideMark/>
          </w:tcPr>
          <w:p w14:paraId="03E77519" w14:textId="171D87A5" w:rsidR="004058BE" w:rsidRPr="009E7E8E" w:rsidRDefault="00DF2715" w:rsidP="004E5C57">
            <w:pPr>
              <w:pStyle w:val="TableText0"/>
            </w:pPr>
            <w:r w:rsidRPr="00DF2715">
              <w:t>probtoprob(0.02;1/4)</w:t>
            </w:r>
          </w:p>
        </w:tc>
      </w:tr>
      <w:tr w:rsidR="004058BE" w:rsidRPr="009E7E8E" w14:paraId="25A9A35D" w14:textId="77777777" w:rsidTr="00BE0118">
        <w:trPr>
          <w:trHeight w:val="300"/>
        </w:trPr>
        <w:tc>
          <w:tcPr>
            <w:tcW w:w="1019" w:type="pct"/>
          </w:tcPr>
          <w:p w14:paraId="1C579B51" w14:textId="77777777" w:rsidR="004058BE" w:rsidRPr="00BE26E2" w:rsidRDefault="004058BE" w:rsidP="004E5C57">
            <w:pPr>
              <w:pStyle w:val="TableText0"/>
              <w:rPr>
                <w:rFonts w:cs="Calibri"/>
                <w:color w:val="000000"/>
              </w:rPr>
            </w:pPr>
            <w:r w:rsidRPr="00BE26E2">
              <w:t>p_progress</w:t>
            </w:r>
          </w:p>
        </w:tc>
        <w:tc>
          <w:tcPr>
            <w:tcW w:w="1493" w:type="pct"/>
            <w:noWrap/>
            <w:hideMark/>
          </w:tcPr>
          <w:p w14:paraId="67EE2CA5" w14:textId="77777777" w:rsidR="004058BE" w:rsidRPr="009E7E8E" w:rsidRDefault="004058BE" w:rsidP="004E5C57">
            <w:pPr>
              <w:pStyle w:val="TableText0"/>
            </w:pPr>
            <w:r w:rsidRPr="009E7E8E">
              <w:t>probability of transitioning from mild health state to severe health state</w:t>
            </w:r>
          </w:p>
        </w:tc>
        <w:tc>
          <w:tcPr>
            <w:tcW w:w="1179" w:type="pct"/>
            <w:noWrap/>
          </w:tcPr>
          <w:p w14:paraId="373394F4" w14:textId="77777777" w:rsidR="004058BE" w:rsidRPr="009E7E8E" w:rsidRDefault="00AC01FD" w:rsidP="004E5C57">
            <w:pPr>
              <w:pStyle w:val="TableText0"/>
            </w:pPr>
            <w:r>
              <w:fldChar w:fldCharType="begin"/>
            </w:r>
            <w:r>
              <w:instrText xml:space="preserve"> ADDIN EN.CITE &lt;EndNote&gt;&lt;Cite&gt;&lt;Author&gt;Aungsumart&lt;/Author&gt;&lt;Year&gt;2020&lt;/Year&gt;&lt;RecNum&gt;2832&lt;/RecNum&gt;&lt;DisplayText&gt;(Aungsumart &amp;amp; Apiwattanakul 2020)&lt;/DisplayText&gt;&lt;record&gt;&lt;rec-number&gt;2832&lt;/rec-number&gt;&lt;foreign-keys&gt;&lt;key app="EN" db-id="r9zwwf2zmrrvxfespp15vtvjapza9v2fz5s5" timestamp="1581642811"&gt;2832&lt;/key&gt;&lt;/foreign-keys&gt;&lt;ref-type name="Journal Article"&gt;17&lt;/ref-type&gt;&lt;contributors&gt;&lt;authors&gt;&lt;author&gt;Aungsumart, S.&lt;/author&gt;&lt;author&gt;Apiwattanakul, M.&lt;/author&gt;&lt;/authors&gt;&lt;/contributors&gt;&lt;auth-address&gt;Neuroimmunology Unit, Department of Neurology, Prasat Neurological Institute, Bangkok, Thailand.&lt;/auth-address&gt;&lt;titles&gt;&lt;title&gt;Cost effectiveness of rituximab and mycophenolate mofetil for neuromyelitis optica spectrum disorder in Thailand: Economic evaluation and budget impact analysis&lt;/title&gt;&lt;secondary-title&gt;PLoS One&lt;/secondary-title&gt;&lt;/titles&gt;&lt;periodical&gt;&lt;full-title&gt;PLoS ONE&lt;/full-title&gt;&lt;/periodical&gt;&lt;pages&gt;e0229028&lt;/pages&gt;&lt;volume&gt;15&lt;/volume&gt;&lt;number&gt;2&lt;/number&gt;&lt;edition&gt;2020/02/13&lt;/edition&gt;&lt;dates&gt;&lt;year&gt;2020&lt;/year&gt;&lt;/dates&gt;&lt;isbn&gt;1932-6203 (Electronic)&amp;#xD;1932-6203 (Linking)&lt;/isbn&gt;&lt;accession-num&gt;32050011&lt;/accession-num&gt;&lt;urls&gt;&lt;related-urls&gt;&lt;url&gt;https://www.ncbi.nlm.nih.gov/pubmed/32050011&lt;/url&gt;&lt;url&gt;https://journals.plos.org/plosone/article/file?id=10.1371/journal.pone.0229028&amp;amp;type=printable&lt;/url&gt;&lt;/related-urls&gt;&lt;/urls&gt;&lt;electronic-resource-num&gt;10.1371/journal.pone.0229028&lt;/electronic-resource-num&gt;&lt;/record&gt;&lt;/Cite&gt;&lt;/EndNote&gt;</w:instrText>
            </w:r>
            <w:r>
              <w:fldChar w:fldCharType="separate"/>
            </w:r>
            <w:r>
              <w:rPr>
                <w:noProof/>
              </w:rPr>
              <w:t>(Aungsumart &amp; Apiwattanakul 2020)</w:t>
            </w:r>
            <w:r>
              <w:fldChar w:fldCharType="end"/>
            </w:r>
          </w:p>
        </w:tc>
        <w:tc>
          <w:tcPr>
            <w:tcW w:w="1308" w:type="pct"/>
            <w:noWrap/>
            <w:hideMark/>
          </w:tcPr>
          <w:p w14:paraId="50E61467" w14:textId="62E9878D" w:rsidR="004058BE" w:rsidRPr="009E7E8E" w:rsidRDefault="00DF2715" w:rsidP="004E5C57">
            <w:pPr>
              <w:pStyle w:val="TableText0"/>
            </w:pPr>
            <w:r w:rsidRPr="00DF2715">
              <w:t>probtoprob(0.190;1/4)</w:t>
            </w:r>
          </w:p>
        </w:tc>
      </w:tr>
      <w:tr w:rsidR="004058BE" w:rsidRPr="009E7E8E" w14:paraId="71C34C81" w14:textId="77777777" w:rsidTr="00BE0118">
        <w:trPr>
          <w:trHeight w:val="300"/>
        </w:trPr>
        <w:tc>
          <w:tcPr>
            <w:tcW w:w="1019" w:type="pct"/>
          </w:tcPr>
          <w:p w14:paraId="77ECE87F" w14:textId="77777777" w:rsidR="004058BE" w:rsidRPr="00BE26E2" w:rsidRDefault="004058BE" w:rsidP="004E5C57">
            <w:pPr>
              <w:pStyle w:val="TableText0"/>
              <w:rPr>
                <w:rFonts w:cs="Calibri"/>
                <w:color w:val="000000"/>
              </w:rPr>
            </w:pPr>
            <w:r w:rsidRPr="00BE26E2">
              <w:t>p_relapse</w:t>
            </w:r>
          </w:p>
        </w:tc>
        <w:tc>
          <w:tcPr>
            <w:tcW w:w="1493" w:type="pct"/>
            <w:noWrap/>
            <w:hideMark/>
          </w:tcPr>
          <w:p w14:paraId="56A03570" w14:textId="77777777" w:rsidR="004058BE" w:rsidRPr="009E7E8E" w:rsidRDefault="004058BE" w:rsidP="004E5C57">
            <w:pPr>
              <w:pStyle w:val="TableText0"/>
            </w:pPr>
            <w:r w:rsidRPr="009E7E8E">
              <w:t>Risk of annual relapse</w:t>
            </w:r>
            <w:r>
              <w:t>, no treatment</w:t>
            </w:r>
          </w:p>
        </w:tc>
        <w:tc>
          <w:tcPr>
            <w:tcW w:w="1179" w:type="pct"/>
            <w:noWrap/>
          </w:tcPr>
          <w:p w14:paraId="5B2EF9B4" w14:textId="77777777" w:rsidR="004058BE" w:rsidRPr="009E7E8E" w:rsidRDefault="004058BE" w:rsidP="004E5C57">
            <w:pPr>
              <w:pStyle w:val="TableText0"/>
            </w:pPr>
            <w:r>
              <w:t>Calculated</w:t>
            </w:r>
          </w:p>
        </w:tc>
        <w:tc>
          <w:tcPr>
            <w:tcW w:w="1308" w:type="pct"/>
            <w:noWrap/>
            <w:hideMark/>
          </w:tcPr>
          <w:p w14:paraId="342E5D6F" w14:textId="75E23C6E" w:rsidR="004058BE" w:rsidRPr="009E7E8E" w:rsidRDefault="004058BE" w:rsidP="004E5C57">
            <w:pPr>
              <w:pStyle w:val="TableText0"/>
            </w:pPr>
            <w:r>
              <w:t>1–exp(–</w:t>
            </w:r>
            <w:r w:rsidRPr="009E7E8E">
              <w:t>ARR*1</w:t>
            </w:r>
            <w:r w:rsidR="00DF2715">
              <w:t>/4</w:t>
            </w:r>
            <w:r w:rsidRPr="009E7E8E">
              <w:t>)</w:t>
            </w:r>
          </w:p>
        </w:tc>
      </w:tr>
      <w:tr w:rsidR="00DF2715" w:rsidRPr="009E7E8E" w14:paraId="67E8BB7A" w14:textId="77777777" w:rsidTr="00BE0118">
        <w:trPr>
          <w:trHeight w:val="300"/>
        </w:trPr>
        <w:tc>
          <w:tcPr>
            <w:tcW w:w="1019" w:type="pct"/>
          </w:tcPr>
          <w:p w14:paraId="6C5AE141" w14:textId="77777777" w:rsidR="00DF2715" w:rsidRPr="00BE26E2" w:rsidRDefault="00DF2715" w:rsidP="004E5C57">
            <w:pPr>
              <w:pStyle w:val="TableText0"/>
              <w:rPr>
                <w:rFonts w:cs="Calibri"/>
                <w:color w:val="000000"/>
              </w:rPr>
            </w:pPr>
            <w:r w:rsidRPr="00BE26E2">
              <w:t>p_relapse_death_noTest</w:t>
            </w:r>
          </w:p>
        </w:tc>
        <w:tc>
          <w:tcPr>
            <w:tcW w:w="1493" w:type="pct"/>
            <w:noWrap/>
            <w:hideMark/>
          </w:tcPr>
          <w:p w14:paraId="75806622" w14:textId="77777777" w:rsidR="00DF2715" w:rsidRPr="009E7E8E" w:rsidRDefault="00DF2715" w:rsidP="004E5C57">
            <w:pPr>
              <w:pStyle w:val="TableText0"/>
            </w:pPr>
            <w:r w:rsidRPr="009E7E8E">
              <w:t>risk of dea</w:t>
            </w:r>
            <w:r>
              <w:t>th in the absence of test (no/incorrect treatment</w:t>
            </w:r>
            <w:r w:rsidRPr="009E7E8E">
              <w:t>)</w:t>
            </w:r>
          </w:p>
        </w:tc>
        <w:tc>
          <w:tcPr>
            <w:tcW w:w="1179" w:type="pct"/>
            <w:noWrap/>
          </w:tcPr>
          <w:p w14:paraId="59DB195E" w14:textId="77777777" w:rsidR="00DF2715" w:rsidRPr="009E7E8E" w:rsidRDefault="00DF2715" w:rsidP="004E5C57">
            <w:pPr>
              <w:pStyle w:val="TableText0"/>
            </w:pPr>
            <w:r>
              <w:fldChar w:fldCharType="begin"/>
            </w:r>
            <w:r>
              <w:instrText xml:space="preserve"> ADDIN EN.CITE &lt;EndNote&gt;&lt;Cite&gt;&lt;Author&gt;Wingerchuk&lt;/Author&gt;&lt;Year&gt;2003&lt;/Year&gt;&lt;RecNum&gt;2809&lt;/RecNum&gt;&lt;DisplayText&gt;(Wingerchuk &amp;amp; Weinshenker 2003)&lt;/DisplayText&gt;&lt;record&gt;&lt;rec-number&gt;2809&lt;/rec-number&gt;&lt;foreign-keys&gt;&lt;key app="EN" db-id="r9zwwf2zmrrvxfespp15vtvjapza9v2fz5s5" timestamp="1578456441"&gt;2809&lt;/key&gt;&lt;/foreign-keys&gt;&lt;ref-type name="Journal Article"&gt;17&lt;/ref-type&gt;&lt;contributors&gt;&lt;authors&gt;&lt;author&gt;Wingerchuk, D. M.&lt;/author&gt;&lt;author&gt;Weinshenker, B. G.&lt;/author&gt;&lt;/authors&gt;&lt;/contributors&gt;&lt;auth-address&gt;Department of Neurology, Mayo Clinic, Scottsdale, AZ 85259, USA. wingerchuk.dean@mayo.edu&lt;/auth-address&gt;&lt;titles&gt;&lt;title&gt;Neuromyelitis optica: clinical predictors of a relapsing course and survival&lt;/title&gt;&lt;secondary-title&gt;Neurology&lt;/secondary-title&gt;&lt;/titles&gt;&lt;periodical&gt;&lt;full-title&gt;Neurology&lt;/full-title&gt;&lt;/periodical&gt;&lt;pages&gt;848-53&lt;/pages&gt;&lt;volume&gt;60&lt;/volume&gt;&lt;number&gt;5&lt;/number&gt;&lt;edition&gt;2003/03/12&lt;/edition&gt;&lt;keywords&gt;&lt;keyword&gt;Adolescent&lt;/keyword&gt;&lt;keyword&gt;Adult&lt;/keyword&gt;&lt;keyword&gt;Age of Onset&lt;/keyword&gt;&lt;keyword&gt;Aged&lt;/keyword&gt;&lt;keyword&gt;Arizona/epidemiology&lt;/keyword&gt;&lt;keyword&gt;Child&lt;/keyword&gt;&lt;keyword&gt;Female&lt;/keyword&gt;&lt;keyword&gt;Humans&lt;/keyword&gt;&lt;keyword&gt;Likelihood Functions&lt;/keyword&gt;&lt;keyword&gt;Male&lt;/keyword&gt;&lt;keyword&gt;Middle Aged&lt;/keyword&gt;&lt;keyword&gt;Multivariate Analysis&lt;/keyword&gt;&lt;keyword&gt;Neuromyelitis Optica/ mortality&lt;/keyword&gt;&lt;keyword&gt;Predictive Value of Tests&lt;/keyword&gt;&lt;keyword&gt;Recurrence&lt;/keyword&gt;&lt;keyword&gt;Survival Rate&lt;/keyword&gt;&lt;/keywords&gt;&lt;dates&gt;&lt;year&gt;2003&lt;/year&gt;&lt;pub-dates&gt;&lt;date&gt;Mar 11&lt;/date&gt;&lt;/pub-dates&gt;&lt;/dates&gt;&lt;isbn&gt;1526-632X (Electronic)&amp;#xD;0028-3878 (Linking)&lt;/isbn&gt;&lt;accession-num&gt;12629245&lt;/accession-num&gt;&lt;urls&gt;&lt;related-urls&gt;&lt;url&gt;https://n.neurology.org/content/60/5/848.long&lt;/url&gt;&lt;/related-urls&gt;&lt;/urls&gt;&lt;electronic-resource-num&gt;10.1212/01.wnl.0000049912.02954.2c&lt;/electronic-resource-num&gt;&lt;remote-database-provider&gt;NLM&lt;/remote-database-provider&gt;&lt;language&gt;eng&lt;/language&gt;&lt;/record&gt;&lt;/Cite&gt;&lt;/EndNote&gt;</w:instrText>
            </w:r>
            <w:r>
              <w:fldChar w:fldCharType="separate"/>
            </w:r>
            <w:r>
              <w:rPr>
                <w:noProof/>
              </w:rPr>
              <w:t>(Wingerchuk &amp; Weinshenker 2003)</w:t>
            </w:r>
            <w:r>
              <w:fldChar w:fldCharType="end"/>
            </w:r>
          </w:p>
        </w:tc>
        <w:tc>
          <w:tcPr>
            <w:tcW w:w="1308" w:type="pct"/>
            <w:noWrap/>
            <w:hideMark/>
          </w:tcPr>
          <w:p w14:paraId="4568FE18" w14:textId="3402186C" w:rsidR="00DF2715" w:rsidRPr="009E7E8E" w:rsidRDefault="00DF2715" w:rsidP="004E5C57">
            <w:pPr>
              <w:pStyle w:val="TableText0"/>
              <w:rPr>
                <w:rFonts w:cs="Calibri"/>
                <w:color w:val="000000"/>
              </w:rPr>
            </w:pPr>
            <w:r w:rsidRPr="003E5755">
              <w:t>probtoprob(6.2%;1/4)</w:t>
            </w:r>
          </w:p>
        </w:tc>
      </w:tr>
      <w:tr w:rsidR="00DF2715" w:rsidRPr="009E7E8E" w14:paraId="3F1E06BF" w14:textId="77777777" w:rsidTr="00BE0118">
        <w:trPr>
          <w:trHeight w:val="300"/>
        </w:trPr>
        <w:tc>
          <w:tcPr>
            <w:tcW w:w="1019" w:type="pct"/>
          </w:tcPr>
          <w:p w14:paraId="666D3293" w14:textId="77777777" w:rsidR="00DF2715" w:rsidRPr="00BE26E2" w:rsidRDefault="00DF2715" w:rsidP="004E5C57">
            <w:pPr>
              <w:pStyle w:val="TableText0"/>
              <w:rPr>
                <w:rFonts w:cs="Calibri"/>
                <w:color w:val="000000"/>
              </w:rPr>
            </w:pPr>
            <w:r w:rsidRPr="00BE26E2">
              <w:lastRenderedPageBreak/>
              <w:t>p_relapse_death_Test</w:t>
            </w:r>
          </w:p>
        </w:tc>
        <w:tc>
          <w:tcPr>
            <w:tcW w:w="1493" w:type="pct"/>
            <w:noWrap/>
            <w:hideMark/>
          </w:tcPr>
          <w:p w14:paraId="063A29E4" w14:textId="77777777" w:rsidR="00DF2715" w:rsidRPr="009E7E8E" w:rsidRDefault="00DF2715" w:rsidP="004E5C57">
            <w:pPr>
              <w:pStyle w:val="TableText0"/>
            </w:pPr>
            <w:r w:rsidRPr="009E7E8E">
              <w:t>risk of death when testing available (</w:t>
            </w:r>
            <w:r>
              <w:t>correct treatment</w:t>
            </w:r>
            <w:r w:rsidRPr="009E7E8E">
              <w:t>)</w:t>
            </w:r>
          </w:p>
        </w:tc>
        <w:tc>
          <w:tcPr>
            <w:tcW w:w="1179" w:type="pct"/>
            <w:noWrap/>
          </w:tcPr>
          <w:p w14:paraId="0065C64E" w14:textId="77777777" w:rsidR="00DF2715" w:rsidRPr="009E7E8E" w:rsidRDefault="00DF2715" w:rsidP="004E5C57">
            <w:pPr>
              <w:pStyle w:val="TableText0"/>
            </w:pPr>
            <w:r>
              <w:fldChar w:fldCharType="begin"/>
            </w:r>
            <w:r>
              <w:instrText xml:space="preserve"> ADDIN EN.CITE &lt;EndNote&gt;&lt;Cite&gt;&lt;Author&gt;Collazo&lt;/Author&gt;&lt;Year&gt;2018&lt;/Year&gt;&lt;RecNum&gt;2796&lt;/RecNum&gt;&lt;DisplayText&gt;(Collazo et al. 2018)&lt;/DisplayText&gt;&lt;record&gt;&lt;rec-number&gt;2796&lt;/rec-number&gt;&lt;foreign-keys&gt;&lt;key app="EN" db-id="r9zwwf2zmrrvxfespp15vtvjapza9v2fz5s5" timestamp="1578271324"&gt;2796&lt;/key&gt;&lt;/foreign-keys&gt;&lt;ref-type name="Journal Article"&gt;17&lt;/ref-type&gt;&lt;contributors&gt;&lt;authors&gt;&lt;author&gt;Collazo, Iris Marin&lt;/author&gt;&lt;author&gt;Weinshenker, Brian&lt;/author&gt;&lt;author&gt;Nasr, Zahra&lt;/author&gt;&lt;author&gt;Lopez, Alfonso&lt;/author&gt;&lt;/authors&gt;&lt;/contributors&gt;&lt;titles&gt;&lt;title&gt;Long term Mortality in Neuromyelitis Optica Spectrum Disorder (P6.414)&lt;/title&gt;&lt;secondary-title&gt;Neurology&lt;/secondary-title&gt;&lt;/titles&gt;&lt;periodical&gt;&lt;full-title&gt;Neurology&lt;/full-title&gt;&lt;/periodical&gt;&lt;pages&gt;P6.414&lt;/pages&gt;&lt;volume&gt;90&lt;/volume&gt;&lt;number&gt;15 Supplement&lt;/number&gt;&lt;dates&gt;&lt;year&gt;2018&lt;/year&gt;&lt;/dates&gt;&lt;urls&gt;&lt;related-urls&gt;&lt;url&gt;http://n.neurology.org/content/90/15_Supplement/P6.414.abstract&lt;/url&gt;&lt;/related-urls&gt;&lt;/urls&gt;&lt;/record&gt;&lt;/Cite&gt;&lt;/EndNote&gt;</w:instrText>
            </w:r>
            <w:r>
              <w:fldChar w:fldCharType="separate"/>
            </w:r>
            <w:r>
              <w:rPr>
                <w:noProof/>
              </w:rPr>
              <w:t>(Collazo et al. 2018)</w:t>
            </w:r>
            <w:r>
              <w:fldChar w:fldCharType="end"/>
            </w:r>
          </w:p>
        </w:tc>
        <w:tc>
          <w:tcPr>
            <w:tcW w:w="1308" w:type="pct"/>
            <w:noWrap/>
            <w:hideMark/>
          </w:tcPr>
          <w:p w14:paraId="5B7553D5" w14:textId="4F6FA5CD" w:rsidR="00DF2715" w:rsidRPr="009E7E8E" w:rsidRDefault="00DF2715" w:rsidP="004E5C57">
            <w:pPr>
              <w:pStyle w:val="TableText0"/>
              <w:rPr>
                <w:rFonts w:cs="Calibri"/>
                <w:color w:val="000000"/>
              </w:rPr>
            </w:pPr>
            <w:r w:rsidRPr="003E5755">
              <w:t>probtoprob(2.5%;1/4)</w:t>
            </w:r>
          </w:p>
        </w:tc>
      </w:tr>
      <w:tr w:rsidR="004058BE" w:rsidRPr="009E7E8E" w14:paraId="0FE93A78" w14:textId="77777777" w:rsidTr="00BE0118">
        <w:trPr>
          <w:trHeight w:val="300"/>
        </w:trPr>
        <w:tc>
          <w:tcPr>
            <w:tcW w:w="1019" w:type="pct"/>
          </w:tcPr>
          <w:p w14:paraId="7DF5929E" w14:textId="77777777" w:rsidR="004058BE" w:rsidRPr="00BE26E2" w:rsidRDefault="004058BE" w:rsidP="004E5C57">
            <w:pPr>
              <w:pStyle w:val="TableText0"/>
              <w:rPr>
                <w:rFonts w:cs="Calibri"/>
                <w:color w:val="000000"/>
              </w:rPr>
            </w:pPr>
            <w:r w:rsidRPr="00BE26E2">
              <w:t>p_relapse_IST</w:t>
            </w:r>
          </w:p>
        </w:tc>
        <w:tc>
          <w:tcPr>
            <w:tcW w:w="1493" w:type="pct"/>
            <w:noWrap/>
            <w:hideMark/>
          </w:tcPr>
          <w:p w14:paraId="5106B14E" w14:textId="77777777" w:rsidR="004058BE" w:rsidRPr="009E7E8E" w:rsidRDefault="004058BE" w:rsidP="004E5C57">
            <w:pPr>
              <w:pStyle w:val="TableText0"/>
            </w:pPr>
            <w:r w:rsidRPr="009E7E8E">
              <w:t>risk of relapsing when on Immuno suppressive Tx</w:t>
            </w:r>
          </w:p>
        </w:tc>
        <w:tc>
          <w:tcPr>
            <w:tcW w:w="1179" w:type="pct"/>
            <w:noWrap/>
          </w:tcPr>
          <w:p w14:paraId="08CCEB8F" w14:textId="77777777" w:rsidR="004058BE" w:rsidRPr="009E7E8E" w:rsidRDefault="004058BE" w:rsidP="004E5C57">
            <w:pPr>
              <w:pStyle w:val="TableText0"/>
            </w:pPr>
            <w:r>
              <w:t>Calculated</w:t>
            </w:r>
          </w:p>
        </w:tc>
        <w:tc>
          <w:tcPr>
            <w:tcW w:w="1308" w:type="pct"/>
            <w:noWrap/>
            <w:hideMark/>
          </w:tcPr>
          <w:p w14:paraId="387587D8" w14:textId="77777777" w:rsidR="004058BE" w:rsidRPr="009E7E8E" w:rsidRDefault="004058BE" w:rsidP="004E5C57">
            <w:pPr>
              <w:pStyle w:val="TableText0"/>
            </w:pPr>
            <w:r w:rsidRPr="009E7E8E">
              <w:t>p_relapse*RR_relapse_IST</w:t>
            </w:r>
          </w:p>
        </w:tc>
      </w:tr>
      <w:tr w:rsidR="004058BE" w:rsidRPr="009E7E8E" w14:paraId="57071E44" w14:textId="77777777" w:rsidTr="00BE0118">
        <w:trPr>
          <w:trHeight w:val="300"/>
        </w:trPr>
        <w:tc>
          <w:tcPr>
            <w:tcW w:w="1019" w:type="pct"/>
          </w:tcPr>
          <w:p w14:paraId="0174CEA3" w14:textId="77777777" w:rsidR="004058BE" w:rsidRPr="00BE26E2" w:rsidRDefault="004058BE" w:rsidP="004E5C57">
            <w:pPr>
              <w:pStyle w:val="TableText0"/>
              <w:rPr>
                <w:rFonts w:cs="Calibri"/>
                <w:color w:val="000000"/>
              </w:rPr>
            </w:pPr>
            <w:r w:rsidRPr="00BE26E2">
              <w:t>p_relapse_MST</w:t>
            </w:r>
          </w:p>
        </w:tc>
        <w:tc>
          <w:tcPr>
            <w:tcW w:w="1493" w:type="pct"/>
            <w:noWrap/>
            <w:hideMark/>
          </w:tcPr>
          <w:p w14:paraId="7927E9CD" w14:textId="77777777" w:rsidR="004058BE" w:rsidRPr="009E7E8E" w:rsidRDefault="004058BE" w:rsidP="004E5C57">
            <w:pPr>
              <w:pStyle w:val="TableText0"/>
            </w:pPr>
            <w:r w:rsidRPr="009E7E8E">
              <w:t>risk of relapse when on MS Tx</w:t>
            </w:r>
          </w:p>
        </w:tc>
        <w:tc>
          <w:tcPr>
            <w:tcW w:w="1179" w:type="pct"/>
            <w:noWrap/>
          </w:tcPr>
          <w:p w14:paraId="0B414C39" w14:textId="77777777" w:rsidR="004058BE" w:rsidRPr="009E7E8E" w:rsidRDefault="004058BE" w:rsidP="004E5C57">
            <w:pPr>
              <w:pStyle w:val="TableText0"/>
            </w:pPr>
            <w:r>
              <w:t>Calculated</w:t>
            </w:r>
          </w:p>
        </w:tc>
        <w:tc>
          <w:tcPr>
            <w:tcW w:w="1308" w:type="pct"/>
            <w:noWrap/>
            <w:hideMark/>
          </w:tcPr>
          <w:p w14:paraId="6315D131" w14:textId="77777777" w:rsidR="004058BE" w:rsidRPr="009E7E8E" w:rsidRDefault="004058BE" w:rsidP="004E5C57">
            <w:pPr>
              <w:pStyle w:val="TableText0"/>
            </w:pPr>
            <w:r w:rsidRPr="009E7E8E">
              <w:t>p_relapse*RR_relapse_MST</w:t>
            </w:r>
          </w:p>
        </w:tc>
      </w:tr>
      <w:tr w:rsidR="004058BE" w:rsidRPr="009E7E8E" w14:paraId="36EC7474" w14:textId="77777777" w:rsidTr="00BE0118">
        <w:trPr>
          <w:trHeight w:val="300"/>
        </w:trPr>
        <w:tc>
          <w:tcPr>
            <w:tcW w:w="1019" w:type="pct"/>
          </w:tcPr>
          <w:p w14:paraId="4720EBE5" w14:textId="77777777" w:rsidR="004058BE" w:rsidRPr="00BE26E2" w:rsidRDefault="004058BE" w:rsidP="004E5C57">
            <w:pPr>
              <w:pStyle w:val="TableText0"/>
              <w:rPr>
                <w:rFonts w:cs="Calibri"/>
                <w:color w:val="000000"/>
              </w:rPr>
            </w:pPr>
            <w:r w:rsidRPr="00BE26E2">
              <w:t>p_relapse_severe</w:t>
            </w:r>
          </w:p>
        </w:tc>
        <w:tc>
          <w:tcPr>
            <w:tcW w:w="1493" w:type="pct"/>
            <w:noWrap/>
            <w:hideMark/>
          </w:tcPr>
          <w:p w14:paraId="55069E2F" w14:textId="77777777" w:rsidR="004058BE" w:rsidRPr="009E7E8E" w:rsidRDefault="004058BE" w:rsidP="004E5C57">
            <w:pPr>
              <w:pStyle w:val="TableText0"/>
            </w:pPr>
            <w:r w:rsidRPr="009E7E8E">
              <w:t>Probability of transitioning to severe disability health state</w:t>
            </w:r>
          </w:p>
        </w:tc>
        <w:tc>
          <w:tcPr>
            <w:tcW w:w="1179" w:type="pct"/>
            <w:noWrap/>
          </w:tcPr>
          <w:p w14:paraId="79EF63C9" w14:textId="77777777" w:rsidR="004058BE" w:rsidRPr="009E7E8E" w:rsidRDefault="004058BE" w:rsidP="004E5C57">
            <w:pPr>
              <w:pStyle w:val="TableText0"/>
            </w:pPr>
            <w:r>
              <w:t>Calculated</w:t>
            </w:r>
          </w:p>
        </w:tc>
        <w:tc>
          <w:tcPr>
            <w:tcW w:w="1308" w:type="pct"/>
            <w:noWrap/>
            <w:hideMark/>
          </w:tcPr>
          <w:p w14:paraId="6FD419BE" w14:textId="27B41219" w:rsidR="004058BE" w:rsidRPr="009E7E8E" w:rsidRDefault="004058BE" w:rsidP="004E5C57">
            <w:pPr>
              <w:pStyle w:val="TableText0"/>
            </w:pPr>
            <w:r w:rsidRPr="009E7E8E">
              <w:t>1-exp(-ASRR</w:t>
            </w:r>
            <w:r w:rsidR="00DF2715">
              <w:t>*1/4</w:t>
            </w:r>
            <w:r w:rsidRPr="009E7E8E">
              <w:t>)</w:t>
            </w:r>
          </w:p>
        </w:tc>
      </w:tr>
      <w:tr w:rsidR="004058BE" w:rsidRPr="009E7E8E" w14:paraId="11712842" w14:textId="77777777" w:rsidTr="00BE0118">
        <w:trPr>
          <w:trHeight w:val="300"/>
        </w:trPr>
        <w:tc>
          <w:tcPr>
            <w:tcW w:w="1019" w:type="pct"/>
          </w:tcPr>
          <w:p w14:paraId="283C454F" w14:textId="77777777" w:rsidR="004058BE" w:rsidRPr="00BE26E2" w:rsidRDefault="004058BE" w:rsidP="004E5C57">
            <w:pPr>
              <w:pStyle w:val="TableText0"/>
              <w:rPr>
                <w:rFonts w:cs="Calibri"/>
                <w:color w:val="000000"/>
              </w:rPr>
            </w:pPr>
            <w:r w:rsidRPr="00BE26E2">
              <w:t>p_relapse_severe_IST</w:t>
            </w:r>
          </w:p>
        </w:tc>
        <w:tc>
          <w:tcPr>
            <w:tcW w:w="1493" w:type="pct"/>
            <w:noWrap/>
            <w:hideMark/>
          </w:tcPr>
          <w:p w14:paraId="2B3B9FE6" w14:textId="77777777" w:rsidR="004058BE" w:rsidRPr="009E7E8E" w:rsidRDefault="004058BE" w:rsidP="004E5C57">
            <w:pPr>
              <w:pStyle w:val="TableText0"/>
            </w:pPr>
            <w:r>
              <w:t>R</w:t>
            </w:r>
            <w:r w:rsidRPr="009E7E8E">
              <w:t>isk of severe relapse under IST</w:t>
            </w:r>
          </w:p>
        </w:tc>
        <w:tc>
          <w:tcPr>
            <w:tcW w:w="1179" w:type="pct"/>
            <w:noWrap/>
          </w:tcPr>
          <w:p w14:paraId="2971F6E0" w14:textId="77777777" w:rsidR="004058BE" w:rsidRPr="009E7E8E" w:rsidRDefault="004058BE" w:rsidP="004E5C57">
            <w:pPr>
              <w:pStyle w:val="TableText0"/>
            </w:pPr>
            <w:r>
              <w:t>Calculated</w:t>
            </w:r>
          </w:p>
        </w:tc>
        <w:tc>
          <w:tcPr>
            <w:tcW w:w="1308" w:type="pct"/>
            <w:noWrap/>
            <w:hideMark/>
          </w:tcPr>
          <w:p w14:paraId="1418AB52" w14:textId="77777777" w:rsidR="004058BE" w:rsidRPr="009E7E8E" w:rsidRDefault="004058BE" w:rsidP="004E5C57">
            <w:pPr>
              <w:pStyle w:val="TableText0"/>
            </w:pPr>
            <w:r w:rsidRPr="009E7E8E">
              <w:t>p_relapse_severe * (prop_AZA*0.32 + prop_RTX*0.016)</w:t>
            </w:r>
          </w:p>
        </w:tc>
      </w:tr>
      <w:tr w:rsidR="004058BE" w:rsidRPr="009E7E8E" w14:paraId="4DF6E0FD" w14:textId="77777777" w:rsidTr="00BE0118">
        <w:trPr>
          <w:trHeight w:val="300"/>
        </w:trPr>
        <w:tc>
          <w:tcPr>
            <w:tcW w:w="1019" w:type="pct"/>
          </w:tcPr>
          <w:p w14:paraId="3D2219AF" w14:textId="77777777" w:rsidR="004058BE" w:rsidRPr="00BE26E2" w:rsidRDefault="004058BE" w:rsidP="004E5C57">
            <w:pPr>
              <w:pStyle w:val="TableText0"/>
              <w:rPr>
                <w:rFonts w:cs="Calibri"/>
                <w:color w:val="000000"/>
              </w:rPr>
            </w:pPr>
            <w:r w:rsidRPr="00BE26E2">
              <w:t>prop_IVIG</w:t>
            </w:r>
          </w:p>
        </w:tc>
        <w:tc>
          <w:tcPr>
            <w:tcW w:w="1493" w:type="pct"/>
            <w:noWrap/>
            <w:hideMark/>
          </w:tcPr>
          <w:p w14:paraId="604020C5" w14:textId="77777777" w:rsidR="004058BE" w:rsidRPr="009E7E8E" w:rsidRDefault="004058BE" w:rsidP="004E5C57">
            <w:pPr>
              <w:pStyle w:val="TableText0"/>
            </w:pPr>
            <w:r>
              <w:t>P</w:t>
            </w:r>
            <w:r w:rsidRPr="009E7E8E">
              <w:t>rop</w:t>
            </w:r>
            <w:r>
              <w:t>ortion</w:t>
            </w:r>
            <w:r w:rsidRPr="009E7E8E">
              <w:t xml:space="preserve"> receiving IVIG</w:t>
            </w:r>
          </w:p>
        </w:tc>
        <w:tc>
          <w:tcPr>
            <w:tcW w:w="1179" w:type="pct"/>
            <w:noWrap/>
          </w:tcPr>
          <w:p w14:paraId="17360960" w14:textId="77777777" w:rsidR="004058BE" w:rsidRPr="009E7E8E" w:rsidRDefault="004058BE" w:rsidP="004E5C57">
            <w:pPr>
              <w:pStyle w:val="TableText0"/>
            </w:pPr>
            <w:r>
              <w:t>Section C3.1</w:t>
            </w:r>
          </w:p>
        </w:tc>
        <w:tc>
          <w:tcPr>
            <w:tcW w:w="1308" w:type="pct"/>
            <w:noWrap/>
            <w:hideMark/>
          </w:tcPr>
          <w:p w14:paraId="0F125942" w14:textId="77777777" w:rsidR="004058BE" w:rsidRPr="009E7E8E" w:rsidRDefault="004058BE" w:rsidP="004E5C57">
            <w:pPr>
              <w:pStyle w:val="TableText0"/>
            </w:pPr>
            <w:r w:rsidRPr="009E7E8E">
              <w:t>10%</w:t>
            </w:r>
          </w:p>
        </w:tc>
      </w:tr>
      <w:tr w:rsidR="004058BE" w:rsidRPr="009E7E8E" w14:paraId="46540FB6" w14:textId="77777777" w:rsidTr="00BE0118">
        <w:trPr>
          <w:trHeight w:val="300"/>
        </w:trPr>
        <w:tc>
          <w:tcPr>
            <w:tcW w:w="1019" w:type="pct"/>
          </w:tcPr>
          <w:p w14:paraId="1322239A" w14:textId="77777777" w:rsidR="004058BE" w:rsidRPr="00BE26E2" w:rsidRDefault="004058BE" w:rsidP="004E5C57">
            <w:pPr>
              <w:pStyle w:val="TableText0"/>
              <w:rPr>
                <w:rFonts w:cs="Calibri"/>
                <w:color w:val="000000"/>
              </w:rPr>
            </w:pPr>
            <w:r w:rsidRPr="00BE26E2">
              <w:t>prop_IVMP_mild</w:t>
            </w:r>
          </w:p>
        </w:tc>
        <w:tc>
          <w:tcPr>
            <w:tcW w:w="1493" w:type="pct"/>
            <w:noWrap/>
            <w:hideMark/>
          </w:tcPr>
          <w:p w14:paraId="1FBC8EAF" w14:textId="77777777" w:rsidR="004058BE" w:rsidRPr="009E7E8E" w:rsidRDefault="004058BE" w:rsidP="004E5C57">
            <w:pPr>
              <w:pStyle w:val="TableText0"/>
            </w:pPr>
            <w:r>
              <w:t>P</w:t>
            </w:r>
            <w:r w:rsidRPr="009E7E8E">
              <w:t>roportion treated with IVMP</w:t>
            </w:r>
          </w:p>
        </w:tc>
        <w:tc>
          <w:tcPr>
            <w:tcW w:w="1179" w:type="pct"/>
            <w:noWrap/>
          </w:tcPr>
          <w:p w14:paraId="1FBA8AD8" w14:textId="77777777" w:rsidR="004058BE" w:rsidRPr="009E7E8E" w:rsidRDefault="004058BE" w:rsidP="004E5C57">
            <w:pPr>
              <w:pStyle w:val="TableText0"/>
            </w:pPr>
            <w:r>
              <w:t>Section C3.1</w:t>
            </w:r>
          </w:p>
        </w:tc>
        <w:tc>
          <w:tcPr>
            <w:tcW w:w="1308" w:type="pct"/>
            <w:noWrap/>
            <w:hideMark/>
          </w:tcPr>
          <w:p w14:paraId="526D4DF2" w14:textId="77777777" w:rsidR="004058BE" w:rsidRPr="009E7E8E" w:rsidRDefault="004058BE" w:rsidP="004E5C57">
            <w:pPr>
              <w:pStyle w:val="TableText0"/>
            </w:pPr>
            <w:r w:rsidRPr="009E7E8E">
              <w:t>84%</w:t>
            </w:r>
          </w:p>
        </w:tc>
      </w:tr>
      <w:tr w:rsidR="004058BE" w:rsidRPr="009E7E8E" w14:paraId="1C8C308D" w14:textId="77777777" w:rsidTr="00BE0118">
        <w:trPr>
          <w:trHeight w:val="300"/>
        </w:trPr>
        <w:tc>
          <w:tcPr>
            <w:tcW w:w="1019" w:type="pct"/>
          </w:tcPr>
          <w:p w14:paraId="21EB87F2" w14:textId="77777777" w:rsidR="004058BE" w:rsidRPr="00BE26E2" w:rsidRDefault="004058BE" w:rsidP="004E5C57">
            <w:pPr>
              <w:pStyle w:val="TableText0"/>
              <w:rPr>
                <w:rFonts w:cs="Calibri"/>
                <w:color w:val="000000"/>
              </w:rPr>
            </w:pPr>
            <w:r w:rsidRPr="00BE26E2">
              <w:t>prop_IVMP_severe</w:t>
            </w:r>
          </w:p>
        </w:tc>
        <w:tc>
          <w:tcPr>
            <w:tcW w:w="1493" w:type="pct"/>
            <w:noWrap/>
            <w:hideMark/>
          </w:tcPr>
          <w:p w14:paraId="63CB05AF" w14:textId="77777777" w:rsidR="004058BE" w:rsidRPr="009E7E8E" w:rsidRDefault="004058BE" w:rsidP="004E5C57">
            <w:pPr>
              <w:pStyle w:val="TableText0"/>
            </w:pPr>
            <w:r>
              <w:t>P</w:t>
            </w:r>
            <w:r w:rsidRPr="009E7E8E">
              <w:t>rop</w:t>
            </w:r>
            <w:r>
              <w:t>ortion</w:t>
            </w:r>
            <w:r w:rsidRPr="009E7E8E">
              <w:t xml:space="preserve"> treated with IVMP in severe attack</w:t>
            </w:r>
          </w:p>
        </w:tc>
        <w:tc>
          <w:tcPr>
            <w:tcW w:w="1179" w:type="pct"/>
            <w:noWrap/>
          </w:tcPr>
          <w:p w14:paraId="7EA6024E" w14:textId="77777777" w:rsidR="004058BE" w:rsidRPr="009E7E8E" w:rsidRDefault="004058BE" w:rsidP="004E5C57">
            <w:pPr>
              <w:pStyle w:val="TableText0"/>
            </w:pPr>
            <w:r>
              <w:t>Section C3.1</w:t>
            </w:r>
          </w:p>
        </w:tc>
        <w:tc>
          <w:tcPr>
            <w:tcW w:w="1308" w:type="pct"/>
            <w:noWrap/>
            <w:hideMark/>
          </w:tcPr>
          <w:p w14:paraId="41B37494" w14:textId="77777777" w:rsidR="004058BE" w:rsidRPr="009E7E8E" w:rsidRDefault="004058BE" w:rsidP="004E5C57">
            <w:pPr>
              <w:pStyle w:val="TableText0"/>
            </w:pPr>
            <w:r w:rsidRPr="009E7E8E">
              <w:t>45%</w:t>
            </w:r>
          </w:p>
        </w:tc>
      </w:tr>
      <w:tr w:rsidR="004058BE" w:rsidRPr="009E7E8E" w14:paraId="63DD6766" w14:textId="77777777" w:rsidTr="00BE0118">
        <w:trPr>
          <w:trHeight w:val="300"/>
        </w:trPr>
        <w:tc>
          <w:tcPr>
            <w:tcW w:w="1019" w:type="pct"/>
          </w:tcPr>
          <w:p w14:paraId="492F6272" w14:textId="77777777" w:rsidR="004058BE" w:rsidRPr="00BE26E2" w:rsidRDefault="004058BE" w:rsidP="004E5C57">
            <w:pPr>
              <w:pStyle w:val="TableText0"/>
              <w:rPr>
                <w:rFonts w:cs="Calibri"/>
                <w:color w:val="000000"/>
              </w:rPr>
            </w:pPr>
            <w:r w:rsidRPr="00BE26E2">
              <w:t>prop_PLEX_mild</w:t>
            </w:r>
          </w:p>
        </w:tc>
        <w:tc>
          <w:tcPr>
            <w:tcW w:w="1493" w:type="pct"/>
            <w:noWrap/>
            <w:hideMark/>
          </w:tcPr>
          <w:p w14:paraId="39E0855C" w14:textId="77777777" w:rsidR="004058BE" w:rsidRPr="009E7E8E" w:rsidRDefault="004058BE" w:rsidP="004E5C57">
            <w:pPr>
              <w:pStyle w:val="TableText0"/>
            </w:pPr>
            <w:r>
              <w:t>P</w:t>
            </w:r>
            <w:r w:rsidRPr="009E7E8E">
              <w:t>roportion treated with PLEX in mild relapse</w:t>
            </w:r>
          </w:p>
        </w:tc>
        <w:tc>
          <w:tcPr>
            <w:tcW w:w="1179" w:type="pct"/>
            <w:noWrap/>
          </w:tcPr>
          <w:p w14:paraId="7568DB02" w14:textId="77777777" w:rsidR="004058BE" w:rsidRPr="009E7E8E" w:rsidRDefault="004058BE" w:rsidP="004E5C57">
            <w:pPr>
              <w:pStyle w:val="TableText0"/>
            </w:pPr>
            <w:r>
              <w:t>Section C3.1</w:t>
            </w:r>
          </w:p>
        </w:tc>
        <w:tc>
          <w:tcPr>
            <w:tcW w:w="1308" w:type="pct"/>
            <w:noWrap/>
            <w:hideMark/>
          </w:tcPr>
          <w:p w14:paraId="52A6CB98" w14:textId="77777777" w:rsidR="004058BE" w:rsidRPr="009E7E8E" w:rsidRDefault="004058BE" w:rsidP="004E5C57">
            <w:pPr>
              <w:pStyle w:val="TableText0"/>
            </w:pPr>
            <w:r w:rsidRPr="009E7E8E">
              <w:t>16%</w:t>
            </w:r>
          </w:p>
        </w:tc>
      </w:tr>
      <w:tr w:rsidR="004058BE" w:rsidRPr="009E7E8E" w14:paraId="343083B9" w14:textId="77777777" w:rsidTr="00BE0118">
        <w:trPr>
          <w:trHeight w:val="300"/>
        </w:trPr>
        <w:tc>
          <w:tcPr>
            <w:tcW w:w="1019" w:type="pct"/>
          </w:tcPr>
          <w:p w14:paraId="3FD4A473" w14:textId="77777777" w:rsidR="004058BE" w:rsidRPr="00BE26E2" w:rsidRDefault="004058BE" w:rsidP="004E5C57">
            <w:pPr>
              <w:pStyle w:val="TableText0"/>
              <w:rPr>
                <w:rFonts w:cs="Calibri"/>
                <w:color w:val="000000"/>
              </w:rPr>
            </w:pPr>
            <w:r w:rsidRPr="00BE26E2">
              <w:t>prop_PLEX_severe</w:t>
            </w:r>
          </w:p>
        </w:tc>
        <w:tc>
          <w:tcPr>
            <w:tcW w:w="1493" w:type="pct"/>
            <w:noWrap/>
            <w:hideMark/>
          </w:tcPr>
          <w:p w14:paraId="5BB594EF" w14:textId="77777777" w:rsidR="004058BE" w:rsidRPr="009E7E8E" w:rsidRDefault="004058BE" w:rsidP="004E5C57">
            <w:pPr>
              <w:pStyle w:val="TableText0"/>
            </w:pPr>
            <w:r>
              <w:t>P</w:t>
            </w:r>
            <w:r w:rsidRPr="009E7E8E">
              <w:t>roportion treated with PLEX in severe attack</w:t>
            </w:r>
          </w:p>
        </w:tc>
        <w:tc>
          <w:tcPr>
            <w:tcW w:w="1179" w:type="pct"/>
            <w:noWrap/>
          </w:tcPr>
          <w:p w14:paraId="601F87C3" w14:textId="77777777" w:rsidR="004058BE" w:rsidRPr="009E7E8E" w:rsidRDefault="004058BE" w:rsidP="004E5C57">
            <w:pPr>
              <w:pStyle w:val="TableText0"/>
            </w:pPr>
            <w:r>
              <w:t>Section C3.1</w:t>
            </w:r>
          </w:p>
        </w:tc>
        <w:tc>
          <w:tcPr>
            <w:tcW w:w="1308" w:type="pct"/>
            <w:noWrap/>
            <w:hideMark/>
          </w:tcPr>
          <w:p w14:paraId="34A8361B" w14:textId="77777777" w:rsidR="004058BE" w:rsidRPr="009E7E8E" w:rsidRDefault="004058BE" w:rsidP="004E5C57">
            <w:pPr>
              <w:pStyle w:val="TableText0"/>
            </w:pPr>
            <w:r w:rsidRPr="009E7E8E">
              <w:t>75%</w:t>
            </w:r>
          </w:p>
        </w:tc>
      </w:tr>
      <w:tr w:rsidR="004058BE" w:rsidRPr="009E7E8E" w14:paraId="382E0097" w14:textId="77777777" w:rsidTr="00BE0118">
        <w:trPr>
          <w:trHeight w:val="300"/>
        </w:trPr>
        <w:tc>
          <w:tcPr>
            <w:tcW w:w="1019" w:type="pct"/>
          </w:tcPr>
          <w:p w14:paraId="443A28D9" w14:textId="77777777" w:rsidR="004058BE" w:rsidRPr="00BE26E2" w:rsidRDefault="004058BE" w:rsidP="004E5C57">
            <w:pPr>
              <w:pStyle w:val="TableText0"/>
              <w:rPr>
                <w:rFonts w:cs="Calibri"/>
                <w:color w:val="000000"/>
              </w:rPr>
            </w:pPr>
            <w:r w:rsidRPr="00BE26E2">
              <w:t>prop_RTX</w:t>
            </w:r>
          </w:p>
        </w:tc>
        <w:tc>
          <w:tcPr>
            <w:tcW w:w="1493" w:type="pct"/>
            <w:noWrap/>
            <w:hideMark/>
          </w:tcPr>
          <w:p w14:paraId="063DE21B" w14:textId="77777777" w:rsidR="004058BE" w:rsidRPr="009E7E8E" w:rsidRDefault="004058BE" w:rsidP="004E5C57">
            <w:pPr>
              <w:pStyle w:val="TableText0"/>
            </w:pPr>
            <w:r>
              <w:t>P</w:t>
            </w:r>
            <w:r w:rsidRPr="009E7E8E">
              <w:t xml:space="preserve">roportion </w:t>
            </w:r>
            <w:r>
              <w:t>of patients receiving rituximab</w:t>
            </w:r>
            <w:r w:rsidRPr="009E7E8E">
              <w:t>: 41%</w:t>
            </w:r>
          </w:p>
        </w:tc>
        <w:tc>
          <w:tcPr>
            <w:tcW w:w="1179" w:type="pct"/>
            <w:noWrap/>
          </w:tcPr>
          <w:p w14:paraId="0F17CE0C" w14:textId="77777777" w:rsidR="004058BE" w:rsidRPr="009E7E8E" w:rsidRDefault="004058BE" w:rsidP="004E5C57">
            <w:pPr>
              <w:pStyle w:val="TableText0"/>
            </w:pPr>
            <w:r>
              <w:t>Section C3.1</w:t>
            </w:r>
          </w:p>
        </w:tc>
        <w:tc>
          <w:tcPr>
            <w:tcW w:w="1308" w:type="pct"/>
            <w:noWrap/>
            <w:hideMark/>
          </w:tcPr>
          <w:p w14:paraId="1F486A98" w14:textId="77777777" w:rsidR="004058BE" w:rsidRPr="009E7E8E" w:rsidRDefault="004058BE" w:rsidP="004E5C57">
            <w:pPr>
              <w:pStyle w:val="TableText0"/>
            </w:pPr>
            <w:r w:rsidRPr="009E7E8E">
              <w:t>41%</w:t>
            </w:r>
          </w:p>
        </w:tc>
      </w:tr>
      <w:tr w:rsidR="004058BE" w:rsidRPr="009E7E8E" w14:paraId="4D4334EE" w14:textId="77777777" w:rsidTr="00BE0118">
        <w:trPr>
          <w:trHeight w:val="300"/>
        </w:trPr>
        <w:tc>
          <w:tcPr>
            <w:tcW w:w="1019" w:type="pct"/>
          </w:tcPr>
          <w:p w14:paraId="57D9839C" w14:textId="77777777" w:rsidR="004058BE" w:rsidRPr="00BE26E2" w:rsidRDefault="004058BE" w:rsidP="004E5C57">
            <w:pPr>
              <w:pStyle w:val="TableText0"/>
              <w:rPr>
                <w:rFonts w:cs="Calibri"/>
                <w:color w:val="000000"/>
              </w:rPr>
            </w:pPr>
            <w:r w:rsidRPr="00BE26E2">
              <w:t>RR_relapse_IST</w:t>
            </w:r>
          </w:p>
        </w:tc>
        <w:tc>
          <w:tcPr>
            <w:tcW w:w="1493" w:type="pct"/>
            <w:noWrap/>
            <w:hideMark/>
          </w:tcPr>
          <w:p w14:paraId="4E9AE0F2" w14:textId="77777777" w:rsidR="004058BE" w:rsidRPr="009E7E8E" w:rsidRDefault="004058BE" w:rsidP="004E5C57">
            <w:pPr>
              <w:pStyle w:val="TableText0"/>
            </w:pPr>
            <w:r>
              <w:t xml:space="preserve">Relative risk </w:t>
            </w:r>
            <w:r w:rsidRPr="009E7E8E">
              <w:t>of relapses with immunosuppressive treatment</w:t>
            </w:r>
          </w:p>
        </w:tc>
        <w:tc>
          <w:tcPr>
            <w:tcW w:w="1179" w:type="pct"/>
            <w:noWrap/>
          </w:tcPr>
          <w:p w14:paraId="26B4859F" w14:textId="77777777" w:rsidR="004058BE" w:rsidRPr="009E7E8E" w:rsidRDefault="00AC01FD" w:rsidP="004E5C57">
            <w:pPr>
              <w:pStyle w:val="TableText0"/>
            </w:pPr>
            <w:r>
              <w:fldChar w:fldCharType="begin">
                <w:fldData xml:space="preserve">PEVuZE5vdGU+PENpdGU+PEF1dGhvcj5QYWxhY2U8L0F1dGhvcj48WWVhcj4yMDE5PC9ZZWFyPjxS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</w:fldData>
              </w:fldChar>
            </w:r>
            <w:r>
              <w:instrText xml:space="preserve"> ADDIN EN.CITE </w:instrText>
            </w:r>
            <w:r>
              <w:fldChar w:fldCharType="begin">
                <w:fldData xml:space="preserve">PEVuZE5vdGU+PENpdGU+PEF1dGhvcj5QYWxhY2U8L0F1dGhvcj48WWVhcj4yMDE5PC9ZZWFyPjxS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</w:fldData>
              </w:fldChar>
            </w:r>
            <w:r>
              <w:instrText xml:space="preserve"> ADDIN EN.CITE.DATA </w:instrText>
            </w:r>
            <w:r>
              <w:fldChar w:fldCharType="end"/>
            </w:r>
            <w:r>
              <w:fldChar w:fldCharType="separate"/>
            </w:r>
            <w:r>
              <w:rPr>
                <w:noProof/>
              </w:rPr>
              <w:t>(Palace et al. 2019)</w:t>
            </w:r>
            <w:r>
              <w:fldChar w:fldCharType="end"/>
            </w:r>
          </w:p>
        </w:tc>
        <w:tc>
          <w:tcPr>
            <w:tcW w:w="1308" w:type="pct"/>
            <w:noWrap/>
            <w:hideMark/>
          </w:tcPr>
          <w:p w14:paraId="7676F934" w14:textId="77777777" w:rsidR="004058BE" w:rsidRPr="009E7E8E" w:rsidRDefault="004058BE" w:rsidP="004E5C57">
            <w:pPr>
              <w:pStyle w:val="TableText0"/>
            </w:pPr>
            <w:r w:rsidRPr="009E7E8E">
              <w:t>0.668</w:t>
            </w:r>
          </w:p>
        </w:tc>
      </w:tr>
      <w:tr w:rsidR="004058BE" w:rsidRPr="009E7E8E" w14:paraId="59BCA8E7" w14:textId="77777777" w:rsidTr="00BE0118">
        <w:trPr>
          <w:trHeight w:val="300"/>
        </w:trPr>
        <w:tc>
          <w:tcPr>
            <w:tcW w:w="1019" w:type="pct"/>
          </w:tcPr>
          <w:p w14:paraId="26525DD0" w14:textId="77777777" w:rsidR="004058BE" w:rsidRPr="00BE26E2" w:rsidRDefault="004058BE" w:rsidP="004E5C57">
            <w:pPr>
              <w:pStyle w:val="TableText0"/>
              <w:rPr>
                <w:rFonts w:cs="Calibri"/>
                <w:color w:val="000000"/>
              </w:rPr>
            </w:pPr>
            <w:r w:rsidRPr="00BE26E2">
              <w:t>RR_relapse_MST</w:t>
            </w:r>
          </w:p>
        </w:tc>
        <w:tc>
          <w:tcPr>
            <w:tcW w:w="1493" w:type="pct"/>
            <w:noWrap/>
            <w:hideMark/>
          </w:tcPr>
          <w:p w14:paraId="40E5B5C0" w14:textId="77777777" w:rsidR="004058BE" w:rsidRPr="009E7E8E" w:rsidRDefault="004058BE" w:rsidP="004E5C57">
            <w:pPr>
              <w:pStyle w:val="TableText0"/>
            </w:pPr>
            <w:r>
              <w:t xml:space="preserve">Relative risk </w:t>
            </w:r>
            <w:r w:rsidRPr="009E7E8E">
              <w:t>of relapses with MS treatment</w:t>
            </w:r>
          </w:p>
        </w:tc>
        <w:tc>
          <w:tcPr>
            <w:tcW w:w="1179" w:type="pct"/>
            <w:noWrap/>
          </w:tcPr>
          <w:p w14:paraId="477A61A3" w14:textId="77777777" w:rsidR="004058BE" w:rsidRPr="009E7E8E" w:rsidRDefault="00AC01FD" w:rsidP="004E5C57">
            <w:pPr>
              <w:pStyle w:val="TableText0"/>
            </w:pPr>
            <w:r>
              <w:fldChar w:fldCharType="begin">
                <w:fldData xml:space="preserve">PEVuZE5vdGU+PENpdGU+PEF1dGhvcj5QYWxhY2U8L0F1dGhvcj48WWVhcj4yMDE5PC9ZZWFyPjxS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</w:fldData>
              </w:fldChar>
            </w:r>
            <w:r>
              <w:instrText xml:space="preserve"> ADDIN EN.CITE </w:instrText>
            </w:r>
            <w:r>
              <w:fldChar w:fldCharType="begin">
                <w:fldData xml:space="preserve">PEVuZE5vdGU+PENpdGU+PEF1dGhvcj5QYWxhY2U8L0F1dGhvcj48WWVhcj4yMDE5PC9ZZWFyPjxS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</w:fldData>
              </w:fldChar>
            </w:r>
            <w:r>
              <w:instrText xml:space="preserve"> ADDIN EN.CITE.DATA </w:instrText>
            </w:r>
            <w:r>
              <w:fldChar w:fldCharType="end"/>
            </w:r>
            <w:r>
              <w:fldChar w:fldCharType="separate"/>
            </w:r>
            <w:r>
              <w:rPr>
                <w:noProof/>
              </w:rPr>
              <w:t>(Palace et al. 2019)</w:t>
            </w:r>
            <w:r>
              <w:fldChar w:fldCharType="end"/>
            </w:r>
          </w:p>
        </w:tc>
        <w:tc>
          <w:tcPr>
            <w:tcW w:w="1308" w:type="pct"/>
            <w:noWrap/>
            <w:hideMark/>
          </w:tcPr>
          <w:p w14:paraId="3D0090B8" w14:textId="77777777" w:rsidR="004058BE" w:rsidRPr="009E7E8E" w:rsidRDefault="004058BE" w:rsidP="004E5C57">
            <w:pPr>
              <w:pStyle w:val="TableText0"/>
            </w:pPr>
            <w:r w:rsidRPr="009E7E8E">
              <w:t>1.383</w:t>
            </w:r>
          </w:p>
        </w:tc>
      </w:tr>
      <w:tr w:rsidR="004058BE" w:rsidRPr="009E7E8E" w14:paraId="102427B8" w14:textId="77777777" w:rsidTr="00BE0118">
        <w:trPr>
          <w:trHeight w:val="300"/>
        </w:trPr>
        <w:tc>
          <w:tcPr>
            <w:tcW w:w="1019" w:type="pct"/>
          </w:tcPr>
          <w:p w14:paraId="35A87964" w14:textId="77777777" w:rsidR="004058BE" w:rsidRPr="00BE26E2" w:rsidRDefault="004058BE" w:rsidP="004E5C57">
            <w:pPr>
              <w:pStyle w:val="TableText0"/>
              <w:rPr>
                <w:rFonts w:cs="Calibri"/>
                <w:color w:val="000000"/>
              </w:rPr>
            </w:pPr>
            <w:r w:rsidRPr="00BE26E2">
              <w:t>time_to_diagnosis</w:t>
            </w:r>
          </w:p>
        </w:tc>
        <w:tc>
          <w:tcPr>
            <w:tcW w:w="1493" w:type="pct"/>
            <w:noWrap/>
            <w:hideMark/>
          </w:tcPr>
          <w:p w14:paraId="1B45B225" w14:textId="77777777" w:rsidR="004058BE" w:rsidRPr="009E7E8E" w:rsidRDefault="004058BE" w:rsidP="004E5C57">
            <w:pPr>
              <w:pStyle w:val="TableText0"/>
            </w:pPr>
            <w:r>
              <w:t>T</w:t>
            </w:r>
            <w:r w:rsidRPr="009E7E8E">
              <w:t xml:space="preserve">ime to correct </w:t>
            </w:r>
            <w:r>
              <w:t>diagnosis in the comparator arm (years)</w:t>
            </w:r>
          </w:p>
        </w:tc>
        <w:tc>
          <w:tcPr>
            <w:tcW w:w="1179" w:type="pct"/>
            <w:noWrap/>
          </w:tcPr>
          <w:p w14:paraId="5BCFED7D" w14:textId="77777777" w:rsidR="004058BE" w:rsidRPr="009E7E8E" w:rsidRDefault="004058BE" w:rsidP="004E5C57">
            <w:pPr>
              <w:pStyle w:val="TableText0"/>
            </w:pPr>
            <w:r>
              <w:t>Section D.4</w:t>
            </w:r>
          </w:p>
        </w:tc>
        <w:tc>
          <w:tcPr>
            <w:tcW w:w="1308" w:type="pct"/>
            <w:noWrap/>
            <w:hideMark/>
          </w:tcPr>
          <w:p w14:paraId="52D6A927" w14:textId="77777777" w:rsidR="004058BE" w:rsidRPr="009E7E8E" w:rsidRDefault="004058BE" w:rsidP="004E5C57">
            <w:pPr>
              <w:pStyle w:val="TableText0"/>
            </w:pPr>
            <w:r w:rsidRPr="009E7E8E">
              <w:t>3.3</w:t>
            </w:r>
          </w:p>
        </w:tc>
      </w:tr>
      <w:tr w:rsidR="004058BE" w:rsidRPr="009E7E8E" w14:paraId="061DE1DE" w14:textId="77777777" w:rsidTr="00BE0118">
        <w:trPr>
          <w:trHeight w:val="300"/>
        </w:trPr>
        <w:tc>
          <w:tcPr>
            <w:tcW w:w="1019" w:type="pct"/>
          </w:tcPr>
          <w:p w14:paraId="56147C8F" w14:textId="77777777" w:rsidR="004058BE" w:rsidRPr="00BE26E2" w:rsidRDefault="004058BE" w:rsidP="004E5C57">
            <w:pPr>
              <w:pStyle w:val="TableText0"/>
              <w:rPr>
                <w:rFonts w:cs="Calibri"/>
                <w:color w:val="000000"/>
              </w:rPr>
            </w:pPr>
            <w:r w:rsidRPr="00BE26E2">
              <w:t>u_Mild_State</w:t>
            </w:r>
          </w:p>
        </w:tc>
        <w:tc>
          <w:tcPr>
            <w:tcW w:w="1493" w:type="pct"/>
            <w:noWrap/>
            <w:hideMark/>
          </w:tcPr>
          <w:p w14:paraId="6AFB550F" w14:textId="77777777" w:rsidR="004058BE" w:rsidRPr="009E7E8E" w:rsidRDefault="004058BE" w:rsidP="004E5C57">
            <w:pPr>
              <w:pStyle w:val="TableText0"/>
            </w:pPr>
            <w:r>
              <w:t>U</w:t>
            </w:r>
            <w:r w:rsidRPr="009E7E8E">
              <w:t>tility of patients with NMOSD (no/mild-moderate disability)</w:t>
            </w:r>
          </w:p>
        </w:tc>
        <w:tc>
          <w:tcPr>
            <w:tcW w:w="1179" w:type="pct"/>
            <w:noWrap/>
          </w:tcPr>
          <w:p w14:paraId="46FB1BDB" w14:textId="77777777" w:rsidR="004058BE" w:rsidRPr="009E7E8E" w:rsidRDefault="00AC01FD" w:rsidP="004E5C57">
            <w:pPr>
              <w:pStyle w:val="TableText0"/>
            </w:pPr>
            <w:r>
              <w:fldChar w:fldCharType="begin"/>
            </w:r>
            <w:r>
              <w:instrText xml:space="preserve"> ADDIN EN.CITE &lt;EndNote&gt;&lt;Cite&gt;&lt;Author&gt;Ahmad&lt;/Author&gt;&lt;Year&gt;2018&lt;/Year&gt;&lt;RecNum&gt;2837&lt;/RecNum&gt;&lt;DisplayText&gt;(Ahmad et al. 2018)&lt;/DisplayText&gt;&lt;record&gt;&lt;rec-number&gt;2837&lt;/rec-number&gt;&lt;foreign-keys&gt;&lt;key app="EN" db-id="r9zwwf2zmrrvxfespp15vtvjapza9v2fz5s5" timestamp="1583893890"&gt;2837&lt;/key&gt;&lt;/foreign-keys&gt;&lt;ref-type name="Report"&gt;27&lt;/ref-type&gt;&lt;contributors&gt;&lt;authors&gt;&lt;author&gt;Hasnat Ahmad&lt;/author&gt;&lt;author&gt;Andrew J Palmer&lt;/author&gt;&lt;author&gt;Julie A Campbell&lt;/author&gt;&lt;author&gt;Ingrid van der Mei&lt;/author&gt;&lt;author&gt;Bruce Taylor&lt;/author&gt;&lt;/authors&gt;&lt;tertiary-authors&gt;&lt;author&gt;MS Research Australia&lt;/author&gt;&lt;/tertiary-authors&gt;&lt;subsidiary-authors&gt;&lt;author&gt;Menzies Institute for Medical Research&lt;/author&gt;&lt;/subsidiary-authors&gt;&lt;/contributors&gt;&lt;titles&gt;&lt;title&gt;Health Economic Impact of Multiple Sclerosis in Australia in 2017: An analysis of MS Research Australia’s platform – the Australian MS Longitudinal Study (AMSLS)&lt;/title&gt;&lt;/titles&gt;&lt;dates&gt;&lt;year&gt;2018&lt;/year&gt;&lt;pub-dates&gt;&lt;date&gt;August 2018&lt;/date&gt;&lt;/pub-dates&gt;&lt;/dates&gt;&lt;publisher&gt;Menzies Institute for Medical Research, University of Tasmania&lt;/publisher&gt;&lt;urls&gt;&lt;/urls&gt;&lt;/record&gt;&lt;/Cite&gt;&lt;/EndNote&gt;</w:instrText>
            </w:r>
            <w:r>
              <w:fldChar w:fldCharType="separate"/>
            </w:r>
            <w:r>
              <w:rPr>
                <w:noProof/>
              </w:rPr>
              <w:t>(Ahmad et al. 2018)</w:t>
            </w:r>
            <w:r>
              <w:fldChar w:fldCharType="end"/>
            </w:r>
          </w:p>
        </w:tc>
        <w:tc>
          <w:tcPr>
            <w:tcW w:w="1308" w:type="pct"/>
            <w:noWrap/>
            <w:hideMark/>
          </w:tcPr>
          <w:p w14:paraId="2A6880B1" w14:textId="673495D2" w:rsidR="004058BE" w:rsidRPr="009E7E8E" w:rsidRDefault="004058BE" w:rsidP="004E5C57">
            <w:pPr>
              <w:pStyle w:val="TableText0"/>
            </w:pPr>
            <w:r w:rsidRPr="009E7E8E">
              <w:t>0.72</w:t>
            </w:r>
            <w:r w:rsidR="00DF2715">
              <w:t>/4</w:t>
            </w:r>
          </w:p>
        </w:tc>
      </w:tr>
      <w:tr w:rsidR="004058BE" w:rsidRPr="009E7E8E" w14:paraId="7546E92E" w14:textId="77777777" w:rsidTr="00BE0118">
        <w:trPr>
          <w:trHeight w:val="300"/>
        </w:trPr>
        <w:tc>
          <w:tcPr>
            <w:tcW w:w="1019" w:type="pct"/>
          </w:tcPr>
          <w:p w14:paraId="436EB3C7" w14:textId="77777777" w:rsidR="004058BE" w:rsidRPr="00BE26E2" w:rsidRDefault="004058BE" w:rsidP="004E5C57">
            <w:pPr>
              <w:pStyle w:val="TableText0"/>
            </w:pPr>
            <w:r>
              <w:t>u_Severe_State</w:t>
            </w:r>
          </w:p>
        </w:tc>
        <w:tc>
          <w:tcPr>
            <w:tcW w:w="1493" w:type="pct"/>
            <w:noWrap/>
            <w:hideMark/>
          </w:tcPr>
          <w:p w14:paraId="08F3A0A1" w14:textId="77777777" w:rsidR="004058BE" w:rsidRPr="009E7E8E" w:rsidRDefault="004058BE" w:rsidP="004E5C57">
            <w:pPr>
              <w:pStyle w:val="TableText0"/>
            </w:pPr>
            <w:r>
              <w:t>U</w:t>
            </w:r>
            <w:r w:rsidRPr="009E7E8E">
              <w:t>tility of patients with NMOSD (severe disability)</w:t>
            </w:r>
          </w:p>
        </w:tc>
        <w:tc>
          <w:tcPr>
            <w:tcW w:w="1179" w:type="pct"/>
            <w:noWrap/>
          </w:tcPr>
          <w:p w14:paraId="0565F0F9" w14:textId="77777777" w:rsidR="004058BE" w:rsidRPr="009E7E8E" w:rsidRDefault="00AC01FD" w:rsidP="004E5C57">
            <w:pPr>
              <w:pStyle w:val="TableText0"/>
            </w:pPr>
            <w:r>
              <w:fldChar w:fldCharType="begin"/>
            </w:r>
            <w:r>
              <w:instrText xml:space="preserve"> ADDIN EN.CITE &lt;EndNote&gt;&lt;Cite&gt;&lt;Author&gt;Ahmad&lt;/Author&gt;&lt;Year&gt;2018&lt;/Year&gt;&lt;RecNum&gt;2837&lt;/RecNum&gt;&lt;DisplayText&gt;(Ahmad et al. 2018)&lt;/DisplayText&gt;&lt;record&gt;&lt;rec-number&gt;2837&lt;/rec-number&gt;&lt;foreign-keys&gt;&lt;key app="EN" db-id="r9zwwf2zmrrvxfespp15vtvjapza9v2fz5s5" timestamp="1583893890"&gt;2837&lt;/key&gt;&lt;/foreign-keys&gt;&lt;ref-type name="Report"&gt;27&lt;/ref-type&gt;&lt;contributors&gt;&lt;authors&gt;&lt;author&gt;Hasnat Ahmad&lt;/author&gt;&lt;author&gt;Andrew J Palmer&lt;/author&gt;&lt;author&gt;Julie A Campbell&lt;/author&gt;&lt;author&gt;Ingrid van der Mei&lt;/author&gt;&lt;author&gt;Bruce Taylor&lt;/author&gt;&lt;/authors&gt;&lt;tertiary-authors&gt;&lt;author&gt;MS Research Australia&lt;/author&gt;&lt;/tertiary-authors&gt;&lt;subsidiary-authors&gt;&lt;author&gt;Menzies Institute for Medical Research&lt;/author&gt;&lt;/subsidiary-authors&gt;&lt;/contributors&gt;&lt;titles&gt;&lt;title&gt;Health Economic Impact of Multiple Sclerosis in Australia in 2017: An analysis of MS Research Australia’s platform – the Australian MS Longitudinal Study (AMSLS)&lt;/title&gt;&lt;/titles&gt;&lt;dates&gt;&lt;year&gt;2018&lt;/year&gt;&lt;pub-dates&gt;&lt;date&gt;August 2018&lt;/date&gt;&lt;/pub-dates&gt;&lt;/dates&gt;&lt;publisher&gt;Menzies Institute for Medical Research, University of Tasmania&lt;/publisher&gt;&lt;urls&gt;&lt;/urls&gt;&lt;/record&gt;&lt;/Cite&gt;&lt;/EndNote&gt;</w:instrText>
            </w:r>
            <w:r>
              <w:fldChar w:fldCharType="separate"/>
            </w:r>
            <w:r>
              <w:rPr>
                <w:noProof/>
              </w:rPr>
              <w:t>(Ahmad et al. 2018)</w:t>
            </w:r>
            <w:r>
              <w:fldChar w:fldCharType="end"/>
            </w:r>
          </w:p>
        </w:tc>
        <w:tc>
          <w:tcPr>
            <w:tcW w:w="1308" w:type="pct"/>
            <w:noWrap/>
            <w:hideMark/>
          </w:tcPr>
          <w:p w14:paraId="32DA2194" w14:textId="6046069E" w:rsidR="004058BE" w:rsidRPr="009E7E8E" w:rsidRDefault="004058BE" w:rsidP="004E5C57">
            <w:pPr>
              <w:pStyle w:val="TableText0"/>
            </w:pPr>
            <w:r w:rsidRPr="009E7E8E">
              <w:t>0.48</w:t>
            </w:r>
            <w:r w:rsidR="00DF2715">
              <w:t>/4</w:t>
            </w:r>
          </w:p>
        </w:tc>
      </w:tr>
    </w:tbl>
    <w:p w14:paraId="3C6C6F50" w14:textId="77777777" w:rsidR="004058BE" w:rsidRPr="007F2C91" w:rsidRDefault="004058BE" w:rsidP="004058BE">
      <w:pPr>
        <w:pStyle w:val="Tablenotes0"/>
      </w:pPr>
      <w:r>
        <w:t>ARR = annualised relapse rate; ASRR = annualised severe relapse rate; AZA = azathioprine; iv = intravenous; IVIG= intravenous immunoglobulin; IVMP = intravenous methyl prednisolone; IST = immunosuppressive therapy; NMOSD = neuromyelitis optica; PLEX = plasma exchange; RR = relative risk; RTX = rituximab</w:t>
      </w:r>
    </w:p>
    <w:p w14:paraId="5C0DF0AA" w14:textId="77777777" w:rsidR="00CD6ED2" w:rsidRDefault="00CD6ED2" w:rsidP="004058BE">
      <w:pPr>
        <w:pStyle w:val="Heading2"/>
        <w:sectPr w:rsidR="00CD6ED2" w:rsidSect="00281AF1">
          <w:headerReference w:type="even" r:id="rId79"/>
          <w:headerReference w:type="default" r:id="rId80"/>
          <w:footerReference w:type="even" r:id="rId81"/>
          <w:headerReference w:type="first" r:id="rId82"/>
          <w:pgSz w:w="11906" w:h="16838"/>
          <w:pgMar w:top="1440" w:right="1440" w:bottom="1440" w:left="1440" w:header="720" w:footer="720" w:gutter="0"/>
          <w:paperSrc w:first="7" w:other="7"/>
          <w:cols w:space="720"/>
          <w:docGrid w:linePitch="360"/>
        </w:sectPr>
      </w:pPr>
      <w:bookmarkStart w:id="680" w:name="_Toc38031994"/>
    </w:p>
    <w:p w14:paraId="26F73598" w14:textId="6C7B94F2" w:rsidR="004058BE" w:rsidRDefault="004058BE" w:rsidP="006F2353">
      <w:pPr>
        <w:pStyle w:val="Heading3"/>
      </w:pPr>
      <w:bookmarkStart w:id="681" w:name="_Toc39588401"/>
      <w:r>
        <w:lastRenderedPageBreak/>
        <w:t>Markov traces for nodes with Markov initiation (base-case analysis)</w:t>
      </w:r>
      <w:bookmarkEnd w:id="680"/>
      <w:bookmarkEnd w:id="681"/>
    </w:p>
    <w:p w14:paraId="74CFC069" w14:textId="7CB3BCEC" w:rsidR="004058BE" w:rsidRDefault="004058BE" w:rsidP="006F2353">
      <w:pPr>
        <w:pStyle w:val="Heading4"/>
      </w:pPr>
      <w:bookmarkStart w:id="682" w:name="_Toc38031995"/>
      <w:r w:rsidRPr="009A70B0">
        <w:t>NMOSD-Ab testing available - Treat for NMOSD</w:t>
      </w:r>
      <w:bookmarkEnd w:id="682"/>
    </w:p>
    <w:p w14:paraId="2B8A5997" w14:textId="185FE1E0" w:rsidR="00FA7BCD" w:rsidRDefault="00FA7BCD" w:rsidP="00FA7BCD">
      <w:pPr>
        <w:pStyle w:val="Caption"/>
      </w:pPr>
      <w:bookmarkStart w:id="683" w:name="_Toc39580891"/>
      <w:r>
        <w:t xml:space="preserve">Table </w:t>
      </w:r>
      <w:fldSimple w:instr=" SEQ Table \* ARABIC ">
        <w:r>
          <w:rPr>
            <w:noProof/>
          </w:rPr>
          <w:t>110</w:t>
        </w:r>
      </w:fldSimple>
      <w:r>
        <w:tab/>
        <w:t>NMOSD-Ab</w:t>
      </w:r>
      <w:r w:rsidRPr="002E2C6F">
        <w:t xml:space="preserve"> testing available - treat for NMOSD</w:t>
      </w:r>
      <w:bookmarkEnd w:id="683"/>
    </w:p>
    <w:tbl>
      <w:tblPr>
        <w:tblStyle w:val="TableGrid1"/>
        <w:tblW w:w="14351" w:type="dxa"/>
        <w:tblLook w:val="04A0" w:firstRow="1" w:lastRow="0" w:firstColumn="1" w:lastColumn="0" w:noHBand="0" w:noVBand="1"/>
        <w:tblCaption w:val="NMOSD-AB TESTING AVAILABLE - TREAT FOR NMOSD"/>
        <w:tblDescription w:val="NMOSD-AB TESTING AVAILABLE - TREAT FOR NMOSD"/>
      </w:tblPr>
      <w:tblGrid>
        <w:gridCol w:w="982"/>
        <w:gridCol w:w="1000"/>
        <w:gridCol w:w="1009"/>
        <w:gridCol w:w="1000"/>
        <w:gridCol w:w="1000"/>
        <w:gridCol w:w="1000"/>
        <w:gridCol w:w="1000"/>
        <w:gridCol w:w="1000"/>
        <w:gridCol w:w="1060"/>
        <w:gridCol w:w="1180"/>
        <w:gridCol w:w="960"/>
        <w:gridCol w:w="1100"/>
        <w:gridCol w:w="960"/>
        <w:gridCol w:w="1100"/>
      </w:tblGrid>
      <w:tr w:rsidR="00CD6ED2" w:rsidRPr="00BB5498" w14:paraId="091E3D9D" w14:textId="77777777" w:rsidTr="00BE0118">
        <w:trPr>
          <w:cnfStyle w:val="100000000000" w:firstRow="1" w:lastRow="0" w:firstColumn="0" w:lastColumn="0" w:oddVBand="0" w:evenVBand="0" w:oddHBand="0" w:evenHBand="0" w:firstRowFirstColumn="0" w:firstRowLastColumn="0" w:lastRowFirstColumn="0" w:lastRowLastColumn="0"/>
          <w:trHeight w:val="255"/>
        </w:trPr>
        <w:tc>
          <w:tcPr>
            <w:tcW w:w="982" w:type="dxa"/>
            <w:noWrap/>
            <w:hideMark/>
          </w:tcPr>
          <w:p w14:paraId="1CA06356" w14:textId="77777777" w:rsidR="00CD6ED2" w:rsidRPr="00BB5498" w:rsidRDefault="00CD6ED2" w:rsidP="00A87AE2">
            <w:pPr>
              <w:pStyle w:val="TableHeading"/>
            </w:pPr>
            <w:r w:rsidRPr="00BB5498">
              <w:t>Stage</w:t>
            </w:r>
          </w:p>
          <w:p w14:paraId="0D95F53E" w14:textId="1124ED39" w:rsidR="00CD6ED2" w:rsidRPr="00BB5498" w:rsidRDefault="00CD6ED2" w:rsidP="00A87AE2">
            <w:pPr>
              <w:pStyle w:val="TableHeading"/>
            </w:pPr>
            <w:r w:rsidRPr="00BB5498">
              <w:t>(quarters)</w:t>
            </w:r>
          </w:p>
        </w:tc>
        <w:tc>
          <w:tcPr>
            <w:tcW w:w="1000" w:type="dxa"/>
            <w:noWrap/>
            <w:hideMark/>
          </w:tcPr>
          <w:p w14:paraId="79EAC0C9" w14:textId="77777777" w:rsidR="00CD6ED2" w:rsidRPr="00BB5498" w:rsidRDefault="00CD6ED2" w:rsidP="00A87AE2">
            <w:pPr>
              <w:pStyle w:val="TableHeading"/>
            </w:pPr>
            <w:r w:rsidRPr="00BB5498">
              <w:t>Disease with no or mild disability</w:t>
            </w:r>
          </w:p>
          <w:p w14:paraId="4CEDFA5A" w14:textId="2D1664CD" w:rsidR="00CD6ED2" w:rsidRPr="00BB5498" w:rsidRDefault="00CD6ED2" w:rsidP="00A87AE2">
            <w:pPr>
              <w:pStyle w:val="TableHeading"/>
            </w:pPr>
            <w:r w:rsidRPr="00BB5498">
              <w:t>(%)</w:t>
            </w:r>
          </w:p>
        </w:tc>
        <w:tc>
          <w:tcPr>
            <w:tcW w:w="1009" w:type="dxa"/>
            <w:noWrap/>
            <w:hideMark/>
          </w:tcPr>
          <w:p w14:paraId="3C14F698" w14:textId="77777777" w:rsidR="00CD6ED2" w:rsidRPr="00BB5498" w:rsidRDefault="00CD6ED2" w:rsidP="00A87AE2">
            <w:pPr>
              <w:pStyle w:val="TableHeading"/>
            </w:pPr>
            <w:r w:rsidRPr="00BB5498">
              <w:t>Disease with moderate-severe disability</w:t>
            </w:r>
          </w:p>
          <w:p w14:paraId="60AA3CB0" w14:textId="37BB1466" w:rsidR="00CD6ED2" w:rsidRPr="00BB5498" w:rsidRDefault="00CD6ED2" w:rsidP="00A87AE2">
            <w:pPr>
              <w:pStyle w:val="TableHeading"/>
            </w:pPr>
            <w:r w:rsidRPr="00BB5498">
              <w:t>(%)</w:t>
            </w:r>
          </w:p>
        </w:tc>
        <w:tc>
          <w:tcPr>
            <w:tcW w:w="1000" w:type="dxa"/>
            <w:noWrap/>
            <w:hideMark/>
          </w:tcPr>
          <w:p w14:paraId="2FDDD401" w14:textId="77777777" w:rsidR="00CD6ED2" w:rsidRPr="00BB5498" w:rsidRDefault="00CD6ED2" w:rsidP="00A87AE2">
            <w:pPr>
              <w:pStyle w:val="TableHeading"/>
            </w:pPr>
            <w:r w:rsidRPr="00BB5498">
              <w:t>Disease with no/mild disability and mild relapse</w:t>
            </w:r>
          </w:p>
          <w:p w14:paraId="7DE71EA6" w14:textId="2CC84098" w:rsidR="00CD6ED2" w:rsidRPr="00BB5498" w:rsidRDefault="00CD6ED2" w:rsidP="00A87AE2">
            <w:pPr>
              <w:pStyle w:val="TableHeading"/>
            </w:pPr>
            <w:r w:rsidRPr="00BB5498">
              <w:t>(%)</w:t>
            </w:r>
          </w:p>
        </w:tc>
        <w:tc>
          <w:tcPr>
            <w:tcW w:w="1000" w:type="dxa"/>
            <w:noWrap/>
            <w:hideMark/>
          </w:tcPr>
          <w:p w14:paraId="27CC629A" w14:textId="77777777" w:rsidR="00CD6ED2" w:rsidRPr="00BB5498" w:rsidRDefault="00CD6ED2" w:rsidP="00A87AE2">
            <w:pPr>
              <w:pStyle w:val="TableHeading"/>
            </w:pPr>
            <w:r w:rsidRPr="00BB5498">
              <w:t>Disease with no/mild disability and severe relapse</w:t>
            </w:r>
          </w:p>
          <w:p w14:paraId="268FCA08" w14:textId="4E8D752B" w:rsidR="00CD6ED2" w:rsidRPr="00BB5498" w:rsidRDefault="00CD6ED2" w:rsidP="00A87AE2">
            <w:pPr>
              <w:pStyle w:val="TableHeading"/>
            </w:pPr>
            <w:r w:rsidRPr="00BB5498">
              <w:t>(%)</w:t>
            </w:r>
          </w:p>
        </w:tc>
        <w:tc>
          <w:tcPr>
            <w:tcW w:w="1000" w:type="dxa"/>
            <w:noWrap/>
            <w:hideMark/>
          </w:tcPr>
          <w:p w14:paraId="5FE4866C" w14:textId="77777777" w:rsidR="00CD6ED2" w:rsidRPr="00BB5498" w:rsidRDefault="00CD6ED2" w:rsidP="00A87AE2">
            <w:pPr>
              <w:pStyle w:val="TableHeading"/>
            </w:pPr>
            <w:r w:rsidRPr="00BB5498">
              <w:t>Disease with moderate – severe disability and mild relapse</w:t>
            </w:r>
          </w:p>
          <w:p w14:paraId="754654F8" w14:textId="18E6A8B7" w:rsidR="00CD6ED2" w:rsidRPr="00BB5498" w:rsidRDefault="00CD6ED2" w:rsidP="00A87AE2">
            <w:pPr>
              <w:pStyle w:val="TableHeading"/>
            </w:pPr>
            <w:r w:rsidRPr="00BB5498">
              <w:t>(%)</w:t>
            </w:r>
          </w:p>
        </w:tc>
        <w:tc>
          <w:tcPr>
            <w:tcW w:w="1000" w:type="dxa"/>
            <w:noWrap/>
            <w:hideMark/>
          </w:tcPr>
          <w:p w14:paraId="2636938C" w14:textId="606D863F" w:rsidR="00CD6ED2" w:rsidRPr="00BB5498" w:rsidRDefault="00CD6ED2" w:rsidP="00A87AE2">
            <w:pPr>
              <w:pStyle w:val="TableHeading"/>
            </w:pPr>
            <w:r w:rsidRPr="00BB5498">
              <w:t>Disease with moderate – severe disability and severe relapse (%)</w:t>
            </w:r>
          </w:p>
        </w:tc>
        <w:tc>
          <w:tcPr>
            <w:tcW w:w="1000" w:type="dxa"/>
            <w:noWrap/>
            <w:hideMark/>
          </w:tcPr>
          <w:p w14:paraId="1F833D9A" w14:textId="77777777" w:rsidR="00CD6ED2" w:rsidRPr="00BB5498" w:rsidRDefault="00CD6ED2" w:rsidP="00A87AE2">
            <w:pPr>
              <w:pStyle w:val="TableHeading"/>
            </w:pPr>
            <w:r w:rsidRPr="00BB5498">
              <w:t>Death</w:t>
            </w:r>
          </w:p>
          <w:p w14:paraId="16C7399A" w14:textId="6F475B37" w:rsidR="00CD6ED2" w:rsidRPr="00BB5498" w:rsidRDefault="00CD6ED2" w:rsidP="00A87AE2">
            <w:pPr>
              <w:pStyle w:val="TableHeading"/>
            </w:pPr>
            <w:r w:rsidRPr="00BB5498">
              <w:t>(%)</w:t>
            </w:r>
          </w:p>
        </w:tc>
        <w:tc>
          <w:tcPr>
            <w:tcW w:w="1060" w:type="dxa"/>
            <w:noWrap/>
            <w:hideMark/>
          </w:tcPr>
          <w:p w14:paraId="73F99751" w14:textId="77777777" w:rsidR="00CD6ED2" w:rsidRPr="00BB5498" w:rsidRDefault="00CD6ED2" w:rsidP="00A87AE2">
            <w:pPr>
              <w:pStyle w:val="TableHeading"/>
            </w:pPr>
            <w:r w:rsidRPr="00BB5498">
              <w:t>Cost</w:t>
            </w:r>
          </w:p>
        </w:tc>
        <w:tc>
          <w:tcPr>
            <w:tcW w:w="1180" w:type="dxa"/>
            <w:noWrap/>
            <w:hideMark/>
          </w:tcPr>
          <w:p w14:paraId="492EFE7A" w14:textId="2C5397C2" w:rsidR="00CD6ED2" w:rsidRPr="00BB5498" w:rsidRDefault="00CD6ED2" w:rsidP="00A87AE2">
            <w:pPr>
              <w:pStyle w:val="TableHeading"/>
            </w:pPr>
            <w:r w:rsidRPr="00BB5498">
              <w:t>Cumulative Cost</w:t>
            </w:r>
          </w:p>
        </w:tc>
        <w:tc>
          <w:tcPr>
            <w:tcW w:w="960" w:type="dxa"/>
            <w:noWrap/>
            <w:hideMark/>
          </w:tcPr>
          <w:p w14:paraId="2AE5787F" w14:textId="77777777" w:rsidR="00CD6ED2" w:rsidRPr="00BB5498" w:rsidRDefault="00CD6ED2" w:rsidP="00A87AE2">
            <w:pPr>
              <w:pStyle w:val="TableHeading"/>
            </w:pPr>
            <w:r w:rsidRPr="00BB5498">
              <w:t>QALY</w:t>
            </w:r>
          </w:p>
        </w:tc>
        <w:tc>
          <w:tcPr>
            <w:tcW w:w="1100" w:type="dxa"/>
            <w:noWrap/>
            <w:hideMark/>
          </w:tcPr>
          <w:p w14:paraId="404C6260" w14:textId="071E8F8C" w:rsidR="00CD6ED2" w:rsidRPr="00BB5498" w:rsidRDefault="00CD6ED2" w:rsidP="00A87AE2">
            <w:pPr>
              <w:pStyle w:val="TableHeading"/>
            </w:pPr>
            <w:r w:rsidRPr="00BB5498">
              <w:t>Cumulative QALY</w:t>
            </w:r>
          </w:p>
        </w:tc>
        <w:tc>
          <w:tcPr>
            <w:tcW w:w="960" w:type="dxa"/>
            <w:noWrap/>
            <w:hideMark/>
          </w:tcPr>
          <w:p w14:paraId="4D66C63B" w14:textId="77777777" w:rsidR="00CD6ED2" w:rsidRPr="00BB5498" w:rsidRDefault="00CD6ED2" w:rsidP="00A87AE2">
            <w:pPr>
              <w:pStyle w:val="TableHeading"/>
            </w:pPr>
            <w:r w:rsidRPr="00BB5498">
              <w:t>Relapse</w:t>
            </w:r>
          </w:p>
        </w:tc>
        <w:tc>
          <w:tcPr>
            <w:tcW w:w="1100" w:type="dxa"/>
            <w:noWrap/>
            <w:hideMark/>
          </w:tcPr>
          <w:p w14:paraId="7ACF989A" w14:textId="7B032E7D" w:rsidR="00CD6ED2" w:rsidRPr="00BB5498" w:rsidRDefault="00CD6ED2" w:rsidP="00A87AE2">
            <w:pPr>
              <w:pStyle w:val="TableHeading"/>
            </w:pPr>
            <w:r w:rsidRPr="00BB5498">
              <w:t>Cumulative Relapse</w:t>
            </w:r>
          </w:p>
        </w:tc>
      </w:tr>
      <w:tr w:rsidR="008E581C" w:rsidRPr="00BB5498" w14:paraId="2449ADCC" w14:textId="77777777" w:rsidTr="00BE0118">
        <w:trPr>
          <w:trHeight w:val="255"/>
        </w:trPr>
        <w:tc>
          <w:tcPr>
            <w:tcW w:w="982" w:type="dxa"/>
            <w:noWrap/>
            <w:hideMark/>
          </w:tcPr>
          <w:p w14:paraId="682E78A3" w14:textId="596825A1" w:rsidR="008E581C" w:rsidRPr="00BB5498" w:rsidRDefault="008E581C" w:rsidP="004E5C57">
            <w:pPr>
              <w:pStyle w:val="TableText0"/>
              <w:rPr>
                <w:color w:val="000000"/>
              </w:rPr>
            </w:pPr>
            <w:r w:rsidRPr="000E5A48">
              <w:t>0</w:t>
            </w:r>
          </w:p>
        </w:tc>
        <w:tc>
          <w:tcPr>
            <w:tcW w:w="1000" w:type="dxa"/>
            <w:noWrap/>
            <w:hideMark/>
          </w:tcPr>
          <w:p w14:paraId="59D705CA" w14:textId="294F3DEF" w:rsidR="008E581C" w:rsidRPr="00BB5498" w:rsidRDefault="008E581C" w:rsidP="004E5C57">
            <w:pPr>
              <w:pStyle w:val="TableText0"/>
              <w:rPr>
                <w:color w:val="000000"/>
              </w:rPr>
            </w:pPr>
            <w:r w:rsidRPr="000E5A48">
              <w:t>1</w:t>
            </w:r>
          </w:p>
        </w:tc>
        <w:tc>
          <w:tcPr>
            <w:tcW w:w="1009" w:type="dxa"/>
            <w:noWrap/>
            <w:hideMark/>
          </w:tcPr>
          <w:p w14:paraId="29060AE6" w14:textId="25B4E4ED" w:rsidR="008E581C" w:rsidRPr="00BB5498" w:rsidRDefault="008E581C" w:rsidP="004E5C57">
            <w:pPr>
              <w:pStyle w:val="TableText0"/>
              <w:rPr>
                <w:color w:val="000000"/>
              </w:rPr>
            </w:pPr>
            <w:r w:rsidRPr="000E5A48">
              <w:t>0</w:t>
            </w:r>
          </w:p>
        </w:tc>
        <w:tc>
          <w:tcPr>
            <w:tcW w:w="1000" w:type="dxa"/>
            <w:noWrap/>
            <w:hideMark/>
          </w:tcPr>
          <w:p w14:paraId="67DCDE56" w14:textId="692E60EC" w:rsidR="008E581C" w:rsidRPr="00BB5498" w:rsidRDefault="008E581C" w:rsidP="004E5C57">
            <w:pPr>
              <w:pStyle w:val="TableText0"/>
              <w:rPr>
                <w:color w:val="000000"/>
              </w:rPr>
            </w:pPr>
            <w:r w:rsidRPr="000E5A48">
              <w:t>0</w:t>
            </w:r>
          </w:p>
        </w:tc>
        <w:tc>
          <w:tcPr>
            <w:tcW w:w="1000" w:type="dxa"/>
            <w:noWrap/>
            <w:hideMark/>
          </w:tcPr>
          <w:p w14:paraId="1F4A7FB5" w14:textId="1A7861C5" w:rsidR="008E581C" w:rsidRPr="00BB5498" w:rsidRDefault="008E581C" w:rsidP="004E5C57">
            <w:pPr>
              <w:pStyle w:val="TableText0"/>
              <w:rPr>
                <w:color w:val="000000"/>
              </w:rPr>
            </w:pPr>
            <w:r w:rsidRPr="000E5A48">
              <w:t>0</w:t>
            </w:r>
          </w:p>
        </w:tc>
        <w:tc>
          <w:tcPr>
            <w:tcW w:w="1000" w:type="dxa"/>
            <w:noWrap/>
            <w:hideMark/>
          </w:tcPr>
          <w:p w14:paraId="0811FCE7" w14:textId="46246859" w:rsidR="008E581C" w:rsidRPr="00BB5498" w:rsidRDefault="008E581C" w:rsidP="004E5C57">
            <w:pPr>
              <w:pStyle w:val="TableText0"/>
              <w:rPr>
                <w:color w:val="000000"/>
              </w:rPr>
            </w:pPr>
            <w:r w:rsidRPr="000E5A48">
              <w:t>0</w:t>
            </w:r>
          </w:p>
        </w:tc>
        <w:tc>
          <w:tcPr>
            <w:tcW w:w="1000" w:type="dxa"/>
            <w:noWrap/>
            <w:hideMark/>
          </w:tcPr>
          <w:p w14:paraId="351FDB99" w14:textId="61A466B3" w:rsidR="008E581C" w:rsidRPr="00BB5498" w:rsidRDefault="008E581C" w:rsidP="004E5C57">
            <w:pPr>
              <w:pStyle w:val="TableText0"/>
              <w:rPr>
                <w:color w:val="000000"/>
              </w:rPr>
            </w:pPr>
            <w:r w:rsidRPr="000E5A48">
              <w:t>0</w:t>
            </w:r>
          </w:p>
        </w:tc>
        <w:tc>
          <w:tcPr>
            <w:tcW w:w="1000" w:type="dxa"/>
            <w:noWrap/>
            <w:hideMark/>
          </w:tcPr>
          <w:p w14:paraId="22384078" w14:textId="008A1C6D" w:rsidR="008E581C" w:rsidRPr="00BB5498" w:rsidRDefault="008E581C" w:rsidP="004E5C57">
            <w:pPr>
              <w:pStyle w:val="TableText0"/>
              <w:rPr>
                <w:color w:val="000000"/>
              </w:rPr>
            </w:pPr>
            <w:r w:rsidRPr="000E5A48">
              <w:t>0</w:t>
            </w:r>
          </w:p>
        </w:tc>
        <w:tc>
          <w:tcPr>
            <w:tcW w:w="1060" w:type="dxa"/>
            <w:noWrap/>
            <w:hideMark/>
          </w:tcPr>
          <w:p w14:paraId="630E04CC" w14:textId="0BAEE456" w:rsidR="008E581C" w:rsidRPr="00BB5498" w:rsidRDefault="008E581C" w:rsidP="004E5C57">
            <w:pPr>
              <w:pStyle w:val="TableText0"/>
              <w:rPr>
                <w:color w:val="000000"/>
              </w:rPr>
            </w:pPr>
            <w:r w:rsidRPr="000E5A48">
              <w:t>$2,267</w:t>
            </w:r>
          </w:p>
        </w:tc>
        <w:tc>
          <w:tcPr>
            <w:tcW w:w="1180" w:type="dxa"/>
            <w:noWrap/>
            <w:hideMark/>
          </w:tcPr>
          <w:p w14:paraId="2BDAF1B5" w14:textId="27EC748B" w:rsidR="008E581C" w:rsidRPr="00BB5498" w:rsidRDefault="008E581C" w:rsidP="004E5C57">
            <w:pPr>
              <w:pStyle w:val="TableText0"/>
              <w:rPr>
                <w:color w:val="000000"/>
              </w:rPr>
            </w:pPr>
            <w:r w:rsidRPr="000E5A48">
              <w:t>$2,267</w:t>
            </w:r>
          </w:p>
        </w:tc>
        <w:tc>
          <w:tcPr>
            <w:tcW w:w="960" w:type="dxa"/>
            <w:noWrap/>
            <w:hideMark/>
          </w:tcPr>
          <w:p w14:paraId="0977804D" w14:textId="67089D60" w:rsidR="008E581C" w:rsidRPr="00BB5498" w:rsidRDefault="008E581C" w:rsidP="004E5C57">
            <w:pPr>
              <w:pStyle w:val="TableText0"/>
              <w:rPr>
                <w:color w:val="000000"/>
              </w:rPr>
            </w:pPr>
            <w:r w:rsidRPr="000E5A48">
              <w:t>0.3573</w:t>
            </w:r>
          </w:p>
        </w:tc>
        <w:tc>
          <w:tcPr>
            <w:tcW w:w="1100" w:type="dxa"/>
            <w:noWrap/>
            <w:hideMark/>
          </w:tcPr>
          <w:p w14:paraId="4881D1C1" w14:textId="68A63557" w:rsidR="008E581C" w:rsidRPr="00BB5498" w:rsidRDefault="008E581C" w:rsidP="004E5C57">
            <w:pPr>
              <w:pStyle w:val="TableText0"/>
              <w:rPr>
                <w:color w:val="000000"/>
              </w:rPr>
            </w:pPr>
            <w:r w:rsidRPr="000E5A48">
              <w:t>0.3573</w:t>
            </w:r>
          </w:p>
        </w:tc>
        <w:tc>
          <w:tcPr>
            <w:tcW w:w="960" w:type="dxa"/>
            <w:noWrap/>
            <w:hideMark/>
          </w:tcPr>
          <w:p w14:paraId="3758B367" w14:textId="3B6C9AD0" w:rsidR="008E581C" w:rsidRPr="00BB5498" w:rsidRDefault="008E581C" w:rsidP="004E5C57">
            <w:pPr>
              <w:pStyle w:val="TableText0"/>
              <w:rPr>
                <w:color w:val="000000"/>
              </w:rPr>
            </w:pPr>
            <w:r w:rsidRPr="000E5A48">
              <w:t>0.1625</w:t>
            </w:r>
          </w:p>
        </w:tc>
        <w:tc>
          <w:tcPr>
            <w:tcW w:w="1100" w:type="dxa"/>
            <w:noWrap/>
            <w:hideMark/>
          </w:tcPr>
          <w:p w14:paraId="60E74B89" w14:textId="3C81B69A" w:rsidR="008E581C" w:rsidRPr="00BB5498" w:rsidRDefault="008E581C" w:rsidP="004E5C57">
            <w:pPr>
              <w:pStyle w:val="TableText0"/>
              <w:rPr>
                <w:color w:val="000000"/>
              </w:rPr>
            </w:pPr>
            <w:r w:rsidRPr="000E5A48">
              <w:t>0.1625</w:t>
            </w:r>
          </w:p>
        </w:tc>
      </w:tr>
      <w:tr w:rsidR="008E581C" w:rsidRPr="00BB5498" w14:paraId="140DE077" w14:textId="77777777" w:rsidTr="00BE0118">
        <w:trPr>
          <w:trHeight w:val="255"/>
        </w:trPr>
        <w:tc>
          <w:tcPr>
            <w:tcW w:w="982" w:type="dxa"/>
            <w:noWrap/>
            <w:hideMark/>
          </w:tcPr>
          <w:p w14:paraId="399D3B95" w14:textId="5BAA4F0B" w:rsidR="008E581C" w:rsidRPr="00BB5498" w:rsidRDefault="008E581C" w:rsidP="004E5C57">
            <w:pPr>
              <w:pStyle w:val="TableText0"/>
              <w:rPr>
                <w:color w:val="000000"/>
              </w:rPr>
            </w:pPr>
            <w:r w:rsidRPr="000E5A48">
              <w:t>1</w:t>
            </w:r>
          </w:p>
        </w:tc>
        <w:tc>
          <w:tcPr>
            <w:tcW w:w="1000" w:type="dxa"/>
            <w:noWrap/>
            <w:hideMark/>
          </w:tcPr>
          <w:p w14:paraId="6003A01D" w14:textId="3EEE0F8A" w:rsidR="008E581C" w:rsidRPr="00BB5498" w:rsidRDefault="008E581C" w:rsidP="004E5C57">
            <w:pPr>
              <w:pStyle w:val="TableText0"/>
              <w:rPr>
                <w:color w:val="000000"/>
              </w:rPr>
            </w:pPr>
            <w:r w:rsidRPr="000E5A48">
              <w:t>0.8363</w:t>
            </w:r>
          </w:p>
        </w:tc>
        <w:tc>
          <w:tcPr>
            <w:tcW w:w="1009" w:type="dxa"/>
            <w:noWrap/>
            <w:hideMark/>
          </w:tcPr>
          <w:p w14:paraId="06226256" w14:textId="4C66C89E" w:rsidR="008E581C" w:rsidRPr="00BB5498" w:rsidRDefault="008E581C" w:rsidP="004E5C57">
            <w:pPr>
              <w:pStyle w:val="TableText0"/>
              <w:rPr>
                <w:color w:val="000000"/>
              </w:rPr>
            </w:pPr>
            <w:r w:rsidRPr="000E5A48">
              <w:t>0.0000</w:t>
            </w:r>
          </w:p>
        </w:tc>
        <w:tc>
          <w:tcPr>
            <w:tcW w:w="1000" w:type="dxa"/>
            <w:noWrap/>
            <w:hideMark/>
          </w:tcPr>
          <w:p w14:paraId="702342FF" w14:textId="7C358C82" w:rsidR="008E581C" w:rsidRPr="00BB5498" w:rsidRDefault="008E581C" w:rsidP="004E5C57">
            <w:pPr>
              <w:pStyle w:val="TableText0"/>
              <w:rPr>
                <w:color w:val="000000"/>
              </w:rPr>
            </w:pPr>
            <w:r w:rsidRPr="000E5A48">
              <w:t>0.1558</w:t>
            </w:r>
          </w:p>
        </w:tc>
        <w:tc>
          <w:tcPr>
            <w:tcW w:w="1000" w:type="dxa"/>
            <w:noWrap/>
            <w:hideMark/>
          </w:tcPr>
          <w:p w14:paraId="13CE34F7" w14:textId="477C6C32" w:rsidR="008E581C" w:rsidRPr="00BB5498" w:rsidRDefault="008E581C" w:rsidP="004E5C57">
            <w:pPr>
              <w:pStyle w:val="TableText0"/>
              <w:rPr>
                <w:color w:val="000000"/>
              </w:rPr>
            </w:pPr>
            <w:r w:rsidRPr="000E5A48">
              <w:t>0.0077</w:t>
            </w:r>
          </w:p>
        </w:tc>
        <w:tc>
          <w:tcPr>
            <w:tcW w:w="1000" w:type="dxa"/>
            <w:noWrap/>
            <w:hideMark/>
          </w:tcPr>
          <w:p w14:paraId="68D292D0" w14:textId="09F8B8FE" w:rsidR="008E581C" w:rsidRPr="00BB5498" w:rsidRDefault="008E581C" w:rsidP="004E5C57">
            <w:pPr>
              <w:pStyle w:val="TableText0"/>
              <w:rPr>
                <w:color w:val="000000"/>
              </w:rPr>
            </w:pPr>
            <w:r w:rsidRPr="000E5A48">
              <w:t>0.0000</w:t>
            </w:r>
          </w:p>
        </w:tc>
        <w:tc>
          <w:tcPr>
            <w:tcW w:w="1000" w:type="dxa"/>
            <w:noWrap/>
            <w:hideMark/>
          </w:tcPr>
          <w:p w14:paraId="71572068" w14:textId="40F7CE92" w:rsidR="008E581C" w:rsidRPr="00BB5498" w:rsidRDefault="008E581C" w:rsidP="004E5C57">
            <w:pPr>
              <w:pStyle w:val="TableText0"/>
              <w:rPr>
                <w:color w:val="000000"/>
              </w:rPr>
            </w:pPr>
            <w:r w:rsidRPr="000E5A48">
              <w:t>0.0000</w:t>
            </w:r>
          </w:p>
        </w:tc>
        <w:tc>
          <w:tcPr>
            <w:tcW w:w="1000" w:type="dxa"/>
            <w:noWrap/>
            <w:hideMark/>
          </w:tcPr>
          <w:p w14:paraId="368336BC" w14:textId="44A78993" w:rsidR="008E581C" w:rsidRPr="00BB5498" w:rsidRDefault="008E581C" w:rsidP="004E5C57">
            <w:pPr>
              <w:pStyle w:val="TableText0"/>
              <w:rPr>
                <w:color w:val="000000"/>
              </w:rPr>
            </w:pPr>
            <w:r w:rsidRPr="000E5A48">
              <w:t>0.0002</w:t>
            </w:r>
          </w:p>
        </w:tc>
        <w:tc>
          <w:tcPr>
            <w:tcW w:w="1060" w:type="dxa"/>
            <w:noWrap/>
            <w:hideMark/>
          </w:tcPr>
          <w:p w14:paraId="62D79500" w14:textId="753E8E84" w:rsidR="008E581C" w:rsidRPr="00BB5498" w:rsidRDefault="008E581C" w:rsidP="004E5C57">
            <w:pPr>
              <w:pStyle w:val="TableText0"/>
              <w:rPr>
                <w:color w:val="000000"/>
              </w:rPr>
            </w:pPr>
            <w:r w:rsidRPr="000E5A48">
              <w:t>$2,074</w:t>
            </w:r>
          </w:p>
        </w:tc>
        <w:tc>
          <w:tcPr>
            <w:tcW w:w="1180" w:type="dxa"/>
            <w:noWrap/>
            <w:hideMark/>
          </w:tcPr>
          <w:p w14:paraId="037BFE84" w14:textId="029EF648" w:rsidR="008E581C" w:rsidRPr="00BB5498" w:rsidRDefault="008E581C" w:rsidP="004E5C57">
            <w:pPr>
              <w:pStyle w:val="TableText0"/>
              <w:rPr>
                <w:color w:val="000000"/>
              </w:rPr>
            </w:pPr>
            <w:r w:rsidRPr="000E5A48">
              <w:t>$4,341</w:t>
            </w:r>
          </w:p>
        </w:tc>
        <w:tc>
          <w:tcPr>
            <w:tcW w:w="960" w:type="dxa"/>
            <w:noWrap/>
            <w:hideMark/>
          </w:tcPr>
          <w:p w14:paraId="46DFB571" w14:textId="64A59C25" w:rsidR="008E581C" w:rsidRPr="00BB5498" w:rsidRDefault="008E581C" w:rsidP="004E5C57">
            <w:pPr>
              <w:pStyle w:val="TableText0"/>
              <w:rPr>
                <w:color w:val="000000"/>
              </w:rPr>
            </w:pPr>
            <w:r w:rsidRPr="000E5A48">
              <w:t>0.1737</w:t>
            </w:r>
          </w:p>
        </w:tc>
        <w:tc>
          <w:tcPr>
            <w:tcW w:w="1100" w:type="dxa"/>
            <w:noWrap/>
            <w:hideMark/>
          </w:tcPr>
          <w:p w14:paraId="0F407F54" w14:textId="5ABE1FE7" w:rsidR="008E581C" w:rsidRPr="00BB5498" w:rsidRDefault="008E581C" w:rsidP="004E5C57">
            <w:pPr>
              <w:pStyle w:val="TableText0"/>
              <w:rPr>
                <w:color w:val="000000"/>
              </w:rPr>
            </w:pPr>
            <w:r w:rsidRPr="000E5A48">
              <w:t>0.5310</w:t>
            </w:r>
          </w:p>
        </w:tc>
        <w:tc>
          <w:tcPr>
            <w:tcW w:w="960" w:type="dxa"/>
            <w:noWrap/>
            <w:hideMark/>
          </w:tcPr>
          <w:p w14:paraId="386173BC" w14:textId="478B6FFF" w:rsidR="008E581C" w:rsidRPr="00BB5498" w:rsidRDefault="008E581C" w:rsidP="004E5C57">
            <w:pPr>
              <w:pStyle w:val="TableText0"/>
              <w:rPr>
                <w:color w:val="000000"/>
              </w:rPr>
            </w:pPr>
            <w:r w:rsidRPr="000E5A48">
              <w:t>0.1347</w:t>
            </w:r>
          </w:p>
        </w:tc>
        <w:tc>
          <w:tcPr>
            <w:tcW w:w="1100" w:type="dxa"/>
            <w:noWrap/>
            <w:hideMark/>
          </w:tcPr>
          <w:p w14:paraId="0DA1D24F" w14:textId="0130DD36" w:rsidR="008E581C" w:rsidRPr="00BB5498" w:rsidRDefault="008E581C" w:rsidP="004E5C57">
            <w:pPr>
              <w:pStyle w:val="TableText0"/>
              <w:rPr>
                <w:color w:val="000000"/>
              </w:rPr>
            </w:pPr>
            <w:r w:rsidRPr="000E5A48">
              <w:t>0.2972</w:t>
            </w:r>
          </w:p>
        </w:tc>
      </w:tr>
      <w:tr w:rsidR="008E581C" w:rsidRPr="00BB5498" w14:paraId="3D8914A5" w14:textId="77777777" w:rsidTr="00BE0118">
        <w:trPr>
          <w:trHeight w:val="255"/>
        </w:trPr>
        <w:tc>
          <w:tcPr>
            <w:tcW w:w="982" w:type="dxa"/>
            <w:noWrap/>
            <w:hideMark/>
          </w:tcPr>
          <w:p w14:paraId="7368FECF" w14:textId="6AB46C01" w:rsidR="008E581C" w:rsidRPr="00BB5498" w:rsidRDefault="008E581C" w:rsidP="004E5C57">
            <w:pPr>
              <w:pStyle w:val="TableText0"/>
              <w:rPr>
                <w:color w:val="000000"/>
              </w:rPr>
            </w:pPr>
            <w:r w:rsidRPr="000E5A48">
              <w:t>2</w:t>
            </w:r>
          </w:p>
        </w:tc>
        <w:tc>
          <w:tcPr>
            <w:tcW w:w="1000" w:type="dxa"/>
            <w:noWrap/>
            <w:hideMark/>
          </w:tcPr>
          <w:p w14:paraId="1E043347" w14:textId="714B6DD9" w:rsidR="008E581C" w:rsidRPr="00BB5498" w:rsidRDefault="008E581C" w:rsidP="004E5C57">
            <w:pPr>
              <w:pStyle w:val="TableText0"/>
              <w:rPr>
                <w:color w:val="000000"/>
              </w:rPr>
            </w:pPr>
            <w:r w:rsidRPr="000E5A48">
              <w:t>0.8624</w:t>
            </w:r>
          </w:p>
        </w:tc>
        <w:tc>
          <w:tcPr>
            <w:tcW w:w="1009" w:type="dxa"/>
            <w:noWrap/>
            <w:hideMark/>
          </w:tcPr>
          <w:p w14:paraId="222FE9CF" w14:textId="2E8944BF" w:rsidR="008E581C" w:rsidRPr="00BB5498" w:rsidRDefault="008E581C" w:rsidP="004E5C57">
            <w:pPr>
              <w:pStyle w:val="TableText0"/>
              <w:rPr>
                <w:color w:val="000000"/>
              </w:rPr>
            </w:pPr>
            <w:r w:rsidRPr="000E5A48">
              <w:t>0.0004</w:t>
            </w:r>
          </w:p>
        </w:tc>
        <w:tc>
          <w:tcPr>
            <w:tcW w:w="1000" w:type="dxa"/>
            <w:noWrap/>
            <w:hideMark/>
          </w:tcPr>
          <w:p w14:paraId="23297AD3" w14:textId="3EE5D26E" w:rsidR="008E581C" w:rsidRPr="00BB5498" w:rsidRDefault="008E581C" w:rsidP="004E5C57">
            <w:pPr>
              <w:pStyle w:val="TableText0"/>
              <w:rPr>
                <w:color w:val="000000"/>
              </w:rPr>
            </w:pPr>
            <w:r w:rsidRPr="000E5A48">
              <w:t>0.1303</w:t>
            </w:r>
          </w:p>
        </w:tc>
        <w:tc>
          <w:tcPr>
            <w:tcW w:w="1000" w:type="dxa"/>
            <w:noWrap/>
            <w:hideMark/>
          </w:tcPr>
          <w:p w14:paraId="0959B537" w14:textId="0D62FC56" w:rsidR="008E581C" w:rsidRPr="00BB5498" w:rsidRDefault="008E581C" w:rsidP="004E5C57">
            <w:pPr>
              <w:pStyle w:val="TableText0"/>
              <w:rPr>
                <w:color w:val="000000"/>
              </w:rPr>
            </w:pPr>
            <w:r w:rsidRPr="000E5A48">
              <w:t>0.0064</w:t>
            </w:r>
          </w:p>
        </w:tc>
        <w:tc>
          <w:tcPr>
            <w:tcW w:w="1000" w:type="dxa"/>
            <w:noWrap/>
            <w:hideMark/>
          </w:tcPr>
          <w:p w14:paraId="5189BA2C" w14:textId="5A9E3CF6" w:rsidR="008E581C" w:rsidRPr="00BB5498" w:rsidRDefault="008E581C" w:rsidP="004E5C57">
            <w:pPr>
              <w:pStyle w:val="TableText0"/>
              <w:rPr>
                <w:color w:val="000000"/>
              </w:rPr>
            </w:pPr>
            <w:r w:rsidRPr="000E5A48">
              <w:t>0.0000</w:t>
            </w:r>
          </w:p>
        </w:tc>
        <w:tc>
          <w:tcPr>
            <w:tcW w:w="1000" w:type="dxa"/>
            <w:noWrap/>
            <w:hideMark/>
          </w:tcPr>
          <w:p w14:paraId="2BB816DB" w14:textId="1DDC6BA1" w:rsidR="008E581C" w:rsidRPr="00BB5498" w:rsidRDefault="008E581C" w:rsidP="004E5C57">
            <w:pPr>
              <w:pStyle w:val="TableText0"/>
              <w:rPr>
                <w:color w:val="000000"/>
              </w:rPr>
            </w:pPr>
            <w:r w:rsidRPr="000E5A48">
              <w:t>0.0000</w:t>
            </w:r>
          </w:p>
        </w:tc>
        <w:tc>
          <w:tcPr>
            <w:tcW w:w="1000" w:type="dxa"/>
            <w:noWrap/>
            <w:hideMark/>
          </w:tcPr>
          <w:p w14:paraId="5051A67A" w14:textId="74015C39" w:rsidR="008E581C" w:rsidRPr="00BB5498" w:rsidRDefault="008E581C" w:rsidP="004E5C57">
            <w:pPr>
              <w:pStyle w:val="TableText0"/>
              <w:rPr>
                <w:color w:val="000000"/>
              </w:rPr>
            </w:pPr>
            <w:r w:rsidRPr="000E5A48">
              <w:t>0.0005</w:t>
            </w:r>
          </w:p>
        </w:tc>
        <w:tc>
          <w:tcPr>
            <w:tcW w:w="1060" w:type="dxa"/>
            <w:noWrap/>
            <w:hideMark/>
          </w:tcPr>
          <w:p w14:paraId="676C64C5" w14:textId="5D28E9A6" w:rsidR="008E581C" w:rsidRPr="00BB5498" w:rsidRDefault="008E581C" w:rsidP="004E5C57">
            <w:pPr>
              <w:pStyle w:val="TableText0"/>
              <w:rPr>
                <w:color w:val="000000"/>
              </w:rPr>
            </w:pPr>
            <w:r w:rsidRPr="000E5A48">
              <w:t>$2,068</w:t>
            </w:r>
          </w:p>
        </w:tc>
        <w:tc>
          <w:tcPr>
            <w:tcW w:w="1180" w:type="dxa"/>
            <w:noWrap/>
            <w:hideMark/>
          </w:tcPr>
          <w:p w14:paraId="4462BA39" w14:textId="466667FC" w:rsidR="008E581C" w:rsidRPr="00BB5498" w:rsidRDefault="008E581C" w:rsidP="004E5C57">
            <w:pPr>
              <w:pStyle w:val="TableText0"/>
              <w:rPr>
                <w:color w:val="000000"/>
              </w:rPr>
            </w:pPr>
            <w:r w:rsidRPr="000E5A48">
              <w:t>$6,409</w:t>
            </w:r>
          </w:p>
        </w:tc>
        <w:tc>
          <w:tcPr>
            <w:tcW w:w="960" w:type="dxa"/>
            <w:noWrap/>
            <w:hideMark/>
          </w:tcPr>
          <w:p w14:paraId="1A8F02B0" w14:textId="3B5AF753" w:rsidR="008E581C" w:rsidRPr="00BB5498" w:rsidRDefault="008E581C" w:rsidP="004E5C57">
            <w:pPr>
              <w:pStyle w:val="TableText0"/>
              <w:rPr>
                <w:color w:val="000000"/>
              </w:rPr>
            </w:pPr>
            <w:r w:rsidRPr="000E5A48">
              <w:t>0.1718</w:t>
            </w:r>
          </w:p>
        </w:tc>
        <w:tc>
          <w:tcPr>
            <w:tcW w:w="1100" w:type="dxa"/>
            <w:noWrap/>
            <w:hideMark/>
          </w:tcPr>
          <w:p w14:paraId="7B66D594" w14:textId="3ECEA3A7" w:rsidR="008E581C" w:rsidRPr="00BB5498" w:rsidRDefault="008E581C" w:rsidP="004E5C57">
            <w:pPr>
              <w:pStyle w:val="TableText0"/>
              <w:rPr>
                <w:color w:val="000000"/>
              </w:rPr>
            </w:pPr>
            <w:r w:rsidRPr="000E5A48">
              <w:t>0.7027</w:t>
            </w:r>
          </w:p>
        </w:tc>
        <w:tc>
          <w:tcPr>
            <w:tcW w:w="960" w:type="dxa"/>
            <w:noWrap/>
            <w:hideMark/>
          </w:tcPr>
          <w:p w14:paraId="331C7F16" w14:textId="14DF8F12" w:rsidR="008E581C" w:rsidRPr="00BB5498" w:rsidRDefault="008E581C" w:rsidP="004E5C57">
            <w:pPr>
              <w:pStyle w:val="TableText0"/>
              <w:rPr>
                <w:color w:val="000000"/>
              </w:rPr>
            </w:pPr>
            <w:r w:rsidRPr="000E5A48">
              <w:t>0.1372</w:t>
            </w:r>
          </w:p>
        </w:tc>
        <w:tc>
          <w:tcPr>
            <w:tcW w:w="1100" w:type="dxa"/>
            <w:noWrap/>
            <w:hideMark/>
          </w:tcPr>
          <w:p w14:paraId="67442D41" w14:textId="5BFA6812" w:rsidR="008E581C" w:rsidRPr="00BB5498" w:rsidRDefault="008E581C" w:rsidP="004E5C57">
            <w:pPr>
              <w:pStyle w:val="TableText0"/>
              <w:rPr>
                <w:color w:val="000000"/>
              </w:rPr>
            </w:pPr>
            <w:r w:rsidRPr="000E5A48">
              <w:t>0.4343</w:t>
            </w:r>
          </w:p>
        </w:tc>
      </w:tr>
      <w:tr w:rsidR="008E581C" w:rsidRPr="00BB5498" w14:paraId="75E877A7" w14:textId="77777777" w:rsidTr="00BE0118">
        <w:trPr>
          <w:trHeight w:val="255"/>
        </w:trPr>
        <w:tc>
          <w:tcPr>
            <w:tcW w:w="982" w:type="dxa"/>
            <w:noWrap/>
            <w:hideMark/>
          </w:tcPr>
          <w:p w14:paraId="4EE9C559" w14:textId="6CF85E64" w:rsidR="008E581C" w:rsidRPr="00BB5498" w:rsidRDefault="008E581C" w:rsidP="004E5C57">
            <w:pPr>
              <w:pStyle w:val="TableText0"/>
              <w:rPr>
                <w:color w:val="000000"/>
              </w:rPr>
            </w:pPr>
            <w:r w:rsidRPr="000E5A48">
              <w:t>3</w:t>
            </w:r>
          </w:p>
        </w:tc>
        <w:tc>
          <w:tcPr>
            <w:tcW w:w="1000" w:type="dxa"/>
            <w:noWrap/>
            <w:hideMark/>
          </w:tcPr>
          <w:p w14:paraId="7944C524" w14:textId="2791EA62" w:rsidR="008E581C" w:rsidRPr="00BB5498" w:rsidRDefault="008E581C" w:rsidP="004E5C57">
            <w:pPr>
              <w:pStyle w:val="TableText0"/>
              <w:rPr>
                <w:color w:val="000000"/>
              </w:rPr>
            </w:pPr>
            <w:r w:rsidRPr="000E5A48">
              <w:t>0.8576</w:t>
            </w:r>
          </w:p>
        </w:tc>
        <w:tc>
          <w:tcPr>
            <w:tcW w:w="1009" w:type="dxa"/>
            <w:noWrap/>
            <w:hideMark/>
          </w:tcPr>
          <w:p w14:paraId="5E4BDFCD" w14:textId="6899C452" w:rsidR="008E581C" w:rsidRPr="00BB5498" w:rsidRDefault="008E581C" w:rsidP="004E5C57">
            <w:pPr>
              <w:pStyle w:val="TableText0"/>
              <w:rPr>
                <w:color w:val="000000"/>
              </w:rPr>
            </w:pPr>
            <w:r w:rsidRPr="000E5A48">
              <w:t>0.0007</w:t>
            </w:r>
          </w:p>
        </w:tc>
        <w:tc>
          <w:tcPr>
            <w:tcW w:w="1000" w:type="dxa"/>
            <w:noWrap/>
            <w:hideMark/>
          </w:tcPr>
          <w:p w14:paraId="1FD5A0B4" w14:textId="1323936D" w:rsidR="008E581C" w:rsidRPr="00BB5498" w:rsidRDefault="008E581C" w:rsidP="004E5C57">
            <w:pPr>
              <w:pStyle w:val="TableText0"/>
              <w:rPr>
                <w:color w:val="000000"/>
              </w:rPr>
            </w:pPr>
            <w:r w:rsidRPr="000E5A48">
              <w:t>0.1344</w:t>
            </w:r>
          </w:p>
        </w:tc>
        <w:tc>
          <w:tcPr>
            <w:tcW w:w="1000" w:type="dxa"/>
            <w:noWrap/>
            <w:hideMark/>
          </w:tcPr>
          <w:p w14:paraId="6182DC13" w14:textId="3EEDF1F7" w:rsidR="008E581C" w:rsidRPr="00BB5498" w:rsidRDefault="008E581C" w:rsidP="004E5C57">
            <w:pPr>
              <w:pStyle w:val="TableText0"/>
              <w:rPr>
                <w:color w:val="000000"/>
              </w:rPr>
            </w:pPr>
            <w:r w:rsidRPr="000E5A48">
              <w:t>0.0066</w:t>
            </w:r>
          </w:p>
        </w:tc>
        <w:tc>
          <w:tcPr>
            <w:tcW w:w="1000" w:type="dxa"/>
            <w:noWrap/>
            <w:hideMark/>
          </w:tcPr>
          <w:p w14:paraId="7441B810" w14:textId="4748A3A4" w:rsidR="008E581C" w:rsidRPr="00BB5498" w:rsidRDefault="008E581C" w:rsidP="004E5C57">
            <w:pPr>
              <w:pStyle w:val="TableText0"/>
              <w:rPr>
                <w:color w:val="000000"/>
              </w:rPr>
            </w:pPr>
            <w:r w:rsidRPr="000E5A48">
              <w:t>0.0001</w:t>
            </w:r>
          </w:p>
        </w:tc>
        <w:tc>
          <w:tcPr>
            <w:tcW w:w="1000" w:type="dxa"/>
            <w:noWrap/>
            <w:hideMark/>
          </w:tcPr>
          <w:p w14:paraId="183F44FC" w14:textId="3A28BB38" w:rsidR="008E581C" w:rsidRPr="00BB5498" w:rsidRDefault="008E581C" w:rsidP="004E5C57">
            <w:pPr>
              <w:pStyle w:val="TableText0"/>
              <w:rPr>
                <w:color w:val="000000"/>
              </w:rPr>
            </w:pPr>
            <w:r w:rsidRPr="000E5A48">
              <w:t>0.0000</w:t>
            </w:r>
          </w:p>
        </w:tc>
        <w:tc>
          <w:tcPr>
            <w:tcW w:w="1000" w:type="dxa"/>
            <w:noWrap/>
            <w:hideMark/>
          </w:tcPr>
          <w:p w14:paraId="4E464519" w14:textId="574055D1" w:rsidR="008E581C" w:rsidRPr="00BB5498" w:rsidRDefault="008E581C" w:rsidP="004E5C57">
            <w:pPr>
              <w:pStyle w:val="TableText0"/>
              <w:rPr>
                <w:color w:val="000000"/>
              </w:rPr>
            </w:pPr>
            <w:r w:rsidRPr="000E5A48">
              <w:t>0.0007</w:t>
            </w:r>
          </w:p>
        </w:tc>
        <w:tc>
          <w:tcPr>
            <w:tcW w:w="1060" w:type="dxa"/>
            <w:noWrap/>
            <w:hideMark/>
          </w:tcPr>
          <w:p w14:paraId="78D5A9D8" w14:textId="7779233B" w:rsidR="008E581C" w:rsidRPr="00BB5498" w:rsidRDefault="008E581C" w:rsidP="004E5C57">
            <w:pPr>
              <w:pStyle w:val="TableText0"/>
              <w:rPr>
                <w:color w:val="000000"/>
              </w:rPr>
            </w:pPr>
            <w:r w:rsidRPr="000E5A48">
              <w:t>$2,039</w:t>
            </w:r>
          </w:p>
        </w:tc>
        <w:tc>
          <w:tcPr>
            <w:tcW w:w="1180" w:type="dxa"/>
            <w:noWrap/>
            <w:hideMark/>
          </w:tcPr>
          <w:p w14:paraId="37E1B489" w14:textId="067C7CCC" w:rsidR="008E581C" w:rsidRPr="00BB5498" w:rsidRDefault="008E581C" w:rsidP="004E5C57">
            <w:pPr>
              <w:pStyle w:val="TableText0"/>
              <w:rPr>
                <w:color w:val="000000"/>
              </w:rPr>
            </w:pPr>
            <w:r w:rsidRPr="000E5A48">
              <w:t>$8,448</w:t>
            </w:r>
          </w:p>
        </w:tc>
        <w:tc>
          <w:tcPr>
            <w:tcW w:w="960" w:type="dxa"/>
            <w:noWrap/>
            <w:hideMark/>
          </w:tcPr>
          <w:p w14:paraId="68D7C95A" w14:textId="6ADE2817" w:rsidR="008E581C" w:rsidRPr="00BB5498" w:rsidRDefault="008E581C" w:rsidP="004E5C57">
            <w:pPr>
              <w:pStyle w:val="TableText0"/>
              <w:rPr>
                <w:color w:val="000000"/>
              </w:rPr>
            </w:pPr>
            <w:r w:rsidRPr="000E5A48">
              <w:t>0.1696</w:t>
            </w:r>
          </w:p>
        </w:tc>
        <w:tc>
          <w:tcPr>
            <w:tcW w:w="1100" w:type="dxa"/>
            <w:noWrap/>
            <w:hideMark/>
          </w:tcPr>
          <w:p w14:paraId="39547CE1" w14:textId="23E91E1D" w:rsidR="008E581C" w:rsidRPr="00BB5498" w:rsidRDefault="008E581C" w:rsidP="004E5C57">
            <w:pPr>
              <w:pStyle w:val="TableText0"/>
              <w:rPr>
                <w:color w:val="000000"/>
              </w:rPr>
            </w:pPr>
            <w:r w:rsidRPr="000E5A48">
              <w:t>0.8723</w:t>
            </w:r>
          </w:p>
        </w:tc>
        <w:tc>
          <w:tcPr>
            <w:tcW w:w="960" w:type="dxa"/>
            <w:noWrap/>
            <w:hideMark/>
          </w:tcPr>
          <w:p w14:paraId="79478EE3" w14:textId="29FB2ED2" w:rsidR="008E581C" w:rsidRPr="00BB5498" w:rsidRDefault="008E581C" w:rsidP="004E5C57">
            <w:pPr>
              <w:pStyle w:val="TableText0"/>
              <w:rPr>
                <w:color w:val="000000"/>
              </w:rPr>
            </w:pPr>
            <w:r w:rsidRPr="000E5A48">
              <w:t>0.1348</w:t>
            </w:r>
          </w:p>
        </w:tc>
        <w:tc>
          <w:tcPr>
            <w:tcW w:w="1100" w:type="dxa"/>
            <w:noWrap/>
            <w:hideMark/>
          </w:tcPr>
          <w:p w14:paraId="4941A1C9" w14:textId="4462AFBE" w:rsidR="008E581C" w:rsidRPr="00BB5498" w:rsidRDefault="008E581C" w:rsidP="004E5C57">
            <w:pPr>
              <w:pStyle w:val="TableText0"/>
              <w:rPr>
                <w:color w:val="000000"/>
              </w:rPr>
            </w:pPr>
            <w:r w:rsidRPr="000E5A48">
              <w:t>0.5691</w:t>
            </w:r>
          </w:p>
        </w:tc>
      </w:tr>
      <w:tr w:rsidR="008E581C" w:rsidRPr="00BB5498" w14:paraId="116251C8" w14:textId="77777777" w:rsidTr="00BE0118">
        <w:trPr>
          <w:trHeight w:val="255"/>
        </w:trPr>
        <w:tc>
          <w:tcPr>
            <w:tcW w:w="982" w:type="dxa"/>
            <w:noWrap/>
            <w:hideMark/>
          </w:tcPr>
          <w:p w14:paraId="7243477D" w14:textId="38CEC3AC" w:rsidR="008E581C" w:rsidRPr="00BB5498" w:rsidRDefault="008E581C" w:rsidP="004E5C57">
            <w:pPr>
              <w:pStyle w:val="TableText0"/>
              <w:rPr>
                <w:color w:val="000000"/>
              </w:rPr>
            </w:pPr>
            <w:r w:rsidRPr="000E5A48">
              <w:t>4</w:t>
            </w:r>
          </w:p>
        </w:tc>
        <w:tc>
          <w:tcPr>
            <w:tcW w:w="1000" w:type="dxa"/>
            <w:noWrap/>
            <w:hideMark/>
          </w:tcPr>
          <w:p w14:paraId="1A1A7023" w14:textId="7296CCA8" w:rsidR="008E581C" w:rsidRPr="00BB5498" w:rsidRDefault="008E581C" w:rsidP="004E5C57">
            <w:pPr>
              <w:pStyle w:val="TableText0"/>
              <w:rPr>
                <w:color w:val="000000"/>
              </w:rPr>
            </w:pPr>
            <w:r w:rsidRPr="000E5A48">
              <w:t>0.8577</w:t>
            </w:r>
          </w:p>
        </w:tc>
        <w:tc>
          <w:tcPr>
            <w:tcW w:w="1009" w:type="dxa"/>
            <w:noWrap/>
            <w:hideMark/>
          </w:tcPr>
          <w:p w14:paraId="034CAD95" w14:textId="21207184" w:rsidR="008E581C" w:rsidRPr="00BB5498" w:rsidRDefault="008E581C" w:rsidP="004E5C57">
            <w:pPr>
              <w:pStyle w:val="TableText0"/>
              <w:rPr>
                <w:color w:val="000000"/>
              </w:rPr>
            </w:pPr>
            <w:r w:rsidRPr="000E5A48">
              <w:t>0.0010</w:t>
            </w:r>
          </w:p>
        </w:tc>
        <w:tc>
          <w:tcPr>
            <w:tcW w:w="1000" w:type="dxa"/>
            <w:noWrap/>
            <w:hideMark/>
          </w:tcPr>
          <w:p w14:paraId="2FABEFD1" w14:textId="0E67C63F" w:rsidR="008E581C" w:rsidRPr="00BB5498" w:rsidRDefault="008E581C" w:rsidP="004E5C57">
            <w:pPr>
              <w:pStyle w:val="TableText0"/>
              <w:rPr>
                <w:color w:val="000000"/>
              </w:rPr>
            </w:pPr>
            <w:r w:rsidRPr="000E5A48">
              <w:t>0.1336</w:t>
            </w:r>
          </w:p>
        </w:tc>
        <w:tc>
          <w:tcPr>
            <w:tcW w:w="1000" w:type="dxa"/>
            <w:noWrap/>
            <w:hideMark/>
          </w:tcPr>
          <w:p w14:paraId="721BF1BA" w14:textId="6356FDBF" w:rsidR="008E581C" w:rsidRPr="00BB5498" w:rsidRDefault="008E581C" w:rsidP="004E5C57">
            <w:pPr>
              <w:pStyle w:val="TableText0"/>
              <w:rPr>
                <w:color w:val="000000"/>
              </w:rPr>
            </w:pPr>
            <w:r w:rsidRPr="000E5A48">
              <w:t>0.0066</w:t>
            </w:r>
          </w:p>
        </w:tc>
        <w:tc>
          <w:tcPr>
            <w:tcW w:w="1000" w:type="dxa"/>
            <w:noWrap/>
            <w:hideMark/>
          </w:tcPr>
          <w:p w14:paraId="35156462" w14:textId="1FA774E9" w:rsidR="008E581C" w:rsidRPr="00BB5498" w:rsidRDefault="008E581C" w:rsidP="004E5C57">
            <w:pPr>
              <w:pStyle w:val="TableText0"/>
              <w:rPr>
                <w:color w:val="000000"/>
              </w:rPr>
            </w:pPr>
            <w:r w:rsidRPr="000E5A48">
              <w:t>0.0001</w:t>
            </w:r>
          </w:p>
        </w:tc>
        <w:tc>
          <w:tcPr>
            <w:tcW w:w="1000" w:type="dxa"/>
            <w:noWrap/>
            <w:hideMark/>
          </w:tcPr>
          <w:p w14:paraId="10B8C82A" w14:textId="191FF530" w:rsidR="008E581C" w:rsidRPr="00BB5498" w:rsidRDefault="008E581C" w:rsidP="004E5C57">
            <w:pPr>
              <w:pStyle w:val="TableText0"/>
              <w:rPr>
                <w:color w:val="000000"/>
              </w:rPr>
            </w:pPr>
            <w:r w:rsidRPr="000E5A48">
              <w:t>0.0000</w:t>
            </w:r>
          </w:p>
        </w:tc>
        <w:tc>
          <w:tcPr>
            <w:tcW w:w="1000" w:type="dxa"/>
            <w:noWrap/>
            <w:hideMark/>
          </w:tcPr>
          <w:p w14:paraId="1BE3AE74" w14:textId="044AFBE3" w:rsidR="008E581C" w:rsidRPr="00BB5498" w:rsidRDefault="008E581C" w:rsidP="004E5C57">
            <w:pPr>
              <w:pStyle w:val="TableText0"/>
              <w:rPr>
                <w:color w:val="000000"/>
              </w:rPr>
            </w:pPr>
            <w:r w:rsidRPr="000E5A48">
              <w:t>0.0010</w:t>
            </w:r>
          </w:p>
        </w:tc>
        <w:tc>
          <w:tcPr>
            <w:tcW w:w="1060" w:type="dxa"/>
            <w:noWrap/>
            <w:hideMark/>
          </w:tcPr>
          <w:p w14:paraId="08A85EA7" w14:textId="6ACEEE38" w:rsidR="008E581C" w:rsidRPr="00BB5498" w:rsidRDefault="008E581C" w:rsidP="004E5C57">
            <w:pPr>
              <w:pStyle w:val="TableText0"/>
              <w:rPr>
                <w:color w:val="000000"/>
              </w:rPr>
            </w:pPr>
            <w:r w:rsidRPr="000E5A48">
              <w:t>$2,015</w:t>
            </w:r>
          </w:p>
        </w:tc>
        <w:tc>
          <w:tcPr>
            <w:tcW w:w="1180" w:type="dxa"/>
            <w:noWrap/>
            <w:hideMark/>
          </w:tcPr>
          <w:p w14:paraId="3E43DD39" w14:textId="50365DE7" w:rsidR="008E581C" w:rsidRPr="00BB5498" w:rsidRDefault="008E581C" w:rsidP="004E5C57">
            <w:pPr>
              <w:pStyle w:val="TableText0"/>
              <w:rPr>
                <w:color w:val="000000"/>
              </w:rPr>
            </w:pPr>
            <w:r w:rsidRPr="000E5A48">
              <w:t>$10,463</w:t>
            </w:r>
          </w:p>
        </w:tc>
        <w:tc>
          <w:tcPr>
            <w:tcW w:w="960" w:type="dxa"/>
            <w:noWrap/>
            <w:hideMark/>
          </w:tcPr>
          <w:p w14:paraId="4C8AA228" w14:textId="085E7929" w:rsidR="008E581C" w:rsidRPr="00BB5498" w:rsidRDefault="008E581C" w:rsidP="004E5C57">
            <w:pPr>
              <w:pStyle w:val="TableText0"/>
              <w:rPr>
                <w:color w:val="000000"/>
              </w:rPr>
            </w:pPr>
            <w:r w:rsidRPr="000E5A48">
              <w:t>0.1675</w:t>
            </w:r>
          </w:p>
        </w:tc>
        <w:tc>
          <w:tcPr>
            <w:tcW w:w="1100" w:type="dxa"/>
            <w:noWrap/>
            <w:hideMark/>
          </w:tcPr>
          <w:p w14:paraId="7D7BB92F" w14:textId="54B3B0A0" w:rsidR="008E581C" w:rsidRPr="00BB5498" w:rsidRDefault="008E581C" w:rsidP="004E5C57">
            <w:pPr>
              <w:pStyle w:val="TableText0"/>
              <w:rPr>
                <w:color w:val="000000"/>
              </w:rPr>
            </w:pPr>
            <w:r w:rsidRPr="000E5A48">
              <w:t>1.0398</w:t>
            </w:r>
          </w:p>
        </w:tc>
        <w:tc>
          <w:tcPr>
            <w:tcW w:w="960" w:type="dxa"/>
            <w:noWrap/>
            <w:hideMark/>
          </w:tcPr>
          <w:p w14:paraId="0E7C4C6B" w14:textId="67EF97A7" w:rsidR="008E581C" w:rsidRPr="00BB5498" w:rsidRDefault="008E581C" w:rsidP="004E5C57">
            <w:pPr>
              <w:pStyle w:val="TableText0"/>
              <w:rPr>
                <w:color w:val="000000"/>
              </w:rPr>
            </w:pPr>
            <w:r w:rsidRPr="000E5A48">
              <w:t>0.1332</w:t>
            </w:r>
          </w:p>
        </w:tc>
        <w:tc>
          <w:tcPr>
            <w:tcW w:w="1100" w:type="dxa"/>
            <w:noWrap/>
            <w:hideMark/>
          </w:tcPr>
          <w:p w14:paraId="518C6097" w14:textId="3FA6C5C9" w:rsidR="008E581C" w:rsidRPr="00BB5498" w:rsidRDefault="008E581C" w:rsidP="004E5C57">
            <w:pPr>
              <w:pStyle w:val="TableText0"/>
              <w:rPr>
                <w:color w:val="000000"/>
              </w:rPr>
            </w:pPr>
            <w:r w:rsidRPr="000E5A48">
              <w:t>0.7024</w:t>
            </w:r>
          </w:p>
        </w:tc>
      </w:tr>
      <w:tr w:rsidR="008E581C" w:rsidRPr="00BB5498" w14:paraId="44DF5DD5" w14:textId="77777777" w:rsidTr="00BE0118">
        <w:trPr>
          <w:trHeight w:val="255"/>
        </w:trPr>
        <w:tc>
          <w:tcPr>
            <w:tcW w:w="982" w:type="dxa"/>
            <w:noWrap/>
            <w:hideMark/>
          </w:tcPr>
          <w:p w14:paraId="03E81FBB" w14:textId="6CCDE7AE" w:rsidR="008E581C" w:rsidRPr="00BB5498" w:rsidRDefault="008E581C" w:rsidP="004E5C57">
            <w:pPr>
              <w:pStyle w:val="TableText0"/>
              <w:rPr>
                <w:color w:val="000000"/>
              </w:rPr>
            </w:pPr>
            <w:r w:rsidRPr="000E5A48">
              <w:t>5</w:t>
            </w:r>
          </w:p>
        </w:tc>
        <w:tc>
          <w:tcPr>
            <w:tcW w:w="1000" w:type="dxa"/>
            <w:noWrap/>
            <w:hideMark/>
          </w:tcPr>
          <w:p w14:paraId="7B15F3A4" w14:textId="0E5905A3" w:rsidR="008E581C" w:rsidRPr="00BB5498" w:rsidRDefault="008E581C" w:rsidP="004E5C57">
            <w:pPr>
              <w:pStyle w:val="TableText0"/>
              <w:rPr>
                <w:color w:val="000000"/>
              </w:rPr>
            </w:pPr>
            <w:r w:rsidRPr="000E5A48">
              <w:t>0.8571</w:t>
            </w:r>
          </w:p>
        </w:tc>
        <w:tc>
          <w:tcPr>
            <w:tcW w:w="1009" w:type="dxa"/>
            <w:noWrap/>
            <w:hideMark/>
          </w:tcPr>
          <w:p w14:paraId="1430C8F3" w14:textId="358EDBB8" w:rsidR="008E581C" w:rsidRPr="00BB5498" w:rsidRDefault="008E581C" w:rsidP="004E5C57">
            <w:pPr>
              <w:pStyle w:val="TableText0"/>
              <w:rPr>
                <w:color w:val="000000"/>
              </w:rPr>
            </w:pPr>
            <w:r w:rsidRPr="000E5A48">
              <w:t>0.0012</w:t>
            </w:r>
          </w:p>
        </w:tc>
        <w:tc>
          <w:tcPr>
            <w:tcW w:w="1000" w:type="dxa"/>
            <w:noWrap/>
            <w:hideMark/>
          </w:tcPr>
          <w:p w14:paraId="2E99DB2F" w14:textId="611C2CBD" w:rsidR="008E581C" w:rsidRPr="00BB5498" w:rsidRDefault="008E581C" w:rsidP="004E5C57">
            <w:pPr>
              <w:pStyle w:val="TableText0"/>
              <w:rPr>
                <w:color w:val="000000"/>
              </w:rPr>
            </w:pPr>
            <w:r w:rsidRPr="000E5A48">
              <w:t>0.1337</w:t>
            </w:r>
          </w:p>
        </w:tc>
        <w:tc>
          <w:tcPr>
            <w:tcW w:w="1000" w:type="dxa"/>
            <w:noWrap/>
            <w:hideMark/>
          </w:tcPr>
          <w:p w14:paraId="5F7A69CC" w14:textId="773A1105" w:rsidR="008E581C" w:rsidRPr="00BB5498" w:rsidRDefault="008E581C" w:rsidP="004E5C57">
            <w:pPr>
              <w:pStyle w:val="TableText0"/>
              <w:rPr>
                <w:color w:val="000000"/>
              </w:rPr>
            </w:pPr>
            <w:r w:rsidRPr="000E5A48">
              <w:t>0.0066</w:t>
            </w:r>
          </w:p>
        </w:tc>
        <w:tc>
          <w:tcPr>
            <w:tcW w:w="1000" w:type="dxa"/>
            <w:noWrap/>
            <w:hideMark/>
          </w:tcPr>
          <w:p w14:paraId="76399B23" w14:textId="224F1A66" w:rsidR="008E581C" w:rsidRPr="00BB5498" w:rsidRDefault="008E581C" w:rsidP="004E5C57">
            <w:pPr>
              <w:pStyle w:val="TableText0"/>
              <w:rPr>
                <w:color w:val="000000"/>
              </w:rPr>
            </w:pPr>
            <w:r w:rsidRPr="000E5A48">
              <w:t>0.0001</w:t>
            </w:r>
          </w:p>
        </w:tc>
        <w:tc>
          <w:tcPr>
            <w:tcW w:w="1000" w:type="dxa"/>
            <w:noWrap/>
            <w:hideMark/>
          </w:tcPr>
          <w:p w14:paraId="1B017A5D" w14:textId="59293BC2" w:rsidR="008E581C" w:rsidRPr="00BB5498" w:rsidRDefault="008E581C" w:rsidP="004E5C57">
            <w:pPr>
              <w:pStyle w:val="TableText0"/>
              <w:rPr>
                <w:color w:val="000000"/>
              </w:rPr>
            </w:pPr>
            <w:r w:rsidRPr="000E5A48">
              <w:t>0.0000</w:t>
            </w:r>
          </w:p>
        </w:tc>
        <w:tc>
          <w:tcPr>
            <w:tcW w:w="1000" w:type="dxa"/>
            <w:noWrap/>
            <w:hideMark/>
          </w:tcPr>
          <w:p w14:paraId="22C003F3" w14:textId="28D9E925" w:rsidR="008E581C" w:rsidRPr="00BB5498" w:rsidRDefault="008E581C" w:rsidP="004E5C57">
            <w:pPr>
              <w:pStyle w:val="TableText0"/>
              <w:rPr>
                <w:color w:val="000000"/>
              </w:rPr>
            </w:pPr>
            <w:r w:rsidRPr="000E5A48">
              <w:t>0.0012</w:t>
            </w:r>
          </w:p>
        </w:tc>
        <w:tc>
          <w:tcPr>
            <w:tcW w:w="1060" w:type="dxa"/>
            <w:noWrap/>
            <w:hideMark/>
          </w:tcPr>
          <w:p w14:paraId="3B6443AA" w14:textId="72271446" w:rsidR="008E581C" w:rsidRPr="00BB5498" w:rsidRDefault="008E581C" w:rsidP="004E5C57">
            <w:pPr>
              <w:pStyle w:val="TableText0"/>
              <w:rPr>
                <w:color w:val="000000"/>
              </w:rPr>
            </w:pPr>
            <w:r w:rsidRPr="000E5A48">
              <w:t>$1,990</w:t>
            </w:r>
          </w:p>
        </w:tc>
        <w:tc>
          <w:tcPr>
            <w:tcW w:w="1180" w:type="dxa"/>
            <w:noWrap/>
            <w:hideMark/>
          </w:tcPr>
          <w:p w14:paraId="1084A80D" w14:textId="5127C9A4" w:rsidR="008E581C" w:rsidRPr="00BB5498" w:rsidRDefault="008E581C" w:rsidP="004E5C57">
            <w:pPr>
              <w:pStyle w:val="TableText0"/>
              <w:rPr>
                <w:color w:val="000000"/>
              </w:rPr>
            </w:pPr>
            <w:r w:rsidRPr="000E5A48">
              <w:t>$12,452</w:t>
            </w:r>
          </w:p>
        </w:tc>
        <w:tc>
          <w:tcPr>
            <w:tcW w:w="960" w:type="dxa"/>
            <w:noWrap/>
            <w:hideMark/>
          </w:tcPr>
          <w:p w14:paraId="4C2FC5A7" w14:textId="1620520D" w:rsidR="008E581C" w:rsidRPr="00BB5498" w:rsidRDefault="008E581C" w:rsidP="004E5C57">
            <w:pPr>
              <w:pStyle w:val="TableText0"/>
              <w:rPr>
                <w:color w:val="000000"/>
              </w:rPr>
            </w:pPr>
            <w:r w:rsidRPr="000E5A48">
              <w:t>0.1654</w:t>
            </w:r>
          </w:p>
        </w:tc>
        <w:tc>
          <w:tcPr>
            <w:tcW w:w="1100" w:type="dxa"/>
            <w:noWrap/>
            <w:hideMark/>
          </w:tcPr>
          <w:p w14:paraId="5FBE63B8" w14:textId="0992BC8F" w:rsidR="008E581C" w:rsidRPr="00BB5498" w:rsidRDefault="008E581C" w:rsidP="004E5C57">
            <w:pPr>
              <w:pStyle w:val="TableText0"/>
              <w:rPr>
                <w:color w:val="000000"/>
              </w:rPr>
            </w:pPr>
            <w:r w:rsidRPr="000E5A48">
              <w:t>1.2051</w:t>
            </w:r>
          </w:p>
        </w:tc>
        <w:tc>
          <w:tcPr>
            <w:tcW w:w="960" w:type="dxa"/>
            <w:noWrap/>
            <w:hideMark/>
          </w:tcPr>
          <w:p w14:paraId="260471B2" w14:textId="26B525E4" w:rsidR="008E581C" w:rsidRPr="00BB5498" w:rsidRDefault="008E581C" w:rsidP="004E5C57">
            <w:pPr>
              <w:pStyle w:val="TableText0"/>
              <w:rPr>
                <w:color w:val="000000"/>
              </w:rPr>
            </w:pPr>
            <w:r w:rsidRPr="000E5A48">
              <w:t>0.1316</w:t>
            </w:r>
          </w:p>
        </w:tc>
        <w:tc>
          <w:tcPr>
            <w:tcW w:w="1100" w:type="dxa"/>
            <w:noWrap/>
            <w:hideMark/>
          </w:tcPr>
          <w:p w14:paraId="138A8A11" w14:textId="2C0B7018" w:rsidR="008E581C" w:rsidRPr="00BB5498" w:rsidRDefault="008E581C" w:rsidP="004E5C57">
            <w:pPr>
              <w:pStyle w:val="TableText0"/>
              <w:rPr>
                <w:color w:val="000000"/>
              </w:rPr>
            </w:pPr>
            <w:r w:rsidRPr="000E5A48">
              <w:t>0.8339</w:t>
            </w:r>
          </w:p>
        </w:tc>
      </w:tr>
      <w:tr w:rsidR="008E581C" w:rsidRPr="00BB5498" w14:paraId="69343F87" w14:textId="77777777" w:rsidTr="00BE0118">
        <w:trPr>
          <w:trHeight w:val="255"/>
        </w:trPr>
        <w:tc>
          <w:tcPr>
            <w:tcW w:w="982" w:type="dxa"/>
            <w:noWrap/>
            <w:hideMark/>
          </w:tcPr>
          <w:p w14:paraId="481F7BEF" w14:textId="77289FD3" w:rsidR="008E581C" w:rsidRPr="00BB5498" w:rsidRDefault="008E581C" w:rsidP="004E5C57">
            <w:pPr>
              <w:pStyle w:val="TableText0"/>
              <w:rPr>
                <w:color w:val="000000"/>
              </w:rPr>
            </w:pPr>
            <w:r w:rsidRPr="000E5A48">
              <w:t>6</w:t>
            </w:r>
          </w:p>
        </w:tc>
        <w:tc>
          <w:tcPr>
            <w:tcW w:w="1000" w:type="dxa"/>
            <w:noWrap/>
            <w:hideMark/>
          </w:tcPr>
          <w:p w14:paraId="7AE26B91" w14:textId="47F396BC" w:rsidR="008E581C" w:rsidRPr="00BB5498" w:rsidRDefault="008E581C" w:rsidP="004E5C57">
            <w:pPr>
              <w:pStyle w:val="TableText0"/>
              <w:rPr>
                <w:color w:val="000000"/>
              </w:rPr>
            </w:pPr>
            <w:r w:rsidRPr="000E5A48">
              <w:t>0.8566</w:t>
            </w:r>
          </w:p>
        </w:tc>
        <w:tc>
          <w:tcPr>
            <w:tcW w:w="1009" w:type="dxa"/>
            <w:noWrap/>
            <w:hideMark/>
          </w:tcPr>
          <w:p w14:paraId="5B45A185" w14:textId="4F23B5A5" w:rsidR="008E581C" w:rsidRPr="00BB5498" w:rsidRDefault="008E581C" w:rsidP="004E5C57">
            <w:pPr>
              <w:pStyle w:val="TableText0"/>
              <w:rPr>
                <w:color w:val="000000"/>
              </w:rPr>
            </w:pPr>
            <w:r w:rsidRPr="000E5A48">
              <w:t>0.0015</w:t>
            </w:r>
          </w:p>
        </w:tc>
        <w:tc>
          <w:tcPr>
            <w:tcW w:w="1000" w:type="dxa"/>
            <w:noWrap/>
            <w:hideMark/>
          </w:tcPr>
          <w:p w14:paraId="1952514C" w14:textId="14D1DF67" w:rsidR="008E581C" w:rsidRPr="00BB5498" w:rsidRDefault="008E581C" w:rsidP="004E5C57">
            <w:pPr>
              <w:pStyle w:val="TableText0"/>
              <w:rPr>
                <w:color w:val="000000"/>
              </w:rPr>
            </w:pPr>
            <w:r w:rsidRPr="000E5A48">
              <w:t>0.1336</w:t>
            </w:r>
          </w:p>
        </w:tc>
        <w:tc>
          <w:tcPr>
            <w:tcW w:w="1000" w:type="dxa"/>
            <w:noWrap/>
            <w:hideMark/>
          </w:tcPr>
          <w:p w14:paraId="06058C42" w14:textId="4DD5C8BE" w:rsidR="008E581C" w:rsidRPr="00BB5498" w:rsidRDefault="008E581C" w:rsidP="004E5C57">
            <w:pPr>
              <w:pStyle w:val="TableText0"/>
              <w:rPr>
                <w:color w:val="000000"/>
              </w:rPr>
            </w:pPr>
            <w:r w:rsidRPr="000E5A48">
              <w:t>0.0066</w:t>
            </w:r>
          </w:p>
        </w:tc>
        <w:tc>
          <w:tcPr>
            <w:tcW w:w="1000" w:type="dxa"/>
            <w:noWrap/>
            <w:hideMark/>
          </w:tcPr>
          <w:p w14:paraId="1DE26392" w14:textId="436ED283" w:rsidR="008E581C" w:rsidRPr="00BB5498" w:rsidRDefault="008E581C" w:rsidP="004E5C57">
            <w:pPr>
              <w:pStyle w:val="TableText0"/>
              <w:rPr>
                <w:color w:val="000000"/>
              </w:rPr>
            </w:pPr>
            <w:r w:rsidRPr="000E5A48">
              <w:t>0.0002</w:t>
            </w:r>
          </w:p>
        </w:tc>
        <w:tc>
          <w:tcPr>
            <w:tcW w:w="1000" w:type="dxa"/>
            <w:noWrap/>
            <w:hideMark/>
          </w:tcPr>
          <w:p w14:paraId="1112963C" w14:textId="37B7AFF7" w:rsidR="008E581C" w:rsidRPr="00BB5498" w:rsidRDefault="008E581C" w:rsidP="004E5C57">
            <w:pPr>
              <w:pStyle w:val="TableText0"/>
              <w:rPr>
                <w:color w:val="000000"/>
              </w:rPr>
            </w:pPr>
            <w:r w:rsidRPr="000E5A48">
              <w:t>0.0000</w:t>
            </w:r>
          </w:p>
        </w:tc>
        <w:tc>
          <w:tcPr>
            <w:tcW w:w="1000" w:type="dxa"/>
            <w:noWrap/>
            <w:hideMark/>
          </w:tcPr>
          <w:p w14:paraId="111A2622" w14:textId="4BED0B94" w:rsidR="008E581C" w:rsidRPr="00BB5498" w:rsidRDefault="008E581C" w:rsidP="004E5C57">
            <w:pPr>
              <w:pStyle w:val="TableText0"/>
              <w:rPr>
                <w:color w:val="000000"/>
              </w:rPr>
            </w:pPr>
            <w:r w:rsidRPr="000E5A48">
              <w:t>0.0015</w:t>
            </w:r>
          </w:p>
        </w:tc>
        <w:tc>
          <w:tcPr>
            <w:tcW w:w="1060" w:type="dxa"/>
            <w:noWrap/>
            <w:hideMark/>
          </w:tcPr>
          <w:p w14:paraId="3335B1E1" w14:textId="7CC27E60" w:rsidR="008E581C" w:rsidRPr="00BB5498" w:rsidRDefault="008E581C" w:rsidP="004E5C57">
            <w:pPr>
              <w:pStyle w:val="TableText0"/>
              <w:rPr>
                <w:color w:val="000000"/>
              </w:rPr>
            </w:pPr>
            <w:r w:rsidRPr="000E5A48">
              <w:t>$1,965</w:t>
            </w:r>
          </w:p>
        </w:tc>
        <w:tc>
          <w:tcPr>
            <w:tcW w:w="1180" w:type="dxa"/>
            <w:noWrap/>
            <w:hideMark/>
          </w:tcPr>
          <w:p w14:paraId="2DF5E22D" w14:textId="105ECDD0" w:rsidR="008E581C" w:rsidRPr="00BB5498" w:rsidRDefault="008E581C" w:rsidP="004E5C57">
            <w:pPr>
              <w:pStyle w:val="TableText0"/>
              <w:rPr>
                <w:color w:val="000000"/>
              </w:rPr>
            </w:pPr>
            <w:r w:rsidRPr="000E5A48">
              <w:t>$14,418</w:t>
            </w:r>
          </w:p>
        </w:tc>
        <w:tc>
          <w:tcPr>
            <w:tcW w:w="960" w:type="dxa"/>
            <w:noWrap/>
            <w:hideMark/>
          </w:tcPr>
          <w:p w14:paraId="4CF29F3B" w14:textId="47816D93" w:rsidR="008E581C" w:rsidRPr="00BB5498" w:rsidRDefault="008E581C" w:rsidP="004E5C57">
            <w:pPr>
              <w:pStyle w:val="TableText0"/>
              <w:rPr>
                <w:color w:val="000000"/>
              </w:rPr>
            </w:pPr>
            <w:r w:rsidRPr="000E5A48">
              <w:t>0.1633</w:t>
            </w:r>
          </w:p>
        </w:tc>
        <w:tc>
          <w:tcPr>
            <w:tcW w:w="1100" w:type="dxa"/>
            <w:noWrap/>
            <w:hideMark/>
          </w:tcPr>
          <w:p w14:paraId="12D36DD5" w14:textId="26906D1B" w:rsidR="008E581C" w:rsidRPr="00BB5498" w:rsidRDefault="008E581C" w:rsidP="004E5C57">
            <w:pPr>
              <w:pStyle w:val="TableText0"/>
              <w:rPr>
                <w:color w:val="000000"/>
              </w:rPr>
            </w:pPr>
            <w:r w:rsidRPr="000E5A48">
              <w:t>1.3684</w:t>
            </w:r>
          </w:p>
        </w:tc>
        <w:tc>
          <w:tcPr>
            <w:tcW w:w="960" w:type="dxa"/>
            <w:noWrap/>
            <w:hideMark/>
          </w:tcPr>
          <w:p w14:paraId="54293E39" w14:textId="2B342E5A" w:rsidR="008E581C" w:rsidRPr="00BB5498" w:rsidRDefault="008E581C" w:rsidP="004E5C57">
            <w:pPr>
              <w:pStyle w:val="TableText0"/>
              <w:rPr>
                <w:color w:val="000000"/>
              </w:rPr>
            </w:pPr>
            <w:r w:rsidRPr="000E5A48">
              <w:t>0.1299</w:t>
            </w:r>
          </w:p>
        </w:tc>
        <w:tc>
          <w:tcPr>
            <w:tcW w:w="1100" w:type="dxa"/>
            <w:noWrap/>
            <w:hideMark/>
          </w:tcPr>
          <w:p w14:paraId="4D44F33D" w14:textId="1DEF31C4" w:rsidR="008E581C" w:rsidRPr="00BB5498" w:rsidRDefault="008E581C" w:rsidP="004E5C57">
            <w:pPr>
              <w:pStyle w:val="TableText0"/>
              <w:rPr>
                <w:color w:val="000000"/>
              </w:rPr>
            </w:pPr>
            <w:r w:rsidRPr="000E5A48">
              <w:t>0.9639</w:t>
            </w:r>
          </w:p>
        </w:tc>
      </w:tr>
      <w:tr w:rsidR="008E581C" w:rsidRPr="00BB5498" w14:paraId="34888CEE" w14:textId="77777777" w:rsidTr="00BE0118">
        <w:trPr>
          <w:trHeight w:val="255"/>
        </w:trPr>
        <w:tc>
          <w:tcPr>
            <w:tcW w:w="982" w:type="dxa"/>
            <w:noWrap/>
            <w:hideMark/>
          </w:tcPr>
          <w:p w14:paraId="14760C1E" w14:textId="6209E5DE" w:rsidR="008E581C" w:rsidRPr="00BB5498" w:rsidRDefault="008E581C" w:rsidP="004E5C57">
            <w:pPr>
              <w:pStyle w:val="TableText0"/>
              <w:rPr>
                <w:color w:val="000000"/>
              </w:rPr>
            </w:pPr>
            <w:r w:rsidRPr="000E5A48">
              <w:t>7</w:t>
            </w:r>
          </w:p>
        </w:tc>
        <w:tc>
          <w:tcPr>
            <w:tcW w:w="1000" w:type="dxa"/>
            <w:noWrap/>
            <w:hideMark/>
          </w:tcPr>
          <w:p w14:paraId="0FBB87DC" w14:textId="7A68CF32" w:rsidR="008E581C" w:rsidRPr="00BB5498" w:rsidRDefault="008E581C" w:rsidP="004E5C57">
            <w:pPr>
              <w:pStyle w:val="TableText0"/>
              <w:rPr>
                <w:color w:val="000000"/>
              </w:rPr>
            </w:pPr>
            <w:r w:rsidRPr="000E5A48">
              <w:t>0.8561</w:t>
            </w:r>
          </w:p>
        </w:tc>
        <w:tc>
          <w:tcPr>
            <w:tcW w:w="1009" w:type="dxa"/>
            <w:noWrap/>
            <w:hideMark/>
          </w:tcPr>
          <w:p w14:paraId="2857B5CD" w14:textId="66D1DDC3" w:rsidR="008E581C" w:rsidRPr="00BB5498" w:rsidRDefault="008E581C" w:rsidP="004E5C57">
            <w:pPr>
              <w:pStyle w:val="TableText0"/>
              <w:rPr>
                <w:color w:val="000000"/>
              </w:rPr>
            </w:pPr>
            <w:r w:rsidRPr="000E5A48">
              <w:t>0.0018</w:t>
            </w:r>
          </w:p>
        </w:tc>
        <w:tc>
          <w:tcPr>
            <w:tcW w:w="1000" w:type="dxa"/>
            <w:noWrap/>
            <w:hideMark/>
          </w:tcPr>
          <w:p w14:paraId="47E639C3" w14:textId="46B48C41" w:rsidR="008E581C" w:rsidRPr="00BB5498" w:rsidRDefault="008E581C" w:rsidP="004E5C57">
            <w:pPr>
              <w:pStyle w:val="TableText0"/>
              <w:rPr>
                <w:color w:val="000000"/>
              </w:rPr>
            </w:pPr>
            <w:r w:rsidRPr="000E5A48">
              <w:t>0.1335</w:t>
            </w:r>
          </w:p>
        </w:tc>
        <w:tc>
          <w:tcPr>
            <w:tcW w:w="1000" w:type="dxa"/>
            <w:noWrap/>
            <w:hideMark/>
          </w:tcPr>
          <w:p w14:paraId="6642C1D5" w14:textId="0DD871F7" w:rsidR="008E581C" w:rsidRPr="00BB5498" w:rsidRDefault="008E581C" w:rsidP="004E5C57">
            <w:pPr>
              <w:pStyle w:val="TableText0"/>
              <w:rPr>
                <w:color w:val="000000"/>
              </w:rPr>
            </w:pPr>
            <w:r w:rsidRPr="000E5A48">
              <w:t>0.0066</w:t>
            </w:r>
          </w:p>
        </w:tc>
        <w:tc>
          <w:tcPr>
            <w:tcW w:w="1000" w:type="dxa"/>
            <w:noWrap/>
            <w:hideMark/>
          </w:tcPr>
          <w:p w14:paraId="2A12F9F9" w14:textId="57EB0892" w:rsidR="008E581C" w:rsidRPr="00BB5498" w:rsidRDefault="008E581C" w:rsidP="004E5C57">
            <w:pPr>
              <w:pStyle w:val="TableText0"/>
              <w:rPr>
                <w:color w:val="000000"/>
              </w:rPr>
            </w:pPr>
            <w:r w:rsidRPr="000E5A48">
              <w:t>0.0002</w:t>
            </w:r>
          </w:p>
        </w:tc>
        <w:tc>
          <w:tcPr>
            <w:tcW w:w="1000" w:type="dxa"/>
            <w:noWrap/>
            <w:hideMark/>
          </w:tcPr>
          <w:p w14:paraId="350C8705" w14:textId="23383F25" w:rsidR="008E581C" w:rsidRPr="00BB5498" w:rsidRDefault="008E581C" w:rsidP="004E5C57">
            <w:pPr>
              <w:pStyle w:val="TableText0"/>
              <w:rPr>
                <w:color w:val="000000"/>
              </w:rPr>
            </w:pPr>
            <w:r w:rsidRPr="000E5A48">
              <w:t>0.0000</w:t>
            </w:r>
          </w:p>
        </w:tc>
        <w:tc>
          <w:tcPr>
            <w:tcW w:w="1000" w:type="dxa"/>
            <w:noWrap/>
            <w:hideMark/>
          </w:tcPr>
          <w:p w14:paraId="3CA4A22F" w14:textId="5740688E" w:rsidR="008E581C" w:rsidRPr="00BB5498" w:rsidRDefault="008E581C" w:rsidP="004E5C57">
            <w:pPr>
              <w:pStyle w:val="TableText0"/>
              <w:rPr>
                <w:color w:val="000000"/>
              </w:rPr>
            </w:pPr>
            <w:r w:rsidRPr="000E5A48">
              <w:t>0.0018</w:t>
            </w:r>
          </w:p>
        </w:tc>
        <w:tc>
          <w:tcPr>
            <w:tcW w:w="1060" w:type="dxa"/>
            <w:noWrap/>
            <w:hideMark/>
          </w:tcPr>
          <w:p w14:paraId="12EEB6F9" w14:textId="309CEB6C" w:rsidR="008E581C" w:rsidRPr="00BB5498" w:rsidRDefault="008E581C" w:rsidP="004E5C57">
            <w:pPr>
              <w:pStyle w:val="TableText0"/>
              <w:rPr>
                <w:color w:val="000000"/>
              </w:rPr>
            </w:pPr>
            <w:r w:rsidRPr="000E5A48">
              <w:t>$1,941</w:t>
            </w:r>
          </w:p>
        </w:tc>
        <w:tc>
          <w:tcPr>
            <w:tcW w:w="1180" w:type="dxa"/>
            <w:noWrap/>
            <w:hideMark/>
          </w:tcPr>
          <w:p w14:paraId="6AEE3663" w14:textId="1BF0863C" w:rsidR="008E581C" w:rsidRPr="00BB5498" w:rsidRDefault="008E581C" w:rsidP="004E5C57">
            <w:pPr>
              <w:pStyle w:val="TableText0"/>
              <w:rPr>
                <w:color w:val="000000"/>
              </w:rPr>
            </w:pPr>
            <w:r w:rsidRPr="000E5A48">
              <w:t>$16,359</w:t>
            </w:r>
          </w:p>
        </w:tc>
        <w:tc>
          <w:tcPr>
            <w:tcW w:w="960" w:type="dxa"/>
            <w:noWrap/>
            <w:hideMark/>
          </w:tcPr>
          <w:p w14:paraId="4FA95C31" w14:textId="28D77D27" w:rsidR="008E581C" w:rsidRPr="00BB5498" w:rsidRDefault="008E581C" w:rsidP="004E5C57">
            <w:pPr>
              <w:pStyle w:val="TableText0"/>
              <w:rPr>
                <w:color w:val="000000"/>
              </w:rPr>
            </w:pPr>
            <w:r w:rsidRPr="000E5A48">
              <w:t>0.1613</w:t>
            </w:r>
          </w:p>
        </w:tc>
        <w:tc>
          <w:tcPr>
            <w:tcW w:w="1100" w:type="dxa"/>
            <w:noWrap/>
            <w:hideMark/>
          </w:tcPr>
          <w:p w14:paraId="2F4290C1" w14:textId="205C88D1" w:rsidR="008E581C" w:rsidRPr="00BB5498" w:rsidRDefault="008E581C" w:rsidP="004E5C57">
            <w:pPr>
              <w:pStyle w:val="TableText0"/>
              <w:rPr>
                <w:color w:val="000000"/>
              </w:rPr>
            </w:pPr>
            <w:r w:rsidRPr="000E5A48">
              <w:t>1.5297</w:t>
            </w:r>
          </w:p>
        </w:tc>
        <w:tc>
          <w:tcPr>
            <w:tcW w:w="960" w:type="dxa"/>
            <w:noWrap/>
            <w:hideMark/>
          </w:tcPr>
          <w:p w14:paraId="27B8047F" w14:textId="384DA765" w:rsidR="008E581C" w:rsidRPr="00BB5498" w:rsidRDefault="008E581C" w:rsidP="004E5C57">
            <w:pPr>
              <w:pStyle w:val="TableText0"/>
              <w:rPr>
                <w:color w:val="000000"/>
              </w:rPr>
            </w:pPr>
            <w:r w:rsidRPr="000E5A48">
              <w:t>0.1283</w:t>
            </w:r>
          </w:p>
        </w:tc>
        <w:tc>
          <w:tcPr>
            <w:tcW w:w="1100" w:type="dxa"/>
            <w:noWrap/>
            <w:hideMark/>
          </w:tcPr>
          <w:p w14:paraId="59914172" w14:textId="3D44A619" w:rsidR="008E581C" w:rsidRPr="00BB5498" w:rsidRDefault="008E581C" w:rsidP="004E5C57">
            <w:pPr>
              <w:pStyle w:val="TableText0"/>
              <w:rPr>
                <w:color w:val="000000"/>
              </w:rPr>
            </w:pPr>
            <w:r w:rsidRPr="000E5A48">
              <w:t>1.0922</w:t>
            </w:r>
          </w:p>
        </w:tc>
      </w:tr>
      <w:tr w:rsidR="008E581C" w:rsidRPr="00BB5498" w14:paraId="2A5384D9" w14:textId="77777777" w:rsidTr="00BE0118">
        <w:trPr>
          <w:trHeight w:val="255"/>
        </w:trPr>
        <w:tc>
          <w:tcPr>
            <w:tcW w:w="982" w:type="dxa"/>
            <w:noWrap/>
            <w:hideMark/>
          </w:tcPr>
          <w:p w14:paraId="75934A1E" w14:textId="083654B0" w:rsidR="008E581C" w:rsidRPr="00BB5498" w:rsidRDefault="008E581C" w:rsidP="004E5C57">
            <w:pPr>
              <w:pStyle w:val="TableText0"/>
              <w:rPr>
                <w:color w:val="000000"/>
              </w:rPr>
            </w:pPr>
            <w:r w:rsidRPr="000E5A48">
              <w:t>8</w:t>
            </w:r>
          </w:p>
        </w:tc>
        <w:tc>
          <w:tcPr>
            <w:tcW w:w="1000" w:type="dxa"/>
            <w:noWrap/>
            <w:hideMark/>
          </w:tcPr>
          <w:p w14:paraId="2E8F61ED" w14:textId="01A9B9B7" w:rsidR="008E581C" w:rsidRPr="00BB5498" w:rsidRDefault="008E581C" w:rsidP="004E5C57">
            <w:pPr>
              <w:pStyle w:val="TableText0"/>
              <w:rPr>
                <w:color w:val="000000"/>
              </w:rPr>
            </w:pPr>
            <w:r w:rsidRPr="000E5A48">
              <w:t>0.8556</w:t>
            </w:r>
          </w:p>
        </w:tc>
        <w:tc>
          <w:tcPr>
            <w:tcW w:w="1009" w:type="dxa"/>
            <w:noWrap/>
            <w:hideMark/>
          </w:tcPr>
          <w:p w14:paraId="4DAC92D8" w14:textId="111C0256" w:rsidR="008E581C" w:rsidRPr="00BB5498" w:rsidRDefault="008E581C" w:rsidP="004E5C57">
            <w:pPr>
              <w:pStyle w:val="TableText0"/>
              <w:rPr>
                <w:color w:val="000000"/>
              </w:rPr>
            </w:pPr>
            <w:r w:rsidRPr="000E5A48">
              <w:t>0.0021</w:t>
            </w:r>
          </w:p>
        </w:tc>
        <w:tc>
          <w:tcPr>
            <w:tcW w:w="1000" w:type="dxa"/>
            <w:noWrap/>
            <w:hideMark/>
          </w:tcPr>
          <w:p w14:paraId="708A48D3" w14:textId="586C28D2" w:rsidR="008E581C" w:rsidRPr="00BB5498" w:rsidRDefault="008E581C" w:rsidP="004E5C57">
            <w:pPr>
              <w:pStyle w:val="TableText0"/>
              <w:rPr>
                <w:color w:val="000000"/>
              </w:rPr>
            </w:pPr>
            <w:r w:rsidRPr="000E5A48">
              <w:t>0.1334</w:t>
            </w:r>
          </w:p>
        </w:tc>
        <w:tc>
          <w:tcPr>
            <w:tcW w:w="1000" w:type="dxa"/>
            <w:noWrap/>
            <w:hideMark/>
          </w:tcPr>
          <w:p w14:paraId="0418B720" w14:textId="2BF63F3B" w:rsidR="008E581C" w:rsidRPr="00BB5498" w:rsidRDefault="008E581C" w:rsidP="004E5C57">
            <w:pPr>
              <w:pStyle w:val="TableText0"/>
              <w:rPr>
                <w:color w:val="000000"/>
              </w:rPr>
            </w:pPr>
            <w:r w:rsidRPr="000E5A48">
              <w:t>0.0066</w:t>
            </w:r>
          </w:p>
        </w:tc>
        <w:tc>
          <w:tcPr>
            <w:tcW w:w="1000" w:type="dxa"/>
            <w:noWrap/>
            <w:hideMark/>
          </w:tcPr>
          <w:p w14:paraId="4335EC77" w14:textId="7BBD173D" w:rsidR="008E581C" w:rsidRPr="00BB5498" w:rsidRDefault="008E581C" w:rsidP="004E5C57">
            <w:pPr>
              <w:pStyle w:val="TableText0"/>
              <w:rPr>
                <w:color w:val="000000"/>
              </w:rPr>
            </w:pPr>
            <w:r w:rsidRPr="000E5A48">
              <w:t>0.0003</w:t>
            </w:r>
          </w:p>
        </w:tc>
        <w:tc>
          <w:tcPr>
            <w:tcW w:w="1000" w:type="dxa"/>
            <w:noWrap/>
            <w:hideMark/>
          </w:tcPr>
          <w:p w14:paraId="06BD60A9" w14:textId="22A2CA8E" w:rsidR="008E581C" w:rsidRPr="00BB5498" w:rsidRDefault="008E581C" w:rsidP="004E5C57">
            <w:pPr>
              <w:pStyle w:val="TableText0"/>
              <w:rPr>
                <w:color w:val="000000"/>
              </w:rPr>
            </w:pPr>
            <w:r w:rsidRPr="000E5A48">
              <w:t>0.0000</w:t>
            </w:r>
          </w:p>
        </w:tc>
        <w:tc>
          <w:tcPr>
            <w:tcW w:w="1000" w:type="dxa"/>
            <w:noWrap/>
            <w:hideMark/>
          </w:tcPr>
          <w:p w14:paraId="2A31D530" w14:textId="1CEEAEB2" w:rsidR="008E581C" w:rsidRPr="00BB5498" w:rsidRDefault="008E581C" w:rsidP="004E5C57">
            <w:pPr>
              <w:pStyle w:val="TableText0"/>
              <w:rPr>
                <w:color w:val="000000"/>
              </w:rPr>
            </w:pPr>
            <w:r w:rsidRPr="000E5A48">
              <w:t>0.0021</w:t>
            </w:r>
          </w:p>
        </w:tc>
        <w:tc>
          <w:tcPr>
            <w:tcW w:w="1060" w:type="dxa"/>
            <w:noWrap/>
            <w:hideMark/>
          </w:tcPr>
          <w:p w14:paraId="54CC6934" w14:textId="141D2AFB" w:rsidR="008E581C" w:rsidRPr="00BB5498" w:rsidRDefault="008E581C" w:rsidP="004E5C57">
            <w:pPr>
              <w:pStyle w:val="TableText0"/>
              <w:rPr>
                <w:color w:val="000000"/>
              </w:rPr>
            </w:pPr>
            <w:r w:rsidRPr="000E5A48">
              <w:t>$1,917</w:t>
            </w:r>
          </w:p>
        </w:tc>
        <w:tc>
          <w:tcPr>
            <w:tcW w:w="1180" w:type="dxa"/>
            <w:noWrap/>
            <w:hideMark/>
          </w:tcPr>
          <w:p w14:paraId="40ECD6C4" w14:textId="1EE17BCD" w:rsidR="008E581C" w:rsidRPr="00BB5498" w:rsidRDefault="008E581C" w:rsidP="004E5C57">
            <w:pPr>
              <w:pStyle w:val="TableText0"/>
              <w:rPr>
                <w:color w:val="000000"/>
              </w:rPr>
            </w:pPr>
            <w:r w:rsidRPr="000E5A48">
              <w:t>$18,276</w:t>
            </w:r>
          </w:p>
        </w:tc>
        <w:tc>
          <w:tcPr>
            <w:tcW w:w="960" w:type="dxa"/>
            <w:noWrap/>
            <w:hideMark/>
          </w:tcPr>
          <w:p w14:paraId="58F8061A" w14:textId="6797CF1C" w:rsidR="008E581C" w:rsidRPr="00BB5498" w:rsidRDefault="008E581C" w:rsidP="004E5C57">
            <w:pPr>
              <w:pStyle w:val="TableText0"/>
              <w:rPr>
                <w:color w:val="000000"/>
              </w:rPr>
            </w:pPr>
            <w:r w:rsidRPr="000E5A48">
              <w:t>0.1592</w:t>
            </w:r>
          </w:p>
        </w:tc>
        <w:tc>
          <w:tcPr>
            <w:tcW w:w="1100" w:type="dxa"/>
            <w:noWrap/>
            <w:hideMark/>
          </w:tcPr>
          <w:p w14:paraId="3E0EF8AD" w14:textId="5888C885" w:rsidR="008E581C" w:rsidRPr="00BB5498" w:rsidRDefault="008E581C" w:rsidP="004E5C57">
            <w:pPr>
              <w:pStyle w:val="TableText0"/>
              <w:rPr>
                <w:color w:val="000000"/>
              </w:rPr>
            </w:pPr>
            <w:r w:rsidRPr="000E5A48">
              <w:t>1.6889</w:t>
            </w:r>
          </w:p>
        </w:tc>
        <w:tc>
          <w:tcPr>
            <w:tcW w:w="960" w:type="dxa"/>
            <w:noWrap/>
            <w:hideMark/>
          </w:tcPr>
          <w:p w14:paraId="5F66C788" w14:textId="0D5C01D1" w:rsidR="008E581C" w:rsidRPr="00BB5498" w:rsidRDefault="008E581C" w:rsidP="004E5C57">
            <w:pPr>
              <w:pStyle w:val="TableText0"/>
              <w:rPr>
                <w:color w:val="000000"/>
              </w:rPr>
            </w:pPr>
            <w:r w:rsidRPr="000E5A48">
              <w:t>0.1267</w:t>
            </w:r>
          </w:p>
        </w:tc>
        <w:tc>
          <w:tcPr>
            <w:tcW w:w="1100" w:type="dxa"/>
            <w:noWrap/>
            <w:hideMark/>
          </w:tcPr>
          <w:p w14:paraId="05019F93" w14:textId="2A594C08" w:rsidR="008E581C" w:rsidRPr="00BB5498" w:rsidRDefault="008E581C" w:rsidP="004E5C57">
            <w:pPr>
              <w:pStyle w:val="TableText0"/>
              <w:rPr>
                <w:color w:val="000000"/>
              </w:rPr>
            </w:pPr>
            <w:r w:rsidRPr="000E5A48">
              <w:t>1.2189</w:t>
            </w:r>
          </w:p>
        </w:tc>
      </w:tr>
      <w:tr w:rsidR="008E581C" w:rsidRPr="00BB5498" w14:paraId="29B130AD" w14:textId="77777777" w:rsidTr="00BE0118">
        <w:trPr>
          <w:trHeight w:val="255"/>
        </w:trPr>
        <w:tc>
          <w:tcPr>
            <w:tcW w:w="982" w:type="dxa"/>
            <w:noWrap/>
            <w:hideMark/>
          </w:tcPr>
          <w:p w14:paraId="611C4662" w14:textId="669D950C" w:rsidR="008E581C" w:rsidRPr="00BB5498" w:rsidRDefault="008E581C" w:rsidP="004E5C57">
            <w:pPr>
              <w:pStyle w:val="TableText0"/>
              <w:rPr>
                <w:color w:val="000000"/>
              </w:rPr>
            </w:pPr>
            <w:r w:rsidRPr="000E5A48">
              <w:t>9</w:t>
            </w:r>
          </w:p>
        </w:tc>
        <w:tc>
          <w:tcPr>
            <w:tcW w:w="1000" w:type="dxa"/>
            <w:noWrap/>
            <w:hideMark/>
          </w:tcPr>
          <w:p w14:paraId="14C4F75E" w14:textId="338E759E" w:rsidR="008E581C" w:rsidRPr="00BB5498" w:rsidRDefault="008E581C" w:rsidP="004E5C57">
            <w:pPr>
              <w:pStyle w:val="TableText0"/>
              <w:rPr>
                <w:color w:val="000000"/>
              </w:rPr>
            </w:pPr>
            <w:r w:rsidRPr="000E5A48">
              <w:t>0.8550</w:t>
            </w:r>
          </w:p>
        </w:tc>
        <w:tc>
          <w:tcPr>
            <w:tcW w:w="1009" w:type="dxa"/>
            <w:noWrap/>
            <w:hideMark/>
          </w:tcPr>
          <w:p w14:paraId="63529BDA" w14:textId="54668BED" w:rsidR="008E581C" w:rsidRPr="00BB5498" w:rsidRDefault="008E581C" w:rsidP="004E5C57">
            <w:pPr>
              <w:pStyle w:val="TableText0"/>
              <w:rPr>
                <w:color w:val="000000"/>
              </w:rPr>
            </w:pPr>
            <w:r w:rsidRPr="000E5A48">
              <w:t>0.0024</w:t>
            </w:r>
          </w:p>
        </w:tc>
        <w:tc>
          <w:tcPr>
            <w:tcW w:w="1000" w:type="dxa"/>
            <w:noWrap/>
            <w:hideMark/>
          </w:tcPr>
          <w:p w14:paraId="7331D7B4" w14:textId="5BB7C68F" w:rsidR="008E581C" w:rsidRPr="00BB5498" w:rsidRDefault="008E581C" w:rsidP="004E5C57">
            <w:pPr>
              <w:pStyle w:val="TableText0"/>
              <w:rPr>
                <w:color w:val="000000"/>
              </w:rPr>
            </w:pPr>
            <w:r w:rsidRPr="000E5A48">
              <w:t>0.1333</w:t>
            </w:r>
          </w:p>
        </w:tc>
        <w:tc>
          <w:tcPr>
            <w:tcW w:w="1000" w:type="dxa"/>
            <w:noWrap/>
            <w:hideMark/>
          </w:tcPr>
          <w:p w14:paraId="5A2D089A" w14:textId="7AAF34E0" w:rsidR="008E581C" w:rsidRPr="00BB5498" w:rsidRDefault="008E581C" w:rsidP="004E5C57">
            <w:pPr>
              <w:pStyle w:val="TableText0"/>
              <w:rPr>
                <w:color w:val="000000"/>
              </w:rPr>
            </w:pPr>
            <w:r w:rsidRPr="000E5A48">
              <w:t>0.0066</w:t>
            </w:r>
          </w:p>
        </w:tc>
        <w:tc>
          <w:tcPr>
            <w:tcW w:w="1000" w:type="dxa"/>
            <w:noWrap/>
            <w:hideMark/>
          </w:tcPr>
          <w:p w14:paraId="0CAFF1A9" w14:textId="5C344FC5" w:rsidR="008E581C" w:rsidRPr="00BB5498" w:rsidRDefault="008E581C" w:rsidP="004E5C57">
            <w:pPr>
              <w:pStyle w:val="TableText0"/>
              <w:rPr>
                <w:color w:val="000000"/>
              </w:rPr>
            </w:pPr>
            <w:r w:rsidRPr="000E5A48">
              <w:t>0.0003</w:t>
            </w:r>
          </w:p>
        </w:tc>
        <w:tc>
          <w:tcPr>
            <w:tcW w:w="1000" w:type="dxa"/>
            <w:noWrap/>
            <w:hideMark/>
          </w:tcPr>
          <w:p w14:paraId="54D6A195" w14:textId="3CDC9975" w:rsidR="008E581C" w:rsidRPr="00BB5498" w:rsidRDefault="008E581C" w:rsidP="004E5C57">
            <w:pPr>
              <w:pStyle w:val="TableText0"/>
              <w:rPr>
                <w:color w:val="000000"/>
              </w:rPr>
            </w:pPr>
            <w:r w:rsidRPr="000E5A48">
              <w:t>0.0000</w:t>
            </w:r>
          </w:p>
        </w:tc>
        <w:tc>
          <w:tcPr>
            <w:tcW w:w="1000" w:type="dxa"/>
            <w:noWrap/>
            <w:hideMark/>
          </w:tcPr>
          <w:p w14:paraId="4901AC04" w14:textId="41D37F6E" w:rsidR="008E581C" w:rsidRPr="00BB5498" w:rsidRDefault="008E581C" w:rsidP="004E5C57">
            <w:pPr>
              <w:pStyle w:val="TableText0"/>
              <w:rPr>
                <w:color w:val="000000"/>
              </w:rPr>
            </w:pPr>
            <w:r w:rsidRPr="000E5A48">
              <w:t>0.0024</w:t>
            </w:r>
          </w:p>
        </w:tc>
        <w:tc>
          <w:tcPr>
            <w:tcW w:w="1060" w:type="dxa"/>
            <w:noWrap/>
            <w:hideMark/>
          </w:tcPr>
          <w:p w14:paraId="6030FBF4" w14:textId="639C69A5" w:rsidR="008E581C" w:rsidRPr="00BB5498" w:rsidRDefault="008E581C" w:rsidP="004E5C57">
            <w:pPr>
              <w:pStyle w:val="TableText0"/>
              <w:rPr>
                <w:color w:val="000000"/>
              </w:rPr>
            </w:pPr>
            <w:r w:rsidRPr="000E5A48">
              <w:t>$1,893</w:t>
            </w:r>
          </w:p>
        </w:tc>
        <w:tc>
          <w:tcPr>
            <w:tcW w:w="1180" w:type="dxa"/>
            <w:noWrap/>
            <w:hideMark/>
          </w:tcPr>
          <w:p w14:paraId="523EAC10" w14:textId="133893D9" w:rsidR="008E581C" w:rsidRPr="00BB5498" w:rsidRDefault="008E581C" w:rsidP="004E5C57">
            <w:pPr>
              <w:pStyle w:val="TableText0"/>
              <w:rPr>
                <w:color w:val="000000"/>
              </w:rPr>
            </w:pPr>
            <w:r w:rsidRPr="000E5A48">
              <w:t>$20,169</w:t>
            </w:r>
          </w:p>
        </w:tc>
        <w:tc>
          <w:tcPr>
            <w:tcW w:w="960" w:type="dxa"/>
            <w:noWrap/>
            <w:hideMark/>
          </w:tcPr>
          <w:p w14:paraId="495BB548" w14:textId="39894538" w:rsidR="008E581C" w:rsidRPr="00BB5498" w:rsidRDefault="008E581C" w:rsidP="004E5C57">
            <w:pPr>
              <w:pStyle w:val="TableText0"/>
              <w:rPr>
                <w:color w:val="000000"/>
              </w:rPr>
            </w:pPr>
            <w:r w:rsidRPr="000E5A48">
              <w:t>0.1572</w:t>
            </w:r>
          </w:p>
        </w:tc>
        <w:tc>
          <w:tcPr>
            <w:tcW w:w="1100" w:type="dxa"/>
            <w:noWrap/>
            <w:hideMark/>
          </w:tcPr>
          <w:p w14:paraId="5E467255" w14:textId="196407FD" w:rsidR="008E581C" w:rsidRPr="00BB5498" w:rsidRDefault="008E581C" w:rsidP="004E5C57">
            <w:pPr>
              <w:pStyle w:val="TableText0"/>
              <w:rPr>
                <w:color w:val="000000"/>
              </w:rPr>
            </w:pPr>
            <w:r w:rsidRPr="000E5A48">
              <w:t>1.8462</w:t>
            </w:r>
          </w:p>
        </w:tc>
        <w:tc>
          <w:tcPr>
            <w:tcW w:w="960" w:type="dxa"/>
            <w:noWrap/>
            <w:hideMark/>
          </w:tcPr>
          <w:p w14:paraId="4F9D054A" w14:textId="04A04BB0" w:rsidR="008E581C" w:rsidRPr="00BB5498" w:rsidRDefault="008E581C" w:rsidP="004E5C57">
            <w:pPr>
              <w:pStyle w:val="TableText0"/>
              <w:rPr>
                <w:color w:val="000000"/>
              </w:rPr>
            </w:pPr>
            <w:r w:rsidRPr="000E5A48">
              <w:t>0.1252</w:t>
            </w:r>
          </w:p>
        </w:tc>
        <w:tc>
          <w:tcPr>
            <w:tcW w:w="1100" w:type="dxa"/>
            <w:noWrap/>
            <w:hideMark/>
          </w:tcPr>
          <w:p w14:paraId="55E0BCA0" w14:textId="341275E7" w:rsidR="008E581C" w:rsidRPr="00BB5498" w:rsidRDefault="008E581C" w:rsidP="004E5C57">
            <w:pPr>
              <w:pStyle w:val="TableText0"/>
              <w:rPr>
                <w:color w:val="000000"/>
              </w:rPr>
            </w:pPr>
            <w:r w:rsidRPr="000E5A48">
              <w:t>1.3441</w:t>
            </w:r>
          </w:p>
        </w:tc>
      </w:tr>
      <w:tr w:rsidR="008E581C" w:rsidRPr="00BB5498" w14:paraId="001FB227" w14:textId="77777777" w:rsidTr="00BE0118">
        <w:trPr>
          <w:trHeight w:val="255"/>
        </w:trPr>
        <w:tc>
          <w:tcPr>
            <w:tcW w:w="982" w:type="dxa"/>
            <w:noWrap/>
            <w:hideMark/>
          </w:tcPr>
          <w:p w14:paraId="0DA51B91" w14:textId="5597B4A6" w:rsidR="008E581C" w:rsidRPr="00BB5498" w:rsidRDefault="008E581C" w:rsidP="004E5C57">
            <w:pPr>
              <w:pStyle w:val="TableText0"/>
              <w:rPr>
                <w:color w:val="000000"/>
              </w:rPr>
            </w:pPr>
            <w:r w:rsidRPr="000E5A48">
              <w:t>10</w:t>
            </w:r>
          </w:p>
        </w:tc>
        <w:tc>
          <w:tcPr>
            <w:tcW w:w="1000" w:type="dxa"/>
            <w:noWrap/>
            <w:hideMark/>
          </w:tcPr>
          <w:p w14:paraId="121F3E6E" w14:textId="0FFED327" w:rsidR="008E581C" w:rsidRPr="00BB5498" w:rsidRDefault="008E581C" w:rsidP="004E5C57">
            <w:pPr>
              <w:pStyle w:val="TableText0"/>
              <w:rPr>
                <w:color w:val="000000"/>
              </w:rPr>
            </w:pPr>
            <w:r w:rsidRPr="000E5A48">
              <w:t>0.8545</w:t>
            </w:r>
          </w:p>
        </w:tc>
        <w:tc>
          <w:tcPr>
            <w:tcW w:w="1009" w:type="dxa"/>
            <w:noWrap/>
            <w:hideMark/>
          </w:tcPr>
          <w:p w14:paraId="53AAB0A4" w14:textId="5124E12E" w:rsidR="008E581C" w:rsidRPr="00BB5498" w:rsidRDefault="008E581C" w:rsidP="004E5C57">
            <w:pPr>
              <w:pStyle w:val="TableText0"/>
              <w:rPr>
                <w:color w:val="000000"/>
              </w:rPr>
            </w:pPr>
            <w:r w:rsidRPr="000E5A48">
              <w:t>0.0026</w:t>
            </w:r>
          </w:p>
        </w:tc>
        <w:tc>
          <w:tcPr>
            <w:tcW w:w="1000" w:type="dxa"/>
            <w:noWrap/>
            <w:hideMark/>
          </w:tcPr>
          <w:p w14:paraId="564763A3" w14:textId="2EAAA0DC" w:rsidR="008E581C" w:rsidRPr="00BB5498" w:rsidRDefault="008E581C" w:rsidP="004E5C57">
            <w:pPr>
              <w:pStyle w:val="TableText0"/>
              <w:rPr>
                <w:color w:val="000000"/>
              </w:rPr>
            </w:pPr>
            <w:r w:rsidRPr="000E5A48">
              <w:t>0.1332</w:t>
            </w:r>
          </w:p>
        </w:tc>
        <w:tc>
          <w:tcPr>
            <w:tcW w:w="1000" w:type="dxa"/>
            <w:noWrap/>
            <w:hideMark/>
          </w:tcPr>
          <w:p w14:paraId="0BC638D0" w14:textId="44AA4EFA" w:rsidR="008E581C" w:rsidRPr="00BB5498" w:rsidRDefault="008E581C" w:rsidP="004E5C57">
            <w:pPr>
              <w:pStyle w:val="TableText0"/>
              <w:rPr>
                <w:color w:val="000000"/>
              </w:rPr>
            </w:pPr>
            <w:r w:rsidRPr="000E5A48">
              <w:t>0.0066</w:t>
            </w:r>
          </w:p>
        </w:tc>
        <w:tc>
          <w:tcPr>
            <w:tcW w:w="1000" w:type="dxa"/>
            <w:noWrap/>
            <w:hideMark/>
          </w:tcPr>
          <w:p w14:paraId="4E7E39CF" w14:textId="4B04F9CA" w:rsidR="008E581C" w:rsidRPr="00BB5498" w:rsidRDefault="008E581C" w:rsidP="004E5C57">
            <w:pPr>
              <w:pStyle w:val="TableText0"/>
              <w:rPr>
                <w:color w:val="000000"/>
              </w:rPr>
            </w:pPr>
            <w:r w:rsidRPr="000E5A48">
              <w:t>0.0004</w:t>
            </w:r>
          </w:p>
        </w:tc>
        <w:tc>
          <w:tcPr>
            <w:tcW w:w="1000" w:type="dxa"/>
            <w:noWrap/>
            <w:hideMark/>
          </w:tcPr>
          <w:p w14:paraId="5B7CA785" w14:textId="3D633A5C" w:rsidR="008E581C" w:rsidRPr="00BB5498" w:rsidRDefault="008E581C" w:rsidP="004E5C57">
            <w:pPr>
              <w:pStyle w:val="TableText0"/>
              <w:rPr>
                <w:color w:val="000000"/>
              </w:rPr>
            </w:pPr>
            <w:r w:rsidRPr="000E5A48">
              <w:t>0.0000</w:t>
            </w:r>
          </w:p>
        </w:tc>
        <w:tc>
          <w:tcPr>
            <w:tcW w:w="1000" w:type="dxa"/>
            <w:noWrap/>
            <w:hideMark/>
          </w:tcPr>
          <w:p w14:paraId="583373AE" w14:textId="1F46C454" w:rsidR="008E581C" w:rsidRPr="00BB5498" w:rsidRDefault="008E581C" w:rsidP="004E5C57">
            <w:pPr>
              <w:pStyle w:val="TableText0"/>
              <w:rPr>
                <w:color w:val="000000"/>
              </w:rPr>
            </w:pPr>
            <w:r w:rsidRPr="000E5A48">
              <w:t>0.0027</w:t>
            </w:r>
          </w:p>
        </w:tc>
        <w:tc>
          <w:tcPr>
            <w:tcW w:w="1060" w:type="dxa"/>
            <w:noWrap/>
            <w:hideMark/>
          </w:tcPr>
          <w:p w14:paraId="48E9B64C" w14:textId="4130E045" w:rsidR="008E581C" w:rsidRPr="00BB5498" w:rsidRDefault="008E581C" w:rsidP="004E5C57">
            <w:pPr>
              <w:pStyle w:val="TableText0"/>
              <w:rPr>
                <w:color w:val="000000"/>
              </w:rPr>
            </w:pPr>
            <w:r w:rsidRPr="000E5A48">
              <w:t>$1,870</w:t>
            </w:r>
          </w:p>
        </w:tc>
        <w:tc>
          <w:tcPr>
            <w:tcW w:w="1180" w:type="dxa"/>
            <w:noWrap/>
            <w:hideMark/>
          </w:tcPr>
          <w:p w14:paraId="49036484" w14:textId="45D58479" w:rsidR="008E581C" w:rsidRPr="00BB5498" w:rsidRDefault="008E581C" w:rsidP="004E5C57">
            <w:pPr>
              <w:pStyle w:val="TableText0"/>
              <w:rPr>
                <w:color w:val="000000"/>
              </w:rPr>
            </w:pPr>
            <w:r w:rsidRPr="000E5A48">
              <w:t>$22,039</w:t>
            </w:r>
          </w:p>
        </w:tc>
        <w:tc>
          <w:tcPr>
            <w:tcW w:w="960" w:type="dxa"/>
            <w:noWrap/>
            <w:hideMark/>
          </w:tcPr>
          <w:p w14:paraId="2233ECCE" w14:textId="03BB6048" w:rsidR="008E581C" w:rsidRPr="00BB5498" w:rsidRDefault="008E581C" w:rsidP="004E5C57">
            <w:pPr>
              <w:pStyle w:val="TableText0"/>
              <w:rPr>
                <w:color w:val="000000"/>
              </w:rPr>
            </w:pPr>
            <w:r w:rsidRPr="000E5A48">
              <w:t>0.1553</w:t>
            </w:r>
          </w:p>
        </w:tc>
        <w:tc>
          <w:tcPr>
            <w:tcW w:w="1100" w:type="dxa"/>
            <w:noWrap/>
            <w:hideMark/>
          </w:tcPr>
          <w:p w14:paraId="3D104DF0" w14:textId="54EECDDD" w:rsidR="008E581C" w:rsidRPr="00BB5498" w:rsidRDefault="008E581C" w:rsidP="004E5C57">
            <w:pPr>
              <w:pStyle w:val="TableText0"/>
              <w:rPr>
                <w:color w:val="000000"/>
              </w:rPr>
            </w:pPr>
            <w:r w:rsidRPr="000E5A48">
              <w:t>2.0014</w:t>
            </w:r>
          </w:p>
        </w:tc>
        <w:tc>
          <w:tcPr>
            <w:tcW w:w="960" w:type="dxa"/>
            <w:noWrap/>
            <w:hideMark/>
          </w:tcPr>
          <w:p w14:paraId="358AC562" w14:textId="41383E96" w:rsidR="008E581C" w:rsidRPr="00BB5498" w:rsidRDefault="008E581C" w:rsidP="004E5C57">
            <w:pPr>
              <w:pStyle w:val="TableText0"/>
              <w:rPr>
                <w:color w:val="000000"/>
              </w:rPr>
            </w:pPr>
            <w:r w:rsidRPr="000E5A48">
              <w:t>0.1236</w:t>
            </w:r>
          </w:p>
        </w:tc>
        <w:tc>
          <w:tcPr>
            <w:tcW w:w="1100" w:type="dxa"/>
            <w:noWrap/>
            <w:hideMark/>
          </w:tcPr>
          <w:p w14:paraId="27C3083C" w14:textId="307E55C3" w:rsidR="008E581C" w:rsidRPr="00BB5498" w:rsidRDefault="008E581C" w:rsidP="004E5C57">
            <w:pPr>
              <w:pStyle w:val="TableText0"/>
              <w:rPr>
                <w:color w:val="000000"/>
              </w:rPr>
            </w:pPr>
            <w:r w:rsidRPr="000E5A48">
              <w:t>1.4677</w:t>
            </w:r>
          </w:p>
        </w:tc>
      </w:tr>
      <w:tr w:rsidR="008E581C" w:rsidRPr="00BB5498" w14:paraId="5BE8AFCA" w14:textId="77777777" w:rsidTr="00BE0118">
        <w:trPr>
          <w:trHeight w:val="255"/>
        </w:trPr>
        <w:tc>
          <w:tcPr>
            <w:tcW w:w="982" w:type="dxa"/>
            <w:noWrap/>
            <w:hideMark/>
          </w:tcPr>
          <w:p w14:paraId="5B02392A" w14:textId="78C88601" w:rsidR="008E581C" w:rsidRPr="00BB5498" w:rsidRDefault="008E581C" w:rsidP="004E5C57">
            <w:pPr>
              <w:pStyle w:val="TableText0"/>
              <w:rPr>
                <w:color w:val="000000"/>
              </w:rPr>
            </w:pPr>
            <w:r w:rsidRPr="000E5A48">
              <w:t>11</w:t>
            </w:r>
          </w:p>
        </w:tc>
        <w:tc>
          <w:tcPr>
            <w:tcW w:w="1000" w:type="dxa"/>
            <w:noWrap/>
            <w:hideMark/>
          </w:tcPr>
          <w:p w14:paraId="7F57E688" w14:textId="3B20A51E" w:rsidR="008E581C" w:rsidRPr="00BB5498" w:rsidRDefault="008E581C" w:rsidP="004E5C57">
            <w:pPr>
              <w:pStyle w:val="TableText0"/>
              <w:rPr>
                <w:color w:val="000000"/>
              </w:rPr>
            </w:pPr>
            <w:r w:rsidRPr="000E5A48">
              <w:t>0.8539</w:t>
            </w:r>
          </w:p>
        </w:tc>
        <w:tc>
          <w:tcPr>
            <w:tcW w:w="1009" w:type="dxa"/>
            <w:noWrap/>
            <w:hideMark/>
          </w:tcPr>
          <w:p w14:paraId="6A33FBAB" w14:textId="2146F3E2" w:rsidR="008E581C" w:rsidRPr="00BB5498" w:rsidRDefault="008E581C" w:rsidP="004E5C57">
            <w:pPr>
              <w:pStyle w:val="TableText0"/>
              <w:rPr>
                <w:color w:val="000000"/>
              </w:rPr>
            </w:pPr>
            <w:r w:rsidRPr="000E5A48">
              <w:t>0.0029</w:t>
            </w:r>
          </w:p>
        </w:tc>
        <w:tc>
          <w:tcPr>
            <w:tcW w:w="1000" w:type="dxa"/>
            <w:noWrap/>
            <w:hideMark/>
          </w:tcPr>
          <w:p w14:paraId="674AD085" w14:textId="35982174" w:rsidR="008E581C" w:rsidRPr="00BB5498" w:rsidRDefault="008E581C" w:rsidP="004E5C57">
            <w:pPr>
              <w:pStyle w:val="TableText0"/>
              <w:rPr>
                <w:color w:val="000000"/>
              </w:rPr>
            </w:pPr>
            <w:r w:rsidRPr="000E5A48">
              <w:t>0.1332</w:t>
            </w:r>
          </w:p>
        </w:tc>
        <w:tc>
          <w:tcPr>
            <w:tcW w:w="1000" w:type="dxa"/>
            <w:noWrap/>
            <w:hideMark/>
          </w:tcPr>
          <w:p w14:paraId="3C2E72C1" w14:textId="742C58F5" w:rsidR="008E581C" w:rsidRPr="00BB5498" w:rsidRDefault="008E581C" w:rsidP="004E5C57">
            <w:pPr>
              <w:pStyle w:val="TableText0"/>
              <w:rPr>
                <w:color w:val="000000"/>
              </w:rPr>
            </w:pPr>
            <w:r w:rsidRPr="000E5A48">
              <w:t>0.0066</w:t>
            </w:r>
          </w:p>
        </w:tc>
        <w:tc>
          <w:tcPr>
            <w:tcW w:w="1000" w:type="dxa"/>
            <w:noWrap/>
            <w:hideMark/>
          </w:tcPr>
          <w:p w14:paraId="5CF53A4A" w14:textId="793F9430" w:rsidR="008E581C" w:rsidRPr="00BB5498" w:rsidRDefault="008E581C" w:rsidP="004E5C57">
            <w:pPr>
              <w:pStyle w:val="TableText0"/>
              <w:rPr>
                <w:color w:val="000000"/>
              </w:rPr>
            </w:pPr>
            <w:r w:rsidRPr="000E5A48">
              <w:t>0.0004</w:t>
            </w:r>
          </w:p>
        </w:tc>
        <w:tc>
          <w:tcPr>
            <w:tcW w:w="1000" w:type="dxa"/>
            <w:noWrap/>
            <w:hideMark/>
          </w:tcPr>
          <w:p w14:paraId="46CA2377" w14:textId="7E04DC5C" w:rsidR="008E581C" w:rsidRPr="00BB5498" w:rsidRDefault="008E581C" w:rsidP="004E5C57">
            <w:pPr>
              <w:pStyle w:val="TableText0"/>
              <w:rPr>
                <w:color w:val="000000"/>
              </w:rPr>
            </w:pPr>
            <w:r w:rsidRPr="000E5A48">
              <w:t>0.0000</w:t>
            </w:r>
          </w:p>
        </w:tc>
        <w:tc>
          <w:tcPr>
            <w:tcW w:w="1000" w:type="dxa"/>
            <w:noWrap/>
            <w:hideMark/>
          </w:tcPr>
          <w:p w14:paraId="53BF6C5D" w14:textId="1C009548" w:rsidR="008E581C" w:rsidRPr="00BB5498" w:rsidRDefault="008E581C" w:rsidP="004E5C57">
            <w:pPr>
              <w:pStyle w:val="TableText0"/>
              <w:rPr>
                <w:color w:val="000000"/>
              </w:rPr>
            </w:pPr>
            <w:r w:rsidRPr="000E5A48">
              <w:t>0.0030</w:t>
            </w:r>
          </w:p>
        </w:tc>
        <w:tc>
          <w:tcPr>
            <w:tcW w:w="1060" w:type="dxa"/>
            <w:noWrap/>
            <w:hideMark/>
          </w:tcPr>
          <w:p w14:paraId="71AD0758" w14:textId="08ADF09E" w:rsidR="008E581C" w:rsidRPr="00BB5498" w:rsidRDefault="008E581C" w:rsidP="004E5C57">
            <w:pPr>
              <w:pStyle w:val="TableText0"/>
              <w:rPr>
                <w:color w:val="000000"/>
              </w:rPr>
            </w:pPr>
            <w:r w:rsidRPr="000E5A48">
              <w:t>$1,847</w:t>
            </w:r>
          </w:p>
        </w:tc>
        <w:tc>
          <w:tcPr>
            <w:tcW w:w="1180" w:type="dxa"/>
            <w:noWrap/>
            <w:hideMark/>
          </w:tcPr>
          <w:p w14:paraId="15FFB9D3" w14:textId="278F1CC0" w:rsidR="008E581C" w:rsidRPr="00BB5498" w:rsidRDefault="008E581C" w:rsidP="004E5C57">
            <w:pPr>
              <w:pStyle w:val="TableText0"/>
              <w:rPr>
                <w:color w:val="000000"/>
              </w:rPr>
            </w:pPr>
            <w:r w:rsidRPr="000E5A48">
              <w:t>$23,886</w:t>
            </w:r>
          </w:p>
        </w:tc>
        <w:tc>
          <w:tcPr>
            <w:tcW w:w="960" w:type="dxa"/>
            <w:noWrap/>
            <w:hideMark/>
          </w:tcPr>
          <w:p w14:paraId="0E889B10" w14:textId="3C6790C5" w:rsidR="008E581C" w:rsidRPr="00BB5498" w:rsidRDefault="008E581C" w:rsidP="004E5C57">
            <w:pPr>
              <w:pStyle w:val="TableText0"/>
              <w:rPr>
                <w:color w:val="000000"/>
              </w:rPr>
            </w:pPr>
            <w:r w:rsidRPr="000E5A48">
              <w:t>0.1533</w:t>
            </w:r>
          </w:p>
        </w:tc>
        <w:tc>
          <w:tcPr>
            <w:tcW w:w="1100" w:type="dxa"/>
            <w:noWrap/>
            <w:hideMark/>
          </w:tcPr>
          <w:p w14:paraId="29B16C43" w14:textId="1374FA66" w:rsidR="008E581C" w:rsidRPr="00BB5498" w:rsidRDefault="008E581C" w:rsidP="004E5C57">
            <w:pPr>
              <w:pStyle w:val="TableText0"/>
              <w:rPr>
                <w:color w:val="000000"/>
              </w:rPr>
            </w:pPr>
            <w:r w:rsidRPr="000E5A48">
              <w:t>2.1548</w:t>
            </w:r>
          </w:p>
        </w:tc>
        <w:tc>
          <w:tcPr>
            <w:tcW w:w="960" w:type="dxa"/>
            <w:noWrap/>
            <w:hideMark/>
          </w:tcPr>
          <w:p w14:paraId="169309B4" w14:textId="4820666B" w:rsidR="008E581C" w:rsidRPr="00BB5498" w:rsidRDefault="008E581C" w:rsidP="004E5C57">
            <w:pPr>
              <w:pStyle w:val="TableText0"/>
              <w:rPr>
                <w:color w:val="000000"/>
              </w:rPr>
            </w:pPr>
            <w:r w:rsidRPr="000E5A48">
              <w:t>0.1221</w:t>
            </w:r>
          </w:p>
        </w:tc>
        <w:tc>
          <w:tcPr>
            <w:tcW w:w="1100" w:type="dxa"/>
            <w:noWrap/>
            <w:hideMark/>
          </w:tcPr>
          <w:p w14:paraId="21E7FD2F" w14:textId="66157A99" w:rsidR="008E581C" w:rsidRPr="00BB5498" w:rsidRDefault="008E581C" w:rsidP="004E5C57">
            <w:pPr>
              <w:pStyle w:val="TableText0"/>
              <w:rPr>
                <w:color w:val="000000"/>
              </w:rPr>
            </w:pPr>
            <w:r w:rsidRPr="000E5A48">
              <w:t>1.5897</w:t>
            </w:r>
          </w:p>
        </w:tc>
      </w:tr>
      <w:tr w:rsidR="008E581C" w:rsidRPr="00BB5498" w14:paraId="76AD005B" w14:textId="77777777" w:rsidTr="00BE0118">
        <w:trPr>
          <w:trHeight w:val="255"/>
        </w:trPr>
        <w:tc>
          <w:tcPr>
            <w:tcW w:w="982" w:type="dxa"/>
            <w:noWrap/>
            <w:hideMark/>
          </w:tcPr>
          <w:p w14:paraId="08ACCFAC" w14:textId="4EC313D6" w:rsidR="008E581C" w:rsidRPr="00BB5498" w:rsidRDefault="008E581C" w:rsidP="004E5C57">
            <w:pPr>
              <w:pStyle w:val="TableText0"/>
              <w:rPr>
                <w:color w:val="000000"/>
              </w:rPr>
            </w:pPr>
            <w:r w:rsidRPr="000E5A48">
              <w:t>12</w:t>
            </w:r>
          </w:p>
        </w:tc>
        <w:tc>
          <w:tcPr>
            <w:tcW w:w="1000" w:type="dxa"/>
            <w:noWrap/>
            <w:hideMark/>
          </w:tcPr>
          <w:p w14:paraId="68A7B38D" w14:textId="30141DF4" w:rsidR="008E581C" w:rsidRPr="00BB5498" w:rsidRDefault="008E581C" w:rsidP="004E5C57">
            <w:pPr>
              <w:pStyle w:val="TableText0"/>
              <w:rPr>
                <w:color w:val="000000"/>
              </w:rPr>
            </w:pPr>
            <w:r w:rsidRPr="000E5A48">
              <w:t>0.8534</w:t>
            </w:r>
          </w:p>
        </w:tc>
        <w:tc>
          <w:tcPr>
            <w:tcW w:w="1009" w:type="dxa"/>
            <w:noWrap/>
            <w:hideMark/>
          </w:tcPr>
          <w:p w14:paraId="04A01FAA" w14:textId="0EF3FC7F" w:rsidR="008E581C" w:rsidRPr="00BB5498" w:rsidRDefault="008E581C" w:rsidP="004E5C57">
            <w:pPr>
              <w:pStyle w:val="TableText0"/>
              <w:rPr>
                <w:color w:val="000000"/>
              </w:rPr>
            </w:pPr>
            <w:r w:rsidRPr="000E5A48">
              <w:t>0.0032</w:t>
            </w:r>
          </w:p>
        </w:tc>
        <w:tc>
          <w:tcPr>
            <w:tcW w:w="1000" w:type="dxa"/>
            <w:noWrap/>
            <w:hideMark/>
          </w:tcPr>
          <w:p w14:paraId="0DEB5E67" w14:textId="0DD6660A" w:rsidR="008E581C" w:rsidRPr="00BB5498" w:rsidRDefault="008E581C" w:rsidP="004E5C57">
            <w:pPr>
              <w:pStyle w:val="TableText0"/>
              <w:rPr>
                <w:color w:val="000000"/>
              </w:rPr>
            </w:pPr>
            <w:r w:rsidRPr="000E5A48">
              <w:t>0.1331</w:t>
            </w:r>
          </w:p>
        </w:tc>
        <w:tc>
          <w:tcPr>
            <w:tcW w:w="1000" w:type="dxa"/>
            <w:noWrap/>
            <w:hideMark/>
          </w:tcPr>
          <w:p w14:paraId="19915E40" w14:textId="4AFCA604" w:rsidR="008E581C" w:rsidRPr="00BB5498" w:rsidRDefault="008E581C" w:rsidP="004E5C57">
            <w:pPr>
              <w:pStyle w:val="TableText0"/>
              <w:rPr>
                <w:color w:val="000000"/>
              </w:rPr>
            </w:pPr>
            <w:r w:rsidRPr="000E5A48">
              <w:t>0.0066</w:t>
            </w:r>
          </w:p>
        </w:tc>
        <w:tc>
          <w:tcPr>
            <w:tcW w:w="1000" w:type="dxa"/>
            <w:noWrap/>
            <w:hideMark/>
          </w:tcPr>
          <w:p w14:paraId="78D98601" w14:textId="30A298C7" w:rsidR="008E581C" w:rsidRPr="00BB5498" w:rsidRDefault="008E581C" w:rsidP="004E5C57">
            <w:pPr>
              <w:pStyle w:val="TableText0"/>
              <w:rPr>
                <w:color w:val="000000"/>
              </w:rPr>
            </w:pPr>
            <w:r w:rsidRPr="000E5A48">
              <w:t>0.0005</w:t>
            </w:r>
          </w:p>
        </w:tc>
        <w:tc>
          <w:tcPr>
            <w:tcW w:w="1000" w:type="dxa"/>
            <w:noWrap/>
            <w:hideMark/>
          </w:tcPr>
          <w:p w14:paraId="4BF6BC83" w14:textId="717FF812" w:rsidR="008E581C" w:rsidRPr="00BB5498" w:rsidRDefault="008E581C" w:rsidP="004E5C57">
            <w:pPr>
              <w:pStyle w:val="TableText0"/>
              <w:rPr>
                <w:color w:val="000000"/>
              </w:rPr>
            </w:pPr>
            <w:r w:rsidRPr="000E5A48">
              <w:t>0.0000</w:t>
            </w:r>
          </w:p>
        </w:tc>
        <w:tc>
          <w:tcPr>
            <w:tcW w:w="1000" w:type="dxa"/>
            <w:noWrap/>
            <w:hideMark/>
          </w:tcPr>
          <w:p w14:paraId="53AADA03" w14:textId="641FA9AA" w:rsidR="008E581C" w:rsidRPr="00BB5498" w:rsidRDefault="008E581C" w:rsidP="004E5C57">
            <w:pPr>
              <w:pStyle w:val="TableText0"/>
              <w:rPr>
                <w:color w:val="000000"/>
              </w:rPr>
            </w:pPr>
            <w:r w:rsidRPr="000E5A48">
              <w:t>0.0033</w:t>
            </w:r>
          </w:p>
        </w:tc>
        <w:tc>
          <w:tcPr>
            <w:tcW w:w="1060" w:type="dxa"/>
            <w:noWrap/>
            <w:hideMark/>
          </w:tcPr>
          <w:p w14:paraId="5C7A788F" w14:textId="3F699012" w:rsidR="008E581C" w:rsidRPr="00BB5498" w:rsidRDefault="008E581C" w:rsidP="004E5C57">
            <w:pPr>
              <w:pStyle w:val="TableText0"/>
              <w:rPr>
                <w:color w:val="000000"/>
              </w:rPr>
            </w:pPr>
            <w:r w:rsidRPr="000E5A48">
              <w:t>$1,824</w:t>
            </w:r>
          </w:p>
        </w:tc>
        <w:tc>
          <w:tcPr>
            <w:tcW w:w="1180" w:type="dxa"/>
            <w:noWrap/>
            <w:hideMark/>
          </w:tcPr>
          <w:p w14:paraId="616FED20" w14:textId="64824C06" w:rsidR="008E581C" w:rsidRPr="00BB5498" w:rsidRDefault="008E581C" w:rsidP="004E5C57">
            <w:pPr>
              <w:pStyle w:val="TableText0"/>
              <w:rPr>
                <w:color w:val="000000"/>
              </w:rPr>
            </w:pPr>
            <w:r w:rsidRPr="000E5A48">
              <w:t>$25,710</w:t>
            </w:r>
          </w:p>
        </w:tc>
        <w:tc>
          <w:tcPr>
            <w:tcW w:w="960" w:type="dxa"/>
            <w:noWrap/>
            <w:hideMark/>
          </w:tcPr>
          <w:p w14:paraId="1DE8C309" w14:textId="4EAA674D" w:rsidR="008E581C" w:rsidRPr="00BB5498" w:rsidRDefault="008E581C" w:rsidP="004E5C57">
            <w:pPr>
              <w:pStyle w:val="TableText0"/>
              <w:rPr>
                <w:color w:val="000000"/>
              </w:rPr>
            </w:pPr>
            <w:r w:rsidRPr="000E5A48">
              <w:t>0.1514</w:t>
            </w:r>
          </w:p>
        </w:tc>
        <w:tc>
          <w:tcPr>
            <w:tcW w:w="1100" w:type="dxa"/>
            <w:noWrap/>
            <w:hideMark/>
          </w:tcPr>
          <w:p w14:paraId="058F0504" w14:textId="7C731486" w:rsidR="008E581C" w:rsidRPr="00BB5498" w:rsidRDefault="008E581C" w:rsidP="004E5C57">
            <w:pPr>
              <w:pStyle w:val="TableText0"/>
              <w:rPr>
                <w:color w:val="000000"/>
              </w:rPr>
            </w:pPr>
            <w:r w:rsidRPr="000E5A48">
              <w:t>2.3062</w:t>
            </w:r>
          </w:p>
        </w:tc>
        <w:tc>
          <w:tcPr>
            <w:tcW w:w="960" w:type="dxa"/>
            <w:noWrap/>
            <w:hideMark/>
          </w:tcPr>
          <w:p w14:paraId="5AC02EA3" w14:textId="77A5A3B5" w:rsidR="008E581C" w:rsidRPr="00BB5498" w:rsidRDefault="008E581C" w:rsidP="004E5C57">
            <w:pPr>
              <w:pStyle w:val="TableText0"/>
              <w:rPr>
                <w:color w:val="000000"/>
              </w:rPr>
            </w:pPr>
            <w:r w:rsidRPr="000E5A48">
              <w:t>0.1205</w:t>
            </w:r>
          </w:p>
        </w:tc>
        <w:tc>
          <w:tcPr>
            <w:tcW w:w="1100" w:type="dxa"/>
            <w:noWrap/>
            <w:hideMark/>
          </w:tcPr>
          <w:p w14:paraId="19CA084C" w14:textId="4338F88B" w:rsidR="008E581C" w:rsidRPr="00BB5498" w:rsidRDefault="008E581C" w:rsidP="004E5C57">
            <w:pPr>
              <w:pStyle w:val="TableText0"/>
              <w:rPr>
                <w:color w:val="000000"/>
              </w:rPr>
            </w:pPr>
            <w:r w:rsidRPr="000E5A48">
              <w:t>1.7103</w:t>
            </w:r>
          </w:p>
        </w:tc>
      </w:tr>
      <w:tr w:rsidR="008E581C" w:rsidRPr="00BB5498" w14:paraId="3B4D1000" w14:textId="77777777" w:rsidTr="00BE0118">
        <w:trPr>
          <w:trHeight w:val="255"/>
        </w:trPr>
        <w:tc>
          <w:tcPr>
            <w:tcW w:w="982" w:type="dxa"/>
            <w:noWrap/>
            <w:hideMark/>
          </w:tcPr>
          <w:p w14:paraId="65F39E77" w14:textId="55613E63" w:rsidR="008E581C" w:rsidRPr="00BB5498" w:rsidRDefault="008E581C" w:rsidP="004E5C57">
            <w:pPr>
              <w:pStyle w:val="TableText0"/>
              <w:rPr>
                <w:color w:val="000000"/>
              </w:rPr>
            </w:pPr>
            <w:r w:rsidRPr="000E5A48">
              <w:t>13</w:t>
            </w:r>
          </w:p>
        </w:tc>
        <w:tc>
          <w:tcPr>
            <w:tcW w:w="1000" w:type="dxa"/>
            <w:noWrap/>
            <w:hideMark/>
          </w:tcPr>
          <w:p w14:paraId="4E131B5D" w14:textId="27A72240" w:rsidR="008E581C" w:rsidRPr="00BB5498" w:rsidRDefault="008E581C" w:rsidP="004E5C57">
            <w:pPr>
              <w:pStyle w:val="TableText0"/>
              <w:rPr>
                <w:color w:val="000000"/>
              </w:rPr>
            </w:pPr>
            <w:r w:rsidRPr="000E5A48">
              <w:t>0.8528</w:t>
            </w:r>
          </w:p>
        </w:tc>
        <w:tc>
          <w:tcPr>
            <w:tcW w:w="1009" w:type="dxa"/>
            <w:noWrap/>
            <w:hideMark/>
          </w:tcPr>
          <w:p w14:paraId="4E0D9A59" w14:textId="275D308D" w:rsidR="008E581C" w:rsidRPr="00BB5498" w:rsidRDefault="008E581C" w:rsidP="004E5C57">
            <w:pPr>
              <w:pStyle w:val="TableText0"/>
              <w:rPr>
                <w:color w:val="000000"/>
              </w:rPr>
            </w:pPr>
            <w:r w:rsidRPr="000E5A48">
              <w:t>0.0035</w:t>
            </w:r>
          </w:p>
        </w:tc>
        <w:tc>
          <w:tcPr>
            <w:tcW w:w="1000" w:type="dxa"/>
            <w:noWrap/>
            <w:hideMark/>
          </w:tcPr>
          <w:p w14:paraId="7AE720D2" w14:textId="051EE3AE" w:rsidR="008E581C" w:rsidRPr="00BB5498" w:rsidRDefault="008E581C" w:rsidP="004E5C57">
            <w:pPr>
              <w:pStyle w:val="TableText0"/>
              <w:rPr>
                <w:color w:val="000000"/>
              </w:rPr>
            </w:pPr>
            <w:r w:rsidRPr="000E5A48">
              <w:t>0.1330</w:t>
            </w:r>
          </w:p>
        </w:tc>
        <w:tc>
          <w:tcPr>
            <w:tcW w:w="1000" w:type="dxa"/>
            <w:noWrap/>
            <w:hideMark/>
          </w:tcPr>
          <w:p w14:paraId="0FE305FD" w14:textId="6927DE3A" w:rsidR="008E581C" w:rsidRPr="00BB5498" w:rsidRDefault="008E581C" w:rsidP="004E5C57">
            <w:pPr>
              <w:pStyle w:val="TableText0"/>
              <w:rPr>
                <w:color w:val="000000"/>
              </w:rPr>
            </w:pPr>
            <w:r w:rsidRPr="000E5A48">
              <w:t>0.0066</w:t>
            </w:r>
          </w:p>
        </w:tc>
        <w:tc>
          <w:tcPr>
            <w:tcW w:w="1000" w:type="dxa"/>
            <w:noWrap/>
            <w:hideMark/>
          </w:tcPr>
          <w:p w14:paraId="13696B64" w14:textId="4B6C2A5C" w:rsidR="008E581C" w:rsidRPr="00BB5498" w:rsidRDefault="008E581C" w:rsidP="004E5C57">
            <w:pPr>
              <w:pStyle w:val="TableText0"/>
              <w:rPr>
                <w:color w:val="000000"/>
              </w:rPr>
            </w:pPr>
            <w:r w:rsidRPr="000E5A48">
              <w:t>0.0005</w:t>
            </w:r>
          </w:p>
        </w:tc>
        <w:tc>
          <w:tcPr>
            <w:tcW w:w="1000" w:type="dxa"/>
            <w:noWrap/>
            <w:hideMark/>
          </w:tcPr>
          <w:p w14:paraId="4E49A2CF" w14:textId="520FFF90" w:rsidR="008E581C" w:rsidRPr="00BB5498" w:rsidRDefault="008E581C" w:rsidP="004E5C57">
            <w:pPr>
              <w:pStyle w:val="TableText0"/>
              <w:rPr>
                <w:color w:val="000000"/>
              </w:rPr>
            </w:pPr>
            <w:r w:rsidRPr="000E5A48">
              <w:t>0.0000</w:t>
            </w:r>
          </w:p>
        </w:tc>
        <w:tc>
          <w:tcPr>
            <w:tcW w:w="1000" w:type="dxa"/>
            <w:noWrap/>
            <w:hideMark/>
          </w:tcPr>
          <w:p w14:paraId="79F7C3F9" w14:textId="10ACA300" w:rsidR="008E581C" w:rsidRPr="00BB5498" w:rsidRDefault="008E581C" w:rsidP="004E5C57">
            <w:pPr>
              <w:pStyle w:val="TableText0"/>
              <w:rPr>
                <w:color w:val="000000"/>
              </w:rPr>
            </w:pPr>
            <w:r w:rsidRPr="000E5A48">
              <w:t>0.0036</w:t>
            </w:r>
          </w:p>
        </w:tc>
        <w:tc>
          <w:tcPr>
            <w:tcW w:w="1060" w:type="dxa"/>
            <w:noWrap/>
            <w:hideMark/>
          </w:tcPr>
          <w:p w14:paraId="3126336D" w14:textId="7AAF964C" w:rsidR="008E581C" w:rsidRPr="00BB5498" w:rsidRDefault="008E581C" w:rsidP="004E5C57">
            <w:pPr>
              <w:pStyle w:val="TableText0"/>
              <w:rPr>
                <w:color w:val="000000"/>
              </w:rPr>
            </w:pPr>
            <w:r w:rsidRPr="000E5A48">
              <w:t>$1,801</w:t>
            </w:r>
          </w:p>
        </w:tc>
        <w:tc>
          <w:tcPr>
            <w:tcW w:w="1180" w:type="dxa"/>
            <w:noWrap/>
            <w:hideMark/>
          </w:tcPr>
          <w:p w14:paraId="218F9BC4" w14:textId="72D5E8FA" w:rsidR="008E581C" w:rsidRPr="00BB5498" w:rsidRDefault="008E581C" w:rsidP="004E5C57">
            <w:pPr>
              <w:pStyle w:val="TableText0"/>
              <w:rPr>
                <w:color w:val="000000"/>
              </w:rPr>
            </w:pPr>
            <w:r w:rsidRPr="000E5A48">
              <w:t>$27,511</w:t>
            </w:r>
          </w:p>
        </w:tc>
        <w:tc>
          <w:tcPr>
            <w:tcW w:w="960" w:type="dxa"/>
            <w:noWrap/>
            <w:hideMark/>
          </w:tcPr>
          <w:p w14:paraId="1D576667" w14:textId="26FD89BA" w:rsidR="008E581C" w:rsidRPr="00BB5498" w:rsidRDefault="008E581C" w:rsidP="004E5C57">
            <w:pPr>
              <w:pStyle w:val="TableText0"/>
              <w:rPr>
                <w:color w:val="000000"/>
              </w:rPr>
            </w:pPr>
            <w:r w:rsidRPr="000E5A48">
              <w:t>0.1495</w:t>
            </w:r>
          </w:p>
        </w:tc>
        <w:tc>
          <w:tcPr>
            <w:tcW w:w="1100" w:type="dxa"/>
            <w:noWrap/>
            <w:hideMark/>
          </w:tcPr>
          <w:p w14:paraId="3D0039BC" w14:textId="02CA9F67" w:rsidR="008E581C" w:rsidRPr="00BB5498" w:rsidRDefault="008E581C" w:rsidP="004E5C57">
            <w:pPr>
              <w:pStyle w:val="TableText0"/>
              <w:rPr>
                <w:color w:val="000000"/>
              </w:rPr>
            </w:pPr>
            <w:r w:rsidRPr="000E5A48">
              <w:t>2.4557</w:t>
            </w:r>
          </w:p>
        </w:tc>
        <w:tc>
          <w:tcPr>
            <w:tcW w:w="960" w:type="dxa"/>
            <w:noWrap/>
            <w:hideMark/>
          </w:tcPr>
          <w:p w14:paraId="4CB3C39A" w14:textId="0C042753" w:rsidR="008E581C" w:rsidRPr="00BB5498" w:rsidRDefault="008E581C" w:rsidP="004E5C57">
            <w:pPr>
              <w:pStyle w:val="TableText0"/>
              <w:rPr>
                <w:color w:val="000000"/>
              </w:rPr>
            </w:pPr>
            <w:r w:rsidRPr="000E5A48">
              <w:t>0.1190</w:t>
            </w:r>
          </w:p>
        </w:tc>
        <w:tc>
          <w:tcPr>
            <w:tcW w:w="1100" w:type="dxa"/>
            <w:noWrap/>
            <w:hideMark/>
          </w:tcPr>
          <w:p w14:paraId="2763D0C6" w14:textId="487D7D0A" w:rsidR="008E581C" w:rsidRPr="00BB5498" w:rsidRDefault="008E581C" w:rsidP="004E5C57">
            <w:pPr>
              <w:pStyle w:val="TableText0"/>
              <w:rPr>
                <w:color w:val="000000"/>
              </w:rPr>
            </w:pPr>
            <w:r w:rsidRPr="000E5A48">
              <w:t>1.8293</w:t>
            </w:r>
          </w:p>
        </w:tc>
      </w:tr>
      <w:tr w:rsidR="008E581C" w:rsidRPr="00BB5498" w14:paraId="5EE63558" w14:textId="77777777" w:rsidTr="00BE0118">
        <w:trPr>
          <w:trHeight w:val="255"/>
        </w:trPr>
        <w:tc>
          <w:tcPr>
            <w:tcW w:w="982" w:type="dxa"/>
            <w:noWrap/>
            <w:hideMark/>
          </w:tcPr>
          <w:p w14:paraId="166BA233" w14:textId="61EB7E2E" w:rsidR="008E581C" w:rsidRPr="00BB5498" w:rsidRDefault="008E581C" w:rsidP="004E5C57">
            <w:pPr>
              <w:pStyle w:val="TableText0"/>
              <w:rPr>
                <w:color w:val="000000"/>
              </w:rPr>
            </w:pPr>
            <w:r w:rsidRPr="000E5A48">
              <w:t>14</w:t>
            </w:r>
          </w:p>
        </w:tc>
        <w:tc>
          <w:tcPr>
            <w:tcW w:w="1000" w:type="dxa"/>
            <w:noWrap/>
            <w:hideMark/>
          </w:tcPr>
          <w:p w14:paraId="3A3A3BF8" w14:textId="23AC7603" w:rsidR="008E581C" w:rsidRPr="00BB5498" w:rsidRDefault="008E581C" w:rsidP="004E5C57">
            <w:pPr>
              <w:pStyle w:val="TableText0"/>
              <w:rPr>
                <w:color w:val="000000"/>
              </w:rPr>
            </w:pPr>
            <w:r w:rsidRPr="000E5A48">
              <w:t>0.8523</w:t>
            </w:r>
          </w:p>
        </w:tc>
        <w:tc>
          <w:tcPr>
            <w:tcW w:w="1009" w:type="dxa"/>
            <w:noWrap/>
            <w:hideMark/>
          </w:tcPr>
          <w:p w14:paraId="671B70D5" w14:textId="44476700" w:rsidR="008E581C" w:rsidRPr="00BB5498" w:rsidRDefault="008E581C" w:rsidP="004E5C57">
            <w:pPr>
              <w:pStyle w:val="TableText0"/>
              <w:rPr>
                <w:color w:val="000000"/>
              </w:rPr>
            </w:pPr>
            <w:r w:rsidRPr="000E5A48">
              <w:t>0.0037</w:t>
            </w:r>
          </w:p>
        </w:tc>
        <w:tc>
          <w:tcPr>
            <w:tcW w:w="1000" w:type="dxa"/>
            <w:noWrap/>
            <w:hideMark/>
          </w:tcPr>
          <w:p w14:paraId="22C4901F" w14:textId="02C7022E" w:rsidR="008E581C" w:rsidRPr="00BB5498" w:rsidRDefault="008E581C" w:rsidP="004E5C57">
            <w:pPr>
              <w:pStyle w:val="TableText0"/>
              <w:rPr>
                <w:color w:val="000000"/>
              </w:rPr>
            </w:pPr>
            <w:r w:rsidRPr="000E5A48">
              <w:t>0.1329</w:t>
            </w:r>
          </w:p>
        </w:tc>
        <w:tc>
          <w:tcPr>
            <w:tcW w:w="1000" w:type="dxa"/>
            <w:noWrap/>
            <w:hideMark/>
          </w:tcPr>
          <w:p w14:paraId="69D9A896" w14:textId="706BFBE7" w:rsidR="008E581C" w:rsidRPr="00BB5498" w:rsidRDefault="008E581C" w:rsidP="004E5C57">
            <w:pPr>
              <w:pStyle w:val="TableText0"/>
              <w:rPr>
                <w:color w:val="000000"/>
              </w:rPr>
            </w:pPr>
            <w:r w:rsidRPr="000E5A48">
              <w:t>0.0065</w:t>
            </w:r>
          </w:p>
        </w:tc>
        <w:tc>
          <w:tcPr>
            <w:tcW w:w="1000" w:type="dxa"/>
            <w:noWrap/>
            <w:hideMark/>
          </w:tcPr>
          <w:p w14:paraId="5E256C97" w14:textId="4AFDBD38" w:rsidR="008E581C" w:rsidRPr="00BB5498" w:rsidRDefault="008E581C" w:rsidP="004E5C57">
            <w:pPr>
              <w:pStyle w:val="TableText0"/>
              <w:rPr>
                <w:color w:val="000000"/>
              </w:rPr>
            </w:pPr>
            <w:r w:rsidRPr="000E5A48">
              <w:t>0.0005</w:t>
            </w:r>
          </w:p>
        </w:tc>
        <w:tc>
          <w:tcPr>
            <w:tcW w:w="1000" w:type="dxa"/>
            <w:noWrap/>
            <w:hideMark/>
          </w:tcPr>
          <w:p w14:paraId="5CC3BE7C" w14:textId="50DBD217" w:rsidR="008E581C" w:rsidRPr="00BB5498" w:rsidRDefault="008E581C" w:rsidP="004E5C57">
            <w:pPr>
              <w:pStyle w:val="TableText0"/>
              <w:rPr>
                <w:color w:val="000000"/>
              </w:rPr>
            </w:pPr>
            <w:r w:rsidRPr="000E5A48">
              <w:t>0.0000</w:t>
            </w:r>
          </w:p>
        </w:tc>
        <w:tc>
          <w:tcPr>
            <w:tcW w:w="1000" w:type="dxa"/>
            <w:noWrap/>
            <w:hideMark/>
          </w:tcPr>
          <w:p w14:paraId="5C6F8EE2" w14:textId="53427E4D" w:rsidR="008E581C" w:rsidRPr="00BB5498" w:rsidRDefault="008E581C" w:rsidP="004E5C57">
            <w:pPr>
              <w:pStyle w:val="TableText0"/>
              <w:rPr>
                <w:color w:val="000000"/>
              </w:rPr>
            </w:pPr>
            <w:r w:rsidRPr="000E5A48">
              <w:t>0.0040</w:t>
            </w:r>
          </w:p>
        </w:tc>
        <w:tc>
          <w:tcPr>
            <w:tcW w:w="1060" w:type="dxa"/>
            <w:noWrap/>
            <w:hideMark/>
          </w:tcPr>
          <w:p w14:paraId="3EC96D43" w14:textId="08769370" w:rsidR="008E581C" w:rsidRPr="00BB5498" w:rsidRDefault="008E581C" w:rsidP="004E5C57">
            <w:pPr>
              <w:pStyle w:val="TableText0"/>
              <w:rPr>
                <w:color w:val="000000"/>
              </w:rPr>
            </w:pPr>
            <w:r w:rsidRPr="000E5A48">
              <w:t>$1,779</w:t>
            </w:r>
          </w:p>
        </w:tc>
        <w:tc>
          <w:tcPr>
            <w:tcW w:w="1180" w:type="dxa"/>
            <w:noWrap/>
            <w:hideMark/>
          </w:tcPr>
          <w:p w14:paraId="5071722A" w14:textId="3366E1B2" w:rsidR="008E581C" w:rsidRPr="00BB5498" w:rsidRDefault="008E581C" w:rsidP="004E5C57">
            <w:pPr>
              <w:pStyle w:val="TableText0"/>
              <w:rPr>
                <w:color w:val="000000"/>
              </w:rPr>
            </w:pPr>
            <w:r w:rsidRPr="000E5A48">
              <w:t>$29,290</w:t>
            </w:r>
          </w:p>
        </w:tc>
        <w:tc>
          <w:tcPr>
            <w:tcW w:w="960" w:type="dxa"/>
            <w:noWrap/>
            <w:hideMark/>
          </w:tcPr>
          <w:p w14:paraId="2B359265" w14:textId="045AA804" w:rsidR="008E581C" w:rsidRPr="00BB5498" w:rsidRDefault="008E581C" w:rsidP="004E5C57">
            <w:pPr>
              <w:pStyle w:val="TableText0"/>
              <w:rPr>
                <w:color w:val="000000"/>
              </w:rPr>
            </w:pPr>
            <w:r w:rsidRPr="000E5A48">
              <w:t>0.1476</w:t>
            </w:r>
          </w:p>
        </w:tc>
        <w:tc>
          <w:tcPr>
            <w:tcW w:w="1100" w:type="dxa"/>
            <w:noWrap/>
            <w:hideMark/>
          </w:tcPr>
          <w:p w14:paraId="413DFE10" w14:textId="17B9F4B3" w:rsidR="008E581C" w:rsidRPr="00BB5498" w:rsidRDefault="008E581C" w:rsidP="004E5C57">
            <w:pPr>
              <w:pStyle w:val="TableText0"/>
              <w:rPr>
                <w:color w:val="000000"/>
              </w:rPr>
            </w:pPr>
            <w:r w:rsidRPr="000E5A48">
              <w:t>2.6033</w:t>
            </w:r>
          </w:p>
        </w:tc>
        <w:tc>
          <w:tcPr>
            <w:tcW w:w="960" w:type="dxa"/>
            <w:noWrap/>
            <w:hideMark/>
          </w:tcPr>
          <w:p w14:paraId="02488FB2" w14:textId="4CE90402" w:rsidR="008E581C" w:rsidRPr="00BB5498" w:rsidRDefault="008E581C" w:rsidP="004E5C57">
            <w:pPr>
              <w:pStyle w:val="TableText0"/>
              <w:rPr>
                <w:color w:val="000000"/>
              </w:rPr>
            </w:pPr>
            <w:r w:rsidRPr="000E5A48">
              <w:t>0.1176</w:t>
            </w:r>
          </w:p>
        </w:tc>
        <w:tc>
          <w:tcPr>
            <w:tcW w:w="1100" w:type="dxa"/>
            <w:noWrap/>
            <w:hideMark/>
          </w:tcPr>
          <w:p w14:paraId="34BD5803" w14:textId="4AC5CF37" w:rsidR="008E581C" w:rsidRPr="00BB5498" w:rsidRDefault="008E581C" w:rsidP="004E5C57">
            <w:pPr>
              <w:pStyle w:val="TableText0"/>
              <w:rPr>
                <w:color w:val="000000"/>
              </w:rPr>
            </w:pPr>
            <w:r w:rsidRPr="000E5A48">
              <w:t>1.9469</w:t>
            </w:r>
          </w:p>
        </w:tc>
      </w:tr>
    </w:tbl>
    <w:p w14:paraId="1663B57A" w14:textId="77777777" w:rsidR="00CD6ED2" w:rsidRPr="00CD6ED2" w:rsidRDefault="00CD6ED2" w:rsidP="00CD6ED2"/>
    <w:p w14:paraId="61158530" w14:textId="60E6BA18" w:rsidR="004058BE" w:rsidRDefault="004058BE" w:rsidP="004058BE">
      <w:pPr>
        <w:rPr>
          <w:noProof/>
        </w:rPr>
      </w:pPr>
    </w:p>
    <w:p w14:paraId="11A364D2" w14:textId="77777777" w:rsidR="004058BE" w:rsidRDefault="004058BE" w:rsidP="006F2353">
      <w:pPr>
        <w:pStyle w:val="Heading4"/>
      </w:pPr>
      <w:bookmarkStart w:id="684" w:name="_Toc38031996"/>
      <w:r w:rsidRPr="009A70B0">
        <w:lastRenderedPageBreak/>
        <w:t xml:space="preserve">NMOSD-Ab testing </w:t>
      </w:r>
      <w:r>
        <w:t xml:space="preserve">not </w:t>
      </w:r>
      <w:r w:rsidRPr="009A70B0">
        <w:t>available - Treat for NMOSD</w:t>
      </w:r>
      <w:bookmarkEnd w:id="684"/>
    </w:p>
    <w:p w14:paraId="6E5ACE82" w14:textId="128343E7" w:rsidR="00FA7BCD" w:rsidRDefault="00FA7BCD" w:rsidP="00FA7BCD">
      <w:pPr>
        <w:pStyle w:val="Caption"/>
      </w:pPr>
      <w:bookmarkStart w:id="685" w:name="_Toc39580892"/>
      <w:r>
        <w:t xml:space="preserve">Table </w:t>
      </w:r>
      <w:fldSimple w:instr=" SEQ Table \* ARABIC ">
        <w:r>
          <w:rPr>
            <w:noProof/>
          </w:rPr>
          <w:t>111</w:t>
        </w:r>
      </w:fldSimple>
      <w:r>
        <w:tab/>
      </w:r>
      <w:r w:rsidRPr="009A70B0">
        <w:t xml:space="preserve">NMOSD-Ab testing </w:t>
      </w:r>
      <w:r>
        <w:t xml:space="preserve">not </w:t>
      </w:r>
      <w:r w:rsidRPr="009A70B0">
        <w:t>available - Treat for NMOSD</w:t>
      </w:r>
      <w:bookmarkEnd w:id="685"/>
    </w:p>
    <w:tbl>
      <w:tblPr>
        <w:tblStyle w:val="TableGrid1"/>
        <w:tblW w:w="14203" w:type="dxa"/>
        <w:tblLook w:val="04A0" w:firstRow="1" w:lastRow="0" w:firstColumn="1" w:lastColumn="0" w:noHBand="0" w:noVBand="1"/>
      </w:tblPr>
      <w:tblGrid>
        <w:gridCol w:w="982"/>
        <w:gridCol w:w="1000"/>
        <w:gridCol w:w="1009"/>
        <w:gridCol w:w="1000"/>
        <w:gridCol w:w="1000"/>
        <w:gridCol w:w="1000"/>
        <w:gridCol w:w="1000"/>
        <w:gridCol w:w="1000"/>
        <w:gridCol w:w="1060"/>
        <w:gridCol w:w="1180"/>
        <w:gridCol w:w="960"/>
        <w:gridCol w:w="1100"/>
        <w:gridCol w:w="960"/>
        <w:gridCol w:w="1100"/>
      </w:tblGrid>
      <w:tr w:rsidR="00BB5498" w:rsidRPr="00FA7BCD" w14:paraId="27D3D70E" w14:textId="77777777" w:rsidTr="00BE0118">
        <w:trPr>
          <w:cnfStyle w:val="100000000000" w:firstRow="1" w:lastRow="0" w:firstColumn="0" w:lastColumn="0" w:oddVBand="0" w:evenVBand="0" w:oddHBand="0" w:evenHBand="0" w:firstRowFirstColumn="0" w:firstRowLastColumn="0" w:lastRowFirstColumn="0" w:lastRowLastColumn="0"/>
          <w:trHeight w:val="255"/>
        </w:trPr>
        <w:tc>
          <w:tcPr>
            <w:tcW w:w="960" w:type="dxa"/>
            <w:noWrap/>
            <w:hideMark/>
          </w:tcPr>
          <w:p w14:paraId="26241319" w14:textId="77777777" w:rsidR="00BB5498" w:rsidRPr="00FA7BCD" w:rsidRDefault="00BB5498" w:rsidP="00A87AE2">
            <w:pPr>
              <w:pStyle w:val="TableHeading"/>
            </w:pPr>
            <w:r w:rsidRPr="00FA7BCD">
              <w:t>Stage</w:t>
            </w:r>
          </w:p>
          <w:p w14:paraId="017BBDDC" w14:textId="50FD71E9" w:rsidR="00BB5498" w:rsidRPr="00FA7BCD" w:rsidRDefault="00BB5498" w:rsidP="004E5C57">
            <w:pPr>
              <w:pStyle w:val="TableText0"/>
              <w:rPr>
                <w:b/>
              </w:rPr>
            </w:pPr>
            <w:r w:rsidRPr="00FA7BCD">
              <w:rPr>
                <w:b/>
              </w:rPr>
              <w:t>(quarters)</w:t>
            </w:r>
          </w:p>
        </w:tc>
        <w:tc>
          <w:tcPr>
            <w:tcW w:w="1000" w:type="dxa"/>
            <w:noWrap/>
            <w:hideMark/>
          </w:tcPr>
          <w:p w14:paraId="13F3DF9F" w14:textId="77777777" w:rsidR="00BB5498" w:rsidRPr="00FA7BCD" w:rsidRDefault="00BB5498" w:rsidP="00A87AE2">
            <w:pPr>
              <w:pStyle w:val="TableHeading"/>
            </w:pPr>
            <w:r w:rsidRPr="00FA7BCD">
              <w:t>Disease with no or mild disability</w:t>
            </w:r>
          </w:p>
          <w:p w14:paraId="032F4CD5" w14:textId="0DD6854C" w:rsidR="00BB5498" w:rsidRPr="00FA7BCD" w:rsidRDefault="00BB5498" w:rsidP="004E5C57">
            <w:pPr>
              <w:pStyle w:val="TableText0"/>
              <w:rPr>
                <w:b/>
              </w:rPr>
            </w:pPr>
            <w:r w:rsidRPr="00FA7BCD">
              <w:rPr>
                <w:b/>
              </w:rPr>
              <w:t>(%)</w:t>
            </w:r>
          </w:p>
        </w:tc>
        <w:tc>
          <w:tcPr>
            <w:tcW w:w="1009" w:type="dxa"/>
            <w:noWrap/>
            <w:hideMark/>
          </w:tcPr>
          <w:p w14:paraId="7DB1D2FB" w14:textId="77777777" w:rsidR="00BB5498" w:rsidRPr="00FA7BCD" w:rsidRDefault="00BB5498" w:rsidP="00A87AE2">
            <w:pPr>
              <w:pStyle w:val="TableHeading"/>
            </w:pPr>
            <w:r w:rsidRPr="00FA7BCD">
              <w:t>Disease with moderate-severe disability</w:t>
            </w:r>
          </w:p>
          <w:p w14:paraId="48A34BCA" w14:textId="29F7E97C" w:rsidR="00BB5498" w:rsidRPr="00FA7BCD" w:rsidRDefault="00BB5498" w:rsidP="004E5C57">
            <w:pPr>
              <w:pStyle w:val="TableText0"/>
              <w:rPr>
                <w:b/>
              </w:rPr>
            </w:pPr>
            <w:r w:rsidRPr="00FA7BCD">
              <w:rPr>
                <w:b/>
              </w:rPr>
              <w:t>(%)</w:t>
            </w:r>
          </w:p>
        </w:tc>
        <w:tc>
          <w:tcPr>
            <w:tcW w:w="1000" w:type="dxa"/>
            <w:noWrap/>
            <w:hideMark/>
          </w:tcPr>
          <w:p w14:paraId="70E0C569" w14:textId="77777777" w:rsidR="00BB5498" w:rsidRPr="00FA7BCD" w:rsidRDefault="00BB5498" w:rsidP="00A87AE2">
            <w:pPr>
              <w:pStyle w:val="TableHeading"/>
            </w:pPr>
            <w:r w:rsidRPr="00FA7BCD">
              <w:t>Disease with no/mild disability and mild relapse</w:t>
            </w:r>
          </w:p>
          <w:p w14:paraId="3B9F6381" w14:textId="7A024819" w:rsidR="00BB5498" w:rsidRPr="00FA7BCD" w:rsidRDefault="00BB5498" w:rsidP="004E5C57">
            <w:pPr>
              <w:pStyle w:val="TableText0"/>
              <w:rPr>
                <w:b/>
              </w:rPr>
            </w:pPr>
            <w:r w:rsidRPr="00FA7BCD">
              <w:rPr>
                <w:b/>
              </w:rPr>
              <w:t>(%)</w:t>
            </w:r>
          </w:p>
        </w:tc>
        <w:tc>
          <w:tcPr>
            <w:tcW w:w="1000" w:type="dxa"/>
            <w:noWrap/>
            <w:hideMark/>
          </w:tcPr>
          <w:p w14:paraId="1FE6E85B" w14:textId="77777777" w:rsidR="00BB5498" w:rsidRPr="00FA7BCD" w:rsidRDefault="00BB5498" w:rsidP="00A87AE2">
            <w:pPr>
              <w:pStyle w:val="TableHeading"/>
            </w:pPr>
            <w:r w:rsidRPr="00FA7BCD">
              <w:t>Disease with no/mild disability and severe relapse</w:t>
            </w:r>
          </w:p>
          <w:p w14:paraId="6CB9124B" w14:textId="786CA1E7" w:rsidR="00BB5498" w:rsidRPr="00FA7BCD" w:rsidRDefault="00BB5498" w:rsidP="004E5C57">
            <w:pPr>
              <w:pStyle w:val="TableText0"/>
              <w:rPr>
                <w:b/>
              </w:rPr>
            </w:pPr>
            <w:r w:rsidRPr="00FA7BCD">
              <w:rPr>
                <w:b/>
              </w:rPr>
              <w:t>(%)</w:t>
            </w:r>
          </w:p>
        </w:tc>
        <w:tc>
          <w:tcPr>
            <w:tcW w:w="1000" w:type="dxa"/>
            <w:noWrap/>
            <w:hideMark/>
          </w:tcPr>
          <w:p w14:paraId="6BBFC898" w14:textId="77777777" w:rsidR="00BB5498" w:rsidRPr="00FA7BCD" w:rsidRDefault="00BB5498" w:rsidP="00A87AE2">
            <w:pPr>
              <w:pStyle w:val="TableHeading"/>
            </w:pPr>
            <w:r w:rsidRPr="00FA7BCD">
              <w:t>Disease with moderate – severe disability and mild relapse</w:t>
            </w:r>
          </w:p>
          <w:p w14:paraId="12FFBD90" w14:textId="377F5559" w:rsidR="00BB5498" w:rsidRPr="00FA7BCD" w:rsidRDefault="00BB5498" w:rsidP="004E5C57">
            <w:pPr>
              <w:pStyle w:val="TableText0"/>
              <w:rPr>
                <w:b/>
              </w:rPr>
            </w:pPr>
            <w:r w:rsidRPr="00FA7BCD">
              <w:rPr>
                <w:b/>
              </w:rPr>
              <w:t>(%)</w:t>
            </w:r>
          </w:p>
        </w:tc>
        <w:tc>
          <w:tcPr>
            <w:tcW w:w="1000" w:type="dxa"/>
            <w:noWrap/>
            <w:hideMark/>
          </w:tcPr>
          <w:p w14:paraId="7817E998" w14:textId="5404B297" w:rsidR="00BB5498" w:rsidRPr="00FA7BCD" w:rsidRDefault="00BB5498" w:rsidP="004E5C57">
            <w:pPr>
              <w:pStyle w:val="TableText0"/>
              <w:rPr>
                <w:b/>
              </w:rPr>
            </w:pPr>
            <w:r w:rsidRPr="00FA7BCD">
              <w:rPr>
                <w:b/>
              </w:rPr>
              <w:t>Disease with moderate – severe disability and severe relapse (%)</w:t>
            </w:r>
          </w:p>
        </w:tc>
        <w:tc>
          <w:tcPr>
            <w:tcW w:w="1000" w:type="dxa"/>
            <w:noWrap/>
            <w:hideMark/>
          </w:tcPr>
          <w:p w14:paraId="795A45A9" w14:textId="77777777" w:rsidR="00BB5498" w:rsidRPr="00FA7BCD" w:rsidRDefault="00BB5498" w:rsidP="00A87AE2">
            <w:pPr>
              <w:pStyle w:val="TableHeading"/>
            </w:pPr>
            <w:r w:rsidRPr="00FA7BCD">
              <w:t>Death</w:t>
            </w:r>
          </w:p>
          <w:p w14:paraId="48695378" w14:textId="172F4FEB" w:rsidR="00BB5498" w:rsidRPr="00FA7BCD" w:rsidRDefault="00BB5498" w:rsidP="004E5C57">
            <w:pPr>
              <w:pStyle w:val="TableText0"/>
              <w:rPr>
                <w:b/>
              </w:rPr>
            </w:pPr>
            <w:r w:rsidRPr="00FA7BCD">
              <w:rPr>
                <w:b/>
              </w:rPr>
              <w:t>(%)</w:t>
            </w:r>
          </w:p>
        </w:tc>
        <w:tc>
          <w:tcPr>
            <w:tcW w:w="1060" w:type="dxa"/>
            <w:noWrap/>
            <w:hideMark/>
          </w:tcPr>
          <w:p w14:paraId="0BB40820" w14:textId="2E8F340D" w:rsidR="00BB5498" w:rsidRPr="00FA7BCD" w:rsidRDefault="00BB5498" w:rsidP="004E5C57">
            <w:pPr>
              <w:pStyle w:val="TableText0"/>
              <w:rPr>
                <w:b/>
              </w:rPr>
            </w:pPr>
            <w:r w:rsidRPr="00FA7BCD">
              <w:rPr>
                <w:b/>
              </w:rPr>
              <w:t>Cost</w:t>
            </w:r>
          </w:p>
        </w:tc>
        <w:tc>
          <w:tcPr>
            <w:tcW w:w="1180" w:type="dxa"/>
            <w:noWrap/>
            <w:hideMark/>
          </w:tcPr>
          <w:p w14:paraId="14A86BD3" w14:textId="35031CF8" w:rsidR="00BB5498" w:rsidRPr="00FA7BCD" w:rsidRDefault="00BB5498" w:rsidP="004E5C57">
            <w:pPr>
              <w:pStyle w:val="TableText0"/>
              <w:rPr>
                <w:b/>
              </w:rPr>
            </w:pPr>
            <w:r w:rsidRPr="00FA7BCD">
              <w:rPr>
                <w:b/>
              </w:rPr>
              <w:t>Cumulative Cost</w:t>
            </w:r>
          </w:p>
        </w:tc>
        <w:tc>
          <w:tcPr>
            <w:tcW w:w="960" w:type="dxa"/>
            <w:noWrap/>
            <w:hideMark/>
          </w:tcPr>
          <w:p w14:paraId="1C3D39F9" w14:textId="36B44377" w:rsidR="00BB5498" w:rsidRPr="00FA7BCD" w:rsidRDefault="00BB5498" w:rsidP="004E5C57">
            <w:pPr>
              <w:pStyle w:val="TableText0"/>
              <w:rPr>
                <w:b/>
              </w:rPr>
            </w:pPr>
            <w:r w:rsidRPr="00FA7BCD">
              <w:rPr>
                <w:b/>
              </w:rPr>
              <w:t>QALY</w:t>
            </w:r>
          </w:p>
        </w:tc>
        <w:tc>
          <w:tcPr>
            <w:tcW w:w="1037" w:type="dxa"/>
            <w:noWrap/>
            <w:hideMark/>
          </w:tcPr>
          <w:p w14:paraId="73E5C166" w14:textId="06D30D60" w:rsidR="00BB5498" w:rsidRPr="00FA7BCD" w:rsidRDefault="00BB5498" w:rsidP="004E5C57">
            <w:pPr>
              <w:pStyle w:val="TableText0"/>
              <w:rPr>
                <w:b/>
              </w:rPr>
            </w:pPr>
            <w:r w:rsidRPr="00FA7BCD">
              <w:rPr>
                <w:b/>
              </w:rPr>
              <w:t>Cumulative QALY</w:t>
            </w:r>
          </w:p>
        </w:tc>
        <w:tc>
          <w:tcPr>
            <w:tcW w:w="960" w:type="dxa"/>
            <w:noWrap/>
            <w:hideMark/>
          </w:tcPr>
          <w:p w14:paraId="50394BE2" w14:textId="55E89F5F" w:rsidR="00BB5498" w:rsidRPr="00FA7BCD" w:rsidRDefault="00BB5498" w:rsidP="004E5C57">
            <w:pPr>
              <w:pStyle w:val="TableText0"/>
              <w:rPr>
                <w:b/>
              </w:rPr>
            </w:pPr>
            <w:r w:rsidRPr="00FA7BCD">
              <w:rPr>
                <w:b/>
              </w:rPr>
              <w:t>Relapse</w:t>
            </w:r>
          </w:p>
        </w:tc>
        <w:tc>
          <w:tcPr>
            <w:tcW w:w="1037" w:type="dxa"/>
            <w:noWrap/>
            <w:hideMark/>
          </w:tcPr>
          <w:p w14:paraId="4120F13F" w14:textId="4AB8E951" w:rsidR="00BB5498" w:rsidRPr="00FA7BCD" w:rsidRDefault="00BB5498" w:rsidP="004E5C57">
            <w:pPr>
              <w:pStyle w:val="TableText0"/>
              <w:rPr>
                <w:b/>
              </w:rPr>
            </w:pPr>
            <w:r w:rsidRPr="00FA7BCD">
              <w:rPr>
                <w:b/>
              </w:rPr>
              <w:t>Cumulative Relapse</w:t>
            </w:r>
          </w:p>
        </w:tc>
      </w:tr>
      <w:tr w:rsidR="00F36DAE" w:rsidRPr="00BB5498" w14:paraId="7E382492" w14:textId="77777777" w:rsidTr="00BE0118">
        <w:trPr>
          <w:trHeight w:val="255"/>
        </w:trPr>
        <w:tc>
          <w:tcPr>
            <w:tcW w:w="960" w:type="dxa"/>
            <w:noWrap/>
            <w:hideMark/>
          </w:tcPr>
          <w:p w14:paraId="04EDED69" w14:textId="77777777" w:rsidR="00F36DAE" w:rsidRPr="00BB5498" w:rsidRDefault="00F36DAE" w:rsidP="004E5C57">
            <w:pPr>
              <w:pStyle w:val="TableText0"/>
            </w:pPr>
            <w:r w:rsidRPr="00BB5498">
              <w:t>0</w:t>
            </w:r>
          </w:p>
        </w:tc>
        <w:tc>
          <w:tcPr>
            <w:tcW w:w="1000" w:type="dxa"/>
            <w:noWrap/>
            <w:hideMark/>
          </w:tcPr>
          <w:p w14:paraId="36B986E6" w14:textId="77777777" w:rsidR="00F36DAE" w:rsidRPr="00BB5498" w:rsidRDefault="00F36DAE" w:rsidP="004E5C57">
            <w:pPr>
              <w:pStyle w:val="TableText0"/>
            </w:pPr>
            <w:r w:rsidRPr="00BB5498">
              <w:t>1</w:t>
            </w:r>
          </w:p>
        </w:tc>
        <w:tc>
          <w:tcPr>
            <w:tcW w:w="1009" w:type="dxa"/>
            <w:noWrap/>
            <w:hideMark/>
          </w:tcPr>
          <w:p w14:paraId="0678F069" w14:textId="77777777" w:rsidR="00F36DAE" w:rsidRPr="00BB5498" w:rsidRDefault="00F36DAE" w:rsidP="004E5C57">
            <w:pPr>
              <w:pStyle w:val="TableText0"/>
            </w:pPr>
            <w:r w:rsidRPr="00BB5498">
              <w:t>0</w:t>
            </w:r>
          </w:p>
        </w:tc>
        <w:tc>
          <w:tcPr>
            <w:tcW w:w="1000" w:type="dxa"/>
            <w:noWrap/>
            <w:hideMark/>
          </w:tcPr>
          <w:p w14:paraId="68ABB13A" w14:textId="77777777" w:rsidR="00F36DAE" w:rsidRPr="00BB5498" w:rsidRDefault="00F36DAE" w:rsidP="004E5C57">
            <w:pPr>
              <w:pStyle w:val="TableText0"/>
            </w:pPr>
            <w:r w:rsidRPr="00BB5498">
              <w:t>0</w:t>
            </w:r>
          </w:p>
        </w:tc>
        <w:tc>
          <w:tcPr>
            <w:tcW w:w="1000" w:type="dxa"/>
            <w:noWrap/>
            <w:hideMark/>
          </w:tcPr>
          <w:p w14:paraId="1DBAEA0B" w14:textId="77777777" w:rsidR="00F36DAE" w:rsidRPr="00BB5498" w:rsidRDefault="00F36DAE" w:rsidP="004E5C57">
            <w:pPr>
              <w:pStyle w:val="TableText0"/>
            </w:pPr>
            <w:r w:rsidRPr="00BB5498">
              <w:t>0</w:t>
            </w:r>
          </w:p>
        </w:tc>
        <w:tc>
          <w:tcPr>
            <w:tcW w:w="1000" w:type="dxa"/>
            <w:noWrap/>
            <w:hideMark/>
          </w:tcPr>
          <w:p w14:paraId="26B17805" w14:textId="77777777" w:rsidR="00F36DAE" w:rsidRPr="00BB5498" w:rsidRDefault="00F36DAE" w:rsidP="004E5C57">
            <w:pPr>
              <w:pStyle w:val="TableText0"/>
            </w:pPr>
            <w:r w:rsidRPr="00BB5498">
              <w:t>0</w:t>
            </w:r>
          </w:p>
        </w:tc>
        <w:tc>
          <w:tcPr>
            <w:tcW w:w="1000" w:type="dxa"/>
            <w:noWrap/>
            <w:hideMark/>
          </w:tcPr>
          <w:p w14:paraId="0156315C" w14:textId="77777777" w:rsidR="00F36DAE" w:rsidRPr="00BB5498" w:rsidRDefault="00F36DAE" w:rsidP="004E5C57">
            <w:pPr>
              <w:pStyle w:val="TableText0"/>
            </w:pPr>
            <w:r w:rsidRPr="00BB5498">
              <w:t>0</w:t>
            </w:r>
          </w:p>
        </w:tc>
        <w:tc>
          <w:tcPr>
            <w:tcW w:w="1000" w:type="dxa"/>
            <w:noWrap/>
            <w:hideMark/>
          </w:tcPr>
          <w:p w14:paraId="62B04C38" w14:textId="77777777" w:rsidR="00F36DAE" w:rsidRPr="00BB5498" w:rsidRDefault="00F36DAE" w:rsidP="004E5C57">
            <w:pPr>
              <w:pStyle w:val="TableText0"/>
            </w:pPr>
            <w:r w:rsidRPr="00BB5498">
              <w:t>0</w:t>
            </w:r>
          </w:p>
        </w:tc>
        <w:tc>
          <w:tcPr>
            <w:tcW w:w="1060" w:type="dxa"/>
            <w:noWrap/>
            <w:hideMark/>
          </w:tcPr>
          <w:p w14:paraId="2068EA39" w14:textId="77777777" w:rsidR="00F36DAE" w:rsidRPr="00BB5498" w:rsidRDefault="00F36DAE" w:rsidP="004E5C57">
            <w:pPr>
              <w:pStyle w:val="TableText0"/>
            </w:pPr>
            <w:r w:rsidRPr="00BB5498">
              <w:t>$2,224</w:t>
            </w:r>
          </w:p>
        </w:tc>
        <w:tc>
          <w:tcPr>
            <w:tcW w:w="1180" w:type="dxa"/>
            <w:noWrap/>
            <w:hideMark/>
          </w:tcPr>
          <w:p w14:paraId="73EE3E88" w14:textId="77777777" w:rsidR="00F36DAE" w:rsidRPr="00BB5498" w:rsidRDefault="00F36DAE" w:rsidP="004E5C57">
            <w:pPr>
              <w:pStyle w:val="TableText0"/>
            </w:pPr>
            <w:r w:rsidRPr="00BB5498">
              <w:t>$2,224</w:t>
            </w:r>
          </w:p>
        </w:tc>
        <w:tc>
          <w:tcPr>
            <w:tcW w:w="960" w:type="dxa"/>
            <w:noWrap/>
            <w:hideMark/>
          </w:tcPr>
          <w:p w14:paraId="15E1DF98" w14:textId="77777777" w:rsidR="00F36DAE" w:rsidRPr="00BB5498" w:rsidRDefault="00F36DAE" w:rsidP="004E5C57">
            <w:pPr>
              <w:pStyle w:val="TableText0"/>
            </w:pPr>
            <w:r w:rsidRPr="00BB5498">
              <w:t>0.3573</w:t>
            </w:r>
          </w:p>
        </w:tc>
        <w:tc>
          <w:tcPr>
            <w:tcW w:w="1037" w:type="dxa"/>
            <w:noWrap/>
            <w:hideMark/>
          </w:tcPr>
          <w:p w14:paraId="154B8B2F" w14:textId="77777777" w:rsidR="00F36DAE" w:rsidRPr="00BB5498" w:rsidRDefault="00F36DAE" w:rsidP="004E5C57">
            <w:pPr>
              <w:pStyle w:val="TableText0"/>
            </w:pPr>
            <w:r w:rsidRPr="00BB5498">
              <w:t>0.3573</w:t>
            </w:r>
          </w:p>
        </w:tc>
        <w:tc>
          <w:tcPr>
            <w:tcW w:w="960" w:type="dxa"/>
            <w:noWrap/>
            <w:hideMark/>
          </w:tcPr>
          <w:p w14:paraId="0E275010" w14:textId="77777777" w:rsidR="00F36DAE" w:rsidRPr="00BB5498" w:rsidRDefault="00F36DAE" w:rsidP="004E5C57">
            <w:pPr>
              <w:pStyle w:val="TableText0"/>
            </w:pPr>
            <w:r w:rsidRPr="00BB5498">
              <w:t>0.1625</w:t>
            </w:r>
          </w:p>
        </w:tc>
        <w:tc>
          <w:tcPr>
            <w:tcW w:w="1037" w:type="dxa"/>
            <w:noWrap/>
            <w:hideMark/>
          </w:tcPr>
          <w:p w14:paraId="15371BF4" w14:textId="77777777" w:rsidR="00F36DAE" w:rsidRPr="00BB5498" w:rsidRDefault="00F36DAE" w:rsidP="004E5C57">
            <w:pPr>
              <w:pStyle w:val="TableText0"/>
            </w:pPr>
            <w:r w:rsidRPr="00BB5498">
              <w:t>0.1625</w:t>
            </w:r>
          </w:p>
        </w:tc>
      </w:tr>
      <w:tr w:rsidR="00F36DAE" w:rsidRPr="00BB5498" w14:paraId="3717D0A0" w14:textId="77777777" w:rsidTr="00BE0118">
        <w:trPr>
          <w:trHeight w:val="255"/>
        </w:trPr>
        <w:tc>
          <w:tcPr>
            <w:tcW w:w="960" w:type="dxa"/>
            <w:noWrap/>
            <w:hideMark/>
          </w:tcPr>
          <w:p w14:paraId="4ADFF970" w14:textId="77777777" w:rsidR="00F36DAE" w:rsidRPr="00BB5498" w:rsidRDefault="00F36DAE" w:rsidP="004E5C57">
            <w:pPr>
              <w:pStyle w:val="TableText0"/>
            </w:pPr>
            <w:r w:rsidRPr="00BB5498">
              <w:t>1</w:t>
            </w:r>
          </w:p>
        </w:tc>
        <w:tc>
          <w:tcPr>
            <w:tcW w:w="1000" w:type="dxa"/>
            <w:noWrap/>
            <w:hideMark/>
          </w:tcPr>
          <w:p w14:paraId="0D711608" w14:textId="77777777" w:rsidR="00F36DAE" w:rsidRPr="00BB5498" w:rsidRDefault="00F36DAE" w:rsidP="004E5C57">
            <w:pPr>
              <w:pStyle w:val="TableText0"/>
            </w:pPr>
            <w:r w:rsidRPr="00BB5498">
              <w:t>0.8363</w:t>
            </w:r>
          </w:p>
        </w:tc>
        <w:tc>
          <w:tcPr>
            <w:tcW w:w="1009" w:type="dxa"/>
            <w:noWrap/>
            <w:hideMark/>
          </w:tcPr>
          <w:p w14:paraId="4666EA4D" w14:textId="77777777" w:rsidR="00F36DAE" w:rsidRPr="00BB5498" w:rsidRDefault="00F36DAE" w:rsidP="004E5C57">
            <w:pPr>
              <w:pStyle w:val="TableText0"/>
            </w:pPr>
            <w:r w:rsidRPr="00BB5498">
              <w:t>0.0000</w:t>
            </w:r>
          </w:p>
        </w:tc>
        <w:tc>
          <w:tcPr>
            <w:tcW w:w="1000" w:type="dxa"/>
            <w:noWrap/>
            <w:hideMark/>
          </w:tcPr>
          <w:p w14:paraId="75376B0E" w14:textId="77777777" w:rsidR="00F36DAE" w:rsidRPr="00BB5498" w:rsidRDefault="00F36DAE" w:rsidP="004E5C57">
            <w:pPr>
              <w:pStyle w:val="TableText0"/>
            </w:pPr>
            <w:r w:rsidRPr="00BB5498">
              <w:t>0.1558</w:t>
            </w:r>
          </w:p>
        </w:tc>
        <w:tc>
          <w:tcPr>
            <w:tcW w:w="1000" w:type="dxa"/>
            <w:noWrap/>
            <w:hideMark/>
          </w:tcPr>
          <w:p w14:paraId="6A12E52E" w14:textId="77777777" w:rsidR="00F36DAE" w:rsidRPr="00BB5498" w:rsidRDefault="00F36DAE" w:rsidP="004E5C57">
            <w:pPr>
              <w:pStyle w:val="TableText0"/>
            </w:pPr>
            <w:r w:rsidRPr="00BB5498">
              <w:t>0.0077</w:t>
            </w:r>
          </w:p>
        </w:tc>
        <w:tc>
          <w:tcPr>
            <w:tcW w:w="1000" w:type="dxa"/>
            <w:noWrap/>
            <w:hideMark/>
          </w:tcPr>
          <w:p w14:paraId="71EF0188" w14:textId="77777777" w:rsidR="00F36DAE" w:rsidRPr="00BB5498" w:rsidRDefault="00F36DAE" w:rsidP="004E5C57">
            <w:pPr>
              <w:pStyle w:val="TableText0"/>
            </w:pPr>
            <w:r w:rsidRPr="00BB5498">
              <w:t>0.0000</w:t>
            </w:r>
          </w:p>
        </w:tc>
        <w:tc>
          <w:tcPr>
            <w:tcW w:w="1000" w:type="dxa"/>
            <w:noWrap/>
            <w:hideMark/>
          </w:tcPr>
          <w:p w14:paraId="791AA6DA" w14:textId="77777777" w:rsidR="00F36DAE" w:rsidRPr="00BB5498" w:rsidRDefault="00F36DAE" w:rsidP="004E5C57">
            <w:pPr>
              <w:pStyle w:val="TableText0"/>
            </w:pPr>
            <w:r w:rsidRPr="00BB5498">
              <w:t>0.0000</w:t>
            </w:r>
          </w:p>
        </w:tc>
        <w:tc>
          <w:tcPr>
            <w:tcW w:w="1000" w:type="dxa"/>
            <w:noWrap/>
            <w:hideMark/>
          </w:tcPr>
          <w:p w14:paraId="0E80017E" w14:textId="77777777" w:rsidR="00F36DAE" w:rsidRPr="00BB5498" w:rsidRDefault="00F36DAE" w:rsidP="004E5C57">
            <w:pPr>
              <w:pStyle w:val="TableText0"/>
            </w:pPr>
            <w:r w:rsidRPr="00BB5498">
              <w:t>0.0002</w:t>
            </w:r>
          </w:p>
        </w:tc>
        <w:tc>
          <w:tcPr>
            <w:tcW w:w="1060" w:type="dxa"/>
            <w:noWrap/>
            <w:hideMark/>
          </w:tcPr>
          <w:p w14:paraId="5FC601D5" w14:textId="77777777" w:rsidR="00F36DAE" w:rsidRPr="00BB5498" w:rsidRDefault="00F36DAE" w:rsidP="004E5C57">
            <w:pPr>
              <w:pStyle w:val="TableText0"/>
            </w:pPr>
            <w:r w:rsidRPr="00BB5498">
              <w:t>$2,074</w:t>
            </w:r>
          </w:p>
        </w:tc>
        <w:tc>
          <w:tcPr>
            <w:tcW w:w="1180" w:type="dxa"/>
            <w:noWrap/>
            <w:hideMark/>
          </w:tcPr>
          <w:p w14:paraId="4A413806" w14:textId="77777777" w:rsidR="00F36DAE" w:rsidRPr="00BB5498" w:rsidRDefault="00F36DAE" w:rsidP="004E5C57">
            <w:pPr>
              <w:pStyle w:val="TableText0"/>
            </w:pPr>
            <w:r w:rsidRPr="00BB5498">
              <w:t>$4,298</w:t>
            </w:r>
          </w:p>
        </w:tc>
        <w:tc>
          <w:tcPr>
            <w:tcW w:w="960" w:type="dxa"/>
            <w:noWrap/>
            <w:hideMark/>
          </w:tcPr>
          <w:p w14:paraId="430F0A62" w14:textId="77777777" w:rsidR="00F36DAE" w:rsidRPr="00BB5498" w:rsidRDefault="00F36DAE" w:rsidP="004E5C57">
            <w:pPr>
              <w:pStyle w:val="TableText0"/>
            </w:pPr>
            <w:r w:rsidRPr="00BB5498">
              <w:t>0.1737</w:t>
            </w:r>
          </w:p>
        </w:tc>
        <w:tc>
          <w:tcPr>
            <w:tcW w:w="1037" w:type="dxa"/>
            <w:noWrap/>
            <w:hideMark/>
          </w:tcPr>
          <w:p w14:paraId="330E2107" w14:textId="77777777" w:rsidR="00F36DAE" w:rsidRPr="00BB5498" w:rsidRDefault="00F36DAE" w:rsidP="004E5C57">
            <w:pPr>
              <w:pStyle w:val="TableText0"/>
            </w:pPr>
            <w:r w:rsidRPr="00BB5498">
              <w:t>0.5310</w:t>
            </w:r>
          </w:p>
        </w:tc>
        <w:tc>
          <w:tcPr>
            <w:tcW w:w="960" w:type="dxa"/>
            <w:noWrap/>
            <w:hideMark/>
          </w:tcPr>
          <w:p w14:paraId="4015D1B3" w14:textId="77777777" w:rsidR="00F36DAE" w:rsidRPr="00BB5498" w:rsidRDefault="00F36DAE" w:rsidP="004E5C57">
            <w:pPr>
              <w:pStyle w:val="TableText0"/>
            </w:pPr>
            <w:r w:rsidRPr="00BB5498">
              <w:t>0.1347</w:t>
            </w:r>
          </w:p>
        </w:tc>
        <w:tc>
          <w:tcPr>
            <w:tcW w:w="1037" w:type="dxa"/>
            <w:noWrap/>
            <w:hideMark/>
          </w:tcPr>
          <w:p w14:paraId="201A96CC" w14:textId="77777777" w:rsidR="00F36DAE" w:rsidRPr="00BB5498" w:rsidRDefault="00F36DAE" w:rsidP="004E5C57">
            <w:pPr>
              <w:pStyle w:val="TableText0"/>
            </w:pPr>
            <w:r w:rsidRPr="00BB5498">
              <w:t>0.2972</w:t>
            </w:r>
          </w:p>
        </w:tc>
      </w:tr>
      <w:tr w:rsidR="00F36DAE" w:rsidRPr="00BB5498" w14:paraId="3801D34E" w14:textId="77777777" w:rsidTr="00BE0118">
        <w:trPr>
          <w:trHeight w:val="255"/>
        </w:trPr>
        <w:tc>
          <w:tcPr>
            <w:tcW w:w="960" w:type="dxa"/>
            <w:noWrap/>
            <w:hideMark/>
          </w:tcPr>
          <w:p w14:paraId="27AB4CAA" w14:textId="77777777" w:rsidR="00F36DAE" w:rsidRPr="00BB5498" w:rsidRDefault="00F36DAE" w:rsidP="004E5C57">
            <w:pPr>
              <w:pStyle w:val="TableText0"/>
            </w:pPr>
            <w:r w:rsidRPr="00BB5498">
              <w:t>2</w:t>
            </w:r>
          </w:p>
        </w:tc>
        <w:tc>
          <w:tcPr>
            <w:tcW w:w="1000" w:type="dxa"/>
            <w:noWrap/>
            <w:hideMark/>
          </w:tcPr>
          <w:p w14:paraId="71A8D49F" w14:textId="77777777" w:rsidR="00F36DAE" w:rsidRPr="00BB5498" w:rsidRDefault="00F36DAE" w:rsidP="004E5C57">
            <w:pPr>
              <w:pStyle w:val="TableText0"/>
            </w:pPr>
            <w:r w:rsidRPr="00BB5498">
              <w:t>0.8624</w:t>
            </w:r>
          </w:p>
        </w:tc>
        <w:tc>
          <w:tcPr>
            <w:tcW w:w="1009" w:type="dxa"/>
            <w:noWrap/>
            <w:hideMark/>
          </w:tcPr>
          <w:p w14:paraId="74F1C0CF" w14:textId="77777777" w:rsidR="00F36DAE" w:rsidRPr="00BB5498" w:rsidRDefault="00F36DAE" w:rsidP="004E5C57">
            <w:pPr>
              <w:pStyle w:val="TableText0"/>
            </w:pPr>
            <w:r w:rsidRPr="00BB5498">
              <w:t>0.0004</w:t>
            </w:r>
          </w:p>
        </w:tc>
        <w:tc>
          <w:tcPr>
            <w:tcW w:w="1000" w:type="dxa"/>
            <w:noWrap/>
            <w:hideMark/>
          </w:tcPr>
          <w:p w14:paraId="797EB883" w14:textId="77777777" w:rsidR="00F36DAE" w:rsidRPr="00BB5498" w:rsidRDefault="00F36DAE" w:rsidP="004E5C57">
            <w:pPr>
              <w:pStyle w:val="TableText0"/>
            </w:pPr>
            <w:r w:rsidRPr="00BB5498">
              <w:t>0.1303</w:t>
            </w:r>
          </w:p>
        </w:tc>
        <w:tc>
          <w:tcPr>
            <w:tcW w:w="1000" w:type="dxa"/>
            <w:noWrap/>
            <w:hideMark/>
          </w:tcPr>
          <w:p w14:paraId="0D79686A" w14:textId="77777777" w:rsidR="00F36DAE" w:rsidRPr="00BB5498" w:rsidRDefault="00F36DAE" w:rsidP="004E5C57">
            <w:pPr>
              <w:pStyle w:val="TableText0"/>
            </w:pPr>
            <w:r w:rsidRPr="00BB5498">
              <w:t>0.0064</w:t>
            </w:r>
          </w:p>
        </w:tc>
        <w:tc>
          <w:tcPr>
            <w:tcW w:w="1000" w:type="dxa"/>
            <w:noWrap/>
            <w:hideMark/>
          </w:tcPr>
          <w:p w14:paraId="05A75080" w14:textId="77777777" w:rsidR="00F36DAE" w:rsidRPr="00BB5498" w:rsidRDefault="00F36DAE" w:rsidP="004E5C57">
            <w:pPr>
              <w:pStyle w:val="TableText0"/>
            </w:pPr>
            <w:r w:rsidRPr="00BB5498">
              <w:t>0.0000</w:t>
            </w:r>
          </w:p>
        </w:tc>
        <w:tc>
          <w:tcPr>
            <w:tcW w:w="1000" w:type="dxa"/>
            <w:noWrap/>
            <w:hideMark/>
          </w:tcPr>
          <w:p w14:paraId="7EC7F57E" w14:textId="77777777" w:rsidR="00F36DAE" w:rsidRPr="00BB5498" w:rsidRDefault="00F36DAE" w:rsidP="004E5C57">
            <w:pPr>
              <w:pStyle w:val="TableText0"/>
            </w:pPr>
            <w:r w:rsidRPr="00BB5498">
              <w:t>0.0000</w:t>
            </w:r>
          </w:p>
        </w:tc>
        <w:tc>
          <w:tcPr>
            <w:tcW w:w="1000" w:type="dxa"/>
            <w:noWrap/>
            <w:hideMark/>
          </w:tcPr>
          <w:p w14:paraId="5821EF6A" w14:textId="77777777" w:rsidR="00F36DAE" w:rsidRPr="00BB5498" w:rsidRDefault="00F36DAE" w:rsidP="004E5C57">
            <w:pPr>
              <w:pStyle w:val="TableText0"/>
            </w:pPr>
            <w:r w:rsidRPr="00BB5498">
              <w:t>0.0005</w:t>
            </w:r>
          </w:p>
        </w:tc>
        <w:tc>
          <w:tcPr>
            <w:tcW w:w="1060" w:type="dxa"/>
            <w:noWrap/>
            <w:hideMark/>
          </w:tcPr>
          <w:p w14:paraId="28EA8D1A" w14:textId="77777777" w:rsidR="00F36DAE" w:rsidRPr="00BB5498" w:rsidRDefault="00F36DAE" w:rsidP="004E5C57">
            <w:pPr>
              <w:pStyle w:val="TableText0"/>
            </w:pPr>
            <w:r w:rsidRPr="00BB5498">
              <w:t>$2,068</w:t>
            </w:r>
          </w:p>
        </w:tc>
        <w:tc>
          <w:tcPr>
            <w:tcW w:w="1180" w:type="dxa"/>
            <w:noWrap/>
            <w:hideMark/>
          </w:tcPr>
          <w:p w14:paraId="4933DEE2" w14:textId="77777777" w:rsidR="00F36DAE" w:rsidRPr="00BB5498" w:rsidRDefault="00F36DAE" w:rsidP="004E5C57">
            <w:pPr>
              <w:pStyle w:val="TableText0"/>
            </w:pPr>
            <w:r w:rsidRPr="00BB5498">
              <w:t>$6,366</w:t>
            </w:r>
          </w:p>
        </w:tc>
        <w:tc>
          <w:tcPr>
            <w:tcW w:w="960" w:type="dxa"/>
            <w:noWrap/>
            <w:hideMark/>
          </w:tcPr>
          <w:p w14:paraId="65FA6608" w14:textId="77777777" w:rsidR="00F36DAE" w:rsidRPr="00BB5498" w:rsidRDefault="00F36DAE" w:rsidP="004E5C57">
            <w:pPr>
              <w:pStyle w:val="TableText0"/>
            </w:pPr>
            <w:r w:rsidRPr="00BB5498">
              <w:t>0.1718</w:t>
            </w:r>
          </w:p>
        </w:tc>
        <w:tc>
          <w:tcPr>
            <w:tcW w:w="1037" w:type="dxa"/>
            <w:noWrap/>
            <w:hideMark/>
          </w:tcPr>
          <w:p w14:paraId="52292A41" w14:textId="77777777" w:rsidR="00F36DAE" w:rsidRPr="00BB5498" w:rsidRDefault="00F36DAE" w:rsidP="004E5C57">
            <w:pPr>
              <w:pStyle w:val="TableText0"/>
            </w:pPr>
            <w:r w:rsidRPr="00BB5498">
              <w:t>0.7027</w:t>
            </w:r>
          </w:p>
        </w:tc>
        <w:tc>
          <w:tcPr>
            <w:tcW w:w="960" w:type="dxa"/>
            <w:noWrap/>
            <w:hideMark/>
          </w:tcPr>
          <w:p w14:paraId="1046E84B" w14:textId="77777777" w:rsidR="00F36DAE" w:rsidRPr="00BB5498" w:rsidRDefault="00F36DAE" w:rsidP="004E5C57">
            <w:pPr>
              <w:pStyle w:val="TableText0"/>
            </w:pPr>
            <w:r w:rsidRPr="00BB5498">
              <w:t>0.1372</w:t>
            </w:r>
          </w:p>
        </w:tc>
        <w:tc>
          <w:tcPr>
            <w:tcW w:w="1037" w:type="dxa"/>
            <w:noWrap/>
            <w:hideMark/>
          </w:tcPr>
          <w:p w14:paraId="0B4A2F36" w14:textId="77777777" w:rsidR="00F36DAE" w:rsidRPr="00BB5498" w:rsidRDefault="00F36DAE" w:rsidP="004E5C57">
            <w:pPr>
              <w:pStyle w:val="TableText0"/>
            </w:pPr>
            <w:r w:rsidRPr="00BB5498">
              <w:t>0.4343</w:t>
            </w:r>
          </w:p>
        </w:tc>
      </w:tr>
      <w:tr w:rsidR="00F36DAE" w:rsidRPr="00BB5498" w14:paraId="3CE537D5" w14:textId="77777777" w:rsidTr="00BE0118">
        <w:trPr>
          <w:trHeight w:val="255"/>
        </w:trPr>
        <w:tc>
          <w:tcPr>
            <w:tcW w:w="960" w:type="dxa"/>
            <w:noWrap/>
            <w:hideMark/>
          </w:tcPr>
          <w:p w14:paraId="39142304" w14:textId="77777777" w:rsidR="00F36DAE" w:rsidRPr="00BB5498" w:rsidRDefault="00F36DAE" w:rsidP="004E5C57">
            <w:pPr>
              <w:pStyle w:val="TableText0"/>
            </w:pPr>
            <w:r w:rsidRPr="00BB5498">
              <w:t>3</w:t>
            </w:r>
          </w:p>
        </w:tc>
        <w:tc>
          <w:tcPr>
            <w:tcW w:w="1000" w:type="dxa"/>
            <w:noWrap/>
            <w:hideMark/>
          </w:tcPr>
          <w:p w14:paraId="54901576" w14:textId="77777777" w:rsidR="00F36DAE" w:rsidRPr="00BB5498" w:rsidRDefault="00F36DAE" w:rsidP="004E5C57">
            <w:pPr>
              <w:pStyle w:val="TableText0"/>
            </w:pPr>
            <w:r w:rsidRPr="00BB5498">
              <w:t>0.8576</w:t>
            </w:r>
          </w:p>
        </w:tc>
        <w:tc>
          <w:tcPr>
            <w:tcW w:w="1009" w:type="dxa"/>
            <w:noWrap/>
            <w:hideMark/>
          </w:tcPr>
          <w:p w14:paraId="369434DF" w14:textId="77777777" w:rsidR="00F36DAE" w:rsidRPr="00BB5498" w:rsidRDefault="00F36DAE" w:rsidP="004E5C57">
            <w:pPr>
              <w:pStyle w:val="TableText0"/>
            </w:pPr>
            <w:r w:rsidRPr="00BB5498">
              <w:t>0.0007</w:t>
            </w:r>
          </w:p>
        </w:tc>
        <w:tc>
          <w:tcPr>
            <w:tcW w:w="1000" w:type="dxa"/>
            <w:noWrap/>
            <w:hideMark/>
          </w:tcPr>
          <w:p w14:paraId="6EBD2327" w14:textId="77777777" w:rsidR="00F36DAE" w:rsidRPr="00BB5498" w:rsidRDefault="00F36DAE" w:rsidP="004E5C57">
            <w:pPr>
              <w:pStyle w:val="TableText0"/>
            </w:pPr>
            <w:r w:rsidRPr="00BB5498">
              <w:t>0.1344</w:t>
            </w:r>
          </w:p>
        </w:tc>
        <w:tc>
          <w:tcPr>
            <w:tcW w:w="1000" w:type="dxa"/>
            <w:noWrap/>
            <w:hideMark/>
          </w:tcPr>
          <w:p w14:paraId="68FA8EB2" w14:textId="77777777" w:rsidR="00F36DAE" w:rsidRPr="00BB5498" w:rsidRDefault="00F36DAE" w:rsidP="004E5C57">
            <w:pPr>
              <w:pStyle w:val="TableText0"/>
            </w:pPr>
            <w:r w:rsidRPr="00BB5498">
              <w:t>0.0066</w:t>
            </w:r>
          </w:p>
        </w:tc>
        <w:tc>
          <w:tcPr>
            <w:tcW w:w="1000" w:type="dxa"/>
            <w:noWrap/>
            <w:hideMark/>
          </w:tcPr>
          <w:p w14:paraId="6F41227F" w14:textId="77777777" w:rsidR="00F36DAE" w:rsidRPr="00BB5498" w:rsidRDefault="00F36DAE" w:rsidP="004E5C57">
            <w:pPr>
              <w:pStyle w:val="TableText0"/>
            </w:pPr>
            <w:r w:rsidRPr="00BB5498">
              <w:t>0.0001</w:t>
            </w:r>
          </w:p>
        </w:tc>
        <w:tc>
          <w:tcPr>
            <w:tcW w:w="1000" w:type="dxa"/>
            <w:noWrap/>
            <w:hideMark/>
          </w:tcPr>
          <w:p w14:paraId="30D54831" w14:textId="77777777" w:rsidR="00F36DAE" w:rsidRPr="00BB5498" w:rsidRDefault="00F36DAE" w:rsidP="004E5C57">
            <w:pPr>
              <w:pStyle w:val="TableText0"/>
            </w:pPr>
            <w:r w:rsidRPr="00BB5498">
              <w:t>0.0000</w:t>
            </w:r>
          </w:p>
        </w:tc>
        <w:tc>
          <w:tcPr>
            <w:tcW w:w="1000" w:type="dxa"/>
            <w:noWrap/>
            <w:hideMark/>
          </w:tcPr>
          <w:p w14:paraId="013F4291" w14:textId="77777777" w:rsidR="00F36DAE" w:rsidRPr="00BB5498" w:rsidRDefault="00F36DAE" w:rsidP="004E5C57">
            <w:pPr>
              <w:pStyle w:val="TableText0"/>
            </w:pPr>
            <w:r w:rsidRPr="00BB5498">
              <w:t>0.0007</w:t>
            </w:r>
          </w:p>
        </w:tc>
        <w:tc>
          <w:tcPr>
            <w:tcW w:w="1060" w:type="dxa"/>
            <w:noWrap/>
            <w:hideMark/>
          </w:tcPr>
          <w:p w14:paraId="72E96214" w14:textId="77777777" w:rsidR="00F36DAE" w:rsidRPr="00BB5498" w:rsidRDefault="00F36DAE" w:rsidP="004E5C57">
            <w:pPr>
              <w:pStyle w:val="TableText0"/>
            </w:pPr>
            <w:r w:rsidRPr="00BB5498">
              <w:t>$2,039</w:t>
            </w:r>
          </w:p>
        </w:tc>
        <w:tc>
          <w:tcPr>
            <w:tcW w:w="1180" w:type="dxa"/>
            <w:noWrap/>
            <w:hideMark/>
          </w:tcPr>
          <w:p w14:paraId="7E649C50" w14:textId="77777777" w:rsidR="00F36DAE" w:rsidRPr="00BB5498" w:rsidRDefault="00F36DAE" w:rsidP="004E5C57">
            <w:pPr>
              <w:pStyle w:val="TableText0"/>
            </w:pPr>
            <w:r w:rsidRPr="00BB5498">
              <w:t>$8,405</w:t>
            </w:r>
          </w:p>
        </w:tc>
        <w:tc>
          <w:tcPr>
            <w:tcW w:w="960" w:type="dxa"/>
            <w:noWrap/>
            <w:hideMark/>
          </w:tcPr>
          <w:p w14:paraId="74CDA8F6" w14:textId="77777777" w:rsidR="00F36DAE" w:rsidRPr="00BB5498" w:rsidRDefault="00F36DAE" w:rsidP="004E5C57">
            <w:pPr>
              <w:pStyle w:val="TableText0"/>
            </w:pPr>
            <w:r w:rsidRPr="00BB5498">
              <w:t>0.1696</w:t>
            </w:r>
          </w:p>
        </w:tc>
        <w:tc>
          <w:tcPr>
            <w:tcW w:w="1037" w:type="dxa"/>
            <w:noWrap/>
            <w:hideMark/>
          </w:tcPr>
          <w:p w14:paraId="10D7E7F8" w14:textId="77777777" w:rsidR="00F36DAE" w:rsidRPr="00BB5498" w:rsidRDefault="00F36DAE" w:rsidP="004E5C57">
            <w:pPr>
              <w:pStyle w:val="TableText0"/>
            </w:pPr>
            <w:r w:rsidRPr="00BB5498">
              <w:t>0.8723</w:t>
            </w:r>
          </w:p>
        </w:tc>
        <w:tc>
          <w:tcPr>
            <w:tcW w:w="960" w:type="dxa"/>
            <w:noWrap/>
            <w:hideMark/>
          </w:tcPr>
          <w:p w14:paraId="45EADFA6" w14:textId="77777777" w:rsidR="00F36DAE" w:rsidRPr="00BB5498" w:rsidRDefault="00F36DAE" w:rsidP="004E5C57">
            <w:pPr>
              <w:pStyle w:val="TableText0"/>
            </w:pPr>
            <w:r w:rsidRPr="00BB5498">
              <w:t>0.1348</w:t>
            </w:r>
          </w:p>
        </w:tc>
        <w:tc>
          <w:tcPr>
            <w:tcW w:w="1037" w:type="dxa"/>
            <w:noWrap/>
            <w:hideMark/>
          </w:tcPr>
          <w:p w14:paraId="5E92B2E1" w14:textId="77777777" w:rsidR="00F36DAE" w:rsidRPr="00BB5498" w:rsidRDefault="00F36DAE" w:rsidP="004E5C57">
            <w:pPr>
              <w:pStyle w:val="TableText0"/>
            </w:pPr>
            <w:r w:rsidRPr="00BB5498">
              <w:t>0.5691</w:t>
            </w:r>
          </w:p>
        </w:tc>
      </w:tr>
      <w:tr w:rsidR="00F36DAE" w:rsidRPr="00BB5498" w14:paraId="05E7E725" w14:textId="77777777" w:rsidTr="00BE0118">
        <w:trPr>
          <w:trHeight w:val="255"/>
        </w:trPr>
        <w:tc>
          <w:tcPr>
            <w:tcW w:w="960" w:type="dxa"/>
            <w:noWrap/>
            <w:hideMark/>
          </w:tcPr>
          <w:p w14:paraId="409BB4E7" w14:textId="77777777" w:rsidR="00F36DAE" w:rsidRPr="00BB5498" w:rsidRDefault="00F36DAE" w:rsidP="004E5C57">
            <w:pPr>
              <w:pStyle w:val="TableText0"/>
            </w:pPr>
            <w:r w:rsidRPr="00BB5498">
              <w:t>4</w:t>
            </w:r>
          </w:p>
        </w:tc>
        <w:tc>
          <w:tcPr>
            <w:tcW w:w="1000" w:type="dxa"/>
            <w:noWrap/>
            <w:hideMark/>
          </w:tcPr>
          <w:p w14:paraId="3077E98C" w14:textId="77777777" w:rsidR="00F36DAE" w:rsidRPr="00BB5498" w:rsidRDefault="00F36DAE" w:rsidP="004E5C57">
            <w:pPr>
              <w:pStyle w:val="TableText0"/>
            </w:pPr>
            <w:r w:rsidRPr="00BB5498">
              <w:t>0.8577</w:t>
            </w:r>
          </w:p>
        </w:tc>
        <w:tc>
          <w:tcPr>
            <w:tcW w:w="1009" w:type="dxa"/>
            <w:noWrap/>
            <w:hideMark/>
          </w:tcPr>
          <w:p w14:paraId="03475B5B" w14:textId="77777777" w:rsidR="00F36DAE" w:rsidRPr="00BB5498" w:rsidRDefault="00F36DAE" w:rsidP="004E5C57">
            <w:pPr>
              <w:pStyle w:val="TableText0"/>
            </w:pPr>
            <w:r w:rsidRPr="00BB5498">
              <w:t>0.0010</w:t>
            </w:r>
          </w:p>
        </w:tc>
        <w:tc>
          <w:tcPr>
            <w:tcW w:w="1000" w:type="dxa"/>
            <w:noWrap/>
            <w:hideMark/>
          </w:tcPr>
          <w:p w14:paraId="63886E13" w14:textId="77777777" w:rsidR="00F36DAE" w:rsidRPr="00BB5498" w:rsidRDefault="00F36DAE" w:rsidP="004E5C57">
            <w:pPr>
              <w:pStyle w:val="TableText0"/>
            </w:pPr>
            <w:r w:rsidRPr="00BB5498">
              <w:t>0.1336</w:t>
            </w:r>
          </w:p>
        </w:tc>
        <w:tc>
          <w:tcPr>
            <w:tcW w:w="1000" w:type="dxa"/>
            <w:noWrap/>
            <w:hideMark/>
          </w:tcPr>
          <w:p w14:paraId="03F3BBB4" w14:textId="77777777" w:rsidR="00F36DAE" w:rsidRPr="00BB5498" w:rsidRDefault="00F36DAE" w:rsidP="004E5C57">
            <w:pPr>
              <w:pStyle w:val="TableText0"/>
            </w:pPr>
            <w:r w:rsidRPr="00BB5498">
              <w:t>0.0066</w:t>
            </w:r>
          </w:p>
        </w:tc>
        <w:tc>
          <w:tcPr>
            <w:tcW w:w="1000" w:type="dxa"/>
            <w:noWrap/>
            <w:hideMark/>
          </w:tcPr>
          <w:p w14:paraId="3874A8FB" w14:textId="77777777" w:rsidR="00F36DAE" w:rsidRPr="00BB5498" w:rsidRDefault="00F36DAE" w:rsidP="004E5C57">
            <w:pPr>
              <w:pStyle w:val="TableText0"/>
            </w:pPr>
            <w:r w:rsidRPr="00BB5498">
              <w:t>0.0001</w:t>
            </w:r>
          </w:p>
        </w:tc>
        <w:tc>
          <w:tcPr>
            <w:tcW w:w="1000" w:type="dxa"/>
            <w:noWrap/>
            <w:hideMark/>
          </w:tcPr>
          <w:p w14:paraId="6E836EB0" w14:textId="77777777" w:rsidR="00F36DAE" w:rsidRPr="00BB5498" w:rsidRDefault="00F36DAE" w:rsidP="004E5C57">
            <w:pPr>
              <w:pStyle w:val="TableText0"/>
            </w:pPr>
            <w:r w:rsidRPr="00BB5498">
              <w:t>0.0000</w:t>
            </w:r>
          </w:p>
        </w:tc>
        <w:tc>
          <w:tcPr>
            <w:tcW w:w="1000" w:type="dxa"/>
            <w:noWrap/>
            <w:hideMark/>
          </w:tcPr>
          <w:p w14:paraId="433A370B" w14:textId="77777777" w:rsidR="00F36DAE" w:rsidRPr="00BB5498" w:rsidRDefault="00F36DAE" w:rsidP="004E5C57">
            <w:pPr>
              <w:pStyle w:val="TableText0"/>
            </w:pPr>
            <w:r w:rsidRPr="00BB5498">
              <w:t>0.0010</w:t>
            </w:r>
          </w:p>
        </w:tc>
        <w:tc>
          <w:tcPr>
            <w:tcW w:w="1060" w:type="dxa"/>
            <w:noWrap/>
            <w:hideMark/>
          </w:tcPr>
          <w:p w14:paraId="2B5E8A6C" w14:textId="77777777" w:rsidR="00F36DAE" w:rsidRPr="00BB5498" w:rsidRDefault="00F36DAE" w:rsidP="004E5C57">
            <w:pPr>
              <w:pStyle w:val="TableText0"/>
            </w:pPr>
            <w:r w:rsidRPr="00BB5498">
              <w:t>$2,015</w:t>
            </w:r>
          </w:p>
        </w:tc>
        <w:tc>
          <w:tcPr>
            <w:tcW w:w="1180" w:type="dxa"/>
            <w:noWrap/>
            <w:hideMark/>
          </w:tcPr>
          <w:p w14:paraId="64F11A83" w14:textId="77777777" w:rsidR="00F36DAE" w:rsidRPr="00BB5498" w:rsidRDefault="00F36DAE" w:rsidP="004E5C57">
            <w:pPr>
              <w:pStyle w:val="TableText0"/>
            </w:pPr>
            <w:r w:rsidRPr="00BB5498">
              <w:t>$10,420</w:t>
            </w:r>
          </w:p>
        </w:tc>
        <w:tc>
          <w:tcPr>
            <w:tcW w:w="960" w:type="dxa"/>
            <w:noWrap/>
            <w:hideMark/>
          </w:tcPr>
          <w:p w14:paraId="10930629" w14:textId="77777777" w:rsidR="00F36DAE" w:rsidRPr="00BB5498" w:rsidRDefault="00F36DAE" w:rsidP="004E5C57">
            <w:pPr>
              <w:pStyle w:val="TableText0"/>
            </w:pPr>
            <w:r w:rsidRPr="00BB5498">
              <w:t>0.1675</w:t>
            </w:r>
          </w:p>
        </w:tc>
        <w:tc>
          <w:tcPr>
            <w:tcW w:w="1037" w:type="dxa"/>
            <w:noWrap/>
            <w:hideMark/>
          </w:tcPr>
          <w:p w14:paraId="735FFBF4" w14:textId="77777777" w:rsidR="00F36DAE" w:rsidRPr="00BB5498" w:rsidRDefault="00F36DAE" w:rsidP="004E5C57">
            <w:pPr>
              <w:pStyle w:val="TableText0"/>
            </w:pPr>
            <w:r w:rsidRPr="00BB5498">
              <w:t>1.0398</w:t>
            </w:r>
          </w:p>
        </w:tc>
        <w:tc>
          <w:tcPr>
            <w:tcW w:w="960" w:type="dxa"/>
            <w:noWrap/>
            <w:hideMark/>
          </w:tcPr>
          <w:p w14:paraId="4451AE29" w14:textId="77777777" w:rsidR="00F36DAE" w:rsidRPr="00BB5498" w:rsidRDefault="00F36DAE" w:rsidP="004E5C57">
            <w:pPr>
              <w:pStyle w:val="TableText0"/>
            </w:pPr>
            <w:r w:rsidRPr="00BB5498">
              <w:t>0.1332</w:t>
            </w:r>
          </w:p>
        </w:tc>
        <w:tc>
          <w:tcPr>
            <w:tcW w:w="1037" w:type="dxa"/>
            <w:noWrap/>
            <w:hideMark/>
          </w:tcPr>
          <w:p w14:paraId="0C9331BD" w14:textId="77777777" w:rsidR="00F36DAE" w:rsidRPr="00BB5498" w:rsidRDefault="00F36DAE" w:rsidP="004E5C57">
            <w:pPr>
              <w:pStyle w:val="TableText0"/>
            </w:pPr>
            <w:r w:rsidRPr="00BB5498">
              <w:t>0.7024</w:t>
            </w:r>
          </w:p>
        </w:tc>
      </w:tr>
      <w:tr w:rsidR="00F36DAE" w:rsidRPr="00BB5498" w14:paraId="3D967396" w14:textId="77777777" w:rsidTr="00BE0118">
        <w:trPr>
          <w:trHeight w:val="255"/>
        </w:trPr>
        <w:tc>
          <w:tcPr>
            <w:tcW w:w="960" w:type="dxa"/>
            <w:noWrap/>
            <w:hideMark/>
          </w:tcPr>
          <w:p w14:paraId="2C9B34DC" w14:textId="77777777" w:rsidR="00F36DAE" w:rsidRPr="00BB5498" w:rsidRDefault="00F36DAE" w:rsidP="004E5C57">
            <w:pPr>
              <w:pStyle w:val="TableText0"/>
            </w:pPr>
            <w:r w:rsidRPr="00BB5498">
              <w:t>5</w:t>
            </w:r>
          </w:p>
        </w:tc>
        <w:tc>
          <w:tcPr>
            <w:tcW w:w="1000" w:type="dxa"/>
            <w:noWrap/>
            <w:hideMark/>
          </w:tcPr>
          <w:p w14:paraId="59479B29" w14:textId="77777777" w:rsidR="00F36DAE" w:rsidRPr="00BB5498" w:rsidRDefault="00F36DAE" w:rsidP="004E5C57">
            <w:pPr>
              <w:pStyle w:val="TableText0"/>
            </w:pPr>
            <w:r w:rsidRPr="00BB5498">
              <w:t>0.8571</w:t>
            </w:r>
          </w:p>
        </w:tc>
        <w:tc>
          <w:tcPr>
            <w:tcW w:w="1009" w:type="dxa"/>
            <w:noWrap/>
            <w:hideMark/>
          </w:tcPr>
          <w:p w14:paraId="2B18596D" w14:textId="77777777" w:rsidR="00F36DAE" w:rsidRPr="00BB5498" w:rsidRDefault="00F36DAE" w:rsidP="004E5C57">
            <w:pPr>
              <w:pStyle w:val="TableText0"/>
            </w:pPr>
            <w:r w:rsidRPr="00BB5498">
              <w:t>0.0012</w:t>
            </w:r>
          </w:p>
        </w:tc>
        <w:tc>
          <w:tcPr>
            <w:tcW w:w="1000" w:type="dxa"/>
            <w:noWrap/>
            <w:hideMark/>
          </w:tcPr>
          <w:p w14:paraId="602B62CB" w14:textId="77777777" w:rsidR="00F36DAE" w:rsidRPr="00BB5498" w:rsidRDefault="00F36DAE" w:rsidP="004E5C57">
            <w:pPr>
              <w:pStyle w:val="TableText0"/>
            </w:pPr>
            <w:r w:rsidRPr="00BB5498">
              <w:t>0.1337</w:t>
            </w:r>
          </w:p>
        </w:tc>
        <w:tc>
          <w:tcPr>
            <w:tcW w:w="1000" w:type="dxa"/>
            <w:noWrap/>
            <w:hideMark/>
          </w:tcPr>
          <w:p w14:paraId="7B79E86C" w14:textId="77777777" w:rsidR="00F36DAE" w:rsidRPr="00BB5498" w:rsidRDefault="00F36DAE" w:rsidP="004E5C57">
            <w:pPr>
              <w:pStyle w:val="TableText0"/>
            </w:pPr>
            <w:r w:rsidRPr="00BB5498">
              <w:t>0.0066</w:t>
            </w:r>
          </w:p>
        </w:tc>
        <w:tc>
          <w:tcPr>
            <w:tcW w:w="1000" w:type="dxa"/>
            <w:noWrap/>
            <w:hideMark/>
          </w:tcPr>
          <w:p w14:paraId="0ED67FE8" w14:textId="77777777" w:rsidR="00F36DAE" w:rsidRPr="00BB5498" w:rsidRDefault="00F36DAE" w:rsidP="004E5C57">
            <w:pPr>
              <w:pStyle w:val="TableText0"/>
            </w:pPr>
            <w:r w:rsidRPr="00BB5498">
              <w:t>0.0001</w:t>
            </w:r>
          </w:p>
        </w:tc>
        <w:tc>
          <w:tcPr>
            <w:tcW w:w="1000" w:type="dxa"/>
            <w:noWrap/>
            <w:hideMark/>
          </w:tcPr>
          <w:p w14:paraId="55F5A6BF" w14:textId="77777777" w:rsidR="00F36DAE" w:rsidRPr="00BB5498" w:rsidRDefault="00F36DAE" w:rsidP="004E5C57">
            <w:pPr>
              <w:pStyle w:val="TableText0"/>
            </w:pPr>
            <w:r w:rsidRPr="00BB5498">
              <w:t>0.0000</w:t>
            </w:r>
          </w:p>
        </w:tc>
        <w:tc>
          <w:tcPr>
            <w:tcW w:w="1000" w:type="dxa"/>
            <w:noWrap/>
            <w:hideMark/>
          </w:tcPr>
          <w:p w14:paraId="4C0AC175" w14:textId="77777777" w:rsidR="00F36DAE" w:rsidRPr="00BB5498" w:rsidRDefault="00F36DAE" w:rsidP="004E5C57">
            <w:pPr>
              <w:pStyle w:val="TableText0"/>
            </w:pPr>
            <w:r w:rsidRPr="00BB5498">
              <w:t>0.0012</w:t>
            </w:r>
          </w:p>
        </w:tc>
        <w:tc>
          <w:tcPr>
            <w:tcW w:w="1060" w:type="dxa"/>
            <w:noWrap/>
            <w:hideMark/>
          </w:tcPr>
          <w:p w14:paraId="53AC77B3" w14:textId="77777777" w:rsidR="00F36DAE" w:rsidRPr="00BB5498" w:rsidRDefault="00F36DAE" w:rsidP="004E5C57">
            <w:pPr>
              <w:pStyle w:val="TableText0"/>
            </w:pPr>
            <w:r w:rsidRPr="00BB5498">
              <w:t>$1,990</w:t>
            </w:r>
          </w:p>
        </w:tc>
        <w:tc>
          <w:tcPr>
            <w:tcW w:w="1180" w:type="dxa"/>
            <w:noWrap/>
            <w:hideMark/>
          </w:tcPr>
          <w:p w14:paraId="1A78F1D6" w14:textId="77777777" w:rsidR="00F36DAE" w:rsidRPr="00BB5498" w:rsidRDefault="00F36DAE" w:rsidP="004E5C57">
            <w:pPr>
              <w:pStyle w:val="TableText0"/>
            </w:pPr>
            <w:r w:rsidRPr="00BB5498">
              <w:t>$12,409</w:t>
            </w:r>
          </w:p>
        </w:tc>
        <w:tc>
          <w:tcPr>
            <w:tcW w:w="960" w:type="dxa"/>
            <w:noWrap/>
            <w:hideMark/>
          </w:tcPr>
          <w:p w14:paraId="2CE2501F" w14:textId="77777777" w:rsidR="00F36DAE" w:rsidRPr="00BB5498" w:rsidRDefault="00F36DAE" w:rsidP="004E5C57">
            <w:pPr>
              <w:pStyle w:val="TableText0"/>
            </w:pPr>
            <w:r w:rsidRPr="00BB5498">
              <w:t>0.1654</w:t>
            </w:r>
          </w:p>
        </w:tc>
        <w:tc>
          <w:tcPr>
            <w:tcW w:w="1037" w:type="dxa"/>
            <w:noWrap/>
            <w:hideMark/>
          </w:tcPr>
          <w:p w14:paraId="012883A4" w14:textId="77777777" w:rsidR="00F36DAE" w:rsidRPr="00BB5498" w:rsidRDefault="00F36DAE" w:rsidP="004E5C57">
            <w:pPr>
              <w:pStyle w:val="TableText0"/>
            </w:pPr>
            <w:r w:rsidRPr="00BB5498">
              <w:t>1.2051</w:t>
            </w:r>
          </w:p>
        </w:tc>
        <w:tc>
          <w:tcPr>
            <w:tcW w:w="960" w:type="dxa"/>
            <w:noWrap/>
            <w:hideMark/>
          </w:tcPr>
          <w:p w14:paraId="0A4EDDE8" w14:textId="77777777" w:rsidR="00F36DAE" w:rsidRPr="00BB5498" w:rsidRDefault="00F36DAE" w:rsidP="004E5C57">
            <w:pPr>
              <w:pStyle w:val="TableText0"/>
            </w:pPr>
            <w:r w:rsidRPr="00BB5498">
              <w:t>0.1316</w:t>
            </w:r>
          </w:p>
        </w:tc>
        <w:tc>
          <w:tcPr>
            <w:tcW w:w="1037" w:type="dxa"/>
            <w:noWrap/>
            <w:hideMark/>
          </w:tcPr>
          <w:p w14:paraId="0EA3D105" w14:textId="77777777" w:rsidR="00F36DAE" w:rsidRPr="00BB5498" w:rsidRDefault="00F36DAE" w:rsidP="004E5C57">
            <w:pPr>
              <w:pStyle w:val="TableText0"/>
            </w:pPr>
            <w:r w:rsidRPr="00BB5498">
              <w:t>0.8339</w:t>
            </w:r>
          </w:p>
        </w:tc>
      </w:tr>
      <w:tr w:rsidR="00F36DAE" w:rsidRPr="00BB5498" w14:paraId="6FB1D64D" w14:textId="77777777" w:rsidTr="00BE0118">
        <w:trPr>
          <w:trHeight w:val="255"/>
        </w:trPr>
        <w:tc>
          <w:tcPr>
            <w:tcW w:w="960" w:type="dxa"/>
            <w:noWrap/>
            <w:hideMark/>
          </w:tcPr>
          <w:p w14:paraId="4FDD1D9E" w14:textId="77777777" w:rsidR="00F36DAE" w:rsidRPr="00BB5498" w:rsidRDefault="00F36DAE" w:rsidP="004E5C57">
            <w:pPr>
              <w:pStyle w:val="TableText0"/>
            </w:pPr>
            <w:r w:rsidRPr="00BB5498">
              <w:t>6</w:t>
            </w:r>
          </w:p>
        </w:tc>
        <w:tc>
          <w:tcPr>
            <w:tcW w:w="1000" w:type="dxa"/>
            <w:noWrap/>
            <w:hideMark/>
          </w:tcPr>
          <w:p w14:paraId="70C60991" w14:textId="77777777" w:rsidR="00F36DAE" w:rsidRPr="00BB5498" w:rsidRDefault="00F36DAE" w:rsidP="004E5C57">
            <w:pPr>
              <w:pStyle w:val="TableText0"/>
            </w:pPr>
            <w:r w:rsidRPr="00BB5498">
              <w:t>0.8566</w:t>
            </w:r>
          </w:p>
        </w:tc>
        <w:tc>
          <w:tcPr>
            <w:tcW w:w="1009" w:type="dxa"/>
            <w:noWrap/>
            <w:hideMark/>
          </w:tcPr>
          <w:p w14:paraId="7869F157" w14:textId="77777777" w:rsidR="00F36DAE" w:rsidRPr="00BB5498" w:rsidRDefault="00F36DAE" w:rsidP="004E5C57">
            <w:pPr>
              <w:pStyle w:val="TableText0"/>
            </w:pPr>
            <w:r w:rsidRPr="00BB5498">
              <w:t>0.0015</w:t>
            </w:r>
          </w:p>
        </w:tc>
        <w:tc>
          <w:tcPr>
            <w:tcW w:w="1000" w:type="dxa"/>
            <w:noWrap/>
            <w:hideMark/>
          </w:tcPr>
          <w:p w14:paraId="135C8594" w14:textId="77777777" w:rsidR="00F36DAE" w:rsidRPr="00BB5498" w:rsidRDefault="00F36DAE" w:rsidP="004E5C57">
            <w:pPr>
              <w:pStyle w:val="TableText0"/>
            </w:pPr>
            <w:r w:rsidRPr="00BB5498">
              <w:t>0.1336</w:t>
            </w:r>
          </w:p>
        </w:tc>
        <w:tc>
          <w:tcPr>
            <w:tcW w:w="1000" w:type="dxa"/>
            <w:noWrap/>
            <w:hideMark/>
          </w:tcPr>
          <w:p w14:paraId="5F7D32B0" w14:textId="77777777" w:rsidR="00F36DAE" w:rsidRPr="00BB5498" w:rsidRDefault="00F36DAE" w:rsidP="004E5C57">
            <w:pPr>
              <w:pStyle w:val="TableText0"/>
            </w:pPr>
            <w:r w:rsidRPr="00BB5498">
              <w:t>0.0066</w:t>
            </w:r>
          </w:p>
        </w:tc>
        <w:tc>
          <w:tcPr>
            <w:tcW w:w="1000" w:type="dxa"/>
            <w:noWrap/>
            <w:hideMark/>
          </w:tcPr>
          <w:p w14:paraId="610E856B" w14:textId="77777777" w:rsidR="00F36DAE" w:rsidRPr="00BB5498" w:rsidRDefault="00F36DAE" w:rsidP="004E5C57">
            <w:pPr>
              <w:pStyle w:val="TableText0"/>
            </w:pPr>
            <w:r w:rsidRPr="00BB5498">
              <w:t>0.0002</w:t>
            </w:r>
          </w:p>
        </w:tc>
        <w:tc>
          <w:tcPr>
            <w:tcW w:w="1000" w:type="dxa"/>
            <w:noWrap/>
            <w:hideMark/>
          </w:tcPr>
          <w:p w14:paraId="052140E7" w14:textId="77777777" w:rsidR="00F36DAE" w:rsidRPr="00BB5498" w:rsidRDefault="00F36DAE" w:rsidP="004E5C57">
            <w:pPr>
              <w:pStyle w:val="TableText0"/>
            </w:pPr>
            <w:r w:rsidRPr="00BB5498">
              <w:t>0.0000</w:t>
            </w:r>
          </w:p>
        </w:tc>
        <w:tc>
          <w:tcPr>
            <w:tcW w:w="1000" w:type="dxa"/>
            <w:noWrap/>
            <w:hideMark/>
          </w:tcPr>
          <w:p w14:paraId="67C38807" w14:textId="77777777" w:rsidR="00F36DAE" w:rsidRPr="00BB5498" w:rsidRDefault="00F36DAE" w:rsidP="004E5C57">
            <w:pPr>
              <w:pStyle w:val="TableText0"/>
            </w:pPr>
            <w:r w:rsidRPr="00BB5498">
              <w:t>0.0015</w:t>
            </w:r>
          </w:p>
        </w:tc>
        <w:tc>
          <w:tcPr>
            <w:tcW w:w="1060" w:type="dxa"/>
            <w:noWrap/>
            <w:hideMark/>
          </w:tcPr>
          <w:p w14:paraId="53465187" w14:textId="77777777" w:rsidR="00F36DAE" w:rsidRPr="00BB5498" w:rsidRDefault="00F36DAE" w:rsidP="004E5C57">
            <w:pPr>
              <w:pStyle w:val="TableText0"/>
            </w:pPr>
            <w:r w:rsidRPr="00BB5498">
              <w:t>$1,965</w:t>
            </w:r>
          </w:p>
        </w:tc>
        <w:tc>
          <w:tcPr>
            <w:tcW w:w="1180" w:type="dxa"/>
            <w:noWrap/>
            <w:hideMark/>
          </w:tcPr>
          <w:p w14:paraId="4BB291D7" w14:textId="77777777" w:rsidR="00F36DAE" w:rsidRPr="00BB5498" w:rsidRDefault="00F36DAE" w:rsidP="004E5C57">
            <w:pPr>
              <w:pStyle w:val="TableText0"/>
            </w:pPr>
            <w:r w:rsidRPr="00BB5498">
              <w:t>$14,375</w:t>
            </w:r>
          </w:p>
        </w:tc>
        <w:tc>
          <w:tcPr>
            <w:tcW w:w="960" w:type="dxa"/>
            <w:noWrap/>
            <w:hideMark/>
          </w:tcPr>
          <w:p w14:paraId="1C91D13B" w14:textId="77777777" w:rsidR="00F36DAE" w:rsidRPr="00BB5498" w:rsidRDefault="00F36DAE" w:rsidP="004E5C57">
            <w:pPr>
              <w:pStyle w:val="TableText0"/>
            </w:pPr>
            <w:r w:rsidRPr="00BB5498">
              <w:t>0.1633</w:t>
            </w:r>
          </w:p>
        </w:tc>
        <w:tc>
          <w:tcPr>
            <w:tcW w:w="1037" w:type="dxa"/>
            <w:noWrap/>
            <w:hideMark/>
          </w:tcPr>
          <w:p w14:paraId="21147C08" w14:textId="77777777" w:rsidR="00F36DAE" w:rsidRPr="00BB5498" w:rsidRDefault="00F36DAE" w:rsidP="004E5C57">
            <w:pPr>
              <w:pStyle w:val="TableText0"/>
            </w:pPr>
            <w:r w:rsidRPr="00BB5498">
              <w:t>1.3684</w:t>
            </w:r>
          </w:p>
        </w:tc>
        <w:tc>
          <w:tcPr>
            <w:tcW w:w="960" w:type="dxa"/>
            <w:noWrap/>
            <w:hideMark/>
          </w:tcPr>
          <w:p w14:paraId="29E71035" w14:textId="77777777" w:rsidR="00F36DAE" w:rsidRPr="00BB5498" w:rsidRDefault="00F36DAE" w:rsidP="004E5C57">
            <w:pPr>
              <w:pStyle w:val="TableText0"/>
            </w:pPr>
            <w:r w:rsidRPr="00BB5498">
              <w:t>0.1299</w:t>
            </w:r>
          </w:p>
        </w:tc>
        <w:tc>
          <w:tcPr>
            <w:tcW w:w="1037" w:type="dxa"/>
            <w:noWrap/>
            <w:hideMark/>
          </w:tcPr>
          <w:p w14:paraId="206577CE" w14:textId="77777777" w:rsidR="00F36DAE" w:rsidRPr="00BB5498" w:rsidRDefault="00F36DAE" w:rsidP="004E5C57">
            <w:pPr>
              <w:pStyle w:val="TableText0"/>
            </w:pPr>
            <w:r w:rsidRPr="00BB5498">
              <w:t>0.9639</w:t>
            </w:r>
          </w:p>
        </w:tc>
      </w:tr>
      <w:tr w:rsidR="00F36DAE" w:rsidRPr="00BB5498" w14:paraId="313BE546" w14:textId="77777777" w:rsidTr="00BE0118">
        <w:trPr>
          <w:trHeight w:val="255"/>
        </w:trPr>
        <w:tc>
          <w:tcPr>
            <w:tcW w:w="960" w:type="dxa"/>
            <w:noWrap/>
            <w:hideMark/>
          </w:tcPr>
          <w:p w14:paraId="14773838" w14:textId="77777777" w:rsidR="00F36DAE" w:rsidRPr="00BB5498" w:rsidRDefault="00F36DAE" w:rsidP="004E5C57">
            <w:pPr>
              <w:pStyle w:val="TableText0"/>
            </w:pPr>
            <w:r w:rsidRPr="00BB5498">
              <w:t>7</w:t>
            </w:r>
          </w:p>
        </w:tc>
        <w:tc>
          <w:tcPr>
            <w:tcW w:w="1000" w:type="dxa"/>
            <w:noWrap/>
            <w:hideMark/>
          </w:tcPr>
          <w:p w14:paraId="3CB473B7" w14:textId="77777777" w:rsidR="00F36DAE" w:rsidRPr="00BB5498" w:rsidRDefault="00F36DAE" w:rsidP="004E5C57">
            <w:pPr>
              <w:pStyle w:val="TableText0"/>
            </w:pPr>
            <w:r w:rsidRPr="00BB5498">
              <w:t>0.8561</w:t>
            </w:r>
          </w:p>
        </w:tc>
        <w:tc>
          <w:tcPr>
            <w:tcW w:w="1009" w:type="dxa"/>
            <w:noWrap/>
            <w:hideMark/>
          </w:tcPr>
          <w:p w14:paraId="71C8163C" w14:textId="77777777" w:rsidR="00F36DAE" w:rsidRPr="00BB5498" w:rsidRDefault="00F36DAE" w:rsidP="004E5C57">
            <w:pPr>
              <w:pStyle w:val="TableText0"/>
            </w:pPr>
            <w:r w:rsidRPr="00BB5498">
              <w:t>0.0018</w:t>
            </w:r>
          </w:p>
        </w:tc>
        <w:tc>
          <w:tcPr>
            <w:tcW w:w="1000" w:type="dxa"/>
            <w:noWrap/>
            <w:hideMark/>
          </w:tcPr>
          <w:p w14:paraId="2409E513" w14:textId="77777777" w:rsidR="00F36DAE" w:rsidRPr="00BB5498" w:rsidRDefault="00F36DAE" w:rsidP="004E5C57">
            <w:pPr>
              <w:pStyle w:val="TableText0"/>
            </w:pPr>
            <w:r w:rsidRPr="00BB5498">
              <w:t>0.1335</w:t>
            </w:r>
          </w:p>
        </w:tc>
        <w:tc>
          <w:tcPr>
            <w:tcW w:w="1000" w:type="dxa"/>
            <w:noWrap/>
            <w:hideMark/>
          </w:tcPr>
          <w:p w14:paraId="2AA5C552" w14:textId="77777777" w:rsidR="00F36DAE" w:rsidRPr="00BB5498" w:rsidRDefault="00F36DAE" w:rsidP="004E5C57">
            <w:pPr>
              <w:pStyle w:val="TableText0"/>
            </w:pPr>
            <w:r w:rsidRPr="00BB5498">
              <w:t>0.0066</w:t>
            </w:r>
          </w:p>
        </w:tc>
        <w:tc>
          <w:tcPr>
            <w:tcW w:w="1000" w:type="dxa"/>
            <w:noWrap/>
            <w:hideMark/>
          </w:tcPr>
          <w:p w14:paraId="348FB634" w14:textId="77777777" w:rsidR="00F36DAE" w:rsidRPr="00BB5498" w:rsidRDefault="00F36DAE" w:rsidP="004E5C57">
            <w:pPr>
              <w:pStyle w:val="TableText0"/>
            </w:pPr>
            <w:r w:rsidRPr="00BB5498">
              <w:t>0.0002</w:t>
            </w:r>
          </w:p>
        </w:tc>
        <w:tc>
          <w:tcPr>
            <w:tcW w:w="1000" w:type="dxa"/>
            <w:noWrap/>
            <w:hideMark/>
          </w:tcPr>
          <w:p w14:paraId="084DB373" w14:textId="77777777" w:rsidR="00F36DAE" w:rsidRPr="00BB5498" w:rsidRDefault="00F36DAE" w:rsidP="004E5C57">
            <w:pPr>
              <w:pStyle w:val="TableText0"/>
            </w:pPr>
            <w:r w:rsidRPr="00BB5498">
              <w:t>0.0000</w:t>
            </w:r>
          </w:p>
        </w:tc>
        <w:tc>
          <w:tcPr>
            <w:tcW w:w="1000" w:type="dxa"/>
            <w:noWrap/>
            <w:hideMark/>
          </w:tcPr>
          <w:p w14:paraId="27E9EBFD" w14:textId="77777777" w:rsidR="00F36DAE" w:rsidRPr="00BB5498" w:rsidRDefault="00F36DAE" w:rsidP="004E5C57">
            <w:pPr>
              <w:pStyle w:val="TableText0"/>
            </w:pPr>
            <w:r w:rsidRPr="00BB5498">
              <w:t>0.0018</w:t>
            </w:r>
          </w:p>
        </w:tc>
        <w:tc>
          <w:tcPr>
            <w:tcW w:w="1060" w:type="dxa"/>
            <w:noWrap/>
            <w:hideMark/>
          </w:tcPr>
          <w:p w14:paraId="540F1F00" w14:textId="77777777" w:rsidR="00F36DAE" w:rsidRPr="00BB5498" w:rsidRDefault="00F36DAE" w:rsidP="004E5C57">
            <w:pPr>
              <w:pStyle w:val="TableText0"/>
            </w:pPr>
            <w:r w:rsidRPr="00BB5498">
              <w:t>$1,941</w:t>
            </w:r>
          </w:p>
        </w:tc>
        <w:tc>
          <w:tcPr>
            <w:tcW w:w="1180" w:type="dxa"/>
            <w:noWrap/>
            <w:hideMark/>
          </w:tcPr>
          <w:p w14:paraId="632537E3" w14:textId="77777777" w:rsidR="00F36DAE" w:rsidRPr="00BB5498" w:rsidRDefault="00F36DAE" w:rsidP="004E5C57">
            <w:pPr>
              <w:pStyle w:val="TableText0"/>
            </w:pPr>
            <w:r w:rsidRPr="00BB5498">
              <w:t>$16,316</w:t>
            </w:r>
          </w:p>
        </w:tc>
        <w:tc>
          <w:tcPr>
            <w:tcW w:w="960" w:type="dxa"/>
            <w:noWrap/>
            <w:hideMark/>
          </w:tcPr>
          <w:p w14:paraId="25DDE718" w14:textId="77777777" w:rsidR="00F36DAE" w:rsidRPr="00BB5498" w:rsidRDefault="00F36DAE" w:rsidP="004E5C57">
            <w:pPr>
              <w:pStyle w:val="TableText0"/>
            </w:pPr>
            <w:r w:rsidRPr="00BB5498">
              <w:t>0.1613</w:t>
            </w:r>
          </w:p>
        </w:tc>
        <w:tc>
          <w:tcPr>
            <w:tcW w:w="1037" w:type="dxa"/>
            <w:noWrap/>
            <w:hideMark/>
          </w:tcPr>
          <w:p w14:paraId="4CF73F36" w14:textId="77777777" w:rsidR="00F36DAE" w:rsidRPr="00BB5498" w:rsidRDefault="00F36DAE" w:rsidP="004E5C57">
            <w:pPr>
              <w:pStyle w:val="TableText0"/>
            </w:pPr>
            <w:r w:rsidRPr="00BB5498">
              <w:t>1.5297</w:t>
            </w:r>
          </w:p>
        </w:tc>
        <w:tc>
          <w:tcPr>
            <w:tcW w:w="960" w:type="dxa"/>
            <w:noWrap/>
            <w:hideMark/>
          </w:tcPr>
          <w:p w14:paraId="4440DD00" w14:textId="77777777" w:rsidR="00F36DAE" w:rsidRPr="00BB5498" w:rsidRDefault="00F36DAE" w:rsidP="004E5C57">
            <w:pPr>
              <w:pStyle w:val="TableText0"/>
            </w:pPr>
            <w:r w:rsidRPr="00BB5498">
              <w:t>0.1283</w:t>
            </w:r>
          </w:p>
        </w:tc>
        <w:tc>
          <w:tcPr>
            <w:tcW w:w="1037" w:type="dxa"/>
            <w:noWrap/>
            <w:hideMark/>
          </w:tcPr>
          <w:p w14:paraId="076B0F70" w14:textId="77777777" w:rsidR="00F36DAE" w:rsidRPr="00BB5498" w:rsidRDefault="00F36DAE" w:rsidP="004E5C57">
            <w:pPr>
              <w:pStyle w:val="TableText0"/>
            </w:pPr>
            <w:r w:rsidRPr="00BB5498">
              <w:t>1.0922</w:t>
            </w:r>
          </w:p>
        </w:tc>
      </w:tr>
      <w:tr w:rsidR="00F36DAE" w:rsidRPr="00BB5498" w14:paraId="4562C1B8" w14:textId="77777777" w:rsidTr="00BE0118">
        <w:trPr>
          <w:trHeight w:val="255"/>
        </w:trPr>
        <w:tc>
          <w:tcPr>
            <w:tcW w:w="960" w:type="dxa"/>
            <w:noWrap/>
            <w:hideMark/>
          </w:tcPr>
          <w:p w14:paraId="61D78100" w14:textId="77777777" w:rsidR="00F36DAE" w:rsidRPr="00BB5498" w:rsidRDefault="00F36DAE" w:rsidP="004E5C57">
            <w:pPr>
              <w:pStyle w:val="TableText0"/>
            </w:pPr>
            <w:r w:rsidRPr="00BB5498">
              <w:t>8</w:t>
            </w:r>
          </w:p>
        </w:tc>
        <w:tc>
          <w:tcPr>
            <w:tcW w:w="1000" w:type="dxa"/>
            <w:noWrap/>
            <w:hideMark/>
          </w:tcPr>
          <w:p w14:paraId="237CBD49" w14:textId="77777777" w:rsidR="00F36DAE" w:rsidRPr="00BB5498" w:rsidRDefault="00F36DAE" w:rsidP="004E5C57">
            <w:pPr>
              <w:pStyle w:val="TableText0"/>
            </w:pPr>
            <w:r w:rsidRPr="00BB5498">
              <w:t>0.8556</w:t>
            </w:r>
          </w:p>
        </w:tc>
        <w:tc>
          <w:tcPr>
            <w:tcW w:w="1009" w:type="dxa"/>
            <w:noWrap/>
            <w:hideMark/>
          </w:tcPr>
          <w:p w14:paraId="03765CA9" w14:textId="77777777" w:rsidR="00F36DAE" w:rsidRPr="00BB5498" w:rsidRDefault="00F36DAE" w:rsidP="004E5C57">
            <w:pPr>
              <w:pStyle w:val="TableText0"/>
            </w:pPr>
            <w:r w:rsidRPr="00BB5498">
              <w:t>0.0021</w:t>
            </w:r>
          </w:p>
        </w:tc>
        <w:tc>
          <w:tcPr>
            <w:tcW w:w="1000" w:type="dxa"/>
            <w:noWrap/>
            <w:hideMark/>
          </w:tcPr>
          <w:p w14:paraId="6ECD6947" w14:textId="77777777" w:rsidR="00F36DAE" w:rsidRPr="00BB5498" w:rsidRDefault="00F36DAE" w:rsidP="004E5C57">
            <w:pPr>
              <w:pStyle w:val="TableText0"/>
            </w:pPr>
            <w:r w:rsidRPr="00BB5498">
              <w:t>0.1334</w:t>
            </w:r>
          </w:p>
        </w:tc>
        <w:tc>
          <w:tcPr>
            <w:tcW w:w="1000" w:type="dxa"/>
            <w:noWrap/>
            <w:hideMark/>
          </w:tcPr>
          <w:p w14:paraId="594CB73C" w14:textId="77777777" w:rsidR="00F36DAE" w:rsidRPr="00BB5498" w:rsidRDefault="00F36DAE" w:rsidP="004E5C57">
            <w:pPr>
              <w:pStyle w:val="TableText0"/>
            </w:pPr>
            <w:r w:rsidRPr="00BB5498">
              <w:t>0.0066</w:t>
            </w:r>
          </w:p>
        </w:tc>
        <w:tc>
          <w:tcPr>
            <w:tcW w:w="1000" w:type="dxa"/>
            <w:noWrap/>
            <w:hideMark/>
          </w:tcPr>
          <w:p w14:paraId="6F1E6F1B" w14:textId="77777777" w:rsidR="00F36DAE" w:rsidRPr="00BB5498" w:rsidRDefault="00F36DAE" w:rsidP="004E5C57">
            <w:pPr>
              <w:pStyle w:val="TableText0"/>
            </w:pPr>
            <w:r w:rsidRPr="00BB5498">
              <w:t>0.0003</w:t>
            </w:r>
          </w:p>
        </w:tc>
        <w:tc>
          <w:tcPr>
            <w:tcW w:w="1000" w:type="dxa"/>
            <w:noWrap/>
            <w:hideMark/>
          </w:tcPr>
          <w:p w14:paraId="7D9957BD" w14:textId="77777777" w:rsidR="00F36DAE" w:rsidRPr="00BB5498" w:rsidRDefault="00F36DAE" w:rsidP="004E5C57">
            <w:pPr>
              <w:pStyle w:val="TableText0"/>
            </w:pPr>
            <w:r w:rsidRPr="00BB5498">
              <w:t>0.0000</w:t>
            </w:r>
          </w:p>
        </w:tc>
        <w:tc>
          <w:tcPr>
            <w:tcW w:w="1000" w:type="dxa"/>
            <w:noWrap/>
            <w:hideMark/>
          </w:tcPr>
          <w:p w14:paraId="7EC7F474" w14:textId="77777777" w:rsidR="00F36DAE" w:rsidRPr="00BB5498" w:rsidRDefault="00F36DAE" w:rsidP="004E5C57">
            <w:pPr>
              <w:pStyle w:val="TableText0"/>
            </w:pPr>
            <w:r w:rsidRPr="00BB5498">
              <w:t>0.0021</w:t>
            </w:r>
          </w:p>
        </w:tc>
        <w:tc>
          <w:tcPr>
            <w:tcW w:w="1060" w:type="dxa"/>
            <w:noWrap/>
            <w:hideMark/>
          </w:tcPr>
          <w:p w14:paraId="57F9FDA6" w14:textId="77777777" w:rsidR="00F36DAE" w:rsidRPr="00BB5498" w:rsidRDefault="00F36DAE" w:rsidP="004E5C57">
            <w:pPr>
              <w:pStyle w:val="TableText0"/>
            </w:pPr>
            <w:r w:rsidRPr="00BB5498">
              <w:t>$1,917</w:t>
            </w:r>
          </w:p>
        </w:tc>
        <w:tc>
          <w:tcPr>
            <w:tcW w:w="1180" w:type="dxa"/>
            <w:noWrap/>
            <w:hideMark/>
          </w:tcPr>
          <w:p w14:paraId="2C84BEB8" w14:textId="77777777" w:rsidR="00F36DAE" w:rsidRPr="00BB5498" w:rsidRDefault="00F36DAE" w:rsidP="004E5C57">
            <w:pPr>
              <w:pStyle w:val="TableText0"/>
            </w:pPr>
            <w:r w:rsidRPr="00BB5498">
              <w:t>$18,233</w:t>
            </w:r>
          </w:p>
        </w:tc>
        <w:tc>
          <w:tcPr>
            <w:tcW w:w="960" w:type="dxa"/>
            <w:noWrap/>
            <w:hideMark/>
          </w:tcPr>
          <w:p w14:paraId="7B956485" w14:textId="77777777" w:rsidR="00F36DAE" w:rsidRPr="00BB5498" w:rsidRDefault="00F36DAE" w:rsidP="004E5C57">
            <w:pPr>
              <w:pStyle w:val="TableText0"/>
            </w:pPr>
            <w:r w:rsidRPr="00BB5498">
              <w:t>0.1592</w:t>
            </w:r>
          </w:p>
        </w:tc>
        <w:tc>
          <w:tcPr>
            <w:tcW w:w="1037" w:type="dxa"/>
            <w:noWrap/>
            <w:hideMark/>
          </w:tcPr>
          <w:p w14:paraId="2D3E2DB1" w14:textId="77777777" w:rsidR="00F36DAE" w:rsidRPr="00BB5498" w:rsidRDefault="00F36DAE" w:rsidP="004E5C57">
            <w:pPr>
              <w:pStyle w:val="TableText0"/>
            </w:pPr>
            <w:r w:rsidRPr="00BB5498">
              <w:t>1.6889</w:t>
            </w:r>
          </w:p>
        </w:tc>
        <w:tc>
          <w:tcPr>
            <w:tcW w:w="960" w:type="dxa"/>
            <w:noWrap/>
            <w:hideMark/>
          </w:tcPr>
          <w:p w14:paraId="456B9E04" w14:textId="77777777" w:rsidR="00F36DAE" w:rsidRPr="00BB5498" w:rsidRDefault="00F36DAE" w:rsidP="004E5C57">
            <w:pPr>
              <w:pStyle w:val="TableText0"/>
            </w:pPr>
            <w:r w:rsidRPr="00BB5498">
              <w:t>0.1267</w:t>
            </w:r>
          </w:p>
        </w:tc>
        <w:tc>
          <w:tcPr>
            <w:tcW w:w="1037" w:type="dxa"/>
            <w:noWrap/>
            <w:hideMark/>
          </w:tcPr>
          <w:p w14:paraId="4C99DA91" w14:textId="77777777" w:rsidR="00F36DAE" w:rsidRPr="00BB5498" w:rsidRDefault="00F36DAE" w:rsidP="004E5C57">
            <w:pPr>
              <w:pStyle w:val="TableText0"/>
            </w:pPr>
            <w:r w:rsidRPr="00BB5498">
              <w:t>1.2189</w:t>
            </w:r>
          </w:p>
        </w:tc>
      </w:tr>
      <w:tr w:rsidR="00F36DAE" w:rsidRPr="00BB5498" w14:paraId="277C5F52" w14:textId="77777777" w:rsidTr="00BE0118">
        <w:trPr>
          <w:trHeight w:val="255"/>
        </w:trPr>
        <w:tc>
          <w:tcPr>
            <w:tcW w:w="960" w:type="dxa"/>
            <w:noWrap/>
            <w:hideMark/>
          </w:tcPr>
          <w:p w14:paraId="78AE8FE6" w14:textId="77777777" w:rsidR="00F36DAE" w:rsidRPr="00BB5498" w:rsidRDefault="00F36DAE" w:rsidP="004E5C57">
            <w:pPr>
              <w:pStyle w:val="TableText0"/>
            </w:pPr>
            <w:r w:rsidRPr="00BB5498">
              <w:t>9</w:t>
            </w:r>
          </w:p>
        </w:tc>
        <w:tc>
          <w:tcPr>
            <w:tcW w:w="1000" w:type="dxa"/>
            <w:noWrap/>
            <w:hideMark/>
          </w:tcPr>
          <w:p w14:paraId="5BD36583" w14:textId="77777777" w:rsidR="00F36DAE" w:rsidRPr="00BB5498" w:rsidRDefault="00F36DAE" w:rsidP="004E5C57">
            <w:pPr>
              <w:pStyle w:val="TableText0"/>
            </w:pPr>
            <w:r w:rsidRPr="00BB5498">
              <w:t>0.8550</w:t>
            </w:r>
          </w:p>
        </w:tc>
        <w:tc>
          <w:tcPr>
            <w:tcW w:w="1009" w:type="dxa"/>
            <w:noWrap/>
            <w:hideMark/>
          </w:tcPr>
          <w:p w14:paraId="57EA2F46" w14:textId="77777777" w:rsidR="00F36DAE" w:rsidRPr="00BB5498" w:rsidRDefault="00F36DAE" w:rsidP="004E5C57">
            <w:pPr>
              <w:pStyle w:val="TableText0"/>
            </w:pPr>
            <w:r w:rsidRPr="00BB5498">
              <w:t>0.0024</w:t>
            </w:r>
          </w:p>
        </w:tc>
        <w:tc>
          <w:tcPr>
            <w:tcW w:w="1000" w:type="dxa"/>
            <w:noWrap/>
            <w:hideMark/>
          </w:tcPr>
          <w:p w14:paraId="4E2484B8" w14:textId="77777777" w:rsidR="00F36DAE" w:rsidRPr="00BB5498" w:rsidRDefault="00F36DAE" w:rsidP="004E5C57">
            <w:pPr>
              <w:pStyle w:val="TableText0"/>
            </w:pPr>
            <w:r w:rsidRPr="00BB5498">
              <w:t>0.1333</w:t>
            </w:r>
          </w:p>
        </w:tc>
        <w:tc>
          <w:tcPr>
            <w:tcW w:w="1000" w:type="dxa"/>
            <w:noWrap/>
            <w:hideMark/>
          </w:tcPr>
          <w:p w14:paraId="6A045D15" w14:textId="77777777" w:rsidR="00F36DAE" w:rsidRPr="00BB5498" w:rsidRDefault="00F36DAE" w:rsidP="004E5C57">
            <w:pPr>
              <w:pStyle w:val="TableText0"/>
            </w:pPr>
            <w:r w:rsidRPr="00BB5498">
              <w:t>0.0066</w:t>
            </w:r>
          </w:p>
        </w:tc>
        <w:tc>
          <w:tcPr>
            <w:tcW w:w="1000" w:type="dxa"/>
            <w:noWrap/>
            <w:hideMark/>
          </w:tcPr>
          <w:p w14:paraId="4473F174" w14:textId="77777777" w:rsidR="00F36DAE" w:rsidRPr="00BB5498" w:rsidRDefault="00F36DAE" w:rsidP="004E5C57">
            <w:pPr>
              <w:pStyle w:val="TableText0"/>
            </w:pPr>
            <w:r w:rsidRPr="00BB5498">
              <w:t>0.0003</w:t>
            </w:r>
          </w:p>
        </w:tc>
        <w:tc>
          <w:tcPr>
            <w:tcW w:w="1000" w:type="dxa"/>
            <w:noWrap/>
            <w:hideMark/>
          </w:tcPr>
          <w:p w14:paraId="2F02CE87" w14:textId="77777777" w:rsidR="00F36DAE" w:rsidRPr="00BB5498" w:rsidRDefault="00F36DAE" w:rsidP="004E5C57">
            <w:pPr>
              <w:pStyle w:val="TableText0"/>
            </w:pPr>
            <w:r w:rsidRPr="00BB5498">
              <w:t>0.0000</w:t>
            </w:r>
          </w:p>
        </w:tc>
        <w:tc>
          <w:tcPr>
            <w:tcW w:w="1000" w:type="dxa"/>
            <w:noWrap/>
            <w:hideMark/>
          </w:tcPr>
          <w:p w14:paraId="19B9CD4A" w14:textId="77777777" w:rsidR="00F36DAE" w:rsidRPr="00BB5498" w:rsidRDefault="00F36DAE" w:rsidP="004E5C57">
            <w:pPr>
              <w:pStyle w:val="TableText0"/>
            </w:pPr>
            <w:r w:rsidRPr="00BB5498">
              <w:t>0.0024</w:t>
            </w:r>
          </w:p>
        </w:tc>
        <w:tc>
          <w:tcPr>
            <w:tcW w:w="1060" w:type="dxa"/>
            <w:noWrap/>
            <w:hideMark/>
          </w:tcPr>
          <w:p w14:paraId="080544DC" w14:textId="77777777" w:rsidR="00F36DAE" w:rsidRPr="00BB5498" w:rsidRDefault="00F36DAE" w:rsidP="004E5C57">
            <w:pPr>
              <w:pStyle w:val="TableText0"/>
            </w:pPr>
            <w:r w:rsidRPr="00BB5498">
              <w:t>$1,893</w:t>
            </w:r>
          </w:p>
        </w:tc>
        <w:tc>
          <w:tcPr>
            <w:tcW w:w="1180" w:type="dxa"/>
            <w:noWrap/>
            <w:hideMark/>
          </w:tcPr>
          <w:p w14:paraId="4D2F6F82" w14:textId="77777777" w:rsidR="00F36DAE" w:rsidRPr="00BB5498" w:rsidRDefault="00F36DAE" w:rsidP="004E5C57">
            <w:pPr>
              <w:pStyle w:val="TableText0"/>
            </w:pPr>
            <w:r w:rsidRPr="00BB5498">
              <w:t>$20,126</w:t>
            </w:r>
          </w:p>
        </w:tc>
        <w:tc>
          <w:tcPr>
            <w:tcW w:w="960" w:type="dxa"/>
            <w:noWrap/>
            <w:hideMark/>
          </w:tcPr>
          <w:p w14:paraId="2FD5A1EC" w14:textId="77777777" w:rsidR="00F36DAE" w:rsidRPr="00BB5498" w:rsidRDefault="00F36DAE" w:rsidP="004E5C57">
            <w:pPr>
              <w:pStyle w:val="TableText0"/>
            </w:pPr>
            <w:r w:rsidRPr="00BB5498">
              <w:t>0.1572</w:t>
            </w:r>
          </w:p>
        </w:tc>
        <w:tc>
          <w:tcPr>
            <w:tcW w:w="1037" w:type="dxa"/>
            <w:noWrap/>
            <w:hideMark/>
          </w:tcPr>
          <w:p w14:paraId="31B1B074" w14:textId="77777777" w:rsidR="00F36DAE" w:rsidRPr="00BB5498" w:rsidRDefault="00F36DAE" w:rsidP="004E5C57">
            <w:pPr>
              <w:pStyle w:val="TableText0"/>
            </w:pPr>
            <w:r w:rsidRPr="00BB5498">
              <w:t>1.8462</w:t>
            </w:r>
          </w:p>
        </w:tc>
        <w:tc>
          <w:tcPr>
            <w:tcW w:w="960" w:type="dxa"/>
            <w:noWrap/>
            <w:hideMark/>
          </w:tcPr>
          <w:p w14:paraId="08CB2431" w14:textId="77777777" w:rsidR="00F36DAE" w:rsidRPr="00BB5498" w:rsidRDefault="00F36DAE" w:rsidP="004E5C57">
            <w:pPr>
              <w:pStyle w:val="TableText0"/>
            </w:pPr>
            <w:r w:rsidRPr="00BB5498">
              <w:t>0.1252</w:t>
            </w:r>
          </w:p>
        </w:tc>
        <w:tc>
          <w:tcPr>
            <w:tcW w:w="1037" w:type="dxa"/>
            <w:noWrap/>
            <w:hideMark/>
          </w:tcPr>
          <w:p w14:paraId="74381B4D" w14:textId="77777777" w:rsidR="00F36DAE" w:rsidRPr="00BB5498" w:rsidRDefault="00F36DAE" w:rsidP="004E5C57">
            <w:pPr>
              <w:pStyle w:val="TableText0"/>
            </w:pPr>
            <w:r w:rsidRPr="00BB5498">
              <w:t>1.3441</w:t>
            </w:r>
          </w:p>
        </w:tc>
      </w:tr>
      <w:tr w:rsidR="00F36DAE" w:rsidRPr="00BB5498" w14:paraId="0EEF8AFA" w14:textId="77777777" w:rsidTr="00BE0118">
        <w:trPr>
          <w:trHeight w:val="255"/>
        </w:trPr>
        <w:tc>
          <w:tcPr>
            <w:tcW w:w="960" w:type="dxa"/>
            <w:noWrap/>
            <w:hideMark/>
          </w:tcPr>
          <w:p w14:paraId="69619A7D" w14:textId="77777777" w:rsidR="00F36DAE" w:rsidRPr="00BB5498" w:rsidRDefault="00F36DAE" w:rsidP="004E5C57">
            <w:pPr>
              <w:pStyle w:val="TableText0"/>
            </w:pPr>
            <w:r w:rsidRPr="00BB5498">
              <w:t>10</w:t>
            </w:r>
          </w:p>
        </w:tc>
        <w:tc>
          <w:tcPr>
            <w:tcW w:w="1000" w:type="dxa"/>
            <w:noWrap/>
            <w:hideMark/>
          </w:tcPr>
          <w:p w14:paraId="6070951C" w14:textId="77777777" w:rsidR="00F36DAE" w:rsidRPr="00BB5498" w:rsidRDefault="00F36DAE" w:rsidP="004E5C57">
            <w:pPr>
              <w:pStyle w:val="TableText0"/>
            </w:pPr>
            <w:r w:rsidRPr="00BB5498">
              <w:t>0.8545</w:t>
            </w:r>
          </w:p>
        </w:tc>
        <w:tc>
          <w:tcPr>
            <w:tcW w:w="1009" w:type="dxa"/>
            <w:noWrap/>
            <w:hideMark/>
          </w:tcPr>
          <w:p w14:paraId="5A153BFF" w14:textId="77777777" w:rsidR="00F36DAE" w:rsidRPr="00BB5498" w:rsidRDefault="00F36DAE" w:rsidP="004E5C57">
            <w:pPr>
              <w:pStyle w:val="TableText0"/>
            </w:pPr>
            <w:r w:rsidRPr="00BB5498">
              <w:t>0.0026</w:t>
            </w:r>
          </w:p>
        </w:tc>
        <w:tc>
          <w:tcPr>
            <w:tcW w:w="1000" w:type="dxa"/>
            <w:noWrap/>
            <w:hideMark/>
          </w:tcPr>
          <w:p w14:paraId="7BAB83E5" w14:textId="77777777" w:rsidR="00F36DAE" w:rsidRPr="00BB5498" w:rsidRDefault="00F36DAE" w:rsidP="004E5C57">
            <w:pPr>
              <w:pStyle w:val="TableText0"/>
            </w:pPr>
            <w:r w:rsidRPr="00BB5498">
              <w:t>0.1332</w:t>
            </w:r>
          </w:p>
        </w:tc>
        <w:tc>
          <w:tcPr>
            <w:tcW w:w="1000" w:type="dxa"/>
            <w:noWrap/>
            <w:hideMark/>
          </w:tcPr>
          <w:p w14:paraId="7DEFD55C" w14:textId="77777777" w:rsidR="00F36DAE" w:rsidRPr="00BB5498" w:rsidRDefault="00F36DAE" w:rsidP="004E5C57">
            <w:pPr>
              <w:pStyle w:val="TableText0"/>
            </w:pPr>
            <w:r w:rsidRPr="00BB5498">
              <w:t>0.0066</w:t>
            </w:r>
          </w:p>
        </w:tc>
        <w:tc>
          <w:tcPr>
            <w:tcW w:w="1000" w:type="dxa"/>
            <w:noWrap/>
            <w:hideMark/>
          </w:tcPr>
          <w:p w14:paraId="74D91D49" w14:textId="77777777" w:rsidR="00F36DAE" w:rsidRPr="00BB5498" w:rsidRDefault="00F36DAE" w:rsidP="004E5C57">
            <w:pPr>
              <w:pStyle w:val="TableText0"/>
            </w:pPr>
            <w:r w:rsidRPr="00BB5498">
              <w:t>0.0004</w:t>
            </w:r>
          </w:p>
        </w:tc>
        <w:tc>
          <w:tcPr>
            <w:tcW w:w="1000" w:type="dxa"/>
            <w:noWrap/>
            <w:hideMark/>
          </w:tcPr>
          <w:p w14:paraId="484564E4" w14:textId="77777777" w:rsidR="00F36DAE" w:rsidRPr="00BB5498" w:rsidRDefault="00F36DAE" w:rsidP="004E5C57">
            <w:pPr>
              <w:pStyle w:val="TableText0"/>
            </w:pPr>
            <w:r w:rsidRPr="00BB5498">
              <w:t>0.0000</w:t>
            </w:r>
          </w:p>
        </w:tc>
        <w:tc>
          <w:tcPr>
            <w:tcW w:w="1000" w:type="dxa"/>
            <w:noWrap/>
            <w:hideMark/>
          </w:tcPr>
          <w:p w14:paraId="293C63E8" w14:textId="77777777" w:rsidR="00F36DAE" w:rsidRPr="00BB5498" w:rsidRDefault="00F36DAE" w:rsidP="004E5C57">
            <w:pPr>
              <w:pStyle w:val="TableText0"/>
            </w:pPr>
            <w:r w:rsidRPr="00BB5498">
              <w:t>0.0027</w:t>
            </w:r>
          </w:p>
        </w:tc>
        <w:tc>
          <w:tcPr>
            <w:tcW w:w="1060" w:type="dxa"/>
            <w:noWrap/>
            <w:hideMark/>
          </w:tcPr>
          <w:p w14:paraId="0CD19666" w14:textId="77777777" w:rsidR="00F36DAE" w:rsidRPr="00BB5498" w:rsidRDefault="00F36DAE" w:rsidP="004E5C57">
            <w:pPr>
              <w:pStyle w:val="TableText0"/>
            </w:pPr>
            <w:r w:rsidRPr="00BB5498">
              <w:t>$1,870</w:t>
            </w:r>
          </w:p>
        </w:tc>
        <w:tc>
          <w:tcPr>
            <w:tcW w:w="1180" w:type="dxa"/>
            <w:noWrap/>
            <w:hideMark/>
          </w:tcPr>
          <w:p w14:paraId="5F8375BC" w14:textId="77777777" w:rsidR="00F36DAE" w:rsidRPr="00BB5498" w:rsidRDefault="00F36DAE" w:rsidP="004E5C57">
            <w:pPr>
              <w:pStyle w:val="TableText0"/>
            </w:pPr>
            <w:r w:rsidRPr="00BB5498">
              <w:t>$21,996</w:t>
            </w:r>
          </w:p>
        </w:tc>
        <w:tc>
          <w:tcPr>
            <w:tcW w:w="960" w:type="dxa"/>
            <w:noWrap/>
            <w:hideMark/>
          </w:tcPr>
          <w:p w14:paraId="51488D5B" w14:textId="77777777" w:rsidR="00F36DAE" w:rsidRPr="00BB5498" w:rsidRDefault="00F36DAE" w:rsidP="004E5C57">
            <w:pPr>
              <w:pStyle w:val="TableText0"/>
            </w:pPr>
            <w:r w:rsidRPr="00BB5498">
              <w:t>0.1553</w:t>
            </w:r>
          </w:p>
        </w:tc>
        <w:tc>
          <w:tcPr>
            <w:tcW w:w="1037" w:type="dxa"/>
            <w:noWrap/>
            <w:hideMark/>
          </w:tcPr>
          <w:p w14:paraId="6763B0A7" w14:textId="77777777" w:rsidR="00F36DAE" w:rsidRPr="00BB5498" w:rsidRDefault="00F36DAE" w:rsidP="004E5C57">
            <w:pPr>
              <w:pStyle w:val="TableText0"/>
            </w:pPr>
            <w:r w:rsidRPr="00BB5498">
              <w:t>2.0014</w:t>
            </w:r>
          </w:p>
        </w:tc>
        <w:tc>
          <w:tcPr>
            <w:tcW w:w="960" w:type="dxa"/>
            <w:noWrap/>
            <w:hideMark/>
          </w:tcPr>
          <w:p w14:paraId="767CD347" w14:textId="77777777" w:rsidR="00F36DAE" w:rsidRPr="00BB5498" w:rsidRDefault="00F36DAE" w:rsidP="004E5C57">
            <w:pPr>
              <w:pStyle w:val="TableText0"/>
            </w:pPr>
            <w:r w:rsidRPr="00BB5498">
              <w:t>0.1236</w:t>
            </w:r>
          </w:p>
        </w:tc>
        <w:tc>
          <w:tcPr>
            <w:tcW w:w="1037" w:type="dxa"/>
            <w:noWrap/>
            <w:hideMark/>
          </w:tcPr>
          <w:p w14:paraId="2DC2381D" w14:textId="77777777" w:rsidR="00F36DAE" w:rsidRPr="00BB5498" w:rsidRDefault="00F36DAE" w:rsidP="004E5C57">
            <w:pPr>
              <w:pStyle w:val="TableText0"/>
            </w:pPr>
            <w:r w:rsidRPr="00BB5498">
              <w:t>1.4677</w:t>
            </w:r>
          </w:p>
        </w:tc>
      </w:tr>
      <w:tr w:rsidR="00F36DAE" w:rsidRPr="00BB5498" w14:paraId="2D51EB43" w14:textId="77777777" w:rsidTr="00BE0118">
        <w:trPr>
          <w:trHeight w:val="255"/>
        </w:trPr>
        <w:tc>
          <w:tcPr>
            <w:tcW w:w="960" w:type="dxa"/>
            <w:noWrap/>
            <w:hideMark/>
          </w:tcPr>
          <w:p w14:paraId="16B35584" w14:textId="77777777" w:rsidR="00F36DAE" w:rsidRPr="00BB5498" w:rsidRDefault="00F36DAE" w:rsidP="004E5C57">
            <w:pPr>
              <w:pStyle w:val="TableText0"/>
            </w:pPr>
            <w:r w:rsidRPr="00BB5498">
              <w:t>11</w:t>
            </w:r>
          </w:p>
        </w:tc>
        <w:tc>
          <w:tcPr>
            <w:tcW w:w="1000" w:type="dxa"/>
            <w:noWrap/>
            <w:hideMark/>
          </w:tcPr>
          <w:p w14:paraId="78E4615F" w14:textId="77777777" w:rsidR="00F36DAE" w:rsidRPr="00BB5498" w:rsidRDefault="00F36DAE" w:rsidP="004E5C57">
            <w:pPr>
              <w:pStyle w:val="TableText0"/>
            </w:pPr>
            <w:r w:rsidRPr="00BB5498">
              <w:t>0.8539</w:t>
            </w:r>
          </w:p>
        </w:tc>
        <w:tc>
          <w:tcPr>
            <w:tcW w:w="1009" w:type="dxa"/>
            <w:noWrap/>
            <w:hideMark/>
          </w:tcPr>
          <w:p w14:paraId="6C787118" w14:textId="77777777" w:rsidR="00F36DAE" w:rsidRPr="00BB5498" w:rsidRDefault="00F36DAE" w:rsidP="004E5C57">
            <w:pPr>
              <w:pStyle w:val="TableText0"/>
            </w:pPr>
            <w:r w:rsidRPr="00BB5498">
              <w:t>0.0029</w:t>
            </w:r>
          </w:p>
        </w:tc>
        <w:tc>
          <w:tcPr>
            <w:tcW w:w="1000" w:type="dxa"/>
            <w:noWrap/>
            <w:hideMark/>
          </w:tcPr>
          <w:p w14:paraId="6397A206" w14:textId="77777777" w:rsidR="00F36DAE" w:rsidRPr="00BB5498" w:rsidRDefault="00F36DAE" w:rsidP="004E5C57">
            <w:pPr>
              <w:pStyle w:val="TableText0"/>
            </w:pPr>
            <w:r w:rsidRPr="00BB5498">
              <w:t>0.1332</w:t>
            </w:r>
          </w:p>
        </w:tc>
        <w:tc>
          <w:tcPr>
            <w:tcW w:w="1000" w:type="dxa"/>
            <w:noWrap/>
            <w:hideMark/>
          </w:tcPr>
          <w:p w14:paraId="4B2FA735" w14:textId="77777777" w:rsidR="00F36DAE" w:rsidRPr="00BB5498" w:rsidRDefault="00F36DAE" w:rsidP="004E5C57">
            <w:pPr>
              <w:pStyle w:val="TableText0"/>
            </w:pPr>
            <w:r w:rsidRPr="00BB5498">
              <w:t>0.0066</w:t>
            </w:r>
          </w:p>
        </w:tc>
        <w:tc>
          <w:tcPr>
            <w:tcW w:w="1000" w:type="dxa"/>
            <w:noWrap/>
            <w:hideMark/>
          </w:tcPr>
          <w:p w14:paraId="7E2E6CB9" w14:textId="77777777" w:rsidR="00F36DAE" w:rsidRPr="00BB5498" w:rsidRDefault="00F36DAE" w:rsidP="004E5C57">
            <w:pPr>
              <w:pStyle w:val="TableText0"/>
            </w:pPr>
            <w:r w:rsidRPr="00BB5498">
              <w:t>0.0004</w:t>
            </w:r>
          </w:p>
        </w:tc>
        <w:tc>
          <w:tcPr>
            <w:tcW w:w="1000" w:type="dxa"/>
            <w:noWrap/>
            <w:hideMark/>
          </w:tcPr>
          <w:p w14:paraId="560DF88E" w14:textId="77777777" w:rsidR="00F36DAE" w:rsidRPr="00BB5498" w:rsidRDefault="00F36DAE" w:rsidP="004E5C57">
            <w:pPr>
              <w:pStyle w:val="TableText0"/>
            </w:pPr>
            <w:r w:rsidRPr="00BB5498">
              <w:t>0.0000</w:t>
            </w:r>
          </w:p>
        </w:tc>
        <w:tc>
          <w:tcPr>
            <w:tcW w:w="1000" w:type="dxa"/>
            <w:noWrap/>
            <w:hideMark/>
          </w:tcPr>
          <w:p w14:paraId="71054975" w14:textId="77777777" w:rsidR="00F36DAE" w:rsidRPr="00BB5498" w:rsidRDefault="00F36DAE" w:rsidP="004E5C57">
            <w:pPr>
              <w:pStyle w:val="TableText0"/>
            </w:pPr>
            <w:r w:rsidRPr="00BB5498">
              <w:t>0.0030</w:t>
            </w:r>
          </w:p>
        </w:tc>
        <w:tc>
          <w:tcPr>
            <w:tcW w:w="1060" w:type="dxa"/>
            <w:noWrap/>
            <w:hideMark/>
          </w:tcPr>
          <w:p w14:paraId="72E00097" w14:textId="77777777" w:rsidR="00F36DAE" w:rsidRPr="00BB5498" w:rsidRDefault="00F36DAE" w:rsidP="004E5C57">
            <w:pPr>
              <w:pStyle w:val="TableText0"/>
            </w:pPr>
            <w:r w:rsidRPr="00BB5498">
              <w:t>$1,847</w:t>
            </w:r>
          </w:p>
        </w:tc>
        <w:tc>
          <w:tcPr>
            <w:tcW w:w="1180" w:type="dxa"/>
            <w:noWrap/>
            <w:hideMark/>
          </w:tcPr>
          <w:p w14:paraId="1683A110" w14:textId="77777777" w:rsidR="00F36DAE" w:rsidRPr="00BB5498" w:rsidRDefault="00F36DAE" w:rsidP="004E5C57">
            <w:pPr>
              <w:pStyle w:val="TableText0"/>
            </w:pPr>
            <w:r w:rsidRPr="00BB5498">
              <w:t>$23,843</w:t>
            </w:r>
          </w:p>
        </w:tc>
        <w:tc>
          <w:tcPr>
            <w:tcW w:w="960" w:type="dxa"/>
            <w:noWrap/>
            <w:hideMark/>
          </w:tcPr>
          <w:p w14:paraId="52C68E32" w14:textId="77777777" w:rsidR="00F36DAE" w:rsidRPr="00BB5498" w:rsidRDefault="00F36DAE" w:rsidP="004E5C57">
            <w:pPr>
              <w:pStyle w:val="TableText0"/>
            </w:pPr>
            <w:r w:rsidRPr="00BB5498">
              <w:t>0.1533</w:t>
            </w:r>
          </w:p>
        </w:tc>
        <w:tc>
          <w:tcPr>
            <w:tcW w:w="1037" w:type="dxa"/>
            <w:noWrap/>
            <w:hideMark/>
          </w:tcPr>
          <w:p w14:paraId="2649F486" w14:textId="77777777" w:rsidR="00F36DAE" w:rsidRPr="00BB5498" w:rsidRDefault="00F36DAE" w:rsidP="004E5C57">
            <w:pPr>
              <w:pStyle w:val="TableText0"/>
            </w:pPr>
            <w:r w:rsidRPr="00BB5498">
              <w:t>2.1548</w:t>
            </w:r>
          </w:p>
        </w:tc>
        <w:tc>
          <w:tcPr>
            <w:tcW w:w="960" w:type="dxa"/>
            <w:noWrap/>
            <w:hideMark/>
          </w:tcPr>
          <w:p w14:paraId="7E3682C8" w14:textId="77777777" w:rsidR="00F36DAE" w:rsidRPr="00BB5498" w:rsidRDefault="00F36DAE" w:rsidP="004E5C57">
            <w:pPr>
              <w:pStyle w:val="TableText0"/>
            </w:pPr>
            <w:r w:rsidRPr="00BB5498">
              <w:t>0.1221</w:t>
            </w:r>
          </w:p>
        </w:tc>
        <w:tc>
          <w:tcPr>
            <w:tcW w:w="1037" w:type="dxa"/>
            <w:noWrap/>
            <w:hideMark/>
          </w:tcPr>
          <w:p w14:paraId="0C442526" w14:textId="77777777" w:rsidR="00F36DAE" w:rsidRPr="00BB5498" w:rsidRDefault="00F36DAE" w:rsidP="004E5C57">
            <w:pPr>
              <w:pStyle w:val="TableText0"/>
            </w:pPr>
            <w:r w:rsidRPr="00BB5498">
              <w:t>1.5897</w:t>
            </w:r>
          </w:p>
        </w:tc>
      </w:tr>
      <w:tr w:rsidR="00F36DAE" w:rsidRPr="00BB5498" w14:paraId="6CEF993C" w14:textId="77777777" w:rsidTr="00BE0118">
        <w:trPr>
          <w:trHeight w:val="255"/>
        </w:trPr>
        <w:tc>
          <w:tcPr>
            <w:tcW w:w="960" w:type="dxa"/>
            <w:noWrap/>
            <w:hideMark/>
          </w:tcPr>
          <w:p w14:paraId="3ABB359E" w14:textId="77777777" w:rsidR="00F36DAE" w:rsidRPr="00BB5498" w:rsidRDefault="00F36DAE" w:rsidP="004E5C57">
            <w:pPr>
              <w:pStyle w:val="TableText0"/>
            </w:pPr>
            <w:r w:rsidRPr="00BB5498">
              <w:t>12</w:t>
            </w:r>
          </w:p>
        </w:tc>
        <w:tc>
          <w:tcPr>
            <w:tcW w:w="1000" w:type="dxa"/>
            <w:noWrap/>
            <w:hideMark/>
          </w:tcPr>
          <w:p w14:paraId="3B04C4CB" w14:textId="77777777" w:rsidR="00F36DAE" w:rsidRPr="00BB5498" w:rsidRDefault="00F36DAE" w:rsidP="004E5C57">
            <w:pPr>
              <w:pStyle w:val="TableText0"/>
            </w:pPr>
            <w:r w:rsidRPr="00BB5498">
              <w:t>0.8534</w:t>
            </w:r>
          </w:p>
        </w:tc>
        <w:tc>
          <w:tcPr>
            <w:tcW w:w="1009" w:type="dxa"/>
            <w:noWrap/>
            <w:hideMark/>
          </w:tcPr>
          <w:p w14:paraId="40FE63C8" w14:textId="77777777" w:rsidR="00F36DAE" w:rsidRPr="00BB5498" w:rsidRDefault="00F36DAE" w:rsidP="004E5C57">
            <w:pPr>
              <w:pStyle w:val="TableText0"/>
            </w:pPr>
            <w:r w:rsidRPr="00BB5498">
              <w:t>0.0032</w:t>
            </w:r>
          </w:p>
        </w:tc>
        <w:tc>
          <w:tcPr>
            <w:tcW w:w="1000" w:type="dxa"/>
            <w:noWrap/>
            <w:hideMark/>
          </w:tcPr>
          <w:p w14:paraId="7A46C6CB" w14:textId="77777777" w:rsidR="00F36DAE" w:rsidRPr="00BB5498" w:rsidRDefault="00F36DAE" w:rsidP="004E5C57">
            <w:pPr>
              <w:pStyle w:val="TableText0"/>
            </w:pPr>
            <w:r w:rsidRPr="00BB5498">
              <w:t>0.1331</w:t>
            </w:r>
          </w:p>
        </w:tc>
        <w:tc>
          <w:tcPr>
            <w:tcW w:w="1000" w:type="dxa"/>
            <w:noWrap/>
            <w:hideMark/>
          </w:tcPr>
          <w:p w14:paraId="08456378" w14:textId="77777777" w:rsidR="00F36DAE" w:rsidRPr="00BB5498" w:rsidRDefault="00F36DAE" w:rsidP="004E5C57">
            <w:pPr>
              <w:pStyle w:val="TableText0"/>
            </w:pPr>
            <w:r w:rsidRPr="00BB5498">
              <w:t>0.0066</w:t>
            </w:r>
          </w:p>
        </w:tc>
        <w:tc>
          <w:tcPr>
            <w:tcW w:w="1000" w:type="dxa"/>
            <w:noWrap/>
            <w:hideMark/>
          </w:tcPr>
          <w:p w14:paraId="6905A0AC" w14:textId="77777777" w:rsidR="00F36DAE" w:rsidRPr="00BB5498" w:rsidRDefault="00F36DAE" w:rsidP="004E5C57">
            <w:pPr>
              <w:pStyle w:val="TableText0"/>
            </w:pPr>
            <w:r w:rsidRPr="00BB5498">
              <w:t>0.0005</w:t>
            </w:r>
          </w:p>
        </w:tc>
        <w:tc>
          <w:tcPr>
            <w:tcW w:w="1000" w:type="dxa"/>
            <w:noWrap/>
            <w:hideMark/>
          </w:tcPr>
          <w:p w14:paraId="17F1DB86" w14:textId="77777777" w:rsidR="00F36DAE" w:rsidRPr="00BB5498" w:rsidRDefault="00F36DAE" w:rsidP="004E5C57">
            <w:pPr>
              <w:pStyle w:val="TableText0"/>
            </w:pPr>
            <w:r w:rsidRPr="00BB5498">
              <w:t>0.0000</w:t>
            </w:r>
          </w:p>
        </w:tc>
        <w:tc>
          <w:tcPr>
            <w:tcW w:w="1000" w:type="dxa"/>
            <w:noWrap/>
            <w:hideMark/>
          </w:tcPr>
          <w:p w14:paraId="347F72E1" w14:textId="77777777" w:rsidR="00F36DAE" w:rsidRPr="00BB5498" w:rsidRDefault="00F36DAE" w:rsidP="004E5C57">
            <w:pPr>
              <w:pStyle w:val="TableText0"/>
            </w:pPr>
            <w:r w:rsidRPr="00BB5498">
              <w:t>0.0033</w:t>
            </w:r>
          </w:p>
        </w:tc>
        <w:tc>
          <w:tcPr>
            <w:tcW w:w="1060" w:type="dxa"/>
            <w:noWrap/>
            <w:hideMark/>
          </w:tcPr>
          <w:p w14:paraId="1866FB5B" w14:textId="77777777" w:rsidR="00F36DAE" w:rsidRPr="00BB5498" w:rsidRDefault="00F36DAE" w:rsidP="004E5C57">
            <w:pPr>
              <w:pStyle w:val="TableText0"/>
            </w:pPr>
            <w:r w:rsidRPr="00BB5498">
              <w:t>$1,824</w:t>
            </w:r>
          </w:p>
        </w:tc>
        <w:tc>
          <w:tcPr>
            <w:tcW w:w="1180" w:type="dxa"/>
            <w:noWrap/>
            <w:hideMark/>
          </w:tcPr>
          <w:p w14:paraId="41C58ED3" w14:textId="77777777" w:rsidR="00F36DAE" w:rsidRPr="00BB5498" w:rsidRDefault="00F36DAE" w:rsidP="004E5C57">
            <w:pPr>
              <w:pStyle w:val="TableText0"/>
            </w:pPr>
            <w:r w:rsidRPr="00BB5498">
              <w:t>$25,667</w:t>
            </w:r>
          </w:p>
        </w:tc>
        <w:tc>
          <w:tcPr>
            <w:tcW w:w="960" w:type="dxa"/>
            <w:noWrap/>
            <w:hideMark/>
          </w:tcPr>
          <w:p w14:paraId="53051A67" w14:textId="77777777" w:rsidR="00F36DAE" w:rsidRPr="00BB5498" w:rsidRDefault="00F36DAE" w:rsidP="004E5C57">
            <w:pPr>
              <w:pStyle w:val="TableText0"/>
            </w:pPr>
            <w:r w:rsidRPr="00BB5498">
              <w:t>0.1514</w:t>
            </w:r>
          </w:p>
        </w:tc>
        <w:tc>
          <w:tcPr>
            <w:tcW w:w="1037" w:type="dxa"/>
            <w:noWrap/>
            <w:hideMark/>
          </w:tcPr>
          <w:p w14:paraId="05D2D4E3" w14:textId="77777777" w:rsidR="00F36DAE" w:rsidRPr="00BB5498" w:rsidRDefault="00F36DAE" w:rsidP="004E5C57">
            <w:pPr>
              <w:pStyle w:val="TableText0"/>
            </w:pPr>
            <w:r w:rsidRPr="00BB5498">
              <w:t>2.3062</w:t>
            </w:r>
          </w:p>
        </w:tc>
        <w:tc>
          <w:tcPr>
            <w:tcW w:w="960" w:type="dxa"/>
            <w:noWrap/>
            <w:hideMark/>
          </w:tcPr>
          <w:p w14:paraId="043DB86C" w14:textId="77777777" w:rsidR="00F36DAE" w:rsidRPr="00BB5498" w:rsidRDefault="00F36DAE" w:rsidP="004E5C57">
            <w:pPr>
              <w:pStyle w:val="TableText0"/>
            </w:pPr>
            <w:r w:rsidRPr="00BB5498">
              <w:t>0.1205</w:t>
            </w:r>
          </w:p>
        </w:tc>
        <w:tc>
          <w:tcPr>
            <w:tcW w:w="1037" w:type="dxa"/>
            <w:noWrap/>
            <w:hideMark/>
          </w:tcPr>
          <w:p w14:paraId="4ED8C44D" w14:textId="77777777" w:rsidR="00F36DAE" w:rsidRPr="00BB5498" w:rsidRDefault="00F36DAE" w:rsidP="004E5C57">
            <w:pPr>
              <w:pStyle w:val="TableText0"/>
            </w:pPr>
            <w:r w:rsidRPr="00BB5498">
              <w:t>1.7103</w:t>
            </w:r>
          </w:p>
        </w:tc>
      </w:tr>
      <w:tr w:rsidR="00F36DAE" w:rsidRPr="00BB5498" w14:paraId="3755F855" w14:textId="77777777" w:rsidTr="00BE0118">
        <w:trPr>
          <w:trHeight w:val="255"/>
        </w:trPr>
        <w:tc>
          <w:tcPr>
            <w:tcW w:w="960" w:type="dxa"/>
            <w:noWrap/>
            <w:hideMark/>
          </w:tcPr>
          <w:p w14:paraId="3ED675C7" w14:textId="77777777" w:rsidR="00F36DAE" w:rsidRPr="00BB5498" w:rsidRDefault="00F36DAE" w:rsidP="004E5C57">
            <w:pPr>
              <w:pStyle w:val="TableText0"/>
            </w:pPr>
            <w:r w:rsidRPr="00BB5498">
              <w:t>13</w:t>
            </w:r>
          </w:p>
        </w:tc>
        <w:tc>
          <w:tcPr>
            <w:tcW w:w="1000" w:type="dxa"/>
            <w:noWrap/>
            <w:hideMark/>
          </w:tcPr>
          <w:p w14:paraId="44712B2F" w14:textId="77777777" w:rsidR="00F36DAE" w:rsidRPr="00BB5498" w:rsidRDefault="00F36DAE" w:rsidP="004E5C57">
            <w:pPr>
              <w:pStyle w:val="TableText0"/>
            </w:pPr>
            <w:r w:rsidRPr="00BB5498">
              <w:t>0.8528</w:t>
            </w:r>
          </w:p>
        </w:tc>
        <w:tc>
          <w:tcPr>
            <w:tcW w:w="1009" w:type="dxa"/>
            <w:noWrap/>
            <w:hideMark/>
          </w:tcPr>
          <w:p w14:paraId="44928663" w14:textId="77777777" w:rsidR="00F36DAE" w:rsidRPr="00BB5498" w:rsidRDefault="00F36DAE" w:rsidP="004E5C57">
            <w:pPr>
              <w:pStyle w:val="TableText0"/>
            </w:pPr>
            <w:r w:rsidRPr="00BB5498">
              <w:t>0.0035</w:t>
            </w:r>
          </w:p>
        </w:tc>
        <w:tc>
          <w:tcPr>
            <w:tcW w:w="1000" w:type="dxa"/>
            <w:noWrap/>
            <w:hideMark/>
          </w:tcPr>
          <w:p w14:paraId="443A5569" w14:textId="77777777" w:rsidR="00F36DAE" w:rsidRPr="00BB5498" w:rsidRDefault="00F36DAE" w:rsidP="004E5C57">
            <w:pPr>
              <w:pStyle w:val="TableText0"/>
            </w:pPr>
            <w:r w:rsidRPr="00BB5498">
              <w:t>0.1330</w:t>
            </w:r>
          </w:p>
        </w:tc>
        <w:tc>
          <w:tcPr>
            <w:tcW w:w="1000" w:type="dxa"/>
            <w:noWrap/>
            <w:hideMark/>
          </w:tcPr>
          <w:p w14:paraId="0CEB87FF" w14:textId="77777777" w:rsidR="00F36DAE" w:rsidRPr="00BB5498" w:rsidRDefault="00F36DAE" w:rsidP="004E5C57">
            <w:pPr>
              <w:pStyle w:val="TableText0"/>
            </w:pPr>
            <w:r w:rsidRPr="00BB5498">
              <w:t>0.0066</w:t>
            </w:r>
          </w:p>
        </w:tc>
        <w:tc>
          <w:tcPr>
            <w:tcW w:w="1000" w:type="dxa"/>
            <w:noWrap/>
            <w:hideMark/>
          </w:tcPr>
          <w:p w14:paraId="42CCF5DD" w14:textId="77777777" w:rsidR="00F36DAE" w:rsidRPr="00BB5498" w:rsidRDefault="00F36DAE" w:rsidP="004E5C57">
            <w:pPr>
              <w:pStyle w:val="TableText0"/>
            </w:pPr>
            <w:r w:rsidRPr="00BB5498">
              <w:t>0.0005</w:t>
            </w:r>
          </w:p>
        </w:tc>
        <w:tc>
          <w:tcPr>
            <w:tcW w:w="1000" w:type="dxa"/>
            <w:noWrap/>
            <w:hideMark/>
          </w:tcPr>
          <w:p w14:paraId="4C00E9EA" w14:textId="77777777" w:rsidR="00F36DAE" w:rsidRPr="00BB5498" w:rsidRDefault="00F36DAE" w:rsidP="004E5C57">
            <w:pPr>
              <w:pStyle w:val="TableText0"/>
            </w:pPr>
            <w:r w:rsidRPr="00BB5498">
              <w:t>0.0000</w:t>
            </w:r>
          </w:p>
        </w:tc>
        <w:tc>
          <w:tcPr>
            <w:tcW w:w="1000" w:type="dxa"/>
            <w:noWrap/>
            <w:hideMark/>
          </w:tcPr>
          <w:p w14:paraId="5A1A8C8C" w14:textId="77777777" w:rsidR="00F36DAE" w:rsidRPr="00BB5498" w:rsidRDefault="00F36DAE" w:rsidP="004E5C57">
            <w:pPr>
              <w:pStyle w:val="TableText0"/>
            </w:pPr>
            <w:r w:rsidRPr="00BB5498">
              <w:t>0.0036</w:t>
            </w:r>
          </w:p>
        </w:tc>
        <w:tc>
          <w:tcPr>
            <w:tcW w:w="1060" w:type="dxa"/>
            <w:noWrap/>
            <w:hideMark/>
          </w:tcPr>
          <w:p w14:paraId="478ECF32" w14:textId="77777777" w:rsidR="00F36DAE" w:rsidRPr="00BB5498" w:rsidRDefault="00F36DAE" w:rsidP="004E5C57">
            <w:pPr>
              <w:pStyle w:val="TableText0"/>
            </w:pPr>
            <w:r w:rsidRPr="00BB5498">
              <w:t>$1,801</w:t>
            </w:r>
          </w:p>
        </w:tc>
        <w:tc>
          <w:tcPr>
            <w:tcW w:w="1180" w:type="dxa"/>
            <w:noWrap/>
            <w:hideMark/>
          </w:tcPr>
          <w:p w14:paraId="4CAF8010" w14:textId="77777777" w:rsidR="00F36DAE" w:rsidRPr="00BB5498" w:rsidRDefault="00F36DAE" w:rsidP="004E5C57">
            <w:pPr>
              <w:pStyle w:val="TableText0"/>
            </w:pPr>
            <w:r w:rsidRPr="00BB5498">
              <w:t>$27,468</w:t>
            </w:r>
          </w:p>
        </w:tc>
        <w:tc>
          <w:tcPr>
            <w:tcW w:w="960" w:type="dxa"/>
            <w:noWrap/>
            <w:hideMark/>
          </w:tcPr>
          <w:p w14:paraId="03D0C9EC" w14:textId="77777777" w:rsidR="00F36DAE" w:rsidRPr="00BB5498" w:rsidRDefault="00F36DAE" w:rsidP="004E5C57">
            <w:pPr>
              <w:pStyle w:val="TableText0"/>
            </w:pPr>
            <w:r w:rsidRPr="00BB5498">
              <w:t>0.1495</w:t>
            </w:r>
          </w:p>
        </w:tc>
        <w:tc>
          <w:tcPr>
            <w:tcW w:w="1037" w:type="dxa"/>
            <w:noWrap/>
            <w:hideMark/>
          </w:tcPr>
          <w:p w14:paraId="7BDF099E" w14:textId="77777777" w:rsidR="00F36DAE" w:rsidRPr="00BB5498" w:rsidRDefault="00F36DAE" w:rsidP="004E5C57">
            <w:pPr>
              <w:pStyle w:val="TableText0"/>
            </w:pPr>
            <w:r w:rsidRPr="00BB5498">
              <w:t>2.4557</w:t>
            </w:r>
          </w:p>
        </w:tc>
        <w:tc>
          <w:tcPr>
            <w:tcW w:w="960" w:type="dxa"/>
            <w:noWrap/>
            <w:hideMark/>
          </w:tcPr>
          <w:p w14:paraId="3680FD04" w14:textId="77777777" w:rsidR="00F36DAE" w:rsidRPr="00BB5498" w:rsidRDefault="00F36DAE" w:rsidP="004E5C57">
            <w:pPr>
              <w:pStyle w:val="TableText0"/>
            </w:pPr>
            <w:r w:rsidRPr="00BB5498">
              <w:t>0.1190</w:t>
            </w:r>
          </w:p>
        </w:tc>
        <w:tc>
          <w:tcPr>
            <w:tcW w:w="1037" w:type="dxa"/>
            <w:noWrap/>
            <w:hideMark/>
          </w:tcPr>
          <w:p w14:paraId="0D775DCB" w14:textId="77777777" w:rsidR="00F36DAE" w:rsidRPr="00BB5498" w:rsidRDefault="00F36DAE" w:rsidP="004E5C57">
            <w:pPr>
              <w:pStyle w:val="TableText0"/>
            </w:pPr>
            <w:r w:rsidRPr="00BB5498">
              <w:t>1.8293</w:t>
            </w:r>
          </w:p>
        </w:tc>
      </w:tr>
      <w:tr w:rsidR="00F36DAE" w:rsidRPr="00BB5498" w14:paraId="4A16077B" w14:textId="77777777" w:rsidTr="00BE0118">
        <w:trPr>
          <w:trHeight w:val="255"/>
        </w:trPr>
        <w:tc>
          <w:tcPr>
            <w:tcW w:w="960" w:type="dxa"/>
            <w:noWrap/>
            <w:hideMark/>
          </w:tcPr>
          <w:p w14:paraId="7824A892" w14:textId="77777777" w:rsidR="00F36DAE" w:rsidRPr="00BB5498" w:rsidRDefault="00F36DAE" w:rsidP="004E5C57">
            <w:pPr>
              <w:pStyle w:val="TableText0"/>
            </w:pPr>
            <w:r w:rsidRPr="00BB5498">
              <w:t>14</w:t>
            </w:r>
          </w:p>
        </w:tc>
        <w:tc>
          <w:tcPr>
            <w:tcW w:w="1000" w:type="dxa"/>
            <w:noWrap/>
            <w:hideMark/>
          </w:tcPr>
          <w:p w14:paraId="3163E51F" w14:textId="77777777" w:rsidR="00F36DAE" w:rsidRPr="00BB5498" w:rsidRDefault="00F36DAE" w:rsidP="004E5C57">
            <w:pPr>
              <w:pStyle w:val="TableText0"/>
            </w:pPr>
            <w:r w:rsidRPr="00BB5498">
              <w:t>0.8523</w:t>
            </w:r>
          </w:p>
        </w:tc>
        <w:tc>
          <w:tcPr>
            <w:tcW w:w="1009" w:type="dxa"/>
            <w:noWrap/>
            <w:hideMark/>
          </w:tcPr>
          <w:p w14:paraId="6059A84E" w14:textId="77777777" w:rsidR="00F36DAE" w:rsidRPr="00BB5498" w:rsidRDefault="00F36DAE" w:rsidP="004E5C57">
            <w:pPr>
              <w:pStyle w:val="TableText0"/>
            </w:pPr>
            <w:r w:rsidRPr="00BB5498">
              <w:t>0.0037</w:t>
            </w:r>
          </w:p>
        </w:tc>
        <w:tc>
          <w:tcPr>
            <w:tcW w:w="1000" w:type="dxa"/>
            <w:noWrap/>
            <w:hideMark/>
          </w:tcPr>
          <w:p w14:paraId="6A9AB491" w14:textId="77777777" w:rsidR="00F36DAE" w:rsidRPr="00BB5498" w:rsidRDefault="00F36DAE" w:rsidP="004E5C57">
            <w:pPr>
              <w:pStyle w:val="TableText0"/>
            </w:pPr>
            <w:r w:rsidRPr="00BB5498">
              <w:t>0.1329</w:t>
            </w:r>
          </w:p>
        </w:tc>
        <w:tc>
          <w:tcPr>
            <w:tcW w:w="1000" w:type="dxa"/>
            <w:noWrap/>
            <w:hideMark/>
          </w:tcPr>
          <w:p w14:paraId="4C0DFEA9" w14:textId="77777777" w:rsidR="00F36DAE" w:rsidRPr="00BB5498" w:rsidRDefault="00F36DAE" w:rsidP="004E5C57">
            <w:pPr>
              <w:pStyle w:val="TableText0"/>
            </w:pPr>
            <w:r w:rsidRPr="00BB5498">
              <w:t>0.0065</w:t>
            </w:r>
          </w:p>
        </w:tc>
        <w:tc>
          <w:tcPr>
            <w:tcW w:w="1000" w:type="dxa"/>
            <w:noWrap/>
            <w:hideMark/>
          </w:tcPr>
          <w:p w14:paraId="4FEF6705" w14:textId="77777777" w:rsidR="00F36DAE" w:rsidRPr="00BB5498" w:rsidRDefault="00F36DAE" w:rsidP="004E5C57">
            <w:pPr>
              <w:pStyle w:val="TableText0"/>
            </w:pPr>
            <w:r w:rsidRPr="00BB5498">
              <w:t>0.0005</w:t>
            </w:r>
          </w:p>
        </w:tc>
        <w:tc>
          <w:tcPr>
            <w:tcW w:w="1000" w:type="dxa"/>
            <w:noWrap/>
            <w:hideMark/>
          </w:tcPr>
          <w:p w14:paraId="2E500B8D" w14:textId="77777777" w:rsidR="00F36DAE" w:rsidRPr="00BB5498" w:rsidRDefault="00F36DAE" w:rsidP="004E5C57">
            <w:pPr>
              <w:pStyle w:val="TableText0"/>
            </w:pPr>
            <w:r w:rsidRPr="00BB5498">
              <w:t>0.0000</w:t>
            </w:r>
          </w:p>
        </w:tc>
        <w:tc>
          <w:tcPr>
            <w:tcW w:w="1000" w:type="dxa"/>
            <w:noWrap/>
            <w:hideMark/>
          </w:tcPr>
          <w:p w14:paraId="4FD7E6CE" w14:textId="77777777" w:rsidR="00F36DAE" w:rsidRPr="00BB5498" w:rsidRDefault="00F36DAE" w:rsidP="004E5C57">
            <w:pPr>
              <w:pStyle w:val="TableText0"/>
            </w:pPr>
            <w:r w:rsidRPr="00BB5498">
              <w:t>0.0040</w:t>
            </w:r>
          </w:p>
        </w:tc>
        <w:tc>
          <w:tcPr>
            <w:tcW w:w="1060" w:type="dxa"/>
            <w:noWrap/>
            <w:hideMark/>
          </w:tcPr>
          <w:p w14:paraId="28BE4AB9" w14:textId="77777777" w:rsidR="00F36DAE" w:rsidRPr="00BB5498" w:rsidRDefault="00F36DAE" w:rsidP="004E5C57">
            <w:pPr>
              <w:pStyle w:val="TableText0"/>
            </w:pPr>
            <w:r w:rsidRPr="00BB5498">
              <w:t>$1,779</w:t>
            </w:r>
          </w:p>
        </w:tc>
        <w:tc>
          <w:tcPr>
            <w:tcW w:w="1180" w:type="dxa"/>
            <w:noWrap/>
            <w:hideMark/>
          </w:tcPr>
          <w:p w14:paraId="2745658A" w14:textId="77777777" w:rsidR="00F36DAE" w:rsidRPr="00BB5498" w:rsidRDefault="00F36DAE" w:rsidP="004E5C57">
            <w:pPr>
              <w:pStyle w:val="TableText0"/>
            </w:pPr>
            <w:r w:rsidRPr="00BB5498">
              <w:t>$29,247</w:t>
            </w:r>
          </w:p>
        </w:tc>
        <w:tc>
          <w:tcPr>
            <w:tcW w:w="960" w:type="dxa"/>
            <w:noWrap/>
            <w:hideMark/>
          </w:tcPr>
          <w:p w14:paraId="2C5519CE" w14:textId="77777777" w:rsidR="00F36DAE" w:rsidRPr="00BB5498" w:rsidRDefault="00F36DAE" w:rsidP="004E5C57">
            <w:pPr>
              <w:pStyle w:val="TableText0"/>
            </w:pPr>
            <w:r w:rsidRPr="00BB5498">
              <w:t>0.1476</w:t>
            </w:r>
          </w:p>
        </w:tc>
        <w:tc>
          <w:tcPr>
            <w:tcW w:w="1037" w:type="dxa"/>
            <w:noWrap/>
            <w:hideMark/>
          </w:tcPr>
          <w:p w14:paraId="57CBAFED" w14:textId="77777777" w:rsidR="00F36DAE" w:rsidRPr="00BB5498" w:rsidRDefault="00F36DAE" w:rsidP="004E5C57">
            <w:pPr>
              <w:pStyle w:val="TableText0"/>
            </w:pPr>
            <w:r w:rsidRPr="00BB5498">
              <w:t>2.6033</w:t>
            </w:r>
          </w:p>
        </w:tc>
        <w:tc>
          <w:tcPr>
            <w:tcW w:w="960" w:type="dxa"/>
            <w:noWrap/>
            <w:hideMark/>
          </w:tcPr>
          <w:p w14:paraId="3C290ADD" w14:textId="77777777" w:rsidR="00F36DAE" w:rsidRPr="00BB5498" w:rsidRDefault="00F36DAE" w:rsidP="004E5C57">
            <w:pPr>
              <w:pStyle w:val="TableText0"/>
            </w:pPr>
            <w:r w:rsidRPr="00BB5498">
              <w:t>0.1176</w:t>
            </w:r>
          </w:p>
        </w:tc>
        <w:tc>
          <w:tcPr>
            <w:tcW w:w="1037" w:type="dxa"/>
            <w:noWrap/>
            <w:hideMark/>
          </w:tcPr>
          <w:p w14:paraId="0D928C1E" w14:textId="77777777" w:rsidR="00F36DAE" w:rsidRPr="00BB5498" w:rsidRDefault="00F36DAE" w:rsidP="004E5C57">
            <w:pPr>
              <w:pStyle w:val="TableText0"/>
            </w:pPr>
            <w:r w:rsidRPr="00BB5498">
              <w:t>1.9469</w:t>
            </w:r>
          </w:p>
        </w:tc>
      </w:tr>
    </w:tbl>
    <w:p w14:paraId="445F92B9" w14:textId="0E9ED1CB" w:rsidR="004058BE" w:rsidRDefault="004058BE" w:rsidP="004058BE">
      <w:pPr>
        <w:rPr>
          <w:noProof/>
        </w:rPr>
      </w:pPr>
    </w:p>
    <w:p w14:paraId="218C9328" w14:textId="77777777" w:rsidR="004058BE" w:rsidRDefault="004058BE" w:rsidP="006F2353">
      <w:pPr>
        <w:pStyle w:val="Heading4"/>
        <w:rPr>
          <w:noProof/>
        </w:rPr>
      </w:pPr>
      <w:bookmarkStart w:id="686" w:name="_Toc38031997"/>
      <w:r w:rsidRPr="00E53B39">
        <w:rPr>
          <w:noProof/>
        </w:rPr>
        <w:lastRenderedPageBreak/>
        <w:t>NMOSD-Ab testing not available - Initial treatment MS-DMT</w:t>
      </w:r>
      <w:bookmarkEnd w:id="686"/>
    </w:p>
    <w:p w14:paraId="0CCAC2D7" w14:textId="2C545086" w:rsidR="00FA7BCD" w:rsidRDefault="00FA7BCD" w:rsidP="00FA7BCD">
      <w:pPr>
        <w:pStyle w:val="Caption"/>
      </w:pPr>
      <w:bookmarkStart w:id="687" w:name="_Toc39580893"/>
      <w:r>
        <w:t xml:space="preserve">Table </w:t>
      </w:r>
      <w:fldSimple w:instr=" SEQ Table \* ARABIC ">
        <w:r>
          <w:rPr>
            <w:noProof/>
          </w:rPr>
          <w:t>112</w:t>
        </w:r>
      </w:fldSimple>
      <w:r>
        <w:tab/>
      </w:r>
      <w:r w:rsidRPr="00E53B39">
        <w:rPr>
          <w:noProof/>
        </w:rPr>
        <w:t>NMOSD-Ab testing not available - Initial treatment MS-DMT</w:t>
      </w:r>
      <w:bookmarkEnd w:id="687"/>
    </w:p>
    <w:tbl>
      <w:tblPr>
        <w:tblStyle w:val="TableGrid1"/>
        <w:tblW w:w="14203" w:type="dxa"/>
        <w:tblLook w:val="04A0" w:firstRow="1" w:lastRow="0" w:firstColumn="1" w:lastColumn="0" w:noHBand="0" w:noVBand="1"/>
        <w:tblCaption w:val="Table 112"/>
        <w:tblDescription w:val="NMOSD-Ab testing not available - Initial treatment MS-DMT"/>
      </w:tblPr>
      <w:tblGrid>
        <w:gridCol w:w="982"/>
        <w:gridCol w:w="1000"/>
        <w:gridCol w:w="1009"/>
        <w:gridCol w:w="1000"/>
        <w:gridCol w:w="1000"/>
        <w:gridCol w:w="1000"/>
        <w:gridCol w:w="1000"/>
        <w:gridCol w:w="1000"/>
        <w:gridCol w:w="1060"/>
        <w:gridCol w:w="1180"/>
        <w:gridCol w:w="960"/>
        <w:gridCol w:w="1100"/>
        <w:gridCol w:w="960"/>
        <w:gridCol w:w="1100"/>
      </w:tblGrid>
      <w:tr w:rsidR="00BB5498" w:rsidRPr="00FA7BCD" w14:paraId="53F524B1" w14:textId="77777777" w:rsidTr="00BE0118">
        <w:trPr>
          <w:cnfStyle w:val="100000000000" w:firstRow="1" w:lastRow="0" w:firstColumn="0" w:lastColumn="0" w:oddVBand="0" w:evenVBand="0" w:oddHBand="0" w:evenHBand="0" w:firstRowFirstColumn="0" w:firstRowLastColumn="0" w:lastRowFirstColumn="0" w:lastRowLastColumn="0"/>
          <w:trHeight w:val="255"/>
        </w:trPr>
        <w:tc>
          <w:tcPr>
            <w:tcW w:w="960" w:type="dxa"/>
            <w:noWrap/>
            <w:hideMark/>
          </w:tcPr>
          <w:p w14:paraId="55EB2C3C" w14:textId="77777777" w:rsidR="00BB5498" w:rsidRPr="00FA7BCD" w:rsidRDefault="00BB5498" w:rsidP="00A87AE2">
            <w:pPr>
              <w:pStyle w:val="TableHeading"/>
            </w:pPr>
            <w:r w:rsidRPr="00FA7BCD">
              <w:t>Stage</w:t>
            </w:r>
          </w:p>
          <w:p w14:paraId="7A09E276" w14:textId="3A0CE578" w:rsidR="00BB5498" w:rsidRPr="00FA7BCD" w:rsidRDefault="00BB5498" w:rsidP="004E5C57">
            <w:pPr>
              <w:pStyle w:val="TableText0"/>
              <w:rPr>
                <w:b/>
              </w:rPr>
            </w:pPr>
            <w:r w:rsidRPr="00FA7BCD">
              <w:rPr>
                <w:b/>
              </w:rPr>
              <w:t>(quarters)</w:t>
            </w:r>
          </w:p>
        </w:tc>
        <w:tc>
          <w:tcPr>
            <w:tcW w:w="1000" w:type="dxa"/>
            <w:noWrap/>
            <w:hideMark/>
          </w:tcPr>
          <w:p w14:paraId="7D3980D4" w14:textId="77777777" w:rsidR="00BB5498" w:rsidRPr="00FA7BCD" w:rsidRDefault="00BB5498" w:rsidP="00A87AE2">
            <w:pPr>
              <w:pStyle w:val="TableHeading"/>
            </w:pPr>
            <w:r w:rsidRPr="00FA7BCD">
              <w:t>Disease with no or mild disability</w:t>
            </w:r>
          </w:p>
          <w:p w14:paraId="6841C7B8" w14:textId="2210460B" w:rsidR="00BB5498" w:rsidRPr="00FA7BCD" w:rsidRDefault="00BB5498" w:rsidP="004E5C57">
            <w:pPr>
              <w:pStyle w:val="TableText0"/>
              <w:rPr>
                <w:b/>
              </w:rPr>
            </w:pPr>
            <w:r w:rsidRPr="00FA7BCD">
              <w:rPr>
                <w:b/>
              </w:rPr>
              <w:t>(%)</w:t>
            </w:r>
          </w:p>
        </w:tc>
        <w:tc>
          <w:tcPr>
            <w:tcW w:w="1009" w:type="dxa"/>
            <w:noWrap/>
            <w:hideMark/>
          </w:tcPr>
          <w:p w14:paraId="11898A62" w14:textId="77777777" w:rsidR="00BB5498" w:rsidRPr="00FA7BCD" w:rsidRDefault="00BB5498" w:rsidP="00A87AE2">
            <w:pPr>
              <w:pStyle w:val="TableHeading"/>
            </w:pPr>
            <w:r w:rsidRPr="00FA7BCD">
              <w:t>Disease with moderate-severe disability</w:t>
            </w:r>
          </w:p>
          <w:p w14:paraId="3E97CB9D" w14:textId="648E9BB4" w:rsidR="00BB5498" w:rsidRPr="00FA7BCD" w:rsidRDefault="00BB5498" w:rsidP="004E5C57">
            <w:pPr>
              <w:pStyle w:val="TableText0"/>
              <w:rPr>
                <w:b/>
              </w:rPr>
            </w:pPr>
            <w:r w:rsidRPr="00FA7BCD">
              <w:rPr>
                <w:b/>
              </w:rPr>
              <w:t>(%)</w:t>
            </w:r>
          </w:p>
        </w:tc>
        <w:tc>
          <w:tcPr>
            <w:tcW w:w="1000" w:type="dxa"/>
            <w:noWrap/>
            <w:hideMark/>
          </w:tcPr>
          <w:p w14:paraId="46F7B88F" w14:textId="77777777" w:rsidR="00BB5498" w:rsidRPr="00FA7BCD" w:rsidRDefault="00BB5498" w:rsidP="00A87AE2">
            <w:pPr>
              <w:pStyle w:val="TableHeading"/>
            </w:pPr>
            <w:r w:rsidRPr="00FA7BCD">
              <w:t>Disease with no/mild disability and mild relapse</w:t>
            </w:r>
          </w:p>
          <w:p w14:paraId="606B23D8" w14:textId="2870123A" w:rsidR="00BB5498" w:rsidRPr="00FA7BCD" w:rsidRDefault="00BB5498" w:rsidP="004E5C57">
            <w:pPr>
              <w:pStyle w:val="TableText0"/>
              <w:rPr>
                <w:b/>
              </w:rPr>
            </w:pPr>
            <w:r w:rsidRPr="00FA7BCD">
              <w:rPr>
                <w:b/>
              </w:rPr>
              <w:t>(%)</w:t>
            </w:r>
          </w:p>
        </w:tc>
        <w:tc>
          <w:tcPr>
            <w:tcW w:w="1000" w:type="dxa"/>
            <w:noWrap/>
            <w:hideMark/>
          </w:tcPr>
          <w:p w14:paraId="0F42C645" w14:textId="77777777" w:rsidR="00BB5498" w:rsidRPr="00FA7BCD" w:rsidRDefault="00BB5498" w:rsidP="00A87AE2">
            <w:pPr>
              <w:pStyle w:val="TableHeading"/>
            </w:pPr>
            <w:r w:rsidRPr="00FA7BCD">
              <w:t>Disease with no/mild disability and severe relapse</w:t>
            </w:r>
          </w:p>
          <w:p w14:paraId="094AFF32" w14:textId="0FBCF5D9" w:rsidR="00BB5498" w:rsidRPr="00FA7BCD" w:rsidRDefault="00BB5498" w:rsidP="004E5C57">
            <w:pPr>
              <w:pStyle w:val="TableText0"/>
              <w:rPr>
                <w:b/>
              </w:rPr>
            </w:pPr>
            <w:r w:rsidRPr="00FA7BCD">
              <w:rPr>
                <w:b/>
              </w:rPr>
              <w:t>(%)</w:t>
            </w:r>
          </w:p>
        </w:tc>
        <w:tc>
          <w:tcPr>
            <w:tcW w:w="1000" w:type="dxa"/>
            <w:noWrap/>
            <w:hideMark/>
          </w:tcPr>
          <w:p w14:paraId="59806CF2" w14:textId="77777777" w:rsidR="00BB5498" w:rsidRPr="00FA7BCD" w:rsidRDefault="00BB5498" w:rsidP="00A87AE2">
            <w:pPr>
              <w:pStyle w:val="TableHeading"/>
            </w:pPr>
            <w:r w:rsidRPr="00FA7BCD">
              <w:t>Disease with moderate – severe disability and mild relapse</w:t>
            </w:r>
          </w:p>
          <w:p w14:paraId="1D2CDFF5" w14:textId="2EE06704" w:rsidR="00BB5498" w:rsidRPr="00FA7BCD" w:rsidRDefault="00BB5498" w:rsidP="004E5C57">
            <w:pPr>
              <w:pStyle w:val="TableText0"/>
              <w:rPr>
                <w:b/>
              </w:rPr>
            </w:pPr>
            <w:r w:rsidRPr="00FA7BCD">
              <w:rPr>
                <w:b/>
              </w:rPr>
              <w:t>(%)</w:t>
            </w:r>
          </w:p>
        </w:tc>
        <w:tc>
          <w:tcPr>
            <w:tcW w:w="1000" w:type="dxa"/>
            <w:noWrap/>
            <w:hideMark/>
          </w:tcPr>
          <w:p w14:paraId="5D9875B8" w14:textId="40ECB90F" w:rsidR="00BB5498" w:rsidRPr="00FA7BCD" w:rsidRDefault="00BB5498" w:rsidP="004E5C57">
            <w:pPr>
              <w:pStyle w:val="TableText0"/>
              <w:rPr>
                <w:b/>
              </w:rPr>
            </w:pPr>
            <w:r w:rsidRPr="00FA7BCD">
              <w:rPr>
                <w:b/>
              </w:rPr>
              <w:t>Disease with moderate – severe disability and severe relapse (%)</w:t>
            </w:r>
          </w:p>
        </w:tc>
        <w:tc>
          <w:tcPr>
            <w:tcW w:w="1000" w:type="dxa"/>
            <w:noWrap/>
            <w:hideMark/>
          </w:tcPr>
          <w:p w14:paraId="6F74E451" w14:textId="77777777" w:rsidR="00BB5498" w:rsidRPr="00FA7BCD" w:rsidRDefault="00BB5498" w:rsidP="00A87AE2">
            <w:pPr>
              <w:pStyle w:val="TableHeading"/>
            </w:pPr>
            <w:r w:rsidRPr="00FA7BCD">
              <w:t>Death</w:t>
            </w:r>
          </w:p>
          <w:p w14:paraId="3CE90B21" w14:textId="7267DEE6" w:rsidR="00BB5498" w:rsidRPr="00FA7BCD" w:rsidRDefault="00BB5498" w:rsidP="004E5C57">
            <w:pPr>
              <w:pStyle w:val="TableText0"/>
              <w:rPr>
                <w:b/>
              </w:rPr>
            </w:pPr>
            <w:r w:rsidRPr="00FA7BCD">
              <w:rPr>
                <w:b/>
              </w:rPr>
              <w:t>(%)</w:t>
            </w:r>
          </w:p>
        </w:tc>
        <w:tc>
          <w:tcPr>
            <w:tcW w:w="1060" w:type="dxa"/>
            <w:noWrap/>
            <w:hideMark/>
          </w:tcPr>
          <w:p w14:paraId="535CD16C" w14:textId="2AA53750" w:rsidR="00BB5498" w:rsidRPr="00FA7BCD" w:rsidRDefault="00BB5498" w:rsidP="004E5C57">
            <w:pPr>
              <w:pStyle w:val="TableText0"/>
              <w:rPr>
                <w:b/>
              </w:rPr>
            </w:pPr>
            <w:r w:rsidRPr="00FA7BCD">
              <w:rPr>
                <w:b/>
              </w:rPr>
              <w:t>Cost</w:t>
            </w:r>
          </w:p>
        </w:tc>
        <w:tc>
          <w:tcPr>
            <w:tcW w:w="1180" w:type="dxa"/>
            <w:noWrap/>
            <w:hideMark/>
          </w:tcPr>
          <w:p w14:paraId="2ADAED4F" w14:textId="1EB45A77" w:rsidR="00BB5498" w:rsidRPr="00FA7BCD" w:rsidRDefault="00BB5498" w:rsidP="004E5C57">
            <w:pPr>
              <w:pStyle w:val="TableText0"/>
              <w:rPr>
                <w:b/>
              </w:rPr>
            </w:pPr>
            <w:r w:rsidRPr="00FA7BCD">
              <w:rPr>
                <w:b/>
              </w:rPr>
              <w:t>Cumulative Cost</w:t>
            </w:r>
          </w:p>
        </w:tc>
        <w:tc>
          <w:tcPr>
            <w:tcW w:w="960" w:type="dxa"/>
            <w:noWrap/>
            <w:hideMark/>
          </w:tcPr>
          <w:p w14:paraId="2BCEB7B5" w14:textId="6A196E45" w:rsidR="00BB5498" w:rsidRPr="00FA7BCD" w:rsidRDefault="00BB5498" w:rsidP="004E5C57">
            <w:pPr>
              <w:pStyle w:val="TableText0"/>
              <w:rPr>
                <w:b/>
              </w:rPr>
            </w:pPr>
            <w:r w:rsidRPr="00FA7BCD">
              <w:rPr>
                <w:b/>
              </w:rPr>
              <w:t>QALY</w:t>
            </w:r>
          </w:p>
        </w:tc>
        <w:tc>
          <w:tcPr>
            <w:tcW w:w="1037" w:type="dxa"/>
            <w:noWrap/>
            <w:hideMark/>
          </w:tcPr>
          <w:p w14:paraId="346A6396" w14:textId="0EBA8C7A" w:rsidR="00BB5498" w:rsidRPr="00FA7BCD" w:rsidRDefault="00BB5498" w:rsidP="004E5C57">
            <w:pPr>
              <w:pStyle w:val="TableText0"/>
              <w:rPr>
                <w:b/>
              </w:rPr>
            </w:pPr>
            <w:r w:rsidRPr="00FA7BCD">
              <w:rPr>
                <w:b/>
              </w:rPr>
              <w:t>Cumulative QALY</w:t>
            </w:r>
          </w:p>
        </w:tc>
        <w:tc>
          <w:tcPr>
            <w:tcW w:w="960" w:type="dxa"/>
            <w:noWrap/>
            <w:hideMark/>
          </w:tcPr>
          <w:p w14:paraId="707B3A3F" w14:textId="4BF884FD" w:rsidR="00BB5498" w:rsidRPr="00FA7BCD" w:rsidRDefault="00BB5498" w:rsidP="004E5C57">
            <w:pPr>
              <w:pStyle w:val="TableText0"/>
              <w:rPr>
                <w:b/>
              </w:rPr>
            </w:pPr>
            <w:r w:rsidRPr="00FA7BCD">
              <w:rPr>
                <w:b/>
              </w:rPr>
              <w:t>Relapse</w:t>
            </w:r>
          </w:p>
        </w:tc>
        <w:tc>
          <w:tcPr>
            <w:tcW w:w="1037" w:type="dxa"/>
            <w:noWrap/>
            <w:hideMark/>
          </w:tcPr>
          <w:p w14:paraId="42766B0A" w14:textId="21F4C8DB" w:rsidR="00BB5498" w:rsidRPr="00FA7BCD" w:rsidRDefault="00BB5498" w:rsidP="004E5C57">
            <w:pPr>
              <w:pStyle w:val="TableText0"/>
              <w:rPr>
                <w:b/>
              </w:rPr>
            </w:pPr>
            <w:r w:rsidRPr="00FA7BCD">
              <w:rPr>
                <w:b/>
              </w:rPr>
              <w:t>Cumulative Relapse</w:t>
            </w:r>
          </w:p>
        </w:tc>
      </w:tr>
      <w:tr w:rsidR="00F36DAE" w:rsidRPr="00F36DAE" w14:paraId="7CEBAF07" w14:textId="77777777" w:rsidTr="00BE0118">
        <w:trPr>
          <w:trHeight w:val="255"/>
        </w:trPr>
        <w:tc>
          <w:tcPr>
            <w:tcW w:w="960" w:type="dxa"/>
            <w:noWrap/>
            <w:hideMark/>
          </w:tcPr>
          <w:p w14:paraId="7E8D6DC4" w14:textId="77777777" w:rsidR="00F36DAE" w:rsidRPr="00F36DAE" w:rsidRDefault="00F36DAE" w:rsidP="004E5C57">
            <w:pPr>
              <w:pStyle w:val="TableText0"/>
            </w:pPr>
            <w:r w:rsidRPr="00F36DAE">
              <w:t>0</w:t>
            </w:r>
          </w:p>
        </w:tc>
        <w:tc>
          <w:tcPr>
            <w:tcW w:w="1000" w:type="dxa"/>
            <w:noWrap/>
            <w:hideMark/>
          </w:tcPr>
          <w:p w14:paraId="12B905BF" w14:textId="77777777" w:rsidR="00F36DAE" w:rsidRPr="00F36DAE" w:rsidRDefault="00F36DAE" w:rsidP="004E5C57">
            <w:pPr>
              <w:pStyle w:val="TableText0"/>
            </w:pPr>
            <w:r w:rsidRPr="00F36DAE">
              <w:t>1</w:t>
            </w:r>
          </w:p>
        </w:tc>
        <w:tc>
          <w:tcPr>
            <w:tcW w:w="1009" w:type="dxa"/>
            <w:noWrap/>
            <w:hideMark/>
          </w:tcPr>
          <w:p w14:paraId="5F1E2882" w14:textId="77777777" w:rsidR="00F36DAE" w:rsidRPr="00F36DAE" w:rsidRDefault="00F36DAE" w:rsidP="004E5C57">
            <w:pPr>
              <w:pStyle w:val="TableText0"/>
            </w:pPr>
            <w:r w:rsidRPr="00F36DAE">
              <w:t>0</w:t>
            </w:r>
          </w:p>
        </w:tc>
        <w:tc>
          <w:tcPr>
            <w:tcW w:w="1000" w:type="dxa"/>
            <w:noWrap/>
            <w:hideMark/>
          </w:tcPr>
          <w:p w14:paraId="2304DEF1" w14:textId="77777777" w:rsidR="00F36DAE" w:rsidRPr="00F36DAE" w:rsidRDefault="00F36DAE" w:rsidP="004E5C57">
            <w:pPr>
              <w:pStyle w:val="TableText0"/>
            </w:pPr>
            <w:r w:rsidRPr="00F36DAE">
              <w:t>0</w:t>
            </w:r>
          </w:p>
        </w:tc>
        <w:tc>
          <w:tcPr>
            <w:tcW w:w="1000" w:type="dxa"/>
            <w:noWrap/>
            <w:hideMark/>
          </w:tcPr>
          <w:p w14:paraId="0CE9839E" w14:textId="77777777" w:rsidR="00F36DAE" w:rsidRPr="00F36DAE" w:rsidRDefault="00F36DAE" w:rsidP="004E5C57">
            <w:pPr>
              <w:pStyle w:val="TableText0"/>
            </w:pPr>
            <w:r w:rsidRPr="00F36DAE">
              <w:t>0</w:t>
            </w:r>
          </w:p>
        </w:tc>
        <w:tc>
          <w:tcPr>
            <w:tcW w:w="1000" w:type="dxa"/>
            <w:noWrap/>
            <w:hideMark/>
          </w:tcPr>
          <w:p w14:paraId="756B037C" w14:textId="77777777" w:rsidR="00F36DAE" w:rsidRPr="00F36DAE" w:rsidRDefault="00F36DAE" w:rsidP="004E5C57">
            <w:pPr>
              <w:pStyle w:val="TableText0"/>
            </w:pPr>
            <w:r w:rsidRPr="00F36DAE">
              <w:t>0</w:t>
            </w:r>
          </w:p>
        </w:tc>
        <w:tc>
          <w:tcPr>
            <w:tcW w:w="1000" w:type="dxa"/>
            <w:noWrap/>
            <w:hideMark/>
          </w:tcPr>
          <w:p w14:paraId="2571AA01" w14:textId="77777777" w:rsidR="00F36DAE" w:rsidRPr="00F36DAE" w:rsidRDefault="00F36DAE" w:rsidP="004E5C57">
            <w:pPr>
              <w:pStyle w:val="TableText0"/>
            </w:pPr>
            <w:r w:rsidRPr="00F36DAE">
              <w:t>0</w:t>
            </w:r>
          </w:p>
        </w:tc>
        <w:tc>
          <w:tcPr>
            <w:tcW w:w="1000" w:type="dxa"/>
            <w:noWrap/>
            <w:hideMark/>
          </w:tcPr>
          <w:p w14:paraId="1493A8E1" w14:textId="77777777" w:rsidR="00F36DAE" w:rsidRPr="00F36DAE" w:rsidRDefault="00F36DAE" w:rsidP="004E5C57">
            <w:pPr>
              <w:pStyle w:val="TableText0"/>
            </w:pPr>
            <w:r w:rsidRPr="00F36DAE">
              <w:t>0</w:t>
            </w:r>
          </w:p>
        </w:tc>
        <w:tc>
          <w:tcPr>
            <w:tcW w:w="1060" w:type="dxa"/>
            <w:noWrap/>
            <w:hideMark/>
          </w:tcPr>
          <w:p w14:paraId="7FC28245" w14:textId="77777777" w:rsidR="00F36DAE" w:rsidRPr="00F36DAE" w:rsidRDefault="00F36DAE" w:rsidP="004E5C57">
            <w:pPr>
              <w:pStyle w:val="TableText0"/>
            </w:pPr>
            <w:r w:rsidRPr="00F36DAE">
              <w:t>$5,096</w:t>
            </w:r>
          </w:p>
        </w:tc>
        <w:tc>
          <w:tcPr>
            <w:tcW w:w="1180" w:type="dxa"/>
            <w:noWrap/>
            <w:hideMark/>
          </w:tcPr>
          <w:p w14:paraId="640C9CA8" w14:textId="77777777" w:rsidR="00F36DAE" w:rsidRPr="00F36DAE" w:rsidRDefault="00F36DAE" w:rsidP="004E5C57">
            <w:pPr>
              <w:pStyle w:val="TableText0"/>
            </w:pPr>
            <w:r w:rsidRPr="00F36DAE">
              <w:t>$5,096</w:t>
            </w:r>
          </w:p>
        </w:tc>
        <w:tc>
          <w:tcPr>
            <w:tcW w:w="960" w:type="dxa"/>
            <w:noWrap/>
            <w:hideMark/>
          </w:tcPr>
          <w:p w14:paraId="52E2C228" w14:textId="77777777" w:rsidR="00F36DAE" w:rsidRPr="00F36DAE" w:rsidRDefault="00F36DAE" w:rsidP="004E5C57">
            <w:pPr>
              <w:pStyle w:val="TableText0"/>
            </w:pPr>
            <w:r w:rsidRPr="00F36DAE">
              <w:t>0.3538</w:t>
            </w:r>
          </w:p>
        </w:tc>
        <w:tc>
          <w:tcPr>
            <w:tcW w:w="1037" w:type="dxa"/>
            <w:noWrap/>
            <w:hideMark/>
          </w:tcPr>
          <w:p w14:paraId="603F4C4D" w14:textId="77777777" w:rsidR="00F36DAE" w:rsidRPr="00F36DAE" w:rsidRDefault="00F36DAE" w:rsidP="004E5C57">
            <w:pPr>
              <w:pStyle w:val="TableText0"/>
            </w:pPr>
            <w:r w:rsidRPr="00F36DAE">
              <w:t>0.3538</w:t>
            </w:r>
          </w:p>
        </w:tc>
        <w:tc>
          <w:tcPr>
            <w:tcW w:w="960" w:type="dxa"/>
            <w:noWrap/>
            <w:hideMark/>
          </w:tcPr>
          <w:p w14:paraId="775F02A8" w14:textId="77777777" w:rsidR="00F36DAE" w:rsidRPr="00F36DAE" w:rsidRDefault="00F36DAE" w:rsidP="004E5C57">
            <w:pPr>
              <w:pStyle w:val="TableText0"/>
            </w:pPr>
            <w:r w:rsidRPr="00F36DAE">
              <w:t>0.3365</w:t>
            </w:r>
          </w:p>
        </w:tc>
        <w:tc>
          <w:tcPr>
            <w:tcW w:w="1037" w:type="dxa"/>
            <w:noWrap/>
            <w:hideMark/>
          </w:tcPr>
          <w:p w14:paraId="12F5DB53" w14:textId="77777777" w:rsidR="00F36DAE" w:rsidRPr="00F36DAE" w:rsidRDefault="00F36DAE" w:rsidP="004E5C57">
            <w:pPr>
              <w:pStyle w:val="TableText0"/>
            </w:pPr>
            <w:r w:rsidRPr="00F36DAE">
              <w:t>0.3365</w:t>
            </w:r>
          </w:p>
        </w:tc>
      </w:tr>
      <w:tr w:rsidR="00F36DAE" w:rsidRPr="00F36DAE" w14:paraId="05A1FFC6" w14:textId="77777777" w:rsidTr="00BE0118">
        <w:trPr>
          <w:trHeight w:val="255"/>
        </w:trPr>
        <w:tc>
          <w:tcPr>
            <w:tcW w:w="960" w:type="dxa"/>
            <w:noWrap/>
            <w:hideMark/>
          </w:tcPr>
          <w:p w14:paraId="78A6A25D" w14:textId="77777777" w:rsidR="00F36DAE" w:rsidRPr="00F36DAE" w:rsidRDefault="00F36DAE" w:rsidP="004E5C57">
            <w:pPr>
              <w:pStyle w:val="TableText0"/>
            </w:pPr>
            <w:r w:rsidRPr="00F36DAE">
              <w:t>1</w:t>
            </w:r>
          </w:p>
        </w:tc>
        <w:tc>
          <w:tcPr>
            <w:tcW w:w="1000" w:type="dxa"/>
            <w:noWrap/>
            <w:hideMark/>
          </w:tcPr>
          <w:p w14:paraId="2BAFCFAF" w14:textId="77777777" w:rsidR="00F36DAE" w:rsidRPr="00F36DAE" w:rsidRDefault="00F36DAE" w:rsidP="004E5C57">
            <w:pPr>
              <w:pStyle w:val="TableText0"/>
            </w:pPr>
            <w:r w:rsidRPr="00F36DAE">
              <w:t>0.6613</w:t>
            </w:r>
          </w:p>
        </w:tc>
        <w:tc>
          <w:tcPr>
            <w:tcW w:w="1009" w:type="dxa"/>
            <w:noWrap/>
            <w:hideMark/>
          </w:tcPr>
          <w:p w14:paraId="12BF36D5" w14:textId="77777777" w:rsidR="00F36DAE" w:rsidRPr="00F36DAE" w:rsidRDefault="00F36DAE" w:rsidP="004E5C57">
            <w:pPr>
              <w:pStyle w:val="TableText0"/>
            </w:pPr>
            <w:r w:rsidRPr="00F36DAE">
              <w:t>0.0000</w:t>
            </w:r>
          </w:p>
        </w:tc>
        <w:tc>
          <w:tcPr>
            <w:tcW w:w="1000" w:type="dxa"/>
            <w:noWrap/>
            <w:hideMark/>
          </w:tcPr>
          <w:p w14:paraId="4CA73D14" w14:textId="77777777" w:rsidR="00F36DAE" w:rsidRPr="00F36DAE" w:rsidRDefault="00F36DAE" w:rsidP="004E5C57">
            <w:pPr>
              <w:pStyle w:val="TableText0"/>
            </w:pPr>
            <w:r w:rsidRPr="00F36DAE">
              <w:t>0.2571</w:t>
            </w:r>
          </w:p>
        </w:tc>
        <w:tc>
          <w:tcPr>
            <w:tcW w:w="1000" w:type="dxa"/>
            <w:noWrap/>
            <w:hideMark/>
          </w:tcPr>
          <w:p w14:paraId="46DF0ED8" w14:textId="77777777" w:rsidR="00F36DAE" w:rsidRPr="00F36DAE" w:rsidRDefault="00F36DAE" w:rsidP="004E5C57">
            <w:pPr>
              <w:pStyle w:val="TableText0"/>
            </w:pPr>
            <w:r w:rsidRPr="00F36DAE">
              <w:t>0.0814</w:t>
            </w:r>
          </w:p>
        </w:tc>
        <w:tc>
          <w:tcPr>
            <w:tcW w:w="1000" w:type="dxa"/>
            <w:noWrap/>
            <w:hideMark/>
          </w:tcPr>
          <w:p w14:paraId="7649417E" w14:textId="77777777" w:rsidR="00F36DAE" w:rsidRPr="00F36DAE" w:rsidRDefault="00F36DAE" w:rsidP="004E5C57">
            <w:pPr>
              <w:pStyle w:val="TableText0"/>
            </w:pPr>
            <w:r w:rsidRPr="00F36DAE">
              <w:t>0.0000</w:t>
            </w:r>
          </w:p>
        </w:tc>
        <w:tc>
          <w:tcPr>
            <w:tcW w:w="1000" w:type="dxa"/>
            <w:noWrap/>
            <w:hideMark/>
          </w:tcPr>
          <w:p w14:paraId="7362747C" w14:textId="77777777" w:rsidR="00F36DAE" w:rsidRPr="00F36DAE" w:rsidRDefault="00F36DAE" w:rsidP="004E5C57">
            <w:pPr>
              <w:pStyle w:val="TableText0"/>
            </w:pPr>
            <w:r w:rsidRPr="00F36DAE">
              <w:t>0.0000</w:t>
            </w:r>
          </w:p>
        </w:tc>
        <w:tc>
          <w:tcPr>
            <w:tcW w:w="1000" w:type="dxa"/>
            <w:noWrap/>
            <w:hideMark/>
          </w:tcPr>
          <w:p w14:paraId="231BA0AD" w14:textId="77777777" w:rsidR="00F36DAE" w:rsidRPr="00F36DAE" w:rsidRDefault="00F36DAE" w:rsidP="004E5C57">
            <w:pPr>
              <w:pStyle w:val="TableText0"/>
            </w:pPr>
            <w:r w:rsidRPr="00F36DAE">
              <w:t>0.0002</w:t>
            </w:r>
          </w:p>
        </w:tc>
        <w:tc>
          <w:tcPr>
            <w:tcW w:w="1060" w:type="dxa"/>
            <w:noWrap/>
            <w:hideMark/>
          </w:tcPr>
          <w:p w14:paraId="75EFC86A" w14:textId="77777777" w:rsidR="00F36DAE" w:rsidRPr="00F36DAE" w:rsidRDefault="00F36DAE" w:rsidP="004E5C57">
            <w:pPr>
              <w:pStyle w:val="TableText0"/>
            </w:pPr>
            <w:r w:rsidRPr="00F36DAE">
              <w:t>$4,347</w:t>
            </w:r>
          </w:p>
        </w:tc>
        <w:tc>
          <w:tcPr>
            <w:tcW w:w="1180" w:type="dxa"/>
            <w:noWrap/>
            <w:hideMark/>
          </w:tcPr>
          <w:p w14:paraId="0AE873DC" w14:textId="77777777" w:rsidR="00F36DAE" w:rsidRPr="00F36DAE" w:rsidRDefault="00F36DAE" w:rsidP="004E5C57">
            <w:pPr>
              <w:pStyle w:val="TableText0"/>
            </w:pPr>
            <w:r w:rsidRPr="00F36DAE">
              <w:t>$9,442</w:t>
            </w:r>
          </w:p>
        </w:tc>
        <w:tc>
          <w:tcPr>
            <w:tcW w:w="960" w:type="dxa"/>
            <w:noWrap/>
            <w:hideMark/>
          </w:tcPr>
          <w:p w14:paraId="12B18163" w14:textId="77777777" w:rsidR="00F36DAE" w:rsidRPr="00F36DAE" w:rsidRDefault="00F36DAE" w:rsidP="004E5C57">
            <w:pPr>
              <w:pStyle w:val="TableText0"/>
            </w:pPr>
            <w:r w:rsidRPr="00F36DAE">
              <w:t>0.1680</w:t>
            </w:r>
          </w:p>
        </w:tc>
        <w:tc>
          <w:tcPr>
            <w:tcW w:w="1037" w:type="dxa"/>
            <w:noWrap/>
            <w:hideMark/>
          </w:tcPr>
          <w:p w14:paraId="3EBD6ADD" w14:textId="77777777" w:rsidR="00F36DAE" w:rsidRPr="00F36DAE" w:rsidRDefault="00F36DAE" w:rsidP="004E5C57">
            <w:pPr>
              <w:pStyle w:val="TableText0"/>
            </w:pPr>
            <w:r w:rsidRPr="00F36DAE">
              <w:t>0.5217</w:t>
            </w:r>
          </w:p>
        </w:tc>
        <w:tc>
          <w:tcPr>
            <w:tcW w:w="960" w:type="dxa"/>
            <w:noWrap/>
            <w:hideMark/>
          </w:tcPr>
          <w:p w14:paraId="03B96719" w14:textId="77777777" w:rsidR="00F36DAE" w:rsidRPr="00F36DAE" w:rsidRDefault="00F36DAE" w:rsidP="004E5C57">
            <w:pPr>
              <w:pStyle w:val="TableText0"/>
            </w:pPr>
            <w:r w:rsidRPr="00F36DAE">
              <w:t>0.2239</w:t>
            </w:r>
          </w:p>
        </w:tc>
        <w:tc>
          <w:tcPr>
            <w:tcW w:w="1037" w:type="dxa"/>
            <w:noWrap/>
            <w:hideMark/>
          </w:tcPr>
          <w:p w14:paraId="7AB4D024" w14:textId="77777777" w:rsidR="00F36DAE" w:rsidRPr="00F36DAE" w:rsidRDefault="00F36DAE" w:rsidP="004E5C57">
            <w:pPr>
              <w:pStyle w:val="TableText0"/>
            </w:pPr>
            <w:r w:rsidRPr="00F36DAE">
              <w:t>0.5604</w:t>
            </w:r>
          </w:p>
        </w:tc>
      </w:tr>
      <w:tr w:rsidR="00F36DAE" w:rsidRPr="00F36DAE" w14:paraId="533D35B3" w14:textId="77777777" w:rsidTr="00BE0118">
        <w:trPr>
          <w:trHeight w:val="255"/>
        </w:trPr>
        <w:tc>
          <w:tcPr>
            <w:tcW w:w="960" w:type="dxa"/>
            <w:noWrap/>
            <w:hideMark/>
          </w:tcPr>
          <w:p w14:paraId="32DE0ACC" w14:textId="77777777" w:rsidR="00F36DAE" w:rsidRPr="00F36DAE" w:rsidRDefault="00F36DAE" w:rsidP="004E5C57">
            <w:pPr>
              <w:pStyle w:val="TableText0"/>
            </w:pPr>
            <w:r w:rsidRPr="00F36DAE">
              <w:t>2</w:t>
            </w:r>
          </w:p>
        </w:tc>
        <w:tc>
          <w:tcPr>
            <w:tcW w:w="1000" w:type="dxa"/>
            <w:noWrap/>
            <w:hideMark/>
          </w:tcPr>
          <w:p w14:paraId="0B5112F9" w14:textId="77777777" w:rsidR="00F36DAE" w:rsidRPr="00F36DAE" w:rsidRDefault="00F36DAE" w:rsidP="004E5C57">
            <w:pPr>
              <w:pStyle w:val="TableText0"/>
            </w:pPr>
            <w:r w:rsidRPr="00F36DAE">
              <w:t>0.7703</w:t>
            </w:r>
          </w:p>
        </w:tc>
        <w:tc>
          <w:tcPr>
            <w:tcW w:w="1009" w:type="dxa"/>
            <w:noWrap/>
            <w:hideMark/>
          </w:tcPr>
          <w:p w14:paraId="40518C49" w14:textId="77777777" w:rsidR="00F36DAE" w:rsidRPr="00F36DAE" w:rsidRDefault="00F36DAE" w:rsidP="004E5C57">
            <w:pPr>
              <w:pStyle w:val="TableText0"/>
            </w:pPr>
            <w:r w:rsidRPr="00F36DAE">
              <w:t>0.0042</w:t>
            </w:r>
          </w:p>
        </w:tc>
        <w:tc>
          <w:tcPr>
            <w:tcW w:w="1000" w:type="dxa"/>
            <w:noWrap/>
            <w:hideMark/>
          </w:tcPr>
          <w:p w14:paraId="137F9E58" w14:textId="77777777" w:rsidR="00F36DAE" w:rsidRPr="00F36DAE" w:rsidRDefault="00F36DAE" w:rsidP="004E5C57">
            <w:pPr>
              <w:pStyle w:val="TableText0"/>
            </w:pPr>
            <w:r w:rsidRPr="00F36DAE">
              <w:t>0.1700</w:t>
            </w:r>
          </w:p>
        </w:tc>
        <w:tc>
          <w:tcPr>
            <w:tcW w:w="1000" w:type="dxa"/>
            <w:noWrap/>
            <w:hideMark/>
          </w:tcPr>
          <w:p w14:paraId="21EA56EF" w14:textId="77777777" w:rsidR="00F36DAE" w:rsidRPr="00F36DAE" w:rsidRDefault="00F36DAE" w:rsidP="004E5C57">
            <w:pPr>
              <w:pStyle w:val="TableText0"/>
            </w:pPr>
            <w:r w:rsidRPr="00F36DAE">
              <w:t>0.0538</w:t>
            </w:r>
          </w:p>
        </w:tc>
        <w:tc>
          <w:tcPr>
            <w:tcW w:w="1000" w:type="dxa"/>
            <w:noWrap/>
            <w:hideMark/>
          </w:tcPr>
          <w:p w14:paraId="3615D4CF" w14:textId="77777777" w:rsidR="00F36DAE" w:rsidRPr="00F36DAE" w:rsidRDefault="00F36DAE" w:rsidP="004E5C57">
            <w:pPr>
              <w:pStyle w:val="TableText0"/>
            </w:pPr>
            <w:r w:rsidRPr="00F36DAE">
              <w:t>0.0000</w:t>
            </w:r>
          </w:p>
        </w:tc>
        <w:tc>
          <w:tcPr>
            <w:tcW w:w="1000" w:type="dxa"/>
            <w:noWrap/>
            <w:hideMark/>
          </w:tcPr>
          <w:p w14:paraId="7E91D5B3" w14:textId="77777777" w:rsidR="00F36DAE" w:rsidRPr="00F36DAE" w:rsidRDefault="00F36DAE" w:rsidP="004E5C57">
            <w:pPr>
              <w:pStyle w:val="TableText0"/>
            </w:pPr>
            <w:r w:rsidRPr="00F36DAE">
              <w:t>0.0000</w:t>
            </w:r>
          </w:p>
        </w:tc>
        <w:tc>
          <w:tcPr>
            <w:tcW w:w="1000" w:type="dxa"/>
            <w:noWrap/>
            <w:hideMark/>
          </w:tcPr>
          <w:p w14:paraId="3BC01F53" w14:textId="77777777" w:rsidR="00F36DAE" w:rsidRPr="00F36DAE" w:rsidRDefault="00F36DAE" w:rsidP="004E5C57">
            <w:pPr>
              <w:pStyle w:val="TableText0"/>
            </w:pPr>
            <w:r w:rsidRPr="00F36DAE">
              <w:t>0.0017</w:t>
            </w:r>
          </w:p>
        </w:tc>
        <w:tc>
          <w:tcPr>
            <w:tcW w:w="1060" w:type="dxa"/>
            <w:noWrap/>
            <w:hideMark/>
          </w:tcPr>
          <w:p w14:paraId="547E9130" w14:textId="77777777" w:rsidR="00F36DAE" w:rsidRPr="00F36DAE" w:rsidRDefault="00F36DAE" w:rsidP="004E5C57">
            <w:pPr>
              <w:pStyle w:val="TableText0"/>
            </w:pPr>
            <w:r w:rsidRPr="00F36DAE">
              <w:t>$4,520</w:t>
            </w:r>
          </w:p>
        </w:tc>
        <w:tc>
          <w:tcPr>
            <w:tcW w:w="1180" w:type="dxa"/>
            <w:noWrap/>
            <w:hideMark/>
          </w:tcPr>
          <w:p w14:paraId="1694B6B5" w14:textId="77777777" w:rsidR="00F36DAE" w:rsidRPr="00F36DAE" w:rsidRDefault="00F36DAE" w:rsidP="004E5C57">
            <w:pPr>
              <w:pStyle w:val="TableText0"/>
            </w:pPr>
            <w:r w:rsidRPr="00F36DAE">
              <w:t>$13,962</w:t>
            </w:r>
          </w:p>
        </w:tc>
        <w:tc>
          <w:tcPr>
            <w:tcW w:w="960" w:type="dxa"/>
            <w:noWrap/>
            <w:hideMark/>
          </w:tcPr>
          <w:p w14:paraId="6231F02E" w14:textId="77777777" w:rsidR="00F36DAE" w:rsidRPr="00F36DAE" w:rsidRDefault="00F36DAE" w:rsidP="004E5C57">
            <w:pPr>
              <w:pStyle w:val="TableText0"/>
            </w:pPr>
            <w:r w:rsidRPr="00F36DAE">
              <w:t>0.1666</w:t>
            </w:r>
          </w:p>
        </w:tc>
        <w:tc>
          <w:tcPr>
            <w:tcW w:w="1037" w:type="dxa"/>
            <w:noWrap/>
            <w:hideMark/>
          </w:tcPr>
          <w:p w14:paraId="30D7F7EB" w14:textId="77777777" w:rsidR="00F36DAE" w:rsidRPr="00F36DAE" w:rsidRDefault="00F36DAE" w:rsidP="004E5C57">
            <w:pPr>
              <w:pStyle w:val="TableText0"/>
            </w:pPr>
            <w:r w:rsidRPr="00F36DAE">
              <w:t>0.6884</w:t>
            </w:r>
          </w:p>
        </w:tc>
        <w:tc>
          <w:tcPr>
            <w:tcW w:w="960" w:type="dxa"/>
            <w:noWrap/>
            <w:hideMark/>
          </w:tcPr>
          <w:p w14:paraId="684EB8BA" w14:textId="77777777" w:rsidR="00F36DAE" w:rsidRPr="00F36DAE" w:rsidRDefault="00F36DAE" w:rsidP="004E5C57">
            <w:pPr>
              <w:pStyle w:val="TableText0"/>
            </w:pPr>
            <w:r w:rsidRPr="00F36DAE">
              <w:t>0.2570</w:t>
            </w:r>
          </w:p>
        </w:tc>
        <w:tc>
          <w:tcPr>
            <w:tcW w:w="1037" w:type="dxa"/>
            <w:noWrap/>
            <w:hideMark/>
          </w:tcPr>
          <w:p w14:paraId="2F11A6EA" w14:textId="77777777" w:rsidR="00F36DAE" w:rsidRPr="00F36DAE" w:rsidRDefault="00F36DAE" w:rsidP="004E5C57">
            <w:pPr>
              <w:pStyle w:val="TableText0"/>
            </w:pPr>
            <w:r w:rsidRPr="00F36DAE">
              <w:t>0.8174</w:t>
            </w:r>
          </w:p>
        </w:tc>
      </w:tr>
      <w:tr w:rsidR="00F36DAE" w:rsidRPr="00F36DAE" w14:paraId="1D796B1D" w14:textId="77777777" w:rsidTr="00BE0118">
        <w:trPr>
          <w:trHeight w:val="255"/>
        </w:trPr>
        <w:tc>
          <w:tcPr>
            <w:tcW w:w="960" w:type="dxa"/>
            <w:noWrap/>
            <w:hideMark/>
          </w:tcPr>
          <w:p w14:paraId="6E41F3EF" w14:textId="77777777" w:rsidR="00F36DAE" w:rsidRPr="00F36DAE" w:rsidRDefault="00F36DAE" w:rsidP="004E5C57">
            <w:pPr>
              <w:pStyle w:val="TableText0"/>
            </w:pPr>
            <w:r w:rsidRPr="00F36DAE">
              <w:t>3</w:t>
            </w:r>
          </w:p>
        </w:tc>
        <w:tc>
          <w:tcPr>
            <w:tcW w:w="1000" w:type="dxa"/>
            <w:noWrap/>
            <w:hideMark/>
          </w:tcPr>
          <w:p w14:paraId="733804D8" w14:textId="77777777" w:rsidR="00F36DAE" w:rsidRPr="00F36DAE" w:rsidRDefault="00F36DAE" w:rsidP="004E5C57">
            <w:pPr>
              <w:pStyle w:val="TableText0"/>
            </w:pPr>
            <w:r w:rsidRPr="00F36DAE">
              <w:t>0.7296</w:t>
            </w:r>
          </w:p>
        </w:tc>
        <w:tc>
          <w:tcPr>
            <w:tcW w:w="1009" w:type="dxa"/>
            <w:noWrap/>
            <w:hideMark/>
          </w:tcPr>
          <w:p w14:paraId="471EB766" w14:textId="77777777" w:rsidR="00F36DAE" w:rsidRPr="00F36DAE" w:rsidRDefault="00F36DAE" w:rsidP="004E5C57">
            <w:pPr>
              <w:pStyle w:val="TableText0"/>
            </w:pPr>
            <w:r w:rsidRPr="00F36DAE">
              <w:t>0.0055</w:t>
            </w:r>
          </w:p>
        </w:tc>
        <w:tc>
          <w:tcPr>
            <w:tcW w:w="1000" w:type="dxa"/>
            <w:noWrap/>
            <w:hideMark/>
          </w:tcPr>
          <w:p w14:paraId="006E914F" w14:textId="77777777" w:rsidR="00F36DAE" w:rsidRPr="00F36DAE" w:rsidRDefault="00F36DAE" w:rsidP="004E5C57">
            <w:pPr>
              <w:pStyle w:val="TableText0"/>
            </w:pPr>
            <w:r w:rsidRPr="00F36DAE">
              <w:t>0.1981</w:t>
            </w:r>
          </w:p>
        </w:tc>
        <w:tc>
          <w:tcPr>
            <w:tcW w:w="1000" w:type="dxa"/>
            <w:noWrap/>
            <w:hideMark/>
          </w:tcPr>
          <w:p w14:paraId="2CC94197" w14:textId="77777777" w:rsidR="00F36DAE" w:rsidRPr="00F36DAE" w:rsidRDefault="00F36DAE" w:rsidP="004E5C57">
            <w:pPr>
              <w:pStyle w:val="TableText0"/>
            </w:pPr>
            <w:r w:rsidRPr="00F36DAE">
              <w:t>0.0627</w:t>
            </w:r>
          </w:p>
        </w:tc>
        <w:tc>
          <w:tcPr>
            <w:tcW w:w="1000" w:type="dxa"/>
            <w:noWrap/>
            <w:hideMark/>
          </w:tcPr>
          <w:p w14:paraId="3FE6190B" w14:textId="77777777" w:rsidR="00F36DAE" w:rsidRPr="00F36DAE" w:rsidRDefault="00F36DAE" w:rsidP="004E5C57">
            <w:pPr>
              <w:pStyle w:val="TableText0"/>
            </w:pPr>
            <w:r w:rsidRPr="00F36DAE">
              <w:t>0.0011</w:t>
            </w:r>
          </w:p>
        </w:tc>
        <w:tc>
          <w:tcPr>
            <w:tcW w:w="1000" w:type="dxa"/>
            <w:noWrap/>
            <w:hideMark/>
          </w:tcPr>
          <w:p w14:paraId="795BA282" w14:textId="77777777" w:rsidR="00F36DAE" w:rsidRPr="00F36DAE" w:rsidRDefault="00F36DAE" w:rsidP="004E5C57">
            <w:pPr>
              <w:pStyle w:val="TableText0"/>
            </w:pPr>
            <w:r w:rsidRPr="00F36DAE">
              <w:t>0.0003</w:t>
            </w:r>
          </w:p>
        </w:tc>
        <w:tc>
          <w:tcPr>
            <w:tcW w:w="1000" w:type="dxa"/>
            <w:noWrap/>
            <w:hideMark/>
          </w:tcPr>
          <w:p w14:paraId="4B763FC6" w14:textId="77777777" w:rsidR="00F36DAE" w:rsidRPr="00F36DAE" w:rsidRDefault="00F36DAE" w:rsidP="004E5C57">
            <w:pPr>
              <w:pStyle w:val="TableText0"/>
            </w:pPr>
            <w:r w:rsidRPr="00F36DAE">
              <w:t>0.0028</w:t>
            </w:r>
          </w:p>
        </w:tc>
        <w:tc>
          <w:tcPr>
            <w:tcW w:w="1060" w:type="dxa"/>
            <w:noWrap/>
            <w:hideMark/>
          </w:tcPr>
          <w:p w14:paraId="12797429" w14:textId="77777777" w:rsidR="00F36DAE" w:rsidRPr="00F36DAE" w:rsidRDefault="00F36DAE" w:rsidP="004E5C57">
            <w:pPr>
              <w:pStyle w:val="TableText0"/>
            </w:pPr>
            <w:r w:rsidRPr="00F36DAE">
              <w:t>$4,386</w:t>
            </w:r>
          </w:p>
        </w:tc>
        <w:tc>
          <w:tcPr>
            <w:tcW w:w="1180" w:type="dxa"/>
            <w:noWrap/>
            <w:hideMark/>
          </w:tcPr>
          <w:p w14:paraId="586A0B94" w14:textId="77777777" w:rsidR="00F36DAE" w:rsidRPr="00F36DAE" w:rsidRDefault="00F36DAE" w:rsidP="004E5C57">
            <w:pPr>
              <w:pStyle w:val="TableText0"/>
            </w:pPr>
            <w:r w:rsidRPr="00F36DAE">
              <w:t>$18,348</w:t>
            </w:r>
          </w:p>
        </w:tc>
        <w:tc>
          <w:tcPr>
            <w:tcW w:w="960" w:type="dxa"/>
            <w:noWrap/>
            <w:hideMark/>
          </w:tcPr>
          <w:p w14:paraId="774B1FED" w14:textId="77777777" w:rsidR="00F36DAE" w:rsidRPr="00F36DAE" w:rsidRDefault="00F36DAE" w:rsidP="004E5C57">
            <w:pPr>
              <w:pStyle w:val="TableText0"/>
            </w:pPr>
            <w:r w:rsidRPr="00F36DAE">
              <w:t>0.1639</w:t>
            </w:r>
          </w:p>
        </w:tc>
        <w:tc>
          <w:tcPr>
            <w:tcW w:w="1037" w:type="dxa"/>
            <w:noWrap/>
            <w:hideMark/>
          </w:tcPr>
          <w:p w14:paraId="1814CE45" w14:textId="77777777" w:rsidR="00F36DAE" w:rsidRPr="00F36DAE" w:rsidRDefault="00F36DAE" w:rsidP="004E5C57">
            <w:pPr>
              <w:pStyle w:val="TableText0"/>
            </w:pPr>
            <w:r w:rsidRPr="00F36DAE">
              <w:t>0.8522</w:t>
            </w:r>
          </w:p>
        </w:tc>
        <w:tc>
          <w:tcPr>
            <w:tcW w:w="960" w:type="dxa"/>
            <w:noWrap/>
            <w:hideMark/>
          </w:tcPr>
          <w:p w14:paraId="7139FA9D" w14:textId="77777777" w:rsidR="00F36DAE" w:rsidRPr="00F36DAE" w:rsidRDefault="00F36DAE" w:rsidP="004E5C57">
            <w:pPr>
              <w:pStyle w:val="TableText0"/>
            </w:pPr>
            <w:r w:rsidRPr="00F36DAE">
              <w:t>0.2415</w:t>
            </w:r>
          </w:p>
        </w:tc>
        <w:tc>
          <w:tcPr>
            <w:tcW w:w="1037" w:type="dxa"/>
            <w:noWrap/>
            <w:hideMark/>
          </w:tcPr>
          <w:p w14:paraId="58505929" w14:textId="77777777" w:rsidR="00F36DAE" w:rsidRPr="00F36DAE" w:rsidRDefault="00F36DAE" w:rsidP="004E5C57">
            <w:pPr>
              <w:pStyle w:val="TableText0"/>
            </w:pPr>
            <w:r w:rsidRPr="00F36DAE">
              <w:t>1.0589</w:t>
            </w:r>
          </w:p>
        </w:tc>
      </w:tr>
      <w:tr w:rsidR="00F36DAE" w:rsidRPr="00F36DAE" w14:paraId="3B4A3C7E" w14:textId="77777777" w:rsidTr="00BE0118">
        <w:trPr>
          <w:trHeight w:val="255"/>
        </w:trPr>
        <w:tc>
          <w:tcPr>
            <w:tcW w:w="960" w:type="dxa"/>
            <w:noWrap/>
            <w:hideMark/>
          </w:tcPr>
          <w:p w14:paraId="560EFC9E" w14:textId="77777777" w:rsidR="00F36DAE" w:rsidRPr="00F36DAE" w:rsidRDefault="00F36DAE" w:rsidP="004E5C57">
            <w:pPr>
              <w:pStyle w:val="TableText0"/>
            </w:pPr>
            <w:r w:rsidRPr="00F36DAE">
              <w:t>4</w:t>
            </w:r>
          </w:p>
        </w:tc>
        <w:tc>
          <w:tcPr>
            <w:tcW w:w="1000" w:type="dxa"/>
            <w:noWrap/>
            <w:hideMark/>
          </w:tcPr>
          <w:p w14:paraId="17FE255F" w14:textId="77777777" w:rsidR="00F36DAE" w:rsidRPr="00F36DAE" w:rsidRDefault="00F36DAE" w:rsidP="004E5C57">
            <w:pPr>
              <w:pStyle w:val="TableText0"/>
            </w:pPr>
            <w:r w:rsidRPr="00F36DAE">
              <w:t>0.7389</w:t>
            </w:r>
          </w:p>
        </w:tc>
        <w:tc>
          <w:tcPr>
            <w:tcW w:w="1009" w:type="dxa"/>
            <w:noWrap/>
            <w:hideMark/>
          </w:tcPr>
          <w:p w14:paraId="0BEC7D8A" w14:textId="77777777" w:rsidR="00F36DAE" w:rsidRPr="00F36DAE" w:rsidRDefault="00F36DAE" w:rsidP="004E5C57">
            <w:pPr>
              <w:pStyle w:val="TableText0"/>
            </w:pPr>
            <w:r w:rsidRPr="00F36DAE">
              <w:t>0.0082</w:t>
            </w:r>
          </w:p>
        </w:tc>
        <w:tc>
          <w:tcPr>
            <w:tcW w:w="1000" w:type="dxa"/>
            <w:noWrap/>
            <w:hideMark/>
          </w:tcPr>
          <w:p w14:paraId="0A98CA50" w14:textId="77777777" w:rsidR="00F36DAE" w:rsidRPr="00F36DAE" w:rsidRDefault="00F36DAE" w:rsidP="004E5C57">
            <w:pPr>
              <w:pStyle w:val="TableText0"/>
            </w:pPr>
            <w:r w:rsidRPr="00F36DAE">
              <w:t>0.1876</w:t>
            </w:r>
          </w:p>
        </w:tc>
        <w:tc>
          <w:tcPr>
            <w:tcW w:w="1000" w:type="dxa"/>
            <w:noWrap/>
            <w:hideMark/>
          </w:tcPr>
          <w:p w14:paraId="229614DD" w14:textId="77777777" w:rsidR="00F36DAE" w:rsidRPr="00F36DAE" w:rsidRDefault="00F36DAE" w:rsidP="004E5C57">
            <w:pPr>
              <w:pStyle w:val="TableText0"/>
            </w:pPr>
            <w:r w:rsidRPr="00F36DAE">
              <w:t>0.0594</w:t>
            </w:r>
          </w:p>
        </w:tc>
        <w:tc>
          <w:tcPr>
            <w:tcW w:w="1000" w:type="dxa"/>
            <w:noWrap/>
            <w:hideMark/>
          </w:tcPr>
          <w:p w14:paraId="72AB25CB" w14:textId="77777777" w:rsidR="00F36DAE" w:rsidRPr="00F36DAE" w:rsidRDefault="00F36DAE" w:rsidP="004E5C57">
            <w:pPr>
              <w:pStyle w:val="TableText0"/>
            </w:pPr>
            <w:r w:rsidRPr="00F36DAE">
              <w:t>0.0014</w:t>
            </w:r>
          </w:p>
        </w:tc>
        <w:tc>
          <w:tcPr>
            <w:tcW w:w="1000" w:type="dxa"/>
            <w:noWrap/>
            <w:hideMark/>
          </w:tcPr>
          <w:p w14:paraId="2AD5CFD6" w14:textId="77777777" w:rsidR="00F36DAE" w:rsidRPr="00F36DAE" w:rsidRDefault="00F36DAE" w:rsidP="004E5C57">
            <w:pPr>
              <w:pStyle w:val="TableText0"/>
            </w:pPr>
            <w:r w:rsidRPr="00F36DAE">
              <w:t>0.0004</w:t>
            </w:r>
          </w:p>
        </w:tc>
        <w:tc>
          <w:tcPr>
            <w:tcW w:w="1000" w:type="dxa"/>
            <w:noWrap/>
            <w:hideMark/>
          </w:tcPr>
          <w:p w14:paraId="67931E94" w14:textId="77777777" w:rsidR="00F36DAE" w:rsidRPr="00F36DAE" w:rsidRDefault="00F36DAE" w:rsidP="004E5C57">
            <w:pPr>
              <w:pStyle w:val="TableText0"/>
            </w:pPr>
            <w:r w:rsidRPr="00F36DAE">
              <w:t>0.0040</w:t>
            </w:r>
          </w:p>
        </w:tc>
        <w:tc>
          <w:tcPr>
            <w:tcW w:w="1060" w:type="dxa"/>
            <w:noWrap/>
            <w:hideMark/>
          </w:tcPr>
          <w:p w14:paraId="12090BCE" w14:textId="77777777" w:rsidR="00F36DAE" w:rsidRPr="00F36DAE" w:rsidRDefault="00F36DAE" w:rsidP="004E5C57">
            <w:pPr>
              <w:pStyle w:val="TableText0"/>
            </w:pPr>
            <w:r w:rsidRPr="00F36DAE">
              <w:t>$4,355</w:t>
            </w:r>
          </w:p>
        </w:tc>
        <w:tc>
          <w:tcPr>
            <w:tcW w:w="1180" w:type="dxa"/>
            <w:noWrap/>
            <w:hideMark/>
          </w:tcPr>
          <w:p w14:paraId="001690DE" w14:textId="77777777" w:rsidR="00F36DAE" w:rsidRPr="00F36DAE" w:rsidRDefault="00F36DAE" w:rsidP="004E5C57">
            <w:pPr>
              <w:pStyle w:val="TableText0"/>
            </w:pPr>
            <w:r w:rsidRPr="00F36DAE">
              <w:t>$22,703</w:t>
            </w:r>
          </w:p>
        </w:tc>
        <w:tc>
          <w:tcPr>
            <w:tcW w:w="960" w:type="dxa"/>
            <w:noWrap/>
            <w:hideMark/>
          </w:tcPr>
          <w:p w14:paraId="7CC03C82" w14:textId="77777777" w:rsidR="00F36DAE" w:rsidRPr="00F36DAE" w:rsidRDefault="00F36DAE" w:rsidP="004E5C57">
            <w:pPr>
              <w:pStyle w:val="TableText0"/>
            </w:pPr>
            <w:r w:rsidRPr="00F36DAE">
              <w:t>0.1616</w:t>
            </w:r>
          </w:p>
        </w:tc>
        <w:tc>
          <w:tcPr>
            <w:tcW w:w="1037" w:type="dxa"/>
            <w:noWrap/>
            <w:hideMark/>
          </w:tcPr>
          <w:p w14:paraId="75DE3957" w14:textId="77777777" w:rsidR="00F36DAE" w:rsidRPr="00F36DAE" w:rsidRDefault="00F36DAE" w:rsidP="004E5C57">
            <w:pPr>
              <w:pStyle w:val="TableText0"/>
            </w:pPr>
            <w:r w:rsidRPr="00F36DAE">
              <w:t>1.0139</w:t>
            </w:r>
          </w:p>
        </w:tc>
        <w:tc>
          <w:tcPr>
            <w:tcW w:w="960" w:type="dxa"/>
            <w:noWrap/>
            <w:hideMark/>
          </w:tcPr>
          <w:p w14:paraId="694ABEA8" w14:textId="77777777" w:rsidR="00F36DAE" w:rsidRPr="00F36DAE" w:rsidRDefault="00F36DAE" w:rsidP="004E5C57">
            <w:pPr>
              <w:pStyle w:val="TableText0"/>
            </w:pPr>
            <w:r w:rsidRPr="00F36DAE">
              <w:t>0.2423</w:t>
            </w:r>
          </w:p>
        </w:tc>
        <w:tc>
          <w:tcPr>
            <w:tcW w:w="1037" w:type="dxa"/>
            <w:noWrap/>
            <w:hideMark/>
          </w:tcPr>
          <w:p w14:paraId="73811D34" w14:textId="77777777" w:rsidR="00F36DAE" w:rsidRPr="00F36DAE" w:rsidRDefault="00F36DAE" w:rsidP="004E5C57">
            <w:pPr>
              <w:pStyle w:val="TableText0"/>
            </w:pPr>
            <w:r w:rsidRPr="00F36DAE">
              <w:t>1.3012</w:t>
            </w:r>
          </w:p>
        </w:tc>
      </w:tr>
      <w:tr w:rsidR="00F36DAE" w:rsidRPr="00F36DAE" w14:paraId="678EFA49" w14:textId="77777777" w:rsidTr="00BE0118">
        <w:trPr>
          <w:trHeight w:val="255"/>
        </w:trPr>
        <w:tc>
          <w:tcPr>
            <w:tcW w:w="960" w:type="dxa"/>
            <w:noWrap/>
            <w:hideMark/>
          </w:tcPr>
          <w:p w14:paraId="29FF7721" w14:textId="77777777" w:rsidR="00F36DAE" w:rsidRPr="00F36DAE" w:rsidRDefault="00F36DAE" w:rsidP="004E5C57">
            <w:pPr>
              <w:pStyle w:val="TableText0"/>
            </w:pPr>
            <w:r w:rsidRPr="00F36DAE">
              <w:t>5</w:t>
            </w:r>
          </w:p>
        </w:tc>
        <w:tc>
          <w:tcPr>
            <w:tcW w:w="1000" w:type="dxa"/>
            <w:noWrap/>
            <w:hideMark/>
          </w:tcPr>
          <w:p w14:paraId="488A0029" w14:textId="77777777" w:rsidR="00F36DAE" w:rsidRPr="00F36DAE" w:rsidRDefault="00F36DAE" w:rsidP="004E5C57">
            <w:pPr>
              <w:pStyle w:val="TableText0"/>
            </w:pPr>
            <w:r w:rsidRPr="00F36DAE">
              <w:t>0.7316</w:t>
            </w:r>
          </w:p>
        </w:tc>
        <w:tc>
          <w:tcPr>
            <w:tcW w:w="1009" w:type="dxa"/>
            <w:noWrap/>
            <w:hideMark/>
          </w:tcPr>
          <w:p w14:paraId="7134F032" w14:textId="77777777" w:rsidR="00F36DAE" w:rsidRPr="00F36DAE" w:rsidRDefault="00F36DAE" w:rsidP="004E5C57">
            <w:pPr>
              <w:pStyle w:val="TableText0"/>
            </w:pPr>
            <w:r w:rsidRPr="00F36DAE">
              <w:t>0.0103</w:t>
            </w:r>
          </w:p>
        </w:tc>
        <w:tc>
          <w:tcPr>
            <w:tcW w:w="1000" w:type="dxa"/>
            <w:noWrap/>
            <w:hideMark/>
          </w:tcPr>
          <w:p w14:paraId="16EF9D10" w14:textId="77777777" w:rsidR="00F36DAE" w:rsidRPr="00F36DAE" w:rsidRDefault="00F36DAE" w:rsidP="004E5C57">
            <w:pPr>
              <w:pStyle w:val="TableText0"/>
            </w:pPr>
            <w:r w:rsidRPr="00F36DAE">
              <w:t>0.1900</w:t>
            </w:r>
          </w:p>
        </w:tc>
        <w:tc>
          <w:tcPr>
            <w:tcW w:w="1000" w:type="dxa"/>
            <w:noWrap/>
            <w:hideMark/>
          </w:tcPr>
          <w:p w14:paraId="01691BB3" w14:textId="77777777" w:rsidR="00F36DAE" w:rsidRPr="00F36DAE" w:rsidRDefault="00F36DAE" w:rsidP="004E5C57">
            <w:pPr>
              <w:pStyle w:val="TableText0"/>
            </w:pPr>
            <w:r w:rsidRPr="00F36DAE">
              <w:t>0.0601</w:t>
            </w:r>
          </w:p>
        </w:tc>
        <w:tc>
          <w:tcPr>
            <w:tcW w:w="1000" w:type="dxa"/>
            <w:noWrap/>
            <w:hideMark/>
          </w:tcPr>
          <w:p w14:paraId="38584DF0" w14:textId="77777777" w:rsidR="00F36DAE" w:rsidRPr="00F36DAE" w:rsidRDefault="00F36DAE" w:rsidP="004E5C57">
            <w:pPr>
              <w:pStyle w:val="TableText0"/>
            </w:pPr>
            <w:r w:rsidRPr="00F36DAE">
              <w:t>0.0021</w:t>
            </w:r>
          </w:p>
        </w:tc>
        <w:tc>
          <w:tcPr>
            <w:tcW w:w="1000" w:type="dxa"/>
            <w:noWrap/>
            <w:hideMark/>
          </w:tcPr>
          <w:p w14:paraId="2EB2B499" w14:textId="77777777" w:rsidR="00F36DAE" w:rsidRPr="00F36DAE" w:rsidRDefault="00F36DAE" w:rsidP="004E5C57">
            <w:pPr>
              <w:pStyle w:val="TableText0"/>
            </w:pPr>
            <w:r w:rsidRPr="00F36DAE">
              <w:t>0.0007</w:t>
            </w:r>
          </w:p>
        </w:tc>
        <w:tc>
          <w:tcPr>
            <w:tcW w:w="1000" w:type="dxa"/>
            <w:noWrap/>
            <w:hideMark/>
          </w:tcPr>
          <w:p w14:paraId="18C730AB" w14:textId="77777777" w:rsidR="00F36DAE" w:rsidRPr="00F36DAE" w:rsidRDefault="00F36DAE" w:rsidP="004E5C57">
            <w:pPr>
              <w:pStyle w:val="TableText0"/>
            </w:pPr>
            <w:r w:rsidRPr="00F36DAE">
              <w:t>0.0052</w:t>
            </w:r>
          </w:p>
        </w:tc>
        <w:tc>
          <w:tcPr>
            <w:tcW w:w="1060" w:type="dxa"/>
            <w:noWrap/>
            <w:hideMark/>
          </w:tcPr>
          <w:p w14:paraId="2CA2D6DB" w14:textId="77777777" w:rsidR="00F36DAE" w:rsidRPr="00F36DAE" w:rsidRDefault="00F36DAE" w:rsidP="004E5C57">
            <w:pPr>
              <w:pStyle w:val="TableText0"/>
            </w:pPr>
            <w:r w:rsidRPr="00F36DAE">
              <w:t>$4,291</w:t>
            </w:r>
          </w:p>
        </w:tc>
        <w:tc>
          <w:tcPr>
            <w:tcW w:w="1180" w:type="dxa"/>
            <w:noWrap/>
            <w:hideMark/>
          </w:tcPr>
          <w:p w14:paraId="7E195503" w14:textId="77777777" w:rsidR="00F36DAE" w:rsidRPr="00F36DAE" w:rsidRDefault="00F36DAE" w:rsidP="004E5C57">
            <w:pPr>
              <w:pStyle w:val="TableText0"/>
            </w:pPr>
            <w:r w:rsidRPr="00F36DAE">
              <w:t>$26,994</w:t>
            </w:r>
          </w:p>
        </w:tc>
        <w:tc>
          <w:tcPr>
            <w:tcW w:w="960" w:type="dxa"/>
            <w:noWrap/>
            <w:hideMark/>
          </w:tcPr>
          <w:p w14:paraId="2CDF62E8" w14:textId="77777777" w:rsidR="00F36DAE" w:rsidRPr="00F36DAE" w:rsidRDefault="00F36DAE" w:rsidP="004E5C57">
            <w:pPr>
              <w:pStyle w:val="TableText0"/>
            </w:pPr>
            <w:r w:rsidRPr="00F36DAE">
              <w:t>0.1593</w:t>
            </w:r>
          </w:p>
        </w:tc>
        <w:tc>
          <w:tcPr>
            <w:tcW w:w="1037" w:type="dxa"/>
            <w:noWrap/>
            <w:hideMark/>
          </w:tcPr>
          <w:p w14:paraId="10E219DA" w14:textId="77777777" w:rsidR="00F36DAE" w:rsidRPr="00F36DAE" w:rsidRDefault="00F36DAE" w:rsidP="004E5C57">
            <w:pPr>
              <w:pStyle w:val="TableText0"/>
            </w:pPr>
            <w:r w:rsidRPr="00F36DAE">
              <w:t>1.1732</w:t>
            </w:r>
          </w:p>
        </w:tc>
        <w:tc>
          <w:tcPr>
            <w:tcW w:w="960" w:type="dxa"/>
            <w:noWrap/>
            <w:hideMark/>
          </w:tcPr>
          <w:p w14:paraId="4D06832E" w14:textId="77777777" w:rsidR="00F36DAE" w:rsidRPr="00F36DAE" w:rsidRDefault="00F36DAE" w:rsidP="004E5C57">
            <w:pPr>
              <w:pStyle w:val="TableText0"/>
            </w:pPr>
            <w:r w:rsidRPr="00F36DAE">
              <w:t>0.2377</w:t>
            </w:r>
          </w:p>
        </w:tc>
        <w:tc>
          <w:tcPr>
            <w:tcW w:w="1037" w:type="dxa"/>
            <w:noWrap/>
            <w:hideMark/>
          </w:tcPr>
          <w:p w14:paraId="0DE36464" w14:textId="77777777" w:rsidR="00F36DAE" w:rsidRPr="00F36DAE" w:rsidRDefault="00F36DAE" w:rsidP="004E5C57">
            <w:pPr>
              <w:pStyle w:val="TableText0"/>
            </w:pPr>
            <w:r w:rsidRPr="00F36DAE">
              <w:t>1.5389</w:t>
            </w:r>
          </w:p>
        </w:tc>
      </w:tr>
      <w:tr w:rsidR="00F36DAE" w:rsidRPr="00F36DAE" w14:paraId="47597BB7" w14:textId="77777777" w:rsidTr="00BE0118">
        <w:trPr>
          <w:trHeight w:val="255"/>
        </w:trPr>
        <w:tc>
          <w:tcPr>
            <w:tcW w:w="960" w:type="dxa"/>
            <w:noWrap/>
            <w:hideMark/>
          </w:tcPr>
          <w:p w14:paraId="7324B7EE" w14:textId="77777777" w:rsidR="00F36DAE" w:rsidRPr="00F36DAE" w:rsidRDefault="00F36DAE" w:rsidP="004E5C57">
            <w:pPr>
              <w:pStyle w:val="TableText0"/>
            </w:pPr>
            <w:r w:rsidRPr="00F36DAE">
              <w:t>6</w:t>
            </w:r>
          </w:p>
        </w:tc>
        <w:tc>
          <w:tcPr>
            <w:tcW w:w="1000" w:type="dxa"/>
            <w:noWrap/>
            <w:hideMark/>
          </w:tcPr>
          <w:p w14:paraId="62B11780" w14:textId="77777777" w:rsidR="00F36DAE" w:rsidRPr="00F36DAE" w:rsidRDefault="00F36DAE" w:rsidP="004E5C57">
            <w:pPr>
              <w:pStyle w:val="TableText0"/>
            </w:pPr>
            <w:r w:rsidRPr="00F36DAE">
              <w:t>0.7298</w:t>
            </w:r>
          </w:p>
        </w:tc>
        <w:tc>
          <w:tcPr>
            <w:tcW w:w="1009" w:type="dxa"/>
            <w:noWrap/>
            <w:hideMark/>
          </w:tcPr>
          <w:p w14:paraId="3EDF7506" w14:textId="77777777" w:rsidR="00F36DAE" w:rsidRPr="00F36DAE" w:rsidRDefault="00F36DAE" w:rsidP="004E5C57">
            <w:pPr>
              <w:pStyle w:val="TableText0"/>
            </w:pPr>
            <w:r w:rsidRPr="00F36DAE">
              <w:t>0.0126</w:t>
            </w:r>
          </w:p>
        </w:tc>
        <w:tc>
          <w:tcPr>
            <w:tcW w:w="1000" w:type="dxa"/>
            <w:noWrap/>
            <w:hideMark/>
          </w:tcPr>
          <w:p w14:paraId="1D9933C2" w14:textId="77777777" w:rsidR="00F36DAE" w:rsidRPr="00F36DAE" w:rsidRDefault="00F36DAE" w:rsidP="004E5C57">
            <w:pPr>
              <w:pStyle w:val="TableText0"/>
            </w:pPr>
            <w:r w:rsidRPr="00F36DAE">
              <w:t>0.1881</w:t>
            </w:r>
          </w:p>
        </w:tc>
        <w:tc>
          <w:tcPr>
            <w:tcW w:w="1000" w:type="dxa"/>
            <w:noWrap/>
            <w:hideMark/>
          </w:tcPr>
          <w:p w14:paraId="19636562" w14:textId="77777777" w:rsidR="00F36DAE" w:rsidRPr="00F36DAE" w:rsidRDefault="00F36DAE" w:rsidP="004E5C57">
            <w:pPr>
              <w:pStyle w:val="TableText0"/>
            </w:pPr>
            <w:r w:rsidRPr="00F36DAE">
              <w:t>0.0595</w:t>
            </w:r>
          </w:p>
        </w:tc>
        <w:tc>
          <w:tcPr>
            <w:tcW w:w="1000" w:type="dxa"/>
            <w:noWrap/>
            <w:hideMark/>
          </w:tcPr>
          <w:p w14:paraId="15351428" w14:textId="77777777" w:rsidR="00F36DAE" w:rsidRPr="00F36DAE" w:rsidRDefault="00F36DAE" w:rsidP="004E5C57">
            <w:pPr>
              <w:pStyle w:val="TableText0"/>
            </w:pPr>
            <w:r w:rsidRPr="00F36DAE">
              <w:t>0.0026</w:t>
            </w:r>
          </w:p>
        </w:tc>
        <w:tc>
          <w:tcPr>
            <w:tcW w:w="1000" w:type="dxa"/>
            <w:noWrap/>
            <w:hideMark/>
          </w:tcPr>
          <w:p w14:paraId="3052F4CF" w14:textId="77777777" w:rsidR="00F36DAE" w:rsidRPr="00F36DAE" w:rsidRDefault="00F36DAE" w:rsidP="004E5C57">
            <w:pPr>
              <w:pStyle w:val="TableText0"/>
            </w:pPr>
            <w:r w:rsidRPr="00F36DAE">
              <w:t>0.0008</w:t>
            </w:r>
          </w:p>
        </w:tc>
        <w:tc>
          <w:tcPr>
            <w:tcW w:w="1000" w:type="dxa"/>
            <w:noWrap/>
            <w:hideMark/>
          </w:tcPr>
          <w:p w14:paraId="79867E77" w14:textId="77777777" w:rsidR="00F36DAE" w:rsidRPr="00F36DAE" w:rsidRDefault="00F36DAE" w:rsidP="004E5C57">
            <w:pPr>
              <w:pStyle w:val="TableText0"/>
            </w:pPr>
            <w:r w:rsidRPr="00F36DAE">
              <w:t>0.0065</w:t>
            </w:r>
          </w:p>
        </w:tc>
        <w:tc>
          <w:tcPr>
            <w:tcW w:w="1060" w:type="dxa"/>
            <w:noWrap/>
            <w:hideMark/>
          </w:tcPr>
          <w:p w14:paraId="37AE9032" w14:textId="77777777" w:rsidR="00F36DAE" w:rsidRPr="00F36DAE" w:rsidRDefault="00F36DAE" w:rsidP="004E5C57">
            <w:pPr>
              <w:pStyle w:val="TableText0"/>
            </w:pPr>
            <w:r w:rsidRPr="00F36DAE">
              <w:t>$4,239</w:t>
            </w:r>
          </w:p>
        </w:tc>
        <w:tc>
          <w:tcPr>
            <w:tcW w:w="1180" w:type="dxa"/>
            <w:noWrap/>
            <w:hideMark/>
          </w:tcPr>
          <w:p w14:paraId="3EDE9678" w14:textId="77777777" w:rsidR="00F36DAE" w:rsidRPr="00F36DAE" w:rsidRDefault="00F36DAE" w:rsidP="004E5C57">
            <w:pPr>
              <w:pStyle w:val="TableText0"/>
            </w:pPr>
            <w:r w:rsidRPr="00F36DAE">
              <w:t>$31,233</w:t>
            </w:r>
          </w:p>
        </w:tc>
        <w:tc>
          <w:tcPr>
            <w:tcW w:w="960" w:type="dxa"/>
            <w:noWrap/>
            <w:hideMark/>
          </w:tcPr>
          <w:p w14:paraId="7C3F5E4B" w14:textId="77777777" w:rsidR="00F36DAE" w:rsidRPr="00F36DAE" w:rsidRDefault="00F36DAE" w:rsidP="004E5C57">
            <w:pPr>
              <w:pStyle w:val="TableText0"/>
            </w:pPr>
            <w:r w:rsidRPr="00F36DAE">
              <w:t>0.1570</w:t>
            </w:r>
          </w:p>
        </w:tc>
        <w:tc>
          <w:tcPr>
            <w:tcW w:w="1037" w:type="dxa"/>
            <w:noWrap/>
            <w:hideMark/>
          </w:tcPr>
          <w:p w14:paraId="2611683F" w14:textId="77777777" w:rsidR="00F36DAE" w:rsidRPr="00F36DAE" w:rsidRDefault="00F36DAE" w:rsidP="004E5C57">
            <w:pPr>
              <w:pStyle w:val="TableText0"/>
            </w:pPr>
            <w:r w:rsidRPr="00F36DAE">
              <w:t>1.3302</w:t>
            </w:r>
          </w:p>
        </w:tc>
        <w:tc>
          <w:tcPr>
            <w:tcW w:w="960" w:type="dxa"/>
            <w:noWrap/>
            <w:hideMark/>
          </w:tcPr>
          <w:p w14:paraId="04D8FC40" w14:textId="77777777" w:rsidR="00F36DAE" w:rsidRPr="00F36DAE" w:rsidRDefault="00F36DAE" w:rsidP="004E5C57">
            <w:pPr>
              <w:pStyle w:val="TableText0"/>
            </w:pPr>
            <w:r w:rsidRPr="00F36DAE">
              <w:t>0.2350</w:t>
            </w:r>
          </w:p>
        </w:tc>
        <w:tc>
          <w:tcPr>
            <w:tcW w:w="1037" w:type="dxa"/>
            <w:noWrap/>
            <w:hideMark/>
          </w:tcPr>
          <w:p w14:paraId="1351E20B" w14:textId="77777777" w:rsidR="00F36DAE" w:rsidRPr="00F36DAE" w:rsidRDefault="00F36DAE" w:rsidP="004E5C57">
            <w:pPr>
              <w:pStyle w:val="TableText0"/>
            </w:pPr>
            <w:r w:rsidRPr="00F36DAE">
              <w:t>1.7739</w:t>
            </w:r>
          </w:p>
        </w:tc>
      </w:tr>
      <w:tr w:rsidR="00F36DAE" w:rsidRPr="00F36DAE" w14:paraId="04980460" w14:textId="77777777" w:rsidTr="00BE0118">
        <w:trPr>
          <w:trHeight w:val="255"/>
        </w:trPr>
        <w:tc>
          <w:tcPr>
            <w:tcW w:w="960" w:type="dxa"/>
            <w:noWrap/>
            <w:hideMark/>
          </w:tcPr>
          <w:p w14:paraId="4EEBEC67" w14:textId="77777777" w:rsidR="00F36DAE" w:rsidRPr="00F36DAE" w:rsidRDefault="00F36DAE" w:rsidP="004E5C57">
            <w:pPr>
              <w:pStyle w:val="TableText0"/>
            </w:pPr>
            <w:r w:rsidRPr="00F36DAE">
              <w:t>7</w:t>
            </w:r>
          </w:p>
        </w:tc>
        <w:tc>
          <w:tcPr>
            <w:tcW w:w="1000" w:type="dxa"/>
            <w:noWrap/>
            <w:hideMark/>
          </w:tcPr>
          <w:p w14:paraId="4BD90BDA" w14:textId="77777777" w:rsidR="00F36DAE" w:rsidRPr="00F36DAE" w:rsidRDefault="00F36DAE" w:rsidP="004E5C57">
            <w:pPr>
              <w:pStyle w:val="TableText0"/>
            </w:pPr>
            <w:r w:rsidRPr="00F36DAE">
              <w:t>0.7262</w:t>
            </w:r>
          </w:p>
        </w:tc>
        <w:tc>
          <w:tcPr>
            <w:tcW w:w="1009" w:type="dxa"/>
            <w:noWrap/>
            <w:hideMark/>
          </w:tcPr>
          <w:p w14:paraId="60A87B44" w14:textId="77777777" w:rsidR="00F36DAE" w:rsidRPr="00F36DAE" w:rsidRDefault="00F36DAE" w:rsidP="004E5C57">
            <w:pPr>
              <w:pStyle w:val="TableText0"/>
            </w:pPr>
            <w:r w:rsidRPr="00F36DAE">
              <w:t>0.0147</w:t>
            </w:r>
          </w:p>
        </w:tc>
        <w:tc>
          <w:tcPr>
            <w:tcW w:w="1000" w:type="dxa"/>
            <w:noWrap/>
            <w:hideMark/>
          </w:tcPr>
          <w:p w14:paraId="3A8DCE13" w14:textId="77777777" w:rsidR="00F36DAE" w:rsidRPr="00F36DAE" w:rsidRDefault="00F36DAE" w:rsidP="004E5C57">
            <w:pPr>
              <w:pStyle w:val="TableText0"/>
            </w:pPr>
            <w:r w:rsidRPr="00F36DAE">
              <w:t>0.1877</w:t>
            </w:r>
          </w:p>
        </w:tc>
        <w:tc>
          <w:tcPr>
            <w:tcW w:w="1000" w:type="dxa"/>
            <w:noWrap/>
            <w:hideMark/>
          </w:tcPr>
          <w:p w14:paraId="6D2777BB" w14:textId="77777777" w:rsidR="00F36DAE" w:rsidRPr="00F36DAE" w:rsidRDefault="00F36DAE" w:rsidP="004E5C57">
            <w:pPr>
              <w:pStyle w:val="TableText0"/>
            </w:pPr>
            <w:r w:rsidRPr="00F36DAE">
              <w:t>0.0594</w:t>
            </w:r>
          </w:p>
        </w:tc>
        <w:tc>
          <w:tcPr>
            <w:tcW w:w="1000" w:type="dxa"/>
            <w:noWrap/>
            <w:hideMark/>
          </w:tcPr>
          <w:p w14:paraId="1E29300E" w14:textId="77777777" w:rsidR="00F36DAE" w:rsidRPr="00F36DAE" w:rsidRDefault="00F36DAE" w:rsidP="004E5C57">
            <w:pPr>
              <w:pStyle w:val="TableText0"/>
            </w:pPr>
            <w:r w:rsidRPr="00F36DAE">
              <w:t>0.0032</w:t>
            </w:r>
          </w:p>
        </w:tc>
        <w:tc>
          <w:tcPr>
            <w:tcW w:w="1000" w:type="dxa"/>
            <w:noWrap/>
            <w:hideMark/>
          </w:tcPr>
          <w:p w14:paraId="2D254AF3" w14:textId="77777777" w:rsidR="00F36DAE" w:rsidRPr="00F36DAE" w:rsidRDefault="00F36DAE" w:rsidP="004E5C57">
            <w:pPr>
              <w:pStyle w:val="TableText0"/>
            </w:pPr>
            <w:r w:rsidRPr="00F36DAE">
              <w:t>0.0010</w:t>
            </w:r>
          </w:p>
        </w:tc>
        <w:tc>
          <w:tcPr>
            <w:tcW w:w="1000" w:type="dxa"/>
            <w:noWrap/>
            <w:hideMark/>
          </w:tcPr>
          <w:p w14:paraId="0AB91928" w14:textId="77777777" w:rsidR="00F36DAE" w:rsidRPr="00F36DAE" w:rsidRDefault="00F36DAE" w:rsidP="004E5C57">
            <w:pPr>
              <w:pStyle w:val="TableText0"/>
            </w:pPr>
            <w:r w:rsidRPr="00F36DAE">
              <w:t>0.0078</w:t>
            </w:r>
          </w:p>
        </w:tc>
        <w:tc>
          <w:tcPr>
            <w:tcW w:w="1060" w:type="dxa"/>
            <w:noWrap/>
            <w:hideMark/>
          </w:tcPr>
          <w:p w14:paraId="7A06D4F1" w14:textId="77777777" w:rsidR="00F36DAE" w:rsidRPr="00F36DAE" w:rsidRDefault="00F36DAE" w:rsidP="004E5C57">
            <w:pPr>
              <w:pStyle w:val="TableText0"/>
            </w:pPr>
            <w:r w:rsidRPr="00F36DAE">
              <w:t>$4,183</w:t>
            </w:r>
          </w:p>
        </w:tc>
        <w:tc>
          <w:tcPr>
            <w:tcW w:w="1180" w:type="dxa"/>
            <w:noWrap/>
            <w:hideMark/>
          </w:tcPr>
          <w:p w14:paraId="73241157" w14:textId="77777777" w:rsidR="00F36DAE" w:rsidRPr="00F36DAE" w:rsidRDefault="00F36DAE" w:rsidP="004E5C57">
            <w:pPr>
              <w:pStyle w:val="TableText0"/>
            </w:pPr>
            <w:r w:rsidRPr="00F36DAE">
              <w:t>$35,416</w:t>
            </w:r>
          </w:p>
        </w:tc>
        <w:tc>
          <w:tcPr>
            <w:tcW w:w="960" w:type="dxa"/>
            <w:noWrap/>
            <w:hideMark/>
          </w:tcPr>
          <w:p w14:paraId="49BA371B" w14:textId="77777777" w:rsidR="00F36DAE" w:rsidRPr="00F36DAE" w:rsidRDefault="00F36DAE" w:rsidP="004E5C57">
            <w:pPr>
              <w:pStyle w:val="TableText0"/>
            </w:pPr>
            <w:r w:rsidRPr="00F36DAE">
              <w:t>0.1547</w:t>
            </w:r>
          </w:p>
        </w:tc>
        <w:tc>
          <w:tcPr>
            <w:tcW w:w="1037" w:type="dxa"/>
            <w:noWrap/>
            <w:hideMark/>
          </w:tcPr>
          <w:p w14:paraId="07E0F46F" w14:textId="77777777" w:rsidR="00F36DAE" w:rsidRPr="00F36DAE" w:rsidRDefault="00F36DAE" w:rsidP="004E5C57">
            <w:pPr>
              <w:pStyle w:val="TableText0"/>
            </w:pPr>
            <w:r w:rsidRPr="00F36DAE">
              <w:t>1.4849</w:t>
            </w:r>
          </w:p>
        </w:tc>
        <w:tc>
          <w:tcPr>
            <w:tcW w:w="960" w:type="dxa"/>
            <w:noWrap/>
            <w:hideMark/>
          </w:tcPr>
          <w:p w14:paraId="5C0DEFD5" w14:textId="77777777" w:rsidR="00F36DAE" w:rsidRPr="00F36DAE" w:rsidRDefault="00F36DAE" w:rsidP="004E5C57">
            <w:pPr>
              <w:pStyle w:val="TableText0"/>
            </w:pPr>
            <w:r w:rsidRPr="00F36DAE">
              <w:t>0.2317</w:t>
            </w:r>
          </w:p>
        </w:tc>
        <w:tc>
          <w:tcPr>
            <w:tcW w:w="1037" w:type="dxa"/>
            <w:noWrap/>
            <w:hideMark/>
          </w:tcPr>
          <w:p w14:paraId="1DB6B059" w14:textId="77777777" w:rsidR="00F36DAE" w:rsidRPr="00F36DAE" w:rsidRDefault="00F36DAE" w:rsidP="004E5C57">
            <w:pPr>
              <w:pStyle w:val="TableText0"/>
            </w:pPr>
            <w:r w:rsidRPr="00F36DAE">
              <w:t>2.0056</w:t>
            </w:r>
          </w:p>
        </w:tc>
      </w:tr>
      <w:tr w:rsidR="00F36DAE" w:rsidRPr="00F36DAE" w14:paraId="7B44F200" w14:textId="77777777" w:rsidTr="00BE0118">
        <w:trPr>
          <w:trHeight w:val="255"/>
        </w:trPr>
        <w:tc>
          <w:tcPr>
            <w:tcW w:w="960" w:type="dxa"/>
            <w:noWrap/>
            <w:hideMark/>
          </w:tcPr>
          <w:p w14:paraId="56EC99A3" w14:textId="77777777" w:rsidR="00F36DAE" w:rsidRPr="00F36DAE" w:rsidRDefault="00F36DAE" w:rsidP="004E5C57">
            <w:pPr>
              <w:pStyle w:val="TableText0"/>
            </w:pPr>
            <w:r w:rsidRPr="00F36DAE">
              <w:t>8</w:t>
            </w:r>
          </w:p>
        </w:tc>
        <w:tc>
          <w:tcPr>
            <w:tcW w:w="1000" w:type="dxa"/>
            <w:noWrap/>
            <w:hideMark/>
          </w:tcPr>
          <w:p w14:paraId="4DCED5FC" w14:textId="77777777" w:rsidR="00F36DAE" w:rsidRPr="00F36DAE" w:rsidRDefault="00F36DAE" w:rsidP="004E5C57">
            <w:pPr>
              <w:pStyle w:val="TableText0"/>
            </w:pPr>
            <w:r w:rsidRPr="00F36DAE">
              <w:t>0.7232</w:t>
            </w:r>
          </w:p>
        </w:tc>
        <w:tc>
          <w:tcPr>
            <w:tcW w:w="1009" w:type="dxa"/>
            <w:noWrap/>
            <w:hideMark/>
          </w:tcPr>
          <w:p w14:paraId="12F4013C" w14:textId="77777777" w:rsidR="00F36DAE" w:rsidRPr="00F36DAE" w:rsidRDefault="00F36DAE" w:rsidP="004E5C57">
            <w:pPr>
              <w:pStyle w:val="TableText0"/>
            </w:pPr>
            <w:r w:rsidRPr="00F36DAE">
              <w:t>0.0169</w:t>
            </w:r>
          </w:p>
        </w:tc>
        <w:tc>
          <w:tcPr>
            <w:tcW w:w="1000" w:type="dxa"/>
            <w:noWrap/>
            <w:hideMark/>
          </w:tcPr>
          <w:p w14:paraId="35E028B9" w14:textId="77777777" w:rsidR="00F36DAE" w:rsidRPr="00F36DAE" w:rsidRDefault="00F36DAE" w:rsidP="004E5C57">
            <w:pPr>
              <w:pStyle w:val="TableText0"/>
            </w:pPr>
            <w:r w:rsidRPr="00F36DAE">
              <w:t>0.1867</w:t>
            </w:r>
          </w:p>
        </w:tc>
        <w:tc>
          <w:tcPr>
            <w:tcW w:w="1000" w:type="dxa"/>
            <w:noWrap/>
            <w:hideMark/>
          </w:tcPr>
          <w:p w14:paraId="73871772" w14:textId="77777777" w:rsidR="00F36DAE" w:rsidRPr="00F36DAE" w:rsidRDefault="00F36DAE" w:rsidP="004E5C57">
            <w:pPr>
              <w:pStyle w:val="TableText0"/>
            </w:pPr>
            <w:r w:rsidRPr="00F36DAE">
              <w:t>0.0591</w:t>
            </w:r>
          </w:p>
        </w:tc>
        <w:tc>
          <w:tcPr>
            <w:tcW w:w="1000" w:type="dxa"/>
            <w:noWrap/>
            <w:hideMark/>
          </w:tcPr>
          <w:p w14:paraId="209B733E" w14:textId="77777777" w:rsidR="00F36DAE" w:rsidRPr="00F36DAE" w:rsidRDefault="00F36DAE" w:rsidP="004E5C57">
            <w:pPr>
              <w:pStyle w:val="TableText0"/>
            </w:pPr>
            <w:r w:rsidRPr="00F36DAE">
              <w:t>0.0038</w:t>
            </w:r>
          </w:p>
        </w:tc>
        <w:tc>
          <w:tcPr>
            <w:tcW w:w="1000" w:type="dxa"/>
            <w:noWrap/>
            <w:hideMark/>
          </w:tcPr>
          <w:p w14:paraId="06A0CAB3" w14:textId="77777777" w:rsidR="00F36DAE" w:rsidRPr="00F36DAE" w:rsidRDefault="00F36DAE" w:rsidP="004E5C57">
            <w:pPr>
              <w:pStyle w:val="TableText0"/>
            </w:pPr>
            <w:r w:rsidRPr="00F36DAE">
              <w:t>0.0012</w:t>
            </w:r>
          </w:p>
        </w:tc>
        <w:tc>
          <w:tcPr>
            <w:tcW w:w="1000" w:type="dxa"/>
            <w:noWrap/>
            <w:hideMark/>
          </w:tcPr>
          <w:p w14:paraId="618CD8D7" w14:textId="77777777" w:rsidR="00F36DAE" w:rsidRPr="00F36DAE" w:rsidRDefault="00F36DAE" w:rsidP="004E5C57">
            <w:pPr>
              <w:pStyle w:val="TableText0"/>
            </w:pPr>
            <w:r w:rsidRPr="00F36DAE">
              <w:t>0.0091</w:t>
            </w:r>
          </w:p>
        </w:tc>
        <w:tc>
          <w:tcPr>
            <w:tcW w:w="1060" w:type="dxa"/>
            <w:noWrap/>
            <w:hideMark/>
          </w:tcPr>
          <w:p w14:paraId="7367A990" w14:textId="77777777" w:rsidR="00F36DAE" w:rsidRPr="00F36DAE" w:rsidRDefault="00F36DAE" w:rsidP="004E5C57">
            <w:pPr>
              <w:pStyle w:val="TableText0"/>
            </w:pPr>
            <w:r w:rsidRPr="00F36DAE">
              <w:t>$4,129</w:t>
            </w:r>
          </w:p>
        </w:tc>
        <w:tc>
          <w:tcPr>
            <w:tcW w:w="1180" w:type="dxa"/>
            <w:noWrap/>
            <w:hideMark/>
          </w:tcPr>
          <w:p w14:paraId="6AE0E402" w14:textId="77777777" w:rsidR="00F36DAE" w:rsidRPr="00F36DAE" w:rsidRDefault="00F36DAE" w:rsidP="004E5C57">
            <w:pPr>
              <w:pStyle w:val="TableText0"/>
            </w:pPr>
            <w:r w:rsidRPr="00F36DAE">
              <w:t>$39,545</w:t>
            </w:r>
          </w:p>
        </w:tc>
        <w:tc>
          <w:tcPr>
            <w:tcW w:w="960" w:type="dxa"/>
            <w:noWrap/>
            <w:hideMark/>
          </w:tcPr>
          <w:p w14:paraId="509813BE" w14:textId="77777777" w:rsidR="00F36DAE" w:rsidRPr="00F36DAE" w:rsidRDefault="00F36DAE" w:rsidP="004E5C57">
            <w:pPr>
              <w:pStyle w:val="TableText0"/>
            </w:pPr>
            <w:r w:rsidRPr="00F36DAE">
              <w:t>0.1525</w:t>
            </w:r>
          </w:p>
        </w:tc>
        <w:tc>
          <w:tcPr>
            <w:tcW w:w="1037" w:type="dxa"/>
            <w:noWrap/>
            <w:hideMark/>
          </w:tcPr>
          <w:p w14:paraId="753A32F7" w14:textId="77777777" w:rsidR="00F36DAE" w:rsidRPr="00F36DAE" w:rsidRDefault="00F36DAE" w:rsidP="004E5C57">
            <w:pPr>
              <w:pStyle w:val="TableText0"/>
            </w:pPr>
            <w:r w:rsidRPr="00F36DAE">
              <w:t>1.6374</w:t>
            </w:r>
          </w:p>
        </w:tc>
        <w:tc>
          <w:tcPr>
            <w:tcW w:w="960" w:type="dxa"/>
            <w:noWrap/>
            <w:hideMark/>
          </w:tcPr>
          <w:p w14:paraId="54C230DB" w14:textId="77777777" w:rsidR="00F36DAE" w:rsidRPr="00F36DAE" w:rsidRDefault="00F36DAE" w:rsidP="004E5C57">
            <w:pPr>
              <w:pStyle w:val="TableText0"/>
            </w:pPr>
            <w:r w:rsidRPr="00F36DAE">
              <w:t>0.2286</w:t>
            </w:r>
          </w:p>
        </w:tc>
        <w:tc>
          <w:tcPr>
            <w:tcW w:w="1037" w:type="dxa"/>
            <w:noWrap/>
            <w:hideMark/>
          </w:tcPr>
          <w:p w14:paraId="38D9169A" w14:textId="77777777" w:rsidR="00F36DAE" w:rsidRPr="00F36DAE" w:rsidRDefault="00F36DAE" w:rsidP="004E5C57">
            <w:pPr>
              <w:pStyle w:val="TableText0"/>
            </w:pPr>
            <w:r w:rsidRPr="00F36DAE">
              <w:t>2.2342</w:t>
            </w:r>
          </w:p>
        </w:tc>
      </w:tr>
      <w:tr w:rsidR="00F36DAE" w:rsidRPr="00F36DAE" w14:paraId="101CB98C" w14:textId="77777777" w:rsidTr="00BE0118">
        <w:trPr>
          <w:trHeight w:val="255"/>
        </w:trPr>
        <w:tc>
          <w:tcPr>
            <w:tcW w:w="960" w:type="dxa"/>
            <w:noWrap/>
            <w:hideMark/>
          </w:tcPr>
          <w:p w14:paraId="1F04E4F6" w14:textId="77777777" w:rsidR="00F36DAE" w:rsidRPr="00F36DAE" w:rsidRDefault="00F36DAE" w:rsidP="004E5C57">
            <w:pPr>
              <w:pStyle w:val="TableText0"/>
            </w:pPr>
            <w:r w:rsidRPr="00F36DAE">
              <w:t>9</w:t>
            </w:r>
          </w:p>
        </w:tc>
        <w:tc>
          <w:tcPr>
            <w:tcW w:w="1000" w:type="dxa"/>
            <w:noWrap/>
            <w:hideMark/>
          </w:tcPr>
          <w:p w14:paraId="19D067B1" w14:textId="77777777" w:rsidR="00F36DAE" w:rsidRPr="00F36DAE" w:rsidRDefault="00F36DAE" w:rsidP="004E5C57">
            <w:pPr>
              <w:pStyle w:val="TableText0"/>
            </w:pPr>
            <w:r w:rsidRPr="00F36DAE">
              <w:t>0.7200</w:t>
            </w:r>
          </w:p>
        </w:tc>
        <w:tc>
          <w:tcPr>
            <w:tcW w:w="1009" w:type="dxa"/>
            <w:noWrap/>
            <w:hideMark/>
          </w:tcPr>
          <w:p w14:paraId="6B26BF39" w14:textId="77777777" w:rsidR="00F36DAE" w:rsidRPr="00F36DAE" w:rsidRDefault="00F36DAE" w:rsidP="004E5C57">
            <w:pPr>
              <w:pStyle w:val="TableText0"/>
            </w:pPr>
            <w:r w:rsidRPr="00F36DAE">
              <w:t>0.0190</w:t>
            </w:r>
          </w:p>
        </w:tc>
        <w:tc>
          <w:tcPr>
            <w:tcW w:w="1000" w:type="dxa"/>
            <w:noWrap/>
            <w:hideMark/>
          </w:tcPr>
          <w:p w14:paraId="4882EA50" w14:textId="77777777" w:rsidR="00F36DAE" w:rsidRPr="00F36DAE" w:rsidRDefault="00F36DAE" w:rsidP="004E5C57">
            <w:pPr>
              <w:pStyle w:val="TableText0"/>
            </w:pPr>
            <w:r w:rsidRPr="00F36DAE">
              <w:t>0.1860</w:t>
            </w:r>
          </w:p>
        </w:tc>
        <w:tc>
          <w:tcPr>
            <w:tcW w:w="1000" w:type="dxa"/>
            <w:noWrap/>
            <w:hideMark/>
          </w:tcPr>
          <w:p w14:paraId="6163DB99" w14:textId="77777777" w:rsidR="00F36DAE" w:rsidRPr="00F36DAE" w:rsidRDefault="00F36DAE" w:rsidP="004E5C57">
            <w:pPr>
              <w:pStyle w:val="TableText0"/>
            </w:pPr>
            <w:r w:rsidRPr="00F36DAE">
              <w:t>0.0589</w:t>
            </w:r>
          </w:p>
        </w:tc>
        <w:tc>
          <w:tcPr>
            <w:tcW w:w="1000" w:type="dxa"/>
            <w:noWrap/>
            <w:hideMark/>
          </w:tcPr>
          <w:p w14:paraId="4EEC62EF" w14:textId="77777777" w:rsidR="00F36DAE" w:rsidRPr="00F36DAE" w:rsidRDefault="00F36DAE" w:rsidP="004E5C57">
            <w:pPr>
              <w:pStyle w:val="TableText0"/>
            </w:pPr>
            <w:r w:rsidRPr="00F36DAE">
              <w:t>0.0043</w:t>
            </w:r>
          </w:p>
        </w:tc>
        <w:tc>
          <w:tcPr>
            <w:tcW w:w="1000" w:type="dxa"/>
            <w:noWrap/>
            <w:hideMark/>
          </w:tcPr>
          <w:p w14:paraId="5D9C494F" w14:textId="77777777" w:rsidR="00F36DAE" w:rsidRPr="00F36DAE" w:rsidRDefault="00F36DAE" w:rsidP="004E5C57">
            <w:pPr>
              <w:pStyle w:val="TableText0"/>
            </w:pPr>
            <w:r w:rsidRPr="00F36DAE">
              <w:t>0.0014</w:t>
            </w:r>
          </w:p>
        </w:tc>
        <w:tc>
          <w:tcPr>
            <w:tcW w:w="1000" w:type="dxa"/>
            <w:noWrap/>
            <w:hideMark/>
          </w:tcPr>
          <w:p w14:paraId="4FB53769" w14:textId="77777777" w:rsidR="00F36DAE" w:rsidRPr="00F36DAE" w:rsidRDefault="00F36DAE" w:rsidP="004E5C57">
            <w:pPr>
              <w:pStyle w:val="TableText0"/>
            </w:pPr>
            <w:r w:rsidRPr="00F36DAE">
              <w:t>0.0104</w:t>
            </w:r>
          </w:p>
        </w:tc>
        <w:tc>
          <w:tcPr>
            <w:tcW w:w="1060" w:type="dxa"/>
            <w:noWrap/>
            <w:hideMark/>
          </w:tcPr>
          <w:p w14:paraId="761B9D92" w14:textId="77777777" w:rsidR="00F36DAE" w:rsidRPr="00F36DAE" w:rsidRDefault="00F36DAE" w:rsidP="004E5C57">
            <w:pPr>
              <w:pStyle w:val="TableText0"/>
            </w:pPr>
            <w:r w:rsidRPr="00F36DAE">
              <w:t>$4,076</w:t>
            </w:r>
          </w:p>
        </w:tc>
        <w:tc>
          <w:tcPr>
            <w:tcW w:w="1180" w:type="dxa"/>
            <w:noWrap/>
            <w:hideMark/>
          </w:tcPr>
          <w:p w14:paraId="1C78CF7F" w14:textId="77777777" w:rsidR="00F36DAE" w:rsidRPr="00F36DAE" w:rsidRDefault="00F36DAE" w:rsidP="004E5C57">
            <w:pPr>
              <w:pStyle w:val="TableText0"/>
            </w:pPr>
            <w:r w:rsidRPr="00F36DAE">
              <w:t>$43,621</w:t>
            </w:r>
          </w:p>
        </w:tc>
        <w:tc>
          <w:tcPr>
            <w:tcW w:w="960" w:type="dxa"/>
            <w:noWrap/>
            <w:hideMark/>
          </w:tcPr>
          <w:p w14:paraId="61BCEC83" w14:textId="77777777" w:rsidR="00F36DAE" w:rsidRPr="00F36DAE" w:rsidRDefault="00F36DAE" w:rsidP="004E5C57">
            <w:pPr>
              <w:pStyle w:val="TableText0"/>
            </w:pPr>
            <w:r w:rsidRPr="00F36DAE">
              <w:t>0.1503</w:t>
            </w:r>
          </w:p>
        </w:tc>
        <w:tc>
          <w:tcPr>
            <w:tcW w:w="1037" w:type="dxa"/>
            <w:noWrap/>
            <w:hideMark/>
          </w:tcPr>
          <w:p w14:paraId="27CA5254" w14:textId="77777777" w:rsidR="00F36DAE" w:rsidRPr="00F36DAE" w:rsidRDefault="00F36DAE" w:rsidP="004E5C57">
            <w:pPr>
              <w:pStyle w:val="TableText0"/>
            </w:pPr>
            <w:r w:rsidRPr="00F36DAE">
              <w:t>1.7877</w:t>
            </w:r>
          </w:p>
        </w:tc>
        <w:tc>
          <w:tcPr>
            <w:tcW w:w="960" w:type="dxa"/>
            <w:noWrap/>
            <w:hideMark/>
          </w:tcPr>
          <w:p w14:paraId="17C53A35" w14:textId="77777777" w:rsidR="00F36DAE" w:rsidRPr="00F36DAE" w:rsidRDefault="00F36DAE" w:rsidP="004E5C57">
            <w:pPr>
              <w:pStyle w:val="TableText0"/>
            </w:pPr>
            <w:r w:rsidRPr="00F36DAE">
              <w:t>0.2255</w:t>
            </w:r>
          </w:p>
        </w:tc>
        <w:tc>
          <w:tcPr>
            <w:tcW w:w="1037" w:type="dxa"/>
            <w:noWrap/>
            <w:hideMark/>
          </w:tcPr>
          <w:p w14:paraId="0456C6FE" w14:textId="77777777" w:rsidR="00F36DAE" w:rsidRPr="00F36DAE" w:rsidRDefault="00F36DAE" w:rsidP="004E5C57">
            <w:pPr>
              <w:pStyle w:val="TableText0"/>
            </w:pPr>
            <w:r w:rsidRPr="00F36DAE">
              <w:t>2.4597</w:t>
            </w:r>
          </w:p>
        </w:tc>
      </w:tr>
      <w:tr w:rsidR="00F36DAE" w:rsidRPr="00F36DAE" w14:paraId="23E182B7" w14:textId="77777777" w:rsidTr="00BE0118">
        <w:trPr>
          <w:trHeight w:val="255"/>
        </w:trPr>
        <w:tc>
          <w:tcPr>
            <w:tcW w:w="960" w:type="dxa"/>
            <w:noWrap/>
            <w:hideMark/>
          </w:tcPr>
          <w:p w14:paraId="3906D6F9" w14:textId="77777777" w:rsidR="00F36DAE" w:rsidRPr="00F36DAE" w:rsidRDefault="00F36DAE" w:rsidP="004E5C57">
            <w:pPr>
              <w:pStyle w:val="TableText0"/>
            </w:pPr>
            <w:r w:rsidRPr="00F36DAE">
              <w:t>10</w:t>
            </w:r>
          </w:p>
        </w:tc>
        <w:tc>
          <w:tcPr>
            <w:tcW w:w="1000" w:type="dxa"/>
            <w:noWrap/>
            <w:hideMark/>
          </w:tcPr>
          <w:p w14:paraId="5671E140" w14:textId="77777777" w:rsidR="00F36DAE" w:rsidRPr="00F36DAE" w:rsidRDefault="00F36DAE" w:rsidP="004E5C57">
            <w:pPr>
              <w:pStyle w:val="TableText0"/>
            </w:pPr>
            <w:r w:rsidRPr="00F36DAE">
              <w:t>0.7169</w:t>
            </w:r>
          </w:p>
        </w:tc>
        <w:tc>
          <w:tcPr>
            <w:tcW w:w="1009" w:type="dxa"/>
            <w:noWrap/>
            <w:hideMark/>
          </w:tcPr>
          <w:p w14:paraId="69DB4970" w14:textId="77777777" w:rsidR="00F36DAE" w:rsidRPr="00F36DAE" w:rsidRDefault="00F36DAE" w:rsidP="004E5C57">
            <w:pPr>
              <w:pStyle w:val="TableText0"/>
            </w:pPr>
            <w:r w:rsidRPr="00F36DAE">
              <w:t>0.0212</w:t>
            </w:r>
          </w:p>
        </w:tc>
        <w:tc>
          <w:tcPr>
            <w:tcW w:w="1000" w:type="dxa"/>
            <w:noWrap/>
            <w:hideMark/>
          </w:tcPr>
          <w:p w14:paraId="1C9D2AD3" w14:textId="77777777" w:rsidR="00F36DAE" w:rsidRPr="00F36DAE" w:rsidRDefault="00F36DAE" w:rsidP="004E5C57">
            <w:pPr>
              <w:pStyle w:val="TableText0"/>
            </w:pPr>
            <w:r w:rsidRPr="00F36DAE">
              <w:t>0.1851</w:t>
            </w:r>
          </w:p>
        </w:tc>
        <w:tc>
          <w:tcPr>
            <w:tcW w:w="1000" w:type="dxa"/>
            <w:noWrap/>
            <w:hideMark/>
          </w:tcPr>
          <w:p w14:paraId="5480B206" w14:textId="77777777" w:rsidR="00F36DAE" w:rsidRPr="00F36DAE" w:rsidRDefault="00F36DAE" w:rsidP="004E5C57">
            <w:pPr>
              <w:pStyle w:val="TableText0"/>
            </w:pPr>
            <w:r w:rsidRPr="00F36DAE">
              <w:t>0.0586</w:t>
            </w:r>
          </w:p>
        </w:tc>
        <w:tc>
          <w:tcPr>
            <w:tcW w:w="1000" w:type="dxa"/>
            <w:noWrap/>
            <w:hideMark/>
          </w:tcPr>
          <w:p w14:paraId="683A740F" w14:textId="77777777" w:rsidR="00F36DAE" w:rsidRPr="00F36DAE" w:rsidRDefault="00F36DAE" w:rsidP="004E5C57">
            <w:pPr>
              <w:pStyle w:val="TableText0"/>
            </w:pPr>
            <w:r w:rsidRPr="00F36DAE">
              <w:t>0.0049</w:t>
            </w:r>
          </w:p>
        </w:tc>
        <w:tc>
          <w:tcPr>
            <w:tcW w:w="1000" w:type="dxa"/>
            <w:noWrap/>
            <w:hideMark/>
          </w:tcPr>
          <w:p w14:paraId="25834229" w14:textId="77777777" w:rsidR="00F36DAE" w:rsidRPr="00F36DAE" w:rsidRDefault="00F36DAE" w:rsidP="004E5C57">
            <w:pPr>
              <w:pStyle w:val="TableText0"/>
            </w:pPr>
            <w:r w:rsidRPr="00F36DAE">
              <w:t>0.0015</w:t>
            </w:r>
          </w:p>
        </w:tc>
        <w:tc>
          <w:tcPr>
            <w:tcW w:w="1000" w:type="dxa"/>
            <w:noWrap/>
            <w:hideMark/>
          </w:tcPr>
          <w:p w14:paraId="378DE926" w14:textId="77777777" w:rsidR="00F36DAE" w:rsidRPr="00F36DAE" w:rsidRDefault="00F36DAE" w:rsidP="004E5C57">
            <w:pPr>
              <w:pStyle w:val="TableText0"/>
            </w:pPr>
            <w:r w:rsidRPr="00F36DAE">
              <w:t>0.0117</w:t>
            </w:r>
          </w:p>
        </w:tc>
        <w:tc>
          <w:tcPr>
            <w:tcW w:w="1060" w:type="dxa"/>
            <w:noWrap/>
            <w:hideMark/>
          </w:tcPr>
          <w:p w14:paraId="5A3630DE" w14:textId="77777777" w:rsidR="00F36DAE" w:rsidRPr="00F36DAE" w:rsidRDefault="00F36DAE" w:rsidP="004E5C57">
            <w:pPr>
              <w:pStyle w:val="TableText0"/>
            </w:pPr>
            <w:r w:rsidRPr="00F36DAE">
              <w:t>$4,023</w:t>
            </w:r>
          </w:p>
        </w:tc>
        <w:tc>
          <w:tcPr>
            <w:tcW w:w="1180" w:type="dxa"/>
            <w:noWrap/>
            <w:hideMark/>
          </w:tcPr>
          <w:p w14:paraId="6BFD9B39" w14:textId="77777777" w:rsidR="00F36DAE" w:rsidRPr="00F36DAE" w:rsidRDefault="00F36DAE" w:rsidP="004E5C57">
            <w:pPr>
              <w:pStyle w:val="TableText0"/>
            </w:pPr>
            <w:r w:rsidRPr="00F36DAE">
              <w:t>$47,644</w:t>
            </w:r>
          </w:p>
        </w:tc>
        <w:tc>
          <w:tcPr>
            <w:tcW w:w="960" w:type="dxa"/>
            <w:noWrap/>
            <w:hideMark/>
          </w:tcPr>
          <w:p w14:paraId="7B38CD18" w14:textId="77777777" w:rsidR="00F36DAE" w:rsidRPr="00F36DAE" w:rsidRDefault="00F36DAE" w:rsidP="004E5C57">
            <w:pPr>
              <w:pStyle w:val="TableText0"/>
            </w:pPr>
            <w:r w:rsidRPr="00F36DAE">
              <w:t>0.1481</w:t>
            </w:r>
          </w:p>
        </w:tc>
        <w:tc>
          <w:tcPr>
            <w:tcW w:w="1037" w:type="dxa"/>
            <w:noWrap/>
            <w:hideMark/>
          </w:tcPr>
          <w:p w14:paraId="4D21076E" w14:textId="77777777" w:rsidR="00F36DAE" w:rsidRPr="00F36DAE" w:rsidRDefault="00F36DAE" w:rsidP="004E5C57">
            <w:pPr>
              <w:pStyle w:val="TableText0"/>
            </w:pPr>
            <w:r w:rsidRPr="00F36DAE">
              <w:t>1.9358</w:t>
            </w:r>
          </w:p>
        </w:tc>
        <w:tc>
          <w:tcPr>
            <w:tcW w:w="960" w:type="dxa"/>
            <w:noWrap/>
            <w:hideMark/>
          </w:tcPr>
          <w:p w14:paraId="0726EE97" w14:textId="77777777" w:rsidR="00F36DAE" w:rsidRPr="00F36DAE" w:rsidRDefault="00F36DAE" w:rsidP="004E5C57">
            <w:pPr>
              <w:pStyle w:val="TableText0"/>
            </w:pPr>
            <w:r w:rsidRPr="00F36DAE">
              <w:t>0.2225</w:t>
            </w:r>
          </w:p>
        </w:tc>
        <w:tc>
          <w:tcPr>
            <w:tcW w:w="1037" w:type="dxa"/>
            <w:noWrap/>
            <w:hideMark/>
          </w:tcPr>
          <w:p w14:paraId="7B9BD258" w14:textId="77777777" w:rsidR="00F36DAE" w:rsidRPr="00F36DAE" w:rsidRDefault="00F36DAE" w:rsidP="004E5C57">
            <w:pPr>
              <w:pStyle w:val="TableText0"/>
            </w:pPr>
            <w:r w:rsidRPr="00F36DAE">
              <w:t>2.6822</w:t>
            </w:r>
          </w:p>
        </w:tc>
      </w:tr>
      <w:tr w:rsidR="00F36DAE" w:rsidRPr="00F36DAE" w14:paraId="328D8575" w14:textId="77777777" w:rsidTr="00BE0118">
        <w:trPr>
          <w:trHeight w:val="255"/>
        </w:trPr>
        <w:tc>
          <w:tcPr>
            <w:tcW w:w="960" w:type="dxa"/>
            <w:noWrap/>
            <w:hideMark/>
          </w:tcPr>
          <w:p w14:paraId="1D606CFE" w14:textId="77777777" w:rsidR="00F36DAE" w:rsidRPr="00F36DAE" w:rsidRDefault="00F36DAE" w:rsidP="004E5C57">
            <w:pPr>
              <w:pStyle w:val="TableText0"/>
            </w:pPr>
            <w:r w:rsidRPr="00F36DAE">
              <w:t>11</w:t>
            </w:r>
          </w:p>
        </w:tc>
        <w:tc>
          <w:tcPr>
            <w:tcW w:w="1000" w:type="dxa"/>
            <w:noWrap/>
            <w:hideMark/>
          </w:tcPr>
          <w:p w14:paraId="1741FCD4" w14:textId="77777777" w:rsidR="00F36DAE" w:rsidRPr="00F36DAE" w:rsidRDefault="00F36DAE" w:rsidP="004E5C57">
            <w:pPr>
              <w:pStyle w:val="TableText0"/>
            </w:pPr>
            <w:r w:rsidRPr="00F36DAE">
              <w:t>0.7138</w:t>
            </w:r>
          </w:p>
        </w:tc>
        <w:tc>
          <w:tcPr>
            <w:tcW w:w="1009" w:type="dxa"/>
            <w:noWrap/>
            <w:hideMark/>
          </w:tcPr>
          <w:p w14:paraId="598D1F77" w14:textId="77777777" w:rsidR="00F36DAE" w:rsidRPr="00F36DAE" w:rsidRDefault="00F36DAE" w:rsidP="004E5C57">
            <w:pPr>
              <w:pStyle w:val="TableText0"/>
            </w:pPr>
            <w:r w:rsidRPr="00F36DAE">
              <w:t>0.0232</w:t>
            </w:r>
          </w:p>
        </w:tc>
        <w:tc>
          <w:tcPr>
            <w:tcW w:w="1000" w:type="dxa"/>
            <w:noWrap/>
            <w:hideMark/>
          </w:tcPr>
          <w:p w14:paraId="15FCF8E4" w14:textId="77777777" w:rsidR="00F36DAE" w:rsidRPr="00F36DAE" w:rsidRDefault="00F36DAE" w:rsidP="004E5C57">
            <w:pPr>
              <w:pStyle w:val="TableText0"/>
            </w:pPr>
            <w:r w:rsidRPr="00F36DAE">
              <w:t>0.1843</w:t>
            </w:r>
          </w:p>
        </w:tc>
        <w:tc>
          <w:tcPr>
            <w:tcW w:w="1000" w:type="dxa"/>
            <w:noWrap/>
            <w:hideMark/>
          </w:tcPr>
          <w:p w14:paraId="24E50272" w14:textId="77777777" w:rsidR="00F36DAE" w:rsidRPr="00F36DAE" w:rsidRDefault="00F36DAE" w:rsidP="004E5C57">
            <w:pPr>
              <w:pStyle w:val="TableText0"/>
            </w:pPr>
            <w:r w:rsidRPr="00F36DAE">
              <w:t>0.0584</w:t>
            </w:r>
          </w:p>
        </w:tc>
        <w:tc>
          <w:tcPr>
            <w:tcW w:w="1000" w:type="dxa"/>
            <w:noWrap/>
            <w:hideMark/>
          </w:tcPr>
          <w:p w14:paraId="009B8B10" w14:textId="77777777" w:rsidR="00F36DAE" w:rsidRPr="00F36DAE" w:rsidRDefault="00F36DAE" w:rsidP="004E5C57">
            <w:pPr>
              <w:pStyle w:val="TableText0"/>
            </w:pPr>
            <w:r w:rsidRPr="00F36DAE">
              <w:t>0.0054</w:t>
            </w:r>
          </w:p>
        </w:tc>
        <w:tc>
          <w:tcPr>
            <w:tcW w:w="1000" w:type="dxa"/>
            <w:noWrap/>
            <w:hideMark/>
          </w:tcPr>
          <w:p w14:paraId="6A328867" w14:textId="77777777" w:rsidR="00F36DAE" w:rsidRPr="00F36DAE" w:rsidRDefault="00F36DAE" w:rsidP="004E5C57">
            <w:pPr>
              <w:pStyle w:val="TableText0"/>
            </w:pPr>
            <w:r w:rsidRPr="00F36DAE">
              <w:t>0.0017</w:t>
            </w:r>
          </w:p>
        </w:tc>
        <w:tc>
          <w:tcPr>
            <w:tcW w:w="1000" w:type="dxa"/>
            <w:noWrap/>
            <w:hideMark/>
          </w:tcPr>
          <w:p w14:paraId="2FA7BBF9" w14:textId="77777777" w:rsidR="00F36DAE" w:rsidRPr="00F36DAE" w:rsidRDefault="00F36DAE" w:rsidP="004E5C57">
            <w:pPr>
              <w:pStyle w:val="TableText0"/>
            </w:pPr>
            <w:r w:rsidRPr="00F36DAE">
              <w:t>0.0131</w:t>
            </w:r>
          </w:p>
        </w:tc>
        <w:tc>
          <w:tcPr>
            <w:tcW w:w="1060" w:type="dxa"/>
            <w:noWrap/>
            <w:hideMark/>
          </w:tcPr>
          <w:p w14:paraId="50E31B9E" w14:textId="77777777" w:rsidR="00F36DAE" w:rsidRPr="00F36DAE" w:rsidRDefault="00F36DAE" w:rsidP="004E5C57">
            <w:pPr>
              <w:pStyle w:val="TableText0"/>
            </w:pPr>
            <w:r w:rsidRPr="00F36DAE">
              <w:t>$3,971</w:t>
            </w:r>
          </w:p>
        </w:tc>
        <w:tc>
          <w:tcPr>
            <w:tcW w:w="1180" w:type="dxa"/>
            <w:noWrap/>
            <w:hideMark/>
          </w:tcPr>
          <w:p w14:paraId="33A76646" w14:textId="77777777" w:rsidR="00F36DAE" w:rsidRPr="00F36DAE" w:rsidRDefault="00F36DAE" w:rsidP="004E5C57">
            <w:pPr>
              <w:pStyle w:val="TableText0"/>
            </w:pPr>
            <w:r w:rsidRPr="00F36DAE">
              <w:t>$51,614</w:t>
            </w:r>
          </w:p>
        </w:tc>
        <w:tc>
          <w:tcPr>
            <w:tcW w:w="960" w:type="dxa"/>
            <w:noWrap/>
            <w:hideMark/>
          </w:tcPr>
          <w:p w14:paraId="380B5828" w14:textId="77777777" w:rsidR="00F36DAE" w:rsidRPr="00F36DAE" w:rsidRDefault="00F36DAE" w:rsidP="004E5C57">
            <w:pPr>
              <w:pStyle w:val="TableText0"/>
            </w:pPr>
            <w:r w:rsidRPr="00F36DAE">
              <w:t>0.1460</w:t>
            </w:r>
          </w:p>
        </w:tc>
        <w:tc>
          <w:tcPr>
            <w:tcW w:w="1037" w:type="dxa"/>
            <w:noWrap/>
            <w:hideMark/>
          </w:tcPr>
          <w:p w14:paraId="2641D05F" w14:textId="77777777" w:rsidR="00F36DAE" w:rsidRPr="00F36DAE" w:rsidRDefault="00F36DAE" w:rsidP="004E5C57">
            <w:pPr>
              <w:pStyle w:val="TableText0"/>
            </w:pPr>
            <w:r w:rsidRPr="00F36DAE">
              <w:t>2.0817</w:t>
            </w:r>
          </w:p>
        </w:tc>
        <w:tc>
          <w:tcPr>
            <w:tcW w:w="960" w:type="dxa"/>
            <w:noWrap/>
            <w:hideMark/>
          </w:tcPr>
          <w:p w14:paraId="45E39E2F" w14:textId="77777777" w:rsidR="00F36DAE" w:rsidRPr="00F36DAE" w:rsidRDefault="00F36DAE" w:rsidP="004E5C57">
            <w:pPr>
              <w:pStyle w:val="TableText0"/>
            </w:pPr>
            <w:r w:rsidRPr="00F36DAE">
              <w:t>0.2195</w:t>
            </w:r>
          </w:p>
        </w:tc>
        <w:tc>
          <w:tcPr>
            <w:tcW w:w="1037" w:type="dxa"/>
            <w:noWrap/>
            <w:hideMark/>
          </w:tcPr>
          <w:p w14:paraId="48384A77" w14:textId="77777777" w:rsidR="00F36DAE" w:rsidRPr="00F36DAE" w:rsidRDefault="00F36DAE" w:rsidP="004E5C57">
            <w:pPr>
              <w:pStyle w:val="TableText0"/>
            </w:pPr>
            <w:r w:rsidRPr="00F36DAE">
              <w:t>2.9016</w:t>
            </w:r>
          </w:p>
        </w:tc>
      </w:tr>
      <w:tr w:rsidR="00F36DAE" w:rsidRPr="00F36DAE" w14:paraId="4A26149D" w14:textId="77777777" w:rsidTr="00BE0118">
        <w:trPr>
          <w:trHeight w:val="255"/>
        </w:trPr>
        <w:tc>
          <w:tcPr>
            <w:tcW w:w="960" w:type="dxa"/>
            <w:noWrap/>
            <w:hideMark/>
          </w:tcPr>
          <w:p w14:paraId="7A45A541" w14:textId="77777777" w:rsidR="00F36DAE" w:rsidRPr="00F36DAE" w:rsidRDefault="00F36DAE" w:rsidP="004E5C57">
            <w:pPr>
              <w:pStyle w:val="TableText0"/>
            </w:pPr>
            <w:r w:rsidRPr="00F36DAE">
              <w:t>12</w:t>
            </w:r>
          </w:p>
        </w:tc>
        <w:tc>
          <w:tcPr>
            <w:tcW w:w="1000" w:type="dxa"/>
            <w:noWrap/>
            <w:hideMark/>
          </w:tcPr>
          <w:p w14:paraId="5CE1A0F4" w14:textId="77777777" w:rsidR="00F36DAE" w:rsidRPr="00F36DAE" w:rsidRDefault="00F36DAE" w:rsidP="004E5C57">
            <w:pPr>
              <w:pStyle w:val="TableText0"/>
            </w:pPr>
            <w:r w:rsidRPr="00F36DAE">
              <w:t>0.7107</w:t>
            </w:r>
          </w:p>
        </w:tc>
        <w:tc>
          <w:tcPr>
            <w:tcW w:w="1009" w:type="dxa"/>
            <w:noWrap/>
            <w:hideMark/>
          </w:tcPr>
          <w:p w14:paraId="56E891AC" w14:textId="77777777" w:rsidR="00F36DAE" w:rsidRPr="00F36DAE" w:rsidRDefault="00F36DAE" w:rsidP="004E5C57">
            <w:pPr>
              <w:pStyle w:val="TableText0"/>
            </w:pPr>
            <w:r w:rsidRPr="00F36DAE">
              <w:t>0.0253</w:t>
            </w:r>
          </w:p>
        </w:tc>
        <w:tc>
          <w:tcPr>
            <w:tcW w:w="1000" w:type="dxa"/>
            <w:noWrap/>
            <w:hideMark/>
          </w:tcPr>
          <w:p w14:paraId="332955F1" w14:textId="77777777" w:rsidR="00F36DAE" w:rsidRPr="00F36DAE" w:rsidRDefault="00F36DAE" w:rsidP="004E5C57">
            <w:pPr>
              <w:pStyle w:val="TableText0"/>
            </w:pPr>
            <w:r w:rsidRPr="00F36DAE">
              <w:t>0.1835</w:t>
            </w:r>
          </w:p>
        </w:tc>
        <w:tc>
          <w:tcPr>
            <w:tcW w:w="1000" w:type="dxa"/>
            <w:noWrap/>
            <w:hideMark/>
          </w:tcPr>
          <w:p w14:paraId="53D2CBF3" w14:textId="77777777" w:rsidR="00F36DAE" w:rsidRPr="00F36DAE" w:rsidRDefault="00F36DAE" w:rsidP="004E5C57">
            <w:pPr>
              <w:pStyle w:val="TableText0"/>
            </w:pPr>
            <w:r w:rsidRPr="00F36DAE">
              <w:t>0.0581</w:t>
            </w:r>
          </w:p>
        </w:tc>
        <w:tc>
          <w:tcPr>
            <w:tcW w:w="1000" w:type="dxa"/>
            <w:noWrap/>
            <w:hideMark/>
          </w:tcPr>
          <w:p w14:paraId="58E71B78" w14:textId="77777777" w:rsidR="00F36DAE" w:rsidRPr="00F36DAE" w:rsidRDefault="00F36DAE" w:rsidP="004E5C57">
            <w:pPr>
              <w:pStyle w:val="TableText0"/>
            </w:pPr>
            <w:r w:rsidRPr="00F36DAE">
              <w:t>0.0060</w:t>
            </w:r>
          </w:p>
        </w:tc>
        <w:tc>
          <w:tcPr>
            <w:tcW w:w="1000" w:type="dxa"/>
            <w:noWrap/>
            <w:hideMark/>
          </w:tcPr>
          <w:p w14:paraId="35159D8A" w14:textId="77777777" w:rsidR="00F36DAE" w:rsidRPr="00F36DAE" w:rsidRDefault="00F36DAE" w:rsidP="004E5C57">
            <w:pPr>
              <w:pStyle w:val="TableText0"/>
            </w:pPr>
            <w:r w:rsidRPr="00F36DAE">
              <w:t>0.0019</w:t>
            </w:r>
          </w:p>
        </w:tc>
        <w:tc>
          <w:tcPr>
            <w:tcW w:w="1000" w:type="dxa"/>
            <w:noWrap/>
            <w:hideMark/>
          </w:tcPr>
          <w:p w14:paraId="194993E6" w14:textId="77777777" w:rsidR="00F36DAE" w:rsidRPr="00F36DAE" w:rsidRDefault="00F36DAE" w:rsidP="004E5C57">
            <w:pPr>
              <w:pStyle w:val="TableText0"/>
            </w:pPr>
            <w:r w:rsidRPr="00F36DAE">
              <w:t>0.0145</w:t>
            </w:r>
          </w:p>
        </w:tc>
        <w:tc>
          <w:tcPr>
            <w:tcW w:w="1060" w:type="dxa"/>
            <w:noWrap/>
            <w:hideMark/>
          </w:tcPr>
          <w:p w14:paraId="36BB8D16" w14:textId="77777777" w:rsidR="00F36DAE" w:rsidRPr="00F36DAE" w:rsidRDefault="00F36DAE" w:rsidP="004E5C57">
            <w:pPr>
              <w:pStyle w:val="TableText0"/>
            </w:pPr>
            <w:r w:rsidRPr="00F36DAE">
              <w:t>$3,919</w:t>
            </w:r>
          </w:p>
        </w:tc>
        <w:tc>
          <w:tcPr>
            <w:tcW w:w="1180" w:type="dxa"/>
            <w:noWrap/>
            <w:hideMark/>
          </w:tcPr>
          <w:p w14:paraId="5420571D" w14:textId="77777777" w:rsidR="00F36DAE" w:rsidRPr="00F36DAE" w:rsidRDefault="00F36DAE" w:rsidP="004E5C57">
            <w:pPr>
              <w:pStyle w:val="TableText0"/>
            </w:pPr>
            <w:r w:rsidRPr="00F36DAE">
              <w:t>$55,533</w:t>
            </w:r>
          </w:p>
        </w:tc>
        <w:tc>
          <w:tcPr>
            <w:tcW w:w="960" w:type="dxa"/>
            <w:noWrap/>
            <w:hideMark/>
          </w:tcPr>
          <w:p w14:paraId="77BAD05E" w14:textId="77777777" w:rsidR="00F36DAE" w:rsidRPr="00F36DAE" w:rsidRDefault="00F36DAE" w:rsidP="004E5C57">
            <w:pPr>
              <w:pStyle w:val="TableText0"/>
            </w:pPr>
            <w:r w:rsidRPr="00F36DAE">
              <w:t>0.1438</w:t>
            </w:r>
          </w:p>
        </w:tc>
        <w:tc>
          <w:tcPr>
            <w:tcW w:w="1037" w:type="dxa"/>
            <w:noWrap/>
            <w:hideMark/>
          </w:tcPr>
          <w:p w14:paraId="54D8A85F" w14:textId="77777777" w:rsidR="00F36DAE" w:rsidRPr="00F36DAE" w:rsidRDefault="00F36DAE" w:rsidP="004E5C57">
            <w:pPr>
              <w:pStyle w:val="TableText0"/>
            </w:pPr>
            <w:r w:rsidRPr="00F36DAE">
              <w:t>2.2256</w:t>
            </w:r>
          </w:p>
        </w:tc>
        <w:tc>
          <w:tcPr>
            <w:tcW w:w="960" w:type="dxa"/>
            <w:noWrap/>
            <w:hideMark/>
          </w:tcPr>
          <w:p w14:paraId="16C03907" w14:textId="77777777" w:rsidR="00F36DAE" w:rsidRPr="00F36DAE" w:rsidRDefault="00F36DAE" w:rsidP="004E5C57">
            <w:pPr>
              <w:pStyle w:val="TableText0"/>
            </w:pPr>
            <w:r w:rsidRPr="00F36DAE">
              <w:t>0.2165</w:t>
            </w:r>
          </w:p>
        </w:tc>
        <w:tc>
          <w:tcPr>
            <w:tcW w:w="1037" w:type="dxa"/>
            <w:noWrap/>
            <w:hideMark/>
          </w:tcPr>
          <w:p w14:paraId="67588653" w14:textId="77777777" w:rsidR="00F36DAE" w:rsidRPr="00F36DAE" w:rsidRDefault="00F36DAE" w:rsidP="004E5C57">
            <w:pPr>
              <w:pStyle w:val="TableText0"/>
            </w:pPr>
            <w:r w:rsidRPr="00F36DAE">
              <w:t>3.1181</w:t>
            </w:r>
          </w:p>
        </w:tc>
      </w:tr>
      <w:tr w:rsidR="00F36DAE" w:rsidRPr="00F36DAE" w14:paraId="47FE85A5" w14:textId="77777777" w:rsidTr="00BE0118">
        <w:trPr>
          <w:trHeight w:val="255"/>
        </w:trPr>
        <w:tc>
          <w:tcPr>
            <w:tcW w:w="960" w:type="dxa"/>
            <w:noWrap/>
            <w:hideMark/>
          </w:tcPr>
          <w:p w14:paraId="31F1AB8B" w14:textId="77777777" w:rsidR="00F36DAE" w:rsidRPr="00F36DAE" w:rsidRDefault="00F36DAE" w:rsidP="004E5C57">
            <w:pPr>
              <w:pStyle w:val="TableText0"/>
            </w:pPr>
            <w:r w:rsidRPr="00F36DAE">
              <w:t>13</w:t>
            </w:r>
          </w:p>
        </w:tc>
        <w:tc>
          <w:tcPr>
            <w:tcW w:w="1000" w:type="dxa"/>
            <w:noWrap/>
            <w:hideMark/>
          </w:tcPr>
          <w:p w14:paraId="1F4ECB8A" w14:textId="77777777" w:rsidR="00F36DAE" w:rsidRPr="00F36DAE" w:rsidRDefault="00F36DAE" w:rsidP="004E5C57">
            <w:pPr>
              <w:pStyle w:val="TableText0"/>
            </w:pPr>
            <w:r w:rsidRPr="00F36DAE">
              <w:t>0.7076</w:t>
            </w:r>
          </w:p>
        </w:tc>
        <w:tc>
          <w:tcPr>
            <w:tcW w:w="1009" w:type="dxa"/>
            <w:noWrap/>
            <w:hideMark/>
          </w:tcPr>
          <w:p w14:paraId="2CE33105" w14:textId="77777777" w:rsidR="00F36DAE" w:rsidRPr="00F36DAE" w:rsidRDefault="00F36DAE" w:rsidP="004E5C57">
            <w:pPr>
              <w:pStyle w:val="TableText0"/>
            </w:pPr>
            <w:r w:rsidRPr="00F36DAE">
              <w:t>0.0273</w:t>
            </w:r>
          </w:p>
        </w:tc>
        <w:tc>
          <w:tcPr>
            <w:tcW w:w="1000" w:type="dxa"/>
            <w:noWrap/>
            <w:hideMark/>
          </w:tcPr>
          <w:p w14:paraId="22DC5606" w14:textId="77777777" w:rsidR="00F36DAE" w:rsidRPr="00F36DAE" w:rsidRDefault="00F36DAE" w:rsidP="004E5C57">
            <w:pPr>
              <w:pStyle w:val="TableText0"/>
            </w:pPr>
            <w:r w:rsidRPr="00F36DAE">
              <w:t>0.1827</w:t>
            </w:r>
          </w:p>
        </w:tc>
        <w:tc>
          <w:tcPr>
            <w:tcW w:w="1000" w:type="dxa"/>
            <w:noWrap/>
            <w:hideMark/>
          </w:tcPr>
          <w:p w14:paraId="79DCE969" w14:textId="77777777" w:rsidR="00F36DAE" w:rsidRPr="00F36DAE" w:rsidRDefault="00F36DAE" w:rsidP="004E5C57">
            <w:pPr>
              <w:pStyle w:val="TableText0"/>
            </w:pPr>
            <w:r w:rsidRPr="00F36DAE">
              <w:t>0.0578</w:t>
            </w:r>
          </w:p>
        </w:tc>
        <w:tc>
          <w:tcPr>
            <w:tcW w:w="1000" w:type="dxa"/>
            <w:noWrap/>
            <w:hideMark/>
          </w:tcPr>
          <w:p w14:paraId="2AF35B0E" w14:textId="77777777" w:rsidR="00F36DAE" w:rsidRPr="00F36DAE" w:rsidRDefault="00F36DAE" w:rsidP="004E5C57">
            <w:pPr>
              <w:pStyle w:val="TableText0"/>
            </w:pPr>
            <w:r w:rsidRPr="00F36DAE">
              <w:t>0.0065</w:t>
            </w:r>
          </w:p>
        </w:tc>
        <w:tc>
          <w:tcPr>
            <w:tcW w:w="1000" w:type="dxa"/>
            <w:noWrap/>
            <w:hideMark/>
          </w:tcPr>
          <w:p w14:paraId="54F8EFF1" w14:textId="77777777" w:rsidR="00F36DAE" w:rsidRPr="00F36DAE" w:rsidRDefault="00F36DAE" w:rsidP="004E5C57">
            <w:pPr>
              <w:pStyle w:val="TableText0"/>
            </w:pPr>
            <w:r w:rsidRPr="00F36DAE">
              <w:t>0.0021</w:t>
            </w:r>
          </w:p>
        </w:tc>
        <w:tc>
          <w:tcPr>
            <w:tcW w:w="1000" w:type="dxa"/>
            <w:noWrap/>
            <w:hideMark/>
          </w:tcPr>
          <w:p w14:paraId="6D19D1CE" w14:textId="77777777" w:rsidR="00F36DAE" w:rsidRPr="00F36DAE" w:rsidRDefault="00F36DAE" w:rsidP="004E5C57">
            <w:pPr>
              <w:pStyle w:val="TableText0"/>
            </w:pPr>
            <w:r w:rsidRPr="00F36DAE">
              <w:t>0.0159</w:t>
            </w:r>
          </w:p>
        </w:tc>
        <w:tc>
          <w:tcPr>
            <w:tcW w:w="1060" w:type="dxa"/>
            <w:noWrap/>
            <w:hideMark/>
          </w:tcPr>
          <w:p w14:paraId="1292C333" w14:textId="77777777" w:rsidR="00F36DAE" w:rsidRPr="00F36DAE" w:rsidRDefault="00F36DAE" w:rsidP="004E5C57">
            <w:pPr>
              <w:pStyle w:val="TableText0"/>
            </w:pPr>
            <w:r w:rsidRPr="00F36DAE">
              <w:t>$3,255</w:t>
            </w:r>
          </w:p>
        </w:tc>
        <w:tc>
          <w:tcPr>
            <w:tcW w:w="1180" w:type="dxa"/>
            <w:noWrap/>
            <w:hideMark/>
          </w:tcPr>
          <w:p w14:paraId="23573CA4" w14:textId="77777777" w:rsidR="00F36DAE" w:rsidRPr="00F36DAE" w:rsidRDefault="00F36DAE" w:rsidP="004E5C57">
            <w:pPr>
              <w:pStyle w:val="TableText0"/>
            </w:pPr>
            <w:r w:rsidRPr="00F36DAE">
              <w:t>$58,788</w:t>
            </w:r>
          </w:p>
        </w:tc>
        <w:tc>
          <w:tcPr>
            <w:tcW w:w="960" w:type="dxa"/>
            <w:noWrap/>
            <w:hideMark/>
          </w:tcPr>
          <w:p w14:paraId="64BE337F" w14:textId="77777777" w:rsidR="00F36DAE" w:rsidRPr="00F36DAE" w:rsidRDefault="00F36DAE" w:rsidP="004E5C57">
            <w:pPr>
              <w:pStyle w:val="TableText0"/>
            </w:pPr>
            <w:r w:rsidRPr="00F36DAE">
              <w:t>0.1418</w:t>
            </w:r>
          </w:p>
        </w:tc>
        <w:tc>
          <w:tcPr>
            <w:tcW w:w="1037" w:type="dxa"/>
            <w:noWrap/>
            <w:hideMark/>
          </w:tcPr>
          <w:p w14:paraId="6FCA79C2" w14:textId="77777777" w:rsidR="00F36DAE" w:rsidRPr="00F36DAE" w:rsidRDefault="00F36DAE" w:rsidP="004E5C57">
            <w:pPr>
              <w:pStyle w:val="TableText0"/>
            </w:pPr>
            <w:r w:rsidRPr="00F36DAE">
              <w:t>2.3673</w:t>
            </w:r>
          </w:p>
        </w:tc>
        <w:tc>
          <w:tcPr>
            <w:tcW w:w="960" w:type="dxa"/>
            <w:noWrap/>
            <w:hideMark/>
          </w:tcPr>
          <w:p w14:paraId="45ADF386" w14:textId="77777777" w:rsidR="00F36DAE" w:rsidRPr="00F36DAE" w:rsidRDefault="00F36DAE" w:rsidP="004E5C57">
            <w:pPr>
              <w:pStyle w:val="TableText0"/>
            </w:pPr>
            <w:r w:rsidRPr="00F36DAE">
              <w:t>0.2135</w:t>
            </w:r>
          </w:p>
        </w:tc>
        <w:tc>
          <w:tcPr>
            <w:tcW w:w="1037" w:type="dxa"/>
            <w:noWrap/>
            <w:hideMark/>
          </w:tcPr>
          <w:p w14:paraId="3D6432D2" w14:textId="77777777" w:rsidR="00F36DAE" w:rsidRPr="00F36DAE" w:rsidRDefault="00F36DAE" w:rsidP="004E5C57">
            <w:pPr>
              <w:pStyle w:val="TableText0"/>
            </w:pPr>
            <w:r w:rsidRPr="00F36DAE">
              <w:t>3.3317</w:t>
            </w:r>
          </w:p>
        </w:tc>
      </w:tr>
      <w:tr w:rsidR="00F36DAE" w:rsidRPr="00F36DAE" w14:paraId="7D5971A8" w14:textId="77777777" w:rsidTr="00BE0118">
        <w:trPr>
          <w:trHeight w:val="255"/>
        </w:trPr>
        <w:tc>
          <w:tcPr>
            <w:tcW w:w="960" w:type="dxa"/>
            <w:noWrap/>
            <w:hideMark/>
          </w:tcPr>
          <w:p w14:paraId="0A59DF3D" w14:textId="77777777" w:rsidR="00F36DAE" w:rsidRPr="00F36DAE" w:rsidRDefault="00F36DAE" w:rsidP="004E5C57">
            <w:pPr>
              <w:pStyle w:val="TableText0"/>
            </w:pPr>
            <w:r w:rsidRPr="00F36DAE">
              <w:t>14</w:t>
            </w:r>
          </w:p>
        </w:tc>
        <w:tc>
          <w:tcPr>
            <w:tcW w:w="1000" w:type="dxa"/>
            <w:noWrap/>
            <w:hideMark/>
          </w:tcPr>
          <w:p w14:paraId="34D5E7E6" w14:textId="77777777" w:rsidR="00F36DAE" w:rsidRPr="00F36DAE" w:rsidRDefault="00F36DAE" w:rsidP="004E5C57">
            <w:pPr>
              <w:pStyle w:val="TableText0"/>
            </w:pPr>
            <w:r w:rsidRPr="00F36DAE">
              <w:t>0.7045</w:t>
            </w:r>
          </w:p>
        </w:tc>
        <w:tc>
          <w:tcPr>
            <w:tcW w:w="1009" w:type="dxa"/>
            <w:noWrap/>
            <w:hideMark/>
          </w:tcPr>
          <w:p w14:paraId="0D2E3A00" w14:textId="77777777" w:rsidR="00F36DAE" w:rsidRPr="00F36DAE" w:rsidRDefault="00F36DAE" w:rsidP="004E5C57">
            <w:pPr>
              <w:pStyle w:val="TableText0"/>
            </w:pPr>
            <w:r w:rsidRPr="00F36DAE">
              <w:t>0.0293</w:t>
            </w:r>
          </w:p>
        </w:tc>
        <w:tc>
          <w:tcPr>
            <w:tcW w:w="1000" w:type="dxa"/>
            <w:noWrap/>
            <w:hideMark/>
          </w:tcPr>
          <w:p w14:paraId="4173C480" w14:textId="77777777" w:rsidR="00F36DAE" w:rsidRPr="00F36DAE" w:rsidRDefault="00F36DAE" w:rsidP="004E5C57">
            <w:pPr>
              <w:pStyle w:val="TableText0"/>
            </w:pPr>
            <w:r w:rsidRPr="00F36DAE">
              <w:t>0.1820</w:t>
            </w:r>
          </w:p>
        </w:tc>
        <w:tc>
          <w:tcPr>
            <w:tcW w:w="1000" w:type="dxa"/>
            <w:noWrap/>
            <w:hideMark/>
          </w:tcPr>
          <w:p w14:paraId="11464CAD" w14:textId="77777777" w:rsidR="00F36DAE" w:rsidRPr="00F36DAE" w:rsidRDefault="00F36DAE" w:rsidP="004E5C57">
            <w:pPr>
              <w:pStyle w:val="TableText0"/>
            </w:pPr>
            <w:r w:rsidRPr="00F36DAE">
              <w:t>0.0576</w:t>
            </w:r>
          </w:p>
        </w:tc>
        <w:tc>
          <w:tcPr>
            <w:tcW w:w="1000" w:type="dxa"/>
            <w:noWrap/>
            <w:hideMark/>
          </w:tcPr>
          <w:p w14:paraId="50F84B15" w14:textId="77777777" w:rsidR="00F36DAE" w:rsidRPr="00F36DAE" w:rsidRDefault="00F36DAE" w:rsidP="004E5C57">
            <w:pPr>
              <w:pStyle w:val="TableText0"/>
            </w:pPr>
            <w:r w:rsidRPr="00F36DAE">
              <w:t>0.0070</w:t>
            </w:r>
          </w:p>
        </w:tc>
        <w:tc>
          <w:tcPr>
            <w:tcW w:w="1000" w:type="dxa"/>
            <w:noWrap/>
            <w:hideMark/>
          </w:tcPr>
          <w:p w14:paraId="60655458" w14:textId="77777777" w:rsidR="00F36DAE" w:rsidRPr="00F36DAE" w:rsidRDefault="00F36DAE" w:rsidP="004E5C57">
            <w:pPr>
              <w:pStyle w:val="TableText0"/>
            </w:pPr>
            <w:r w:rsidRPr="00F36DAE">
              <w:t>0.0022</w:t>
            </w:r>
          </w:p>
        </w:tc>
        <w:tc>
          <w:tcPr>
            <w:tcW w:w="1000" w:type="dxa"/>
            <w:noWrap/>
            <w:hideMark/>
          </w:tcPr>
          <w:p w14:paraId="2A61AD81" w14:textId="77777777" w:rsidR="00F36DAE" w:rsidRPr="00F36DAE" w:rsidRDefault="00F36DAE" w:rsidP="004E5C57">
            <w:pPr>
              <w:pStyle w:val="TableText0"/>
            </w:pPr>
            <w:r w:rsidRPr="00F36DAE">
              <w:t>0.0174</w:t>
            </w:r>
          </w:p>
        </w:tc>
        <w:tc>
          <w:tcPr>
            <w:tcW w:w="1060" w:type="dxa"/>
            <w:noWrap/>
            <w:hideMark/>
          </w:tcPr>
          <w:p w14:paraId="0049F92C" w14:textId="77777777" w:rsidR="00F36DAE" w:rsidRPr="00F36DAE" w:rsidRDefault="00F36DAE" w:rsidP="004E5C57">
            <w:pPr>
              <w:pStyle w:val="TableText0"/>
            </w:pPr>
            <w:r w:rsidRPr="00F36DAE">
              <w:t>$1,723</w:t>
            </w:r>
          </w:p>
        </w:tc>
        <w:tc>
          <w:tcPr>
            <w:tcW w:w="1180" w:type="dxa"/>
            <w:noWrap/>
            <w:hideMark/>
          </w:tcPr>
          <w:p w14:paraId="30E8AF27" w14:textId="77777777" w:rsidR="00F36DAE" w:rsidRPr="00F36DAE" w:rsidRDefault="00F36DAE" w:rsidP="004E5C57">
            <w:pPr>
              <w:pStyle w:val="TableText0"/>
            </w:pPr>
            <w:r w:rsidRPr="00F36DAE">
              <w:t>$60,511</w:t>
            </w:r>
          </w:p>
        </w:tc>
        <w:tc>
          <w:tcPr>
            <w:tcW w:w="960" w:type="dxa"/>
            <w:noWrap/>
            <w:hideMark/>
          </w:tcPr>
          <w:p w14:paraId="69943E6A" w14:textId="77777777" w:rsidR="00F36DAE" w:rsidRPr="00F36DAE" w:rsidRDefault="00F36DAE" w:rsidP="004E5C57">
            <w:pPr>
              <w:pStyle w:val="TableText0"/>
            </w:pPr>
            <w:r w:rsidRPr="00F36DAE">
              <w:t>0.1419</w:t>
            </w:r>
          </w:p>
        </w:tc>
        <w:tc>
          <w:tcPr>
            <w:tcW w:w="1037" w:type="dxa"/>
            <w:noWrap/>
            <w:hideMark/>
          </w:tcPr>
          <w:p w14:paraId="772B492A" w14:textId="77777777" w:rsidR="00F36DAE" w:rsidRPr="00F36DAE" w:rsidRDefault="00F36DAE" w:rsidP="004E5C57">
            <w:pPr>
              <w:pStyle w:val="TableText0"/>
            </w:pPr>
            <w:r w:rsidRPr="00F36DAE">
              <w:t>2.5092</w:t>
            </w:r>
          </w:p>
        </w:tc>
        <w:tc>
          <w:tcPr>
            <w:tcW w:w="960" w:type="dxa"/>
            <w:noWrap/>
            <w:hideMark/>
          </w:tcPr>
          <w:p w14:paraId="52A2B63C" w14:textId="77777777" w:rsidR="00F36DAE" w:rsidRPr="00F36DAE" w:rsidRDefault="00F36DAE" w:rsidP="004E5C57">
            <w:pPr>
              <w:pStyle w:val="TableText0"/>
            </w:pPr>
            <w:r w:rsidRPr="00F36DAE">
              <w:t>0.1030</w:t>
            </w:r>
          </w:p>
        </w:tc>
        <w:tc>
          <w:tcPr>
            <w:tcW w:w="1037" w:type="dxa"/>
            <w:noWrap/>
            <w:hideMark/>
          </w:tcPr>
          <w:p w14:paraId="4735FDE1" w14:textId="77777777" w:rsidR="00F36DAE" w:rsidRPr="00F36DAE" w:rsidRDefault="00F36DAE" w:rsidP="004E5C57">
            <w:pPr>
              <w:pStyle w:val="TableText0"/>
            </w:pPr>
            <w:r w:rsidRPr="00F36DAE">
              <w:t>3.4347</w:t>
            </w:r>
          </w:p>
        </w:tc>
      </w:tr>
    </w:tbl>
    <w:p w14:paraId="28F6381B" w14:textId="5D37DD7B" w:rsidR="004058BE" w:rsidRDefault="004058BE" w:rsidP="004058BE"/>
    <w:p w14:paraId="08D31DBB" w14:textId="77777777" w:rsidR="004058BE" w:rsidRPr="00936164" w:rsidRDefault="004058BE" w:rsidP="006F2353">
      <w:pPr>
        <w:pStyle w:val="Heading4"/>
      </w:pPr>
      <w:bookmarkStart w:id="688" w:name="_Toc38031998"/>
      <w:r w:rsidRPr="00936164">
        <w:lastRenderedPageBreak/>
        <w:t>NMOSD-Ab testing not available - Initial treatment Symptomatic</w:t>
      </w:r>
      <w:bookmarkEnd w:id="688"/>
    </w:p>
    <w:p w14:paraId="4527223B" w14:textId="25DE6552" w:rsidR="00FA7BCD" w:rsidRDefault="00FA7BCD" w:rsidP="00FA7BCD">
      <w:pPr>
        <w:pStyle w:val="Caption"/>
      </w:pPr>
      <w:bookmarkStart w:id="689" w:name="_Toc39580894"/>
      <w:r>
        <w:t xml:space="preserve">Table </w:t>
      </w:r>
      <w:fldSimple w:instr=" SEQ Table \* ARABIC ">
        <w:r>
          <w:rPr>
            <w:noProof/>
          </w:rPr>
          <w:t>113</w:t>
        </w:r>
      </w:fldSimple>
      <w:r>
        <w:tab/>
      </w:r>
      <w:r w:rsidRPr="00936164">
        <w:t>NMOSD-Ab testing not available - Initial treatment Symptomatic</w:t>
      </w:r>
      <w:bookmarkEnd w:id="689"/>
    </w:p>
    <w:tbl>
      <w:tblPr>
        <w:tblStyle w:val="TableGrid1"/>
        <w:tblW w:w="14953" w:type="dxa"/>
        <w:tblLook w:val="04A0" w:firstRow="1" w:lastRow="0" w:firstColumn="1" w:lastColumn="0" w:noHBand="0" w:noVBand="1"/>
        <w:tblCaption w:val="Table 113"/>
        <w:tblDescription w:val="NMOSD-Ab testing not available - Initial treatment Symptomatic"/>
      </w:tblPr>
      <w:tblGrid>
        <w:gridCol w:w="982"/>
        <w:gridCol w:w="1083"/>
        <w:gridCol w:w="1083"/>
        <w:gridCol w:w="1083"/>
        <w:gridCol w:w="1083"/>
        <w:gridCol w:w="1083"/>
        <w:gridCol w:w="1083"/>
        <w:gridCol w:w="1083"/>
        <w:gridCol w:w="1174"/>
        <w:gridCol w:w="1180"/>
        <w:gridCol w:w="992"/>
        <w:gridCol w:w="1100"/>
        <w:gridCol w:w="992"/>
        <w:gridCol w:w="1100"/>
      </w:tblGrid>
      <w:tr w:rsidR="00BB5498" w:rsidRPr="00FA7BCD" w14:paraId="310269D9" w14:textId="77777777" w:rsidTr="00BE0118">
        <w:trPr>
          <w:cnfStyle w:val="100000000000" w:firstRow="1" w:lastRow="0" w:firstColumn="0" w:lastColumn="0" w:oddVBand="0" w:evenVBand="0" w:oddHBand="0" w:evenHBand="0" w:firstRowFirstColumn="0" w:firstRowLastColumn="0" w:lastRowFirstColumn="0" w:lastRowLastColumn="0"/>
          <w:trHeight w:val="255"/>
        </w:trPr>
        <w:tc>
          <w:tcPr>
            <w:tcW w:w="960" w:type="dxa"/>
            <w:noWrap/>
            <w:hideMark/>
          </w:tcPr>
          <w:p w14:paraId="6F1238C7" w14:textId="77777777" w:rsidR="00BB5498" w:rsidRPr="00FA7BCD" w:rsidRDefault="00BB5498" w:rsidP="00A87AE2">
            <w:pPr>
              <w:pStyle w:val="TableHeading"/>
            </w:pPr>
            <w:r w:rsidRPr="00FA7BCD">
              <w:t>Stage</w:t>
            </w:r>
          </w:p>
          <w:p w14:paraId="3BAD363B" w14:textId="29192567" w:rsidR="00BB5498" w:rsidRPr="00FA7BCD" w:rsidRDefault="00BB5498" w:rsidP="004E5C57">
            <w:pPr>
              <w:pStyle w:val="TableText0"/>
              <w:rPr>
                <w:b/>
              </w:rPr>
            </w:pPr>
            <w:r w:rsidRPr="00FA7BCD">
              <w:rPr>
                <w:b/>
              </w:rPr>
              <w:t>(quarters)</w:t>
            </w:r>
          </w:p>
        </w:tc>
        <w:tc>
          <w:tcPr>
            <w:tcW w:w="1083" w:type="dxa"/>
            <w:noWrap/>
            <w:hideMark/>
          </w:tcPr>
          <w:p w14:paraId="14066CE6" w14:textId="77777777" w:rsidR="00BB5498" w:rsidRPr="00FA7BCD" w:rsidRDefault="00BB5498" w:rsidP="00A87AE2">
            <w:pPr>
              <w:pStyle w:val="TableHeading"/>
            </w:pPr>
            <w:r w:rsidRPr="00FA7BCD">
              <w:t>Disease with no or mild disability</w:t>
            </w:r>
          </w:p>
          <w:p w14:paraId="7F063784" w14:textId="558C642F" w:rsidR="00BB5498" w:rsidRPr="00FA7BCD" w:rsidRDefault="00BB5498" w:rsidP="004E5C57">
            <w:pPr>
              <w:pStyle w:val="TableText0"/>
              <w:rPr>
                <w:b/>
              </w:rPr>
            </w:pPr>
            <w:r w:rsidRPr="00FA7BCD">
              <w:rPr>
                <w:b/>
              </w:rPr>
              <w:t>(%)</w:t>
            </w:r>
          </w:p>
        </w:tc>
        <w:tc>
          <w:tcPr>
            <w:tcW w:w="1083" w:type="dxa"/>
            <w:noWrap/>
            <w:hideMark/>
          </w:tcPr>
          <w:p w14:paraId="51A6A24F" w14:textId="77777777" w:rsidR="00BB5498" w:rsidRPr="00FA7BCD" w:rsidRDefault="00BB5498" w:rsidP="00A87AE2">
            <w:pPr>
              <w:pStyle w:val="TableHeading"/>
            </w:pPr>
            <w:r w:rsidRPr="00FA7BCD">
              <w:t>Disease with moderate-severe disability</w:t>
            </w:r>
          </w:p>
          <w:p w14:paraId="2C8CCB19" w14:textId="00AD970E" w:rsidR="00BB5498" w:rsidRPr="00FA7BCD" w:rsidRDefault="00BB5498" w:rsidP="004E5C57">
            <w:pPr>
              <w:pStyle w:val="TableText0"/>
              <w:rPr>
                <w:b/>
              </w:rPr>
            </w:pPr>
            <w:r w:rsidRPr="00FA7BCD">
              <w:rPr>
                <w:b/>
              </w:rPr>
              <w:t>(%)</w:t>
            </w:r>
          </w:p>
        </w:tc>
        <w:tc>
          <w:tcPr>
            <w:tcW w:w="1083" w:type="dxa"/>
            <w:noWrap/>
            <w:hideMark/>
          </w:tcPr>
          <w:p w14:paraId="7C4348F7" w14:textId="77777777" w:rsidR="00BB5498" w:rsidRPr="00FA7BCD" w:rsidRDefault="00BB5498" w:rsidP="00A87AE2">
            <w:pPr>
              <w:pStyle w:val="TableHeading"/>
            </w:pPr>
            <w:r w:rsidRPr="00FA7BCD">
              <w:t>Disease with no/mild disability and mild relapse</w:t>
            </w:r>
          </w:p>
          <w:p w14:paraId="30585992" w14:textId="3C531DA9" w:rsidR="00BB5498" w:rsidRPr="00FA7BCD" w:rsidRDefault="00BB5498" w:rsidP="004E5C57">
            <w:pPr>
              <w:pStyle w:val="TableText0"/>
              <w:rPr>
                <w:b/>
              </w:rPr>
            </w:pPr>
            <w:r w:rsidRPr="00FA7BCD">
              <w:rPr>
                <w:b/>
              </w:rPr>
              <w:t>(%)</w:t>
            </w:r>
          </w:p>
        </w:tc>
        <w:tc>
          <w:tcPr>
            <w:tcW w:w="1083" w:type="dxa"/>
            <w:noWrap/>
            <w:hideMark/>
          </w:tcPr>
          <w:p w14:paraId="7D810228" w14:textId="77777777" w:rsidR="00BB5498" w:rsidRPr="00FA7BCD" w:rsidRDefault="00BB5498" w:rsidP="00A87AE2">
            <w:pPr>
              <w:pStyle w:val="TableHeading"/>
            </w:pPr>
            <w:r w:rsidRPr="00FA7BCD">
              <w:t>Disease with no/mild disability and severe relapse</w:t>
            </w:r>
          </w:p>
          <w:p w14:paraId="48710790" w14:textId="593CBF7A" w:rsidR="00BB5498" w:rsidRPr="00FA7BCD" w:rsidRDefault="00BB5498" w:rsidP="004E5C57">
            <w:pPr>
              <w:pStyle w:val="TableText0"/>
              <w:rPr>
                <w:b/>
              </w:rPr>
            </w:pPr>
            <w:r w:rsidRPr="00FA7BCD">
              <w:rPr>
                <w:b/>
              </w:rPr>
              <w:t>(%)</w:t>
            </w:r>
          </w:p>
        </w:tc>
        <w:tc>
          <w:tcPr>
            <w:tcW w:w="1083" w:type="dxa"/>
            <w:noWrap/>
            <w:hideMark/>
          </w:tcPr>
          <w:p w14:paraId="7FEC7E83" w14:textId="77777777" w:rsidR="00BB5498" w:rsidRPr="00FA7BCD" w:rsidRDefault="00BB5498" w:rsidP="00A87AE2">
            <w:pPr>
              <w:pStyle w:val="TableHeading"/>
            </w:pPr>
            <w:r w:rsidRPr="00FA7BCD">
              <w:t>Disease with moderate – severe disability and mild relapse</w:t>
            </w:r>
          </w:p>
          <w:p w14:paraId="333BEAC4" w14:textId="2EBE536A" w:rsidR="00BB5498" w:rsidRPr="00FA7BCD" w:rsidRDefault="00BB5498" w:rsidP="004E5C57">
            <w:pPr>
              <w:pStyle w:val="TableText0"/>
              <w:rPr>
                <w:b/>
              </w:rPr>
            </w:pPr>
            <w:r w:rsidRPr="00FA7BCD">
              <w:rPr>
                <w:b/>
              </w:rPr>
              <w:t>(%)</w:t>
            </w:r>
          </w:p>
        </w:tc>
        <w:tc>
          <w:tcPr>
            <w:tcW w:w="1083" w:type="dxa"/>
            <w:noWrap/>
            <w:hideMark/>
          </w:tcPr>
          <w:p w14:paraId="1CAA37AC" w14:textId="589C47DF" w:rsidR="00BB5498" w:rsidRPr="00FA7BCD" w:rsidRDefault="00BB5498" w:rsidP="004E5C57">
            <w:pPr>
              <w:pStyle w:val="TableText0"/>
              <w:rPr>
                <w:b/>
              </w:rPr>
            </w:pPr>
            <w:r w:rsidRPr="00FA7BCD">
              <w:rPr>
                <w:b/>
              </w:rPr>
              <w:t>Disease with moderate – severe disability and severe relapse (%)</w:t>
            </w:r>
          </w:p>
        </w:tc>
        <w:tc>
          <w:tcPr>
            <w:tcW w:w="1083" w:type="dxa"/>
            <w:noWrap/>
            <w:hideMark/>
          </w:tcPr>
          <w:p w14:paraId="44D13444" w14:textId="77777777" w:rsidR="00BB5498" w:rsidRPr="00FA7BCD" w:rsidRDefault="00BB5498" w:rsidP="00A87AE2">
            <w:pPr>
              <w:pStyle w:val="TableHeading"/>
            </w:pPr>
            <w:r w:rsidRPr="00FA7BCD">
              <w:t>Death</w:t>
            </w:r>
          </w:p>
          <w:p w14:paraId="49268C7D" w14:textId="28CEE0C2" w:rsidR="00BB5498" w:rsidRPr="00FA7BCD" w:rsidRDefault="00BB5498" w:rsidP="004E5C57">
            <w:pPr>
              <w:pStyle w:val="TableText0"/>
              <w:rPr>
                <w:b/>
              </w:rPr>
            </w:pPr>
            <w:r w:rsidRPr="00FA7BCD">
              <w:rPr>
                <w:b/>
              </w:rPr>
              <w:t>(%)</w:t>
            </w:r>
          </w:p>
        </w:tc>
        <w:tc>
          <w:tcPr>
            <w:tcW w:w="1174" w:type="dxa"/>
            <w:noWrap/>
            <w:hideMark/>
          </w:tcPr>
          <w:p w14:paraId="66E86A6E" w14:textId="14835B22" w:rsidR="00BB5498" w:rsidRPr="00FA7BCD" w:rsidRDefault="00BB5498" w:rsidP="004E5C57">
            <w:pPr>
              <w:pStyle w:val="TableText0"/>
              <w:rPr>
                <w:b/>
              </w:rPr>
            </w:pPr>
            <w:r w:rsidRPr="00FA7BCD">
              <w:rPr>
                <w:b/>
              </w:rPr>
              <w:t>Cost</w:t>
            </w:r>
          </w:p>
        </w:tc>
        <w:tc>
          <w:tcPr>
            <w:tcW w:w="1180" w:type="dxa"/>
            <w:noWrap/>
            <w:hideMark/>
          </w:tcPr>
          <w:p w14:paraId="7D47E1B0" w14:textId="0E842F49" w:rsidR="00BB5498" w:rsidRPr="00FA7BCD" w:rsidRDefault="00BB5498" w:rsidP="004E5C57">
            <w:pPr>
              <w:pStyle w:val="TableText0"/>
              <w:rPr>
                <w:b/>
              </w:rPr>
            </w:pPr>
            <w:r w:rsidRPr="00FA7BCD">
              <w:rPr>
                <w:b/>
              </w:rPr>
              <w:t>Cumulative Cost</w:t>
            </w:r>
          </w:p>
        </w:tc>
        <w:tc>
          <w:tcPr>
            <w:tcW w:w="992" w:type="dxa"/>
            <w:noWrap/>
            <w:hideMark/>
          </w:tcPr>
          <w:p w14:paraId="49AA1413" w14:textId="05262767" w:rsidR="00BB5498" w:rsidRPr="00FA7BCD" w:rsidRDefault="00BB5498" w:rsidP="004E5C57">
            <w:pPr>
              <w:pStyle w:val="TableText0"/>
              <w:rPr>
                <w:b/>
              </w:rPr>
            </w:pPr>
            <w:r w:rsidRPr="00FA7BCD">
              <w:rPr>
                <w:b/>
              </w:rPr>
              <w:t>QALY</w:t>
            </w:r>
          </w:p>
        </w:tc>
        <w:tc>
          <w:tcPr>
            <w:tcW w:w="1037" w:type="dxa"/>
            <w:noWrap/>
            <w:hideMark/>
          </w:tcPr>
          <w:p w14:paraId="1CD0EF8D" w14:textId="7201F4B2" w:rsidR="00BB5498" w:rsidRPr="00FA7BCD" w:rsidRDefault="00BB5498" w:rsidP="004E5C57">
            <w:pPr>
              <w:pStyle w:val="TableText0"/>
              <w:rPr>
                <w:b/>
              </w:rPr>
            </w:pPr>
            <w:r w:rsidRPr="00FA7BCD">
              <w:rPr>
                <w:b/>
              </w:rPr>
              <w:t>Cumulative QALY</w:t>
            </w:r>
          </w:p>
        </w:tc>
        <w:tc>
          <w:tcPr>
            <w:tcW w:w="992" w:type="dxa"/>
            <w:noWrap/>
            <w:hideMark/>
          </w:tcPr>
          <w:p w14:paraId="1682B51D" w14:textId="5A314466" w:rsidR="00BB5498" w:rsidRPr="00FA7BCD" w:rsidRDefault="00BB5498" w:rsidP="004E5C57">
            <w:pPr>
              <w:pStyle w:val="TableText0"/>
              <w:rPr>
                <w:b/>
              </w:rPr>
            </w:pPr>
            <w:r w:rsidRPr="00FA7BCD">
              <w:rPr>
                <w:b/>
              </w:rPr>
              <w:t>Relapse</w:t>
            </w:r>
          </w:p>
        </w:tc>
        <w:tc>
          <w:tcPr>
            <w:tcW w:w="1037" w:type="dxa"/>
            <w:noWrap/>
            <w:hideMark/>
          </w:tcPr>
          <w:p w14:paraId="2F6AD88D" w14:textId="0DDCFACA" w:rsidR="00BB5498" w:rsidRPr="00FA7BCD" w:rsidRDefault="00BB5498" w:rsidP="004E5C57">
            <w:pPr>
              <w:pStyle w:val="TableText0"/>
              <w:rPr>
                <w:b/>
              </w:rPr>
            </w:pPr>
            <w:r w:rsidRPr="00FA7BCD">
              <w:rPr>
                <w:b/>
              </w:rPr>
              <w:t>Cumulative Relapse</w:t>
            </w:r>
          </w:p>
        </w:tc>
      </w:tr>
      <w:tr w:rsidR="00F36DAE" w:rsidRPr="00BB5498" w14:paraId="2BF7921D" w14:textId="77777777" w:rsidTr="00BE0118">
        <w:trPr>
          <w:trHeight w:val="255"/>
        </w:trPr>
        <w:tc>
          <w:tcPr>
            <w:tcW w:w="960" w:type="dxa"/>
            <w:noWrap/>
            <w:hideMark/>
          </w:tcPr>
          <w:p w14:paraId="44A36E64" w14:textId="77777777" w:rsidR="00F36DAE" w:rsidRPr="00BB5498" w:rsidRDefault="00F36DAE" w:rsidP="004E5C57">
            <w:pPr>
              <w:pStyle w:val="TableText0"/>
            </w:pPr>
            <w:r w:rsidRPr="00BB5498">
              <w:t>0</w:t>
            </w:r>
          </w:p>
        </w:tc>
        <w:tc>
          <w:tcPr>
            <w:tcW w:w="1083" w:type="dxa"/>
            <w:noWrap/>
            <w:hideMark/>
          </w:tcPr>
          <w:p w14:paraId="4CCED3E2" w14:textId="77777777" w:rsidR="00F36DAE" w:rsidRPr="00BB5498" w:rsidRDefault="00F36DAE" w:rsidP="004E5C57">
            <w:pPr>
              <w:pStyle w:val="TableText0"/>
            </w:pPr>
            <w:r w:rsidRPr="00BB5498">
              <w:t>1</w:t>
            </w:r>
          </w:p>
        </w:tc>
        <w:tc>
          <w:tcPr>
            <w:tcW w:w="1083" w:type="dxa"/>
            <w:noWrap/>
            <w:hideMark/>
          </w:tcPr>
          <w:p w14:paraId="35A371F9" w14:textId="77777777" w:rsidR="00F36DAE" w:rsidRPr="00BB5498" w:rsidRDefault="00F36DAE" w:rsidP="004E5C57">
            <w:pPr>
              <w:pStyle w:val="TableText0"/>
            </w:pPr>
            <w:r w:rsidRPr="00BB5498">
              <w:t>0</w:t>
            </w:r>
          </w:p>
        </w:tc>
        <w:tc>
          <w:tcPr>
            <w:tcW w:w="1083" w:type="dxa"/>
            <w:noWrap/>
            <w:hideMark/>
          </w:tcPr>
          <w:p w14:paraId="5A58345F" w14:textId="77777777" w:rsidR="00F36DAE" w:rsidRPr="00BB5498" w:rsidRDefault="00F36DAE" w:rsidP="004E5C57">
            <w:pPr>
              <w:pStyle w:val="TableText0"/>
            </w:pPr>
            <w:r w:rsidRPr="00BB5498">
              <w:t>0</w:t>
            </w:r>
          </w:p>
        </w:tc>
        <w:tc>
          <w:tcPr>
            <w:tcW w:w="1083" w:type="dxa"/>
            <w:noWrap/>
            <w:hideMark/>
          </w:tcPr>
          <w:p w14:paraId="04DE1554" w14:textId="77777777" w:rsidR="00F36DAE" w:rsidRPr="00BB5498" w:rsidRDefault="00F36DAE" w:rsidP="004E5C57">
            <w:pPr>
              <w:pStyle w:val="TableText0"/>
            </w:pPr>
            <w:r w:rsidRPr="00BB5498">
              <w:t>0</w:t>
            </w:r>
          </w:p>
        </w:tc>
        <w:tc>
          <w:tcPr>
            <w:tcW w:w="1083" w:type="dxa"/>
            <w:noWrap/>
            <w:hideMark/>
          </w:tcPr>
          <w:p w14:paraId="56E4F1CF" w14:textId="77777777" w:rsidR="00F36DAE" w:rsidRPr="00BB5498" w:rsidRDefault="00F36DAE" w:rsidP="004E5C57">
            <w:pPr>
              <w:pStyle w:val="TableText0"/>
            </w:pPr>
            <w:r w:rsidRPr="00BB5498">
              <w:t>0</w:t>
            </w:r>
          </w:p>
        </w:tc>
        <w:tc>
          <w:tcPr>
            <w:tcW w:w="1083" w:type="dxa"/>
            <w:noWrap/>
            <w:hideMark/>
          </w:tcPr>
          <w:p w14:paraId="281D782E" w14:textId="77777777" w:rsidR="00F36DAE" w:rsidRPr="00BB5498" w:rsidRDefault="00F36DAE" w:rsidP="004E5C57">
            <w:pPr>
              <w:pStyle w:val="TableText0"/>
            </w:pPr>
            <w:r w:rsidRPr="00BB5498">
              <w:t>0</w:t>
            </w:r>
          </w:p>
        </w:tc>
        <w:tc>
          <w:tcPr>
            <w:tcW w:w="1083" w:type="dxa"/>
            <w:noWrap/>
            <w:hideMark/>
          </w:tcPr>
          <w:p w14:paraId="0D98385B" w14:textId="77777777" w:rsidR="00F36DAE" w:rsidRPr="00BB5498" w:rsidRDefault="00F36DAE" w:rsidP="004E5C57">
            <w:pPr>
              <w:pStyle w:val="TableText0"/>
            </w:pPr>
            <w:r w:rsidRPr="00BB5498">
              <w:t>0</w:t>
            </w:r>
          </w:p>
        </w:tc>
        <w:tc>
          <w:tcPr>
            <w:tcW w:w="1174" w:type="dxa"/>
            <w:noWrap/>
            <w:hideMark/>
          </w:tcPr>
          <w:p w14:paraId="23B6C504" w14:textId="77777777" w:rsidR="00F36DAE" w:rsidRPr="00BB5498" w:rsidRDefault="00F36DAE" w:rsidP="004E5C57">
            <w:pPr>
              <w:pStyle w:val="TableText0"/>
            </w:pPr>
            <w:r w:rsidRPr="00BB5498">
              <w:t>$1,730</w:t>
            </w:r>
          </w:p>
        </w:tc>
        <w:tc>
          <w:tcPr>
            <w:tcW w:w="1180" w:type="dxa"/>
            <w:noWrap/>
            <w:hideMark/>
          </w:tcPr>
          <w:p w14:paraId="35B0E8A5" w14:textId="77777777" w:rsidR="00F36DAE" w:rsidRPr="00BB5498" w:rsidRDefault="00F36DAE" w:rsidP="004E5C57">
            <w:pPr>
              <w:pStyle w:val="TableText0"/>
            </w:pPr>
            <w:r w:rsidRPr="00BB5498">
              <w:t>$1,730</w:t>
            </w:r>
          </w:p>
        </w:tc>
        <w:tc>
          <w:tcPr>
            <w:tcW w:w="992" w:type="dxa"/>
            <w:noWrap/>
            <w:hideMark/>
          </w:tcPr>
          <w:p w14:paraId="5ED9D2A3" w14:textId="77777777" w:rsidR="00F36DAE" w:rsidRPr="00BB5498" w:rsidRDefault="00F36DAE" w:rsidP="004E5C57">
            <w:pPr>
              <w:pStyle w:val="TableText0"/>
            </w:pPr>
            <w:r w:rsidRPr="00BB5498">
              <w:t>0.3552</w:t>
            </w:r>
          </w:p>
        </w:tc>
        <w:tc>
          <w:tcPr>
            <w:tcW w:w="1037" w:type="dxa"/>
            <w:noWrap/>
            <w:hideMark/>
          </w:tcPr>
          <w:p w14:paraId="6572A91B" w14:textId="77777777" w:rsidR="00F36DAE" w:rsidRPr="00BB5498" w:rsidRDefault="00F36DAE" w:rsidP="004E5C57">
            <w:pPr>
              <w:pStyle w:val="TableText0"/>
            </w:pPr>
            <w:r w:rsidRPr="00BB5498">
              <w:t>0.3552</w:t>
            </w:r>
          </w:p>
        </w:tc>
        <w:tc>
          <w:tcPr>
            <w:tcW w:w="992" w:type="dxa"/>
            <w:noWrap/>
            <w:hideMark/>
          </w:tcPr>
          <w:p w14:paraId="7ACE4E3E" w14:textId="77777777" w:rsidR="00F36DAE" w:rsidRPr="00BB5498" w:rsidRDefault="00F36DAE" w:rsidP="004E5C57">
            <w:pPr>
              <w:pStyle w:val="TableText0"/>
            </w:pPr>
            <w:r w:rsidRPr="00BB5498">
              <w:t>0.2433</w:t>
            </w:r>
          </w:p>
        </w:tc>
        <w:tc>
          <w:tcPr>
            <w:tcW w:w="1037" w:type="dxa"/>
            <w:noWrap/>
            <w:hideMark/>
          </w:tcPr>
          <w:p w14:paraId="579C8DC5" w14:textId="77777777" w:rsidR="00F36DAE" w:rsidRPr="00BB5498" w:rsidRDefault="00F36DAE" w:rsidP="004E5C57">
            <w:pPr>
              <w:pStyle w:val="TableText0"/>
            </w:pPr>
            <w:r w:rsidRPr="00BB5498">
              <w:t>0.2433</w:t>
            </w:r>
          </w:p>
        </w:tc>
      </w:tr>
      <w:tr w:rsidR="00F36DAE" w:rsidRPr="00BB5498" w14:paraId="23877653" w14:textId="77777777" w:rsidTr="00BE0118">
        <w:trPr>
          <w:trHeight w:val="255"/>
        </w:trPr>
        <w:tc>
          <w:tcPr>
            <w:tcW w:w="960" w:type="dxa"/>
            <w:noWrap/>
            <w:hideMark/>
          </w:tcPr>
          <w:p w14:paraId="53AD2A51" w14:textId="77777777" w:rsidR="00F36DAE" w:rsidRPr="00BB5498" w:rsidRDefault="00F36DAE" w:rsidP="004E5C57">
            <w:pPr>
              <w:pStyle w:val="TableText0"/>
            </w:pPr>
            <w:r w:rsidRPr="00BB5498">
              <w:t>1</w:t>
            </w:r>
          </w:p>
        </w:tc>
        <w:tc>
          <w:tcPr>
            <w:tcW w:w="1083" w:type="dxa"/>
            <w:noWrap/>
            <w:hideMark/>
          </w:tcPr>
          <w:p w14:paraId="353D3FB7" w14:textId="77777777" w:rsidR="00F36DAE" w:rsidRPr="00BB5498" w:rsidRDefault="00F36DAE" w:rsidP="004E5C57">
            <w:pPr>
              <w:pStyle w:val="TableText0"/>
            </w:pPr>
            <w:r w:rsidRPr="00BB5498">
              <w:t>0.7550</w:t>
            </w:r>
          </w:p>
        </w:tc>
        <w:tc>
          <w:tcPr>
            <w:tcW w:w="1083" w:type="dxa"/>
            <w:noWrap/>
            <w:hideMark/>
          </w:tcPr>
          <w:p w14:paraId="09C2249A" w14:textId="77777777" w:rsidR="00F36DAE" w:rsidRPr="00BB5498" w:rsidRDefault="00F36DAE" w:rsidP="004E5C57">
            <w:pPr>
              <w:pStyle w:val="TableText0"/>
            </w:pPr>
            <w:r w:rsidRPr="00BB5498">
              <w:t>0.0000</w:t>
            </w:r>
          </w:p>
        </w:tc>
        <w:tc>
          <w:tcPr>
            <w:tcW w:w="1083" w:type="dxa"/>
            <w:noWrap/>
            <w:hideMark/>
          </w:tcPr>
          <w:p w14:paraId="7802E89B" w14:textId="77777777" w:rsidR="00F36DAE" w:rsidRPr="00BB5498" w:rsidRDefault="00F36DAE" w:rsidP="004E5C57">
            <w:pPr>
              <w:pStyle w:val="TableText0"/>
            </w:pPr>
            <w:r w:rsidRPr="00BB5498">
              <w:t>0.1859</w:t>
            </w:r>
          </w:p>
        </w:tc>
        <w:tc>
          <w:tcPr>
            <w:tcW w:w="1083" w:type="dxa"/>
            <w:noWrap/>
            <w:hideMark/>
          </w:tcPr>
          <w:p w14:paraId="22A27926" w14:textId="77777777" w:rsidR="00F36DAE" w:rsidRPr="00BB5498" w:rsidRDefault="00F36DAE" w:rsidP="004E5C57">
            <w:pPr>
              <w:pStyle w:val="TableText0"/>
            </w:pPr>
            <w:r w:rsidRPr="00BB5498">
              <w:t>0.0589</w:t>
            </w:r>
          </w:p>
        </w:tc>
        <w:tc>
          <w:tcPr>
            <w:tcW w:w="1083" w:type="dxa"/>
            <w:noWrap/>
            <w:hideMark/>
          </w:tcPr>
          <w:p w14:paraId="4E0E5D94" w14:textId="77777777" w:rsidR="00F36DAE" w:rsidRPr="00BB5498" w:rsidRDefault="00F36DAE" w:rsidP="004E5C57">
            <w:pPr>
              <w:pStyle w:val="TableText0"/>
            </w:pPr>
            <w:r w:rsidRPr="00BB5498">
              <w:t>0.0000</w:t>
            </w:r>
          </w:p>
        </w:tc>
        <w:tc>
          <w:tcPr>
            <w:tcW w:w="1083" w:type="dxa"/>
            <w:noWrap/>
            <w:hideMark/>
          </w:tcPr>
          <w:p w14:paraId="1828C824" w14:textId="77777777" w:rsidR="00F36DAE" w:rsidRPr="00BB5498" w:rsidRDefault="00F36DAE" w:rsidP="004E5C57">
            <w:pPr>
              <w:pStyle w:val="TableText0"/>
            </w:pPr>
            <w:r w:rsidRPr="00BB5498">
              <w:t>0.0000</w:t>
            </w:r>
          </w:p>
        </w:tc>
        <w:tc>
          <w:tcPr>
            <w:tcW w:w="1083" w:type="dxa"/>
            <w:noWrap/>
            <w:hideMark/>
          </w:tcPr>
          <w:p w14:paraId="6F92CA97" w14:textId="77777777" w:rsidR="00F36DAE" w:rsidRPr="00BB5498" w:rsidRDefault="00F36DAE" w:rsidP="004E5C57">
            <w:pPr>
              <w:pStyle w:val="TableText0"/>
            </w:pPr>
            <w:r w:rsidRPr="00BB5498">
              <w:t>0.0002</w:t>
            </w:r>
          </w:p>
        </w:tc>
        <w:tc>
          <w:tcPr>
            <w:tcW w:w="1174" w:type="dxa"/>
            <w:noWrap/>
            <w:hideMark/>
          </w:tcPr>
          <w:p w14:paraId="6D7307ED" w14:textId="77777777" w:rsidR="00F36DAE" w:rsidRPr="00BB5498" w:rsidRDefault="00F36DAE" w:rsidP="004E5C57">
            <w:pPr>
              <w:pStyle w:val="TableText0"/>
            </w:pPr>
            <w:r w:rsidRPr="00BB5498">
              <w:t>$1,361</w:t>
            </w:r>
          </w:p>
        </w:tc>
        <w:tc>
          <w:tcPr>
            <w:tcW w:w="1180" w:type="dxa"/>
            <w:noWrap/>
            <w:hideMark/>
          </w:tcPr>
          <w:p w14:paraId="7103FFB6" w14:textId="77777777" w:rsidR="00F36DAE" w:rsidRPr="00BB5498" w:rsidRDefault="00F36DAE" w:rsidP="004E5C57">
            <w:pPr>
              <w:pStyle w:val="TableText0"/>
            </w:pPr>
            <w:r w:rsidRPr="00BB5498">
              <w:t>$3,091</w:t>
            </w:r>
          </w:p>
        </w:tc>
        <w:tc>
          <w:tcPr>
            <w:tcW w:w="992" w:type="dxa"/>
            <w:noWrap/>
            <w:hideMark/>
          </w:tcPr>
          <w:p w14:paraId="4175E99F" w14:textId="77777777" w:rsidR="00F36DAE" w:rsidRPr="00BB5498" w:rsidRDefault="00F36DAE" w:rsidP="004E5C57">
            <w:pPr>
              <w:pStyle w:val="TableText0"/>
            </w:pPr>
            <w:r w:rsidRPr="00BB5498">
              <w:t>0.1700</w:t>
            </w:r>
          </w:p>
        </w:tc>
        <w:tc>
          <w:tcPr>
            <w:tcW w:w="1037" w:type="dxa"/>
            <w:noWrap/>
            <w:hideMark/>
          </w:tcPr>
          <w:p w14:paraId="63904004" w14:textId="77777777" w:rsidR="00F36DAE" w:rsidRPr="00BB5498" w:rsidRDefault="00F36DAE" w:rsidP="004E5C57">
            <w:pPr>
              <w:pStyle w:val="TableText0"/>
            </w:pPr>
            <w:r w:rsidRPr="00BB5498">
              <w:t>0.5252</w:t>
            </w:r>
          </w:p>
        </w:tc>
        <w:tc>
          <w:tcPr>
            <w:tcW w:w="992" w:type="dxa"/>
            <w:noWrap/>
            <w:hideMark/>
          </w:tcPr>
          <w:p w14:paraId="2FF4CFB1" w14:textId="77777777" w:rsidR="00F36DAE" w:rsidRPr="00BB5498" w:rsidRDefault="00F36DAE" w:rsidP="004E5C57">
            <w:pPr>
              <w:pStyle w:val="TableText0"/>
            </w:pPr>
            <w:r w:rsidRPr="00BB5498">
              <w:t>0.1844</w:t>
            </w:r>
          </w:p>
        </w:tc>
        <w:tc>
          <w:tcPr>
            <w:tcW w:w="1037" w:type="dxa"/>
            <w:noWrap/>
            <w:hideMark/>
          </w:tcPr>
          <w:p w14:paraId="5DD084E7" w14:textId="77777777" w:rsidR="00F36DAE" w:rsidRPr="00BB5498" w:rsidRDefault="00F36DAE" w:rsidP="004E5C57">
            <w:pPr>
              <w:pStyle w:val="TableText0"/>
            </w:pPr>
            <w:r w:rsidRPr="00BB5498">
              <w:t>0.4277</w:t>
            </w:r>
          </w:p>
        </w:tc>
      </w:tr>
      <w:tr w:rsidR="00F36DAE" w:rsidRPr="00BB5498" w14:paraId="7415C9C5" w14:textId="77777777" w:rsidTr="00BE0118">
        <w:trPr>
          <w:trHeight w:val="255"/>
        </w:trPr>
        <w:tc>
          <w:tcPr>
            <w:tcW w:w="960" w:type="dxa"/>
            <w:noWrap/>
            <w:hideMark/>
          </w:tcPr>
          <w:p w14:paraId="1ED310EA" w14:textId="77777777" w:rsidR="00F36DAE" w:rsidRPr="00BB5498" w:rsidRDefault="00F36DAE" w:rsidP="004E5C57">
            <w:pPr>
              <w:pStyle w:val="TableText0"/>
            </w:pPr>
            <w:r w:rsidRPr="00BB5498">
              <w:t>2</w:t>
            </w:r>
          </w:p>
        </w:tc>
        <w:tc>
          <w:tcPr>
            <w:tcW w:w="1083" w:type="dxa"/>
            <w:noWrap/>
            <w:hideMark/>
          </w:tcPr>
          <w:p w14:paraId="223CB4C8" w14:textId="77777777" w:rsidR="00F36DAE" w:rsidRPr="00BB5498" w:rsidRDefault="00F36DAE" w:rsidP="004E5C57">
            <w:pPr>
              <w:pStyle w:val="TableText0"/>
            </w:pPr>
            <w:r w:rsidRPr="00BB5498">
              <w:t>0.8108</w:t>
            </w:r>
          </w:p>
        </w:tc>
        <w:tc>
          <w:tcPr>
            <w:tcW w:w="1083" w:type="dxa"/>
            <w:noWrap/>
            <w:hideMark/>
          </w:tcPr>
          <w:p w14:paraId="0DF012FC" w14:textId="77777777" w:rsidR="00F36DAE" w:rsidRPr="00BB5498" w:rsidRDefault="00F36DAE" w:rsidP="004E5C57">
            <w:pPr>
              <w:pStyle w:val="TableText0"/>
            </w:pPr>
            <w:r w:rsidRPr="00BB5498">
              <w:t>0.0030</w:t>
            </w:r>
          </w:p>
        </w:tc>
        <w:tc>
          <w:tcPr>
            <w:tcW w:w="1083" w:type="dxa"/>
            <w:noWrap/>
            <w:hideMark/>
          </w:tcPr>
          <w:p w14:paraId="4E14F51C" w14:textId="77777777" w:rsidR="00F36DAE" w:rsidRPr="00BB5498" w:rsidRDefault="00F36DAE" w:rsidP="004E5C57">
            <w:pPr>
              <w:pStyle w:val="TableText0"/>
            </w:pPr>
            <w:r w:rsidRPr="00BB5498">
              <w:t>0.1404</w:t>
            </w:r>
          </w:p>
        </w:tc>
        <w:tc>
          <w:tcPr>
            <w:tcW w:w="1083" w:type="dxa"/>
            <w:noWrap/>
            <w:hideMark/>
          </w:tcPr>
          <w:p w14:paraId="150C096B" w14:textId="77777777" w:rsidR="00F36DAE" w:rsidRPr="00BB5498" w:rsidRDefault="00F36DAE" w:rsidP="004E5C57">
            <w:pPr>
              <w:pStyle w:val="TableText0"/>
            </w:pPr>
            <w:r w:rsidRPr="00BB5498">
              <w:t>0.0444</w:t>
            </w:r>
          </w:p>
        </w:tc>
        <w:tc>
          <w:tcPr>
            <w:tcW w:w="1083" w:type="dxa"/>
            <w:noWrap/>
            <w:hideMark/>
          </w:tcPr>
          <w:p w14:paraId="09D203F9" w14:textId="77777777" w:rsidR="00F36DAE" w:rsidRPr="00BB5498" w:rsidRDefault="00F36DAE" w:rsidP="004E5C57">
            <w:pPr>
              <w:pStyle w:val="TableText0"/>
            </w:pPr>
            <w:r w:rsidRPr="00BB5498">
              <w:t>0.0000</w:t>
            </w:r>
          </w:p>
        </w:tc>
        <w:tc>
          <w:tcPr>
            <w:tcW w:w="1083" w:type="dxa"/>
            <w:noWrap/>
            <w:hideMark/>
          </w:tcPr>
          <w:p w14:paraId="58EF207A" w14:textId="77777777" w:rsidR="00F36DAE" w:rsidRPr="00BB5498" w:rsidRDefault="00F36DAE" w:rsidP="004E5C57">
            <w:pPr>
              <w:pStyle w:val="TableText0"/>
            </w:pPr>
            <w:r w:rsidRPr="00BB5498">
              <w:t>0.0000</w:t>
            </w:r>
          </w:p>
        </w:tc>
        <w:tc>
          <w:tcPr>
            <w:tcW w:w="1083" w:type="dxa"/>
            <w:noWrap/>
            <w:hideMark/>
          </w:tcPr>
          <w:p w14:paraId="68BDCAEC" w14:textId="77777777" w:rsidR="00F36DAE" w:rsidRPr="00BB5498" w:rsidRDefault="00F36DAE" w:rsidP="004E5C57">
            <w:pPr>
              <w:pStyle w:val="TableText0"/>
            </w:pPr>
            <w:r w:rsidRPr="00BB5498">
              <w:t>0.0013</w:t>
            </w:r>
          </w:p>
        </w:tc>
        <w:tc>
          <w:tcPr>
            <w:tcW w:w="1174" w:type="dxa"/>
            <w:noWrap/>
            <w:hideMark/>
          </w:tcPr>
          <w:p w14:paraId="541EC16F" w14:textId="77777777" w:rsidR="00F36DAE" w:rsidRPr="00BB5498" w:rsidRDefault="00F36DAE" w:rsidP="004E5C57">
            <w:pPr>
              <w:pStyle w:val="TableText0"/>
            </w:pPr>
            <w:r w:rsidRPr="00BB5498">
              <w:t>$1,427</w:t>
            </w:r>
          </w:p>
        </w:tc>
        <w:tc>
          <w:tcPr>
            <w:tcW w:w="1180" w:type="dxa"/>
            <w:noWrap/>
            <w:hideMark/>
          </w:tcPr>
          <w:p w14:paraId="3AEFA946" w14:textId="77777777" w:rsidR="00F36DAE" w:rsidRPr="00BB5498" w:rsidRDefault="00F36DAE" w:rsidP="004E5C57">
            <w:pPr>
              <w:pStyle w:val="TableText0"/>
            </w:pPr>
            <w:r w:rsidRPr="00BB5498">
              <w:t>$4,518</w:t>
            </w:r>
          </w:p>
        </w:tc>
        <w:tc>
          <w:tcPr>
            <w:tcW w:w="992" w:type="dxa"/>
            <w:noWrap/>
            <w:hideMark/>
          </w:tcPr>
          <w:p w14:paraId="173DB621" w14:textId="77777777" w:rsidR="00F36DAE" w:rsidRPr="00BB5498" w:rsidRDefault="00F36DAE" w:rsidP="004E5C57">
            <w:pPr>
              <w:pStyle w:val="TableText0"/>
            </w:pPr>
            <w:r w:rsidRPr="00BB5498">
              <w:t>0.1683</w:t>
            </w:r>
          </w:p>
        </w:tc>
        <w:tc>
          <w:tcPr>
            <w:tcW w:w="1037" w:type="dxa"/>
            <w:noWrap/>
            <w:hideMark/>
          </w:tcPr>
          <w:p w14:paraId="3580BF58" w14:textId="77777777" w:rsidR="00F36DAE" w:rsidRPr="00BB5498" w:rsidRDefault="00F36DAE" w:rsidP="004E5C57">
            <w:pPr>
              <w:pStyle w:val="TableText0"/>
            </w:pPr>
            <w:r w:rsidRPr="00BB5498">
              <w:t>0.6935</w:t>
            </w:r>
          </w:p>
        </w:tc>
        <w:tc>
          <w:tcPr>
            <w:tcW w:w="992" w:type="dxa"/>
            <w:noWrap/>
            <w:hideMark/>
          </w:tcPr>
          <w:p w14:paraId="27396504" w14:textId="77777777" w:rsidR="00F36DAE" w:rsidRPr="00BB5498" w:rsidRDefault="00F36DAE" w:rsidP="004E5C57">
            <w:pPr>
              <w:pStyle w:val="TableText0"/>
            </w:pPr>
            <w:r w:rsidRPr="00BB5498">
              <w:t>0.1954</w:t>
            </w:r>
          </w:p>
        </w:tc>
        <w:tc>
          <w:tcPr>
            <w:tcW w:w="1037" w:type="dxa"/>
            <w:noWrap/>
            <w:hideMark/>
          </w:tcPr>
          <w:p w14:paraId="5FE52052" w14:textId="77777777" w:rsidR="00F36DAE" w:rsidRPr="00BB5498" w:rsidRDefault="00F36DAE" w:rsidP="004E5C57">
            <w:pPr>
              <w:pStyle w:val="TableText0"/>
            </w:pPr>
            <w:r w:rsidRPr="00BB5498">
              <w:t>0.6232</w:t>
            </w:r>
          </w:p>
        </w:tc>
      </w:tr>
      <w:tr w:rsidR="00F36DAE" w:rsidRPr="00BB5498" w14:paraId="681A1837" w14:textId="77777777" w:rsidTr="00BE0118">
        <w:trPr>
          <w:trHeight w:val="255"/>
        </w:trPr>
        <w:tc>
          <w:tcPr>
            <w:tcW w:w="960" w:type="dxa"/>
            <w:noWrap/>
            <w:hideMark/>
          </w:tcPr>
          <w:p w14:paraId="02EA7E8F" w14:textId="77777777" w:rsidR="00F36DAE" w:rsidRPr="00BB5498" w:rsidRDefault="00F36DAE" w:rsidP="004E5C57">
            <w:pPr>
              <w:pStyle w:val="TableText0"/>
            </w:pPr>
            <w:r w:rsidRPr="00BB5498">
              <w:t>3</w:t>
            </w:r>
          </w:p>
        </w:tc>
        <w:tc>
          <w:tcPr>
            <w:tcW w:w="1083" w:type="dxa"/>
            <w:noWrap/>
            <w:hideMark/>
          </w:tcPr>
          <w:p w14:paraId="7905EE51" w14:textId="77777777" w:rsidR="00F36DAE" w:rsidRPr="00BB5498" w:rsidRDefault="00F36DAE" w:rsidP="004E5C57">
            <w:pPr>
              <w:pStyle w:val="TableText0"/>
            </w:pPr>
            <w:r w:rsidRPr="00BB5498">
              <w:t>0.7940</w:t>
            </w:r>
          </w:p>
        </w:tc>
        <w:tc>
          <w:tcPr>
            <w:tcW w:w="1083" w:type="dxa"/>
            <w:noWrap/>
            <w:hideMark/>
          </w:tcPr>
          <w:p w14:paraId="7394865F" w14:textId="77777777" w:rsidR="00F36DAE" w:rsidRPr="00BB5498" w:rsidRDefault="00F36DAE" w:rsidP="004E5C57">
            <w:pPr>
              <w:pStyle w:val="TableText0"/>
            </w:pPr>
            <w:r w:rsidRPr="00BB5498">
              <w:t>0.0045</w:t>
            </w:r>
          </w:p>
        </w:tc>
        <w:tc>
          <w:tcPr>
            <w:tcW w:w="1083" w:type="dxa"/>
            <w:noWrap/>
            <w:hideMark/>
          </w:tcPr>
          <w:p w14:paraId="23F3DF7A" w14:textId="77777777" w:rsidR="00F36DAE" w:rsidRPr="00BB5498" w:rsidRDefault="00F36DAE" w:rsidP="004E5C57">
            <w:pPr>
              <w:pStyle w:val="TableText0"/>
            </w:pPr>
            <w:r w:rsidRPr="00BB5498">
              <w:t>0.1508</w:t>
            </w:r>
          </w:p>
        </w:tc>
        <w:tc>
          <w:tcPr>
            <w:tcW w:w="1083" w:type="dxa"/>
            <w:noWrap/>
            <w:hideMark/>
          </w:tcPr>
          <w:p w14:paraId="5DD113A0" w14:textId="77777777" w:rsidR="00F36DAE" w:rsidRPr="00BB5498" w:rsidRDefault="00F36DAE" w:rsidP="004E5C57">
            <w:pPr>
              <w:pStyle w:val="TableText0"/>
            </w:pPr>
            <w:r w:rsidRPr="00BB5498">
              <w:t>0.0477</w:t>
            </w:r>
          </w:p>
        </w:tc>
        <w:tc>
          <w:tcPr>
            <w:tcW w:w="1083" w:type="dxa"/>
            <w:noWrap/>
            <w:hideMark/>
          </w:tcPr>
          <w:p w14:paraId="38EAC5D4" w14:textId="77777777" w:rsidR="00F36DAE" w:rsidRPr="00BB5498" w:rsidRDefault="00F36DAE" w:rsidP="004E5C57">
            <w:pPr>
              <w:pStyle w:val="TableText0"/>
            </w:pPr>
            <w:r w:rsidRPr="00BB5498">
              <w:t>0.0006</w:t>
            </w:r>
          </w:p>
        </w:tc>
        <w:tc>
          <w:tcPr>
            <w:tcW w:w="1083" w:type="dxa"/>
            <w:noWrap/>
            <w:hideMark/>
          </w:tcPr>
          <w:p w14:paraId="21B434A7" w14:textId="77777777" w:rsidR="00F36DAE" w:rsidRPr="00BB5498" w:rsidRDefault="00F36DAE" w:rsidP="004E5C57">
            <w:pPr>
              <w:pStyle w:val="TableText0"/>
            </w:pPr>
            <w:r w:rsidRPr="00BB5498">
              <w:t>0.0002</w:t>
            </w:r>
          </w:p>
        </w:tc>
        <w:tc>
          <w:tcPr>
            <w:tcW w:w="1083" w:type="dxa"/>
            <w:noWrap/>
            <w:hideMark/>
          </w:tcPr>
          <w:p w14:paraId="1954ADF5" w14:textId="77777777" w:rsidR="00F36DAE" w:rsidRPr="00BB5498" w:rsidRDefault="00F36DAE" w:rsidP="004E5C57">
            <w:pPr>
              <w:pStyle w:val="TableText0"/>
            </w:pPr>
            <w:r w:rsidRPr="00BB5498">
              <w:t>0.0023</w:t>
            </w:r>
          </w:p>
        </w:tc>
        <w:tc>
          <w:tcPr>
            <w:tcW w:w="1174" w:type="dxa"/>
            <w:noWrap/>
            <w:hideMark/>
          </w:tcPr>
          <w:p w14:paraId="60A247D3" w14:textId="77777777" w:rsidR="00F36DAE" w:rsidRPr="00BB5498" w:rsidRDefault="00F36DAE" w:rsidP="004E5C57">
            <w:pPr>
              <w:pStyle w:val="TableText0"/>
            </w:pPr>
            <w:r w:rsidRPr="00BB5498">
              <w:t>$1,388</w:t>
            </w:r>
          </w:p>
        </w:tc>
        <w:tc>
          <w:tcPr>
            <w:tcW w:w="1180" w:type="dxa"/>
            <w:noWrap/>
            <w:hideMark/>
          </w:tcPr>
          <w:p w14:paraId="4CAA4FDB" w14:textId="77777777" w:rsidR="00F36DAE" w:rsidRPr="00BB5498" w:rsidRDefault="00F36DAE" w:rsidP="004E5C57">
            <w:pPr>
              <w:pStyle w:val="TableText0"/>
            </w:pPr>
            <w:r w:rsidRPr="00BB5498">
              <w:t>$5,907</w:t>
            </w:r>
          </w:p>
        </w:tc>
        <w:tc>
          <w:tcPr>
            <w:tcW w:w="992" w:type="dxa"/>
            <w:noWrap/>
            <w:hideMark/>
          </w:tcPr>
          <w:p w14:paraId="3CC6551B" w14:textId="77777777" w:rsidR="00F36DAE" w:rsidRPr="00BB5498" w:rsidRDefault="00F36DAE" w:rsidP="004E5C57">
            <w:pPr>
              <w:pStyle w:val="TableText0"/>
            </w:pPr>
            <w:r w:rsidRPr="00BB5498">
              <w:t>0.1658</w:t>
            </w:r>
          </w:p>
        </w:tc>
        <w:tc>
          <w:tcPr>
            <w:tcW w:w="1037" w:type="dxa"/>
            <w:noWrap/>
            <w:hideMark/>
          </w:tcPr>
          <w:p w14:paraId="1FBBD0C4" w14:textId="77777777" w:rsidR="00F36DAE" w:rsidRPr="00BB5498" w:rsidRDefault="00F36DAE" w:rsidP="004E5C57">
            <w:pPr>
              <w:pStyle w:val="TableText0"/>
            </w:pPr>
            <w:r w:rsidRPr="00BB5498">
              <w:t>0.8594</w:t>
            </w:r>
          </w:p>
        </w:tc>
        <w:tc>
          <w:tcPr>
            <w:tcW w:w="992" w:type="dxa"/>
            <w:noWrap/>
            <w:hideMark/>
          </w:tcPr>
          <w:p w14:paraId="0344AE86" w14:textId="77777777" w:rsidR="00F36DAE" w:rsidRPr="00BB5498" w:rsidRDefault="00F36DAE" w:rsidP="004E5C57">
            <w:pPr>
              <w:pStyle w:val="TableText0"/>
            </w:pPr>
            <w:r w:rsidRPr="00BB5498">
              <w:t>0.1896</w:t>
            </w:r>
          </w:p>
        </w:tc>
        <w:tc>
          <w:tcPr>
            <w:tcW w:w="1037" w:type="dxa"/>
            <w:noWrap/>
            <w:hideMark/>
          </w:tcPr>
          <w:p w14:paraId="7CE7EA72" w14:textId="77777777" w:rsidR="00F36DAE" w:rsidRPr="00BB5498" w:rsidRDefault="00F36DAE" w:rsidP="004E5C57">
            <w:pPr>
              <w:pStyle w:val="TableText0"/>
            </w:pPr>
            <w:r w:rsidRPr="00BB5498">
              <w:t>0.8128</w:t>
            </w:r>
          </w:p>
        </w:tc>
      </w:tr>
      <w:tr w:rsidR="00F36DAE" w:rsidRPr="00BB5498" w14:paraId="02F6EED5" w14:textId="77777777" w:rsidTr="00BE0118">
        <w:trPr>
          <w:trHeight w:val="255"/>
        </w:trPr>
        <w:tc>
          <w:tcPr>
            <w:tcW w:w="960" w:type="dxa"/>
            <w:noWrap/>
            <w:hideMark/>
          </w:tcPr>
          <w:p w14:paraId="4C1FF00A" w14:textId="77777777" w:rsidR="00F36DAE" w:rsidRPr="00BB5498" w:rsidRDefault="00F36DAE" w:rsidP="004E5C57">
            <w:pPr>
              <w:pStyle w:val="TableText0"/>
            </w:pPr>
            <w:r w:rsidRPr="00BB5498">
              <w:t>4</w:t>
            </w:r>
          </w:p>
        </w:tc>
        <w:tc>
          <w:tcPr>
            <w:tcW w:w="1083" w:type="dxa"/>
            <w:noWrap/>
            <w:hideMark/>
          </w:tcPr>
          <w:p w14:paraId="0048855B" w14:textId="77777777" w:rsidR="00F36DAE" w:rsidRPr="00BB5498" w:rsidRDefault="00F36DAE" w:rsidP="004E5C57">
            <w:pPr>
              <w:pStyle w:val="TableText0"/>
            </w:pPr>
            <w:r w:rsidRPr="00BB5498">
              <w:t>0.7947</w:t>
            </w:r>
          </w:p>
        </w:tc>
        <w:tc>
          <w:tcPr>
            <w:tcW w:w="1083" w:type="dxa"/>
            <w:noWrap/>
            <w:hideMark/>
          </w:tcPr>
          <w:p w14:paraId="79309FBD" w14:textId="77777777" w:rsidR="00F36DAE" w:rsidRPr="00BB5498" w:rsidRDefault="00F36DAE" w:rsidP="004E5C57">
            <w:pPr>
              <w:pStyle w:val="TableText0"/>
            </w:pPr>
            <w:r w:rsidRPr="00BB5498">
              <w:t>0.0066</w:t>
            </w:r>
          </w:p>
        </w:tc>
        <w:tc>
          <w:tcPr>
            <w:tcW w:w="1083" w:type="dxa"/>
            <w:noWrap/>
            <w:hideMark/>
          </w:tcPr>
          <w:p w14:paraId="596D11E4" w14:textId="77777777" w:rsidR="00F36DAE" w:rsidRPr="00BB5498" w:rsidRDefault="00F36DAE" w:rsidP="004E5C57">
            <w:pPr>
              <w:pStyle w:val="TableText0"/>
            </w:pPr>
            <w:r w:rsidRPr="00BB5498">
              <w:t>0.1476</w:t>
            </w:r>
          </w:p>
        </w:tc>
        <w:tc>
          <w:tcPr>
            <w:tcW w:w="1083" w:type="dxa"/>
            <w:noWrap/>
            <w:hideMark/>
          </w:tcPr>
          <w:p w14:paraId="48544633" w14:textId="77777777" w:rsidR="00F36DAE" w:rsidRPr="00BB5498" w:rsidRDefault="00F36DAE" w:rsidP="004E5C57">
            <w:pPr>
              <w:pStyle w:val="TableText0"/>
            </w:pPr>
            <w:r w:rsidRPr="00BB5498">
              <w:t>0.0467</w:t>
            </w:r>
          </w:p>
        </w:tc>
        <w:tc>
          <w:tcPr>
            <w:tcW w:w="1083" w:type="dxa"/>
            <w:noWrap/>
            <w:hideMark/>
          </w:tcPr>
          <w:p w14:paraId="6415DB5B" w14:textId="77777777" w:rsidR="00F36DAE" w:rsidRPr="00BB5498" w:rsidRDefault="00F36DAE" w:rsidP="004E5C57">
            <w:pPr>
              <w:pStyle w:val="TableText0"/>
            </w:pPr>
            <w:r w:rsidRPr="00BB5498">
              <w:t>0.0008</w:t>
            </w:r>
          </w:p>
        </w:tc>
        <w:tc>
          <w:tcPr>
            <w:tcW w:w="1083" w:type="dxa"/>
            <w:noWrap/>
            <w:hideMark/>
          </w:tcPr>
          <w:p w14:paraId="358D212E" w14:textId="77777777" w:rsidR="00F36DAE" w:rsidRPr="00BB5498" w:rsidRDefault="00F36DAE" w:rsidP="004E5C57">
            <w:pPr>
              <w:pStyle w:val="TableText0"/>
            </w:pPr>
            <w:r w:rsidRPr="00BB5498">
              <w:t>0.0003</w:t>
            </w:r>
          </w:p>
        </w:tc>
        <w:tc>
          <w:tcPr>
            <w:tcW w:w="1083" w:type="dxa"/>
            <w:noWrap/>
            <w:hideMark/>
          </w:tcPr>
          <w:p w14:paraId="023EA381" w14:textId="77777777" w:rsidR="00F36DAE" w:rsidRPr="00BB5498" w:rsidRDefault="00F36DAE" w:rsidP="004E5C57">
            <w:pPr>
              <w:pStyle w:val="TableText0"/>
            </w:pPr>
            <w:r w:rsidRPr="00BB5498">
              <w:t>0.0033</w:t>
            </w:r>
          </w:p>
        </w:tc>
        <w:tc>
          <w:tcPr>
            <w:tcW w:w="1174" w:type="dxa"/>
            <w:noWrap/>
            <w:hideMark/>
          </w:tcPr>
          <w:p w14:paraId="38132B69" w14:textId="77777777" w:rsidR="00F36DAE" w:rsidRPr="00BB5498" w:rsidRDefault="00F36DAE" w:rsidP="004E5C57">
            <w:pPr>
              <w:pStyle w:val="TableText0"/>
            </w:pPr>
            <w:r w:rsidRPr="00BB5498">
              <w:t>$1,375</w:t>
            </w:r>
          </w:p>
        </w:tc>
        <w:tc>
          <w:tcPr>
            <w:tcW w:w="1180" w:type="dxa"/>
            <w:noWrap/>
            <w:hideMark/>
          </w:tcPr>
          <w:p w14:paraId="527520AE" w14:textId="77777777" w:rsidR="00F36DAE" w:rsidRPr="00BB5498" w:rsidRDefault="00F36DAE" w:rsidP="004E5C57">
            <w:pPr>
              <w:pStyle w:val="TableText0"/>
            </w:pPr>
            <w:r w:rsidRPr="00BB5498">
              <w:t>$7,282</w:t>
            </w:r>
          </w:p>
        </w:tc>
        <w:tc>
          <w:tcPr>
            <w:tcW w:w="992" w:type="dxa"/>
            <w:noWrap/>
            <w:hideMark/>
          </w:tcPr>
          <w:p w14:paraId="72739344" w14:textId="77777777" w:rsidR="00F36DAE" w:rsidRPr="00BB5498" w:rsidRDefault="00F36DAE" w:rsidP="004E5C57">
            <w:pPr>
              <w:pStyle w:val="TableText0"/>
            </w:pPr>
            <w:r w:rsidRPr="00BB5498">
              <w:t>0.1636</w:t>
            </w:r>
          </w:p>
        </w:tc>
        <w:tc>
          <w:tcPr>
            <w:tcW w:w="1037" w:type="dxa"/>
            <w:noWrap/>
            <w:hideMark/>
          </w:tcPr>
          <w:p w14:paraId="56E592A9" w14:textId="77777777" w:rsidR="00F36DAE" w:rsidRPr="00BB5498" w:rsidRDefault="00F36DAE" w:rsidP="004E5C57">
            <w:pPr>
              <w:pStyle w:val="TableText0"/>
            </w:pPr>
            <w:r w:rsidRPr="00BB5498">
              <w:t>1.0229</w:t>
            </w:r>
          </w:p>
        </w:tc>
        <w:tc>
          <w:tcPr>
            <w:tcW w:w="992" w:type="dxa"/>
            <w:noWrap/>
            <w:hideMark/>
          </w:tcPr>
          <w:p w14:paraId="40383A15" w14:textId="77777777" w:rsidR="00F36DAE" w:rsidRPr="00BB5498" w:rsidRDefault="00F36DAE" w:rsidP="004E5C57">
            <w:pPr>
              <w:pStyle w:val="TableText0"/>
            </w:pPr>
            <w:r w:rsidRPr="00BB5498">
              <w:t>0.1879</w:t>
            </w:r>
          </w:p>
        </w:tc>
        <w:tc>
          <w:tcPr>
            <w:tcW w:w="1037" w:type="dxa"/>
            <w:noWrap/>
            <w:hideMark/>
          </w:tcPr>
          <w:p w14:paraId="4819058E" w14:textId="77777777" w:rsidR="00F36DAE" w:rsidRPr="00BB5498" w:rsidRDefault="00F36DAE" w:rsidP="004E5C57">
            <w:pPr>
              <w:pStyle w:val="TableText0"/>
            </w:pPr>
            <w:r w:rsidRPr="00BB5498">
              <w:t>1.0007</w:t>
            </w:r>
          </w:p>
        </w:tc>
      </w:tr>
      <w:tr w:rsidR="00F36DAE" w:rsidRPr="00BB5498" w14:paraId="739358E3" w14:textId="77777777" w:rsidTr="00BE0118">
        <w:trPr>
          <w:trHeight w:val="255"/>
        </w:trPr>
        <w:tc>
          <w:tcPr>
            <w:tcW w:w="960" w:type="dxa"/>
            <w:noWrap/>
            <w:hideMark/>
          </w:tcPr>
          <w:p w14:paraId="5635177A" w14:textId="77777777" w:rsidR="00F36DAE" w:rsidRPr="00BB5498" w:rsidRDefault="00F36DAE" w:rsidP="004E5C57">
            <w:pPr>
              <w:pStyle w:val="TableText0"/>
            </w:pPr>
            <w:r w:rsidRPr="00BB5498">
              <w:t>5</w:t>
            </w:r>
          </w:p>
        </w:tc>
        <w:tc>
          <w:tcPr>
            <w:tcW w:w="1083" w:type="dxa"/>
            <w:noWrap/>
            <w:hideMark/>
          </w:tcPr>
          <w:p w14:paraId="4DD282B5" w14:textId="77777777" w:rsidR="00F36DAE" w:rsidRPr="00BB5498" w:rsidRDefault="00F36DAE" w:rsidP="004E5C57">
            <w:pPr>
              <w:pStyle w:val="TableText0"/>
            </w:pPr>
            <w:r w:rsidRPr="00BB5498">
              <w:t>0.79117023</w:t>
            </w:r>
          </w:p>
        </w:tc>
        <w:tc>
          <w:tcPr>
            <w:tcW w:w="1083" w:type="dxa"/>
            <w:noWrap/>
            <w:hideMark/>
          </w:tcPr>
          <w:p w14:paraId="1FED2D00" w14:textId="77777777" w:rsidR="00F36DAE" w:rsidRPr="00BB5498" w:rsidRDefault="00F36DAE" w:rsidP="004E5C57">
            <w:pPr>
              <w:pStyle w:val="TableText0"/>
            </w:pPr>
            <w:r w:rsidRPr="00BB5498">
              <w:t>0.00843411</w:t>
            </w:r>
          </w:p>
        </w:tc>
        <w:tc>
          <w:tcPr>
            <w:tcW w:w="1083" w:type="dxa"/>
            <w:noWrap/>
            <w:hideMark/>
          </w:tcPr>
          <w:p w14:paraId="68E42B45" w14:textId="77777777" w:rsidR="00F36DAE" w:rsidRPr="00BB5498" w:rsidRDefault="00F36DAE" w:rsidP="004E5C57">
            <w:pPr>
              <w:pStyle w:val="TableText0"/>
            </w:pPr>
            <w:r w:rsidRPr="00BB5498">
              <w:t>0.14775758</w:t>
            </w:r>
          </w:p>
        </w:tc>
        <w:tc>
          <w:tcPr>
            <w:tcW w:w="1083" w:type="dxa"/>
            <w:noWrap/>
            <w:hideMark/>
          </w:tcPr>
          <w:p w14:paraId="145CE0D8" w14:textId="77777777" w:rsidR="00F36DAE" w:rsidRPr="00BB5498" w:rsidRDefault="00F36DAE" w:rsidP="004E5C57">
            <w:pPr>
              <w:pStyle w:val="TableText0"/>
            </w:pPr>
            <w:r w:rsidRPr="00BB5498">
              <w:t>0.04676981</w:t>
            </w:r>
          </w:p>
        </w:tc>
        <w:tc>
          <w:tcPr>
            <w:tcW w:w="1083" w:type="dxa"/>
            <w:noWrap/>
            <w:hideMark/>
          </w:tcPr>
          <w:p w14:paraId="4A2A6BBA" w14:textId="77777777" w:rsidR="00F36DAE" w:rsidRPr="00BB5498" w:rsidRDefault="00F36DAE" w:rsidP="004E5C57">
            <w:pPr>
              <w:pStyle w:val="TableText0"/>
            </w:pPr>
            <w:r w:rsidRPr="00BB5498">
              <w:t>0.00122464</w:t>
            </w:r>
          </w:p>
        </w:tc>
        <w:tc>
          <w:tcPr>
            <w:tcW w:w="1083" w:type="dxa"/>
            <w:noWrap/>
            <w:hideMark/>
          </w:tcPr>
          <w:p w14:paraId="58738D52" w14:textId="77777777" w:rsidR="00F36DAE" w:rsidRPr="00BB5498" w:rsidRDefault="00F36DAE" w:rsidP="004E5C57">
            <w:pPr>
              <w:pStyle w:val="TableText0"/>
            </w:pPr>
            <w:r w:rsidRPr="00BB5498">
              <w:t>0.00038764</w:t>
            </w:r>
          </w:p>
        </w:tc>
        <w:tc>
          <w:tcPr>
            <w:tcW w:w="1083" w:type="dxa"/>
            <w:noWrap/>
            <w:hideMark/>
          </w:tcPr>
          <w:p w14:paraId="640158F4" w14:textId="77777777" w:rsidR="00F36DAE" w:rsidRPr="00BB5498" w:rsidRDefault="00F36DAE" w:rsidP="004E5C57">
            <w:pPr>
              <w:pStyle w:val="TableText0"/>
            </w:pPr>
            <w:r w:rsidRPr="00BB5498">
              <w:t>0.004256</w:t>
            </w:r>
          </w:p>
        </w:tc>
        <w:tc>
          <w:tcPr>
            <w:tcW w:w="1174" w:type="dxa"/>
            <w:noWrap/>
            <w:hideMark/>
          </w:tcPr>
          <w:p w14:paraId="22BE8480" w14:textId="77777777" w:rsidR="00F36DAE" w:rsidRPr="00BB5498" w:rsidRDefault="00F36DAE" w:rsidP="004E5C57">
            <w:pPr>
              <w:pStyle w:val="TableText0"/>
            </w:pPr>
            <w:r w:rsidRPr="00BB5498">
              <w:t>1355.687686</w:t>
            </w:r>
          </w:p>
        </w:tc>
        <w:tc>
          <w:tcPr>
            <w:tcW w:w="1180" w:type="dxa"/>
            <w:noWrap/>
            <w:hideMark/>
          </w:tcPr>
          <w:p w14:paraId="01EDDFA5" w14:textId="77777777" w:rsidR="00F36DAE" w:rsidRPr="00BB5498" w:rsidRDefault="00F36DAE" w:rsidP="004E5C57">
            <w:pPr>
              <w:pStyle w:val="TableText0"/>
            </w:pPr>
            <w:r w:rsidRPr="00BB5498">
              <w:t>8637.256714</w:t>
            </w:r>
          </w:p>
        </w:tc>
        <w:tc>
          <w:tcPr>
            <w:tcW w:w="992" w:type="dxa"/>
            <w:noWrap/>
            <w:hideMark/>
          </w:tcPr>
          <w:p w14:paraId="1DA978D0" w14:textId="77777777" w:rsidR="00F36DAE" w:rsidRPr="00BB5498" w:rsidRDefault="00F36DAE" w:rsidP="004E5C57">
            <w:pPr>
              <w:pStyle w:val="TableText0"/>
            </w:pPr>
            <w:r w:rsidRPr="00BB5498">
              <w:t>0.1612636</w:t>
            </w:r>
          </w:p>
        </w:tc>
        <w:tc>
          <w:tcPr>
            <w:tcW w:w="1037" w:type="dxa"/>
            <w:noWrap/>
            <w:hideMark/>
          </w:tcPr>
          <w:p w14:paraId="098C7C10" w14:textId="77777777" w:rsidR="00F36DAE" w:rsidRPr="00BB5498" w:rsidRDefault="00F36DAE" w:rsidP="004E5C57">
            <w:pPr>
              <w:pStyle w:val="TableText0"/>
            </w:pPr>
            <w:r w:rsidRPr="00BB5498">
              <w:t>1.1841673</w:t>
            </w:r>
          </w:p>
        </w:tc>
        <w:tc>
          <w:tcPr>
            <w:tcW w:w="992" w:type="dxa"/>
            <w:noWrap/>
            <w:hideMark/>
          </w:tcPr>
          <w:p w14:paraId="6D803AA4" w14:textId="77777777" w:rsidR="00F36DAE" w:rsidRPr="00BB5498" w:rsidRDefault="00F36DAE" w:rsidP="004E5C57">
            <w:pPr>
              <w:pStyle w:val="TableText0"/>
            </w:pPr>
            <w:r w:rsidRPr="00BB5498">
              <w:t>0.1852738</w:t>
            </w:r>
          </w:p>
        </w:tc>
        <w:tc>
          <w:tcPr>
            <w:tcW w:w="1037" w:type="dxa"/>
            <w:noWrap/>
            <w:hideMark/>
          </w:tcPr>
          <w:p w14:paraId="6B5694B2" w14:textId="77777777" w:rsidR="00F36DAE" w:rsidRPr="00BB5498" w:rsidRDefault="00F36DAE" w:rsidP="004E5C57">
            <w:pPr>
              <w:pStyle w:val="TableText0"/>
            </w:pPr>
            <w:r w:rsidRPr="00BB5498">
              <w:t>1.1860196</w:t>
            </w:r>
          </w:p>
        </w:tc>
      </w:tr>
      <w:tr w:rsidR="00F36DAE" w:rsidRPr="00BB5498" w14:paraId="38C244BD" w14:textId="77777777" w:rsidTr="00BE0118">
        <w:trPr>
          <w:trHeight w:val="255"/>
        </w:trPr>
        <w:tc>
          <w:tcPr>
            <w:tcW w:w="960" w:type="dxa"/>
            <w:noWrap/>
            <w:hideMark/>
          </w:tcPr>
          <w:p w14:paraId="76C5EFC7" w14:textId="77777777" w:rsidR="00F36DAE" w:rsidRPr="00BB5498" w:rsidRDefault="00F36DAE" w:rsidP="004E5C57">
            <w:pPr>
              <w:pStyle w:val="TableText0"/>
            </w:pPr>
            <w:r w:rsidRPr="00BB5498">
              <w:t>6</w:t>
            </w:r>
          </w:p>
        </w:tc>
        <w:tc>
          <w:tcPr>
            <w:tcW w:w="1083" w:type="dxa"/>
            <w:noWrap/>
            <w:hideMark/>
          </w:tcPr>
          <w:p w14:paraId="228C941D" w14:textId="77777777" w:rsidR="00F36DAE" w:rsidRPr="00BB5498" w:rsidRDefault="00F36DAE" w:rsidP="004E5C57">
            <w:pPr>
              <w:pStyle w:val="TableText0"/>
            </w:pPr>
            <w:r w:rsidRPr="00BB5498">
              <w:t>0.78867653</w:t>
            </w:r>
          </w:p>
        </w:tc>
        <w:tc>
          <w:tcPr>
            <w:tcW w:w="1083" w:type="dxa"/>
            <w:noWrap/>
            <w:hideMark/>
          </w:tcPr>
          <w:p w14:paraId="061AE8E4" w14:textId="77777777" w:rsidR="00F36DAE" w:rsidRPr="00BB5498" w:rsidRDefault="00F36DAE" w:rsidP="004E5C57">
            <w:pPr>
              <w:pStyle w:val="TableText0"/>
            </w:pPr>
            <w:r w:rsidRPr="00BB5498">
              <w:t>0.01031385</w:t>
            </w:r>
          </w:p>
        </w:tc>
        <w:tc>
          <w:tcPr>
            <w:tcW w:w="1083" w:type="dxa"/>
            <w:noWrap/>
            <w:hideMark/>
          </w:tcPr>
          <w:p w14:paraId="516529D3" w14:textId="77777777" w:rsidR="00F36DAE" w:rsidRPr="00BB5498" w:rsidRDefault="00F36DAE" w:rsidP="004E5C57">
            <w:pPr>
              <w:pStyle w:val="TableText0"/>
            </w:pPr>
            <w:r w:rsidRPr="00BB5498">
              <w:t>0.14710248</w:t>
            </w:r>
          </w:p>
        </w:tc>
        <w:tc>
          <w:tcPr>
            <w:tcW w:w="1083" w:type="dxa"/>
            <w:noWrap/>
            <w:hideMark/>
          </w:tcPr>
          <w:p w14:paraId="310269EE" w14:textId="77777777" w:rsidR="00F36DAE" w:rsidRPr="00BB5498" w:rsidRDefault="00F36DAE" w:rsidP="004E5C57">
            <w:pPr>
              <w:pStyle w:val="TableText0"/>
            </w:pPr>
            <w:r w:rsidRPr="00BB5498">
              <w:t>0.04656245</w:t>
            </w:r>
          </w:p>
        </w:tc>
        <w:tc>
          <w:tcPr>
            <w:tcW w:w="1083" w:type="dxa"/>
            <w:noWrap/>
            <w:hideMark/>
          </w:tcPr>
          <w:p w14:paraId="44A6A6FA" w14:textId="77777777" w:rsidR="00F36DAE" w:rsidRPr="00BB5498" w:rsidRDefault="00F36DAE" w:rsidP="004E5C57">
            <w:pPr>
              <w:pStyle w:val="TableText0"/>
            </w:pPr>
            <w:r w:rsidRPr="00BB5498">
              <w:t>0.00156816</w:t>
            </w:r>
          </w:p>
        </w:tc>
        <w:tc>
          <w:tcPr>
            <w:tcW w:w="1083" w:type="dxa"/>
            <w:noWrap/>
            <w:hideMark/>
          </w:tcPr>
          <w:p w14:paraId="4860A4A7" w14:textId="77777777" w:rsidR="00F36DAE" w:rsidRPr="00BB5498" w:rsidRDefault="00F36DAE" w:rsidP="004E5C57">
            <w:pPr>
              <w:pStyle w:val="TableText0"/>
            </w:pPr>
            <w:r w:rsidRPr="00BB5498">
              <w:t>0.00049637</w:t>
            </w:r>
          </w:p>
        </w:tc>
        <w:tc>
          <w:tcPr>
            <w:tcW w:w="1083" w:type="dxa"/>
            <w:noWrap/>
            <w:hideMark/>
          </w:tcPr>
          <w:p w14:paraId="3E9980B9" w14:textId="77777777" w:rsidR="00F36DAE" w:rsidRPr="00BB5498" w:rsidRDefault="00F36DAE" w:rsidP="004E5C57">
            <w:pPr>
              <w:pStyle w:val="TableText0"/>
            </w:pPr>
            <w:r w:rsidRPr="00BB5498">
              <w:t>0.00528016</w:t>
            </w:r>
          </w:p>
        </w:tc>
        <w:tc>
          <w:tcPr>
            <w:tcW w:w="1174" w:type="dxa"/>
            <w:noWrap/>
            <w:hideMark/>
          </w:tcPr>
          <w:p w14:paraId="21EBFBD2" w14:textId="77777777" w:rsidR="00F36DAE" w:rsidRPr="00BB5498" w:rsidRDefault="00F36DAE" w:rsidP="004E5C57">
            <w:pPr>
              <w:pStyle w:val="TableText0"/>
            </w:pPr>
            <w:r w:rsidRPr="00BB5498">
              <w:t>1338.168456</w:t>
            </w:r>
          </w:p>
        </w:tc>
        <w:tc>
          <w:tcPr>
            <w:tcW w:w="1180" w:type="dxa"/>
            <w:noWrap/>
            <w:hideMark/>
          </w:tcPr>
          <w:p w14:paraId="75286D1F" w14:textId="77777777" w:rsidR="00F36DAE" w:rsidRPr="00BB5498" w:rsidRDefault="00F36DAE" w:rsidP="004E5C57">
            <w:pPr>
              <w:pStyle w:val="TableText0"/>
            </w:pPr>
            <w:r w:rsidRPr="00BB5498">
              <w:t>9975.42517</w:t>
            </w:r>
          </w:p>
        </w:tc>
        <w:tc>
          <w:tcPr>
            <w:tcW w:w="992" w:type="dxa"/>
            <w:noWrap/>
            <w:hideMark/>
          </w:tcPr>
          <w:p w14:paraId="2AEF2331" w14:textId="77777777" w:rsidR="00F36DAE" w:rsidRPr="00BB5498" w:rsidRDefault="00F36DAE" w:rsidP="004E5C57">
            <w:pPr>
              <w:pStyle w:val="TableText0"/>
            </w:pPr>
            <w:r w:rsidRPr="00BB5498">
              <w:t>0.1590162</w:t>
            </w:r>
          </w:p>
        </w:tc>
        <w:tc>
          <w:tcPr>
            <w:tcW w:w="1037" w:type="dxa"/>
            <w:noWrap/>
            <w:hideMark/>
          </w:tcPr>
          <w:p w14:paraId="3325DC0E" w14:textId="77777777" w:rsidR="00F36DAE" w:rsidRPr="00BB5498" w:rsidRDefault="00F36DAE" w:rsidP="004E5C57">
            <w:pPr>
              <w:pStyle w:val="TableText0"/>
            </w:pPr>
            <w:r w:rsidRPr="00BB5498">
              <w:t>1.3431835</w:t>
            </w:r>
          </w:p>
        </w:tc>
        <w:tc>
          <w:tcPr>
            <w:tcW w:w="992" w:type="dxa"/>
            <w:noWrap/>
            <w:hideMark/>
          </w:tcPr>
          <w:p w14:paraId="4E77C2FA" w14:textId="77777777" w:rsidR="00F36DAE" w:rsidRPr="00BB5498" w:rsidRDefault="00F36DAE" w:rsidP="004E5C57">
            <w:pPr>
              <w:pStyle w:val="TableText0"/>
            </w:pPr>
            <w:r w:rsidRPr="00BB5498">
              <w:t>0.1828789</w:t>
            </w:r>
          </w:p>
        </w:tc>
        <w:tc>
          <w:tcPr>
            <w:tcW w:w="1037" w:type="dxa"/>
            <w:noWrap/>
            <w:hideMark/>
          </w:tcPr>
          <w:p w14:paraId="637FCC02" w14:textId="77777777" w:rsidR="00F36DAE" w:rsidRPr="00BB5498" w:rsidRDefault="00F36DAE" w:rsidP="004E5C57">
            <w:pPr>
              <w:pStyle w:val="TableText0"/>
            </w:pPr>
            <w:r w:rsidRPr="00BB5498">
              <w:t>1.3688985</w:t>
            </w:r>
          </w:p>
        </w:tc>
      </w:tr>
      <w:tr w:rsidR="00F36DAE" w:rsidRPr="00BB5498" w14:paraId="6021DCE2" w14:textId="77777777" w:rsidTr="00BE0118">
        <w:trPr>
          <w:trHeight w:val="255"/>
        </w:trPr>
        <w:tc>
          <w:tcPr>
            <w:tcW w:w="960" w:type="dxa"/>
            <w:noWrap/>
            <w:hideMark/>
          </w:tcPr>
          <w:p w14:paraId="0FD3E29A" w14:textId="77777777" w:rsidR="00F36DAE" w:rsidRPr="00BB5498" w:rsidRDefault="00F36DAE" w:rsidP="004E5C57">
            <w:pPr>
              <w:pStyle w:val="TableText0"/>
            </w:pPr>
            <w:r w:rsidRPr="00BB5498">
              <w:t>7</w:t>
            </w:r>
          </w:p>
        </w:tc>
        <w:tc>
          <w:tcPr>
            <w:tcW w:w="1083" w:type="dxa"/>
            <w:noWrap/>
            <w:hideMark/>
          </w:tcPr>
          <w:p w14:paraId="4EA8DC8D" w14:textId="77777777" w:rsidR="00F36DAE" w:rsidRPr="00BB5498" w:rsidRDefault="00F36DAE" w:rsidP="004E5C57">
            <w:pPr>
              <w:pStyle w:val="TableText0"/>
            </w:pPr>
            <w:r w:rsidRPr="00BB5498">
              <w:t>0.78594013</w:t>
            </w:r>
          </w:p>
        </w:tc>
        <w:tc>
          <w:tcPr>
            <w:tcW w:w="1083" w:type="dxa"/>
            <w:noWrap/>
            <w:hideMark/>
          </w:tcPr>
          <w:p w14:paraId="3F21E650" w14:textId="77777777" w:rsidR="00F36DAE" w:rsidRPr="00BB5498" w:rsidRDefault="00F36DAE" w:rsidP="004E5C57">
            <w:pPr>
              <w:pStyle w:val="TableText0"/>
            </w:pPr>
            <w:r w:rsidRPr="00BB5498">
              <w:t>0.01215842</w:t>
            </w:r>
          </w:p>
        </w:tc>
        <w:tc>
          <w:tcPr>
            <w:tcW w:w="1083" w:type="dxa"/>
            <w:noWrap/>
            <w:hideMark/>
          </w:tcPr>
          <w:p w14:paraId="128D63C8" w14:textId="77777777" w:rsidR="00F36DAE" w:rsidRPr="00BB5498" w:rsidRDefault="00F36DAE" w:rsidP="004E5C57">
            <w:pPr>
              <w:pStyle w:val="TableText0"/>
            </w:pPr>
            <w:r w:rsidRPr="00BB5498">
              <w:t>0.14663883</w:t>
            </w:r>
          </w:p>
        </w:tc>
        <w:tc>
          <w:tcPr>
            <w:tcW w:w="1083" w:type="dxa"/>
            <w:noWrap/>
            <w:hideMark/>
          </w:tcPr>
          <w:p w14:paraId="5539A587" w14:textId="77777777" w:rsidR="00F36DAE" w:rsidRPr="00BB5498" w:rsidRDefault="00F36DAE" w:rsidP="004E5C57">
            <w:pPr>
              <w:pStyle w:val="TableText0"/>
            </w:pPr>
            <w:r w:rsidRPr="00BB5498">
              <w:t>0.04641569</w:t>
            </w:r>
          </w:p>
        </w:tc>
        <w:tc>
          <w:tcPr>
            <w:tcW w:w="1083" w:type="dxa"/>
            <w:noWrap/>
            <w:hideMark/>
          </w:tcPr>
          <w:p w14:paraId="1F901CE3" w14:textId="77777777" w:rsidR="00F36DAE" w:rsidRPr="00BB5498" w:rsidRDefault="00F36DAE" w:rsidP="004E5C57">
            <w:pPr>
              <w:pStyle w:val="TableText0"/>
            </w:pPr>
            <w:r w:rsidRPr="00BB5498">
              <w:t>0.00191766</w:t>
            </w:r>
          </w:p>
        </w:tc>
        <w:tc>
          <w:tcPr>
            <w:tcW w:w="1083" w:type="dxa"/>
            <w:noWrap/>
            <w:hideMark/>
          </w:tcPr>
          <w:p w14:paraId="76B0F911" w14:textId="77777777" w:rsidR="00F36DAE" w:rsidRPr="00BB5498" w:rsidRDefault="00F36DAE" w:rsidP="004E5C57">
            <w:pPr>
              <w:pStyle w:val="TableText0"/>
            </w:pPr>
            <w:r w:rsidRPr="00BB5498">
              <w:t>0.000607</w:t>
            </w:r>
          </w:p>
        </w:tc>
        <w:tc>
          <w:tcPr>
            <w:tcW w:w="1083" w:type="dxa"/>
            <w:noWrap/>
            <w:hideMark/>
          </w:tcPr>
          <w:p w14:paraId="7E5001C0" w14:textId="77777777" w:rsidR="00F36DAE" w:rsidRPr="00BB5498" w:rsidRDefault="00F36DAE" w:rsidP="004E5C57">
            <w:pPr>
              <w:pStyle w:val="TableText0"/>
            </w:pPr>
            <w:r w:rsidRPr="00BB5498">
              <w:t>0.00632228</w:t>
            </w:r>
          </w:p>
        </w:tc>
        <w:tc>
          <w:tcPr>
            <w:tcW w:w="1174" w:type="dxa"/>
            <w:noWrap/>
            <w:hideMark/>
          </w:tcPr>
          <w:p w14:paraId="5E601743" w14:textId="77777777" w:rsidR="00F36DAE" w:rsidRPr="00BB5498" w:rsidRDefault="00F36DAE" w:rsidP="004E5C57">
            <w:pPr>
              <w:pStyle w:val="TableText0"/>
            </w:pPr>
            <w:r w:rsidRPr="00BB5498">
              <w:t>1320.500837</w:t>
            </w:r>
          </w:p>
        </w:tc>
        <w:tc>
          <w:tcPr>
            <w:tcW w:w="1180" w:type="dxa"/>
            <w:noWrap/>
            <w:hideMark/>
          </w:tcPr>
          <w:p w14:paraId="27695090" w14:textId="77777777" w:rsidR="00F36DAE" w:rsidRPr="00BB5498" w:rsidRDefault="00F36DAE" w:rsidP="004E5C57">
            <w:pPr>
              <w:pStyle w:val="TableText0"/>
            </w:pPr>
            <w:r w:rsidRPr="00BB5498">
              <w:t>11295.92601</w:t>
            </w:r>
          </w:p>
        </w:tc>
        <w:tc>
          <w:tcPr>
            <w:tcW w:w="992" w:type="dxa"/>
            <w:noWrap/>
            <w:hideMark/>
          </w:tcPr>
          <w:p w14:paraId="0E447B62" w14:textId="77777777" w:rsidR="00F36DAE" w:rsidRPr="00BB5498" w:rsidRDefault="00F36DAE" w:rsidP="004E5C57">
            <w:pPr>
              <w:pStyle w:val="TableText0"/>
            </w:pPr>
            <w:r w:rsidRPr="00BB5498">
              <w:t>0.1567953</w:t>
            </w:r>
          </w:p>
        </w:tc>
        <w:tc>
          <w:tcPr>
            <w:tcW w:w="1037" w:type="dxa"/>
            <w:noWrap/>
            <w:hideMark/>
          </w:tcPr>
          <w:p w14:paraId="743E149F" w14:textId="77777777" w:rsidR="00F36DAE" w:rsidRPr="00BB5498" w:rsidRDefault="00F36DAE" w:rsidP="004E5C57">
            <w:pPr>
              <w:pStyle w:val="TableText0"/>
            </w:pPr>
            <w:r w:rsidRPr="00BB5498">
              <w:t>1.4999788</w:t>
            </w:r>
          </w:p>
        </w:tc>
        <w:tc>
          <w:tcPr>
            <w:tcW w:w="992" w:type="dxa"/>
            <w:noWrap/>
            <w:hideMark/>
          </w:tcPr>
          <w:p w14:paraId="0CAA168B" w14:textId="77777777" w:rsidR="00F36DAE" w:rsidRPr="00BB5498" w:rsidRDefault="00F36DAE" w:rsidP="004E5C57">
            <w:pPr>
              <w:pStyle w:val="TableText0"/>
            </w:pPr>
            <w:r w:rsidRPr="00BB5498">
              <w:t>0.1804557</w:t>
            </w:r>
          </w:p>
        </w:tc>
        <w:tc>
          <w:tcPr>
            <w:tcW w:w="1037" w:type="dxa"/>
            <w:noWrap/>
            <w:hideMark/>
          </w:tcPr>
          <w:p w14:paraId="742F92DB" w14:textId="77777777" w:rsidR="00F36DAE" w:rsidRPr="00BB5498" w:rsidRDefault="00F36DAE" w:rsidP="004E5C57">
            <w:pPr>
              <w:pStyle w:val="TableText0"/>
            </w:pPr>
            <w:r w:rsidRPr="00BB5498">
              <w:t>1.5493542</w:t>
            </w:r>
          </w:p>
        </w:tc>
      </w:tr>
      <w:tr w:rsidR="00F36DAE" w:rsidRPr="00BB5498" w14:paraId="5058261C" w14:textId="77777777" w:rsidTr="00BE0118">
        <w:trPr>
          <w:trHeight w:val="255"/>
        </w:trPr>
        <w:tc>
          <w:tcPr>
            <w:tcW w:w="960" w:type="dxa"/>
            <w:noWrap/>
            <w:hideMark/>
          </w:tcPr>
          <w:p w14:paraId="0E23B7BA" w14:textId="77777777" w:rsidR="00F36DAE" w:rsidRPr="00BB5498" w:rsidRDefault="00F36DAE" w:rsidP="004E5C57">
            <w:pPr>
              <w:pStyle w:val="TableText0"/>
            </w:pPr>
            <w:r w:rsidRPr="00BB5498">
              <w:t>8</w:t>
            </w:r>
          </w:p>
        </w:tc>
        <w:tc>
          <w:tcPr>
            <w:tcW w:w="1083" w:type="dxa"/>
            <w:noWrap/>
            <w:hideMark/>
          </w:tcPr>
          <w:p w14:paraId="0B4C0416" w14:textId="77777777" w:rsidR="00F36DAE" w:rsidRPr="00BB5498" w:rsidRDefault="00F36DAE" w:rsidP="004E5C57">
            <w:pPr>
              <w:pStyle w:val="TableText0"/>
            </w:pPr>
            <w:r w:rsidRPr="00BB5498">
              <w:t>0.78326844</w:t>
            </w:r>
          </w:p>
        </w:tc>
        <w:tc>
          <w:tcPr>
            <w:tcW w:w="1083" w:type="dxa"/>
            <w:noWrap/>
            <w:hideMark/>
          </w:tcPr>
          <w:p w14:paraId="7E45653A" w14:textId="77777777" w:rsidR="00F36DAE" w:rsidRPr="00BB5498" w:rsidRDefault="00F36DAE" w:rsidP="004E5C57">
            <w:pPr>
              <w:pStyle w:val="TableText0"/>
            </w:pPr>
            <w:r w:rsidRPr="00BB5498">
              <w:t>0.01398747</w:t>
            </w:r>
          </w:p>
        </w:tc>
        <w:tc>
          <w:tcPr>
            <w:tcW w:w="1083" w:type="dxa"/>
            <w:noWrap/>
            <w:hideMark/>
          </w:tcPr>
          <w:p w14:paraId="47496CD6" w14:textId="77777777" w:rsidR="00F36DAE" w:rsidRPr="00BB5498" w:rsidRDefault="00F36DAE" w:rsidP="004E5C57">
            <w:pPr>
              <w:pStyle w:val="TableText0"/>
            </w:pPr>
            <w:r w:rsidRPr="00BB5498">
              <w:t>0.14613005</w:t>
            </w:r>
          </w:p>
        </w:tc>
        <w:tc>
          <w:tcPr>
            <w:tcW w:w="1083" w:type="dxa"/>
            <w:noWrap/>
            <w:hideMark/>
          </w:tcPr>
          <w:p w14:paraId="66E136DD" w14:textId="77777777" w:rsidR="00F36DAE" w:rsidRPr="00BB5498" w:rsidRDefault="00F36DAE" w:rsidP="004E5C57">
            <w:pPr>
              <w:pStyle w:val="TableText0"/>
            </w:pPr>
            <w:r w:rsidRPr="00BB5498">
              <w:t>0.04625464</w:t>
            </w:r>
          </w:p>
        </w:tc>
        <w:tc>
          <w:tcPr>
            <w:tcW w:w="1083" w:type="dxa"/>
            <w:noWrap/>
            <w:hideMark/>
          </w:tcPr>
          <w:p w14:paraId="6902B66B" w14:textId="77777777" w:rsidR="00F36DAE" w:rsidRPr="00BB5498" w:rsidRDefault="00F36DAE" w:rsidP="004E5C57">
            <w:pPr>
              <w:pStyle w:val="TableText0"/>
            </w:pPr>
            <w:r w:rsidRPr="00BB5498">
              <w:t>0.00226062</w:t>
            </w:r>
          </w:p>
        </w:tc>
        <w:tc>
          <w:tcPr>
            <w:tcW w:w="1083" w:type="dxa"/>
            <w:noWrap/>
            <w:hideMark/>
          </w:tcPr>
          <w:p w14:paraId="281D038F" w14:textId="77777777" w:rsidR="00F36DAE" w:rsidRPr="00BB5498" w:rsidRDefault="00F36DAE" w:rsidP="004E5C57">
            <w:pPr>
              <w:pStyle w:val="TableText0"/>
            </w:pPr>
            <w:r w:rsidRPr="00BB5498">
              <w:t>0.00071555</w:t>
            </w:r>
          </w:p>
        </w:tc>
        <w:tc>
          <w:tcPr>
            <w:tcW w:w="1083" w:type="dxa"/>
            <w:noWrap/>
            <w:hideMark/>
          </w:tcPr>
          <w:p w14:paraId="7C1E52DF" w14:textId="77777777" w:rsidR="00F36DAE" w:rsidRPr="00BB5498" w:rsidRDefault="00F36DAE" w:rsidP="004E5C57">
            <w:pPr>
              <w:pStyle w:val="TableText0"/>
            </w:pPr>
            <w:r w:rsidRPr="00BB5498">
              <w:t>0.00738322</w:t>
            </w:r>
          </w:p>
        </w:tc>
        <w:tc>
          <w:tcPr>
            <w:tcW w:w="1174" w:type="dxa"/>
            <w:noWrap/>
            <w:hideMark/>
          </w:tcPr>
          <w:p w14:paraId="325E319E" w14:textId="77777777" w:rsidR="00F36DAE" w:rsidRPr="00BB5498" w:rsidRDefault="00F36DAE" w:rsidP="004E5C57">
            <w:pPr>
              <w:pStyle w:val="TableText0"/>
            </w:pPr>
            <w:r w:rsidRPr="00BB5498">
              <w:t>1303.124553</w:t>
            </w:r>
          </w:p>
        </w:tc>
        <w:tc>
          <w:tcPr>
            <w:tcW w:w="1180" w:type="dxa"/>
            <w:noWrap/>
            <w:hideMark/>
          </w:tcPr>
          <w:p w14:paraId="62A256EF" w14:textId="77777777" w:rsidR="00F36DAE" w:rsidRPr="00BB5498" w:rsidRDefault="00F36DAE" w:rsidP="004E5C57">
            <w:pPr>
              <w:pStyle w:val="TableText0"/>
            </w:pPr>
            <w:r w:rsidRPr="00BB5498">
              <w:t>12599.05056</w:t>
            </w:r>
          </w:p>
        </w:tc>
        <w:tc>
          <w:tcPr>
            <w:tcW w:w="992" w:type="dxa"/>
            <w:noWrap/>
            <w:hideMark/>
          </w:tcPr>
          <w:p w14:paraId="08EDF52E" w14:textId="77777777" w:rsidR="00F36DAE" w:rsidRPr="00BB5498" w:rsidRDefault="00F36DAE" w:rsidP="004E5C57">
            <w:pPr>
              <w:pStyle w:val="TableText0"/>
            </w:pPr>
            <w:r w:rsidRPr="00BB5498">
              <w:t>0.1546039</w:t>
            </w:r>
          </w:p>
        </w:tc>
        <w:tc>
          <w:tcPr>
            <w:tcW w:w="1037" w:type="dxa"/>
            <w:noWrap/>
            <w:hideMark/>
          </w:tcPr>
          <w:p w14:paraId="2BE39DD5" w14:textId="77777777" w:rsidR="00F36DAE" w:rsidRPr="00BB5498" w:rsidRDefault="00F36DAE" w:rsidP="004E5C57">
            <w:pPr>
              <w:pStyle w:val="TableText0"/>
            </w:pPr>
            <w:r w:rsidRPr="00BB5498">
              <w:t>1.6545828</w:t>
            </w:r>
          </w:p>
        </w:tc>
        <w:tc>
          <w:tcPr>
            <w:tcW w:w="992" w:type="dxa"/>
            <w:noWrap/>
            <w:hideMark/>
          </w:tcPr>
          <w:p w14:paraId="562AD017" w14:textId="77777777" w:rsidR="00F36DAE" w:rsidRPr="00BB5498" w:rsidRDefault="00F36DAE" w:rsidP="004E5C57">
            <w:pPr>
              <w:pStyle w:val="TableText0"/>
            </w:pPr>
            <w:r w:rsidRPr="00BB5498">
              <w:t>0.1780746</w:t>
            </w:r>
          </w:p>
        </w:tc>
        <w:tc>
          <w:tcPr>
            <w:tcW w:w="1037" w:type="dxa"/>
            <w:noWrap/>
            <w:hideMark/>
          </w:tcPr>
          <w:p w14:paraId="437DE8C8" w14:textId="77777777" w:rsidR="00F36DAE" w:rsidRPr="00BB5498" w:rsidRDefault="00F36DAE" w:rsidP="004E5C57">
            <w:pPr>
              <w:pStyle w:val="TableText0"/>
            </w:pPr>
            <w:r w:rsidRPr="00BB5498">
              <w:t>1.7274288</w:t>
            </w:r>
          </w:p>
        </w:tc>
      </w:tr>
      <w:tr w:rsidR="00F36DAE" w:rsidRPr="00BB5498" w14:paraId="39C411ED" w14:textId="77777777" w:rsidTr="00BE0118">
        <w:trPr>
          <w:trHeight w:val="255"/>
        </w:trPr>
        <w:tc>
          <w:tcPr>
            <w:tcW w:w="960" w:type="dxa"/>
            <w:noWrap/>
            <w:hideMark/>
          </w:tcPr>
          <w:p w14:paraId="60BAD7C3" w14:textId="77777777" w:rsidR="00F36DAE" w:rsidRPr="00BB5498" w:rsidRDefault="00F36DAE" w:rsidP="004E5C57">
            <w:pPr>
              <w:pStyle w:val="TableText0"/>
            </w:pPr>
            <w:r w:rsidRPr="00BB5498">
              <w:t>9</w:t>
            </w:r>
          </w:p>
        </w:tc>
        <w:tc>
          <w:tcPr>
            <w:tcW w:w="1083" w:type="dxa"/>
            <w:noWrap/>
            <w:hideMark/>
          </w:tcPr>
          <w:p w14:paraId="7AF43AA3" w14:textId="77777777" w:rsidR="00F36DAE" w:rsidRPr="00BB5498" w:rsidRDefault="00F36DAE" w:rsidP="004E5C57">
            <w:pPr>
              <w:pStyle w:val="TableText0"/>
            </w:pPr>
            <w:r w:rsidRPr="00BB5498">
              <w:t>0.78058722</w:t>
            </w:r>
          </w:p>
        </w:tc>
        <w:tc>
          <w:tcPr>
            <w:tcW w:w="1083" w:type="dxa"/>
            <w:noWrap/>
            <w:hideMark/>
          </w:tcPr>
          <w:p w14:paraId="067A8783" w14:textId="77777777" w:rsidR="00F36DAE" w:rsidRPr="00BB5498" w:rsidRDefault="00F36DAE" w:rsidP="004E5C57">
            <w:pPr>
              <w:pStyle w:val="TableText0"/>
            </w:pPr>
            <w:r w:rsidRPr="00BB5498">
              <w:t>0.01579567</w:t>
            </w:r>
          </w:p>
        </w:tc>
        <w:tc>
          <w:tcPr>
            <w:tcW w:w="1083" w:type="dxa"/>
            <w:noWrap/>
            <w:hideMark/>
          </w:tcPr>
          <w:p w14:paraId="25AD6FA7" w14:textId="77777777" w:rsidR="00F36DAE" w:rsidRPr="00BB5498" w:rsidRDefault="00F36DAE" w:rsidP="004E5C57">
            <w:pPr>
              <w:pStyle w:val="TableText0"/>
            </w:pPr>
            <w:r w:rsidRPr="00BB5498">
              <w:t>0.1456333</w:t>
            </w:r>
          </w:p>
        </w:tc>
        <w:tc>
          <w:tcPr>
            <w:tcW w:w="1083" w:type="dxa"/>
            <w:noWrap/>
            <w:hideMark/>
          </w:tcPr>
          <w:p w14:paraId="09A122F4" w14:textId="77777777" w:rsidR="00F36DAE" w:rsidRPr="00BB5498" w:rsidRDefault="00F36DAE" w:rsidP="004E5C57">
            <w:pPr>
              <w:pStyle w:val="TableText0"/>
            </w:pPr>
            <w:r w:rsidRPr="00BB5498">
              <w:t>0.04609741</w:t>
            </w:r>
          </w:p>
        </w:tc>
        <w:tc>
          <w:tcPr>
            <w:tcW w:w="1083" w:type="dxa"/>
            <w:noWrap/>
            <w:hideMark/>
          </w:tcPr>
          <w:p w14:paraId="05C6907C" w14:textId="77777777" w:rsidR="00F36DAE" w:rsidRPr="00BB5498" w:rsidRDefault="00F36DAE" w:rsidP="004E5C57">
            <w:pPr>
              <w:pStyle w:val="TableText0"/>
            </w:pPr>
            <w:r w:rsidRPr="00BB5498">
              <w:t>0.00260069</w:t>
            </w:r>
          </w:p>
        </w:tc>
        <w:tc>
          <w:tcPr>
            <w:tcW w:w="1083" w:type="dxa"/>
            <w:noWrap/>
            <w:hideMark/>
          </w:tcPr>
          <w:p w14:paraId="2DA18E1C" w14:textId="77777777" w:rsidR="00F36DAE" w:rsidRPr="00BB5498" w:rsidRDefault="00F36DAE" w:rsidP="004E5C57">
            <w:pPr>
              <w:pStyle w:val="TableText0"/>
            </w:pPr>
            <w:r w:rsidRPr="00BB5498">
              <w:t>0.0008232</w:t>
            </w:r>
          </w:p>
        </w:tc>
        <w:tc>
          <w:tcPr>
            <w:tcW w:w="1083" w:type="dxa"/>
            <w:noWrap/>
            <w:hideMark/>
          </w:tcPr>
          <w:p w14:paraId="29D59054" w14:textId="77777777" w:rsidR="00F36DAE" w:rsidRPr="00BB5498" w:rsidRDefault="00F36DAE" w:rsidP="004E5C57">
            <w:pPr>
              <w:pStyle w:val="TableText0"/>
            </w:pPr>
            <w:r w:rsidRPr="00BB5498">
              <w:t>0.00846251</w:t>
            </w:r>
          </w:p>
        </w:tc>
        <w:tc>
          <w:tcPr>
            <w:tcW w:w="1174" w:type="dxa"/>
            <w:noWrap/>
            <w:hideMark/>
          </w:tcPr>
          <w:p w14:paraId="010EBD49" w14:textId="77777777" w:rsidR="00F36DAE" w:rsidRPr="00BB5498" w:rsidRDefault="00F36DAE" w:rsidP="004E5C57">
            <w:pPr>
              <w:pStyle w:val="TableText0"/>
            </w:pPr>
            <w:r w:rsidRPr="00BB5498">
              <w:t>1285.931178</w:t>
            </w:r>
          </w:p>
        </w:tc>
        <w:tc>
          <w:tcPr>
            <w:tcW w:w="1180" w:type="dxa"/>
            <w:noWrap/>
            <w:hideMark/>
          </w:tcPr>
          <w:p w14:paraId="2D805A09" w14:textId="77777777" w:rsidR="00F36DAE" w:rsidRPr="00BB5498" w:rsidRDefault="00F36DAE" w:rsidP="004E5C57">
            <w:pPr>
              <w:pStyle w:val="TableText0"/>
            </w:pPr>
            <w:r w:rsidRPr="00BB5498">
              <w:t>13884.98174</w:t>
            </w:r>
          </w:p>
        </w:tc>
        <w:tc>
          <w:tcPr>
            <w:tcW w:w="992" w:type="dxa"/>
            <w:noWrap/>
            <w:hideMark/>
          </w:tcPr>
          <w:p w14:paraId="300ACDCF" w14:textId="77777777" w:rsidR="00F36DAE" w:rsidRPr="00BB5498" w:rsidRDefault="00F36DAE" w:rsidP="004E5C57">
            <w:pPr>
              <w:pStyle w:val="TableText0"/>
            </w:pPr>
            <w:r w:rsidRPr="00BB5498">
              <w:t>0.1524409</w:t>
            </w:r>
          </w:p>
        </w:tc>
        <w:tc>
          <w:tcPr>
            <w:tcW w:w="1037" w:type="dxa"/>
            <w:noWrap/>
            <w:hideMark/>
          </w:tcPr>
          <w:p w14:paraId="29864891" w14:textId="77777777" w:rsidR="00F36DAE" w:rsidRPr="00BB5498" w:rsidRDefault="00F36DAE" w:rsidP="004E5C57">
            <w:pPr>
              <w:pStyle w:val="TableText0"/>
            </w:pPr>
            <w:r w:rsidRPr="00BB5498">
              <w:t>1.8070237</w:t>
            </w:r>
          </w:p>
        </w:tc>
        <w:tc>
          <w:tcPr>
            <w:tcW w:w="992" w:type="dxa"/>
            <w:noWrap/>
            <w:hideMark/>
          </w:tcPr>
          <w:p w14:paraId="1F9AB403" w14:textId="77777777" w:rsidR="00F36DAE" w:rsidRPr="00BB5498" w:rsidRDefault="00F36DAE" w:rsidP="004E5C57">
            <w:pPr>
              <w:pStyle w:val="TableText0"/>
            </w:pPr>
            <w:r w:rsidRPr="00BB5498">
              <w:t>0.1757182</w:t>
            </w:r>
          </w:p>
        </w:tc>
        <w:tc>
          <w:tcPr>
            <w:tcW w:w="1037" w:type="dxa"/>
            <w:noWrap/>
            <w:hideMark/>
          </w:tcPr>
          <w:p w14:paraId="0CF8A44F" w14:textId="77777777" w:rsidR="00F36DAE" w:rsidRPr="00BB5498" w:rsidRDefault="00F36DAE" w:rsidP="004E5C57">
            <w:pPr>
              <w:pStyle w:val="TableText0"/>
            </w:pPr>
            <w:r w:rsidRPr="00BB5498">
              <w:t>1.903147</w:t>
            </w:r>
          </w:p>
        </w:tc>
      </w:tr>
      <w:tr w:rsidR="00F36DAE" w:rsidRPr="00BB5498" w14:paraId="7ACA1597" w14:textId="77777777" w:rsidTr="00BE0118">
        <w:trPr>
          <w:trHeight w:val="255"/>
        </w:trPr>
        <w:tc>
          <w:tcPr>
            <w:tcW w:w="960" w:type="dxa"/>
            <w:noWrap/>
            <w:hideMark/>
          </w:tcPr>
          <w:p w14:paraId="31F07B2A" w14:textId="77777777" w:rsidR="00F36DAE" w:rsidRPr="00BB5498" w:rsidRDefault="00F36DAE" w:rsidP="004E5C57">
            <w:pPr>
              <w:pStyle w:val="TableText0"/>
            </w:pPr>
            <w:r w:rsidRPr="00BB5498">
              <w:t>10</w:t>
            </w:r>
          </w:p>
        </w:tc>
        <w:tc>
          <w:tcPr>
            <w:tcW w:w="1083" w:type="dxa"/>
            <w:noWrap/>
            <w:hideMark/>
          </w:tcPr>
          <w:p w14:paraId="71B1D61E" w14:textId="77777777" w:rsidR="00F36DAE" w:rsidRPr="00BB5498" w:rsidRDefault="00F36DAE" w:rsidP="004E5C57">
            <w:pPr>
              <w:pStyle w:val="TableText0"/>
            </w:pPr>
            <w:r w:rsidRPr="00BB5498">
              <w:t>0.77791325</w:t>
            </w:r>
          </w:p>
        </w:tc>
        <w:tc>
          <w:tcPr>
            <w:tcW w:w="1083" w:type="dxa"/>
            <w:noWrap/>
            <w:hideMark/>
          </w:tcPr>
          <w:p w14:paraId="4E703143" w14:textId="77777777" w:rsidR="00F36DAE" w:rsidRPr="00BB5498" w:rsidRDefault="00F36DAE" w:rsidP="004E5C57">
            <w:pPr>
              <w:pStyle w:val="TableText0"/>
            </w:pPr>
            <w:r w:rsidRPr="00BB5498">
              <w:t>0.0175847</w:t>
            </w:r>
          </w:p>
        </w:tc>
        <w:tc>
          <w:tcPr>
            <w:tcW w:w="1083" w:type="dxa"/>
            <w:noWrap/>
            <w:hideMark/>
          </w:tcPr>
          <w:p w14:paraId="411EB4A0" w14:textId="77777777" w:rsidR="00F36DAE" w:rsidRPr="00BB5498" w:rsidRDefault="00F36DAE" w:rsidP="004E5C57">
            <w:pPr>
              <w:pStyle w:val="TableText0"/>
            </w:pPr>
            <w:r w:rsidRPr="00BB5498">
              <w:t>0.14513478</w:t>
            </w:r>
          </w:p>
        </w:tc>
        <w:tc>
          <w:tcPr>
            <w:tcW w:w="1083" w:type="dxa"/>
            <w:noWrap/>
            <w:hideMark/>
          </w:tcPr>
          <w:p w14:paraId="52043D6F" w14:textId="77777777" w:rsidR="00F36DAE" w:rsidRPr="00BB5498" w:rsidRDefault="00F36DAE" w:rsidP="004E5C57">
            <w:pPr>
              <w:pStyle w:val="TableText0"/>
            </w:pPr>
            <w:r w:rsidRPr="00BB5498">
              <w:t>0.04593961</w:t>
            </w:r>
          </w:p>
        </w:tc>
        <w:tc>
          <w:tcPr>
            <w:tcW w:w="1083" w:type="dxa"/>
            <w:noWrap/>
            <w:hideMark/>
          </w:tcPr>
          <w:p w14:paraId="07B5A6F7" w14:textId="77777777" w:rsidR="00F36DAE" w:rsidRPr="00BB5498" w:rsidRDefault="00F36DAE" w:rsidP="004E5C57">
            <w:pPr>
              <w:pStyle w:val="TableText0"/>
            </w:pPr>
            <w:r w:rsidRPr="00BB5498">
              <w:t>0.00293689</w:t>
            </w:r>
          </w:p>
        </w:tc>
        <w:tc>
          <w:tcPr>
            <w:tcW w:w="1083" w:type="dxa"/>
            <w:noWrap/>
            <w:hideMark/>
          </w:tcPr>
          <w:p w14:paraId="5ED30AD3" w14:textId="77777777" w:rsidR="00F36DAE" w:rsidRPr="00BB5498" w:rsidRDefault="00F36DAE" w:rsidP="004E5C57">
            <w:pPr>
              <w:pStyle w:val="TableText0"/>
            </w:pPr>
            <w:r w:rsidRPr="00BB5498">
              <w:t>0.00092962</w:t>
            </w:r>
          </w:p>
        </w:tc>
        <w:tc>
          <w:tcPr>
            <w:tcW w:w="1083" w:type="dxa"/>
            <w:noWrap/>
            <w:hideMark/>
          </w:tcPr>
          <w:p w14:paraId="61532A39" w14:textId="77777777" w:rsidR="00F36DAE" w:rsidRPr="00BB5498" w:rsidRDefault="00F36DAE" w:rsidP="004E5C57">
            <w:pPr>
              <w:pStyle w:val="TableText0"/>
            </w:pPr>
            <w:r w:rsidRPr="00BB5498">
              <w:t>0.00956115</w:t>
            </w:r>
          </w:p>
        </w:tc>
        <w:tc>
          <w:tcPr>
            <w:tcW w:w="1174" w:type="dxa"/>
            <w:noWrap/>
            <w:hideMark/>
          </w:tcPr>
          <w:p w14:paraId="4E87CA49" w14:textId="77777777" w:rsidR="00F36DAE" w:rsidRPr="00BB5498" w:rsidRDefault="00F36DAE" w:rsidP="004E5C57">
            <w:pPr>
              <w:pStyle w:val="TableText0"/>
            </w:pPr>
            <w:r w:rsidRPr="00BB5498">
              <w:t>1268.94288</w:t>
            </w:r>
          </w:p>
        </w:tc>
        <w:tc>
          <w:tcPr>
            <w:tcW w:w="1180" w:type="dxa"/>
            <w:noWrap/>
            <w:hideMark/>
          </w:tcPr>
          <w:p w14:paraId="4A683CD8" w14:textId="77777777" w:rsidR="00F36DAE" w:rsidRPr="00BB5498" w:rsidRDefault="00F36DAE" w:rsidP="004E5C57">
            <w:pPr>
              <w:pStyle w:val="TableText0"/>
            </w:pPr>
            <w:r w:rsidRPr="00BB5498">
              <w:t>15153.92462</w:t>
            </w:r>
          </w:p>
        </w:tc>
        <w:tc>
          <w:tcPr>
            <w:tcW w:w="992" w:type="dxa"/>
            <w:noWrap/>
            <w:hideMark/>
          </w:tcPr>
          <w:p w14:paraId="1BF2FAA5" w14:textId="77777777" w:rsidR="00F36DAE" w:rsidRPr="00BB5498" w:rsidRDefault="00F36DAE" w:rsidP="004E5C57">
            <w:pPr>
              <w:pStyle w:val="TableText0"/>
            </w:pPr>
            <w:r w:rsidRPr="00BB5498">
              <w:t>0.1503059</w:t>
            </w:r>
          </w:p>
        </w:tc>
        <w:tc>
          <w:tcPr>
            <w:tcW w:w="1037" w:type="dxa"/>
            <w:noWrap/>
            <w:hideMark/>
          </w:tcPr>
          <w:p w14:paraId="53864D0E" w14:textId="77777777" w:rsidR="00F36DAE" w:rsidRPr="00BB5498" w:rsidRDefault="00F36DAE" w:rsidP="004E5C57">
            <w:pPr>
              <w:pStyle w:val="TableText0"/>
            </w:pPr>
            <w:r w:rsidRPr="00BB5498">
              <w:t>1.9573296</w:t>
            </w:r>
          </w:p>
        </w:tc>
        <w:tc>
          <w:tcPr>
            <w:tcW w:w="992" w:type="dxa"/>
            <w:noWrap/>
            <w:hideMark/>
          </w:tcPr>
          <w:p w14:paraId="6246E601" w14:textId="77777777" w:rsidR="00F36DAE" w:rsidRPr="00BB5498" w:rsidRDefault="00F36DAE" w:rsidP="004E5C57">
            <w:pPr>
              <w:pStyle w:val="TableText0"/>
            </w:pPr>
            <w:r w:rsidRPr="00BB5498">
              <w:t>0.1733902</w:t>
            </w:r>
          </w:p>
        </w:tc>
        <w:tc>
          <w:tcPr>
            <w:tcW w:w="1037" w:type="dxa"/>
            <w:noWrap/>
            <w:hideMark/>
          </w:tcPr>
          <w:p w14:paraId="54F29EFC" w14:textId="77777777" w:rsidR="00F36DAE" w:rsidRPr="00BB5498" w:rsidRDefault="00F36DAE" w:rsidP="004E5C57">
            <w:pPr>
              <w:pStyle w:val="TableText0"/>
            </w:pPr>
            <w:r w:rsidRPr="00BB5498">
              <w:t>2.0765372</w:t>
            </w:r>
          </w:p>
        </w:tc>
      </w:tr>
      <w:tr w:rsidR="00F36DAE" w:rsidRPr="00BB5498" w14:paraId="543C0352" w14:textId="77777777" w:rsidTr="00BE0118">
        <w:trPr>
          <w:trHeight w:val="255"/>
        </w:trPr>
        <w:tc>
          <w:tcPr>
            <w:tcW w:w="960" w:type="dxa"/>
            <w:noWrap/>
            <w:hideMark/>
          </w:tcPr>
          <w:p w14:paraId="35AB3F36" w14:textId="77777777" w:rsidR="00F36DAE" w:rsidRPr="00BB5498" w:rsidRDefault="00F36DAE" w:rsidP="004E5C57">
            <w:pPr>
              <w:pStyle w:val="TableText0"/>
            </w:pPr>
            <w:r w:rsidRPr="00BB5498">
              <w:t>11</w:t>
            </w:r>
          </w:p>
        </w:tc>
        <w:tc>
          <w:tcPr>
            <w:tcW w:w="1083" w:type="dxa"/>
            <w:noWrap/>
            <w:hideMark/>
          </w:tcPr>
          <w:p w14:paraId="05A4D01D" w14:textId="77777777" w:rsidR="00F36DAE" w:rsidRPr="00BB5498" w:rsidRDefault="00F36DAE" w:rsidP="004E5C57">
            <w:pPr>
              <w:pStyle w:val="TableText0"/>
            </w:pPr>
            <w:r w:rsidRPr="00BB5498">
              <w:t>0.77524251</w:t>
            </w:r>
          </w:p>
        </w:tc>
        <w:tc>
          <w:tcPr>
            <w:tcW w:w="1083" w:type="dxa"/>
            <w:noWrap/>
            <w:hideMark/>
          </w:tcPr>
          <w:p w14:paraId="1ED0A5AE" w14:textId="77777777" w:rsidR="00F36DAE" w:rsidRPr="00BB5498" w:rsidRDefault="00F36DAE" w:rsidP="004E5C57">
            <w:pPr>
              <w:pStyle w:val="TableText0"/>
            </w:pPr>
            <w:r w:rsidRPr="00BB5498">
              <w:t>0.01935427</w:t>
            </w:r>
          </w:p>
        </w:tc>
        <w:tc>
          <w:tcPr>
            <w:tcW w:w="1083" w:type="dxa"/>
            <w:noWrap/>
            <w:hideMark/>
          </w:tcPr>
          <w:p w14:paraId="4570C014" w14:textId="77777777" w:rsidR="00F36DAE" w:rsidRPr="00BB5498" w:rsidRDefault="00F36DAE" w:rsidP="004E5C57">
            <w:pPr>
              <w:pStyle w:val="TableText0"/>
            </w:pPr>
            <w:r w:rsidRPr="00BB5498">
              <w:t>0.14463761</w:t>
            </w:r>
          </w:p>
        </w:tc>
        <w:tc>
          <w:tcPr>
            <w:tcW w:w="1083" w:type="dxa"/>
            <w:noWrap/>
            <w:hideMark/>
          </w:tcPr>
          <w:p w14:paraId="11859E21" w14:textId="77777777" w:rsidR="00F36DAE" w:rsidRPr="00BB5498" w:rsidRDefault="00F36DAE" w:rsidP="004E5C57">
            <w:pPr>
              <w:pStyle w:val="TableText0"/>
            </w:pPr>
            <w:r w:rsidRPr="00BB5498">
              <w:t>0.04578224</w:t>
            </w:r>
          </w:p>
        </w:tc>
        <w:tc>
          <w:tcPr>
            <w:tcW w:w="1083" w:type="dxa"/>
            <w:noWrap/>
            <w:hideMark/>
          </w:tcPr>
          <w:p w14:paraId="4E1009D1" w14:textId="77777777" w:rsidR="00F36DAE" w:rsidRPr="00BB5498" w:rsidRDefault="00F36DAE" w:rsidP="004E5C57">
            <w:pPr>
              <w:pStyle w:val="TableText0"/>
            </w:pPr>
            <w:r w:rsidRPr="00BB5498">
              <w:t>0.00326953</w:t>
            </w:r>
          </w:p>
        </w:tc>
        <w:tc>
          <w:tcPr>
            <w:tcW w:w="1083" w:type="dxa"/>
            <w:noWrap/>
            <w:hideMark/>
          </w:tcPr>
          <w:p w14:paraId="585568BF" w14:textId="77777777" w:rsidR="00F36DAE" w:rsidRPr="00BB5498" w:rsidRDefault="00F36DAE" w:rsidP="004E5C57">
            <w:pPr>
              <w:pStyle w:val="TableText0"/>
            </w:pPr>
            <w:r w:rsidRPr="00BB5498">
              <w:t>0.00103491</w:t>
            </w:r>
          </w:p>
        </w:tc>
        <w:tc>
          <w:tcPr>
            <w:tcW w:w="1083" w:type="dxa"/>
            <w:noWrap/>
            <w:hideMark/>
          </w:tcPr>
          <w:p w14:paraId="5FA04EB6" w14:textId="77777777" w:rsidR="00F36DAE" w:rsidRPr="00BB5498" w:rsidRDefault="00F36DAE" w:rsidP="004E5C57">
            <w:pPr>
              <w:pStyle w:val="TableText0"/>
            </w:pPr>
            <w:r w:rsidRPr="00BB5498">
              <w:t>0.01067893</w:t>
            </w:r>
          </w:p>
        </w:tc>
        <w:tc>
          <w:tcPr>
            <w:tcW w:w="1174" w:type="dxa"/>
            <w:noWrap/>
            <w:hideMark/>
          </w:tcPr>
          <w:p w14:paraId="23F88877" w14:textId="77777777" w:rsidR="00F36DAE" w:rsidRPr="00BB5498" w:rsidRDefault="00F36DAE" w:rsidP="004E5C57">
            <w:pPr>
              <w:pStyle w:val="TableText0"/>
            </w:pPr>
            <w:r w:rsidRPr="00BB5498">
              <w:t>1252.152069</w:t>
            </w:r>
          </w:p>
        </w:tc>
        <w:tc>
          <w:tcPr>
            <w:tcW w:w="1180" w:type="dxa"/>
            <w:noWrap/>
            <w:hideMark/>
          </w:tcPr>
          <w:p w14:paraId="109809BC" w14:textId="77777777" w:rsidR="00F36DAE" w:rsidRPr="00BB5498" w:rsidRDefault="00F36DAE" w:rsidP="004E5C57">
            <w:pPr>
              <w:pStyle w:val="TableText0"/>
            </w:pPr>
            <w:r w:rsidRPr="00BB5498">
              <w:t>16406.07669</w:t>
            </w:r>
          </w:p>
        </w:tc>
        <w:tc>
          <w:tcPr>
            <w:tcW w:w="992" w:type="dxa"/>
            <w:noWrap/>
            <w:hideMark/>
          </w:tcPr>
          <w:p w14:paraId="33BA363B" w14:textId="77777777" w:rsidR="00F36DAE" w:rsidRPr="00BB5498" w:rsidRDefault="00F36DAE" w:rsidP="004E5C57">
            <w:pPr>
              <w:pStyle w:val="TableText0"/>
            </w:pPr>
            <w:r w:rsidRPr="00BB5498">
              <w:t>0.1481987</w:t>
            </w:r>
          </w:p>
        </w:tc>
        <w:tc>
          <w:tcPr>
            <w:tcW w:w="1037" w:type="dxa"/>
            <w:noWrap/>
            <w:hideMark/>
          </w:tcPr>
          <w:p w14:paraId="09BF5379" w14:textId="77777777" w:rsidR="00F36DAE" w:rsidRPr="00BB5498" w:rsidRDefault="00F36DAE" w:rsidP="004E5C57">
            <w:pPr>
              <w:pStyle w:val="TableText0"/>
            </w:pPr>
            <w:r w:rsidRPr="00BB5498">
              <w:t>2.1055283</w:t>
            </w:r>
          </w:p>
        </w:tc>
        <w:tc>
          <w:tcPr>
            <w:tcW w:w="992" w:type="dxa"/>
            <w:noWrap/>
            <w:hideMark/>
          </w:tcPr>
          <w:p w14:paraId="0BF1FADD" w14:textId="77777777" w:rsidR="00F36DAE" w:rsidRPr="00BB5498" w:rsidRDefault="00F36DAE" w:rsidP="004E5C57">
            <w:pPr>
              <w:pStyle w:val="TableText0"/>
            </w:pPr>
            <w:r w:rsidRPr="00BB5498">
              <w:t>0.1710894</w:t>
            </w:r>
          </w:p>
        </w:tc>
        <w:tc>
          <w:tcPr>
            <w:tcW w:w="1037" w:type="dxa"/>
            <w:noWrap/>
            <w:hideMark/>
          </w:tcPr>
          <w:p w14:paraId="5D31A2B6" w14:textId="77777777" w:rsidR="00F36DAE" w:rsidRPr="00BB5498" w:rsidRDefault="00F36DAE" w:rsidP="004E5C57">
            <w:pPr>
              <w:pStyle w:val="TableText0"/>
            </w:pPr>
            <w:r w:rsidRPr="00BB5498">
              <w:t>2.2476265</w:t>
            </w:r>
          </w:p>
        </w:tc>
      </w:tr>
      <w:tr w:rsidR="00F36DAE" w:rsidRPr="00BB5498" w14:paraId="65067C08" w14:textId="77777777" w:rsidTr="00BE0118">
        <w:trPr>
          <w:trHeight w:val="255"/>
        </w:trPr>
        <w:tc>
          <w:tcPr>
            <w:tcW w:w="960" w:type="dxa"/>
            <w:noWrap/>
            <w:hideMark/>
          </w:tcPr>
          <w:p w14:paraId="1D584D83" w14:textId="77777777" w:rsidR="00F36DAE" w:rsidRPr="00BB5498" w:rsidRDefault="00F36DAE" w:rsidP="004E5C57">
            <w:pPr>
              <w:pStyle w:val="TableText0"/>
            </w:pPr>
            <w:r w:rsidRPr="00BB5498">
              <w:t>12</w:t>
            </w:r>
          </w:p>
        </w:tc>
        <w:tc>
          <w:tcPr>
            <w:tcW w:w="1083" w:type="dxa"/>
            <w:noWrap/>
            <w:hideMark/>
          </w:tcPr>
          <w:p w14:paraId="5FA26392" w14:textId="77777777" w:rsidR="00F36DAE" w:rsidRPr="00BB5498" w:rsidRDefault="00F36DAE" w:rsidP="004E5C57">
            <w:pPr>
              <w:pStyle w:val="TableText0"/>
            </w:pPr>
            <w:r w:rsidRPr="00BB5498">
              <w:t>0.772576</w:t>
            </w:r>
          </w:p>
        </w:tc>
        <w:tc>
          <w:tcPr>
            <w:tcW w:w="1083" w:type="dxa"/>
            <w:noWrap/>
            <w:hideMark/>
          </w:tcPr>
          <w:p w14:paraId="73D2AEBA" w14:textId="77777777" w:rsidR="00F36DAE" w:rsidRPr="00BB5498" w:rsidRDefault="00F36DAE" w:rsidP="004E5C57">
            <w:pPr>
              <w:pStyle w:val="TableText0"/>
            </w:pPr>
            <w:r w:rsidRPr="00BB5498">
              <w:t>0.02110467</w:t>
            </w:r>
          </w:p>
        </w:tc>
        <w:tc>
          <w:tcPr>
            <w:tcW w:w="1083" w:type="dxa"/>
            <w:noWrap/>
            <w:hideMark/>
          </w:tcPr>
          <w:p w14:paraId="74861BD7" w14:textId="77777777" w:rsidR="00F36DAE" w:rsidRPr="00BB5498" w:rsidRDefault="00F36DAE" w:rsidP="004E5C57">
            <w:pPr>
              <w:pStyle w:val="TableText0"/>
            </w:pPr>
            <w:r w:rsidRPr="00BB5498">
              <w:t>0.14414104</w:t>
            </w:r>
          </w:p>
        </w:tc>
        <w:tc>
          <w:tcPr>
            <w:tcW w:w="1083" w:type="dxa"/>
            <w:noWrap/>
            <w:hideMark/>
          </w:tcPr>
          <w:p w14:paraId="57E6F420" w14:textId="77777777" w:rsidR="00F36DAE" w:rsidRPr="00BB5498" w:rsidRDefault="00F36DAE" w:rsidP="004E5C57">
            <w:pPr>
              <w:pStyle w:val="TableText0"/>
            </w:pPr>
            <w:r w:rsidRPr="00BB5498">
              <w:t>0.04562506</w:t>
            </w:r>
          </w:p>
        </w:tc>
        <w:tc>
          <w:tcPr>
            <w:tcW w:w="1083" w:type="dxa"/>
            <w:noWrap/>
            <w:hideMark/>
          </w:tcPr>
          <w:p w14:paraId="5230548D" w14:textId="77777777" w:rsidR="00F36DAE" w:rsidRPr="00BB5498" w:rsidRDefault="00F36DAE" w:rsidP="004E5C57">
            <w:pPr>
              <w:pStyle w:val="TableText0"/>
            </w:pPr>
            <w:r w:rsidRPr="00BB5498">
              <w:t>0.00359855</w:t>
            </w:r>
          </w:p>
        </w:tc>
        <w:tc>
          <w:tcPr>
            <w:tcW w:w="1083" w:type="dxa"/>
            <w:noWrap/>
            <w:hideMark/>
          </w:tcPr>
          <w:p w14:paraId="232898C4" w14:textId="77777777" w:rsidR="00F36DAE" w:rsidRPr="00BB5498" w:rsidRDefault="00F36DAE" w:rsidP="004E5C57">
            <w:pPr>
              <w:pStyle w:val="TableText0"/>
            </w:pPr>
            <w:r w:rsidRPr="00BB5498">
              <w:t>0.00113905</w:t>
            </w:r>
          </w:p>
        </w:tc>
        <w:tc>
          <w:tcPr>
            <w:tcW w:w="1083" w:type="dxa"/>
            <w:noWrap/>
            <w:hideMark/>
          </w:tcPr>
          <w:p w14:paraId="67794E20" w14:textId="77777777" w:rsidR="00F36DAE" w:rsidRPr="00BB5498" w:rsidRDefault="00F36DAE" w:rsidP="004E5C57">
            <w:pPr>
              <w:pStyle w:val="TableText0"/>
            </w:pPr>
            <w:r w:rsidRPr="00BB5498">
              <w:t>0.01181563</w:t>
            </w:r>
          </w:p>
        </w:tc>
        <w:tc>
          <w:tcPr>
            <w:tcW w:w="1174" w:type="dxa"/>
            <w:noWrap/>
            <w:hideMark/>
          </w:tcPr>
          <w:p w14:paraId="33B700EF" w14:textId="77777777" w:rsidR="00F36DAE" w:rsidRPr="00BB5498" w:rsidRDefault="00F36DAE" w:rsidP="004E5C57">
            <w:pPr>
              <w:pStyle w:val="TableText0"/>
            </w:pPr>
            <w:r w:rsidRPr="00BB5498">
              <w:t>1235.558395</w:t>
            </w:r>
          </w:p>
        </w:tc>
        <w:tc>
          <w:tcPr>
            <w:tcW w:w="1180" w:type="dxa"/>
            <w:noWrap/>
            <w:hideMark/>
          </w:tcPr>
          <w:p w14:paraId="0EABAC77" w14:textId="77777777" w:rsidR="00F36DAE" w:rsidRPr="00BB5498" w:rsidRDefault="00F36DAE" w:rsidP="004E5C57">
            <w:pPr>
              <w:pStyle w:val="TableText0"/>
            </w:pPr>
            <w:r w:rsidRPr="00BB5498">
              <w:t>17641.63508</w:t>
            </w:r>
          </w:p>
        </w:tc>
        <w:tc>
          <w:tcPr>
            <w:tcW w:w="992" w:type="dxa"/>
            <w:noWrap/>
            <w:hideMark/>
          </w:tcPr>
          <w:p w14:paraId="6B040A53" w14:textId="77777777" w:rsidR="00F36DAE" w:rsidRPr="00BB5498" w:rsidRDefault="00F36DAE" w:rsidP="004E5C57">
            <w:pPr>
              <w:pStyle w:val="TableText0"/>
            </w:pPr>
            <w:r w:rsidRPr="00BB5498">
              <w:t>0.1461189</w:t>
            </w:r>
          </w:p>
        </w:tc>
        <w:tc>
          <w:tcPr>
            <w:tcW w:w="1037" w:type="dxa"/>
            <w:noWrap/>
            <w:hideMark/>
          </w:tcPr>
          <w:p w14:paraId="150CFBBB" w14:textId="77777777" w:rsidR="00F36DAE" w:rsidRPr="00BB5498" w:rsidRDefault="00F36DAE" w:rsidP="004E5C57">
            <w:pPr>
              <w:pStyle w:val="TableText0"/>
            </w:pPr>
            <w:r w:rsidRPr="00BB5498">
              <w:t>2.2516472</w:t>
            </w:r>
          </w:p>
        </w:tc>
        <w:tc>
          <w:tcPr>
            <w:tcW w:w="992" w:type="dxa"/>
            <w:noWrap/>
            <w:hideMark/>
          </w:tcPr>
          <w:p w14:paraId="2E21E5DD" w14:textId="77777777" w:rsidR="00F36DAE" w:rsidRPr="00BB5498" w:rsidRDefault="00F36DAE" w:rsidP="004E5C57">
            <w:pPr>
              <w:pStyle w:val="TableText0"/>
            </w:pPr>
            <w:r w:rsidRPr="00BB5498">
              <w:t>0.1688157</w:t>
            </w:r>
          </w:p>
        </w:tc>
        <w:tc>
          <w:tcPr>
            <w:tcW w:w="1037" w:type="dxa"/>
            <w:noWrap/>
            <w:hideMark/>
          </w:tcPr>
          <w:p w14:paraId="657C1A36" w14:textId="77777777" w:rsidR="00F36DAE" w:rsidRPr="00BB5498" w:rsidRDefault="00F36DAE" w:rsidP="004E5C57">
            <w:pPr>
              <w:pStyle w:val="TableText0"/>
            </w:pPr>
            <w:r w:rsidRPr="00BB5498">
              <w:t>2.4164422</w:t>
            </w:r>
          </w:p>
        </w:tc>
      </w:tr>
      <w:tr w:rsidR="00F36DAE" w:rsidRPr="00BB5498" w14:paraId="6E1B2999" w14:textId="77777777" w:rsidTr="00BE0118">
        <w:trPr>
          <w:trHeight w:val="255"/>
        </w:trPr>
        <w:tc>
          <w:tcPr>
            <w:tcW w:w="960" w:type="dxa"/>
            <w:noWrap/>
            <w:hideMark/>
          </w:tcPr>
          <w:p w14:paraId="44D126C2" w14:textId="77777777" w:rsidR="00F36DAE" w:rsidRPr="00BB5498" w:rsidRDefault="00F36DAE" w:rsidP="004E5C57">
            <w:pPr>
              <w:pStyle w:val="TableText0"/>
            </w:pPr>
            <w:r w:rsidRPr="00BB5498">
              <w:t>13</w:t>
            </w:r>
          </w:p>
        </w:tc>
        <w:tc>
          <w:tcPr>
            <w:tcW w:w="1083" w:type="dxa"/>
            <w:noWrap/>
            <w:hideMark/>
          </w:tcPr>
          <w:p w14:paraId="26C8B0E0" w14:textId="77777777" w:rsidR="00F36DAE" w:rsidRPr="00BB5498" w:rsidRDefault="00F36DAE" w:rsidP="004E5C57">
            <w:pPr>
              <w:pStyle w:val="TableText0"/>
            </w:pPr>
            <w:r w:rsidRPr="00BB5498">
              <w:t>0.76991351</w:t>
            </w:r>
          </w:p>
        </w:tc>
        <w:tc>
          <w:tcPr>
            <w:tcW w:w="1083" w:type="dxa"/>
            <w:noWrap/>
            <w:hideMark/>
          </w:tcPr>
          <w:p w14:paraId="7C365764" w14:textId="77777777" w:rsidR="00F36DAE" w:rsidRPr="00BB5498" w:rsidRDefault="00F36DAE" w:rsidP="004E5C57">
            <w:pPr>
              <w:pStyle w:val="TableText0"/>
            </w:pPr>
            <w:r w:rsidRPr="00BB5498">
              <w:t>0.022836</w:t>
            </w:r>
          </w:p>
        </w:tc>
        <w:tc>
          <w:tcPr>
            <w:tcW w:w="1083" w:type="dxa"/>
            <w:noWrap/>
            <w:hideMark/>
          </w:tcPr>
          <w:p w14:paraId="4BC3853F" w14:textId="77777777" w:rsidR="00F36DAE" w:rsidRPr="00BB5498" w:rsidRDefault="00F36DAE" w:rsidP="004E5C57">
            <w:pPr>
              <w:pStyle w:val="TableText0"/>
            </w:pPr>
            <w:r w:rsidRPr="00BB5498">
              <w:t>0.14364525</w:t>
            </w:r>
          </w:p>
        </w:tc>
        <w:tc>
          <w:tcPr>
            <w:tcW w:w="1083" w:type="dxa"/>
            <w:noWrap/>
            <w:hideMark/>
          </w:tcPr>
          <w:p w14:paraId="26DBADB6" w14:textId="77777777" w:rsidR="00F36DAE" w:rsidRPr="00BB5498" w:rsidRDefault="00F36DAE" w:rsidP="004E5C57">
            <w:pPr>
              <w:pStyle w:val="TableText0"/>
            </w:pPr>
            <w:r w:rsidRPr="00BB5498">
              <w:t>0.04546813</w:t>
            </w:r>
          </w:p>
        </w:tc>
        <w:tc>
          <w:tcPr>
            <w:tcW w:w="1083" w:type="dxa"/>
            <w:noWrap/>
            <w:hideMark/>
          </w:tcPr>
          <w:p w14:paraId="54A3E134" w14:textId="77777777" w:rsidR="00F36DAE" w:rsidRPr="00BB5498" w:rsidRDefault="00F36DAE" w:rsidP="004E5C57">
            <w:pPr>
              <w:pStyle w:val="TableText0"/>
            </w:pPr>
            <w:r w:rsidRPr="00BB5498">
              <w:t>0.003924</w:t>
            </w:r>
          </w:p>
        </w:tc>
        <w:tc>
          <w:tcPr>
            <w:tcW w:w="1083" w:type="dxa"/>
            <w:noWrap/>
            <w:hideMark/>
          </w:tcPr>
          <w:p w14:paraId="2E0369AC" w14:textId="77777777" w:rsidR="00F36DAE" w:rsidRPr="00BB5498" w:rsidRDefault="00F36DAE" w:rsidP="004E5C57">
            <w:pPr>
              <w:pStyle w:val="TableText0"/>
            </w:pPr>
            <w:r w:rsidRPr="00BB5498">
              <w:t>0.00124207</w:t>
            </w:r>
          </w:p>
        </w:tc>
        <w:tc>
          <w:tcPr>
            <w:tcW w:w="1083" w:type="dxa"/>
            <w:noWrap/>
            <w:hideMark/>
          </w:tcPr>
          <w:p w14:paraId="53F9C6E5" w14:textId="77777777" w:rsidR="00F36DAE" w:rsidRPr="00BB5498" w:rsidRDefault="00F36DAE" w:rsidP="004E5C57">
            <w:pPr>
              <w:pStyle w:val="TableText0"/>
            </w:pPr>
            <w:r w:rsidRPr="00BB5498">
              <w:t>0.01297105</w:t>
            </w:r>
          </w:p>
        </w:tc>
        <w:tc>
          <w:tcPr>
            <w:tcW w:w="1174" w:type="dxa"/>
            <w:noWrap/>
            <w:hideMark/>
          </w:tcPr>
          <w:p w14:paraId="3050301C" w14:textId="77777777" w:rsidR="00F36DAE" w:rsidRPr="00BB5498" w:rsidRDefault="00F36DAE" w:rsidP="004E5C57">
            <w:pPr>
              <w:pStyle w:val="TableText0"/>
            </w:pPr>
            <w:r w:rsidRPr="00BB5498">
              <w:t>1767.331684</w:t>
            </w:r>
          </w:p>
        </w:tc>
        <w:tc>
          <w:tcPr>
            <w:tcW w:w="1180" w:type="dxa"/>
            <w:noWrap/>
            <w:hideMark/>
          </w:tcPr>
          <w:p w14:paraId="0F5271C0" w14:textId="77777777" w:rsidR="00F36DAE" w:rsidRPr="00BB5498" w:rsidRDefault="00F36DAE" w:rsidP="004E5C57">
            <w:pPr>
              <w:pStyle w:val="TableText0"/>
            </w:pPr>
            <w:r w:rsidRPr="00BB5498">
              <w:t>19408.96677</w:t>
            </w:r>
          </w:p>
        </w:tc>
        <w:tc>
          <w:tcPr>
            <w:tcW w:w="992" w:type="dxa"/>
            <w:noWrap/>
            <w:hideMark/>
          </w:tcPr>
          <w:p w14:paraId="68E2827A" w14:textId="77777777" w:rsidR="00F36DAE" w:rsidRPr="00BB5498" w:rsidRDefault="00F36DAE" w:rsidP="004E5C57">
            <w:pPr>
              <w:pStyle w:val="TableText0"/>
            </w:pPr>
            <w:r w:rsidRPr="00BB5498">
              <w:t>0.1440662</w:t>
            </w:r>
          </w:p>
        </w:tc>
        <w:tc>
          <w:tcPr>
            <w:tcW w:w="1037" w:type="dxa"/>
            <w:noWrap/>
            <w:hideMark/>
          </w:tcPr>
          <w:p w14:paraId="54B47735" w14:textId="77777777" w:rsidR="00F36DAE" w:rsidRPr="00BB5498" w:rsidRDefault="00F36DAE" w:rsidP="004E5C57">
            <w:pPr>
              <w:pStyle w:val="TableText0"/>
            </w:pPr>
            <w:r w:rsidRPr="00BB5498">
              <w:t>2.3957134</w:t>
            </w:r>
          </w:p>
        </w:tc>
        <w:tc>
          <w:tcPr>
            <w:tcW w:w="992" w:type="dxa"/>
            <w:noWrap/>
            <w:hideMark/>
          </w:tcPr>
          <w:p w14:paraId="2A4E13E2" w14:textId="77777777" w:rsidR="00F36DAE" w:rsidRPr="00BB5498" w:rsidRDefault="00F36DAE" w:rsidP="004E5C57">
            <w:pPr>
              <w:pStyle w:val="TableText0"/>
            </w:pPr>
            <w:r w:rsidRPr="00BB5498">
              <w:t>0.1665689</w:t>
            </w:r>
          </w:p>
        </w:tc>
        <w:tc>
          <w:tcPr>
            <w:tcW w:w="1037" w:type="dxa"/>
            <w:noWrap/>
            <w:hideMark/>
          </w:tcPr>
          <w:p w14:paraId="105D8099" w14:textId="77777777" w:rsidR="00F36DAE" w:rsidRPr="00BB5498" w:rsidRDefault="00F36DAE" w:rsidP="004E5C57">
            <w:pPr>
              <w:pStyle w:val="TableText0"/>
            </w:pPr>
            <w:r w:rsidRPr="00BB5498">
              <w:t>2.5830112</w:t>
            </w:r>
          </w:p>
        </w:tc>
      </w:tr>
      <w:tr w:rsidR="00F36DAE" w:rsidRPr="00BB5498" w14:paraId="7A2A3A97" w14:textId="77777777" w:rsidTr="00BE0118">
        <w:trPr>
          <w:trHeight w:val="255"/>
        </w:trPr>
        <w:tc>
          <w:tcPr>
            <w:tcW w:w="960" w:type="dxa"/>
            <w:noWrap/>
            <w:hideMark/>
          </w:tcPr>
          <w:p w14:paraId="2317BF61" w14:textId="77777777" w:rsidR="00F36DAE" w:rsidRPr="00BB5498" w:rsidRDefault="00F36DAE" w:rsidP="004E5C57">
            <w:pPr>
              <w:pStyle w:val="TableText0"/>
            </w:pPr>
            <w:r w:rsidRPr="00BB5498">
              <w:t>14</w:t>
            </w:r>
          </w:p>
        </w:tc>
        <w:tc>
          <w:tcPr>
            <w:tcW w:w="1083" w:type="dxa"/>
            <w:noWrap/>
            <w:hideMark/>
          </w:tcPr>
          <w:p w14:paraId="6115BC2F" w14:textId="77777777" w:rsidR="00F36DAE" w:rsidRPr="00BB5498" w:rsidRDefault="00F36DAE" w:rsidP="004E5C57">
            <w:pPr>
              <w:pStyle w:val="TableText0"/>
            </w:pPr>
            <w:r w:rsidRPr="00BB5498">
              <w:t>0.76725547</w:t>
            </w:r>
          </w:p>
        </w:tc>
        <w:tc>
          <w:tcPr>
            <w:tcW w:w="1083" w:type="dxa"/>
            <w:noWrap/>
            <w:hideMark/>
          </w:tcPr>
          <w:p w14:paraId="19E15003" w14:textId="77777777" w:rsidR="00F36DAE" w:rsidRPr="00BB5498" w:rsidRDefault="00F36DAE" w:rsidP="004E5C57">
            <w:pPr>
              <w:pStyle w:val="TableText0"/>
            </w:pPr>
            <w:r w:rsidRPr="00BB5498">
              <w:t>0.02454842</w:t>
            </w:r>
          </w:p>
        </w:tc>
        <w:tc>
          <w:tcPr>
            <w:tcW w:w="1083" w:type="dxa"/>
            <w:noWrap/>
            <w:hideMark/>
          </w:tcPr>
          <w:p w14:paraId="73C73D02" w14:textId="77777777" w:rsidR="00F36DAE" w:rsidRPr="00BB5498" w:rsidRDefault="00F36DAE" w:rsidP="004E5C57">
            <w:pPr>
              <w:pStyle w:val="TableText0"/>
            </w:pPr>
            <w:r w:rsidRPr="00BB5498">
              <w:t>0.14315021</w:t>
            </w:r>
          </w:p>
        </w:tc>
        <w:tc>
          <w:tcPr>
            <w:tcW w:w="1083" w:type="dxa"/>
            <w:noWrap/>
            <w:hideMark/>
          </w:tcPr>
          <w:p w14:paraId="3D7C5F3A" w14:textId="77777777" w:rsidR="00F36DAE" w:rsidRPr="00BB5498" w:rsidRDefault="00F36DAE" w:rsidP="004E5C57">
            <w:pPr>
              <w:pStyle w:val="TableText0"/>
            </w:pPr>
            <w:r w:rsidRPr="00BB5498">
              <w:t>0.04531143</w:t>
            </w:r>
          </w:p>
        </w:tc>
        <w:tc>
          <w:tcPr>
            <w:tcW w:w="1083" w:type="dxa"/>
            <w:noWrap/>
            <w:hideMark/>
          </w:tcPr>
          <w:p w14:paraId="675E0451" w14:textId="77777777" w:rsidR="00F36DAE" w:rsidRPr="00BB5498" w:rsidRDefault="00F36DAE" w:rsidP="004E5C57">
            <w:pPr>
              <w:pStyle w:val="TableText0"/>
            </w:pPr>
            <w:r w:rsidRPr="00BB5498">
              <w:t>0.0042459</w:t>
            </w:r>
          </w:p>
        </w:tc>
        <w:tc>
          <w:tcPr>
            <w:tcW w:w="1083" w:type="dxa"/>
            <w:noWrap/>
            <w:hideMark/>
          </w:tcPr>
          <w:p w14:paraId="1CD885DF" w14:textId="77777777" w:rsidR="00F36DAE" w:rsidRPr="00BB5498" w:rsidRDefault="00F36DAE" w:rsidP="004E5C57">
            <w:pPr>
              <w:pStyle w:val="TableText0"/>
            </w:pPr>
            <w:r w:rsidRPr="00BB5498">
              <w:t>0.00134396</w:t>
            </w:r>
          </w:p>
        </w:tc>
        <w:tc>
          <w:tcPr>
            <w:tcW w:w="1083" w:type="dxa"/>
            <w:noWrap/>
            <w:hideMark/>
          </w:tcPr>
          <w:p w14:paraId="39948BD0" w14:textId="77777777" w:rsidR="00F36DAE" w:rsidRPr="00BB5498" w:rsidRDefault="00F36DAE" w:rsidP="004E5C57">
            <w:pPr>
              <w:pStyle w:val="TableText0"/>
            </w:pPr>
            <w:r w:rsidRPr="00BB5498">
              <w:t>0.0141446</w:t>
            </w:r>
          </w:p>
        </w:tc>
        <w:tc>
          <w:tcPr>
            <w:tcW w:w="1174" w:type="dxa"/>
            <w:noWrap/>
            <w:hideMark/>
          </w:tcPr>
          <w:p w14:paraId="12C46F33" w14:textId="77777777" w:rsidR="00F36DAE" w:rsidRPr="00BB5498" w:rsidRDefault="00F36DAE" w:rsidP="004E5C57">
            <w:pPr>
              <w:pStyle w:val="TableText0"/>
            </w:pPr>
            <w:r w:rsidRPr="00BB5498">
              <w:t>1755.190545</w:t>
            </w:r>
          </w:p>
        </w:tc>
        <w:tc>
          <w:tcPr>
            <w:tcW w:w="1180" w:type="dxa"/>
            <w:noWrap/>
            <w:hideMark/>
          </w:tcPr>
          <w:p w14:paraId="14EAB9B1" w14:textId="77777777" w:rsidR="00F36DAE" w:rsidRPr="00BB5498" w:rsidRDefault="00F36DAE" w:rsidP="004E5C57">
            <w:pPr>
              <w:pStyle w:val="TableText0"/>
            </w:pPr>
            <w:r w:rsidRPr="00BB5498">
              <w:t>21164.15731</w:t>
            </w:r>
          </w:p>
        </w:tc>
        <w:tc>
          <w:tcPr>
            <w:tcW w:w="992" w:type="dxa"/>
            <w:noWrap/>
            <w:hideMark/>
          </w:tcPr>
          <w:p w14:paraId="0BE27DB1" w14:textId="77777777" w:rsidR="00F36DAE" w:rsidRPr="00BB5498" w:rsidRDefault="00F36DAE" w:rsidP="004E5C57">
            <w:pPr>
              <w:pStyle w:val="TableText0"/>
            </w:pPr>
            <w:r w:rsidRPr="00BB5498">
              <w:t>0.1434724</w:t>
            </w:r>
          </w:p>
        </w:tc>
        <w:tc>
          <w:tcPr>
            <w:tcW w:w="1037" w:type="dxa"/>
            <w:noWrap/>
            <w:hideMark/>
          </w:tcPr>
          <w:p w14:paraId="0AFCA03C" w14:textId="77777777" w:rsidR="00F36DAE" w:rsidRPr="00BB5498" w:rsidRDefault="00F36DAE" w:rsidP="004E5C57">
            <w:pPr>
              <w:pStyle w:val="TableText0"/>
            </w:pPr>
            <w:r w:rsidRPr="00BB5498">
              <w:t>2.5391858</w:t>
            </w:r>
          </w:p>
        </w:tc>
        <w:tc>
          <w:tcPr>
            <w:tcW w:w="992" w:type="dxa"/>
            <w:noWrap/>
            <w:hideMark/>
          </w:tcPr>
          <w:p w14:paraId="189BC25D" w14:textId="77777777" w:rsidR="00F36DAE" w:rsidRPr="00BB5498" w:rsidRDefault="00F36DAE" w:rsidP="004E5C57">
            <w:pPr>
              <w:pStyle w:val="TableText0"/>
            </w:pPr>
            <w:r w:rsidRPr="00BB5498">
              <w:t>0.1104319</w:t>
            </w:r>
          </w:p>
        </w:tc>
        <w:tc>
          <w:tcPr>
            <w:tcW w:w="1037" w:type="dxa"/>
            <w:noWrap/>
            <w:hideMark/>
          </w:tcPr>
          <w:p w14:paraId="2A7C35D7" w14:textId="77777777" w:rsidR="00F36DAE" w:rsidRPr="00BB5498" w:rsidRDefault="00F36DAE" w:rsidP="004E5C57">
            <w:pPr>
              <w:pStyle w:val="TableText0"/>
            </w:pPr>
            <w:r w:rsidRPr="00BB5498">
              <w:t>2.693443</w:t>
            </w:r>
          </w:p>
        </w:tc>
      </w:tr>
    </w:tbl>
    <w:p w14:paraId="26285212" w14:textId="5CE39603" w:rsidR="004058BE" w:rsidRDefault="004058BE" w:rsidP="00ED65EE">
      <w:pPr>
        <w:rPr>
          <w:rFonts w:eastAsiaTheme="minorHAnsi"/>
          <w:lang w:eastAsia="en-US"/>
        </w:rPr>
      </w:pPr>
    </w:p>
    <w:p w14:paraId="697C6265" w14:textId="77777777" w:rsidR="008E581C" w:rsidRDefault="008E581C" w:rsidP="00ED65EE">
      <w:pPr>
        <w:rPr>
          <w:rFonts w:eastAsiaTheme="minorHAnsi"/>
          <w:lang w:eastAsia="en-US"/>
        </w:rPr>
      </w:pPr>
    </w:p>
    <w:p w14:paraId="3B5FEC74" w14:textId="1F4609C1" w:rsidR="00BB5498" w:rsidRDefault="00BB5498" w:rsidP="00B35E47">
      <w:pPr>
        <w:keepNext/>
        <w:pageBreakBefore/>
        <w:pBdr>
          <w:bottom w:val="single" w:sz="4" w:space="1" w:color="auto"/>
        </w:pBdr>
        <w:spacing w:after="360"/>
        <w:ind w:left="2552" w:hanging="2552"/>
        <w:jc w:val="left"/>
        <w:outlineLvl w:val="0"/>
        <w:rPr>
          <w:b/>
          <w:smallCaps/>
          <w:sz w:val="44"/>
        </w:rPr>
        <w:sectPr w:rsidR="00BB5498" w:rsidSect="00CD6ED2">
          <w:pgSz w:w="16838" w:h="11906" w:orient="landscape"/>
          <w:pgMar w:top="1440" w:right="1440" w:bottom="1440" w:left="1440" w:header="720" w:footer="720" w:gutter="0"/>
          <w:paperSrc w:first="7" w:other="7"/>
          <w:cols w:space="720"/>
          <w:docGrid w:linePitch="360"/>
        </w:sectPr>
      </w:pPr>
      <w:bookmarkStart w:id="690" w:name="_Toc379118117"/>
      <w:bookmarkStart w:id="691" w:name="_Toc381796514"/>
    </w:p>
    <w:p w14:paraId="5E25601B" w14:textId="57F42C73" w:rsidR="00E10A49" w:rsidRDefault="00E10A49" w:rsidP="006F2353">
      <w:pPr>
        <w:pStyle w:val="Heading3"/>
        <w:rPr>
          <w:rFonts w:eastAsiaTheme="minorHAnsi"/>
          <w:noProof/>
        </w:rPr>
      </w:pPr>
      <w:bookmarkStart w:id="692" w:name="_Toc39588402"/>
      <w:r>
        <w:rPr>
          <w:rFonts w:eastAsiaTheme="minorHAnsi"/>
          <w:noProof/>
        </w:rPr>
        <w:lastRenderedPageBreak/>
        <w:t>Sensitivity analyses (time-horizon)</w:t>
      </w:r>
      <w:bookmarkEnd w:id="692"/>
    </w:p>
    <w:p w14:paraId="67A84D27" w14:textId="04EEF478" w:rsidR="00E27E7E" w:rsidRDefault="00E27E7E" w:rsidP="00E27E7E">
      <w:pPr>
        <w:keepNext/>
      </w:pPr>
      <w:r>
        <w:rPr>
          <w:rFonts w:eastAsiaTheme="minorHAnsi"/>
          <w:noProof/>
        </w:rPr>
        <w:drawing>
          <wp:inline distT="0" distB="0" distL="0" distR="0" wp14:anchorId="723FCD2C" wp14:editId="26DD85EF">
            <wp:extent cx="5731510" cy="3334077"/>
            <wp:effectExtent l="0" t="0" r="2540" b="0"/>
            <wp:docPr id="23" name="Picture 23" descr="Sensitivity analyses, ICERs per QALY over the varied modelled time-horizon" title="Figure 20 Sensitivity analyses, ICERs per QALY over the varied modelled time-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334077"/>
                    </a:xfrm>
                    <a:prstGeom prst="rect">
                      <a:avLst/>
                    </a:prstGeom>
                    <a:noFill/>
                  </pic:spPr>
                </pic:pic>
              </a:graphicData>
            </a:graphic>
          </wp:inline>
        </w:drawing>
      </w:r>
    </w:p>
    <w:p w14:paraId="43551BE5" w14:textId="2C400784" w:rsidR="00E27E7E" w:rsidRPr="00E27E7E" w:rsidRDefault="00E27E7E" w:rsidP="00E27E7E">
      <w:pPr>
        <w:pStyle w:val="Caption"/>
      </w:pPr>
      <w:bookmarkStart w:id="693" w:name="_Ref39248893"/>
      <w:bookmarkStart w:id="694" w:name="_Toc79672142"/>
      <w:r>
        <w:t xml:space="preserve">Figure </w:t>
      </w:r>
      <w:fldSimple w:instr=" SEQ Figure \* ARABIC ">
        <w:r w:rsidR="005E0404">
          <w:rPr>
            <w:noProof/>
          </w:rPr>
          <w:t>11</w:t>
        </w:r>
      </w:fldSimple>
      <w:bookmarkEnd w:id="693"/>
      <w:r>
        <w:tab/>
        <w:t xml:space="preserve">Sensitivity analyses, ICERs per QALY over the varied </w:t>
      </w:r>
      <w:r w:rsidR="00E10A49">
        <w:t xml:space="preserve">modelled </w:t>
      </w:r>
      <w:r>
        <w:t>time-horizon</w:t>
      </w:r>
      <w:bookmarkEnd w:id="694"/>
    </w:p>
    <w:p w14:paraId="1AEEFE32" w14:textId="78181927" w:rsidR="00E27E7E" w:rsidRDefault="00E27E7E" w:rsidP="00E27E7E">
      <w:pPr>
        <w:pStyle w:val="Tablenotes0"/>
      </w:pPr>
      <w:r>
        <w:t>ICER = incremental cost-effectiveness ratio</w:t>
      </w:r>
    </w:p>
    <w:p w14:paraId="73E14CC9" w14:textId="233EBD11" w:rsidR="00B35E47" w:rsidRPr="00B33B48" w:rsidRDefault="005E0404" w:rsidP="005E0404">
      <w:pPr>
        <w:pStyle w:val="Heading1"/>
      </w:pPr>
      <w:bookmarkStart w:id="695" w:name="_Ref39584523"/>
      <w:bookmarkStart w:id="696" w:name="_Toc39588403"/>
      <w:r>
        <w:lastRenderedPageBreak/>
        <w:t xml:space="preserve">Appendix </w:t>
      </w:r>
      <w:fldSimple w:instr=" SEQ Appendix \* ALPHABETIC ">
        <w:r>
          <w:t>J</w:t>
        </w:r>
      </w:fldSimple>
      <w:r>
        <w:tab/>
      </w:r>
      <w:r w:rsidR="00B35E47" w:rsidRPr="005E0404">
        <w:t>Additional information for financial</w:t>
      </w:r>
      <w:r w:rsidR="00B35E47" w:rsidRPr="00B33B48">
        <w:t xml:space="preserve"> analysis</w:t>
      </w:r>
      <w:bookmarkEnd w:id="695"/>
      <w:bookmarkEnd w:id="696"/>
    </w:p>
    <w:p w14:paraId="254BA977" w14:textId="77777777" w:rsidR="00B35E47" w:rsidRPr="00B35E47" w:rsidRDefault="00B35E47" w:rsidP="00B35E47"/>
    <w:p w14:paraId="62B10A2D" w14:textId="7110E150" w:rsidR="00B35E47" w:rsidRPr="00B35E47" w:rsidRDefault="00B35E47" w:rsidP="006E2BA9">
      <w:pPr>
        <w:pStyle w:val="Caption"/>
      </w:pPr>
      <w:bookmarkStart w:id="697" w:name="_Ref35943138"/>
      <w:bookmarkStart w:id="698" w:name="_Toc39580895"/>
      <w:r w:rsidRPr="00B35E47">
        <w:t xml:space="preserve">Table </w:t>
      </w:r>
      <w:fldSimple w:instr=" SEQ Table \* ARABIC ">
        <w:r w:rsidR="00FA7BCD">
          <w:rPr>
            <w:noProof/>
          </w:rPr>
          <w:t>114</w:t>
        </w:r>
      </w:fldSimple>
      <w:bookmarkEnd w:id="697"/>
      <w:r w:rsidRPr="00B35E47">
        <w:tab/>
        <w:t>MBS utilisation data for comparator items, 2014–15 to 2018–19</w:t>
      </w:r>
      <w:bookmarkEnd w:id="698"/>
    </w:p>
    <w:tbl>
      <w:tblPr>
        <w:tblStyle w:val="TableGrid12"/>
        <w:tblW w:w="9557" w:type="dxa"/>
        <w:tblLook w:val="04A0" w:firstRow="1" w:lastRow="0" w:firstColumn="1" w:lastColumn="0" w:noHBand="0" w:noVBand="1"/>
        <w:tblCaption w:val="MBS utilisation data for comparator items, 2014–15 to 2018–19"/>
        <w:tblDescription w:val="MBS utilisation data for comparator items, 2014–15 to 2018–19"/>
      </w:tblPr>
      <w:tblGrid>
        <w:gridCol w:w="746"/>
        <w:gridCol w:w="1174"/>
        <w:gridCol w:w="2081"/>
        <w:gridCol w:w="1098"/>
        <w:gridCol w:w="1142"/>
        <w:gridCol w:w="1120"/>
        <w:gridCol w:w="1098"/>
        <w:gridCol w:w="1098"/>
      </w:tblGrid>
      <w:tr w:rsidR="00B35E47" w:rsidRPr="00FA7BCD" w14:paraId="717062B5" w14:textId="77777777" w:rsidTr="00AA3CC8">
        <w:trPr>
          <w:cnfStyle w:val="100000000000" w:firstRow="1" w:lastRow="0" w:firstColumn="0" w:lastColumn="0" w:oddVBand="0" w:evenVBand="0" w:oddHBand="0" w:evenHBand="0" w:firstRowFirstColumn="0" w:firstRowLastColumn="0" w:lastRowFirstColumn="0" w:lastRowLastColumn="0"/>
          <w:trHeight w:val="221"/>
        </w:trPr>
        <w:tc>
          <w:tcPr>
            <w:tcW w:w="746" w:type="dxa"/>
            <w:noWrap/>
            <w:hideMark/>
          </w:tcPr>
          <w:p w14:paraId="3CE05948" w14:textId="77777777" w:rsidR="00B35E47" w:rsidRPr="00FA7BCD" w:rsidRDefault="00B35E47" w:rsidP="00B35E47">
            <w:pPr>
              <w:contextualSpacing/>
              <w:jc w:val="left"/>
              <w:rPr>
                <w:rFonts w:ascii="Arial Narrow" w:hAnsi="Arial Narrow"/>
                <w:b/>
                <w:lang w:eastAsia="en-US"/>
              </w:rPr>
            </w:pPr>
          </w:p>
        </w:tc>
        <w:tc>
          <w:tcPr>
            <w:tcW w:w="1174" w:type="dxa"/>
            <w:noWrap/>
            <w:hideMark/>
          </w:tcPr>
          <w:p w14:paraId="05CDFF71" w14:textId="77777777" w:rsidR="00B35E47" w:rsidRPr="00FA7BCD" w:rsidRDefault="00B35E47" w:rsidP="00B35E47">
            <w:pPr>
              <w:contextualSpacing/>
              <w:jc w:val="left"/>
              <w:rPr>
                <w:rFonts w:ascii="Arial Narrow" w:hAnsi="Arial Narrow"/>
                <w:b/>
                <w:lang w:eastAsia="en-US"/>
              </w:rPr>
            </w:pPr>
          </w:p>
        </w:tc>
        <w:tc>
          <w:tcPr>
            <w:tcW w:w="2081" w:type="dxa"/>
            <w:noWrap/>
            <w:hideMark/>
          </w:tcPr>
          <w:p w14:paraId="4ACD5530" w14:textId="77777777" w:rsidR="00B35E47" w:rsidRPr="00FA7BCD" w:rsidRDefault="00B35E47" w:rsidP="00B35E47">
            <w:pPr>
              <w:contextualSpacing/>
              <w:jc w:val="left"/>
              <w:rPr>
                <w:rFonts w:ascii="Arial Narrow" w:hAnsi="Arial Narrow"/>
                <w:b/>
                <w:lang w:eastAsia="en-US"/>
              </w:rPr>
            </w:pPr>
          </w:p>
        </w:tc>
        <w:tc>
          <w:tcPr>
            <w:tcW w:w="1098" w:type="dxa"/>
            <w:noWrap/>
            <w:hideMark/>
          </w:tcPr>
          <w:p w14:paraId="4249E2B0" w14:textId="77777777" w:rsidR="00B35E47" w:rsidRPr="00FA7BCD" w:rsidRDefault="00B35E47" w:rsidP="00B35E47">
            <w:pPr>
              <w:contextualSpacing/>
              <w:jc w:val="left"/>
              <w:rPr>
                <w:rFonts w:ascii="Arial Narrow" w:eastAsiaTheme="minorHAnsi" w:hAnsi="Arial Narrow" w:cs="Arial"/>
                <w:b/>
                <w:color w:val="000000"/>
                <w:lang w:eastAsia="en-US"/>
              </w:rPr>
            </w:pPr>
            <w:r w:rsidRPr="00FA7BCD">
              <w:rPr>
                <w:rFonts w:ascii="Arial Narrow" w:hAnsi="Arial Narrow" w:cs="Arial"/>
                <w:b/>
                <w:color w:val="000000"/>
                <w:lang w:eastAsia="en-US"/>
              </w:rPr>
              <w:t>2014/2015</w:t>
            </w:r>
          </w:p>
        </w:tc>
        <w:tc>
          <w:tcPr>
            <w:tcW w:w="1142" w:type="dxa"/>
            <w:noWrap/>
            <w:hideMark/>
          </w:tcPr>
          <w:p w14:paraId="278A4205" w14:textId="77777777" w:rsidR="00B35E47" w:rsidRPr="00FA7BCD" w:rsidRDefault="00B35E47" w:rsidP="00B35E47">
            <w:pPr>
              <w:contextualSpacing/>
              <w:jc w:val="left"/>
              <w:rPr>
                <w:rFonts w:ascii="Arial Narrow" w:hAnsi="Arial Narrow" w:cs="Arial"/>
                <w:b/>
                <w:color w:val="000000"/>
                <w:lang w:eastAsia="en-US"/>
              </w:rPr>
            </w:pPr>
            <w:r w:rsidRPr="00FA7BCD">
              <w:rPr>
                <w:rFonts w:ascii="Arial Narrow" w:hAnsi="Arial Narrow" w:cs="Arial"/>
                <w:b/>
                <w:color w:val="000000"/>
                <w:lang w:eastAsia="en-US"/>
              </w:rPr>
              <w:t>2015/2016</w:t>
            </w:r>
          </w:p>
        </w:tc>
        <w:tc>
          <w:tcPr>
            <w:tcW w:w="1120" w:type="dxa"/>
            <w:noWrap/>
            <w:hideMark/>
          </w:tcPr>
          <w:p w14:paraId="7E13899D" w14:textId="77777777" w:rsidR="00B35E47" w:rsidRPr="00FA7BCD" w:rsidRDefault="00B35E47" w:rsidP="00B35E47">
            <w:pPr>
              <w:contextualSpacing/>
              <w:jc w:val="left"/>
              <w:rPr>
                <w:rFonts w:ascii="Arial Narrow" w:hAnsi="Arial Narrow" w:cs="Arial"/>
                <w:b/>
                <w:color w:val="000000"/>
                <w:lang w:eastAsia="en-US"/>
              </w:rPr>
            </w:pPr>
            <w:r w:rsidRPr="00FA7BCD">
              <w:rPr>
                <w:rFonts w:ascii="Arial Narrow" w:hAnsi="Arial Narrow" w:cs="Arial"/>
                <w:b/>
                <w:color w:val="000000"/>
                <w:lang w:eastAsia="en-US"/>
              </w:rPr>
              <w:t>2016/2017</w:t>
            </w:r>
          </w:p>
        </w:tc>
        <w:tc>
          <w:tcPr>
            <w:tcW w:w="1098" w:type="dxa"/>
            <w:noWrap/>
            <w:hideMark/>
          </w:tcPr>
          <w:p w14:paraId="4E933708" w14:textId="77777777" w:rsidR="00B35E47" w:rsidRPr="00FA7BCD" w:rsidRDefault="00B35E47" w:rsidP="00B35E47">
            <w:pPr>
              <w:contextualSpacing/>
              <w:jc w:val="left"/>
              <w:rPr>
                <w:rFonts w:ascii="Arial Narrow" w:hAnsi="Arial Narrow" w:cs="Arial"/>
                <w:b/>
                <w:color w:val="000000"/>
                <w:lang w:eastAsia="en-US"/>
              </w:rPr>
            </w:pPr>
            <w:r w:rsidRPr="00FA7BCD">
              <w:rPr>
                <w:rFonts w:ascii="Arial Narrow" w:hAnsi="Arial Narrow" w:cs="Arial"/>
                <w:b/>
                <w:color w:val="000000"/>
                <w:lang w:eastAsia="en-US"/>
              </w:rPr>
              <w:t>2017/2018</w:t>
            </w:r>
          </w:p>
        </w:tc>
        <w:tc>
          <w:tcPr>
            <w:tcW w:w="1098" w:type="dxa"/>
            <w:noWrap/>
            <w:hideMark/>
          </w:tcPr>
          <w:p w14:paraId="00B3166F" w14:textId="77777777" w:rsidR="00B35E47" w:rsidRPr="00FA7BCD" w:rsidRDefault="00B35E47" w:rsidP="00B35E47">
            <w:pPr>
              <w:contextualSpacing/>
              <w:jc w:val="left"/>
              <w:rPr>
                <w:rFonts w:ascii="Arial Narrow" w:hAnsi="Arial Narrow" w:cs="Arial"/>
                <w:b/>
                <w:color w:val="000000"/>
                <w:lang w:eastAsia="en-US"/>
              </w:rPr>
            </w:pPr>
            <w:r w:rsidRPr="00FA7BCD">
              <w:rPr>
                <w:rFonts w:ascii="Arial Narrow" w:hAnsi="Arial Narrow" w:cs="Arial"/>
                <w:b/>
                <w:color w:val="000000"/>
                <w:lang w:eastAsia="en-US"/>
              </w:rPr>
              <w:t>2018/2019</w:t>
            </w:r>
          </w:p>
        </w:tc>
      </w:tr>
      <w:tr w:rsidR="00B35E47" w:rsidRPr="00FA7BCD" w14:paraId="2D02ADD2" w14:textId="77777777" w:rsidTr="00AA3CC8">
        <w:trPr>
          <w:trHeight w:val="221"/>
        </w:trPr>
        <w:tc>
          <w:tcPr>
            <w:tcW w:w="746" w:type="dxa"/>
            <w:vMerge w:val="restart"/>
            <w:noWrap/>
            <w:hideMark/>
          </w:tcPr>
          <w:p w14:paraId="7F87B768" w14:textId="77777777" w:rsidR="00B35E47" w:rsidRPr="00FA7BCD" w:rsidRDefault="00B35E47" w:rsidP="00B35E47">
            <w:pPr>
              <w:contextualSpacing/>
              <w:jc w:val="left"/>
              <w:rPr>
                <w:rFonts w:ascii="Arial Narrow" w:hAnsi="Arial Narrow" w:cs="Arial"/>
                <w:b/>
                <w:bCs/>
                <w:color w:val="000000"/>
                <w:lang w:eastAsia="en-US"/>
              </w:rPr>
            </w:pPr>
            <w:r w:rsidRPr="00FA7BCD">
              <w:rPr>
                <w:rFonts w:ascii="Arial Narrow" w:hAnsi="Arial Narrow" w:cs="Arial"/>
                <w:b/>
                <w:bCs/>
                <w:color w:val="000000"/>
                <w:lang w:eastAsia="en-US"/>
              </w:rPr>
              <w:t>71119</w:t>
            </w:r>
          </w:p>
        </w:tc>
        <w:tc>
          <w:tcPr>
            <w:tcW w:w="1174" w:type="dxa"/>
            <w:vMerge w:val="restart"/>
            <w:noWrap/>
            <w:hideMark/>
          </w:tcPr>
          <w:p w14:paraId="14940DB1"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In Hospital</w:t>
            </w:r>
          </w:p>
        </w:tc>
        <w:tc>
          <w:tcPr>
            <w:tcW w:w="2081" w:type="dxa"/>
            <w:noWrap/>
            <w:hideMark/>
          </w:tcPr>
          <w:p w14:paraId="0EDDEAFD"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Number of Services</w:t>
            </w:r>
          </w:p>
        </w:tc>
        <w:tc>
          <w:tcPr>
            <w:tcW w:w="1098" w:type="dxa"/>
            <w:noWrap/>
            <w:hideMark/>
          </w:tcPr>
          <w:p w14:paraId="728C9B69"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5,152</w:t>
            </w:r>
          </w:p>
        </w:tc>
        <w:tc>
          <w:tcPr>
            <w:tcW w:w="1142" w:type="dxa"/>
            <w:noWrap/>
            <w:hideMark/>
          </w:tcPr>
          <w:p w14:paraId="1733117E"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5,453</w:t>
            </w:r>
          </w:p>
        </w:tc>
        <w:tc>
          <w:tcPr>
            <w:tcW w:w="1120" w:type="dxa"/>
            <w:noWrap/>
            <w:hideMark/>
          </w:tcPr>
          <w:p w14:paraId="1D32DC7A"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5,930</w:t>
            </w:r>
          </w:p>
        </w:tc>
        <w:tc>
          <w:tcPr>
            <w:tcW w:w="1098" w:type="dxa"/>
            <w:noWrap/>
            <w:hideMark/>
          </w:tcPr>
          <w:p w14:paraId="4340F5A8"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6,543</w:t>
            </w:r>
          </w:p>
        </w:tc>
        <w:tc>
          <w:tcPr>
            <w:tcW w:w="1098" w:type="dxa"/>
            <w:noWrap/>
            <w:hideMark/>
          </w:tcPr>
          <w:p w14:paraId="2E1D16DB"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6,805</w:t>
            </w:r>
          </w:p>
        </w:tc>
      </w:tr>
      <w:tr w:rsidR="00B35E47" w:rsidRPr="00FA7BCD" w14:paraId="5990D5CE" w14:textId="77777777" w:rsidTr="00AA3CC8">
        <w:trPr>
          <w:trHeight w:val="221"/>
        </w:trPr>
        <w:tc>
          <w:tcPr>
            <w:tcW w:w="746" w:type="dxa"/>
            <w:vMerge/>
            <w:hideMark/>
          </w:tcPr>
          <w:p w14:paraId="5AD31818" w14:textId="77777777" w:rsidR="00B35E47" w:rsidRPr="00FA7BCD" w:rsidRDefault="00B35E47" w:rsidP="00B35E47">
            <w:pPr>
              <w:contextualSpacing/>
              <w:jc w:val="left"/>
              <w:rPr>
                <w:rFonts w:ascii="Arial Narrow" w:eastAsiaTheme="minorHAnsi" w:hAnsi="Arial Narrow" w:cs="Arial"/>
                <w:b/>
                <w:bCs/>
                <w:color w:val="000000"/>
                <w:lang w:eastAsia="en-US"/>
              </w:rPr>
            </w:pPr>
          </w:p>
        </w:tc>
        <w:tc>
          <w:tcPr>
            <w:tcW w:w="1174" w:type="dxa"/>
            <w:vMerge/>
            <w:hideMark/>
          </w:tcPr>
          <w:p w14:paraId="6F504382"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2081" w:type="dxa"/>
            <w:noWrap/>
            <w:hideMark/>
          </w:tcPr>
          <w:p w14:paraId="753AB68D"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Bulk Billing Rate</w:t>
            </w:r>
          </w:p>
        </w:tc>
        <w:tc>
          <w:tcPr>
            <w:tcW w:w="1098" w:type="dxa"/>
            <w:noWrap/>
            <w:hideMark/>
          </w:tcPr>
          <w:p w14:paraId="687A47D1"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2.9%</w:t>
            </w:r>
          </w:p>
        </w:tc>
        <w:tc>
          <w:tcPr>
            <w:tcW w:w="1142" w:type="dxa"/>
            <w:noWrap/>
            <w:hideMark/>
          </w:tcPr>
          <w:p w14:paraId="3621FBDC"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2.2%</w:t>
            </w:r>
          </w:p>
        </w:tc>
        <w:tc>
          <w:tcPr>
            <w:tcW w:w="1120" w:type="dxa"/>
            <w:noWrap/>
            <w:hideMark/>
          </w:tcPr>
          <w:p w14:paraId="50C80615"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1.3%</w:t>
            </w:r>
          </w:p>
        </w:tc>
        <w:tc>
          <w:tcPr>
            <w:tcW w:w="1098" w:type="dxa"/>
            <w:noWrap/>
            <w:hideMark/>
          </w:tcPr>
          <w:p w14:paraId="249E2155"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1.8%</w:t>
            </w:r>
          </w:p>
        </w:tc>
        <w:tc>
          <w:tcPr>
            <w:tcW w:w="1098" w:type="dxa"/>
            <w:noWrap/>
            <w:hideMark/>
          </w:tcPr>
          <w:p w14:paraId="61717B37"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2.0%</w:t>
            </w:r>
          </w:p>
        </w:tc>
      </w:tr>
      <w:tr w:rsidR="00B35E47" w:rsidRPr="00FA7BCD" w14:paraId="54BAAFAA" w14:textId="77777777" w:rsidTr="00AA3CC8">
        <w:trPr>
          <w:trHeight w:val="221"/>
        </w:trPr>
        <w:tc>
          <w:tcPr>
            <w:tcW w:w="746" w:type="dxa"/>
            <w:vMerge/>
            <w:hideMark/>
          </w:tcPr>
          <w:p w14:paraId="24671E19" w14:textId="77777777" w:rsidR="00B35E47" w:rsidRPr="00FA7BCD" w:rsidRDefault="00B35E47" w:rsidP="00B35E47">
            <w:pPr>
              <w:contextualSpacing/>
              <w:jc w:val="left"/>
              <w:rPr>
                <w:rFonts w:ascii="Arial Narrow" w:eastAsiaTheme="minorHAnsi" w:hAnsi="Arial Narrow" w:cs="Arial"/>
                <w:b/>
                <w:bCs/>
                <w:color w:val="000000"/>
                <w:lang w:eastAsia="en-US"/>
              </w:rPr>
            </w:pPr>
          </w:p>
        </w:tc>
        <w:tc>
          <w:tcPr>
            <w:tcW w:w="1174" w:type="dxa"/>
            <w:vMerge w:val="restart"/>
            <w:noWrap/>
            <w:hideMark/>
          </w:tcPr>
          <w:p w14:paraId="22FA6BE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Out of Hospital</w:t>
            </w:r>
          </w:p>
        </w:tc>
        <w:tc>
          <w:tcPr>
            <w:tcW w:w="2081" w:type="dxa"/>
            <w:noWrap/>
            <w:hideMark/>
          </w:tcPr>
          <w:p w14:paraId="7C09D640"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Number of Services</w:t>
            </w:r>
          </w:p>
        </w:tc>
        <w:tc>
          <w:tcPr>
            <w:tcW w:w="1098" w:type="dxa"/>
            <w:noWrap/>
            <w:hideMark/>
          </w:tcPr>
          <w:p w14:paraId="206D5FF2"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140,983</w:t>
            </w:r>
          </w:p>
        </w:tc>
        <w:tc>
          <w:tcPr>
            <w:tcW w:w="1142" w:type="dxa"/>
            <w:noWrap/>
            <w:hideMark/>
          </w:tcPr>
          <w:p w14:paraId="1F0682C9"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148,548</w:t>
            </w:r>
          </w:p>
        </w:tc>
        <w:tc>
          <w:tcPr>
            <w:tcW w:w="1120" w:type="dxa"/>
            <w:noWrap/>
            <w:hideMark/>
          </w:tcPr>
          <w:p w14:paraId="57D4118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143,466</w:t>
            </w:r>
          </w:p>
        </w:tc>
        <w:tc>
          <w:tcPr>
            <w:tcW w:w="1098" w:type="dxa"/>
            <w:noWrap/>
            <w:hideMark/>
          </w:tcPr>
          <w:p w14:paraId="7DB0CD2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157,149</w:t>
            </w:r>
          </w:p>
        </w:tc>
        <w:tc>
          <w:tcPr>
            <w:tcW w:w="1098" w:type="dxa"/>
            <w:noWrap/>
            <w:hideMark/>
          </w:tcPr>
          <w:p w14:paraId="02BAD64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163,274</w:t>
            </w:r>
          </w:p>
        </w:tc>
      </w:tr>
      <w:tr w:rsidR="00B35E47" w:rsidRPr="00FA7BCD" w14:paraId="00F0B8CA" w14:textId="77777777" w:rsidTr="00AA3CC8">
        <w:trPr>
          <w:trHeight w:val="221"/>
        </w:trPr>
        <w:tc>
          <w:tcPr>
            <w:tcW w:w="746" w:type="dxa"/>
            <w:vMerge/>
            <w:hideMark/>
          </w:tcPr>
          <w:p w14:paraId="18F1F91C" w14:textId="77777777" w:rsidR="00B35E47" w:rsidRPr="00FA7BCD" w:rsidRDefault="00B35E47" w:rsidP="00B35E47">
            <w:pPr>
              <w:contextualSpacing/>
              <w:jc w:val="left"/>
              <w:rPr>
                <w:rFonts w:ascii="Arial Narrow" w:eastAsiaTheme="minorHAnsi" w:hAnsi="Arial Narrow" w:cs="Arial"/>
                <w:b/>
                <w:bCs/>
                <w:color w:val="000000"/>
                <w:lang w:eastAsia="en-US"/>
              </w:rPr>
            </w:pPr>
          </w:p>
        </w:tc>
        <w:tc>
          <w:tcPr>
            <w:tcW w:w="1174" w:type="dxa"/>
            <w:vMerge/>
            <w:hideMark/>
          </w:tcPr>
          <w:p w14:paraId="15EE6451"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2081" w:type="dxa"/>
            <w:noWrap/>
            <w:hideMark/>
          </w:tcPr>
          <w:p w14:paraId="758B334A"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Bulk Billing Rate</w:t>
            </w:r>
          </w:p>
        </w:tc>
        <w:tc>
          <w:tcPr>
            <w:tcW w:w="1098" w:type="dxa"/>
            <w:noWrap/>
            <w:hideMark/>
          </w:tcPr>
          <w:p w14:paraId="783BA31A"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98.9%</w:t>
            </w:r>
          </w:p>
        </w:tc>
        <w:tc>
          <w:tcPr>
            <w:tcW w:w="1142" w:type="dxa"/>
            <w:noWrap/>
            <w:hideMark/>
          </w:tcPr>
          <w:p w14:paraId="22ED1B27"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99.1%</w:t>
            </w:r>
          </w:p>
        </w:tc>
        <w:tc>
          <w:tcPr>
            <w:tcW w:w="1120" w:type="dxa"/>
            <w:noWrap/>
            <w:hideMark/>
          </w:tcPr>
          <w:p w14:paraId="7D3760A2"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99.1%</w:t>
            </w:r>
          </w:p>
        </w:tc>
        <w:tc>
          <w:tcPr>
            <w:tcW w:w="1098" w:type="dxa"/>
            <w:noWrap/>
            <w:hideMark/>
          </w:tcPr>
          <w:p w14:paraId="5083334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99.2%</w:t>
            </w:r>
          </w:p>
        </w:tc>
        <w:tc>
          <w:tcPr>
            <w:tcW w:w="1098" w:type="dxa"/>
            <w:noWrap/>
            <w:hideMark/>
          </w:tcPr>
          <w:p w14:paraId="5452A0D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99.2%</w:t>
            </w:r>
          </w:p>
        </w:tc>
      </w:tr>
      <w:tr w:rsidR="00B35E47" w:rsidRPr="00FA7BCD" w14:paraId="2AA8CEB3" w14:textId="77777777" w:rsidTr="00AA3CC8">
        <w:trPr>
          <w:trHeight w:val="221"/>
        </w:trPr>
        <w:tc>
          <w:tcPr>
            <w:tcW w:w="746" w:type="dxa"/>
            <w:vMerge/>
            <w:hideMark/>
          </w:tcPr>
          <w:p w14:paraId="2DEDD3B5" w14:textId="77777777" w:rsidR="00B35E47" w:rsidRPr="00FA7BCD" w:rsidRDefault="00B35E47" w:rsidP="00B35E47">
            <w:pPr>
              <w:contextualSpacing/>
              <w:jc w:val="left"/>
              <w:rPr>
                <w:rFonts w:ascii="Arial Narrow" w:eastAsiaTheme="minorHAnsi" w:hAnsi="Arial Narrow" w:cs="Arial"/>
                <w:b/>
                <w:bCs/>
                <w:color w:val="000000"/>
                <w:lang w:eastAsia="en-US"/>
              </w:rPr>
            </w:pPr>
          </w:p>
        </w:tc>
        <w:tc>
          <w:tcPr>
            <w:tcW w:w="1174" w:type="dxa"/>
            <w:vMerge w:val="restart"/>
            <w:noWrap/>
            <w:hideMark/>
          </w:tcPr>
          <w:p w14:paraId="17DF94AF"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Total</w:t>
            </w:r>
          </w:p>
        </w:tc>
        <w:tc>
          <w:tcPr>
            <w:tcW w:w="2081" w:type="dxa"/>
            <w:noWrap/>
            <w:hideMark/>
          </w:tcPr>
          <w:p w14:paraId="7757B8F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Number of Services</w:t>
            </w:r>
          </w:p>
        </w:tc>
        <w:tc>
          <w:tcPr>
            <w:tcW w:w="1098" w:type="dxa"/>
            <w:noWrap/>
            <w:hideMark/>
          </w:tcPr>
          <w:p w14:paraId="7B5F53BF"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146,135</w:t>
            </w:r>
          </w:p>
        </w:tc>
        <w:tc>
          <w:tcPr>
            <w:tcW w:w="1142" w:type="dxa"/>
            <w:noWrap/>
            <w:hideMark/>
          </w:tcPr>
          <w:p w14:paraId="131CCC96"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154,001</w:t>
            </w:r>
          </w:p>
        </w:tc>
        <w:tc>
          <w:tcPr>
            <w:tcW w:w="1120" w:type="dxa"/>
            <w:noWrap/>
            <w:hideMark/>
          </w:tcPr>
          <w:p w14:paraId="52E15641"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149,396</w:t>
            </w:r>
          </w:p>
        </w:tc>
        <w:tc>
          <w:tcPr>
            <w:tcW w:w="1098" w:type="dxa"/>
            <w:noWrap/>
            <w:hideMark/>
          </w:tcPr>
          <w:p w14:paraId="29B6EB8F"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163,692</w:t>
            </w:r>
          </w:p>
        </w:tc>
        <w:tc>
          <w:tcPr>
            <w:tcW w:w="1098" w:type="dxa"/>
            <w:noWrap/>
            <w:hideMark/>
          </w:tcPr>
          <w:p w14:paraId="69778EA9"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170,079</w:t>
            </w:r>
          </w:p>
        </w:tc>
      </w:tr>
      <w:tr w:rsidR="00B35E47" w:rsidRPr="00FA7BCD" w14:paraId="42F537CE" w14:textId="77777777" w:rsidTr="00AA3CC8">
        <w:trPr>
          <w:trHeight w:val="221"/>
        </w:trPr>
        <w:tc>
          <w:tcPr>
            <w:tcW w:w="746" w:type="dxa"/>
            <w:vMerge/>
            <w:hideMark/>
          </w:tcPr>
          <w:p w14:paraId="290E72AF" w14:textId="77777777" w:rsidR="00B35E47" w:rsidRPr="00FA7BCD" w:rsidRDefault="00B35E47" w:rsidP="00B35E47">
            <w:pPr>
              <w:contextualSpacing/>
              <w:jc w:val="left"/>
              <w:rPr>
                <w:rFonts w:ascii="Arial Narrow" w:eastAsiaTheme="minorHAnsi" w:hAnsi="Arial Narrow" w:cs="Arial"/>
                <w:b/>
                <w:bCs/>
                <w:color w:val="000000"/>
                <w:lang w:eastAsia="en-US"/>
              </w:rPr>
            </w:pPr>
          </w:p>
        </w:tc>
        <w:tc>
          <w:tcPr>
            <w:tcW w:w="1174" w:type="dxa"/>
            <w:vMerge/>
            <w:hideMark/>
          </w:tcPr>
          <w:p w14:paraId="2A526C42"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2081" w:type="dxa"/>
            <w:noWrap/>
            <w:hideMark/>
          </w:tcPr>
          <w:p w14:paraId="370FDACC"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Bulk Billing Rate</w:t>
            </w:r>
          </w:p>
        </w:tc>
        <w:tc>
          <w:tcPr>
            <w:tcW w:w="1098" w:type="dxa"/>
            <w:noWrap/>
            <w:hideMark/>
          </w:tcPr>
          <w:p w14:paraId="76498E23"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95.5%</w:t>
            </w:r>
          </w:p>
        </w:tc>
        <w:tc>
          <w:tcPr>
            <w:tcW w:w="1142" w:type="dxa"/>
            <w:noWrap/>
            <w:hideMark/>
          </w:tcPr>
          <w:p w14:paraId="7EDEC03C"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95.7%</w:t>
            </w:r>
          </w:p>
        </w:tc>
        <w:tc>
          <w:tcPr>
            <w:tcW w:w="1120" w:type="dxa"/>
            <w:noWrap/>
            <w:hideMark/>
          </w:tcPr>
          <w:p w14:paraId="4281B0D0"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95.3%</w:t>
            </w:r>
          </w:p>
        </w:tc>
        <w:tc>
          <w:tcPr>
            <w:tcW w:w="1098" w:type="dxa"/>
            <w:noWrap/>
            <w:hideMark/>
          </w:tcPr>
          <w:p w14:paraId="0468EE83"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95.3%</w:t>
            </w:r>
          </w:p>
        </w:tc>
        <w:tc>
          <w:tcPr>
            <w:tcW w:w="1098" w:type="dxa"/>
            <w:noWrap/>
            <w:hideMark/>
          </w:tcPr>
          <w:p w14:paraId="4892CDFD"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95.3%</w:t>
            </w:r>
          </w:p>
        </w:tc>
      </w:tr>
      <w:tr w:rsidR="00B35E47" w:rsidRPr="00FA7BCD" w14:paraId="30251E6B" w14:textId="77777777" w:rsidTr="00AA3CC8">
        <w:trPr>
          <w:trHeight w:val="221"/>
        </w:trPr>
        <w:tc>
          <w:tcPr>
            <w:tcW w:w="746" w:type="dxa"/>
            <w:vMerge w:val="restart"/>
            <w:noWrap/>
            <w:hideMark/>
          </w:tcPr>
          <w:p w14:paraId="546AABF5" w14:textId="77777777" w:rsidR="00B35E47" w:rsidRPr="00FA7BCD" w:rsidRDefault="00B35E47" w:rsidP="00B35E47">
            <w:pPr>
              <w:contextualSpacing/>
              <w:jc w:val="left"/>
              <w:rPr>
                <w:rFonts w:ascii="Arial Narrow" w:hAnsi="Arial Narrow" w:cs="Arial"/>
                <w:b/>
                <w:bCs/>
                <w:color w:val="000000"/>
                <w:lang w:eastAsia="en-US"/>
              </w:rPr>
            </w:pPr>
            <w:r w:rsidRPr="00FA7BCD">
              <w:rPr>
                <w:rFonts w:ascii="Arial Narrow" w:hAnsi="Arial Narrow" w:cs="Arial"/>
                <w:b/>
                <w:bCs/>
                <w:color w:val="000000"/>
                <w:lang w:eastAsia="en-US"/>
              </w:rPr>
              <w:t>71165</w:t>
            </w:r>
          </w:p>
        </w:tc>
        <w:tc>
          <w:tcPr>
            <w:tcW w:w="1174" w:type="dxa"/>
            <w:vMerge w:val="restart"/>
            <w:noWrap/>
            <w:hideMark/>
          </w:tcPr>
          <w:p w14:paraId="1B53B2D8"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In Hospital</w:t>
            </w:r>
          </w:p>
        </w:tc>
        <w:tc>
          <w:tcPr>
            <w:tcW w:w="2081" w:type="dxa"/>
            <w:noWrap/>
            <w:hideMark/>
          </w:tcPr>
          <w:p w14:paraId="7500BDF7"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Number of Services</w:t>
            </w:r>
          </w:p>
        </w:tc>
        <w:tc>
          <w:tcPr>
            <w:tcW w:w="1098" w:type="dxa"/>
            <w:noWrap/>
            <w:hideMark/>
          </w:tcPr>
          <w:p w14:paraId="3884A118"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3,724</w:t>
            </w:r>
          </w:p>
        </w:tc>
        <w:tc>
          <w:tcPr>
            <w:tcW w:w="1142" w:type="dxa"/>
            <w:noWrap/>
            <w:hideMark/>
          </w:tcPr>
          <w:p w14:paraId="5324F301"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3,496</w:t>
            </w:r>
          </w:p>
        </w:tc>
        <w:tc>
          <w:tcPr>
            <w:tcW w:w="1120" w:type="dxa"/>
            <w:noWrap/>
            <w:hideMark/>
          </w:tcPr>
          <w:p w14:paraId="4B8B4CAC"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4,234</w:t>
            </w:r>
          </w:p>
        </w:tc>
        <w:tc>
          <w:tcPr>
            <w:tcW w:w="1098" w:type="dxa"/>
            <w:noWrap/>
            <w:hideMark/>
          </w:tcPr>
          <w:p w14:paraId="3A093E1F"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4,470</w:t>
            </w:r>
          </w:p>
        </w:tc>
        <w:tc>
          <w:tcPr>
            <w:tcW w:w="1098" w:type="dxa"/>
            <w:noWrap/>
            <w:hideMark/>
          </w:tcPr>
          <w:p w14:paraId="0FA10AB9"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4,406</w:t>
            </w:r>
          </w:p>
        </w:tc>
      </w:tr>
      <w:tr w:rsidR="00B35E47" w:rsidRPr="00FA7BCD" w14:paraId="25478DDB" w14:textId="77777777" w:rsidTr="00AA3CC8">
        <w:trPr>
          <w:trHeight w:val="221"/>
        </w:trPr>
        <w:tc>
          <w:tcPr>
            <w:tcW w:w="746" w:type="dxa"/>
            <w:vMerge/>
            <w:hideMark/>
          </w:tcPr>
          <w:p w14:paraId="1B0CC617"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1174" w:type="dxa"/>
            <w:vMerge/>
            <w:hideMark/>
          </w:tcPr>
          <w:p w14:paraId="54182451"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2081" w:type="dxa"/>
            <w:noWrap/>
            <w:hideMark/>
          </w:tcPr>
          <w:p w14:paraId="3D360799"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Bulk Billing Rate</w:t>
            </w:r>
          </w:p>
        </w:tc>
        <w:tc>
          <w:tcPr>
            <w:tcW w:w="1098" w:type="dxa"/>
            <w:noWrap/>
            <w:hideMark/>
          </w:tcPr>
          <w:p w14:paraId="5CCE600E"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2.4%</w:t>
            </w:r>
          </w:p>
        </w:tc>
        <w:tc>
          <w:tcPr>
            <w:tcW w:w="1142" w:type="dxa"/>
            <w:noWrap/>
            <w:hideMark/>
          </w:tcPr>
          <w:p w14:paraId="7447F35E"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2.4%</w:t>
            </w:r>
          </w:p>
        </w:tc>
        <w:tc>
          <w:tcPr>
            <w:tcW w:w="1120" w:type="dxa"/>
            <w:noWrap/>
            <w:hideMark/>
          </w:tcPr>
          <w:p w14:paraId="075047C6"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1.2%</w:t>
            </w:r>
          </w:p>
        </w:tc>
        <w:tc>
          <w:tcPr>
            <w:tcW w:w="1098" w:type="dxa"/>
            <w:noWrap/>
            <w:hideMark/>
          </w:tcPr>
          <w:p w14:paraId="2DDE3CB0"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1.8%</w:t>
            </w:r>
          </w:p>
        </w:tc>
        <w:tc>
          <w:tcPr>
            <w:tcW w:w="1098" w:type="dxa"/>
            <w:noWrap/>
            <w:hideMark/>
          </w:tcPr>
          <w:p w14:paraId="41CB09E6"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1.7%</w:t>
            </w:r>
          </w:p>
        </w:tc>
      </w:tr>
      <w:tr w:rsidR="00B35E47" w:rsidRPr="00FA7BCD" w14:paraId="2A94ADDF" w14:textId="77777777" w:rsidTr="00AA3CC8">
        <w:trPr>
          <w:trHeight w:val="221"/>
        </w:trPr>
        <w:tc>
          <w:tcPr>
            <w:tcW w:w="746" w:type="dxa"/>
            <w:vMerge/>
            <w:hideMark/>
          </w:tcPr>
          <w:p w14:paraId="4519C11B"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1174" w:type="dxa"/>
            <w:vMerge w:val="restart"/>
            <w:noWrap/>
            <w:hideMark/>
          </w:tcPr>
          <w:p w14:paraId="08120BA5"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Out of Hospital</w:t>
            </w:r>
          </w:p>
        </w:tc>
        <w:tc>
          <w:tcPr>
            <w:tcW w:w="2081" w:type="dxa"/>
            <w:noWrap/>
            <w:hideMark/>
          </w:tcPr>
          <w:p w14:paraId="37555C75"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Number of Services</w:t>
            </w:r>
          </w:p>
        </w:tc>
        <w:tc>
          <w:tcPr>
            <w:tcW w:w="1098" w:type="dxa"/>
            <w:noWrap/>
            <w:hideMark/>
          </w:tcPr>
          <w:p w14:paraId="60C8D216"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124,483</w:t>
            </w:r>
          </w:p>
        </w:tc>
        <w:tc>
          <w:tcPr>
            <w:tcW w:w="1142" w:type="dxa"/>
            <w:noWrap/>
            <w:hideMark/>
          </w:tcPr>
          <w:p w14:paraId="1330912D"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145,221</w:t>
            </w:r>
          </w:p>
        </w:tc>
        <w:tc>
          <w:tcPr>
            <w:tcW w:w="1120" w:type="dxa"/>
            <w:noWrap/>
            <w:hideMark/>
          </w:tcPr>
          <w:p w14:paraId="493E3680"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145,278</w:t>
            </w:r>
          </w:p>
        </w:tc>
        <w:tc>
          <w:tcPr>
            <w:tcW w:w="1098" w:type="dxa"/>
            <w:noWrap/>
            <w:hideMark/>
          </w:tcPr>
          <w:p w14:paraId="72BDAD7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158,823</w:t>
            </w:r>
          </w:p>
        </w:tc>
        <w:tc>
          <w:tcPr>
            <w:tcW w:w="1098" w:type="dxa"/>
            <w:noWrap/>
            <w:hideMark/>
          </w:tcPr>
          <w:p w14:paraId="71B43CFD"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168,751</w:t>
            </w:r>
          </w:p>
        </w:tc>
      </w:tr>
      <w:tr w:rsidR="00B35E47" w:rsidRPr="00FA7BCD" w14:paraId="5612D28A" w14:textId="77777777" w:rsidTr="00AA3CC8">
        <w:trPr>
          <w:trHeight w:val="221"/>
        </w:trPr>
        <w:tc>
          <w:tcPr>
            <w:tcW w:w="746" w:type="dxa"/>
            <w:vMerge/>
            <w:hideMark/>
          </w:tcPr>
          <w:p w14:paraId="24DF1682"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1174" w:type="dxa"/>
            <w:vMerge/>
            <w:hideMark/>
          </w:tcPr>
          <w:p w14:paraId="1D6F528B"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2081" w:type="dxa"/>
            <w:noWrap/>
            <w:hideMark/>
          </w:tcPr>
          <w:p w14:paraId="52BE65C1"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Bulk Billing Rate</w:t>
            </w:r>
          </w:p>
        </w:tc>
        <w:tc>
          <w:tcPr>
            <w:tcW w:w="1098" w:type="dxa"/>
            <w:noWrap/>
            <w:hideMark/>
          </w:tcPr>
          <w:p w14:paraId="6D526CFC"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98.3%</w:t>
            </w:r>
          </w:p>
        </w:tc>
        <w:tc>
          <w:tcPr>
            <w:tcW w:w="1142" w:type="dxa"/>
            <w:noWrap/>
            <w:hideMark/>
          </w:tcPr>
          <w:p w14:paraId="0E2BF18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98.7%</w:t>
            </w:r>
          </w:p>
        </w:tc>
        <w:tc>
          <w:tcPr>
            <w:tcW w:w="1120" w:type="dxa"/>
            <w:noWrap/>
            <w:hideMark/>
          </w:tcPr>
          <w:p w14:paraId="46DD1312"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98.8%</w:t>
            </w:r>
          </w:p>
        </w:tc>
        <w:tc>
          <w:tcPr>
            <w:tcW w:w="1098" w:type="dxa"/>
            <w:noWrap/>
            <w:hideMark/>
          </w:tcPr>
          <w:p w14:paraId="2A316345"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99.0%</w:t>
            </w:r>
          </w:p>
        </w:tc>
        <w:tc>
          <w:tcPr>
            <w:tcW w:w="1098" w:type="dxa"/>
            <w:noWrap/>
            <w:hideMark/>
          </w:tcPr>
          <w:p w14:paraId="43BA1DB7"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99.4%</w:t>
            </w:r>
          </w:p>
        </w:tc>
      </w:tr>
      <w:tr w:rsidR="00B35E47" w:rsidRPr="00FA7BCD" w14:paraId="1B9946E6" w14:textId="77777777" w:rsidTr="00AA3CC8">
        <w:trPr>
          <w:trHeight w:val="221"/>
        </w:trPr>
        <w:tc>
          <w:tcPr>
            <w:tcW w:w="746" w:type="dxa"/>
            <w:vMerge/>
            <w:hideMark/>
          </w:tcPr>
          <w:p w14:paraId="2B23E8E7"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1174" w:type="dxa"/>
            <w:vMerge w:val="restart"/>
            <w:noWrap/>
            <w:hideMark/>
          </w:tcPr>
          <w:p w14:paraId="1BAAA78F"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 xml:space="preserve">Total </w:t>
            </w:r>
          </w:p>
        </w:tc>
        <w:tc>
          <w:tcPr>
            <w:tcW w:w="2081" w:type="dxa"/>
            <w:noWrap/>
            <w:hideMark/>
          </w:tcPr>
          <w:p w14:paraId="7CEAD0EB"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Number of Services</w:t>
            </w:r>
          </w:p>
        </w:tc>
        <w:tc>
          <w:tcPr>
            <w:tcW w:w="1098" w:type="dxa"/>
            <w:noWrap/>
            <w:hideMark/>
          </w:tcPr>
          <w:p w14:paraId="575DBB82"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128,207</w:t>
            </w:r>
          </w:p>
        </w:tc>
        <w:tc>
          <w:tcPr>
            <w:tcW w:w="1142" w:type="dxa"/>
            <w:noWrap/>
            <w:hideMark/>
          </w:tcPr>
          <w:p w14:paraId="41EF590C"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148,717</w:t>
            </w:r>
          </w:p>
        </w:tc>
        <w:tc>
          <w:tcPr>
            <w:tcW w:w="1120" w:type="dxa"/>
            <w:noWrap/>
            <w:hideMark/>
          </w:tcPr>
          <w:p w14:paraId="1637EDA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149,512</w:t>
            </w:r>
          </w:p>
        </w:tc>
        <w:tc>
          <w:tcPr>
            <w:tcW w:w="1098" w:type="dxa"/>
            <w:noWrap/>
            <w:hideMark/>
          </w:tcPr>
          <w:p w14:paraId="7AA45C9B"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163,293</w:t>
            </w:r>
          </w:p>
        </w:tc>
        <w:tc>
          <w:tcPr>
            <w:tcW w:w="1098" w:type="dxa"/>
            <w:noWrap/>
            <w:hideMark/>
          </w:tcPr>
          <w:p w14:paraId="0E8190B6"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173,157</w:t>
            </w:r>
          </w:p>
        </w:tc>
      </w:tr>
      <w:tr w:rsidR="00B35E47" w:rsidRPr="00FA7BCD" w14:paraId="37794DE0" w14:textId="77777777" w:rsidTr="00AA3CC8">
        <w:trPr>
          <w:trHeight w:val="221"/>
        </w:trPr>
        <w:tc>
          <w:tcPr>
            <w:tcW w:w="746" w:type="dxa"/>
            <w:vMerge/>
            <w:hideMark/>
          </w:tcPr>
          <w:p w14:paraId="6241A28B"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1174" w:type="dxa"/>
            <w:vMerge/>
            <w:hideMark/>
          </w:tcPr>
          <w:p w14:paraId="0B05A928" w14:textId="77777777" w:rsidR="00B35E47" w:rsidRPr="00FA7BCD" w:rsidRDefault="00B35E47" w:rsidP="00B35E47">
            <w:pPr>
              <w:contextualSpacing/>
              <w:jc w:val="left"/>
              <w:rPr>
                <w:rFonts w:ascii="Arial Narrow" w:eastAsiaTheme="minorHAnsi" w:hAnsi="Arial Narrow" w:cs="Arial"/>
                <w:bCs/>
                <w:color w:val="000000"/>
                <w:lang w:eastAsia="en-US"/>
              </w:rPr>
            </w:pPr>
          </w:p>
        </w:tc>
        <w:tc>
          <w:tcPr>
            <w:tcW w:w="2081" w:type="dxa"/>
            <w:noWrap/>
            <w:hideMark/>
          </w:tcPr>
          <w:p w14:paraId="73372444"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Bulk Billing Rate</w:t>
            </w:r>
          </w:p>
        </w:tc>
        <w:tc>
          <w:tcPr>
            <w:tcW w:w="1098" w:type="dxa"/>
            <w:noWrap/>
            <w:hideMark/>
          </w:tcPr>
          <w:p w14:paraId="25774282"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95.5%</w:t>
            </w:r>
          </w:p>
        </w:tc>
        <w:tc>
          <w:tcPr>
            <w:tcW w:w="1142" w:type="dxa"/>
            <w:noWrap/>
            <w:hideMark/>
          </w:tcPr>
          <w:p w14:paraId="6B3F4E2A"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96.4%</w:t>
            </w:r>
          </w:p>
        </w:tc>
        <w:tc>
          <w:tcPr>
            <w:tcW w:w="1120" w:type="dxa"/>
            <w:noWrap/>
            <w:hideMark/>
          </w:tcPr>
          <w:p w14:paraId="76A69266"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96.0%</w:t>
            </w:r>
          </w:p>
        </w:tc>
        <w:tc>
          <w:tcPr>
            <w:tcW w:w="1098" w:type="dxa"/>
            <w:noWrap/>
            <w:hideMark/>
          </w:tcPr>
          <w:p w14:paraId="6F4B37AE"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96.4%</w:t>
            </w:r>
          </w:p>
        </w:tc>
        <w:tc>
          <w:tcPr>
            <w:tcW w:w="1098" w:type="dxa"/>
            <w:noWrap/>
            <w:hideMark/>
          </w:tcPr>
          <w:p w14:paraId="33A40C51" w14:textId="77777777" w:rsidR="00B35E47" w:rsidRPr="00FA7BCD" w:rsidRDefault="00B35E47" w:rsidP="00B35E47">
            <w:pPr>
              <w:contextualSpacing/>
              <w:jc w:val="left"/>
              <w:rPr>
                <w:rFonts w:ascii="Arial Narrow" w:hAnsi="Arial Narrow" w:cs="Arial"/>
                <w:bCs/>
                <w:color w:val="000000"/>
                <w:lang w:eastAsia="en-US"/>
              </w:rPr>
            </w:pPr>
            <w:r w:rsidRPr="00FA7BCD">
              <w:rPr>
                <w:rFonts w:ascii="Arial Narrow" w:hAnsi="Arial Narrow" w:cs="Arial"/>
                <w:bCs/>
                <w:color w:val="000000"/>
                <w:lang w:eastAsia="en-US"/>
              </w:rPr>
              <w:t>97.0%</w:t>
            </w:r>
          </w:p>
        </w:tc>
      </w:tr>
    </w:tbl>
    <w:p w14:paraId="43AD6B08" w14:textId="77777777" w:rsidR="00B35E47" w:rsidRPr="00B35E47" w:rsidRDefault="00B35E47" w:rsidP="00B35E47"/>
    <w:p w14:paraId="6EEFF7E2" w14:textId="77777777" w:rsidR="00ED65EE" w:rsidRPr="00183E4D" w:rsidRDefault="00ED65EE" w:rsidP="00ED65EE">
      <w:pPr>
        <w:pStyle w:val="Heading1"/>
        <w:jc w:val="both"/>
      </w:pPr>
      <w:bookmarkStart w:id="699" w:name="_Toc39588404"/>
      <w:r w:rsidRPr="00183E4D">
        <w:lastRenderedPageBreak/>
        <w:t>References</w:t>
      </w:r>
      <w:bookmarkEnd w:id="690"/>
      <w:bookmarkEnd w:id="691"/>
      <w:bookmarkEnd w:id="699"/>
      <w:r w:rsidRPr="00183E4D">
        <w:t xml:space="preserve"> </w:t>
      </w:r>
    </w:p>
    <w:p w14:paraId="5B32D248" w14:textId="77777777" w:rsidR="00B0479F" w:rsidRPr="00B0479F" w:rsidRDefault="00EF79A3" w:rsidP="00B0479F">
      <w:pPr>
        <w:pStyle w:val="EndNoteBibliography"/>
      </w:pPr>
      <w:r>
        <w:fldChar w:fldCharType="begin"/>
      </w:r>
      <w:r>
        <w:instrText xml:space="preserve"> ADDIN EN.REFLIST </w:instrText>
      </w:r>
      <w:r>
        <w:fldChar w:fldCharType="separate"/>
      </w:r>
      <w:r w:rsidR="00B0479F" w:rsidRPr="00B0479F">
        <w:t xml:space="preserve">Ahmad, H, Palmer, AJ, Campbell, JA, Mei, Ivd &amp; Taylor, B 2018, </w:t>
      </w:r>
      <w:r w:rsidR="00B0479F" w:rsidRPr="00B0479F">
        <w:rPr>
          <w:i/>
        </w:rPr>
        <w:t>Health Economic Impact of Multiple Sclerosis in Australia in 2017: An analysis of MS Research Australia’s platform – the Australian MS Longitudinal Study (AMSLS)</w:t>
      </w:r>
      <w:r w:rsidR="00B0479F" w:rsidRPr="00B0479F">
        <w:t>, Menzies Institute for Medical Research, University of Tasmania, MR Australia.</w:t>
      </w:r>
    </w:p>
    <w:p w14:paraId="42C3E31F" w14:textId="77777777" w:rsidR="00B0479F" w:rsidRPr="00B0479F" w:rsidRDefault="00B0479F" w:rsidP="00B0479F">
      <w:pPr>
        <w:pStyle w:val="EndNoteBibliography"/>
        <w:spacing w:after="0"/>
      </w:pPr>
    </w:p>
    <w:p w14:paraId="48756DDD" w14:textId="77777777" w:rsidR="00B0479F" w:rsidRPr="00B0479F" w:rsidRDefault="00B0479F" w:rsidP="00B0479F">
      <w:pPr>
        <w:pStyle w:val="EndNoteBibliography"/>
      </w:pPr>
      <w:r w:rsidRPr="00B0479F">
        <w:t xml:space="preserve">Ajmera, MR, Boscoe, A, Mauskopf, J, Candrilli, SD &amp; Levy, M 2018, 'Evaluation of comorbidities and health care resource use among patients with highly active neuromyelitis optica', </w:t>
      </w:r>
      <w:r w:rsidRPr="00B0479F">
        <w:rPr>
          <w:i/>
        </w:rPr>
        <w:t>J Neurol Sci</w:t>
      </w:r>
      <w:r w:rsidRPr="00B0479F">
        <w:t>, vol. 384, Jan 15, pp. 96-103.</w:t>
      </w:r>
    </w:p>
    <w:p w14:paraId="3942A7A3" w14:textId="77777777" w:rsidR="00B0479F" w:rsidRPr="00B0479F" w:rsidRDefault="00B0479F" w:rsidP="00B0479F">
      <w:pPr>
        <w:pStyle w:val="EndNoteBibliography"/>
        <w:spacing w:after="0"/>
      </w:pPr>
    </w:p>
    <w:p w14:paraId="3AD420B7" w14:textId="77777777" w:rsidR="00B0479F" w:rsidRPr="00B0479F" w:rsidRDefault="00B0479F" w:rsidP="00B0479F">
      <w:pPr>
        <w:pStyle w:val="EndNoteBibliography"/>
      </w:pPr>
      <w:r w:rsidRPr="00B0479F">
        <w:t xml:space="preserve">Akman-Demir, G, Tuzun, E, Waters, P, Icoz, S, Kurtuncu, M, Jarius, S, Yapici, Z, Mutlu, M, Yesilot, N, Vincent, A &amp; Eraksoy, M 2011, 'Prognostic implications of aquaporin-4 antibody status in neuromyelitis optica patients', </w:t>
      </w:r>
      <w:r w:rsidRPr="00B0479F">
        <w:rPr>
          <w:i/>
        </w:rPr>
        <w:t>J Neurol</w:t>
      </w:r>
      <w:r w:rsidRPr="00B0479F">
        <w:t>, vol. 258, no. 3, Mar, pp. 464-470.</w:t>
      </w:r>
    </w:p>
    <w:p w14:paraId="1D885DC4" w14:textId="77777777" w:rsidR="00B0479F" w:rsidRPr="00B0479F" w:rsidRDefault="00B0479F" w:rsidP="00B0479F">
      <w:pPr>
        <w:pStyle w:val="EndNoteBibliography"/>
        <w:spacing w:after="0"/>
      </w:pPr>
    </w:p>
    <w:p w14:paraId="7F44AA99" w14:textId="77777777" w:rsidR="00B0479F" w:rsidRPr="00B0479F" w:rsidRDefault="00B0479F" w:rsidP="00B0479F">
      <w:pPr>
        <w:pStyle w:val="EndNoteBibliography"/>
      </w:pPr>
      <w:r w:rsidRPr="00B0479F">
        <w:t xml:space="preserve">Ashtari, F, Mehdipour, R, Shaygannejad, V &amp; Mansourian, M 2019, 'Disease course, progression and activity of neuromyelitis optica (NMOSD) in patients who were treated with Rituximab, 6 and 12 months after receiving the first dose of drug, in Isfahan city', </w:t>
      </w:r>
      <w:r w:rsidRPr="00B0479F">
        <w:rPr>
          <w:i/>
        </w:rPr>
        <w:t>Multiple Sclerosis and Related Disorders</w:t>
      </w:r>
      <w:r w:rsidRPr="00B0479F">
        <w:t>, vol. 34, pp. 77-82.</w:t>
      </w:r>
    </w:p>
    <w:p w14:paraId="40AF0552" w14:textId="77777777" w:rsidR="00B0479F" w:rsidRPr="00B0479F" w:rsidRDefault="00B0479F" w:rsidP="00B0479F">
      <w:pPr>
        <w:pStyle w:val="EndNoteBibliography"/>
        <w:spacing w:after="0"/>
      </w:pPr>
    </w:p>
    <w:p w14:paraId="3220E892" w14:textId="77777777" w:rsidR="00B0479F" w:rsidRPr="00B0479F" w:rsidRDefault="00B0479F" w:rsidP="00B0479F">
      <w:pPr>
        <w:pStyle w:val="EndNoteBibliography"/>
      </w:pPr>
      <w:r w:rsidRPr="00B0479F">
        <w:t xml:space="preserve">Aungsumart, S &amp; Apiwattanakul, M 2020, 'Cost effectiveness of rituximab and mycophenolate mofetil for neuromyelitis optica spectrum disorder in Thailand: Economic evaluation and budget impact analysis', </w:t>
      </w:r>
      <w:r w:rsidRPr="00B0479F">
        <w:rPr>
          <w:i/>
        </w:rPr>
        <w:t>PLoS ONE</w:t>
      </w:r>
      <w:r w:rsidRPr="00B0479F">
        <w:t>, vol. 15, no. 2, p. e0229028.</w:t>
      </w:r>
    </w:p>
    <w:p w14:paraId="5D7AC3ED" w14:textId="77777777" w:rsidR="00B0479F" w:rsidRPr="00B0479F" w:rsidRDefault="00B0479F" w:rsidP="00B0479F">
      <w:pPr>
        <w:pStyle w:val="EndNoteBibliography"/>
        <w:spacing w:after="0"/>
      </w:pPr>
    </w:p>
    <w:p w14:paraId="3051D12F" w14:textId="77777777" w:rsidR="00B0479F" w:rsidRPr="00B0479F" w:rsidRDefault="00B0479F" w:rsidP="00B0479F">
      <w:pPr>
        <w:pStyle w:val="EndNoteBibliography"/>
      </w:pPr>
      <w:r w:rsidRPr="00B0479F">
        <w:t>Australian Bureau of Statistics 2018, '3222.0 Population Projections, Australia, 2017 (base) – 2066', in ABS (ed.)Canberra.</w:t>
      </w:r>
    </w:p>
    <w:p w14:paraId="2BCBCFAE" w14:textId="77777777" w:rsidR="00B0479F" w:rsidRPr="00B0479F" w:rsidRDefault="00B0479F" w:rsidP="00B0479F">
      <w:pPr>
        <w:pStyle w:val="EndNoteBibliography"/>
        <w:spacing w:after="0"/>
      </w:pPr>
    </w:p>
    <w:p w14:paraId="52BC22A3" w14:textId="77777777" w:rsidR="00B0479F" w:rsidRPr="00B0479F" w:rsidRDefault="00B0479F" w:rsidP="00B0479F">
      <w:pPr>
        <w:pStyle w:val="EndNoteBibliography"/>
      </w:pPr>
      <w:r w:rsidRPr="00B0479F">
        <w:t xml:space="preserve">Beekman, J, Keisler, A, Pedraza, O, Haramura, M, Gianella-Borradori, A, Katz, E, Ratchford, JN, Barron, G, Cook, LJ, Behne, JM, Blaschke, TF, Smith, TJ &amp; Yeaman, MR 2019, 'Neuromyelitis optica spectrum disorder: Patient experience and quality of life', </w:t>
      </w:r>
      <w:r w:rsidRPr="00B0479F">
        <w:rPr>
          <w:i/>
        </w:rPr>
        <w:t>Neurology: Neuroimmunology and NeuroInflammation</w:t>
      </w:r>
      <w:r w:rsidRPr="00B0479F">
        <w:t>, vol. 6, no. 4, pp. 1-13.</w:t>
      </w:r>
    </w:p>
    <w:p w14:paraId="3A029B9A" w14:textId="77777777" w:rsidR="00B0479F" w:rsidRPr="00B0479F" w:rsidRDefault="00B0479F" w:rsidP="00B0479F">
      <w:pPr>
        <w:pStyle w:val="EndNoteBibliography"/>
        <w:spacing w:after="0"/>
      </w:pPr>
    </w:p>
    <w:p w14:paraId="693FC3EE" w14:textId="77777777" w:rsidR="00B0479F" w:rsidRPr="00B0479F" w:rsidRDefault="00B0479F" w:rsidP="00B0479F">
      <w:pPr>
        <w:pStyle w:val="EndNoteBibliography"/>
      </w:pPr>
      <w:r w:rsidRPr="00B0479F">
        <w:t xml:space="preserve">Bichuetti, DB, Perin, MMDM, Souza, NAD &amp; Oliveira, EMLD 2019, 'Treating neuromyelitis optica with azathioprine: 20-year clinical practice', </w:t>
      </w:r>
      <w:r w:rsidRPr="00B0479F">
        <w:rPr>
          <w:i/>
        </w:rPr>
        <w:t>Multiple Sclerosis Journal</w:t>
      </w:r>
      <w:r w:rsidRPr="00B0479F">
        <w:t>, vol. 25, no. 8, pp. 1150-1161.</w:t>
      </w:r>
    </w:p>
    <w:p w14:paraId="681CE82B" w14:textId="77777777" w:rsidR="00B0479F" w:rsidRPr="00B0479F" w:rsidRDefault="00B0479F" w:rsidP="00B0479F">
      <w:pPr>
        <w:pStyle w:val="EndNoteBibliography"/>
        <w:spacing w:after="0"/>
      </w:pPr>
    </w:p>
    <w:p w14:paraId="65C15D33" w14:textId="77777777" w:rsidR="00B0479F" w:rsidRPr="00B0479F" w:rsidRDefault="00B0479F" w:rsidP="00B0479F">
      <w:pPr>
        <w:pStyle w:val="EndNoteBibliography"/>
      </w:pPr>
      <w:r w:rsidRPr="00B0479F">
        <w:t xml:space="preserve">Bonnan, M, Valentino, R, Debeugny, S, Merle, H, Ferge, JL, Mehdaoui, H &amp; Cabre, P 2018, 'Short delay to initiate plasma exchange is the strongest predictor of outcome in severe attacks of NMO spectrum disorders', </w:t>
      </w:r>
      <w:r w:rsidRPr="00B0479F">
        <w:rPr>
          <w:i/>
        </w:rPr>
        <w:t>J Neurol Neurosurg Psychiatry</w:t>
      </w:r>
      <w:r w:rsidRPr="00B0479F">
        <w:t>, vol. 89, no. 4, Apr, pp. 346-351.</w:t>
      </w:r>
    </w:p>
    <w:p w14:paraId="09116C6A" w14:textId="77777777" w:rsidR="00B0479F" w:rsidRPr="00B0479F" w:rsidRDefault="00B0479F" w:rsidP="00B0479F">
      <w:pPr>
        <w:pStyle w:val="EndNoteBibliography"/>
        <w:spacing w:after="0"/>
      </w:pPr>
    </w:p>
    <w:p w14:paraId="42981CA8" w14:textId="77777777" w:rsidR="00B0479F" w:rsidRPr="00B0479F" w:rsidRDefault="00B0479F" w:rsidP="00B0479F">
      <w:pPr>
        <w:pStyle w:val="EndNoteBibliography"/>
      </w:pPr>
      <w:r w:rsidRPr="00B0479F">
        <w:t xml:space="preserve">Bonnan, M, Valentino, R, Olindo, S, Mehdaoui, H, Smadja, D &amp; Cabre, P 2009, 'Plasma exchange in severe spinal attacks associated with neuromyelitis optica spectrum disorder', </w:t>
      </w:r>
      <w:r w:rsidRPr="00B0479F">
        <w:rPr>
          <w:i/>
        </w:rPr>
        <w:t>Mult Scler</w:t>
      </w:r>
      <w:r w:rsidRPr="00B0479F">
        <w:t>, vol. 15, no. 4, Apr, pp. 487-492.</w:t>
      </w:r>
    </w:p>
    <w:p w14:paraId="191E8E1D" w14:textId="77777777" w:rsidR="00B0479F" w:rsidRPr="00B0479F" w:rsidRDefault="00B0479F" w:rsidP="00B0479F">
      <w:pPr>
        <w:pStyle w:val="EndNoteBibliography"/>
        <w:spacing w:after="0"/>
      </w:pPr>
    </w:p>
    <w:p w14:paraId="194567DE" w14:textId="77777777" w:rsidR="00B0479F" w:rsidRPr="00B0479F" w:rsidRDefault="00B0479F" w:rsidP="00B0479F">
      <w:pPr>
        <w:pStyle w:val="EndNoteBibliography"/>
      </w:pPr>
      <w:r w:rsidRPr="00B0479F">
        <w:lastRenderedPageBreak/>
        <w:t xml:space="preserve">Borisow, N, Mori, M, Kuwabara, S, Scheel, M &amp; Paul, F 2018, 'Diagnosis and Treatment of NMO Spectrum Disorder and MOG-Encephalomyelitis', </w:t>
      </w:r>
      <w:r w:rsidRPr="00B0479F">
        <w:rPr>
          <w:i/>
        </w:rPr>
        <w:t>Frontiers in neurology</w:t>
      </w:r>
      <w:r w:rsidRPr="00B0479F">
        <w:t>, vol. 9, pp. 1-15.</w:t>
      </w:r>
    </w:p>
    <w:p w14:paraId="3E7ECD5F" w14:textId="77777777" w:rsidR="00B0479F" w:rsidRPr="00B0479F" w:rsidRDefault="00B0479F" w:rsidP="00B0479F">
      <w:pPr>
        <w:pStyle w:val="EndNoteBibliography"/>
        <w:spacing w:after="0"/>
      </w:pPr>
    </w:p>
    <w:p w14:paraId="0DB255E5" w14:textId="77777777" w:rsidR="00B0479F" w:rsidRPr="00B0479F" w:rsidRDefault="00B0479F" w:rsidP="00B0479F">
      <w:pPr>
        <w:pStyle w:val="EndNoteBibliography"/>
      </w:pPr>
      <w:r w:rsidRPr="00B0479F">
        <w:t xml:space="preserve">Bouzar, M, Daoudi, S, Hattab, S, Bouzar, AA, Deiva, K, Wildemann, B, Reindl, M &amp; Jarius, S 2017, 'Neuromyelitis optica spectrum disorders with antibodies to myelin oligodendrocyte glycoprotein or aquaporin-4: Clinical and paraclinical characteristics in Algerian patients', </w:t>
      </w:r>
      <w:r w:rsidRPr="00B0479F">
        <w:rPr>
          <w:i/>
        </w:rPr>
        <w:t>J Neurol Sci</w:t>
      </w:r>
      <w:r w:rsidRPr="00B0479F">
        <w:t>, vol. 381, Oct 15, pp. 240-244.</w:t>
      </w:r>
    </w:p>
    <w:p w14:paraId="4A6AA4DD" w14:textId="77777777" w:rsidR="00B0479F" w:rsidRPr="00B0479F" w:rsidRDefault="00B0479F" w:rsidP="00B0479F">
      <w:pPr>
        <w:pStyle w:val="EndNoteBibliography"/>
        <w:spacing w:after="0"/>
      </w:pPr>
    </w:p>
    <w:p w14:paraId="2FEF2667" w14:textId="77777777" w:rsidR="00B0479F" w:rsidRPr="00B0479F" w:rsidRDefault="00B0479F" w:rsidP="00B0479F">
      <w:pPr>
        <w:pStyle w:val="EndNoteBibliography"/>
      </w:pPr>
      <w:r w:rsidRPr="00B0479F">
        <w:t xml:space="preserve">Broadley, SA 2017, 'NMOSD relapses: An analysis of 328 episodes in 75 cases', </w:t>
      </w:r>
      <w:r w:rsidRPr="00B0479F">
        <w:rPr>
          <w:i/>
        </w:rPr>
        <w:t>Multiple Sclerosis Journal</w:t>
      </w:r>
      <w:r w:rsidRPr="00B0479F">
        <w:t>, vol. 23, no. 3, pp. 100-101.</w:t>
      </w:r>
    </w:p>
    <w:p w14:paraId="2E9C637A" w14:textId="77777777" w:rsidR="00B0479F" w:rsidRPr="00B0479F" w:rsidRDefault="00B0479F" w:rsidP="00B0479F">
      <w:pPr>
        <w:pStyle w:val="EndNoteBibliography"/>
        <w:spacing w:after="0"/>
      </w:pPr>
    </w:p>
    <w:p w14:paraId="44893991" w14:textId="77777777" w:rsidR="00B0479F" w:rsidRPr="00B0479F" w:rsidRDefault="00B0479F" w:rsidP="00B0479F">
      <w:pPr>
        <w:pStyle w:val="EndNoteBibliography"/>
      </w:pPr>
      <w:r w:rsidRPr="00B0479F">
        <w:t xml:space="preserve">Bruscolini, A, Sacchetti, M, La Cava, M, Gharbiya, M, Ralli, M, Lambiase, A, De Virgilio, A &amp; Greco, A 2018, 'Diagnosis and management of neuromyelitis optica spectrum disorders - An update', </w:t>
      </w:r>
      <w:r w:rsidRPr="00B0479F">
        <w:rPr>
          <w:i/>
        </w:rPr>
        <w:t>Autoimmun Rev</w:t>
      </w:r>
      <w:r w:rsidRPr="00B0479F">
        <w:t>, vol. 17, no. 3, Mar, pp. 195-200.</w:t>
      </w:r>
    </w:p>
    <w:p w14:paraId="3CE8B0BB" w14:textId="77777777" w:rsidR="00B0479F" w:rsidRPr="00B0479F" w:rsidRDefault="00B0479F" w:rsidP="00B0479F">
      <w:pPr>
        <w:pStyle w:val="EndNoteBibliography"/>
        <w:spacing w:after="0"/>
      </w:pPr>
    </w:p>
    <w:p w14:paraId="6BF54061" w14:textId="77777777" w:rsidR="00B0479F" w:rsidRPr="00B0479F" w:rsidRDefault="00B0479F" w:rsidP="00B0479F">
      <w:pPr>
        <w:pStyle w:val="EndNoteBibliography"/>
      </w:pPr>
      <w:r w:rsidRPr="00B0479F">
        <w:t xml:space="preserve">Bukhari, W, Clarke, L, O'Gorman, C, Khalilidehkordi, E, Arnett, S, Prain, KM, Woodhall, M, Silvestrini, R, Bundell, CS, Ramanathan, S, Abernethy, D, Bhuta, S, Blum, S, Boggild, M, Boundy, K, Brew, BJ, Brownlee, W, Butzkueven, H, Carroll, WM, Chen, C, Coulthard, A, Dale, RC, Das, C, Dear, K, Fabis-Pedrini, MJ, Fulcher, D, Gillis, D, Hawke, S, Heard, R, Henderson, APD, Heshmat, S, Hodgkinson, S, Jimenez-Sanchez, S, Kilpatrick, TJ, King, J, Kneebone, C, Kornberg, AJ, Lechner-Scott, J, Lin, MW, Lynch, C, Macdonnell, RAL, Mason, DF, McCombe, PA, Pereira, J, Pollard, JD, Reddel, SW, Shaw, C, Spies, J, Stankovich, J, Sutton, I, Vucic, S, Walsh, M, Wong, RC, Yiu, EM, Barnett, MH, Kermode, AG, Marriott, MP, Parratt, J, Slee, M, Taylor, BV, Willoughby, E, Wilson, RJ, Brilot, F, Vincent, A, Waters, P &amp; Broadley, SA 2020, 'The clinical profile of NMOSD in Australia and New Zealand', </w:t>
      </w:r>
      <w:r w:rsidRPr="00B0479F">
        <w:rPr>
          <w:i/>
        </w:rPr>
        <w:t>J Neurol</w:t>
      </w:r>
      <w:r w:rsidRPr="00B0479F">
        <w:t>, Jan 31.</w:t>
      </w:r>
    </w:p>
    <w:p w14:paraId="1E550506" w14:textId="77777777" w:rsidR="00B0479F" w:rsidRPr="00B0479F" w:rsidRDefault="00B0479F" w:rsidP="00B0479F">
      <w:pPr>
        <w:pStyle w:val="EndNoteBibliography"/>
        <w:spacing w:after="0"/>
      </w:pPr>
    </w:p>
    <w:p w14:paraId="34CC605F" w14:textId="77777777" w:rsidR="00B0479F" w:rsidRPr="00B0479F" w:rsidRDefault="00B0479F" w:rsidP="00B0479F">
      <w:pPr>
        <w:pStyle w:val="EndNoteBibliography"/>
      </w:pPr>
      <w:r w:rsidRPr="00B0479F">
        <w:t xml:space="preserve">Bukhari, W, Prain, KM, Waters, P, Woodhall, M, O'Gorman, CM, Clarke, L, Silvestrini, RA, Bundell, CS, Abernethy, D, Bhuta, S, Blum, S, Boggild, M, Boundy, K, Brew, BJ, Brown, M, Brownlee, WJ, Butzkueven, H, Carroll, WM, Chen, C, Coulthard, A, Dale, RC, Das, C, Dear, K, Fabis-Pedrini, MJ, Fulcher, D, Gillis, D, Hawke, S, Heard, R, Henderson, APD, Heshmat, S, Hodgkinson, S, Jimenez-Sanchez, S, Killpatrick, T, King, J, Kneebone, C, Kornberg, AJ, Lechner-Scott, J, Lin, MW, Lynch, C, Macdonell, R, Mason, DF, McCombe, PA, Pender, MP, Pereira, JA, Pollard, JD, Reddel, SW, Shaw, C, Spies, J, Stankovich, J, Sutton, I, Vucic, S, Walsh, M, Wong, RC, Yiu, EM, Barnett, MH, Kermode, AG, Marriott, MP, Parratt, JDE, Slee, M, Taylor, BV, Willoughby, E, Wilson, RJ, Vincent, A &amp; Broadley, SA 2017, 'Incidence and prevalence of NMOSD in Australia and New Zealand', </w:t>
      </w:r>
      <w:r w:rsidRPr="00B0479F">
        <w:rPr>
          <w:i/>
        </w:rPr>
        <w:t>J Neurol Neurosurg Psychiatry</w:t>
      </w:r>
      <w:r w:rsidRPr="00B0479F">
        <w:t>, vol. 88, no. 8, Aug, pp. 632-638.</w:t>
      </w:r>
    </w:p>
    <w:p w14:paraId="6CA17980" w14:textId="77777777" w:rsidR="00B0479F" w:rsidRPr="00B0479F" w:rsidRDefault="00B0479F" w:rsidP="00B0479F">
      <w:pPr>
        <w:pStyle w:val="EndNoteBibliography"/>
        <w:spacing w:after="0"/>
      </w:pPr>
    </w:p>
    <w:p w14:paraId="3E1F0865" w14:textId="77777777" w:rsidR="00B0479F" w:rsidRPr="00B0479F" w:rsidRDefault="00B0479F" w:rsidP="00B0479F">
      <w:pPr>
        <w:pStyle w:val="EndNoteBibliography"/>
      </w:pPr>
      <w:r w:rsidRPr="00B0479F">
        <w:t xml:space="preserve">Chanson, JB, Zéphir, H, Collongues, N, Outteryck, O, Blanc, F, Fleury, M, Vermersch, P &amp; e Seze, J 2011, 'Evaluation of health-related quality of life, fatigue and depression in neuromyelitis optica', </w:t>
      </w:r>
      <w:r w:rsidRPr="00B0479F">
        <w:rPr>
          <w:i/>
        </w:rPr>
        <w:t>European Journal of Neurology</w:t>
      </w:r>
      <w:r w:rsidRPr="00B0479F">
        <w:t>, vol. 18, no. 6, pp. 836-841.</w:t>
      </w:r>
    </w:p>
    <w:p w14:paraId="437D5822" w14:textId="77777777" w:rsidR="00B0479F" w:rsidRPr="00B0479F" w:rsidRDefault="00B0479F" w:rsidP="00B0479F">
      <w:pPr>
        <w:pStyle w:val="EndNoteBibliography"/>
        <w:spacing w:after="0"/>
      </w:pPr>
    </w:p>
    <w:p w14:paraId="7BCD7AF3" w14:textId="77777777" w:rsidR="00B0479F" w:rsidRPr="00B0479F" w:rsidRDefault="00B0479F" w:rsidP="00B0479F">
      <w:pPr>
        <w:pStyle w:val="EndNoteBibliography"/>
      </w:pPr>
      <w:r w:rsidRPr="00B0479F">
        <w:t xml:space="preserve">Chen, B, Wu, Q, Ke, G &amp; Bu, B 2017, 'Efficacy and safety of tacrolimus treatment for neuromyelitis optica spectrum disorder', </w:t>
      </w:r>
      <w:r w:rsidRPr="00B0479F">
        <w:rPr>
          <w:i/>
        </w:rPr>
        <w:t>Sci Rep</w:t>
      </w:r>
      <w:r w:rsidRPr="00B0479F">
        <w:t>, vol. 7, no. 1, Apr 11, pp. 1-8.</w:t>
      </w:r>
    </w:p>
    <w:p w14:paraId="3DC59CFC" w14:textId="77777777" w:rsidR="00B0479F" w:rsidRPr="00B0479F" w:rsidRDefault="00B0479F" w:rsidP="00B0479F">
      <w:pPr>
        <w:pStyle w:val="EndNoteBibliography"/>
        <w:spacing w:after="0"/>
      </w:pPr>
    </w:p>
    <w:p w14:paraId="6C164D16" w14:textId="77777777" w:rsidR="00B0479F" w:rsidRPr="00B0479F" w:rsidRDefault="00B0479F" w:rsidP="00B0479F">
      <w:pPr>
        <w:pStyle w:val="EndNoteBibliography"/>
      </w:pPr>
      <w:r w:rsidRPr="00B0479F">
        <w:t xml:space="preserve">Chen, Q, Zhao, G, Huang, Y, Li, Z, Sun, X, Lu, P, San, Y, Wang, M &amp; Tian, G 2018, 'Clinical Characteristics of Pediatric Optic Neuritis With Myelin Oligodendrocyte Glycoprotein Seropositive: A Cohort Study', </w:t>
      </w:r>
      <w:r w:rsidRPr="00B0479F">
        <w:rPr>
          <w:i/>
        </w:rPr>
        <w:t>Pediatr Neurol</w:t>
      </w:r>
      <w:r w:rsidRPr="00B0479F">
        <w:t>, vol. 83, Jun, pp. 42-49.</w:t>
      </w:r>
    </w:p>
    <w:p w14:paraId="1E988F78" w14:textId="77777777" w:rsidR="00B0479F" w:rsidRPr="00B0479F" w:rsidRDefault="00B0479F" w:rsidP="00B0479F">
      <w:pPr>
        <w:pStyle w:val="EndNoteBibliography"/>
        <w:spacing w:after="0"/>
      </w:pPr>
    </w:p>
    <w:p w14:paraId="0ED95DE3" w14:textId="77777777" w:rsidR="00B0479F" w:rsidRPr="00B0479F" w:rsidRDefault="00B0479F" w:rsidP="00B0479F">
      <w:pPr>
        <w:pStyle w:val="EndNoteBibliography"/>
      </w:pPr>
      <w:r w:rsidRPr="00B0479F">
        <w:t xml:space="preserve">Cheng, C, Jiang, Y, Lu, X, Gu, F, Kang, Z, Dai, Y, Lu, Z &amp; Hu, X 2016, 'The role of anti-aquaporin 4 antibody in the conversion of acute brainstem syndrome to neuromyelitis optica', </w:t>
      </w:r>
      <w:r w:rsidRPr="00B0479F">
        <w:rPr>
          <w:i/>
        </w:rPr>
        <w:t>BMC Neurol</w:t>
      </w:r>
      <w:r w:rsidRPr="00B0479F">
        <w:t>, vol. 16, no. 1, Oct 21, p. 203.</w:t>
      </w:r>
    </w:p>
    <w:p w14:paraId="6F1C756D" w14:textId="77777777" w:rsidR="00B0479F" w:rsidRPr="00B0479F" w:rsidRDefault="00B0479F" w:rsidP="00B0479F">
      <w:pPr>
        <w:pStyle w:val="EndNoteBibliography"/>
        <w:spacing w:after="0"/>
      </w:pPr>
    </w:p>
    <w:p w14:paraId="037C089D" w14:textId="77777777" w:rsidR="00B0479F" w:rsidRPr="00B0479F" w:rsidRDefault="00B0479F" w:rsidP="00B0479F">
      <w:pPr>
        <w:pStyle w:val="EndNoteBibliography"/>
      </w:pPr>
      <w:r w:rsidRPr="00B0479F">
        <w:t xml:space="preserve">Cobo-Calvo, A, Sepulveda, M, Bernard-Valnet, R, Ruiz, A, Brassat, D, Martinez-Yelamos, S, Saiz, A &amp; Marignier, R 2016, 'Antibodies to myelin oligodendrocyte glycoprotein in aquaporin 4 antibody seronegative longitudinally extensive transverse myelitis: clinical and prognostic implications', </w:t>
      </w:r>
      <w:r w:rsidRPr="00B0479F">
        <w:rPr>
          <w:i/>
        </w:rPr>
        <w:t>Multiple Sclerosis Journal</w:t>
      </w:r>
      <w:r w:rsidRPr="00B0479F">
        <w:t>, vol. 22, no. 3, pp. 312‐319.</w:t>
      </w:r>
    </w:p>
    <w:p w14:paraId="1FFBB892" w14:textId="77777777" w:rsidR="00B0479F" w:rsidRPr="00B0479F" w:rsidRDefault="00B0479F" w:rsidP="00B0479F">
      <w:pPr>
        <w:pStyle w:val="EndNoteBibliography"/>
        <w:spacing w:after="0"/>
      </w:pPr>
    </w:p>
    <w:p w14:paraId="1A8CCBB0" w14:textId="77777777" w:rsidR="00B0479F" w:rsidRPr="00B0479F" w:rsidRDefault="00B0479F" w:rsidP="00B0479F">
      <w:pPr>
        <w:pStyle w:val="EndNoteBibliography"/>
      </w:pPr>
      <w:r w:rsidRPr="00B0479F">
        <w:t xml:space="preserve">Collazo, IM, Weinshenker, B, Nasr, Z &amp; Lopez, A 2018, 'Long term Mortality in Neuromyelitis Optica Spectrum Disorder (P6.414)', </w:t>
      </w:r>
      <w:r w:rsidRPr="00B0479F">
        <w:rPr>
          <w:i/>
        </w:rPr>
        <w:t>Neurology</w:t>
      </w:r>
      <w:r w:rsidRPr="00B0479F">
        <w:t>, vol. 90, no. 15 Supplement, p. P6.414.</w:t>
      </w:r>
    </w:p>
    <w:p w14:paraId="0892EFC1" w14:textId="77777777" w:rsidR="00B0479F" w:rsidRPr="00B0479F" w:rsidRDefault="00B0479F" w:rsidP="00B0479F">
      <w:pPr>
        <w:pStyle w:val="EndNoteBibliography"/>
        <w:spacing w:after="0"/>
      </w:pPr>
    </w:p>
    <w:p w14:paraId="5544C2B5" w14:textId="77777777" w:rsidR="00B0479F" w:rsidRPr="00B0479F" w:rsidRDefault="00B0479F" w:rsidP="00B0479F">
      <w:pPr>
        <w:pStyle w:val="EndNoteBibliography"/>
      </w:pPr>
      <w:r w:rsidRPr="00B0479F">
        <w:t xml:space="preserve">Contentti, CE, Hryb, JP, Morales, S, Gomez, A, Chiganer, E, Di Pace, JL, Lessa, C &amp; Perassolo, M 2017, 'Longitudinally extensive transverse myelitis immune-mediated in aquaporin-4 antibody negative patients: Disease heterogeneity', </w:t>
      </w:r>
      <w:r w:rsidRPr="00B0479F">
        <w:rPr>
          <w:i/>
        </w:rPr>
        <w:t>J Neurol Sci</w:t>
      </w:r>
      <w:r w:rsidRPr="00B0479F">
        <w:t>, vol. 373, Feb 15, pp. 134-137.</w:t>
      </w:r>
    </w:p>
    <w:p w14:paraId="5AC72C0C" w14:textId="77777777" w:rsidR="00B0479F" w:rsidRPr="00B0479F" w:rsidRDefault="00B0479F" w:rsidP="00B0479F">
      <w:pPr>
        <w:pStyle w:val="EndNoteBibliography"/>
        <w:spacing w:after="0"/>
      </w:pPr>
    </w:p>
    <w:p w14:paraId="7C73C11A" w14:textId="77777777" w:rsidR="00B0479F" w:rsidRPr="00B0479F" w:rsidRDefault="00B0479F" w:rsidP="00B0479F">
      <w:pPr>
        <w:pStyle w:val="EndNoteBibliography"/>
      </w:pPr>
      <w:r w:rsidRPr="00B0479F">
        <w:t xml:space="preserve">Contentti, EC, De Virgiliis, M, Hryb, JP, Gomez, A, Morales, S, Celso, J, Leguizamón, F, Chiganer, E, Di Pace, JL, Lessa, C &amp; Perassolo, M 2019, 'Aquaporin-4 Serostatus and Visual Outcomes in Clinically Isolated Acute Optic Neuritis', </w:t>
      </w:r>
      <w:r w:rsidRPr="00B0479F">
        <w:rPr>
          <w:i/>
        </w:rPr>
        <w:t>Journal of Neuro-Ophthalmology</w:t>
      </w:r>
      <w:r w:rsidRPr="00B0479F">
        <w:t>, vol. 39, no. 2, pp. 165-169.</w:t>
      </w:r>
    </w:p>
    <w:p w14:paraId="1E614393" w14:textId="77777777" w:rsidR="00B0479F" w:rsidRPr="00B0479F" w:rsidRDefault="00B0479F" w:rsidP="00B0479F">
      <w:pPr>
        <w:pStyle w:val="EndNoteBibliography"/>
        <w:spacing w:after="0"/>
      </w:pPr>
    </w:p>
    <w:p w14:paraId="21485B19" w14:textId="77777777" w:rsidR="00B0479F" w:rsidRPr="00B0479F" w:rsidRDefault="00B0479F" w:rsidP="00B0479F">
      <w:pPr>
        <w:pStyle w:val="EndNoteBibliography"/>
      </w:pPr>
      <w:r w:rsidRPr="00B0479F">
        <w:t xml:space="preserve">Dahan, A, Brilot, F, Leventer, R, Kornberg, AJ, Dale, RC &amp; Yiu, EM 2020, 'Neuromyelitis Optica Spectrum Disorder and Anti-Aquaporin 4 Channel Immunoglobulin in an Australian Pediatric Demyelination Cohort', </w:t>
      </w:r>
      <w:r w:rsidRPr="00B0479F">
        <w:rPr>
          <w:i/>
        </w:rPr>
        <w:t>J Child Neurol</w:t>
      </w:r>
      <w:r w:rsidRPr="00B0479F">
        <w:t>, vol. 35, no. 4, Mar, pp. 291-296.</w:t>
      </w:r>
    </w:p>
    <w:p w14:paraId="5741CBDD" w14:textId="77777777" w:rsidR="00B0479F" w:rsidRPr="00B0479F" w:rsidRDefault="00B0479F" w:rsidP="00B0479F">
      <w:pPr>
        <w:pStyle w:val="EndNoteBibliography"/>
        <w:spacing w:after="0"/>
      </w:pPr>
    </w:p>
    <w:p w14:paraId="562D3172" w14:textId="77777777" w:rsidR="00B0479F" w:rsidRPr="00B0479F" w:rsidRDefault="00B0479F" w:rsidP="00B0479F">
      <w:pPr>
        <w:pStyle w:val="EndNoteBibliography"/>
      </w:pPr>
      <w:r w:rsidRPr="00B0479F">
        <w:t xml:space="preserve">Dos Passos, GR, Oliveira, LM, da Costa, BK, Apostolos-Pereira, SL, Callegaro, D, Fujihara, K &amp; Sato, DK 2018, 'MOG-IgG-Associated Optic Neuritis, Encephalitis, and Myelitis: Lessons Learned From Neuromyelitis Optica Spectrum Disorder', </w:t>
      </w:r>
      <w:r w:rsidRPr="00B0479F">
        <w:rPr>
          <w:i/>
        </w:rPr>
        <w:t>Frontiers in neurology</w:t>
      </w:r>
      <w:r w:rsidRPr="00B0479F">
        <w:t>, vol. 9, pp. 217-217.</w:t>
      </w:r>
    </w:p>
    <w:p w14:paraId="7D01B0CE" w14:textId="77777777" w:rsidR="00B0479F" w:rsidRPr="00B0479F" w:rsidRDefault="00B0479F" w:rsidP="00B0479F">
      <w:pPr>
        <w:pStyle w:val="EndNoteBibliography"/>
        <w:spacing w:after="0"/>
      </w:pPr>
    </w:p>
    <w:p w14:paraId="4E640B65" w14:textId="77777777" w:rsidR="00B0479F" w:rsidRPr="00B0479F" w:rsidRDefault="00B0479F" w:rsidP="00B0479F">
      <w:pPr>
        <w:pStyle w:val="EndNoteBibliography"/>
      </w:pPr>
      <w:r w:rsidRPr="00B0479F">
        <w:t xml:space="preserve">Drulovic, J, Martinovic, V, Basuroski, ID, Mesaros, S, Mader, S, Weinshenker, B &amp; Pekmezovic, T 2019, 'Long-term outcome and prognosis in patients with neuromyelitis optica spectrum disorder from Serbia', </w:t>
      </w:r>
      <w:r w:rsidRPr="00B0479F">
        <w:rPr>
          <w:i/>
        </w:rPr>
        <w:t>Multiple Sclerosis and Related Disorders</w:t>
      </w:r>
      <w:r w:rsidRPr="00B0479F">
        <w:t>, vol. 36.</w:t>
      </w:r>
    </w:p>
    <w:p w14:paraId="38E6A783" w14:textId="77777777" w:rsidR="00B0479F" w:rsidRPr="00B0479F" w:rsidRDefault="00B0479F" w:rsidP="00B0479F">
      <w:pPr>
        <w:pStyle w:val="EndNoteBibliography"/>
        <w:spacing w:after="0"/>
      </w:pPr>
    </w:p>
    <w:p w14:paraId="08170B3C" w14:textId="77777777" w:rsidR="00B0479F" w:rsidRPr="00B0479F" w:rsidRDefault="00B0479F" w:rsidP="00B0479F">
      <w:pPr>
        <w:pStyle w:val="EndNoteBibliography"/>
      </w:pPr>
      <w:r w:rsidRPr="00B0479F">
        <w:t xml:space="preserve">Duignan, S, Wright, S, Rossor, T, Cazabon, J, Gilmour, K, Ciccarelli, O, Wassmer, E, Lim, M, Hemingway, C &amp; Hacohen, Y 2018, 'Myelin oligodendrocyte glycoprotein and aquaporin-4 antibodies are highly specific in children with acquired demyelinating syndromes', </w:t>
      </w:r>
      <w:r w:rsidRPr="00B0479F">
        <w:rPr>
          <w:i/>
        </w:rPr>
        <w:t>Dev Med Child Neurol</w:t>
      </w:r>
      <w:r w:rsidRPr="00B0479F">
        <w:t>, vol. 60, no. 9, Sep, pp. 958-962.</w:t>
      </w:r>
    </w:p>
    <w:p w14:paraId="3D97920A" w14:textId="77777777" w:rsidR="00B0479F" w:rsidRPr="00B0479F" w:rsidRDefault="00B0479F" w:rsidP="00B0479F">
      <w:pPr>
        <w:pStyle w:val="EndNoteBibliography"/>
        <w:spacing w:after="0"/>
      </w:pPr>
    </w:p>
    <w:p w14:paraId="700F034D" w14:textId="77777777" w:rsidR="00B0479F" w:rsidRPr="00B0479F" w:rsidRDefault="00B0479F" w:rsidP="00B0479F">
      <w:pPr>
        <w:pStyle w:val="EndNoteBibliography"/>
      </w:pPr>
      <w:r w:rsidRPr="00B0479F">
        <w:t xml:space="preserve">Elsone, L, Kitley, J, Luppe, S, Lythgoe, D, Mutch, K, Jacob, S, Brown, R, Moss, K, McNeillis, B, Goh, YY, Leite, MI, Robertson, N, Palace, J &amp; Jacob, A 2014, 'Long-term efficacy, tolerability and retention rate of azathioprine in 103 aquaporin-4 antibody-positive neuromyelitis optica spectrum disorder patients: a multicentre retrospective observational study from the UK', </w:t>
      </w:r>
      <w:r w:rsidRPr="00B0479F">
        <w:rPr>
          <w:i/>
        </w:rPr>
        <w:t>Mult Scler</w:t>
      </w:r>
      <w:r w:rsidRPr="00B0479F">
        <w:t>, vol. 20, no. 11, Oct, pp. 1533-1540.</w:t>
      </w:r>
    </w:p>
    <w:p w14:paraId="646059C4" w14:textId="77777777" w:rsidR="00B0479F" w:rsidRPr="00B0479F" w:rsidRDefault="00B0479F" w:rsidP="00B0479F">
      <w:pPr>
        <w:pStyle w:val="EndNoteBibliography"/>
        <w:spacing w:after="0"/>
      </w:pPr>
    </w:p>
    <w:p w14:paraId="7AE8DD79" w14:textId="77777777" w:rsidR="00B0479F" w:rsidRPr="00B0479F" w:rsidRDefault="00B0479F" w:rsidP="00B0479F">
      <w:pPr>
        <w:pStyle w:val="EndNoteBibliography"/>
      </w:pPr>
      <w:r w:rsidRPr="00B0479F">
        <w:t xml:space="preserve">Fabis-Pedrini, MJ, Bundell, C, Wee, CK, Lucas, M, McLean-Tooke, A, Mastaglia, FL, Carroll, WM &amp; Kermode, AG 2018, 'Prevalence of anti-aquaporin 4 antibody in a diagnostic cohort of patients being </w:t>
      </w:r>
      <w:r w:rsidRPr="00B0479F">
        <w:lastRenderedPageBreak/>
        <w:t xml:space="preserve">investigated for possible neuromyelitis optica spectrum disorder in Western Australia', </w:t>
      </w:r>
      <w:r w:rsidRPr="00B0479F">
        <w:rPr>
          <w:i/>
        </w:rPr>
        <w:t>J Neuroimmunol</w:t>
      </w:r>
      <w:r w:rsidRPr="00B0479F">
        <w:t>, vol. 324, Nov 15, pp. 76-80.</w:t>
      </w:r>
    </w:p>
    <w:p w14:paraId="647B097C" w14:textId="77777777" w:rsidR="00B0479F" w:rsidRPr="00B0479F" w:rsidRDefault="00B0479F" w:rsidP="00B0479F">
      <w:pPr>
        <w:pStyle w:val="EndNoteBibliography"/>
        <w:spacing w:after="0"/>
      </w:pPr>
    </w:p>
    <w:p w14:paraId="7159AF0E" w14:textId="77777777" w:rsidR="00B0479F" w:rsidRPr="00B0479F" w:rsidRDefault="00B0479F" w:rsidP="00B0479F">
      <w:pPr>
        <w:pStyle w:val="EndNoteBibliography"/>
      </w:pPr>
      <w:r w:rsidRPr="00B0479F">
        <w:t xml:space="preserve">Fryer, JP, Lennon, VA, Pittock, SJ, Jenkins, SM, Fallier-Becker, P, Clardy, SL, Horta, E, Jedynak, EA, Lucchinetti, CF, Shuster, EA, Weinshenker, BG, Wingerchuk, DM &amp; McKeon, A 2014, 'AQP4 autoantibody assay performance in clinical laboratory service', </w:t>
      </w:r>
      <w:r w:rsidRPr="00B0479F">
        <w:rPr>
          <w:i/>
        </w:rPr>
        <w:t>Neurology: Neuroimmunology and NeuroInflammation</w:t>
      </w:r>
      <w:r w:rsidRPr="00B0479F">
        <w:t>, vol. 1, no. 1, pp. 1-8.</w:t>
      </w:r>
    </w:p>
    <w:p w14:paraId="743DA0BF" w14:textId="77777777" w:rsidR="00B0479F" w:rsidRPr="00B0479F" w:rsidRDefault="00B0479F" w:rsidP="00B0479F">
      <w:pPr>
        <w:pStyle w:val="EndNoteBibliography"/>
        <w:spacing w:after="0"/>
      </w:pPr>
    </w:p>
    <w:p w14:paraId="11C54A76" w14:textId="77777777" w:rsidR="00B0479F" w:rsidRPr="00B0479F" w:rsidRDefault="00B0479F" w:rsidP="00B0479F">
      <w:pPr>
        <w:pStyle w:val="EndNoteBibliography"/>
      </w:pPr>
      <w:r w:rsidRPr="00B0479F">
        <w:t xml:space="preserve">Gao, F, Chai, B, Gu, C, Wu, R, Dong, T, Yao, Y &amp; Zhang, Y 2019, 'Effectiveness of rituximab in neuromyelitis optica: a meta-analysis', </w:t>
      </w:r>
      <w:r w:rsidRPr="00B0479F">
        <w:rPr>
          <w:i/>
        </w:rPr>
        <w:t>BMC Neurol</w:t>
      </w:r>
      <w:r w:rsidRPr="00B0479F">
        <w:t>, vol. 19, no. 1, Mar 6, pp. 1-7.</w:t>
      </w:r>
    </w:p>
    <w:p w14:paraId="4CC22CE7" w14:textId="77777777" w:rsidR="00B0479F" w:rsidRPr="00B0479F" w:rsidRDefault="00B0479F" w:rsidP="00B0479F">
      <w:pPr>
        <w:pStyle w:val="EndNoteBibliography"/>
        <w:spacing w:after="0"/>
      </w:pPr>
    </w:p>
    <w:p w14:paraId="7E9A83C6" w14:textId="77777777" w:rsidR="00B0479F" w:rsidRPr="00B0479F" w:rsidRDefault="00B0479F" w:rsidP="00B0479F">
      <w:pPr>
        <w:pStyle w:val="EndNoteBibliography"/>
      </w:pPr>
      <w:r w:rsidRPr="00B0479F">
        <w:t xml:space="preserve">Guyatt, G, Oxman, AD, Akl, EA, Kunz, R, Vist, G, Brozek, J, Norris, S, Falck-Ytter, Y, Glasziou, P, DeBeer, H, Jaeschke, R, Rind, D, Meerpohl, J, Dahm, P &amp; Schunemann, HJ 2011, 'GRADE guidelines: 1. Introduction-GRADE evidence profiles and summary of findings tables', </w:t>
      </w:r>
      <w:r w:rsidRPr="00B0479F">
        <w:rPr>
          <w:i/>
        </w:rPr>
        <w:t>J Clin Epidemiol</w:t>
      </w:r>
      <w:r w:rsidRPr="00B0479F">
        <w:t>, vol. 64, no. 4, Apr, pp. 383-394.</w:t>
      </w:r>
    </w:p>
    <w:p w14:paraId="02FD6550" w14:textId="77777777" w:rsidR="00B0479F" w:rsidRPr="00B0479F" w:rsidRDefault="00B0479F" w:rsidP="00B0479F">
      <w:pPr>
        <w:pStyle w:val="EndNoteBibliography"/>
        <w:spacing w:after="0"/>
      </w:pPr>
    </w:p>
    <w:p w14:paraId="394CA358" w14:textId="77777777" w:rsidR="00B0479F" w:rsidRPr="00B0479F" w:rsidRDefault="00B0479F" w:rsidP="00B0479F">
      <w:pPr>
        <w:pStyle w:val="EndNoteBibliography"/>
      </w:pPr>
      <w:r w:rsidRPr="00B0479F">
        <w:t xml:space="preserve">Hacohen, Y, Mankad, K, Chong, WK, Barkhof, F, Vincent, A, Lim, M, Wassmer, E, Ciccarelli, O &amp; Hemingway, C 2017, 'Diagnostic algorithm for relapsing acquired demyelinating syndromes in children', </w:t>
      </w:r>
      <w:r w:rsidRPr="00B0479F">
        <w:rPr>
          <w:i/>
        </w:rPr>
        <w:t>Neurology</w:t>
      </w:r>
      <w:r w:rsidRPr="00B0479F">
        <w:t>, vol. 89, no. 3, Jul 18, pp. 269-278.</w:t>
      </w:r>
    </w:p>
    <w:p w14:paraId="7DC24AA8" w14:textId="77777777" w:rsidR="00B0479F" w:rsidRPr="00B0479F" w:rsidRDefault="00B0479F" w:rsidP="00B0479F">
      <w:pPr>
        <w:pStyle w:val="EndNoteBibliography"/>
        <w:spacing w:after="0"/>
      </w:pPr>
    </w:p>
    <w:p w14:paraId="6B6EC93C" w14:textId="77777777" w:rsidR="00B0479F" w:rsidRPr="00B0479F" w:rsidRDefault="00B0479F" w:rsidP="00B0479F">
      <w:pPr>
        <w:pStyle w:val="EndNoteBibliography"/>
      </w:pPr>
      <w:r w:rsidRPr="00B0479F">
        <w:t xml:space="preserve">Hamid, SHM, Whittam, D, Mutch, K, Linaker, S, Solomon, T, Das, K, Bhojak, M &amp; Jacob, A 2017, 'What proportion of AQP4-IgG-negative NMO spectrum disorder patients are MOG-IgG positive? A cross sectional study of 132 patients', </w:t>
      </w:r>
      <w:r w:rsidRPr="00B0479F">
        <w:rPr>
          <w:i/>
        </w:rPr>
        <w:t>J Neurol</w:t>
      </w:r>
      <w:r w:rsidRPr="00B0479F">
        <w:t>, vol. 264, no. 10, Oct, pp. 2088-2094.</w:t>
      </w:r>
    </w:p>
    <w:p w14:paraId="5010B4E7" w14:textId="77777777" w:rsidR="00B0479F" w:rsidRPr="00B0479F" w:rsidRDefault="00B0479F" w:rsidP="00B0479F">
      <w:pPr>
        <w:pStyle w:val="EndNoteBibliography"/>
        <w:spacing w:after="0"/>
      </w:pPr>
    </w:p>
    <w:p w14:paraId="3C3E07A2" w14:textId="77777777" w:rsidR="00B0479F" w:rsidRPr="00B0479F" w:rsidRDefault="00B0479F" w:rsidP="00B0479F">
      <w:pPr>
        <w:pStyle w:val="EndNoteBibliography"/>
      </w:pPr>
      <w:r w:rsidRPr="00B0479F">
        <w:t xml:space="preserve">Hennes, EM, Baumann, M, Schanda, K, Anlar, B, Bajer-Kornek, B, Blaschek, A, Brantner-Inthaler, S, Diepold, K, Eisenkolbl, A, Gotwald, T, Kuchukhidze, G, Gruber-Sedlmayr, U, Hausler, M, Hoftberger, R, Karenfort, M, Klein, A, Koch, J, Kraus, V, Lechner, C, Leiz, S, Leypoldt, F, Mader, S, Marquard, K, Poggenburg, I, Pohl, D, Pritsch, M, Raucherzauner, M, Schimmel, M, Thiels, C, Tibussek, D, Vieker, S, Zeches, C, Berger, T, Reindl, M &amp; Rostasy, K 2017, 'Prognostic relevance of MOG antibodies in children with an acquired demyelinating syndrome', </w:t>
      </w:r>
      <w:r w:rsidRPr="00B0479F">
        <w:rPr>
          <w:i/>
        </w:rPr>
        <w:t>Neurology</w:t>
      </w:r>
      <w:r w:rsidRPr="00B0479F">
        <w:t>, vol. 89, no. 9, Aug 29, pp. 900-908.</w:t>
      </w:r>
    </w:p>
    <w:p w14:paraId="4B92F35A" w14:textId="77777777" w:rsidR="00B0479F" w:rsidRPr="00B0479F" w:rsidRDefault="00B0479F" w:rsidP="00B0479F">
      <w:pPr>
        <w:pStyle w:val="EndNoteBibliography"/>
        <w:spacing w:after="0"/>
      </w:pPr>
    </w:p>
    <w:p w14:paraId="0E933F89" w14:textId="77777777" w:rsidR="00B0479F" w:rsidRPr="00B0479F" w:rsidRDefault="00B0479F" w:rsidP="00B0479F">
      <w:pPr>
        <w:pStyle w:val="EndNoteBibliography"/>
      </w:pPr>
      <w:r w:rsidRPr="00B0479F">
        <w:t xml:space="preserve">Houzen, H, Kondo, K, Niino, M, Horiuchi, K, Takahashi, T, Nakashima, I &amp; Tanaka, K 2017, 'Prevalence and clinical features of neuromyelitis optica spectrum disorders in northern Japan', </w:t>
      </w:r>
      <w:r w:rsidRPr="00B0479F">
        <w:rPr>
          <w:i/>
        </w:rPr>
        <w:t>Neurology</w:t>
      </w:r>
      <w:r w:rsidRPr="00B0479F">
        <w:t>, vol. 89, no. 19, Nov 7, pp. 1995-2001.</w:t>
      </w:r>
    </w:p>
    <w:p w14:paraId="107F80BB" w14:textId="77777777" w:rsidR="00B0479F" w:rsidRPr="00B0479F" w:rsidRDefault="00B0479F" w:rsidP="00B0479F">
      <w:pPr>
        <w:pStyle w:val="EndNoteBibliography"/>
        <w:spacing w:after="0"/>
      </w:pPr>
    </w:p>
    <w:p w14:paraId="00C476C9" w14:textId="77777777" w:rsidR="00B0479F" w:rsidRPr="00B0479F" w:rsidRDefault="00B0479F" w:rsidP="00B0479F">
      <w:pPr>
        <w:pStyle w:val="EndNoteBibliography"/>
      </w:pPr>
      <w:r w:rsidRPr="00B0479F">
        <w:t xml:space="preserve">Huang, Q, Wang, J, Zhou, Y, Yang, H, Wang, Z, Yan, Z, Long, Y, Yin, J, Feng, H, Li, C, Lu, Z, Hu, X &amp; Qiu, W 2018, 'Low-Dose Mycophenolate Mofetil for Treatment of Neuromyelitis Optica Spectrum Disorders: A Prospective Multicenter Study in South China', </w:t>
      </w:r>
      <w:r w:rsidRPr="00B0479F">
        <w:rPr>
          <w:i/>
        </w:rPr>
        <w:t>Front Immunol</w:t>
      </w:r>
      <w:r w:rsidRPr="00B0479F">
        <w:t>, vol. 9, pp. 1-8.</w:t>
      </w:r>
    </w:p>
    <w:p w14:paraId="056C5BFA" w14:textId="77777777" w:rsidR="00B0479F" w:rsidRPr="00B0479F" w:rsidRDefault="00B0479F" w:rsidP="00B0479F">
      <w:pPr>
        <w:pStyle w:val="EndNoteBibliography"/>
        <w:spacing w:after="0"/>
      </w:pPr>
    </w:p>
    <w:p w14:paraId="15570215" w14:textId="77777777" w:rsidR="00B0479F" w:rsidRPr="00B0479F" w:rsidRDefault="00B0479F" w:rsidP="00B0479F">
      <w:pPr>
        <w:pStyle w:val="EndNoteBibliography"/>
      </w:pPr>
      <w:r w:rsidRPr="00B0479F">
        <w:t xml:space="preserve">Hyun, JW, Jeong, IH, Joung, A, Kim, SH &amp; Kim, HJ 2016, 'Evaluation of the 2015 diagnostic criteria for neuromyelitis optica spectrum disorder', </w:t>
      </w:r>
      <w:r w:rsidRPr="00B0479F">
        <w:rPr>
          <w:i/>
        </w:rPr>
        <w:t>Neurology</w:t>
      </w:r>
      <w:r w:rsidRPr="00B0479F">
        <w:t>, vol. 86, no. 19, May 10, pp. 1772-1779.</w:t>
      </w:r>
    </w:p>
    <w:p w14:paraId="49A8E851" w14:textId="77777777" w:rsidR="00B0479F" w:rsidRPr="00B0479F" w:rsidRDefault="00B0479F" w:rsidP="00B0479F">
      <w:pPr>
        <w:pStyle w:val="EndNoteBibliography"/>
        <w:spacing w:after="0"/>
      </w:pPr>
    </w:p>
    <w:p w14:paraId="74EF5C61" w14:textId="77777777" w:rsidR="00B0479F" w:rsidRPr="00B0479F" w:rsidRDefault="00B0479F" w:rsidP="00B0479F">
      <w:pPr>
        <w:pStyle w:val="EndNoteBibliography"/>
      </w:pPr>
      <w:r w:rsidRPr="00B0479F">
        <w:t xml:space="preserve">Hyun, JW, Woodhall, MR, Kim, SH, Jeong, IH, Kong, B, Kim, G, Kim, Y, Park, MS, Irani, SR, Waters, P &amp; Kim, HJ 2017, 'Longitudinal analysis of myelin oligodendrocyte glycoprotein antibodies in CNS inflammatory diseases', </w:t>
      </w:r>
      <w:r w:rsidRPr="00B0479F">
        <w:rPr>
          <w:i/>
        </w:rPr>
        <w:t>J Neurol Neurosurg Psychiatry</w:t>
      </w:r>
      <w:r w:rsidRPr="00B0479F">
        <w:t>, vol. 88, no. 10, Oct, pp. 811-817.</w:t>
      </w:r>
    </w:p>
    <w:p w14:paraId="34B1A8D6" w14:textId="77777777" w:rsidR="00B0479F" w:rsidRPr="00B0479F" w:rsidRDefault="00B0479F" w:rsidP="00B0479F">
      <w:pPr>
        <w:pStyle w:val="EndNoteBibliography"/>
        <w:spacing w:after="0"/>
      </w:pPr>
    </w:p>
    <w:p w14:paraId="054313A9" w14:textId="1BFD5491" w:rsidR="00B0479F" w:rsidRPr="00B0479F" w:rsidRDefault="00B0479F" w:rsidP="00B0479F">
      <w:pPr>
        <w:pStyle w:val="EndNoteBibliography"/>
      </w:pPr>
      <w:r w:rsidRPr="00B0479F">
        <w:t xml:space="preserve">IHE 2016, </w:t>
      </w:r>
      <w:r w:rsidRPr="00B0479F">
        <w:rPr>
          <w:i/>
        </w:rPr>
        <w:t>Institute of Health Economics: Quality Appraisal of Case Series Studies Checklist</w:t>
      </w:r>
      <w:r w:rsidRPr="00B0479F">
        <w:t>, Edmonton (AB), &lt;</w:t>
      </w:r>
      <w:hyperlink r:id="rId84" w:history="1">
        <w:r w:rsidRPr="00B0479F">
          <w:rPr>
            <w:rStyle w:val="Hyperlink"/>
          </w:rPr>
          <w:t>http://www.ihe.ca/research-programs/rmd/cssqac/cssqac-about</w:t>
        </w:r>
      </w:hyperlink>
      <w:r w:rsidRPr="00B0479F">
        <w:t>&gt;.</w:t>
      </w:r>
    </w:p>
    <w:p w14:paraId="6EBECAC3" w14:textId="77777777" w:rsidR="00B0479F" w:rsidRPr="00B0479F" w:rsidRDefault="00B0479F" w:rsidP="00B0479F">
      <w:pPr>
        <w:pStyle w:val="EndNoteBibliography"/>
        <w:spacing w:after="0"/>
      </w:pPr>
    </w:p>
    <w:p w14:paraId="0B706360" w14:textId="77777777" w:rsidR="00B0479F" w:rsidRPr="00B0479F" w:rsidRDefault="00B0479F" w:rsidP="00B0479F">
      <w:pPr>
        <w:pStyle w:val="EndNoteBibliography"/>
      </w:pPr>
      <w:r w:rsidRPr="00B0479F">
        <w:t xml:space="preserve">Illes Z 2016, 'Neuromyelitis Optica (Devic's Disease): A New Concept for an Old Disease', in Somlai J &amp; Kovacs T (eds), </w:t>
      </w:r>
      <w:r w:rsidRPr="00B0479F">
        <w:rPr>
          <w:i/>
        </w:rPr>
        <w:t>Neuro-Opthalmology</w:t>
      </w:r>
      <w:r w:rsidRPr="00B0479F">
        <w:t>, Springer, Cham.</w:t>
      </w:r>
    </w:p>
    <w:p w14:paraId="4B0E416B" w14:textId="77777777" w:rsidR="00B0479F" w:rsidRPr="00B0479F" w:rsidRDefault="00B0479F" w:rsidP="00B0479F">
      <w:pPr>
        <w:pStyle w:val="EndNoteBibliography"/>
        <w:spacing w:after="0"/>
      </w:pPr>
    </w:p>
    <w:p w14:paraId="2A561E4D" w14:textId="77777777" w:rsidR="00B0479F" w:rsidRPr="00B0479F" w:rsidRDefault="00B0479F" w:rsidP="00B0479F">
      <w:pPr>
        <w:pStyle w:val="EndNoteBibliography"/>
      </w:pPr>
      <w:r w:rsidRPr="00B0479F">
        <w:t>Independent Hospital Pricing Authority 2020, 'National Hospital Cost Data Collection Report, Public Sector, Round 22 (Financial year 2017-18)'.</w:t>
      </w:r>
    </w:p>
    <w:p w14:paraId="416FD0EC" w14:textId="77777777" w:rsidR="00B0479F" w:rsidRPr="00B0479F" w:rsidRDefault="00B0479F" w:rsidP="00B0479F">
      <w:pPr>
        <w:pStyle w:val="EndNoteBibliography"/>
        <w:spacing w:after="0"/>
      </w:pPr>
    </w:p>
    <w:p w14:paraId="6C588D60" w14:textId="77777777" w:rsidR="00B0479F" w:rsidRPr="00B0479F" w:rsidRDefault="00B0479F" w:rsidP="00B0479F">
      <w:pPr>
        <w:pStyle w:val="EndNoteBibliography"/>
      </w:pPr>
      <w:r w:rsidRPr="00B0479F">
        <w:t xml:space="preserve">Jain, RS, Kumar, S, Mathur, T &amp; Tejwani, S 2016, 'Longitudinally extensive transverse myelitis: A retrospective analysis of sixty-four patients at tertiary care center of North-West India', </w:t>
      </w:r>
      <w:r w:rsidRPr="00B0479F">
        <w:rPr>
          <w:i/>
        </w:rPr>
        <w:t>Clin Neurol Neurosurg</w:t>
      </w:r>
      <w:r w:rsidRPr="00B0479F">
        <w:t>, vol. 148, Sep, pp. 5-12.</w:t>
      </w:r>
    </w:p>
    <w:p w14:paraId="27B3AFD7" w14:textId="77777777" w:rsidR="00B0479F" w:rsidRPr="00B0479F" w:rsidRDefault="00B0479F" w:rsidP="00B0479F">
      <w:pPr>
        <w:pStyle w:val="EndNoteBibliography"/>
        <w:spacing w:after="0"/>
      </w:pPr>
    </w:p>
    <w:p w14:paraId="04126AEE" w14:textId="77777777" w:rsidR="00B0479F" w:rsidRPr="00B0479F" w:rsidRDefault="00B0479F" w:rsidP="00B0479F">
      <w:pPr>
        <w:pStyle w:val="EndNoteBibliography"/>
      </w:pPr>
      <w:r w:rsidRPr="00B0479F">
        <w:t xml:space="preserve">Jarius, S, Aboul-Enein, F, Waters, P, Kuenz, B, Hauser, A, Berger, T, Lang, W, Reindl, M, Vincent, A &amp; Kristoferitsch, W 2008, 'Antibody to aquaporin-4 in the long-term course of neuromyelitis optica', </w:t>
      </w:r>
      <w:r w:rsidRPr="00B0479F">
        <w:rPr>
          <w:i/>
        </w:rPr>
        <w:t>Brain : a journal of neurology</w:t>
      </w:r>
      <w:r w:rsidRPr="00B0479F">
        <w:t>, vol. 131, no. Pt 11, pp. 3072-3080.</w:t>
      </w:r>
    </w:p>
    <w:p w14:paraId="0C36359E" w14:textId="77777777" w:rsidR="00B0479F" w:rsidRPr="00B0479F" w:rsidRDefault="00B0479F" w:rsidP="00B0479F">
      <w:pPr>
        <w:pStyle w:val="EndNoteBibliography"/>
        <w:spacing w:after="0"/>
      </w:pPr>
    </w:p>
    <w:p w14:paraId="4991651A" w14:textId="77777777" w:rsidR="00B0479F" w:rsidRPr="00B0479F" w:rsidRDefault="00B0479F" w:rsidP="00B0479F">
      <w:pPr>
        <w:pStyle w:val="EndNoteBibliography"/>
      </w:pPr>
      <w:r w:rsidRPr="00B0479F">
        <w:t xml:space="preserve">Jarius, S, Franciotta, D, Paul, F, Ruprecht, K, Bergamaschi, R, Rommer, PS, Reuss, R, Probst, C, Kristoferitsch, W, Wandinger, KP &amp; Wildemann, B 2010, 'Cerebrospinal fluid antibodies to aquaporin-4 in neuromyelitis optica and related disorders: frequency, origin, and diagnostic relevance', </w:t>
      </w:r>
      <w:r w:rsidRPr="00B0479F">
        <w:rPr>
          <w:i/>
        </w:rPr>
        <w:t>J Neuroinflammation</w:t>
      </w:r>
      <w:r w:rsidRPr="00B0479F">
        <w:t>, vol. 7, Sep 8, pp. 52-60.</w:t>
      </w:r>
    </w:p>
    <w:p w14:paraId="63B9013F" w14:textId="77777777" w:rsidR="00B0479F" w:rsidRPr="00B0479F" w:rsidRDefault="00B0479F" w:rsidP="00B0479F">
      <w:pPr>
        <w:pStyle w:val="EndNoteBibliography"/>
        <w:spacing w:after="0"/>
      </w:pPr>
    </w:p>
    <w:p w14:paraId="5B84A39B" w14:textId="77777777" w:rsidR="00B0479F" w:rsidRPr="00B0479F" w:rsidRDefault="00B0479F" w:rsidP="00B0479F">
      <w:pPr>
        <w:pStyle w:val="EndNoteBibliography"/>
      </w:pPr>
      <w:r w:rsidRPr="00B0479F">
        <w:t xml:space="preserve">Jarius, S, Ruprecht, K, Wildemann, B, Kuempfel, T, Ringelstein, M, Geis, C, Kleiter, I, Kleinschnitz, C, Berthele, A, Brettschneider, J, Hellwig, K, Hemmer, B, Linker, RA, Lauda, F, Mayer, CA, Tumani, H, Melms, A, Trebst, C, Stangel, M, Marziniak, M, Hoffmann, F, Schippling, S, Faiss, JH, Neuhaus, O, Ettrich, B, Zentner, C, Guthke, K, Hofstadt-van Oy, U, Reuss, R, Pellkofer, H, Ziemann, U, Kern, P, Wandinger, KP, Bergh, FT, Boettcher, T, Langel, S, Liebetrau, M, Rommer, PS, Niehaus, S, Munch, C, Winkelmann, A, Zettl, UU, Metz, I, Veauthier, C, Sieb, JP, Wilke, C, Hartung, HP, Aktas, O &amp; Paul, F 2012, 'Contrasting disease patterns in seropositive and seronegative neuromyelitis optica: A multicentre study of 175 patients', </w:t>
      </w:r>
      <w:r w:rsidRPr="00B0479F">
        <w:rPr>
          <w:i/>
        </w:rPr>
        <w:t>J Neuroinflammation</w:t>
      </w:r>
      <w:r w:rsidRPr="00B0479F">
        <w:t>, vol. 9, Jan 19, p. 14.</w:t>
      </w:r>
    </w:p>
    <w:p w14:paraId="3AD991DA" w14:textId="77777777" w:rsidR="00B0479F" w:rsidRPr="00B0479F" w:rsidRDefault="00B0479F" w:rsidP="00B0479F">
      <w:pPr>
        <w:pStyle w:val="EndNoteBibliography"/>
        <w:spacing w:after="0"/>
      </w:pPr>
    </w:p>
    <w:p w14:paraId="1C5F4577" w14:textId="77777777" w:rsidR="00B0479F" w:rsidRPr="00B0479F" w:rsidRDefault="00B0479F" w:rsidP="00B0479F">
      <w:pPr>
        <w:pStyle w:val="EndNoteBibliography"/>
      </w:pPr>
      <w:r w:rsidRPr="00B0479F">
        <w:t xml:space="preserve">Jarius, S, Wildemann, B &amp; Paul, F 2014, 'Neuromyelitis optica: clinical features, immunopathogenesis and treatment', </w:t>
      </w:r>
      <w:r w:rsidRPr="00B0479F">
        <w:rPr>
          <w:i/>
        </w:rPr>
        <w:t>Clin Exp Immunol</w:t>
      </w:r>
      <w:r w:rsidRPr="00B0479F">
        <w:t>, vol. 176, no. 2, May, pp. 149-164.</w:t>
      </w:r>
    </w:p>
    <w:p w14:paraId="191E7909" w14:textId="77777777" w:rsidR="00B0479F" w:rsidRPr="00B0479F" w:rsidRDefault="00B0479F" w:rsidP="00B0479F">
      <w:pPr>
        <w:pStyle w:val="EndNoteBibliography"/>
        <w:spacing w:after="0"/>
      </w:pPr>
    </w:p>
    <w:p w14:paraId="2DC8E8FC" w14:textId="77777777" w:rsidR="00B0479F" w:rsidRPr="00B0479F" w:rsidRDefault="00B0479F" w:rsidP="00B0479F">
      <w:pPr>
        <w:pStyle w:val="EndNoteBibliography"/>
      </w:pPr>
      <w:r w:rsidRPr="00B0479F">
        <w:t xml:space="preserve">Jeong, IH, Park, B, Kim, S-H, Hyun, J-W, Joo, J &amp; Kim, HJ 2016, 'Comparative analysis of treatment outcomes in patients with neuromyelitis optica spectrum disorder using multifaceted endpoints', </w:t>
      </w:r>
      <w:r w:rsidRPr="00B0479F">
        <w:rPr>
          <w:i/>
        </w:rPr>
        <w:t>Multiple Sclerosis Journal</w:t>
      </w:r>
      <w:r w:rsidRPr="00B0479F">
        <w:t>, vol. 22, no. 3, pp. 329-339.</w:t>
      </w:r>
    </w:p>
    <w:p w14:paraId="5E799122" w14:textId="77777777" w:rsidR="00B0479F" w:rsidRPr="00B0479F" w:rsidRDefault="00B0479F" w:rsidP="00B0479F">
      <w:pPr>
        <w:pStyle w:val="EndNoteBibliography"/>
        <w:spacing w:after="0"/>
      </w:pPr>
    </w:p>
    <w:p w14:paraId="75A93512" w14:textId="07933B96" w:rsidR="00B0479F" w:rsidRPr="00B0479F" w:rsidRDefault="00B0479F" w:rsidP="00B0479F">
      <w:pPr>
        <w:pStyle w:val="EndNoteBibliography"/>
      </w:pPr>
      <w:r w:rsidRPr="00B0479F">
        <w:t>Jiao, Y, Cui, L, Zhang, W, Zhang, C, Zhang, Y, Zhang, X &amp; Jiao, J 2018</w:t>
      </w:r>
      <w:r w:rsidR="004A4659">
        <w:t>a</w:t>
      </w:r>
      <w:r w:rsidRPr="00B0479F">
        <w:t xml:space="preserve">, 'Dose effects of mycophenolate mofetil in Chinese patients with neuromyelitis optica spectrum disorders: a case series study', </w:t>
      </w:r>
      <w:r w:rsidRPr="00B0479F">
        <w:rPr>
          <w:i/>
        </w:rPr>
        <w:t>BMC Neurol</w:t>
      </w:r>
      <w:r w:rsidRPr="00B0479F">
        <w:t>, vol. 18, no. 1, Apr 23, pp. 1-7.</w:t>
      </w:r>
    </w:p>
    <w:p w14:paraId="1C673BCE" w14:textId="77777777" w:rsidR="00B0479F" w:rsidRPr="00B0479F" w:rsidRDefault="00B0479F" w:rsidP="00B0479F">
      <w:pPr>
        <w:pStyle w:val="EndNoteBibliography"/>
        <w:spacing w:after="0"/>
      </w:pPr>
    </w:p>
    <w:p w14:paraId="3CE001B3" w14:textId="1CAE7A78" w:rsidR="00B0479F" w:rsidRPr="00B0479F" w:rsidRDefault="00B0479F" w:rsidP="00B0479F">
      <w:pPr>
        <w:pStyle w:val="EndNoteBibliography"/>
      </w:pPr>
      <w:r w:rsidRPr="00B0479F">
        <w:t>Jiao, Y, Cui, L, Zhang, W, Zhang, Y, Wang, W, Zhang, L, Tang, W &amp; Jiao, J 2018</w:t>
      </w:r>
      <w:r w:rsidR="004A4659">
        <w:t>b</w:t>
      </w:r>
      <w:r w:rsidRPr="00B0479F">
        <w:t xml:space="preserve">, 'Plasma Exchange for Neuromyelitis Optica Spectrum Disorders in Chinese Patients and Factors Predictive of Short-term Outcome', </w:t>
      </w:r>
      <w:r w:rsidRPr="00B0479F">
        <w:rPr>
          <w:i/>
        </w:rPr>
        <w:t>Clin Ther</w:t>
      </w:r>
      <w:r w:rsidRPr="00B0479F">
        <w:t>, vol. 40, no. 4, Apr, pp. 603-612.</w:t>
      </w:r>
    </w:p>
    <w:p w14:paraId="46BAA6F6" w14:textId="77777777" w:rsidR="00B0479F" w:rsidRPr="00B0479F" w:rsidRDefault="00B0479F" w:rsidP="00B0479F">
      <w:pPr>
        <w:pStyle w:val="EndNoteBibliography"/>
        <w:spacing w:after="0"/>
      </w:pPr>
    </w:p>
    <w:p w14:paraId="5296F7BB" w14:textId="77777777" w:rsidR="00B0479F" w:rsidRPr="00B0479F" w:rsidRDefault="00B0479F" w:rsidP="00B0479F">
      <w:pPr>
        <w:pStyle w:val="EndNoteBibliography"/>
      </w:pPr>
      <w:r w:rsidRPr="00B0479F">
        <w:t xml:space="preserve">Jurynczyk, M, Messina, S, Woodhall, MR, Raza, N, Everett, R, Roca-Fernandez, A, Tackley, G, Hamid, S, Sheard, A, Reynolds, G, Chandratre, S, Hemingway, C, Jacob, A, Vincent, A, Leite, MI, Waters, P &amp; Palace, J 2017, 'Clinical presentation and prognosis in MOG-antibody disease: a UK study', </w:t>
      </w:r>
      <w:r w:rsidRPr="00B0479F">
        <w:rPr>
          <w:i/>
        </w:rPr>
        <w:t>Brain : a journal of neurology</w:t>
      </w:r>
      <w:r w:rsidRPr="00B0479F">
        <w:t>, vol. 140, no. 12, Dec 1, pp. 3128-3138.</w:t>
      </w:r>
    </w:p>
    <w:p w14:paraId="219A0D23" w14:textId="77777777" w:rsidR="00B0479F" w:rsidRPr="00B0479F" w:rsidRDefault="00B0479F" w:rsidP="00B0479F">
      <w:pPr>
        <w:pStyle w:val="EndNoteBibliography"/>
        <w:spacing w:after="0"/>
      </w:pPr>
    </w:p>
    <w:p w14:paraId="3B2678DE" w14:textId="77777777" w:rsidR="00B0479F" w:rsidRPr="00B0479F" w:rsidRDefault="00B0479F" w:rsidP="00B0479F">
      <w:pPr>
        <w:pStyle w:val="EndNoteBibliography"/>
      </w:pPr>
      <w:r w:rsidRPr="00B0479F">
        <w:t xml:space="preserve">Jurynczyk, M, Weinshenker, B, Akman-Demir, G, Asgari, N, Barnes, D, Boggild, M, Chaudhuri, A, D'Hooghe, M, Evangelou, N, Geraldes, R, Illes, Z, Jacob, A, Kim, HJ, Kleiter, I, Levy, M, Marignier, R, McGuigan, C, Murray, K, Nakashima, I, Pandit, L, Paul, F, Pittock, S, Selmaj, K, e Seze, J, Siva, A, Tanasescu, R, Vukusic, S, Wingerchuk, D, Wren, D, Leite, I &amp; Palace, J 2016, 'Status of diagnostic approaches to AQP4-IgG seronegative NMO and NMO/MS overlap syndromes', </w:t>
      </w:r>
      <w:r w:rsidRPr="00B0479F">
        <w:rPr>
          <w:i/>
        </w:rPr>
        <w:t>J Neurol</w:t>
      </w:r>
      <w:r w:rsidRPr="00B0479F">
        <w:t>, vol. 263, no. 1, Jan, pp. 140-149.</w:t>
      </w:r>
    </w:p>
    <w:p w14:paraId="33A7C501" w14:textId="77777777" w:rsidR="00B0479F" w:rsidRPr="00B0479F" w:rsidRDefault="00B0479F" w:rsidP="00B0479F">
      <w:pPr>
        <w:pStyle w:val="EndNoteBibliography"/>
        <w:spacing w:after="0"/>
      </w:pPr>
    </w:p>
    <w:p w14:paraId="6FA42017" w14:textId="77777777" w:rsidR="00B0479F" w:rsidRPr="00B0479F" w:rsidRDefault="00B0479F" w:rsidP="00B0479F">
      <w:pPr>
        <w:pStyle w:val="EndNoteBibliography"/>
      </w:pPr>
      <w:r w:rsidRPr="00B0479F">
        <w:t xml:space="preserve">Kanamori, Y, Nakashima, I, Takai, Y, Nishiyama, S, Kuroda, H, Takahashi, T, Kanaoka-Suzuki, C, Misu, T, Fujihara, K &amp; Itoyama, Y 2011, 'Pain in neuromyelitis optica and its effect on quality of life: a cross-sectional study', </w:t>
      </w:r>
      <w:r w:rsidRPr="00B0479F">
        <w:rPr>
          <w:i/>
        </w:rPr>
        <w:t>Neurology</w:t>
      </w:r>
      <w:r w:rsidRPr="00B0479F">
        <w:t>, vol. 77, no. 7, Aug 16, pp. 652-658.</w:t>
      </w:r>
    </w:p>
    <w:p w14:paraId="1109B1CA" w14:textId="77777777" w:rsidR="00B0479F" w:rsidRPr="00B0479F" w:rsidRDefault="00B0479F" w:rsidP="00B0479F">
      <w:pPr>
        <w:pStyle w:val="EndNoteBibliography"/>
        <w:spacing w:after="0"/>
      </w:pPr>
    </w:p>
    <w:p w14:paraId="77328241" w14:textId="77777777" w:rsidR="00B0479F" w:rsidRPr="00B0479F" w:rsidRDefault="00B0479F" w:rsidP="00B0479F">
      <w:pPr>
        <w:pStyle w:val="EndNoteBibliography"/>
      </w:pPr>
      <w:r w:rsidRPr="00B0479F">
        <w:t xml:space="preserve">Kang, H, Liu, Z, Li, H, Chen, T, Ai, N, Xu, Q, Cao, S, Tao, Y &amp; Wei, S 2019, 'Simultaneous bilateral optic neuritis in China: clinical, serological and prognostic characteristics', </w:t>
      </w:r>
      <w:r w:rsidRPr="00B0479F">
        <w:rPr>
          <w:i/>
        </w:rPr>
        <w:t>Acta Ophthalmol</w:t>
      </w:r>
      <w:r w:rsidRPr="00B0479F">
        <w:t>, vol. 97, no. 3, May, pp. e426-e434.</w:t>
      </w:r>
    </w:p>
    <w:p w14:paraId="316F5B0D" w14:textId="77777777" w:rsidR="00B0479F" w:rsidRPr="00B0479F" w:rsidRDefault="00B0479F" w:rsidP="00B0479F">
      <w:pPr>
        <w:pStyle w:val="EndNoteBibliography"/>
        <w:spacing w:after="0"/>
      </w:pPr>
    </w:p>
    <w:p w14:paraId="290295DD" w14:textId="77777777" w:rsidR="00B0479F" w:rsidRPr="00B0479F" w:rsidRDefault="00B0479F" w:rsidP="00B0479F">
      <w:pPr>
        <w:pStyle w:val="EndNoteBibliography"/>
      </w:pPr>
      <w:r w:rsidRPr="00B0479F">
        <w:t xml:space="preserve">Kessler, RA, Mealy, MA, Jimenez-Arango, JA, Quan, C, Paul, F, Lopez, R, Hopkins, S &amp; Levy, M 2017, 'Anti-aquaporin-4 titer is not predictive of disease course in neuromyelitis optica spectrum disorder: A multicenter cohort study', </w:t>
      </w:r>
      <w:r w:rsidRPr="00B0479F">
        <w:rPr>
          <w:i/>
        </w:rPr>
        <w:t>Mult Scler Relat Disord</w:t>
      </w:r>
      <w:r w:rsidRPr="00B0479F">
        <w:t>, vol. 17, Oct, pp. 198-201.</w:t>
      </w:r>
    </w:p>
    <w:p w14:paraId="10C852E4" w14:textId="77777777" w:rsidR="00B0479F" w:rsidRPr="00B0479F" w:rsidRDefault="00B0479F" w:rsidP="00B0479F">
      <w:pPr>
        <w:pStyle w:val="EndNoteBibliography"/>
        <w:spacing w:after="0"/>
      </w:pPr>
    </w:p>
    <w:p w14:paraId="002CB0D7" w14:textId="77777777" w:rsidR="00B0479F" w:rsidRPr="00B0479F" w:rsidRDefault="00B0479F" w:rsidP="00B0479F">
      <w:pPr>
        <w:pStyle w:val="EndNoteBibliography"/>
      </w:pPr>
      <w:r w:rsidRPr="00B0479F">
        <w:t xml:space="preserve">Kim, SH, Kim, W, Li, XF, Jung, IJ &amp; Kim, HJ 2011, 'Repeated treatment with rituximab based on the assessment of peripheral circulating memory B cells in patients with relapsing neuromyelitis optica over 2 years', </w:t>
      </w:r>
      <w:r w:rsidRPr="00B0479F">
        <w:rPr>
          <w:i/>
        </w:rPr>
        <w:t>Arch Neurol</w:t>
      </w:r>
      <w:r w:rsidRPr="00B0479F">
        <w:t>, vol. 68, no. 11, Nov, pp. 1412-1420.</w:t>
      </w:r>
    </w:p>
    <w:p w14:paraId="164E5574" w14:textId="77777777" w:rsidR="00B0479F" w:rsidRPr="00B0479F" w:rsidRDefault="00B0479F" w:rsidP="00B0479F">
      <w:pPr>
        <w:pStyle w:val="EndNoteBibliography"/>
        <w:spacing w:after="0"/>
      </w:pPr>
    </w:p>
    <w:p w14:paraId="4633BC81" w14:textId="77777777" w:rsidR="00B0479F" w:rsidRPr="00B0479F" w:rsidRDefault="00B0479F" w:rsidP="00B0479F">
      <w:pPr>
        <w:pStyle w:val="EndNoteBibliography"/>
      </w:pPr>
      <w:r w:rsidRPr="00B0479F">
        <w:t xml:space="preserve">Kim, SH, Kim, W, Li, XF, Jung, IJ &amp; Kim, HJ 2012, 'Does interferon beta treatment exacerbate neuromyelitis optica spectrum disorder?', </w:t>
      </w:r>
      <w:r w:rsidRPr="00B0479F">
        <w:rPr>
          <w:i/>
        </w:rPr>
        <w:t>Multiple Sclerosis Journal</w:t>
      </w:r>
      <w:r w:rsidRPr="00B0479F">
        <w:t>, vol. 18, no. 10, pp. 1480-1483.</w:t>
      </w:r>
    </w:p>
    <w:p w14:paraId="523C4FDF" w14:textId="77777777" w:rsidR="00B0479F" w:rsidRPr="00B0479F" w:rsidRDefault="00B0479F" w:rsidP="00B0479F">
      <w:pPr>
        <w:pStyle w:val="EndNoteBibliography"/>
        <w:spacing w:after="0"/>
      </w:pPr>
    </w:p>
    <w:p w14:paraId="775D25D7" w14:textId="77777777" w:rsidR="00B0479F" w:rsidRPr="00B0479F" w:rsidRDefault="00B0479F" w:rsidP="00B0479F">
      <w:pPr>
        <w:pStyle w:val="EndNoteBibliography"/>
      </w:pPr>
      <w:r w:rsidRPr="00B0479F">
        <w:t xml:space="preserve">Kleiter, I, Gahlen, A, Borisow, N, Fischer, K, Wernecke, KD, Wegner, B, Hellwig, K, Pache, F, Ruprecht, K, Havla, J, Krumbholz, M, Kumpfel, T, Aktas, O, Hartung, HP, Ringelstein, M, Geis, C, Kleinschnitz, C, Berthele, A, Hemmer, B, Angstwurm, K, Stellmann, JP, Schuster, S, Stangel, M, Lauda, F, Tumani, H, Mayer, C, Zeltner, L, Ziemann, U, Linker, R, Schwab, M, Marziniak, M, Then Bergh, F, Hofstadt-van Oy, U, Neuhaus, O, Winkelmann, A, Marouf, W, Faiss, J, Wildemann, B, Paul, F, Jarius, S &amp; Trebst, C 2016, 'Neuromyelitis optica: Evaluation of 871 attacks and 1,153 treatment courses', </w:t>
      </w:r>
      <w:r w:rsidRPr="00B0479F">
        <w:rPr>
          <w:i/>
        </w:rPr>
        <w:t>Ann Neurol</w:t>
      </w:r>
      <w:r w:rsidRPr="00B0479F">
        <w:t>, vol. 79, no. 2, Feb, pp. 206-216.</w:t>
      </w:r>
    </w:p>
    <w:p w14:paraId="47FE50CF" w14:textId="77777777" w:rsidR="00B0479F" w:rsidRPr="00B0479F" w:rsidRDefault="00B0479F" w:rsidP="00B0479F">
      <w:pPr>
        <w:pStyle w:val="EndNoteBibliography"/>
        <w:spacing w:after="0"/>
      </w:pPr>
    </w:p>
    <w:p w14:paraId="1AD7D806" w14:textId="77777777" w:rsidR="00B0479F" w:rsidRPr="00B0479F" w:rsidRDefault="00B0479F" w:rsidP="00B0479F">
      <w:pPr>
        <w:pStyle w:val="EndNoteBibliography"/>
      </w:pPr>
      <w:r w:rsidRPr="00B0479F">
        <w:t xml:space="preserve">Kunchok, A, Malpas, C, Nytrova, P, Havrdova, EK, Alroughani, R, Terzi, M, Yamout, B, Hor, JY, Karabudak, R, Boz, C, Ozakbas, S, Olascoaga, J, Simo, M, Granella, F, Patti, F, McCombe, P, Csepany, T, Singhal, B, Bergamaschi, R, Fragoso, Y, Al-Harbi, T, Turkoglu, R, Lechner-Scott, J, Laureys, G, Oreja-Guevara, C, Pucci, E, Sola, P, Ferraro, D, Altintas, A, Soysal, A, Vucic, S, Grand'Maison, F, Izquierdo, G, Eichau, S, Lugaresi, A, Onofrj, M, Trojano, M, Marriott, M, Butzkueven, H, Kister, I &amp; Kalincik, T 2019, 'Clinical and therapeutic predictors of disease outcomes in AQP4-IgG+ neuromyelitis optica spectrum disorder', </w:t>
      </w:r>
      <w:r w:rsidRPr="00B0479F">
        <w:rPr>
          <w:i/>
        </w:rPr>
        <w:t>Mult Scler Relat Disord</w:t>
      </w:r>
      <w:r w:rsidRPr="00B0479F">
        <w:t>, vol. 38, Nov 25, p. 101868.</w:t>
      </w:r>
    </w:p>
    <w:p w14:paraId="0A1087F5" w14:textId="77777777" w:rsidR="00B0479F" w:rsidRPr="00B0479F" w:rsidRDefault="00B0479F" w:rsidP="00B0479F">
      <w:pPr>
        <w:pStyle w:val="EndNoteBibliography"/>
        <w:spacing w:after="0"/>
      </w:pPr>
    </w:p>
    <w:p w14:paraId="64ECB68E" w14:textId="77777777" w:rsidR="00B0479F" w:rsidRPr="00B0479F" w:rsidRDefault="00B0479F" w:rsidP="00B0479F">
      <w:pPr>
        <w:pStyle w:val="EndNoteBibliography"/>
      </w:pPr>
      <w:r w:rsidRPr="00B0479F">
        <w:t xml:space="preserve">Kurtzke JF 1983, 'Rating neurologic impairment in multiple sclerosis: An expanded disability status scale (EDSS)', </w:t>
      </w:r>
      <w:r w:rsidRPr="00B0479F">
        <w:rPr>
          <w:i/>
        </w:rPr>
        <w:t>Neyrology</w:t>
      </w:r>
      <w:r w:rsidRPr="00B0479F">
        <w:t>, vol. 33, pp. 1444-1452.</w:t>
      </w:r>
    </w:p>
    <w:p w14:paraId="51FE0621" w14:textId="77777777" w:rsidR="00B0479F" w:rsidRPr="00B0479F" w:rsidRDefault="00B0479F" w:rsidP="00B0479F">
      <w:pPr>
        <w:pStyle w:val="EndNoteBibliography"/>
        <w:spacing w:after="0"/>
      </w:pPr>
    </w:p>
    <w:p w14:paraId="6BABDD7E" w14:textId="77777777" w:rsidR="00B0479F" w:rsidRPr="00B0479F" w:rsidRDefault="00B0479F" w:rsidP="00B0479F">
      <w:pPr>
        <w:pStyle w:val="EndNoteBibliography"/>
      </w:pPr>
      <w:r w:rsidRPr="00B0479F">
        <w:t xml:space="preserve">Lalan, S, Khan, M, Schlakman, B, Penman, A, Gatlin, J &amp; Herndon, R 2012, 'Differentiation of neuromyelitis optica from multiple sclerosis on spinal magnetic resonance imaging', </w:t>
      </w:r>
      <w:r w:rsidRPr="00B0479F">
        <w:rPr>
          <w:i/>
        </w:rPr>
        <w:t>International journal of MS care</w:t>
      </w:r>
      <w:r w:rsidRPr="00B0479F">
        <w:t>, vol. 14, no. 4, Winter, pp. 209-214.</w:t>
      </w:r>
    </w:p>
    <w:p w14:paraId="7D21AEC6" w14:textId="77777777" w:rsidR="00B0479F" w:rsidRPr="00B0479F" w:rsidRDefault="00B0479F" w:rsidP="00B0479F">
      <w:pPr>
        <w:pStyle w:val="EndNoteBibliography"/>
        <w:spacing w:after="0"/>
      </w:pPr>
    </w:p>
    <w:p w14:paraId="3F6F13C0" w14:textId="77777777" w:rsidR="00B0479F" w:rsidRPr="00B0479F" w:rsidRDefault="00B0479F" w:rsidP="00B0479F">
      <w:pPr>
        <w:pStyle w:val="EndNoteBibliography"/>
      </w:pPr>
      <w:r w:rsidRPr="00B0479F">
        <w:t xml:space="preserve">Lana-Peixoto, MA &amp; Talim, N 2019, 'Neuromyelitis Optica Spectrum Disorder and Anti-MOG Syndromes', </w:t>
      </w:r>
      <w:r w:rsidRPr="00B0479F">
        <w:rPr>
          <w:i/>
        </w:rPr>
        <w:t>Biomedicines</w:t>
      </w:r>
      <w:r w:rsidRPr="00B0479F">
        <w:t>, vol. 7, no. 2, Jun 12.</w:t>
      </w:r>
    </w:p>
    <w:p w14:paraId="216CD3CD" w14:textId="77777777" w:rsidR="00B0479F" w:rsidRPr="00B0479F" w:rsidRDefault="00B0479F" w:rsidP="00B0479F">
      <w:pPr>
        <w:pStyle w:val="EndNoteBibliography"/>
        <w:spacing w:after="0"/>
      </w:pPr>
    </w:p>
    <w:p w14:paraId="4D1096FF" w14:textId="77777777" w:rsidR="00B0479F" w:rsidRPr="00B0479F" w:rsidRDefault="00B0479F" w:rsidP="00B0479F">
      <w:pPr>
        <w:pStyle w:val="EndNoteBibliography"/>
      </w:pPr>
      <w:r w:rsidRPr="00B0479F">
        <w:t xml:space="preserve">Li, H, Wang, Y, Xu, Q, Zhang, A, Zhou, H, Zhao, S, Kang, H, Peng, C, Cao, S &amp; Wei, S 2015, 'Features of anti-aquaporin 4 antibody-seropositive Chinese patients with neuromyelitis optica spectrum optic neuritis', </w:t>
      </w:r>
      <w:r w:rsidRPr="00B0479F">
        <w:rPr>
          <w:i/>
        </w:rPr>
        <w:t>J Neurol</w:t>
      </w:r>
      <w:r w:rsidRPr="00B0479F">
        <w:t>, vol. 262, no. 10, Oct, pp. 2293-2304.</w:t>
      </w:r>
    </w:p>
    <w:p w14:paraId="39ECC5B8" w14:textId="77777777" w:rsidR="00B0479F" w:rsidRPr="00B0479F" w:rsidRDefault="00B0479F" w:rsidP="00B0479F">
      <w:pPr>
        <w:pStyle w:val="EndNoteBibliography"/>
        <w:spacing w:after="0"/>
      </w:pPr>
    </w:p>
    <w:p w14:paraId="240A8BAC" w14:textId="77777777" w:rsidR="00B0479F" w:rsidRPr="00B0479F" w:rsidRDefault="00B0479F" w:rsidP="00B0479F">
      <w:pPr>
        <w:pStyle w:val="EndNoteBibliography"/>
      </w:pPr>
      <w:r w:rsidRPr="00B0479F">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B0479F">
        <w:rPr>
          <w:i/>
        </w:rPr>
        <w:t>PLoS Med</w:t>
      </w:r>
      <w:r w:rsidRPr="00B0479F">
        <w:t>, vol. 6, no. 7, Jul 21, p. e1000100.</w:t>
      </w:r>
    </w:p>
    <w:p w14:paraId="77EB0854" w14:textId="77777777" w:rsidR="00B0479F" w:rsidRPr="00B0479F" w:rsidRDefault="00B0479F" w:rsidP="00B0479F">
      <w:pPr>
        <w:pStyle w:val="EndNoteBibliography"/>
        <w:spacing w:after="0"/>
      </w:pPr>
    </w:p>
    <w:p w14:paraId="6320FFB6" w14:textId="77777777" w:rsidR="00B0479F" w:rsidRPr="00B0479F" w:rsidRDefault="00B0479F" w:rsidP="00B0479F">
      <w:pPr>
        <w:pStyle w:val="EndNoteBibliography"/>
      </w:pPr>
      <w:r w:rsidRPr="00B0479F">
        <w:t xml:space="preserve">Lin, J, Xue, B, Chen, Z, Huang, X, Pang, W, Quan, W, Huang, Y, Li, X &amp; Xia, J 2017, 'Effects of early using azathioprine in the acute phase in neuromyelitis optica spectrum disorder', </w:t>
      </w:r>
      <w:r w:rsidRPr="00B0479F">
        <w:rPr>
          <w:i/>
        </w:rPr>
        <w:t>International Journal of Neuroscience</w:t>
      </w:r>
      <w:r w:rsidRPr="00B0479F">
        <w:t>, vol. 127, no. 6, pp. 508-515.</w:t>
      </w:r>
    </w:p>
    <w:p w14:paraId="64BA06ED" w14:textId="77777777" w:rsidR="00B0479F" w:rsidRPr="00B0479F" w:rsidRDefault="00B0479F" w:rsidP="00B0479F">
      <w:pPr>
        <w:pStyle w:val="EndNoteBibliography"/>
        <w:spacing w:after="0"/>
      </w:pPr>
    </w:p>
    <w:p w14:paraId="121E3011" w14:textId="77777777" w:rsidR="00B0479F" w:rsidRPr="00B0479F" w:rsidRDefault="00B0479F" w:rsidP="00B0479F">
      <w:pPr>
        <w:pStyle w:val="EndNoteBibliography"/>
      </w:pPr>
      <w:r w:rsidRPr="00B0479F">
        <w:t xml:space="preserve">Lin, N, Liu, Q, Wang, X, Ma, J &amp; Li, Y 2017, 'Role of AQP4 Antibody Serostatus and its Prediction of Visual Outcome in Neuromyelitis Optica: A Systematic Review and Meta-Analysis', </w:t>
      </w:r>
      <w:r w:rsidRPr="00B0479F">
        <w:rPr>
          <w:i/>
        </w:rPr>
        <w:t>Protein Pept Lett</w:t>
      </w:r>
      <w:r w:rsidRPr="00B0479F">
        <w:t>, vol. 24, no. 3, pp. 245-252.</w:t>
      </w:r>
    </w:p>
    <w:p w14:paraId="07751C9A" w14:textId="77777777" w:rsidR="00B0479F" w:rsidRPr="00B0479F" w:rsidRDefault="00B0479F" w:rsidP="00B0479F">
      <w:pPr>
        <w:pStyle w:val="EndNoteBibliography"/>
        <w:spacing w:after="0"/>
      </w:pPr>
    </w:p>
    <w:p w14:paraId="4F95CF1A" w14:textId="77777777" w:rsidR="00B0479F" w:rsidRPr="00B0479F" w:rsidRDefault="00B0479F" w:rsidP="00B0479F">
      <w:pPr>
        <w:pStyle w:val="EndNoteBibliography"/>
      </w:pPr>
      <w:r w:rsidRPr="00B0479F">
        <w:t xml:space="preserve">Liu, H, Zhou, H, Wang, J, Sun, M, Teng, D, Song, H, Xu, Q &amp; Wei, S 2019, 'The prevalence and prognostic value of myelin oligodendrocyte glycoprotein antibody in adult optic neuritis', </w:t>
      </w:r>
      <w:r w:rsidRPr="00B0479F">
        <w:rPr>
          <w:i/>
        </w:rPr>
        <w:t>Journal of the Neurological Sciences</w:t>
      </w:r>
      <w:r w:rsidRPr="00B0479F">
        <w:t>, vol. 396, pp. 225-231.</w:t>
      </w:r>
    </w:p>
    <w:p w14:paraId="76555108" w14:textId="77777777" w:rsidR="00B0479F" w:rsidRPr="00B0479F" w:rsidRDefault="00B0479F" w:rsidP="00B0479F">
      <w:pPr>
        <w:pStyle w:val="EndNoteBibliography"/>
        <w:spacing w:after="0"/>
      </w:pPr>
    </w:p>
    <w:p w14:paraId="6C13764F" w14:textId="77777777" w:rsidR="00B0479F" w:rsidRPr="00B0479F" w:rsidRDefault="00B0479F" w:rsidP="00B0479F">
      <w:pPr>
        <w:pStyle w:val="EndNoteBibliography"/>
      </w:pPr>
      <w:r w:rsidRPr="00B0479F">
        <w:t xml:space="preserve">Mader, S &amp; Brimberg, L 2019, 'Aquaporin-4 Water Channel in the Brain and Its Implication for Health and Disease', </w:t>
      </w:r>
      <w:r w:rsidRPr="00B0479F">
        <w:rPr>
          <w:i/>
        </w:rPr>
        <w:t>Cells</w:t>
      </w:r>
      <w:r w:rsidRPr="00B0479F">
        <w:t>, vol. 8, no. 2, Jan 27, pp. 1-16.</w:t>
      </w:r>
    </w:p>
    <w:p w14:paraId="6422CD53" w14:textId="77777777" w:rsidR="00B0479F" w:rsidRPr="00B0479F" w:rsidRDefault="00B0479F" w:rsidP="00B0479F">
      <w:pPr>
        <w:pStyle w:val="EndNoteBibliography"/>
        <w:spacing w:after="0"/>
      </w:pPr>
    </w:p>
    <w:p w14:paraId="1C1785DC" w14:textId="77777777" w:rsidR="00B0479F" w:rsidRPr="00B0479F" w:rsidRDefault="00B0479F" w:rsidP="00B0479F">
      <w:pPr>
        <w:pStyle w:val="EndNoteBibliography"/>
      </w:pPr>
      <w:r w:rsidRPr="00B0479F">
        <w:t xml:space="preserve">Matsuda, R, Kezuka, T, Umazume, A, Okunuki, Y, Goto, H &amp; Tanaka, K 2015, 'Clinical Profile of Anti-Myelin Oligodendrocyte Glycoprotein Antibody Seropositive Cases of Optic Neuritis', </w:t>
      </w:r>
      <w:r w:rsidRPr="00B0479F">
        <w:rPr>
          <w:i/>
        </w:rPr>
        <w:t>Neuro-Ophthalmology</w:t>
      </w:r>
      <w:r w:rsidRPr="00B0479F">
        <w:t>, vol. 39, no. 5, pp. 213-219.</w:t>
      </w:r>
    </w:p>
    <w:p w14:paraId="6BC00411" w14:textId="77777777" w:rsidR="00B0479F" w:rsidRPr="00B0479F" w:rsidRDefault="00B0479F" w:rsidP="00B0479F">
      <w:pPr>
        <w:pStyle w:val="EndNoteBibliography"/>
        <w:spacing w:after="0"/>
      </w:pPr>
    </w:p>
    <w:p w14:paraId="7E29BEBB" w14:textId="77777777" w:rsidR="00B0479F" w:rsidRPr="00B0479F" w:rsidRDefault="00B0479F" w:rsidP="00B0479F">
      <w:pPr>
        <w:pStyle w:val="EndNoteBibliography"/>
      </w:pPr>
      <w:r w:rsidRPr="00B0479F">
        <w:t xml:space="preserve">McCreary, M, Mealy, MA, Wingerchuk, DM, Levy, M, DeSena, A &amp; Greenberg, BM 2018, 'Updated diagnostic criteria for neuromyelitis optica spectrum disorder: Similar outcomes of previously separate cohorts', </w:t>
      </w:r>
      <w:r w:rsidRPr="00B0479F">
        <w:rPr>
          <w:i/>
        </w:rPr>
        <w:t>Mult Scler J Exp Transl Clin</w:t>
      </w:r>
      <w:r w:rsidRPr="00B0479F">
        <w:t>, vol. 4, no. 4, Oct-Dec, p. 2055217318815925.</w:t>
      </w:r>
    </w:p>
    <w:p w14:paraId="2F8807E1" w14:textId="77777777" w:rsidR="00B0479F" w:rsidRPr="00B0479F" w:rsidRDefault="00B0479F" w:rsidP="00B0479F">
      <w:pPr>
        <w:pStyle w:val="EndNoteBibliography"/>
        <w:spacing w:after="0"/>
      </w:pPr>
    </w:p>
    <w:p w14:paraId="3607549D" w14:textId="77777777" w:rsidR="00B0479F" w:rsidRPr="00B0479F" w:rsidRDefault="00B0479F" w:rsidP="00B0479F">
      <w:pPr>
        <w:pStyle w:val="EndNoteBibliography"/>
      </w:pPr>
      <w:r w:rsidRPr="00B0479F">
        <w:t xml:space="preserve">Mealy, M, Mossburg, SE, Kim, SH, Messina, S, Borisow, N, Lopez-Gonzalez, R, Ospina, JP, Scheel, M, Yeshokumar, AK, Awad, A, Leite, MI, Arango, JJ, Paul, F, Palace, J, Kim, HJ &amp; Levy, M 2019, 'Long-term </w:t>
      </w:r>
      <w:r w:rsidRPr="00B0479F">
        <w:lastRenderedPageBreak/>
        <w:t xml:space="preserve">disability in neuromyelitis optica spectrum disorder with a history of myelitis is associated with age at onset, delay in diagnosis/preventive treatment, MRI lesion length and presence of symptomatic brain lesions', </w:t>
      </w:r>
      <w:r w:rsidRPr="00B0479F">
        <w:rPr>
          <w:i/>
        </w:rPr>
        <w:t>Mult Scler Relat Disord</w:t>
      </w:r>
      <w:r w:rsidRPr="00B0479F">
        <w:t>, vol. 28, Feb, pp. 64-68.</w:t>
      </w:r>
    </w:p>
    <w:p w14:paraId="5A5C85BB" w14:textId="77777777" w:rsidR="00B0479F" w:rsidRPr="00B0479F" w:rsidRDefault="00B0479F" w:rsidP="00B0479F">
      <w:pPr>
        <w:pStyle w:val="EndNoteBibliography"/>
        <w:spacing w:after="0"/>
      </w:pPr>
    </w:p>
    <w:p w14:paraId="0A5C9AC8" w14:textId="77777777" w:rsidR="00B0479F" w:rsidRPr="00B0479F" w:rsidRDefault="00B0479F" w:rsidP="00B0479F">
      <w:pPr>
        <w:pStyle w:val="EndNoteBibliography"/>
      </w:pPr>
      <w:r w:rsidRPr="00B0479F">
        <w:t xml:space="preserve">Mealy, MA, Boscoe, A, Caro, J &amp; Levy, M 2019, 'Assessment of Patients with Neuromyelitis Optica Spectrum Disorder Using the EQ-5D', </w:t>
      </w:r>
      <w:r w:rsidRPr="00B0479F">
        <w:rPr>
          <w:i/>
        </w:rPr>
        <w:t>Int J MS Care</w:t>
      </w:r>
      <w:r w:rsidRPr="00B0479F">
        <w:t>, vol. 21, no. 3, May-Jun, pp. 129-134.</w:t>
      </w:r>
    </w:p>
    <w:p w14:paraId="3430FF28" w14:textId="77777777" w:rsidR="00B0479F" w:rsidRPr="00B0479F" w:rsidRDefault="00B0479F" w:rsidP="00B0479F">
      <w:pPr>
        <w:pStyle w:val="EndNoteBibliography"/>
        <w:spacing w:after="0"/>
      </w:pPr>
    </w:p>
    <w:p w14:paraId="22323A8B" w14:textId="77777777" w:rsidR="00B0479F" w:rsidRPr="00B0479F" w:rsidRDefault="00B0479F" w:rsidP="00B0479F">
      <w:pPr>
        <w:pStyle w:val="EndNoteBibliography"/>
      </w:pPr>
      <w:r w:rsidRPr="00B0479F">
        <w:t xml:space="preserve">Misu, T &amp; Fujihara, K 2018, 'Neuromyelitis optica spectrum and myelin oligodendrocyte glycoprotein antibody-related disseminated encephalomyelitis', </w:t>
      </w:r>
      <w:r w:rsidRPr="00B0479F">
        <w:rPr>
          <w:i/>
        </w:rPr>
        <w:t>Clnical and experimental Neuroimmunology</w:t>
      </w:r>
      <w:r w:rsidRPr="00B0479F">
        <w:t>, no. 10, pp. 9-17.</w:t>
      </w:r>
    </w:p>
    <w:p w14:paraId="26D0BE6E" w14:textId="77777777" w:rsidR="00B0479F" w:rsidRPr="00B0479F" w:rsidRDefault="00B0479F" w:rsidP="00B0479F">
      <w:pPr>
        <w:pStyle w:val="EndNoteBibliography"/>
        <w:spacing w:after="0"/>
      </w:pPr>
    </w:p>
    <w:p w14:paraId="6F684B59" w14:textId="0AC4E142" w:rsidR="00B0479F" w:rsidRPr="00B0479F" w:rsidRDefault="00B0479F" w:rsidP="00B0479F">
      <w:pPr>
        <w:pStyle w:val="EndNoteBibliography"/>
      </w:pPr>
      <w:r w:rsidRPr="00B0479F">
        <w:t xml:space="preserve">MS Australia 2019, </w:t>
      </w:r>
      <w:r w:rsidRPr="00B0479F">
        <w:rPr>
          <w:i/>
        </w:rPr>
        <w:t>Key facts and figures about multiple sclerosis</w:t>
      </w:r>
      <w:r w:rsidRPr="00B0479F">
        <w:t>, MS Australia, Australia, viewed 5 May 2020, &lt;</w:t>
      </w:r>
      <w:hyperlink r:id="rId85" w:history="1">
        <w:r w:rsidRPr="00B0479F">
          <w:rPr>
            <w:rStyle w:val="Hyperlink"/>
          </w:rPr>
          <w:t>https://www.msaustralia.org.au/publications/media-facts-and-figures-about-ms</w:t>
        </w:r>
      </w:hyperlink>
      <w:r w:rsidRPr="00B0479F">
        <w:t>&gt;.</w:t>
      </w:r>
    </w:p>
    <w:p w14:paraId="4A119695" w14:textId="77777777" w:rsidR="00B0479F" w:rsidRPr="00B0479F" w:rsidRDefault="00B0479F" w:rsidP="00B0479F">
      <w:pPr>
        <w:pStyle w:val="EndNoteBibliography"/>
        <w:spacing w:after="0"/>
      </w:pPr>
    </w:p>
    <w:p w14:paraId="4FFA3764" w14:textId="77777777" w:rsidR="00B0479F" w:rsidRPr="00B0479F" w:rsidRDefault="00B0479F" w:rsidP="00B0479F">
      <w:pPr>
        <w:pStyle w:val="EndNoteBibliography"/>
      </w:pPr>
      <w:r w:rsidRPr="00B0479F">
        <w:t xml:space="preserve">Mutch, K, Zhao, S, Hamid, S, Methley, A, Elsone, L, Singh, G, Young, C, Emmanuel, A, Panicker, J &amp; Jacob, A 2015, 'Bladder and bowel dysfunction affect quality of life. A cross sectional study of 60 patients with aquaporin-4 antibody positive Neuromyelitis Optica spectrum disorder', </w:t>
      </w:r>
      <w:r w:rsidRPr="00B0479F">
        <w:rPr>
          <w:i/>
        </w:rPr>
        <w:t>Mult Scler Relat Disord</w:t>
      </w:r>
      <w:r w:rsidRPr="00B0479F">
        <w:t>, vol. 4, no. 6, Nov, pp. 614-618.</w:t>
      </w:r>
    </w:p>
    <w:p w14:paraId="23E4BD3A" w14:textId="77777777" w:rsidR="00B0479F" w:rsidRPr="00B0479F" w:rsidRDefault="00B0479F" w:rsidP="00B0479F">
      <w:pPr>
        <w:pStyle w:val="EndNoteBibliography"/>
        <w:spacing w:after="0"/>
      </w:pPr>
    </w:p>
    <w:p w14:paraId="6E4E3EE7" w14:textId="5E9A3029" w:rsidR="00B0479F" w:rsidRPr="00B0479F" w:rsidRDefault="00B0479F" w:rsidP="00B0479F">
      <w:pPr>
        <w:pStyle w:val="EndNoteBibliography"/>
      </w:pPr>
      <w:r w:rsidRPr="00B0479F">
        <w:t xml:space="preserve">National Blood Authority 2018, </w:t>
      </w:r>
      <w:r w:rsidRPr="00B0479F">
        <w:rPr>
          <w:i/>
        </w:rPr>
        <w:t>NATIONAL REPORT ON THE ISSUE AND USE OF INTRAVENOUS IMMUNOGLOBULIN (IVIg) 2017-18</w:t>
      </w:r>
      <w:r w:rsidRPr="00B0479F">
        <w:t>, National Blood Authority, Canberra, Australia, &lt;</w:t>
      </w:r>
      <w:hyperlink r:id="rId86" w:history="1">
        <w:r w:rsidRPr="00B0479F">
          <w:rPr>
            <w:rStyle w:val="Hyperlink"/>
          </w:rPr>
          <w:t>https://www.blood.gov.au/data-analysis-reporting</w:t>
        </w:r>
      </w:hyperlink>
      <w:r w:rsidRPr="00B0479F">
        <w:t>&gt;.</w:t>
      </w:r>
    </w:p>
    <w:p w14:paraId="2A495627" w14:textId="77777777" w:rsidR="00B0479F" w:rsidRPr="00B0479F" w:rsidRDefault="00B0479F" w:rsidP="00B0479F">
      <w:pPr>
        <w:pStyle w:val="EndNoteBibliography"/>
        <w:spacing w:after="0"/>
      </w:pPr>
    </w:p>
    <w:p w14:paraId="558ABF89" w14:textId="77777777" w:rsidR="00B0479F" w:rsidRPr="00B0479F" w:rsidRDefault="00B0479F" w:rsidP="00B0479F">
      <w:pPr>
        <w:pStyle w:val="EndNoteBibliography"/>
      </w:pPr>
      <w:r w:rsidRPr="00B0479F">
        <w:t xml:space="preserve">Nikoo, Z, Badihian, S, Shaygannejad, V, Asgari, N &amp; Ashtari, F 2017, 'Comparison of the efficacy of azathioprine and rituximab in neuromyelitis optica spectrum disorder: a randomized clinical trial', </w:t>
      </w:r>
      <w:r w:rsidRPr="00B0479F">
        <w:rPr>
          <w:i/>
        </w:rPr>
        <w:t>Journal of Neurology</w:t>
      </w:r>
      <w:r w:rsidRPr="00B0479F">
        <w:t>, vol. 264, no. 9, pp. 2003‐2009.</w:t>
      </w:r>
    </w:p>
    <w:p w14:paraId="066951A8" w14:textId="77777777" w:rsidR="00B0479F" w:rsidRPr="00B0479F" w:rsidRDefault="00B0479F" w:rsidP="00B0479F">
      <w:pPr>
        <w:pStyle w:val="EndNoteBibliography"/>
        <w:spacing w:after="0"/>
      </w:pPr>
    </w:p>
    <w:p w14:paraId="03A05A76" w14:textId="77777777" w:rsidR="00B0479F" w:rsidRPr="00B0479F" w:rsidRDefault="00B0479F" w:rsidP="00B0479F">
      <w:pPr>
        <w:pStyle w:val="EndNoteBibliography"/>
      </w:pPr>
      <w:r w:rsidRPr="00B0479F">
        <w:t xml:space="preserve">Nosadini, M, Alper, G, Riney, CJ, Benson, LA, Mohammad, SS, Ramanathan, S, Nolan, M, Appleton, R, Leventer, RJ, Deiva, K, Brilot, F, Gorman, MP, Waldman, AT, Banwell, B &amp; Dale, RC 2016, 'Rituximab monitoring and redosing in pediatric neuromyelitis optica spectrum disorder', </w:t>
      </w:r>
      <w:r w:rsidRPr="00B0479F">
        <w:rPr>
          <w:i/>
        </w:rPr>
        <w:t>Neurol Neuroimmunol Neuroinflamm</w:t>
      </w:r>
      <w:r w:rsidRPr="00B0479F">
        <w:t>, vol. 3, no. 1, Feb, p. e188.</w:t>
      </w:r>
    </w:p>
    <w:p w14:paraId="590285E6" w14:textId="77777777" w:rsidR="00B0479F" w:rsidRPr="00B0479F" w:rsidRDefault="00B0479F" w:rsidP="00B0479F">
      <w:pPr>
        <w:pStyle w:val="EndNoteBibliography"/>
        <w:spacing w:after="0"/>
      </w:pPr>
    </w:p>
    <w:p w14:paraId="7CA8C0E9" w14:textId="77777777" w:rsidR="00B0479F" w:rsidRPr="00B0479F" w:rsidRDefault="00B0479F" w:rsidP="00B0479F">
      <w:pPr>
        <w:pStyle w:val="EndNoteBibliography"/>
      </w:pPr>
      <w:r w:rsidRPr="00B0479F">
        <w:t xml:space="preserve">O'Connor, K &amp; Liddle, C 2013, 'Prospective data collection of off-label use of rituximab in Australian public hospitals', </w:t>
      </w:r>
      <w:r w:rsidRPr="00B0479F">
        <w:rPr>
          <w:i/>
        </w:rPr>
        <w:t>Intern Med J</w:t>
      </w:r>
      <w:r w:rsidRPr="00B0479F">
        <w:t>, vol. 43, no. 8, Aug, pp. 863-870.</w:t>
      </w:r>
    </w:p>
    <w:p w14:paraId="4D81E4BC" w14:textId="77777777" w:rsidR="00B0479F" w:rsidRPr="00B0479F" w:rsidRDefault="00B0479F" w:rsidP="00B0479F">
      <w:pPr>
        <w:pStyle w:val="EndNoteBibliography"/>
        <w:spacing w:after="0"/>
      </w:pPr>
    </w:p>
    <w:p w14:paraId="6E891257" w14:textId="77777777" w:rsidR="00B0479F" w:rsidRPr="00B0479F" w:rsidRDefault="00B0479F" w:rsidP="00B0479F">
      <w:pPr>
        <w:pStyle w:val="EndNoteBibliography"/>
      </w:pPr>
      <w:r w:rsidRPr="00B0479F">
        <w:t xml:space="preserve">Palace, J, Lin, DY, Zeng, D, Majed, M, Elsone, L, Hamid, S, Messina, S, Misu, T, Sagen, J, Whittam, D, Takai, Y, Leite, MI, Weinshenker, B, Cabre, P, Jacob, A, Nakashima, I, Fujihara, K &amp; Pittock, SJ 2019, 'Outcome prediction models in AQP4-IgG positive neuromyelitis optica spectrum disorders', </w:t>
      </w:r>
      <w:r w:rsidRPr="00B0479F">
        <w:rPr>
          <w:i/>
        </w:rPr>
        <w:t>Brain</w:t>
      </w:r>
      <w:r w:rsidRPr="00B0479F">
        <w:t>, vol. 142, no. 5, pp. 1310-1323.</w:t>
      </w:r>
    </w:p>
    <w:p w14:paraId="35F8168A" w14:textId="77777777" w:rsidR="00B0479F" w:rsidRPr="00B0479F" w:rsidRDefault="00B0479F" w:rsidP="00B0479F">
      <w:pPr>
        <w:pStyle w:val="EndNoteBibliography"/>
        <w:spacing w:after="0"/>
      </w:pPr>
    </w:p>
    <w:p w14:paraId="340F3FD9" w14:textId="77777777" w:rsidR="00B0479F" w:rsidRPr="00B0479F" w:rsidRDefault="00B0479F" w:rsidP="00B0479F">
      <w:pPr>
        <w:pStyle w:val="EndNoteBibliography"/>
      </w:pPr>
      <w:r w:rsidRPr="00B0479F">
        <w:t xml:space="preserve">Papais-Alvarenga, RM, Neri, VC, e Araújo e Araújo, ACR, Silva, EB, Alvarenga, MP, Pereira, ABCNDG, Brandão, AC, Alvarenga-Filho, H, Guimarães, MPM, Marignier, R, Barros, PO, Bento, CM &amp; Vasconcelos, CCF 2018, 'Lower frequency of antibodies to MOG in Brazilian patients with demyelinating diseases: An ethnicity influence?', </w:t>
      </w:r>
      <w:r w:rsidRPr="00B0479F">
        <w:rPr>
          <w:i/>
        </w:rPr>
        <w:t>Multiple Sclerosis and Related Disorders</w:t>
      </w:r>
      <w:r w:rsidRPr="00B0479F">
        <w:t>, vol. 25, pp. 87-94.</w:t>
      </w:r>
    </w:p>
    <w:p w14:paraId="5A0E29C6" w14:textId="77777777" w:rsidR="00B0479F" w:rsidRPr="00B0479F" w:rsidRDefault="00B0479F" w:rsidP="00B0479F">
      <w:pPr>
        <w:pStyle w:val="EndNoteBibliography"/>
        <w:spacing w:after="0"/>
      </w:pPr>
    </w:p>
    <w:p w14:paraId="385C3FA3" w14:textId="77777777" w:rsidR="00B0479F" w:rsidRPr="00B0479F" w:rsidRDefault="00B0479F" w:rsidP="00B0479F">
      <w:pPr>
        <w:pStyle w:val="EndNoteBibliography"/>
      </w:pPr>
      <w:r w:rsidRPr="00B0479F">
        <w:t xml:space="preserve">Papais-Alvarenga, RM, Vasconcelos, CCF, Carra, A, De Castillo, IS, Florentin, S, De Bedoya, FHD, Mandler, R, De Siervi, LC, Pimentel, MLV, Alvarenga, MP, Alvarenga, MP, Grzesiuk, AK, Pereira, ABCG, Neto, APG, Velasquez, C, Soublette, C, Fleitas, CV, Diniz, DS, Armas, E, Batista, E, Hernandez, F, Da Costa Pereira, FFC, Siqueira, HH, Cabeça, H, Sanchez, J, Brooks, JBB, Gonçalves, MV, Del Negro Barroso, MC, Ravelo, ME, Castillo, MC, Ferreira, MLB, Rocha, MSG, Parolin, MKF, Molina, O, Marinho, PBC, Christo, PP, De Souza, RB, Neto, SP, Das Graças Camargo, SM, Machado, SC, Neri, VC, Fragoso, YD, Alvarenga, H &amp; Thuler, LCS 2015, 'Central nervous system idiopathic inflammatory demyelinating disorders in South Americans: A descriptive, multicenter, cross-sectional study', </w:t>
      </w:r>
      <w:r w:rsidRPr="00B0479F">
        <w:rPr>
          <w:i/>
        </w:rPr>
        <w:t>PLoS ONE</w:t>
      </w:r>
      <w:r w:rsidRPr="00B0479F">
        <w:t>, vol. 10, no. 7.</w:t>
      </w:r>
    </w:p>
    <w:p w14:paraId="590C0FAD" w14:textId="77777777" w:rsidR="00B0479F" w:rsidRPr="00B0479F" w:rsidRDefault="00B0479F" w:rsidP="00B0479F">
      <w:pPr>
        <w:pStyle w:val="EndNoteBibliography"/>
        <w:spacing w:after="0"/>
      </w:pPr>
    </w:p>
    <w:p w14:paraId="42212080" w14:textId="77777777" w:rsidR="00B0479F" w:rsidRPr="00B0479F" w:rsidRDefault="00B0479F" w:rsidP="00B0479F">
      <w:pPr>
        <w:pStyle w:val="EndNoteBibliography"/>
      </w:pPr>
      <w:r w:rsidRPr="00B0479F">
        <w:t xml:space="preserve">PCC-Immunology 2018, </w:t>
      </w:r>
      <w:r w:rsidRPr="00B0479F">
        <w:rPr>
          <w:i/>
        </w:rPr>
        <w:t>Report from the  Pathology-Clinical-Committee-Immunology</w:t>
      </w:r>
      <w:r w:rsidRPr="00B0479F">
        <w:t>,  Medicare Benefits Schedule Review Taskforce, Department of Health, Commonwealth of Australia, Canberra, Australia.</w:t>
      </w:r>
    </w:p>
    <w:p w14:paraId="7597D9E8" w14:textId="77777777" w:rsidR="00B0479F" w:rsidRPr="00B0479F" w:rsidRDefault="00B0479F" w:rsidP="00B0479F">
      <w:pPr>
        <w:pStyle w:val="EndNoteBibliography"/>
        <w:spacing w:after="0"/>
      </w:pPr>
    </w:p>
    <w:p w14:paraId="4B7344E4" w14:textId="77777777" w:rsidR="00B0479F" w:rsidRPr="00B0479F" w:rsidRDefault="00B0479F" w:rsidP="00B0479F">
      <w:pPr>
        <w:pStyle w:val="EndNoteBibliography"/>
      </w:pPr>
      <w:r w:rsidRPr="00B0479F">
        <w:t xml:space="preserve">Pittock, S, Berthele, A, Fujihara, K, Kim, HJ, Levy, M, Palace, J, Nakashima, I, Terzi, M, Totolyan, N, Viswanathan, S, Wang, K-C, Pace, A, Fujita, KP, Armstrong, R &amp; Wingerchuk, DM 2019, 'Eculizumab in Aquaporin-4–Positive Neuromyelitis Optica Spectrum Disorder', </w:t>
      </w:r>
      <w:r w:rsidRPr="00B0479F">
        <w:rPr>
          <w:i/>
        </w:rPr>
        <w:t>New England Journal of Medicine</w:t>
      </w:r>
      <w:r w:rsidRPr="00B0479F">
        <w:t>, vol. 381, no. 7, pp. 614-625.</w:t>
      </w:r>
    </w:p>
    <w:p w14:paraId="0AEE6E1F" w14:textId="77777777" w:rsidR="00B0479F" w:rsidRPr="00B0479F" w:rsidRDefault="00B0479F" w:rsidP="00B0479F">
      <w:pPr>
        <w:pStyle w:val="EndNoteBibliography"/>
        <w:spacing w:after="0"/>
      </w:pPr>
    </w:p>
    <w:p w14:paraId="058E2D09" w14:textId="77777777" w:rsidR="00B0479F" w:rsidRPr="00B0479F" w:rsidRDefault="00B0479F" w:rsidP="00B0479F">
      <w:pPr>
        <w:pStyle w:val="EndNoteBibliography"/>
      </w:pPr>
      <w:r w:rsidRPr="00B0479F">
        <w:t xml:space="preserve">Prain, KM, Woodhall, M, Vincent, A, Ramanathan, S, Barnett, MH, Bundell, C, Parratt, JDE, Silvestrini, RA, Bukhari, W, Collaboration., TAaNZN, Brilot, F, Waters, P &amp; Broadley, SA 2019, 'AQP4 Antibody Assay Sensitivity Comparison in the Era of the 2015 Diagnostic Criteria for NMOSD', </w:t>
      </w:r>
      <w:r w:rsidRPr="00B0479F">
        <w:rPr>
          <w:i/>
        </w:rPr>
        <w:t>Front Immunol</w:t>
      </w:r>
      <w:r w:rsidRPr="00B0479F">
        <w:t>, vol. 10, pp. 1-7.</w:t>
      </w:r>
    </w:p>
    <w:p w14:paraId="6E53061F" w14:textId="77777777" w:rsidR="00B0479F" w:rsidRPr="00B0479F" w:rsidRDefault="00B0479F" w:rsidP="00B0479F">
      <w:pPr>
        <w:pStyle w:val="EndNoteBibliography"/>
        <w:spacing w:after="0"/>
      </w:pPr>
    </w:p>
    <w:p w14:paraId="78B1D034" w14:textId="77777777" w:rsidR="00B0479F" w:rsidRPr="00B0479F" w:rsidRDefault="00B0479F" w:rsidP="00B0479F">
      <w:pPr>
        <w:pStyle w:val="EndNoteBibliography"/>
      </w:pPr>
      <w:r w:rsidRPr="00B0479F">
        <w:t xml:space="preserve">Ramanathan, S, Mohammad, S, Tantsis, E, Nguyen, TK, Merheb, V, Fung, VSC, White, OB, Broadley, S, Lechner-Scott, J, Vucic, S, Henderson, APD, Barnett, MH, Reddel, SW, Brilot, F &amp; Dale, RC 2018, 'Clinical course, therapeutic responses and outcomes in relapsing MOG antibody-associated demyelination', </w:t>
      </w:r>
      <w:r w:rsidRPr="00B0479F">
        <w:rPr>
          <w:i/>
        </w:rPr>
        <w:t>J Neurol Neurosurg Psychiatry</w:t>
      </w:r>
      <w:r w:rsidRPr="00B0479F">
        <w:t>, vol. 89, no. 2, Feb, pp. 127-137.</w:t>
      </w:r>
    </w:p>
    <w:p w14:paraId="4298F1B5" w14:textId="77777777" w:rsidR="00B0479F" w:rsidRPr="00B0479F" w:rsidRDefault="00B0479F" w:rsidP="00B0479F">
      <w:pPr>
        <w:pStyle w:val="EndNoteBibliography"/>
        <w:spacing w:after="0"/>
      </w:pPr>
    </w:p>
    <w:p w14:paraId="0B611FA4" w14:textId="77777777" w:rsidR="00B0479F" w:rsidRPr="00B0479F" w:rsidRDefault="00B0479F" w:rsidP="00B0479F">
      <w:pPr>
        <w:pStyle w:val="EndNoteBibliography"/>
      </w:pPr>
      <w:r w:rsidRPr="00B0479F">
        <w:t xml:space="preserve">Roever, L 2016, 'Types of bias in studies of diagnostic test accuracy', </w:t>
      </w:r>
      <w:r w:rsidRPr="00B0479F">
        <w:rPr>
          <w:i/>
        </w:rPr>
        <w:t>Evidence based Medicine and Practice</w:t>
      </w:r>
      <w:r w:rsidRPr="00B0479F">
        <w:t>, vol. - 2, no. -, pp. - 1-2.</w:t>
      </w:r>
    </w:p>
    <w:p w14:paraId="421785FA" w14:textId="77777777" w:rsidR="00B0479F" w:rsidRPr="00B0479F" w:rsidRDefault="00B0479F" w:rsidP="00B0479F">
      <w:pPr>
        <w:pStyle w:val="EndNoteBibliography"/>
        <w:spacing w:after="0"/>
      </w:pPr>
    </w:p>
    <w:p w14:paraId="7096C655" w14:textId="77777777" w:rsidR="00B0479F" w:rsidRPr="00B0479F" w:rsidRDefault="00B0479F" w:rsidP="00B0479F">
      <w:pPr>
        <w:pStyle w:val="EndNoteBibliography"/>
      </w:pPr>
      <w:r w:rsidRPr="00B0479F">
        <w:t xml:space="preserve">Rosselli, D, Acosta, A, Castañeda, C, Ruiz-Patiño, A &amp; Ruiz, R 2015, 'Cost-effectiveness of AQ P4 antibody detection with cell-based assay compared with elisa for devic disease diagnosis in Colombia', </w:t>
      </w:r>
      <w:r w:rsidRPr="00B0479F">
        <w:rPr>
          <w:i/>
        </w:rPr>
        <w:t>Value in Health</w:t>
      </w:r>
      <w:r w:rsidRPr="00B0479F">
        <w:t>, vol. 18, no. 3, p. A44.</w:t>
      </w:r>
    </w:p>
    <w:p w14:paraId="33581536" w14:textId="77777777" w:rsidR="00B0479F" w:rsidRPr="00B0479F" w:rsidRDefault="00B0479F" w:rsidP="00B0479F">
      <w:pPr>
        <w:pStyle w:val="EndNoteBibliography"/>
        <w:spacing w:after="0"/>
      </w:pPr>
    </w:p>
    <w:p w14:paraId="7A724CCE" w14:textId="77777777" w:rsidR="00B0479F" w:rsidRPr="00B0479F" w:rsidRDefault="00B0479F" w:rsidP="00B0479F">
      <w:pPr>
        <w:pStyle w:val="EndNoteBibliography"/>
      </w:pPr>
      <w:r w:rsidRPr="00B0479F">
        <w:t xml:space="preserve">Ruiz-Gaviria, R, Baracaldo, I, Castaneda, C, Ruiz-Patino, A, Acosta-Hernandez, A &amp; Rosselli, D 2015, 'Specificity and sensitivity of aquaporin 4 antibody detection tests in patients with neuromyelitis optica: A meta-analysis', </w:t>
      </w:r>
      <w:r w:rsidRPr="00B0479F">
        <w:rPr>
          <w:i/>
        </w:rPr>
        <w:t>Mult Scler Relat Disord</w:t>
      </w:r>
      <w:r w:rsidRPr="00B0479F">
        <w:t>, vol. 4, no. 4, Jul, pp. 345-349.</w:t>
      </w:r>
    </w:p>
    <w:p w14:paraId="342640A8" w14:textId="77777777" w:rsidR="00B0479F" w:rsidRPr="00B0479F" w:rsidRDefault="00B0479F" w:rsidP="00B0479F">
      <w:pPr>
        <w:pStyle w:val="EndNoteBibliography"/>
        <w:spacing w:after="0"/>
      </w:pPr>
    </w:p>
    <w:p w14:paraId="53E9ED63" w14:textId="77777777" w:rsidR="00B0479F" w:rsidRPr="00B0479F" w:rsidRDefault="00B0479F" w:rsidP="00B0479F">
      <w:pPr>
        <w:pStyle w:val="EndNoteBibliography"/>
      </w:pPr>
      <w:r w:rsidRPr="00B0479F">
        <w:t xml:space="preserve">Sellner, J, Boggild, M, Clanet, M, Hintzen, RQ, Illes, Z, Montalban, X, Du Pasquier, RA, Polman, CH, Sorensen, PS &amp; Hemmer, B 2010, 'EFNS guidelines on diagnosis and management of neuromyelitis optica', </w:t>
      </w:r>
      <w:r w:rsidRPr="00B0479F">
        <w:rPr>
          <w:i/>
        </w:rPr>
        <w:t>Eur J Neurol</w:t>
      </w:r>
      <w:r w:rsidRPr="00B0479F">
        <w:t>, vol. 17, no. 8, Aug, pp. 1019-1032.</w:t>
      </w:r>
    </w:p>
    <w:p w14:paraId="7AF7CB92" w14:textId="77777777" w:rsidR="00B0479F" w:rsidRPr="00B0479F" w:rsidRDefault="00B0479F" w:rsidP="00B0479F">
      <w:pPr>
        <w:pStyle w:val="EndNoteBibliography"/>
        <w:spacing w:after="0"/>
      </w:pPr>
    </w:p>
    <w:p w14:paraId="3CDE21A6" w14:textId="77777777" w:rsidR="00B0479F" w:rsidRPr="00B0479F" w:rsidRDefault="00B0479F" w:rsidP="00B0479F">
      <w:pPr>
        <w:pStyle w:val="EndNoteBibliography"/>
      </w:pPr>
      <w:r w:rsidRPr="00B0479F">
        <w:lastRenderedPageBreak/>
        <w:t xml:space="preserve">Shaygannejad, V, Fayyazi, E, Badihian, S, Mirmosayyeb, O, Manouchehri, N, Ashtari, F &amp; Asgari, N 2019, 'Long-term tolerability, safety and efficacy of rituximab in neuromyelitis optica spectrum disorder: a prospective study', </w:t>
      </w:r>
      <w:r w:rsidRPr="00B0479F">
        <w:rPr>
          <w:i/>
        </w:rPr>
        <w:t>J Neurol</w:t>
      </w:r>
      <w:r w:rsidRPr="00B0479F">
        <w:t>, vol. 266, no. 3, Mar, pp. 642-650.</w:t>
      </w:r>
    </w:p>
    <w:p w14:paraId="781F6402" w14:textId="77777777" w:rsidR="00B0479F" w:rsidRPr="00B0479F" w:rsidRDefault="00B0479F" w:rsidP="00B0479F">
      <w:pPr>
        <w:pStyle w:val="EndNoteBibliography"/>
        <w:spacing w:after="0"/>
      </w:pPr>
    </w:p>
    <w:p w14:paraId="4D3C30D4" w14:textId="77777777" w:rsidR="00B0479F" w:rsidRPr="00B0479F" w:rsidRDefault="00B0479F" w:rsidP="00B0479F">
      <w:pPr>
        <w:pStyle w:val="EndNoteBibliography"/>
      </w:pPr>
      <w:r w:rsidRPr="00B0479F">
        <w:t xml:space="preserve">Shea, BJ, Reeves, BC, Wells, G, Thuku, M, Hamel, C, Moran, J, Moher, D, Tugwell, P, Welch, V, Kristjansson, E &amp; Henry, DA 2017, 'AMSTAR 2: a critical appraisal tool for systematic reviews that include randomised or non-randomised studies of healthcare interventions, or both', </w:t>
      </w:r>
      <w:r w:rsidRPr="00B0479F">
        <w:rPr>
          <w:i/>
        </w:rPr>
        <w:t>BMJ</w:t>
      </w:r>
      <w:r w:rsidRPr="00B0479F">
        <w:t>, vol. 358.</w:t>
      </w:r>
    </w:p>
    <w:p w14:paraId="7D384850" w14:textId="77777777" w:rsidR="00B0479F" w:rsidRPr="00B0479F" w:rsidRDefault="00B0479F" w:rsidP="00B0479F">
      <w:pPr>
        <w:pStyle w:val="EndNoteBibliography"/>
        <w:spacing w:after="0"/>
      </w:pPr>
    </w:p>
    <w:p w14:paraId="3DD8219F" w14:textId="0B81116D" w:rsidR="00B0479F" w:rsidRPr="00B0479F" w:rsidRDefault="00B0479F" w:rsidP="00B0479F">
      <w:pPr>
        <w:pStyle w:val="EndNoteBibliography"/>
      </w:pPr>
      <w:r w:rsidRPr="00B0479F">
        <w:t xml:space="preserve">SIGN 2014, </w:t>
      </w:r>
      <w:r w:rsidRPr="00B0479F">
        <w:rPr>
          <w:i/>
        </w:rPr>
        <w:t>SIGN 50: a guideline developer’s handbook (SIGN publication no. 50)</w:t>
      </w:r>
      <w:r w:rsidRPr="00B0479F">
        <w:t xml:space="preserve">, Scottish Intercollegiate Guidelines Network, Edinburgh, &lt; </w:t>
      </w:r>
      <w:hyperlink r:id="rId87" w:history="1">
        <w:r w:rsidRPr="00B0479F">
          <w:rPr>
            <w:rStyle w:val="Hyperlink"/>
          </w:rPr>
          <w:t>http://www.sign.ac.uk</w:t>
        </w:r>
      </w:hyperlink>
      <w:r w:rsidRPr="00B0479F">
        <w:t>&gt;.</w:t>
      </w:r>
    </w:p>
    <w:p w14:paraId="278FA37B" w14:textId="77777777" w:rsidR="00B0479F" w:rsidRPr="00B0479F" w:rsidRDefault="00B0479F" w:rsidP="00B0479F">
      <w:pPr>
        <w:pStyle w:val="EndNoteBibliography"/>
        <w:spacing w:after="0"/>
      </w:pPr>
    </w:p>
    <w:p w14:paraId="5D2D5A94" w14:textId="77777777" w:rsidR="00B0479F" w:rsidRPr="00B0479F" w:rsidRDefault="00B0479F" w:rsidP="00B0479F">
      <w:pPr>
        <w:pStyle w:val="EndNoteBibliography"/>
      </w:pPr>
      <w:r w:rsidRPr="00B0479F">
        <w:t xml:space="preserve">Siritho, S, Thavorncharoensap, M, Chanatittarat, C, Pasogpakdee, P, Apiwattanakul, M, Prayoonwiwat, N, Chankrachang, S, Riewpaiboon, A &amp; Chaikledkaew, U 2018, 'Health utilities of patients with multiple sclerosis and neuromyelitis optica spectrum disorders in Thailand', </w:t>
      </w:r>
      <w:r w:rsidRPr="00B0479F">
        <w:rPr>
          <w:i/>
        </w:rPr>
        <w:t>Mult Scler Relat Disord</w:t>
      </w:r>
      <w:r w:rsidRPr="00B0479F">
        <w:t>, vol. 24, Aug, pp. 151-156.</w:t>
      </w:r>
    </w:p>
    <w:p w14:paraId="783F4F93" w14:textId="77777777" w:rsidR="00B0479F" w:rsidRPr="00B0479F" w:rsidRDefault="00B0479F" w:rsidP="00B0479F">
      <w:pPr>
        <w:pStyle w:val="EndNoteBibliography"/>
        <w:spacing w:after="0"/>
      </w:pPr>
    </w:p>
    <w:p w14:paraId="6825DDA6" w14:textId="77777777" w:rsidR="00B0479F" w:rsidRPr="00B0479F" w:rsidRDefault="00B0479F" w:rsidP="00B0479F">
      <w:pPr>
        <w:pStyle w:val="EndNoteBibliography"/>
      </w:pPr>
      <w:r w:rsidRPr="00B0479F">
        <w:t xml:space="preserve">Stellmann, JP, Krumbholz, M, Friede, T, Gahlen, A, Borisow, N, Fischer, K, Hellwig, K, Pache, F, Ruprecht, K, Havla, J, Kumpfel, T, Aktas, O, Hartung, HP, Ringelstein, M, Geis, C, Kleinschnitz, C, Berthele, A, Hemmer, B, Angstwurm, K, Young, KL, Schuster, S, Stangel, M, Lauda, F, Tumani, H, Mayer, C, Zeltner, L, Ziemann, U, Linker, RA, Schwab, M, Marziniak, M, Then Bergh, F, Hofstadt-van Oy, U, Neuhaus, O, Zettl, U, Faiss, J, Wildemann, B, Paul, F, Jarius, S, Trebst, C &amp; Kleiter, I 2017, 'Immunotherapies in neuromyelitis optica spectrum disorder: efficacy and predictors of response', </w:t>
      </w:r>
      <w:r w:rsidRPr="00B0479F">
        <w:rPr>
          <w:i/>
        </w:rPr>
        <w:t>J Neurol Neurosurg Psychiatry</w:t>
      </w:r>
      <w:r w:rsidRPr="00B0479F">
        <w:t>, vol. 88, no. 8, Aug, pp. 639-647.</w:t>
      </w:r>
    </w:p>
    <w:p w14:paraId="33231C1E" w14:textId="77777777" w:rsidR="00B0479F" w:rsidRPr="00B0479F" w:rsidRDefault="00B0479F" w:rsidP="00B0479F">
      <w:pPr>
        <w:pStyle w:val="EndNoteBibliography"/>
        <w:spacing w:after="0"/>
      </w:pPr>
    </w:p>
    <w:p w14:paraId="6C8C09AD" w14:textId="77777777" w:rsidR="00B0479F" w:rsidRPr="00B0479F" w:rsidRDefault="00B0479F" w:rsidP="00B0479F">
      <w:pPr>
        <w:pStyle w:val="EndNoteBibliography"/>
      </w:pPr>
      <w:r w:rsidRPr="00B0479F">
        <w:t xml:space="preserve">Stiebel-Kalish, H, Hellmann, MA, Mimouni, M, Paul, F, Bialer, O, Bach, M &amp; Lotan, I 2019, 'Does time equal vision in the acute treatment of a cohort of AQP4 and MOG optic neuritis?', </w:t>
      </w:r>
      <w:r w:rsidRPr="00B0479F">
        <w:rPr>
          <w:i/>
        </w:rPr>
        <w:t>Neurology: Neuroimmunology and NeuroInflammation</w:t>
      </w:r>
      <w:r w:rsidRPr="00B0479F">
        <w:t>, vol. 6, no. 4, pp. 1-7.</w:t>
      </w:r>
    </w:p>
    <w:p w14:paraId="136069D1" w14:textId="77777777" w:rsidR="00B0479F" w:rsidRPr="00B0479F" w:rsidRDefault="00B0479F" w:rsidP="00B0479F">
      <w:pPr>
        <w:pStyle w:val="EndNoteBibliography"/>
        <w:spacing w:after="0"/>
      </w:pPr>
    </w:p>
    <w:p w14:paraId="38C6FFE0" w14:textId="77777777" w:rsidR="00B0479F" w:rsidRPr="00B0479F" w:rsidRDefault="00B0479F" w:rsidP="00B0479F">
      <w:pPr>
        <w:pStyle w:val="EndNoteBibliography"/>
      </w:pPr>
      <w:r w:rsidRPr="00B0479F">
        <w:t xml:space="preserve">Tanaka, M, Tanaka, K &amp; Komori, M 2009, 'Interferon-β1b treatment in neuromyelitis optica', </w:t>
      </w:r>
      <w:r w:rsidRPr="00B0479F">
        <w:rPr>
          <w:i/>
        </w:rPr>
        <w:t>European Neurology</w:t>
      </w:r>
      <w:r w:rsidRPr="00B0479F">
        <w:t>, vol. 62, no. 3, pp. 167-170.</w:t>
      </w:r>
    </w:p>
    <w:p w14:paraId="1AD72DE0" w14:textId="77777777" w:rsidR="00B0479F" w:rsidRPr="00B0479F" w:rsidRDefault="00B0479F" w:rsidP="00B0479F">
      <w:pPr>
        <w:pStyle w:val="EndNoteBibliography"/>
        <w:spacing w:after="0"/>
      </w:pPr>
    </w:p>
    <w:p w14:paraId="20D566D8" w14:textId="77777777" w:rsidR="00B0479F" w:rsidRPr="00B0479F" w:rsidRDefault="00B0479F" w:rsidP="00B0479F">
      <w:pPr>
        <w:pStyle w:val="EndNoteBibliography"/>
      </w:pPr>
      <w:r w:rsidRPr="00B0479F">
        <w:t xml:space="preserve">Trebst, C, Jarius, S, Berthele, A, Paul, F, Schippling, S, Wildemann, B, Borisow, N, Kleiter, I, Aktas, O, Kümpfel, T &amp; Neuromyelitis Optica Study, G 2014, 'Update on the diagnosis and treatment of neuromyelitis optica: recommendations of the Neuromyelitis Optica Study Group (NEMOS)', </w:t>
      </w:r>
      <w:r w:rsidRPr="00B0479F">
        <w:rPr>
          <w:i/>
        </w:rPr>
        <w:t>Journal of neurology</w:t>
      </w:r>
      <w:r w:rsidRPr="00B0479F">
        <w:t>, vol. 261, no. 1, pp. 1-16.</w:t>
      </w:r>
    </w:p>
    <w:p w14:paraId="1CD9AB95" w14:textId="77777777" w:rsidR="00B0479F" w:rsidRPr="00B0479F" w:rsidRDefault="00B0479F" w:rsidP="00B0479F">
      <w:pPr>
        <w:pStyle w:val="EndNoteBibliography"/>
        <w:spacing w:after="0"/>
      </w:pPr>
    </w:p>
    <w:p w14:paraId="4CB485AE" w14:textId="77777777" w:rsidR="00B0479F" w:rsidRPr="00B0479F" w:rsidRDefault="00B0479F" w:rsidP="00B0479F">
      <w:pPr>
        <w:pStyle w:val="EndNoteBibliography"/>
      </w:pPr>
      <w:r w:rsidRPr="00B0479F">
        <w:t xml:space="preserve">Valentino, P, Marnetto, F, Granieri, L, Capobianco, M &amp; Bertolotto, A 2017, 'Aquaporin-4 antibody titration in NMO patients treated with rituximab: A retrospective study', </w:t>
      </w:r>
      <w:r w:rsidRPr="00B0479F">
        <w:rPr>
          <w:i/>
        </w:rPr>
        <w:t>Neurology: Neuroimmunology and NeuroInflammation</w:t>
      </w:r>
      <w:r w:rsidRPr="00B0479F">
        <w:t>, vol. 4, no. 2, pp. 1-9.</w:t>
      </w:r>
    </w:p>
    <w:p w14:paraId="78B8FCA0" w14:textId="77777777" w:rsidR="00B0479F" w:rsidRPr="00B0479F" w:rsidRDefault="00B0479F" w:rsidP="00B0479F">
      <w:pPr>
        <w:pStyle w:val="EndNoteBibliography"/>
        <w:spacing w:after="0"/>
      </w:pPr>
    </w:p>
    <w:p w14:paraId="28D0935C" w14:textId="77777777" w:rsidR="00B0479F" w:rsidRPr="00B0479F" w:rsidRDefault="00B0479F" w:rsidP="00B0479F">
      <w:pPr>
        <w:pStyle w:val="EndNoteBibliography"/>
      </w:pPr>
      <w:r w:rsidRPr="00B0479F">
        <w:t xml:space="preserve">Wang, KC, Lin, KH, Lee, TC, Lee, CL, Chen, SY, Chen, SJ, Chin, LT &amp; Tsai, CP 2014, 'Poor responses to interferon-beta treatment in patients with neuromyelitis optica and multiple sclerosis with long spinal cord lesions', </w:t>
      </w:r>
      <w:r w:rsidRPr="00B0479F">
        <w:rPr>
          <w:i/>
        </w:rPr>
        <w:t>PLoS ONE</w:t>
      </w:r>
      <w:r w:rsidRPr="00B0479F">
        <w:t>, vol. 9, no. 6, p. e98192.</w:t>
      </w:r>
    </w:p>
    <w:p w14:paraId="1AAE3BA1" w14:textId="77777777" w:rsidR="00B0479F" w:rsidRPr="00B0479F" w:rsidRDefault="00B0479F" w:rsidP="00B0479F">
      <w:pPr>
        <w:pStyle w:val="EndNoteBibliography"/>
        <w:spacing w:after="0"/>
      </w:pPr>
    </w:p>
    <w:p w14:paraId="3BCEFCE6" w14:textId="77777777" w:rsidR="00B0479F" w:rsidRPr="00B0479F" w:rsidRDefault="00B0479F" w:rsidP="00B0479F">
      <w:pPr>
        <w:pStyle w:val="EndNoteBibliography"/>
      </w:pPr>
      <w:r w:rsidRPr="00B0479F">
        <w:lastRenderedPageBreak/>
        <w:t xml:space="preserve">Waters, P, McKeon, A, Leite, MI, Rajasekharan, S, Lennon, VA, Villalobos, A, Palace, J, Mandrekar, JN, Vincent, A, Bar-Or, A &amp; Pittock, SJ 2012, 'Serologic diagnosis of NMO: a multicenter comparison of aquaporin-4-IgG assays', </w:t>
      </w:r>
      <w:r w:rsidRPr="00B0479F">
        <w:rPr>
          <w:i/>
        </w:rPr>
        <w:t>Neurology</w:t>
      </w:r>
      <w:r w:rsidRPr="00B0479F">
        <w:t xml:space="preserve">, vol. 78, no. 9, Feb 28, pp. 665-671 </w:t>
      </w:r>
    </w:p>
    <w:p w14:paraId="48CB956B" w14:textId="77777777" w:rsidR="00B0479F" w:rsidRPr="00B0479F" w:rsidRDefault="00B0479F" w:rsidP="00B0479F">
      <w:pPr>
        <w:pStyle w:val="EndNoteBibliography"/>
        <w:spacing w:after="0"/>
      </w:pPr>
    </w:p>
    <w:p w14:paraId="09A83686" w14:textId="77777777" w:rsidR="00B0479F" w:rsidRPr="00B0479F" w:rsidRDefault="00B0479F" w:rsidP="00B0479F">
      <w:pPr>
        <w:pStyle w:val="EndNoteBibliography"/>
      </w:pPr>
      <w:r w:rsidRPr="00B0479F">
        <w:t xml:space="preserve">Waters, P, Pittock, SJ, Bennett, JL, Jarius, S, Weinshenker, BG &amp; Wingerchuk, DM 2014, 'Evaluation of aquaporin-4 antibody assays', </w:t>
      </w:r>
      <w:r w:rsidRPr="00B0479F">
        <w:rPr>
          <w:i/>
        </w:rPr>
        <w:t>Clinical and Experimental Neuroimmunology</w:t>
      </w:r>
      <w:r w:rsidRPr="00B0479F">
        <w:t>, vol. 5, no. 3, pp. 290-303.</w:t>
      </w:r>
    </w:p>
    <w:p w14:paraId="65B81A61" w14:textId="77777777" w:rsidR="00B0479F" w:rsidRPr="00B0479F" w:rsidRDefault="00B0479F" w:rsidP="00B0479F">
      <w:pPr>
        <w:pStyle w:val="EndNoteBibliography"/>
        <w:spacing w:after="0"/>
      </w:pPr>
    </w:p>
    <w:p w14:paraId="32596CF0" w14:textId="77777777" w:rsidR="00B0479F" w:rsidRPr="00B0479F" w:rsidRDefault="00B0479F" w:rsidP="00B0479F">
      <w:pPr>
        <w:pStyle w:val="EndNoteBibliography"/>
      </w:pPr>
      <w:r w:rsidRPr="00B0479F">
        <w:t xml:space="preserve">Waters, P, Reindl, M, Saiz, A, Schanda, K, Tuller, F, Kral, V, Nytrova, P, Sobek, O, Nielsen, HH, Barington, T, Lillevang, ST, Illes, Z, Rentzsch, K, Berthele, A, Berki, T, Granieri, L, Bertolotto, A, Giometto, B, Zuliani, L, Hamann, D, van Pelt, ED, Hintzen, R, Hoftberger, R, Costa, C, Comabella, M, Montalban, X, Tintore, M, Siva, A, Altintas, A, Deniz, G, Woodhall, M, Palace, J, Paul, F, Hartung, HP, Aktas, O, Jarius, S, Wildemann, B, Vedeler, C, Ruiz, A, Leite, MI, Trillenberg, P, Probst, M, Saschenbrecker, S, Vincent, A &amp; Marignier, R 2016, 'Multicentre comparison of a diagnostic assay: aquaporin-4 antibodies in neuromyelitis optica', </w:t>
      </w:r>
      <w:r w:rsidRPr="00B0479F">
        <w:rPr>
          <w:i/>
        </w:rPr>
        <w:t>J Neurol Neurosurg Psychiatry</w:t>
      </w:r>
      <w:r w:rsidRPr="00B0479F">
        <w:t>, vol. 87, no. 9, Sep, pp. 1005-1015.</w:t>
      </w:r>
    </w:p>
    <w:p w14:paraId="5A296994" w14:textId="77777777" w:rsidR="00B0479F" w:rsidRPr="00B0479F" w:rsidRDefault="00B0479F" w:rsidP="00B0479F">
      <w:pPr>
        <w:pStyle w:val="EndNoteBibliography"/>
        <w:spacing w:after="0"/>
      </w:pPr>
    </w:p>
    <w:p w14:paraId="468A4C04" w14:textId="77777777" w:rsidR="00B0479F" w:rsidRPr="00B0479F" w:rsidRDefault="00B0479F" w:rsidP="00B0479F">
      <w:pPr>
        <w:pStyle w:val="EndNoteBibliography"/>
      </w:pPr>
      <w:r w:rsidRPr="00B0479F">
        <w:t xml:space="preserve">Weinshenker, BG, Wingerchuk, DM, Vukusic, S, Linbo, L, Pittock, SJ, Lucchinetti, CF &amp; Lennon, VA 2006, 'Neuromyelitis optica IgG predicts relapse after longitudinally extensive transverse myelitis', </w:t>
      </w:r>
      <w:r w:rsidRPr="00B0479F">
        <w:rPr>
          <w:i/>
        </w:rPr>
        <w:t>Ann Neurol</w:t>
      </w:r>
      <w:r w:rsidRPr="00B0479F">
        <w:t>, vol. 59, no. 3, Mar, pp. 566-569.</w:t>
      </w:r>
    </w:p>
    <w:p w14:paraId="21A9E04C" w14:textId="77777777" w:rsidR="00B0479F" w:rsidRPr="00B0479F" w:rsidRDefault="00B0479F" w:rsidP="00B0479F">
      <w:pPr>
        <w:pStyle w:val="EndNoteBibliography"/>
        <w:spacing w:after="0"/>
      </w:pPr>
    </w:p>
    <w:p w14:paraId="77C5B3DD" w14:textId="77777777" w:rsidR="00B0479F" w:rsidRPr="00B0479F" w:rsidRDefault="00B0479F" w:rsidP="00B0479F">
      <w:pPr>
        <w:pStyle w:val="EndNoteBibliography"/>
      </w:pPr>
      <w:r w:rsidRPr="00B0479F">
        <w:t xml:space="preserve">Weinstock-Guttman, B, Miller, C, Yeh, E, Stosic, M, Umhauer, M, Batra, N, Munschauer, F, Zivadinov, R &amp; Ramanathan, M 2008, 'Neuromyelitis optica immunoglobulins as a marker of disease activity and response to therapy in patients with neuromyelitis optica', </w:t>
      </w:r>
      <w:r w:rsidRPr="00B0479F">
        <w:rPr>
          <w:i/>
        </w:rPr>
        <w:t>Mult Scler</w:t>
      </w:r>
      <w:r w:rsidRPr="00B0479F">
        <w:t>, vol. 14, no. 8, Sep, pp. 1061-1067.</w:t>
      </w:r>
    </w:p>
    <w:p w14:paraId="5FA97EAC" w14:textId="77777777" w:rsidR="00B0479F" w:rsidRPr="00B0479F" w:rsidRDefault="00B0479F" w:rsidP="00B0479F">
      <w:pPr>
        <w:pStyle w:val="EndNoteBibliography"/>
        <w:spacing w:after="0"/>
      </w:pPr>
    </w:p>
    <w:p w14:paraId="37E9915E" w14:textId="77777777" w:rsidR="00B0479F" w:rsidRPr="00B0479F" w:rsidRDefault="00B0479F" w:rsidP="00B0479F">
      <w:pPr>
        <w:pStyle w:val="EndNoteBibliography"/>
      </w:pPr>
      <w:r w:rsidRPr="00B0479F">
        <w:t xml:space="preserve">Whiting, PF, Rutjes, AW, Westwood, ME, Mallett, S, Deeks, JJ, Reitsma, JB, Leeflang, MM, Sterne, JA &amp; Bossuyt, PM 2011, 'QUADAS-2: a revised tool for the quality assessment of diagnostic accuracy studies', </w:t>
      </w:r>
      <w:r w:rsidRPr="00B0479F">
        <w:rPr>
          <w:i/>
        </w:rPr>
        <w:t>Ann Intern Med</w:t>
      </w:r>
      <w:r w:rsidRPr="00B0479F">
        <w:t>, vol. 155, no. 8, Oct 18, pp. 529-536.</w:t>
      </w:r>
    </w:p>
    <w:p w14:paraId="77363AFA" w14:textId="77777777" w:rsidR="00B0479F" w:rsidRPr="00B0479F" w:rsidRDefault="00B0479F" w:rsidP="00B0479F">
      <w:pPr>
        <w:pStyle w:val="EndNoteBibliography"/>
        <w:spacing w:after="0"/>
      </w:pPr>
    </w:p>
    <w:p w14:paraId="2B7D2D06" w14:textId="77777777" w:rsidR="00B0479F" w:rsidRPr="00B0479F" w:rsidRDefault="00B0479F" w:rsidP="00B0479F">
      <w:pPr>
        <w:pStyle w:val="EndNoteBibliography"/>
      </w:pPr>
      <w:r w:rsidRPr="00B0479F">
        <w:t xml:space="preserve">Wingerchuk, DM, Banwell, B, Bennett, JL, Cabre, P, Carroll, WM, Chitnis, T, de Seze, J, Fujihara, K, Greenberg, BM, Jacob, A, Jarius, S, Lana-Peixoto, M, Levy, M, Simon, JH, Tenembaum, S, Traboulsee, AL, Waters, P, Wellik, KE &amp; Weinshenker, BG 2015, 'International consensus diagnostic criteria for neuromyelitis optica spectrum disorders', </w:t>
      </w:r>
      <w:r w:rsidRPr="00B0479F">
        <w:rPr>
          <w:i/>
        </w:rPr>
        <w:t>Neurology</w:t>
      </w:r>
      <w:r w:rsidRPr="00B0479F">
        <w:t>, vol. 85, no. 2, pp. 177-189.</w:t>
      </w:r>
    </w:p>
    <w:p w14:paraId="1AAEF645" w14:textId="77777777" w:rsidR="00B0479F" w:rsidRPr="00B0479F" w:rsidRDefault="00B0479F" w:rsidP="00B0479F">
      <w:pPr>
        <w:pStyle w:val="EndNoteBibliography"/>
        <w:spacing w:after="0"/>
      </w:pPr>
    </w:p>
    <w:p w14:paraId="078367F7" w14:textId="77777777" w:rsidR="00B0479F" w:rsidRPr="00B0479F" w:rsidRDefault="00B0479F" w:rsidP="00B0479F">
      <w:pPr>
        <w:pStyle w:val="EndNoteBibliography"/>
      </w:pPr>
      <w:r w:rsidRPr="00B0479F">
        <w:t xml:space="preserve">Wingerchuk, DM, Hogancamp, WF, O'Brien, PC &amp; Weinshenker, BG 1999, 'The clinical course of neuromyelitis optica (Devic's syndrome)', </w:t>
      </w:r>
      <w:r w:rsidRPr="00B0479F">
        <w:rPr>
          <w:i/>
        </w:rPr>
        <w:t>Neurology</w:t>
      </w:r>
      <w:r w:rsidRPr="00B0479F">
        <w:t>, vol. 53, no. 5, Sep 22, pp. 1107-1114.</w:t>
      </w:r>
    </w:p>
    <w:p w14:paraId="1E8DE80D" w14:textId="77777777" w:rsidR="00B0479F" w:rsidRPr="00B0479F" w:rsidRDefault="00B0479F" w:rsidP="00B0479F">
      <w:pPr>
        <w:pStyle w:val="EndNoteBibliography"/>
        <w:spacing w:after="0"/>
      </w:pPr>
    </w:p>
    <w:p w14:paraId="0A03353D" w14:textId="77777777" w:rsidR="00B0479F" w:rsidRPr="00B0479F" w:rsidRDefault="00B0479F" w:rsidP="00B0479F">
      <w:pPr>
        <w:pStyle w:val="EndNoteBibliography"/>
      </w:pPr>
      <w:r w:rsidRPr="00B0479F">
        <w:t xml:space="preserve">Wingerchuk, DM, Lennon, VA, Pittock, SJ, Lucchinetti, CF &amp; Weinshenker, BG 2006, 'Revised diagnostic criteria for neuromyelitis optica', </w:t>
      </w:r>
      <w:r w:rsidRPr="00B0479F">
        <w:rPr>
          <w:i/>
        </w:rPr>
        <w:t>Neurology</w:t>
      </w:r>
      <w:r w:rsidRPr="00B0479F">
        <w:t>, vol. 66, no. 10, May 23, pp. 1485-1489.</w:t>
      </w:r>
    </w:p>
    <w:p w14:paraId="74ACC201" w14:textId="77777777" w:rsidR="00B0479F" w:rsidRPr="00B0479F" w:rsidRDefault="00B0479F" w:rsidP="00B0479F">
      <w:pPr>
        <w:pStyle w:val="EndNoteBibliography"/>
        <w:spacing w:after="0"/>
      </w:pPr>
    </w:p>
    <w:p w14:paraId="00AA86EA" w14:textId="77777777" w:rsidR="00B0479F" w:rsidRPr="00B0479F" w:rsidRDefault="00B0479F" w:rsidP="00B0479F">
      <w:pPr>
        <w:pStyle w:val="EndNoteBibliography"/>
      </w:pPr>
      <w:r w:rsidRPr="00B0479F">
        <w:t xml:space="preserve">Wingerchuk, DM &amp; Weinshenker, BG 2003, 'Neuromyelitis optica: clinical predictors of a relapsing course and survival', </w:t>
      </w:r>
      <w:r w:rsidRPr="00B0479F">
        <w:rPr>
          <w:i/>
        </w:rPr>
        <w:t>Neurology</w:t>
      </w:r>
      <w:r w:rsidRPr="00B0479F">
        <w:t>, vol. 60, no. 5, Mar 11, pp. 848-853.</w:t>
      </w:r>
    </w:p>
    <w:p w14:paraId="75CAA315" w14:textId="77777777" w:rsidR="00B0479F" w:rsidRPr="00B0479F" w:rsidRDefault="00B0479F" w:rsidP="00B0479F">
      <w:pPr>
        <w:pStyle w:val="EndNoteBibliography"/>
        <w:spacing w:after="0"/>
      </w:pPr>
    </w:p>
    <w:p w14:paraId="0657177E" w14:textId="77777777" w:rsidR="00B0479F" w:rsidRPr="00B0479F" w:rsidRDefault="00B0479F" w:rsidP="00B0479F">
      <w:pPr>
        <w:pStyle w:val="EndNoteBibliography"/>
      </w:pPr>
      <w:r w:rsidRPr="00B0479F">
        <w:t xml:space="preserve">Wongseelashote, S, Tayal, V &amp; Bourke, PF 2018, 'Off-label use of rituximab in autoimmune disease in the Top End of the Northern Territory, 2008-2016', </w:t>
      </w:r>
      <w:r w:rsidRPr="00B0479F">
        <w:rPr>
          <w:i/>
        </w:rPr>
        <w:t>Intern Med J</w:t>
      </w:r>
      <w:r w:rsidRPr="00B0479F">
        <w:t>, vol. 48, no. 2, Feb, pp. 165-172.</w:t>
      </w:r>
    </w:p>
    <w:p w14:paraId="17A47AEC" w14:textId="77777777" w:rsidR="00B0479F" w:rsidRPr="00B0479F" w:rsidRDefault="00B0479F" w:rsidP="00B0479F">
      <w:pPr>
        <w:pStyle w:val="EndNoteBibliography"/>
        <w:spacing w:after="0"/>
      </w:pPr>
    </w:p>
    <w:p w14:paraId="3971608E" w14:textId="77777777" w:rsidR="00B0479F" w:rsidRPr="00B0479F" w:rsidRDefault="00B0479F" w:rsidP="00B0479F">
      <w:pPr>
        <w:pStyle w:val="EndNoteBibliography"/>
      </w:pPr>
      <w:r w:rsidRPr="00B0479F">
        <w:lastRenderedPageBreak/>
        <w:t xml:space="preserve">Wu, JS, Zhang, MN, Carroll, WM &amp; Kermode, AG 2008, 'Characterisation of the spectrum of demyelinating disease in Western Australia', </w:t>
      </w:r>
      <w:r w:rsidRPr="00B0479F">
        <w:rPr>
          <w:i/>
        </w:rPr>
        <w:t>J Neurol Neurosurg Psychiatry</w:t>
      </w:r>
      <w:r w:rsidRPr="00B0479F">
        <w:t>, vol. 79, no. 9, Sep, pp. 1022-1026.</w:t>
      </w:r>
    </w:p>
    <w:p w14:paraId="7578A254" w14:textId="77777777" w:rsidR="00B0479F" w:rsidRPr="00B0479F" w:rsidRDefault="00B0479F" w:rsidP="00B0479F">
      <w:pPr>
        <w:pStyle w:val="EndNoteBibliography"/>
        <w:spacing w:after="0"/>
      </w:pPr>
    </w:p>
    <w:p w14:paraId="32A6F239" w14:textId="77777777" w:rsidR="00B0479F" w:rsidRPr="00B0479F" w:rsidRDefault="00B0479F" w:rsidP="00B0479F">
      <w:pPr>
        <w:pStyle w:val="EndNoteBibliography"/>
      </w:pPr>
      <w:r w:rsidRPr="00B0479F">
        <w:t xml:space="preserve">Wynford-Thomas, R, Jacob, A &amp; Tomassini, V 2019, 'Neurological update: MOG antibody disease', </w:t>
      </w:r>
      <w:r w:rsidRPr="00B0479F">
        <w:rPr>
          <w:i/>
        </w:rPr>
        <w:t>J Neurol</w:t>
      </w:r>
      <w:r w:rsidRPr="00B0479F">
        <w:t>, vol. 266, no. 5, May, pp. 1280-1286.</w:t>
      </w:r>
    </w:p>
    <w:p w14:paraId="3015FE35" w14:textId="77777777" w:rsidR="00B0479F" w:rsidRPr="00B0479F" w:rsidRDefault="00B0479F" w:rsidP="00B0479F">
      <w:pPr>
        <w:pStyle w:val="EndNoteBibliography"/>
        <w:spacing w:after="0"/>
      </w:pPr>
    </w:p>
    <w:p w14:paraId="76B9E15F" w14:textId="77777777" w:rsidR="00B0479F" w:rsidRPr="00B0479F" w:rsidRDefault="00B0479F" w:rsidP="00B0479F">
      <w:pPr>
        <w:pStyle w:val="EndNoteBibliography"/>
      </w:pPr>
      <w:r w:rsidRPr="00B0479F">
        <w:t xml:space="preserve">Yang, Y, Huang, DH, Wu, WP, Wu, L, Chen, LF &amp; Wu, Q 2013, 'The role of aquaporin-4 antibodies in Chinese patients with neuromyelitis optica', </w:t>
      </w:r>
      <w:r w:rsidRPr="00B0479F">
        <w:rPr>
          <w:i/>
        </w:rPr>
        <w:t>J Clin Neurosci</w:t>
      </w:r>
      <w:r w:rsidRPr="00B0479F">
        <w:t>, vol. 20, no. 1, Jan, pp. 94-98.</w:t>
      </w:r>
    </w:p>
    <w:p w14:paraId="4CFBC194" w14:textId="77777777" w:rsidR="00B0479F" w:rsidRPr="00B0479F" w:rsidRDefault="00B0479F" w:rsidP="00B0479F">
      <w:pPr>
        <w:pStyle w:val="EndNoteBibliography"/>
        <w:spacing w:after="0"/>
      </w:pPr>
    </w:p>
    <w:p w14:paraId="5F21C8B4" w14:textId="77777777" w:rsidR="00B0479F" w:rsidRPr="00B0479F" w:rsidRDefault="00B0479F" w:rsidP="00B0479F">
      <w:pPr>
        <w:pStyle w:val="EndNoteBibliography"/>
      </w:pPr>
      <w:r w:rsidRPr="00B0479F">
        <w:t xml:space="preserve">Zhou, H, Zhao, S, Yin, D, Chen, X, Xu, Q, Chen, T, Li, X, Wang, J, Li, H, Peng, C, Lin, D &amp; Wei, S 2016, 'Optic neuritis: a 5-year follow-up study of Chinese patients based on aquaporin-4 antibody status and ages', </w:t>
      </w:r>
      <w:r w:rsidRPr="00B0479F">
        <w:rPr>
          <w:i/>
        </w:rPr>
        <w:t>J Neurol</w:t>
      </w:r>
      <w:r w:rsidRPr="00B0479F">
        <w:t>, vol. 263, no. 7, Jul, pp. 1382-1389.</w:t>
      </w:r>
    </w:p>
    <w:p w14:paraId="3FC1ED6E" w14:textId="77777777" w:rsidR="00B0479F" w:rsidRPr="00B0479F" w:rsidRDefault="00B0479F" w:rsidP="00B0479F">
      <w:pPr>
        <w:pStyle w:val="EndNoteBibliography"/>
      </w:pPr>
    </w:p>
    <w:p w14:paraId="40C0A9EF" w14:textId="451E8C44" w:rsidR="00281AF1" w:rsidRPr="006D54F4" w:rsidRDefault="00EF79A3" w:rsidP="006D54F4">
      <w:r>
        <w:fldChar w:fldCharType="end"/>
      </w:r>
    </w:p>
    <w:sectPr w:rsidR="00281AF1" w:rsidRPr="006D54F4" w:rsidSect="00BB5498">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D09D9" w14:textId="77777777" w:rsidR="004B21EF" w:rsidRDefault="004B21EF" w:rsidP="00281AF1">
      <w:pPr>
        <w:spacing w:after="0" w:line="240" w:lineRule="auto"/>
      </w:pPr>
      <w:r>
        <w:separator/>
      </w:r>
    </w:p>
  </w:endnote>
  <w:endnote w:type="continuationSeparator" w:id="0">
    <w:p w14:paraId="163BD235" w14:textId="77777777" w:rsidR="004B21EF" w:rsidRDefault="004B21EF" w:rsidP="00281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umanist521BT-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68A1A" w14:textId="77777777" w:rsidR="004B21EF" w:rsidRPr="00C843FF" w:rsidRDefault="004B21EF" w:rsidP="001229D7">
    <w:pPr>
      <w:pStyle w:val="Footer"/>
    </w:pPr>
    <w:r>
      <w:rPr>
        <w:rStyle w:val="PageNumber"/>
        <w:rFonts w:ascii="Arial" w:hAnsi="Arial" w:cs="Arial"/>
      </w:rPr>
      <w:t xml:space="preserve"> Page </w:t>
    </w:r>
    <w:r w:rsidRPr="000B0364">
      <w:rPr>
        <w:rStyle w:val="PageNumber"/>
        <w:rFonts w:ascii="Arial" w:hAnsi="Arial" w:cs="Arial"/>
        <w:b/>
      </w:rPr>
      <w:fldChar w:fldCharType="begin"/>
    </w:r>
    <w:r w:rsidRPr="000B0364">
      <w:rPr>
        <w:rStyle w:val="PageNumber"/>
        <w:rFonts w:ascii="Arial" w:hAnsi="Arial" w:cs="Arial"/>
      </w:rPr>
      <w:instrText xml:space="preserve"> PAGE </w:instrText>
    </w:r>
    <w:r w:rsidRPr="000B0364">
      <w:rPr>
        <w:rStyle w:val="PageNumber"/>
        <w:rFonts w:ascii="Arial" w:hAnsi="Arial" w:cs="Arial"/>
        <w:b/>
      </w:rPr>
      <w:fldChar w:fldCharType="separate"/>
    </w:r>
    <w:r>
      <w:rPr>
        <w:rStyle w:val="PageNumber"/>
        <w:rFonts w:ascii="Arial" w:hAnsi="Arial" w:cs="Arial"/>
        <w:noProof/>
      </w:rPr>
      <w:t>iv</w:t>
    </w:r>
    <w:r w:rsidRPr="000B0364">
      <w:rPr>
        <w:rStyle w:val="PageNumber"/>
        <w:rFonts w:ascii="Arial" w:hAnsi="Arial" w:cs="Arial"/>
        <w:b/>
      </w:rPr>
      <w:fldChar w:fldCharType="end"/>
    </w:r>
    <w:r>
      <w:rPr>
        <w:rStyle w:val="PageNumber"/>
        <w:rFonts w:ascii="Arial" w:hAnsi="Arial" w:cs="Arial"/>
      </w:rPr>
      <w:t xml:space="preserve"> of </w:t>
    </w:r>
    <w:r w:rsidRPr="00894FB1">
      <w:rPr>
        <w:rStyle w:val="PageNumber"/>
        <w:rFonts w:ascii="Arial" w:hAnsi="Arial" w:cs="Arial"/>
        <w:b/>
      </w:rPr>
      <w:fldChar w:fldCharType="begin"/>
    </w:r>
    <w:r w:rsidRPr="00894FB1">
      <w:rPr>
        <w:rStyle w:val="PageNumber"/>
        <w:rFonts w:ascii="Arial" w:hAnsi="Arial" w:cs="Arial"/>
      </w:rPr>
      <w:instrText xml:space="preserve"> NUMPAGES </w:instrText>
    </w:r>
    <w:r w:rsidRPr="00894FB1">
      <w:rPr>
        <w:rStyle w:val="PageNumber"/>
        <w:rFonts w:ascii="Arial" w:hAnsi="Arial" w:cs="Arial"/>
        <w:b/>
      </w:rPr>
      <w:fldChar w:fldCharType="separate"/>
    </w:r>
    <w:r>
      <w:rPr>
        <w:rStyle w:val="PageNumber"/>
        <w:rFonts w:ascii="Arial" w:hAnsi="Arial" w:cs="Arial"/>
        <w:noProof/>
      </w:rPr>
      <w:t>4</w:t>
    </w:r>
    <w:r w:rsidRPr="00894FB1">
      <w:rPr>
        <w:rStyle w:val="PageNumber"/>
        <w:rFonts w:ascii="Arial" w:hAnsi="Arial" w:cs="Arial"/>
        <w:b/>
      </w:rPr>
      <w:fldChar w:fldCharType="end"/>
    </w:r>
    <w:r>
      <w:rPr>
        <w:rStyle w:val="PageNumber"/>
        <w:rFonts w:ascii="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6C8C3" w14:textId="010BE9ED" w:rsidR="004B21EF" w:rsidRPr="00C843FF" w:rsidRDefault="004B21EF" w:rsidP="001229D7">
    <w:pPr>
      <w:pStyle w:val="Footer"/>
      <w:tabs>
        <w:tab w:val="clear" w:pos="9000"/>
        <w:tab w:val="right" w:pos="8931"/>
      </w:tabs>
      <w:rPr>
        <w:rStyle w:val="PageNumber"/>
        <w:rFonts w:ascii="Arial" w:hAnsi="Arial" w:cs="Arial"/>
      </w:rPr>
    </w:pPr>
    <w:r>
      <w:t>AQP4-Ab testing for NMOSD – MSAC DCAR 1582</w:t>
    </w:r>
    <w:r w:rsidRPr="00C843FF">
      <w:rPr>
        <w:rStyle w:val="PageNumber"/>
        <w:rFonts w:ascii="Arial" w:hAnsi="Arial" w:cs="Arial"/>
      </w:rPr>
      <w:tab/>
    </w:r>
    <w:r w:rsidRPr="00C843FF">
      <w:rPr>
        <w:rStyle w:val="PageNumber"/>
        <w:rFonts w:ascii="Arial" w:hAnsi="Arial" w:cs="Arial"/>
      </w:rPr>
      <w:fldChar w:fldCharType="begin"/>
    </w:r>
    <w:r w:rsidRPr="00C843FF">
      <w:rPr>
        <w:rStyle w:val="PageNumber"/>
        <w:rFonts w:ascii="Arial" w:hAnsi="Arial" w:cs="Arial"/>
      </w:rPr>
      <w:instrText xml:space="preserve"> PAGE </w:instrText>
    </w:r>
    <w:r w:rsidRPr="00C843FF">
      <w:rPr>
        <w:rStyle w:val="PageNumber"/>
        <w:rFonts w:ascii="Arial" w:hAnsi="Arial" w:cs="Arial"/>
      </w:rPr>
      <w:fldChar w:fldCharType="separate"/>
    </w:r>
    <w:r w:rsidR="009677B6">
      <w:rPr>
        <w:rStyle w:val="PageNumber"/>
        <w:rFonts w:ascii="Arial" w:hAnsi="Arial" w:cs="Arial"/>
        <w:noProof/>
      </w:rPr>
      <w:t>xi</w:t>
    </w:r>
    <w:r w:rsidRPr="00C843FF">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2C256" w14:textId="77777777" w:rsidR="004B21EF" w:rsidRDefault="004B21EF" w:rsidP="001229D7">
    <w:pPr>
      <w:pStyle w:val="Header"/>
      <w:tabs>
        <w:tab w:val="clear" w:pos="8306"/>
        <w:tab w:val="right" w:pos="8931"/>
      </w:tabs>
    </w:pPr>
    <w: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6E6C" w14:textId="77777777" w:rsidR="004B21EF" w:rsidRPr="00F568FA" w:rsidRDefault="004B21EF" w:rsidP="001229D7">
    <w:pPr>
      <w:pStyle w:val="Footer"/>
      <w:rPr>
        <w:rStyle w:val="PageNumber"/>
        <w:rFonts w:ascii="Arial" w:hAnsi="Arial" w:cs="Arial"/>
        <w:b/>
      </w:rPr>
    </w:pPr>
    <w:r w:rsidRPr="00F568FA">
      <w:rPr>
        <w:rStyle w:val="PageNumber"/>
        <w:rFonts w:ascii="Arial" w:hAnsi="Arial" w:cs="Arial"/>
        <w:snapToGrid w:val="0"/>
        <w:lang w:eastAsia="en-US"/>
      </w:rPr>
      <w:t xml:space="preserve">Page </w:t>
    </w:r>
    <w:r w:rsidRPr="00F568FA">
      <w:rPr>
        <w:rStyle w:val="PageNumber"/>
        <w:rFonts w:ascii="Arial" w:hAnsi="Arial" w:cs="Arial"/>
        <w:b/>
        <w:snapToGrid w:val="0"/>
        <w:lang w:eastAsia="en-US"/>
      </w:rPr>
      <w:fldChar w:fldCharType="begin"/>
    </w:r>
    <w:r w:rsidRPr="00F568FA">
      <w:rPr>
        <w:rStyle w:val="PageNumber"/>
        <w:rFonts w:ascii="Arial" w:hAnsi="Arial" w:cs="Arial"/>
        <w:snapToGrid w:val="0"/>
        <w:lang w:eastAsia="en-US"/>
      </w:rPr>
      <w:instrText xml:space="preserve"> PAGE </w:instrText>
    </w:r>
    <w:r w:rsidRPr="00F568FA">
      <w:rPr>
        <w:rStyle w:val="PageNumber"/>
        <w:rFonts w:ascii="Arial" w:hAnsi="Arial" w:cs="Arial"/>
        <w:b/>
        <w:snapToGrid w:val="0"/>
        <w:lang w:eastAsia="en-US"/>
      </w:rPr>
      <w:fldChar w:fldCharType="separate"/>
    </w:r>
    <w:r>
      <w:rPr>
        <w:rStyle w:val="PageNumber"/>
        <w:rFonts w:ascii="Arial" w:hAnsi="Arial" w:cs="Arial"/>
        <w:noProof/>
        <w:snapToGrid w:val="0"/>
        <w:lang w:eastAsia="en-US"/>
      </w:rPr>
      <w:t>82</w:t>
    </w:r>
    <w:r w:rsidRPr="00F568FA">
      <w:rPr>
        <w:rStyle w:val="PageNumber"/>
        <w:rFonts w:ascii="Arial" w:hAnsi="Arial" w:cs="Arial"/>
        <w:b/>
        <w:snapToGrid w:val="0"/>
        <w:lang w:eastAsia="en-US"/>
      </w:rPr>
      <w:fldChar w:fldCharType="end"/>
    </w:r>
    <w:r w:rsidRPr="00F568FA">
      <w:rPr>
        <w:rStyle w:val="PageNumber"/>
        <w:rFonts w:ascii="Arial" w:hAnsi="Arial" w:cs="Arial"/>
        <w:snapToGrid w:val="0"/>
        <w:lang w:eastAsia="en-US"/>
      </w:rPr>
      <w:t xml:space="preserve"> of </w:t>
    </w:r>
    <w:r w:rsidRPr="00F568FA">
      <w:rPr>
        <w:rStyle w:val="PageNumber"/>
        <w:rFonts w:ascii="Arial" w:hAnsi="Arial" w:cs="Arial"/>
        <w:b/>
        <w:snapToGrid w:val="0"/>
        <w:lang w:eastAsia="en-US"/>
      </w:rPr>
      <w:fldChar w:fldCharType="begin"/>
    </w:r>
    <w:r w:rsidRPr="00F568FA">
      <w:rPr>
        <w:rStyle w:val="PageNumber"/>
        <w:rFonts w:ascii="Arial" w:hAnsi="Arial" w:cs="Arial"/>
        <w:snapToGrid w:val="0"/>
        <w:lang w:eastAsia="en-US"/>
      </w:rPr>
      <w:instrText xml:space="preserve"> NUMPAGES </w:instrText>
    </w:r>
    <w:r w:rsidRPr="00F568FA">
      <w:rPr>
        <w:rStyle w:val="PageNumber"/>
        <w:rFonts w:ascii="Arial" w:hAnsi="Arial" w:cs="Arial"/>
        <w:b/>
        <w:snapToGrid w:val="0"/>
        <w:lang w:eastAsia="en-US"/>
      </w:rPr>
      <w:fldChar w:fldCharType="separate"/>
    </w:r>
    <w:r>
      <w:rPr>
        <w:rStyle w:val="PageNumber"/>
        <w:rFonts w:ascii="Arial" w:hAnsi="Arial" w:cs="Arial"/>
        <w:noProof/>
        <w:snapToGrid w:val="0"/>
        <w:lang w:eastAsia="en-US"/>
      </w:rPr>
      <w:t>4</w:t>
    </w:r>
    <w:r w:rsidRPr="00F568FA">
      <w:rPr>
        <w:rStyle w:val="PageNumber"/>
        <w:rFonts w:ascii="Arial" w:hAnsi="Arial" w:cs="Arial"/>
        <w:b/>
        <w:snapToGrid w:val="0"/>
        <w:lang w:eastAsia="en-US"/>
      </w:rPr>
      <w:fldChar w:fldCharType="end"/>
    </w:r>
    <w:r>
      <w:rPr>
        <w:rStyle w:val="PageNumber"/>
        <w:rFonts w:ascii="Arial" w:hAnsi="Arial" w:cs="Arial"/>
      </w:rPr>
      <w:t xml:space="preserve">   </w:t>
    </w:r>
    <w:r w:rsidRPr="00F568FA">
      <w:rPr>
        <w:rStyle w:val="PageNumber"/>
        <w:rFonts w:ascii="Arial" w:hAnsi="Arial" w:cs="Arial"/>
      </w:rPr>
      <w:t xml:space="preserve">Version No. XX DD/MM/YYYY </w:t>
    </w:r>
    <w:r>
      <w:rPr>
        <w:rStyle w:val="PageNumber"/>
        <w:rFonts w:ascii="Arial" w:hAnsi="Arial" w:cs="Arial"/>
      </w:rPr>
      <w:tab/>
    </w:r>
    <w:r w:rsidRPr="00014EC1">
      <w:rPr>
        <w:rStyle w:val="PageNumber"/>
        <w:rFonts w:ascii="Arial" w:hAnsi="Arial" w:cs="Arial"/>
      </w:rPr>
      <w:t>Application Name &amp; No</w:t>
    </w:r>
    <w:r w:rsidRPr="00014EC1">
      <w:rPr>
        <w:rStyle w:val="PageNumber"/>
        <w:rFonts w:ascii="Arial" w:hAnsi="Arial"/>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3DA76" w14:textId="1122A38B" w:rsidR="004B21EF" w:rsidRDefault="004B21EF">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949A3" w14:textId="77777777" w:rsidR="004B21EF" w:rsidRDefault="004B21EF" w:rsidP="00281AF1">
      <w:pPr>
        <w:spacing w:after="0" w:line="240" w:lineRule="auto"/>
      </w:pPr>
      <w:r>
        <w:separator/>
      </w:r>
    </w:p>
  </w:footnote>
  <w:footnote w:type="continuationSeparator" w:id="0">
    <w:p w14:paraId="63E6841D" w14:textId="77777777" w:rsidR="004B21EF" w:rsidRDefault="004B21EF" w:rsidP="00281AF1">
      <w:pPr>
        <w:spacing w:after="0" w:line="240" w:lineRule="auto"/>
      </w:pPr>
      <w:r>
        <w:continuationSeparator/>
      </w:r>
    </w:p>
  </w:footnote>
  <w:footnote w:id="1">
    <w:p w14:paraId="0073D617" w14:textId="77777777" w:rsidR="004B21EF" w:rsidRDefault="004B21EF" w:rsidP="00967FEA">
      <w:pPr>
        <w:pStyle w:val="FootnoteText"/>
      </w:pPr>
      <w:r>
        <w:rPr>
          <w:rStyle w:val="FootnoteReference"/>
        </w:rPr>
        <w:footnoteRef/>
      </w:r>
      <w:r>
        <w:t xml:space="preserve"> Prior tests, Population, Intervention, Comparator, Outcomes</w:t>
      </w:r>
    </w:p>
  </w:footnote>
  <w:footnote w:id="2">
    <w:p w14:paraId="76E8CE2D" w14:textId="77777777" w:rsidR="004B21EF" w:rsidRDefault="004B21EF">
      <w:pPr>
        <w:pStyle w:val="FootnoteText"/>
      </w:pPr>
      <w:r>
        <w:rPr>
          <w:rStyle w:val="FootnoteReference"/>
        </w:rPr>
        <w:footnoteRef/>
      </w:r>
      <w:r>
        <w:t xml:space="preserve"> These results could be considered in light of the results of the ONTT, in which patients with ON were randomised within 8 days of symptom occurrence to </w:t>
      </w:r>
      <w:r w:rsidRPr="00E12765">
        <w:t xml:space="preserve">oral </w:t>
      </w:r>
      <w:hyperlink r:id="rId1" w:history="1">
        <w:r w:rsidRPr="00E12765">
          <w:t>prednisone</w:t>
        </w:r>
      </w:hyperlink>
      <w:r w:rsidRPr="00E12765">
        <w:t xml:space="preserve"> (1 mg/kg per day) for 14 days with a four-day taper, intravenous </w:t>
      </w:r>
      <w:hyperlink r:id="rId2" w:history="1">
        <w:r w:rsidRPr="00E12765">
          <w:t>methylprednisolone</w:t>
        </w:r>
      </w:hyperlink>
      <w:r w:rsidRPr="00E12765">
        <w:t xml:space="preserve"> (250 mg four times per day for three days) followed by oral prednisone (1 mg/kg per day) for 11 days with a four-day tap</w:t>
      </w:r>
      <w:r>
        <w:t>er, or oral placebo for 14 days.</w:t>
      </w:r>
      <w:r w:rsidRPr="00E12765">
        <w:t>The primary visual outcomes were visual acuity and contrast sensitivity.</w:t>
      </w:r>
      <w:r>
        <w:t xml:space="preserve"> A summary of results can be found at: </w:t>
      </w:r>
      <w:hyperlink r:id="rId3" w:history="1">
        <w:r w:rsidRPr="0085223A">
          <w:rPr>
            <w:rStyle w:val="Hyperlink"/>
          </w:rPr>
          <w:t>https://www.uptodate.com/contents/optic-neuritis-prognosis-and-treatment</w:t>
        </w:r>
      </w:hyperlink>
      <w:r>
        <w:t xml:space="preserve"> </w:t>
      </w:r>
    </w:p>
  </w:footnote>
  <w:footnote w:id="3">
    <w:p w14:paraId="5C3A796D" w14:textId="77777777" w:rsidR="004B21EF" w:rsidRDefault="004B21EF" w:rsidP="0002553B">
      <w:pPr>
        <w:pStyle w:val="FootnoteText"/>
      </w:pPr>
      <w:r>
        <w:rPr>
          <w:rStyle w:val="FootnoteReference"/>
        </w:rPr>
        <w:footnoteRef/>
      </w:r>
      <w:r>
        <w:t xml:space="preserve"> Clinical advice provided through personal communications with Professor S Broadley and Dr D Langguth</w:t>
      </w:r>
    </w:p>
  </w:footnote>
  <w:footnote w:id="4">
    <w:p w14:paraId="4A513153" w14:textId="77777777" w:rsidR="004B21EF" w:rsidRDefault="004B21EF">
      <w:pPr>
        <w:pStyle w:val="FootnoteText"/>
      </w:pPr>
      <w:r>
        <w:rPr>
          <w:rStyle w:val="FootnoteReference"/>
        </w:rPr>
        <w:footnoteRef/>
      </w:r>
      <w:r>
        <w:t xml:space="preserve"> While cases that are positive for both AQP4-Ab and MOG-Ab have been noted in the literature they are extremely rare and will not be considered as a separate group in this assessment.</w:t>
      </w:r>
    </w:p>
  </w:footnote>
  <w:footnote w:id="5">
    <w:p w14:paraId="27DE181E" w14:textId="77777777" w:rsidR="004B21EF" w:rsidRDefault="004B21EF" w:rsidP="00755F3D">
      <w:pPr>
        <w:pStyle w:val="FootnoteText"/>
      </w:pPr>
      <w:r>
        <w:rPr>
          <w:rStyle w:val="FootnoteReference"/>
        </w:rPr>
        <w:footnoteRef/>
      </w:r>
      <w:r>
        <w:t xml:space="preserve"> </w:t>
      </w:r>
      <w:hyperlink r:id="rId4" w:history="1">
        <w:r w:rsidRPr="00575156">
          <w:rPr>
            <w:rStyle w:val="Hyperlink"/>
          </w:rPr>
          <w:t>MedCalc statistical software</w:t>
        </w:r>
      </w:hyperlink>
    </w:p>
  </w:footnote>
  <w:footnote w:id="6">
    <w:p w14:paraId="0E4FFE02" w14:textId="77777777" w:rsidR="004B21EF" w:rsidRDefault="004B21EF" w:rsidP="00ED65EE">
      <w:pPr>
        <w:pStyle w:val="References"/>
        <w:spacing w:after="120" w:line="240" w:lineRule="auto"/>
        <w:ind w:left="0" w:firstLine="0"/>
        <w:rPr>
          <w:rFonts w:ascii="Arial Narrow" w:hAnsi="Arial Narrow"/>
          <w:noProof/>
          <w:sz w:val="20"/>
          <w:szCs w:val="20"/>
        </w:rPr>
      </w:pPr>
      <w:r w:rsidRPr="00CF1D26">
        <w:rPr>
          <w:rStyle w:val="FootnoteReference"/>
          <w:rFonts w:ascii="Arial Narrow" w:hAnsi="Arial Narrow"/>
          <w:sz w:val="20"/>
          <w:szCs w:val="20"/>
        </w:rPr>
        <w:footnoteRef/>
      </w:r>
      <w:r w:rsidRPr="00CF1D26">
        <w:rPr>
          <w:rFonts w:ascii="Arial Narrow" w:hAnsi="Arial Narrow"/>
          <w:sz w:val="20"/>
          <w:szCs w:val="20"/>
        </w:rPr>
        <w:t xml:space="preserve"> </w:t>
      </w:r>
      <w:r w:rsidRPr="00CF1D26">
        <w:rPr>
          <w:rFonts w:ascii="Arial Narrow" w:hAnsi="Arial Narrow"/>
          <w:noProof/>
          <w:sz w:val="20"/>
          <w:szCs w:val="20"/>
        </w:rPr>
        <w:t xml:space="preserve">Armitage, P, Berry, G &amp; Matthews, JNS 2002, </w:t>
      </w:r>
      <w:r w:rsidRPr="00CF1D26">
        <w:rPr>
          <w:rFonts w:ascii="Arial Narrow" w:hAnsi="Arial Narrow"/>
          <w:i/>
          <w:noProof/>
          <w:sz w:val="20"/>
          <w:szCs w:val="20"/>
        </w:rPr>
        <w:t>Statistical methods in medical research</w:t>
      </w:r>
      <w:r w:rsidRPr="00CF1D26">
        <w:rPr>
          <w:rFonts w:ascii="Arial Narrow" w:hAnsi="Arial Narrow"/>
          <w:noProof/>
          <w:sz w:val="20"/>
          <w:szCs w:val="20"/>
        </w:rPr>
        <w:t>, fourth edn, Blackwell Science, Oxford.</w:t>
      </w:r>
      <w:r>
        <w:rPr>
          <w:rFonts w:ascii="Arial Narrow" w:hAnsi="Arial Narrow"/>
          <w:noProof/>
          <w:sz w:val="20"/>
          <w:szCs w:val="20"/>
        </w:rPr>
        <w:t xml:space="preserve"> </w:t>
      </w:r>
    </w:p>
    <w:p w14:paraId="2DD054AA" w14:textId="77777777" w:rsidR="004B21EF" w:rsidRPr="00907BDB" w:rsidRDefault="004B21EF" w:rsidP="00ED65EE">
      <w:pPr>
        <w:pStyle w:val="References"/>
        <w:spacing w:after="120" w:line="240" w:lineRule="auto"/>
        <w:ind w:left="0" w:firstLine="0"/>
        <w:rPr>
          <w:rFonts w:ascii="Arial Narrow" w:hAnsi="Arial Narrow"/>
          <w:noProof/>
          <w:sz w:val="20"/>
          <w:szCs w:val="20"/>
        </w:rPr>
      </w:pPr>
      <w:r w:rsidRPr="00CF1D26">
        <w:rPr>
          <w:rFonts w:ascii="Arial Narrow" w:hAnsi="Arial Narrow"/>
          <w:noProof/>
          <w:sz w:val="20"/>
          <w:szCs w:val="20"/>
        </w:rPr>
        <w:t xml:space="preserve">Deeks, JJ 2001, 'Systematic reviews of evaluations of diagnostic and screening tests', in M Egger, G Davey Smith &amp; DG Altman (eds), </w:t>
      </w:r>
      <w:r w:rsidRPr="00CF1D26">
        <w:rPr>
          <w:rFonts w:ascii="Arial Narrow" w:hAnsi="Arial Narrow"/>
          <w:i/>
          <w:noProof/>
          <w:sz w:val="20"/>
          <w:szCs w:val="20"/>
        </w:rPr>
        <w:t>Systematic Reviews in Healthcare: Meta-Analysis in Context</w:t>
      </w:r>
      <w:r w:rsidRPr="00CF1D26">
        <w:rPr>
          <w:rFonts w:ascii="Arial Narrow" w:hAnsi="Arial Narrow"/>
          <w:noProof/>
          <w:sz w:val="20"/>
          <w:szCs w:val="20"/>
        </w:rPr>
        <w:t>, second edn, BMJ Publishing Group, London, pp. 248–282.</w:t>
      </w:r>
    </w:p>
  </w:footnote>
  <w:footnote w:id="7">
    <w:p w14:paraId="2C4CD19B" w14:textId="77777777" w:rsidR="004B21EF" w:rsidRDefault="004B21EF" w:rsidP="009B4219">
      <w:pPr>
        <w:pStyle w:val="FootnoteText"/>
      </w:pPr>
      <w:r>
        <w:rPr>
          <w:rStyle w:val="FootnoteReference"/>
        </w:rPr>
        <w:footnoteRef/>
      </w:r>
      <w:r>
        <w:t xml:space="preserve"> The EDSS includes eight functional systems (pyramidal; cerebellar; brainstem; sensory; bowel and bladder; visual; cerebral or mental; other or miscellaneous) which are scored for impairment and an overall disability status scale. Scoring is defined in steps (10 steps in all), each of which represent worse disability than the previous. EDSS step 0 represents normal neurological examination regardless of symptoms whereas step 10 represents death due to MS. EDSS step 5 requires ambulation for 200 metres without aid, but disability is severe enough to impair full daily activities </w:t>
      </w:r>
      <w:r>
        <w:fldChar w:fldCharType="begin"/>
      </w:r>
      <w:r>
        <w:instrText xml:space="preserve"> ADDIN EN.CITE &lt;EndNote&gt;&lt;Cite&gt;&lt;Author&gt;Kurtzke JF&lt;/Author&gt;&lt;Year&gt;1983&lt;/Year&gt;&lt;RecNum&gt;62&lt;/RecNum&gt;&lt;DisplayText&gt;(Kurtzke JF 1983)&lt;/DisplayText&gt;&lt;record&gt;&lt;rec-number&gt;62&lt;/rec-number&gt;&lt;foreign-keys&gt;&lt;key app="EN" db-id="r25zptaswpdzade29ws5pf9gx55ztppatt20" timestamp="1579673357"&gt;62&lt;/key&gt;&lt;key app="ENWeb" db-id=""&gt;0&lt;/key&gt;&lt;/foreign-keys&gt;&lt;ref-type name="Journal Article"&gt;17&lt;/ref-type&gt;&lt;contributors&gt;&lt;authors&gt;&lt;author&gt;Kurtzke JF, &lt;/author&gt;&lt;/authors&gt;&lt;/contributors&gt;&lt;titles&gt;&lt;title&gt;Rating neurologic impairment in multiple sclerosis: An expanded disability status scale (EDSS)&lt;/title&gt;&lt;secondary-title&gt;Neyrology&lt;/secondary-title&gt;&lt;/titles&gt;&lt;periodical&gt;&lt;full-title&gt;Neyrology&lt;/full-title&gt;&lt;/periodical&gt;&lt;pages&gt;1444-52&lt;/pages&gt;&lt;volume&gt;33&lt;/volume&gt;&lt;dates&gt;&lt;year&gt;1983&lt;/year&gt;&lt;/dates&gt;&lt;urls&gt;&lt;/urls&gt;&lt;/record&gt;&lt;/Cite&gt;&lt;/EndNote&gt;</w:instrText>
      </w:r>
      <w:r>
        <w:fldChar w:fldCharType="separate"/>
      </w:r>
      <w:r>
        <w:rPr>
          <w:noProof/>
        </w:rPr>
        <w:t>(Kurtzke JF 1983)</w:t>
      </w:r>
      <w:r>
        <w:fldChar w:fldCharType="end"/>
      </w:r>
      <w:r>
        <w:t>.</w:t>
      </w:r>
    </w:p>
  </w:footnote>
  <w:footnote w:id="8">
    <w:p w14:paraId="1A11E49A" w14:textId="77777777" w:rsidR="004B21EF" w:rsidRDefault="004B21EF">
      <w:pPr>
        <w:pStyle w:val="FootnoteText"/>
      </w:pPr>
      <w:r>
        <w:rPr>
          <w:rStyle w:val="FootnoteReference"/>
        </w:rPr>
        <w:footnoteRef/>
      </w:r>
      <w:r>
        <w:t xml:space="preserve"> Decimal notation was used for visual acuity in the case series by Zhou et al, 2016. A visual acuity of 0.5 is equivalent to 6/12 or 20/40 using Snellen fractions, where the numerator = distance which was conducted. (source: </w:t>
      </w:r>
      <w:hyperlink r:id="rId5" w:history="1">
        <w:r w:rsidRPr="00E30805">
          <w:rPr>
            <w:rStyle w:val="Hyperlink"/>
          </w:rPr>
          <w:t>https://www.nidek-intl.com/visual_acuity.html</w:t>
        </w:r>
      </w:hyperlink>
      <w:r>
        <w:t xml:space="preserve">) </w:t>
      </w:r>
    </w:p>
  </w:footnote>
  <w:footnote w:id="9">
    <w:p w14:paraId="3B7BB1C0" w14:textId="77777777" w:rsidR="004B21EF" w:rsidRPr="007763C4" w:rsidRDefault="004B21EF" w:rsidP="00BB1A94">
      <w:pPr>
        <w:pStyle w:val="Tablenotes0"/>
      </w:pPr>
      <w:r>
        <w:rPr>
          <w:rStyle w:val="FootnoteReference"/>
        </w:rPr>
        <w:footnoteRef/>
      </w:r>
      <w:r>
        <w:t xml:space="preserve"> The inclusion criteria for the Optic Neuritis Treatment Trial (ONTT) were </w:t>
      </w:r>
      <w:r w:rsidRPr="004927D1">
        <w:rPr>
          <w:rFonts w:cs="Tahoma"/>
          <w:snapToGrid/>
          <w:sz w:val="20"/>
          <w:szCs w:val="22"/>
        </w:rPr>
        <w:t>(1) initiated with ON, presenting with acute or subacute visual loss; (2) age of ON onset ≥18 years; (3) at least two of the following conditions: ocular pain during eye movement, afferent pupillary defect, abnormal visual evoked response, dyschromatopsia and field defect.</w:t>
      </w:r>
      <w:r w:rsidRPr="003B773A">
        <w:t xml:space="preserve"> </w:t>
      </w:r>
    </w:p>
  </w:footnote>
  <w:footnote w:id="10">
    <w:p w14:paraId="135EE95F" w14:textId="77777777" w:rsidR="004B21EF" w:rsidRDefault="004B21EF">
      <w:pPr>
        <w:pStyle w:val="FootnoteText"/>
      </w:pPr>
      <w:r>
        <w:rPr>
          <w:rStyle w:val="FootnoteReference"/>
        </w:rPr>
        <w:footnoteRef/>
      </w:r>
      <w:r>
        <w:t xml:space="preserve"> The Goldmann kinetic perimetry test is a common test for visual field, and is performed by an experienced perimetrist. Specialised equipment and adjustable light stimuli are used to test the extent of the visual field.</w:t>
      </w:r>
    </w:p>
  </w:footnote>
  <w:footnote w:id="11">
    <w:p w14:paraId="3B2B9417" w14:textId="77777777" w:rsidR="004B21EF" w:rsidRDefault="004B21EF" w:rsidP="00720F38">
      <w:pPr>
        <w:pStyle w:val="FootnoteText"/>
      </w:pPr>
      <w:r>
        <w:rPr>
          <w:rStyle w:val="FootnoteReference"/>
        </w:rPr>
        <w:footnoteRef/>
      </w:r>
      <w:r>
        <w:t xml:space="preserve"> Personal communication with Prof Stephen Reddel, email received on 7 February 2020.</w:t>
      </w:r>
    </w:p>
  </w:footnote>
  <w:footnote w:id="12">
    <w:p w14:paraId="11DD0123" w14:textId="77777777" w:rsidR="004B21EF" w:rsidRDefault="004B21EF" w:rsidP="00720F38">
      <w:pPr>
        <w:pStyle w:val="FootnoteText"/>
      </w:pPr>
      <w:r>
        <w:rPr>
          <w:rStyle w:val="FootnoteReference"/>
        </w:rPr>
        <w:footnoteRef/>
      </w:r>
      <w:r>
        <w:t xml:space="preserve"> TGA = Therapeutic Goods Administration; PBS = The </w:t>
      </w:r>
      <w:r w:rsidRPr="00D94F6E">
        <w:t>Pharmaceutical Benefits Scheme</w:t>
      </w:r>
    </w:p>
  </w:footnote>
  <w:footnote w:id="13">
    <w:p w14:paraId="1408A4E9" w14:textId="12B9643A" w:rsidR="004B21EF" w:rsidRDefault="004B21EF">
      <w:pPr>
        <w:pStyle w:val="FootnoteText"/>
      </w:pPr>
      <w:r>
        <w:rPr>
          <w:rStyle w:val="FootnoteReference"/>
        </w:rPr>
        <w:footnoteRef/>
      </w:r>
      <w:r>
        <w:t xml:space="preserve"> </w:t>
      </w:r>
      <w:r w:rsidRPr="00A350CD">
        <w:t>p(t) = 1 − e</w:t>
      </w:r>
      <w:r w:rsidRPr="00A67DCC">
        <w:rPr>
          <w:vertAlign w:val="superscript"/>
        </w:rPr>
        <w:t>−rt</w:t>
      </w:r>
      <w:r>
        <w:t xml:space="preserve">; and r(t) = –ln(1-p) </w:t>
      </w:r>
      <w:r>
        <w:rPr>
          <w:rFonts w:cs="Calibri"/>
        </w:rPr>
        <w:t>×</w:t>
      </w:r>
      <w:r w:rsidRPr="00A350CD">
        <w:t xml:space="preserve"> </w:t>
      </w:r>
      <w:r>
        <w:t xml:space="preserve">(1/t); </w:t>
      </w:r>
      <w:r w:rsidRPr="00A350CD">
        <w:t>where</w:t>
      </w:r>
      <w:r>
        <w:t xml:space="preserve"> p is the probability,</w:t>
      </w:r>
      <w:r w:rsidRPr="00A350CD">
        <w:t xml:space="preserve"> r is the rate and t is the cycle length</w:t>
      </w:r>
    </w:p>
  </w:footnote>
  <w:footnote w:id="14">
    <w:p w14:paraId="668159D4" w14:textId="77777777" w:rsidR="004B21EF" w:rsidRDefault="004B21EF" w:rsidP="00095358">
      <w:pPr>
        <w:pStyle w:val="FootnoteText"/>
      </w:pPr>
      <w:r>
        <w:rPr>
          <w:rStyle w:val="FootnoteReference"/>
        </w:rPr>
        <w:footnoteRef/>
      </w:r>
      <w:r>
        <w:t xml:space="preserve"> Data provided by Dr Greg Bryson (Pathology Queensland), Dr Daman Langguth (Sonic Laboratories Australia), </w:t>
      </w:r>
      <w:r w:rsidRPr="00D25B3A">
        <w:t>A/Prof</w:t>
      </w:r>
      <w:r>
        <w:t xml:space="preserve"> Steve Reddell (NSW Health), </w:t>
      </w:r>
      <w:r w:rsidRPr="009F282F">
        <w:t xml:space="preserve">Dr Andrew McLean-Tooke </w:t>
      </w:r>
      <w:r>
        <w:t>(</w:t>
      </w:r>
      <w:r w:rsidRPr="00697DAF">
        <w:t>PathWest Laboratory Medicine</w:t>
      </w:r>
      <w:r>
        <w:t>, WA) and Dr Pravin Hissaria (SA Pathology, SA) through personal communications; emails received between 4–11 February 2020, respectively.</w:t>
      </w:r>
    </w:p>
  </w:footnote>
  <w:footnote w:id="15">
    <w:p w14:paraId="0B600A1D" w14:textId="77777777" w:rsidR="004B21EF" w:rsidRDefault="004B21EF" w:rsidP="00095358">
      <w:pPr>
        <w:pStyle w:val="FootnoteText"/>
      </w:pPr>
      <w:r>
        <w:rPr>
          <w:rStyle w:val="FootnoteReference"/>
        </w:rPr>
        <w:footnoteRef/>
      </w:r>
      <w:r>
        <w:t xml:space="preserve"> Clinical expert advice by </w:t>
      </w:r>
      <w:r w:rsidRPr="00AD2C85">
        <w:t>A/Prof Stephen Reddel</w:t>
      </w:r>
      <w:r>
        <w:t xml:space="preserve"> received on 7</w:t>
      </w:r>
      <w:r w:rsidRPr="00AD2C85">
        <w:rPr>
          <w:vertAlign w:val="superscript"/>
        </w:rPr>
        <w:t>th</w:t>
      </w:r>
      <w:r>
        <w:t xml:space="preserve"> February 2020 through personal communication.</w:t>
      </w:r>
    </w:p>
  </w:footnote>
  <w:footnote w:id="16">
    <w:p w14:paraId="7E70A3D1" w14:textId="77777777" w:rsidR="004B21EF" w:rsidRDefault="004B21EF" w:rsidP="00095358">
      <w:pPr>
        <w:pStyle w:val="FootnoteText"/>
      </w:pPr>
      <w:r>
        <w:rPr>
          <w:rStyle w:val="FootnoteReference"/>
        </w:rPr>
        <w:footnoteRef/>
      </w:r>
      <w:r>
        <w:t xml:space="preserve"> Total number of tests performed by QLD (1,973), NSW (1,614), Sonic (1,014) and PathWest (AQP4-Ab- 275; MOG-Ab 157) equates to 5,033. 157 MOG-Ab tests forms 3% of 5,033 total tests performed.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4E702" w14:textId="77777777" w:rsidR="004B21EF" w:rsidRDefault="004B21EF" w:rsidP="001229D7">
    <w:pPr>
      <w:pStyle w:val="Header"/>
      <w:tabs>
        <w:tab w:val="clear" w:pos="8306"/>
        <w:tab w:val="right" w:pos="8931"/>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4FA6B" w14:textId="77777777" w:rsidR="004B21EF" w:rsidRDefault="004B21EF" w:rsidP="001229D7">
    <w:pPr>
      <w:pStyle w:val="Header"/>
      <w:tabs>
        <w:tab w:val="clear" w:pos="8306"/>
        <w:tab w:val="right" w:pos="8931"/>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949F" w14:textId="77777777" w:rsidR="004B21EF" w:rsidRDefault="004B21EF" w:rsidP="001229D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701B5" w14:textId="77777777" w:rsidR="004B21EF" w:rsidRDefault="004B21EF" w:rsidP="001229D7">
    <w:pPr>
      <w:pStyle w:val="Header"/>
      <w:tabs>
        <w:tab w:val="clear" w:pos="8306"/>
        <w:tab w:val="right" w:pos="8931"/>
      </w:tabs>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B5A83" w14:textId="77777777" w:rsidR="004B21EF" w:rsidRDefault="004B21EF" w:rsidP="001229D7">
    <w:pPr>
      <w:pStyle w:val="Header"/>
      <w:tabs>
        <w:tab w:val="clear" w:pos="8306"/>
        <w:tab w:val="right" w:pos="8931"/>
      </w:tabs>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1E6E4" w14:textId="77777777" w:rsidR="004B21EF" w:rsidRDefault="004B21EF" w:rsidP="001229D7">
    <w:pPr>
      <w:pStyle w:val="Header"/>
      <w:tabs>
        <w:tab w:val="clear" w:pos="8306"/>
        <w:tab w:val="right" w:pos="8931"/>
      </w:tab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CAFEC" w14:textId="77777777" w:rsidR="004B21EF" w:rsidRDefault="004B21EF">
    <w:pPr>
      <w:pStyle w:val="Header"/>
    </w:pPr>
    <w:r>
      <w:rPr>
        <w:noProof/>
      </w:rPr>
      <w:pict w14:anchorId="22275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style="position:absolute;left:0;text-align:left;margin-left:0;margin-top:0;width:412.2pt;height:247.3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656F5" w14:textId="77777777" w:rsidR="004B21EF" w:rsidRDefault="004B21EF" w:rsidP="00281AF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FC19E" w14:textId="77777777" w:rsidR="004B21EF" w:rsidRDefault="004B21EF">
    <w:pPr>
      <w:pStyle w:val="Header"/>
    </w:pPr>
    <w:r>
      <w:rPr>
        <w:noProof/>
      </w:rPr>
      <w:pict w14:anchorId="5A336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style="position:absolute;left:0;text-align:left;margin-left:0;margin-top:0;width:412.2pt;height:247.3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FF798" w14:textId="77777777" w:rsidR="004B21EF" w:rsidRDefault="004B21EF" w:rsidP="001229D7">
    <w:pPr>
      <w:pStyle w:val="Header"/>
      <w:tabs>
        <w:tab w:val="clear" w:pos="8306"/>
        <w:tab w:val="right" w:pos="893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2A05A" w14:textId="77777777" w:rsidR="004B21EF" w:rsidRDefault="004B21EF" w:rsidP="001229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5EAD3" w14:textId="77777777" w:rsidR="004B21EF" w:rsidRDefault="004B21EF" w:rsidP="001229D7">
    <w:pPr>
      <w:pStyle w:val="Header"/>
      <w:tabs>
        <w:tab w:val="clear" w:pos="8306"/>
        <w:tab w:val="right" w:pos="8931"/>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A7B06" w14:textId="77777777" w:rsidR="004B21EF" w:rsidRDefault="004B21EF" w:rsidP="001229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8CA83" w14:textId="77777777" w:rsidR="004B21EF" w:rsidRDefault="004B21EF" w:rsidP="001229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C3317" w14:textId="77777777" w:rsidR="004B21EF" w:rsidRDefault="004B21EF" w:rsidP="001229D7">
    <w:pPr>
      <w:pStyle w:val="Header"/>
      <w:tabs>
        <w:tab w:val="clear" w:pos="8306"/>
        <w:tab w:val="right" w:pos="8931"/>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59224" w14:textId="77777777" w:rsidR="004B21EF" w:rsidRDefault="004B21EF" w:rsidP="001229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A789C" w14:textId="77777777" w:rsidR="004B21EF" w:rsidRDefault="004B21EF" w:rsidP="00122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C24"/>
    <w:multiLevelType w:val="hybridMultilevel"/>
    <w:tmpl w:val="0F6265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766FE"/>
    <w:multiLevelType w:val="multilevel"/>
    <w:tmpl w:val="E922455C"/>
    <w:lvl w:ilvl="0">
      <w:start w:val="2"/>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A05316"/>
    <w:multiLevelType w:val="hybridMultilevel"/>
    <w:tmpl w:val="5DEE0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C0C5E"/>
    <w:multiLevelType w:val="hybridMultilevel"/>
    <w:tmpl w:val="606A50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41420E"/>
    <w:multiLevelType w:val="hybridMultilevel"/>
    <w:tmpl w:val="DC44AE08"/>
    <w:lvl w:ilvl="0" w:tplc="E90057E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412ACB"/>
    <w:multiLevelType w:val="hybridMultilevel"/>
    <w:tmpl w:val="585E7CE6"/>
    <w:lvl w:ilvl="0" w:tplc="CA9EBCD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EBF75D2"/>
    <w:multiLevelType w:val="hybridMultilevel"/>
    <w:tmpl w:val="C3E0E0D6"/>
    <w:lvl w:ilvl="0" w:tplc="3FBC6CCA">
      <w:start w:val="2"/>
      <w:numFmt w:val="decimal"/>
      <w:lvlText w:val="%1."/>
      <w:lvlJc w:val="left"/>
      <w:pPr>
        <w:ind w:left="41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CD2F86"/>
    <w:multiLevelType w:val="multilevel"/>
    <w:tmpl w:val="68669A12"/>
    <w:lvl w:ilvl="0">
      <w:start w:val="1"/>
      <w:numFmt w:val="none"/>
      <w:lvlText w:val="A.1"/>
      <w:lvlJc w:val="left"/>
      <w:pPr>
        <w:ind w:left="1134" w:hanging="1134"/>
      </w:pPr>
      <w:rPr>
        <w:rFonts w:ascii="Calibri" w:hAnsi="Calibri" w:hint="default"/>
        <w:b/>
        <w:i w:val="0"/>
        <w:color w:val="auto"/>
        <w:sz w:val="24"/>
      </w:rPr>
    </w:lvl>
    <w:lvl w:ilvl="1">
      <w:start w:val="3"/>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8" w15:restartNumberingAfterBreak="0">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9" w15:restartNumberingAfterBreak="0">
    <w:nsid w:val="13DF0D6F"/>
    <w:multiLevelType w:val="multilevel"/>
    <w:tmpl w:val="FD0EB744"/>
    <w:lvl w:ilvl="0">
      <w:start w:val="1"/>
      <w:numFmt w:val="none"/>
      <w:lvlText w:val="A.1"/>
      <w:lvlJc w:val="left"/>
      <w:pPr>
        <w:ind w:left="1134" w:hanging="1134"/>
      </w:pPr>
      <w:rPr>
        <w:rFonts w:ascii="Calibri" w:hAnsi="Calibri" w:hint="default"/>
        <w:b/>
        <w:i w:val="0"/>
        <w:color w:val="auto"/>
        <w:sz w:val="24"/>
      </w:rPr>
    </w:lvl>
    <w:lvl w:ilvl="1">
      <w:start w:val="1"/>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0" w15:restartNumberingAfterBreak="0">
    <w:nsid w:val="17430932"/>
    <w:multiLevelType w:val="hybridMultilevel"/>
    <w:tmpl w:val="5044B5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690953"/>
    <w:multiLevelType w:val="hybridMultilevel"/>
    <w:tmpl w:val="C870E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EA1A15"/>
    <w:multiLevelType w:val="hybridMultilevel"/>
    <w:tmpl w:val="77325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A80C5B"/>
    <w:multiLevelType w:val="hybridMultilevel"/>
    <w:tmpl w:val="13EA6604"/>
    <w:lvl w:ilvl="0" w:tplc="56383BFE">
      <w:start w:val="1"/>
      <w:numFmt w:val="lowerRoman"/>
      <w:lvlText w:val="(%1)"/>
      <w:lvlJc w:val="left"/>
      <w:pPr>
        <w:ind w:left="870" w:hanging="72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4" w15:restartNumberingAfterBreak="0">
    <w:nsid w:val="220A07EC"/>
    <w:multiLevelType w:val="singleLevel"/>
    <w:tmpl w:val="FC24B238"/>
    <w:lvl w:ilvl="0">
      <w:start w:val="1"/>
      <w:numFmt w:val="decimal"/>
      <w:pStyle w:val="ESNumberedSectionHeading"/>
      <w:lvlText w:val="A.%1"/>
      <w:lvlJc w:val="left"/>
      <w:pPr>
        <w:ind w:left="360" w:hanging="360"/>
      </w:pPr>
      <w:rPr>
        <w:rFonts w:ascii="Calibri" w:hAnsi="Calibri" w:hint="default"/>
        <w:b/>
        <w:i w:val="0"/>
        <w:color w:val="auto"/>
        <w:sz w:val="24"/>
      </w:rPr>
    </w:lvl>
  </w:abstractNum>
  <w:abstractNum w:abstractNumId="15" w15:restartNumberingAfterBreak="0">
    <w:nsid w:val="22392918"/>
    <w:multiLevelType w:val="hybridMultilevel"/>
    <w:tmpl w:val="F01870E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7" w15:restartNumberingAfterBreak="0">
    <w:nsid w:val="239A0563"/>
    <w:multiLevelType w:val="hybridMultilevel"/>
    <w:tmpl w:val="DAE064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087FBB"/>
    <w:multiLevelType w:val="hybridMultilevel"/>
    <w:tmpl w:val="725CB0D8"/>
    <w:lvl w:ilvl="0" w:tplc="B0067FE6">
      <w:start w:val="1"/>
      <w:numFmt w:val="decimal"/>
      <w:lvlText w:val="%1."/>
      <w:lvlJc w:val="left"/>
      <w:pPr>
        <w:ind w:left="416" w:hanging="360"/>
      </w:pPr>
      <w:rPr>
        <w:rFonts w:hint="default"/>
      </w:rPr>
    </w:lvl>
    <w:lvl w:ilvl="1" w:tplc="0C090019" w:tentative="1">
      <w:start w:val="1"/>
      <w:numFmt w:val="lowerLetter"/>
      <w:lvlText w:val="%2."/>
      <w:lvlJc w:val="left"/>
      <w:pPr>
        <w:ind w:left="1136" w:hanging="360"/>
      </w:pPr>
    </w:lvl>
    <w:lvl w:ilvl="2" w:tplc="0C09001B" w:tentative="1">
      <w:start w:val="1"/>
      <w:numFmt w:val="lowerRoman"/>
      <w:lvlText w:val="%3."/>
      <w:lvlJc w:val="right"/>
      <w:pPr>
        <w:ind w:left="1856" w:hanging="180"/>
      </w:pPr>
    </w:lvl>
    <w:lvl w:ilvl="3" w:tplc="0C09000F" w:tentative="1">
      <w:start w:val="1"/>
      <w:numFmt w:val="decimal"/>
      <w:lvlText w:val="%4."/>
      <w:lvlJc w:val="left"/>
      <w:pPr>
        <w:ind w:left="2576" w:hanging="360"/>
      </w:pPr>
    </w:lvl>
    <w:lvl w:ilvl="4" w:tplc="0C090019" w:tentative="1">
      <w:start w:val="1"/>
      <w:numFmt w:val="lowerLetter"/>
      <w:lvlText w:val="%5."/>
      <w:lvlJc w:val="left"/>
      <w:pPr>
        <w:ind w:left="3296" w:hanging="360"/>
      </w:pPr>
    </w:lvl>
    <w:lvl w:ilvl="5" w:tplc="0C09001B" w:tentative="1">
      <w:start w:val="1"/>
      <w:numFmt w:val="lowerRoman"/>
      <w:lvlText w:val="%6."/>
      <w:lvlJc w:val="right"/>
      <w:pPr>
        <w:ind w:left="4016" w:hanging="180"/>
      </w:pPr>
    </w:lvl>
    <w:lvl w:ilvl="6" w:tplc="0C09000F" w:tentative="1">
      <w:start w:val="1"/>
      <w:numFmt w:val="decimal"/>
      <w:lvlText w:val="%7."/>
      <w:lvlJc w:val="left"/>
      <w:pPr>
        <w:ind w:left="4736" w:hanging="360"/>
      </w:pPr>
    </w:lvl>
    <w:lvl w:ilvl="7" w:tplc="0C090019" w:tentative="1">
      <w:start w:val="1"/>
      <w:numFmt w:val="lowerLetter"/>
      <w:lvlText w:val="%8."/>
      <w:lvlJc w:val="left"/>
      <w:pPr>
        <w:ind w:left="5456" w:hanging="360"/>
      </w:pPr>
    </w:lvl>
    <w:lvl w:ilvl="8" w:tplc="0C09001B" w:tentative="1">
      <w:start w:val="1"/>
      <w:numFmt w:val="lowerRoman"/>
      <w:lvlText w:val="%9."/>
      <w:lvlJc w:val="right"/>
      <w:pPr>
        <w:ind w:left="6176" w:hanging="180"/>
      </w:pPr>
    </w:lvl>
  </w:abstractNum>
  <w:abstractNum w:abstractNumId="19" w15:restartNumberingAfterBreak="0">
    <w:nsid w:val="25BF3F2C"/>
    <w:multiLevelType w:val="hybridMultilevel"/>
    <w:tmpl w:val="B2666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ED6E34"/>
    <w:multiLevelType w:val="hybridMultilevel"/>
    <w:tmpl w:val="C9B49510"/>
    <w:lvl w:ilvl="0" w:tplc="5E601E8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9167676"/>
    <w:multiLevelType w:val="hybridMultilevel"/>
    <w:tmpl w:val="A202B77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3A3E35"/>
    <w:multiLevelType w:val="hybridMultilevel"/>
    <w:tmpl w:val="85385D00"/>
    <w:lvl w:ilvl="0" w:tplc="E90057E2">
      <w:start w:val="1"/>
      <w:numFmt w:val="bullet"/>
      <w:lvlText w:val=""/>
      <w:lvlJc w:val="left"/>
      <w:pPr>
        <w:ind w:left="360" w:hanging="360"/>
      </w:pPr>
      <w:rPr>
        <w:rFonts w:ascii="Symbol" w:hAnsi="Symbol" w:hint="default"/>
        <w:color w:val="auto"/>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E8B3D99"/>
    <w:multiLevelType w:val="hybridMultilevel"/>
    <w:tmpl w:val="D3C6DF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AE33BF"/>
    <w:multiLevelType w:val="hybridMultilevel"/>
    <w:tmpl w:val="BA5E3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1D5DF9"/>
    <w:multiLevelType w:val="hybridMultilevel"/>
    <w:tmpl w:val="DB38A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032506"/>
    <w:multiLevelType w:val="hybridMultilevel"/>
    <w:tmpl w:val="FFB6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B9197C"/>
    <w:multiLevelType w:val="hybridMultilevel"/>
    <w:tmpl w:val="DC22C67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440825DD"/>
    <w:multiLevelType w:val="multilevel"/>
    <w:tmpl w:val="1E0AA6B2"/>
    <w:lvl w:ilvl="0">
      <w:start w:val="1"/>
      <w:numFmt w:val="none"/>
      <w:lvlText w:val="A.1"/>
      <w:lvlJc w:val="left"/>
      <w:pPr>
        <w:ind w:left="1134" w:hanging="1134"/>
      </w:pPr>
      <w:rPr>
        <w:rFonts w:ascii="Calibri" w:hAnsi="Calibri" w:hint="default"/>
        <w:b/>
        <w:i w:val="0"/>
        <w:color w:val="auto"/>
        <w:sz w:val="24"/>
      </w:rPr>
    </w:lvl>
    <w:lvl w:ilvl="1">
      <w:start w:val="1"/>
      <w:numFmt w:val="decimal"/>
      <w:lvlText w:val="B5.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9" w15:restartNumberingAfterBreak="0">
    <w:nsid w:val="4A3F0B76"/>
    <w:multiLevelType w:val="multilevel"/>
    <w:tmpl w:val="C87CB6F6"/>
    <w:lvl w:ilvl="0">
      <w:start w:val="1"/>
      <w:numFmt w:val="none"/>
      <w:lvlText w:val="A.1"/>
      <w:lvlJc w:val="left"/>
      <w:pPr>
        <w:ind w:left="1134" w:hanging="1134"/>
      </w:pPr>
      <w:rPr>
        <w:rFonts w:ascii="Calibri" w:hAnsi="Calibri" w:hint="default"/>
        <w:b/>
        <w:i w:val="0"/>
        <w:color w:val="auto"/>
        <w:sz w:val="24"/>
      </w:rPr>
    </w:lvl>
    <w:lvl w:ilvl="1">
      <w:start w:val="1"/>
      <w:numFmt w:val="decimal"/>
      <w:lvlText w:val="B5.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0" w15:restartNumberingAfterBreak="0">
    <w:nsid w:val="4B3743B8"/>
    <w:multiLevelType w:val="multilevel"/>
    <w:tmpl w:val="6804BF24"/>
    <w:lvl w:ilvl="0">
      <w:start w:val="1"/>
      <w:numFmt w:val="decimal"/>
      <w:lvlText w:val="B3.%1"/>
      <w:lvlJc w:val="left"/>
      <w:pPr>
        <w:ind w:left="1134" w:hanging="1134"/>
      </w:pPr>
      <w:rPr>
        <w:rFonts w:hint="default"/>
        <w:b/>
        <w:i w:val="0"/>
        <w:color w:val="auto"/>
        <w:sz w:val="24"/>
      </w:rPr>
    </w:lvl>
    <w:lvl w:ilvl="1">
      <w:start w:val="4"/>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1" w15:restartNumberingAfterBreak="0">
    <w:nsid w:val="4EA71B19"/>
    <w:multiLevelType w:val="hybridMultilevel"/>
    <w:tmpl w:val="6F9ACF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006F0B"/>
    <w:multiLevelType w:val="hybridMultilevel"/>
    <w:tmpl w:val="B2B667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2F5B70"/>
    <w:multiLevelType w:val="multilevel"/>
    <w:tmpl w:val="453A222A"/>
    <w:lvl w:ilvl="0">
      <w:start w:val="1"/>
      <w:numFmt w:val="none"/>
      <w:lvlText w:val="A.1"/>
      <w:lvlJc w:val="left"/>
      <w:pPr>
        <w:ind w:left="1134" w:hanging="1134"/>
      </w:pPr>
      <w:rPr>
        <w:rFonts w:ascii="Calibri" w:hAnsi="Calibri" w:hint="default"/>
        <w:b/>
        <w:i w:val="0"/>
        <w:color w:val="auto"/>
        <w:sz w:val="24"/>
      </w:rPr>
    </w:lvl>
    <w:lvl w:ilvl="1">
      <w:start w:val="1"/>
      <w:numFmt w:val="decimal"/>
      <w:lvlText w:val="B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4" w15:restartNumberingAfterBreak="0">
    <w:nsid w:val="58601969"/>
    <w:multiLevelType w:val="multilevel"/>
    <w:tmpl w:val="971820F8"/>
    <w:lvl w:ilvl="0">
      <w:start w:val="9"/>
      <w:numFmt w:val="decimal"/>
      <w:lvlText w:val="B3.%1"/>
      <w:lvlJc w:val="left"/>
      <w:pPr>
        <w:ind w:left="1134" w:hanging="1134"/>
      </w:pPr>
      <w:rPr>
        <w:rFonts w:hint="default"/>
        <w:b/>
        <w:i w:val="0"/>
        <w:color w:val="auto"/>
        <w:sz w:val="24"/>
      </w:rPr>
    </w:lvl>
    <w:lvl w:ilvl="1">
      <w:start w:val="7"/>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5" w15:restartNumberingAfterBreak="0">
    <w:nsid w:val="5B187323"/>
    <w:multiLevelType w:val="hybridMultilevel"/>
    <w:tmpl w:val="99FCE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573A7C"/>
    <w:multiLevelType w:val="hybridMultilevel"/>
    <w:tmpl w:val="D326E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8" w15:restartNumberingAfterBreak="0">
    <w:nsid w:val="5E0C2B6A"/>
    <w:multiLevelType w:val="hybridMultilevel"/>
    <w:tmpl w:val="9256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63489C"/>
    <w:multiLevelType w:val="hybridMultilevel"/>
    <w:tmpl w:val="AE069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FF0FF0"/>
    <w:multiLevelType w:val="hybridMultilevel"/>
    <w:tmpl w:val="1D48B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257F47"/>
    <w:multiLevelType w:val="multilevel"/>
    <w:tmpl w:val="2CAAC190"/>
    <w:lvl w:ilvl="0">
      <w:start w:val="1"/>
      <w:numFmt w:val="none"/>
      <w:lvlText w:val="A.1"/>
      <w:lvlJc w:val="left"/>
      <w:pPr>
        <w:ind w:left="1134" w:hanging="1134"/>
      </w:pPr>
      <w:rPr>
        <w:rFonts w:ascii="Calibri" w:hAnsi="Calibri" w:hint="default"/>
        <w:b/>
        <w:i w:val="0"/>
        <w:color w:val="auto"/>
        <w:sz w:val="24"/>
      </w:rPr>
    </w:lvl>
    <w:lvl w:ilvl="1">
      <w:start w:val="1"/>
      <w:numFmt w:val="decimal"/>
      <w:lvlText w:val="B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2"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43" w15:restartNumberingAfterBreak="0">
    <w:nsid w:val="6AA92E9F"/>
    <w:multiLevelType w:val="hybridMultilevel"/>
    <w:tmpl w:val="73AE4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252901"/>
    <w:multiLevelType w:val="multilevel"/>
    <w:tmpl w:val="955C8CEA"/>
    <w:lvl w:ilvl="0">
      <w:start w:val="1"/>
      <w:numFmt w:val="decimal"/>
      <w:lvlText w:val="A%1"/>
      <w:lvlJc w:val="left"/>
      <w:pPr>
        <w:ind w:left="1134" w:hanging="1134"/>
      </w:pPr>
      <w:rPr>
        <w:rFonts w:hint="default"/>
        <w:b/>
        <w:i w:val="0"/>
        <w:color w:val="auto"/>
        <w:sz w:val="28"/>
        <w:szCs w:val="28"/>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45" w15:restartNumberingAfterBreak="0">
    <w:nsid w:val="6F05643D"/>
    <w:multiLevelType w:val="hybridMultilevel"/>
    <w:tmpl w:val="8BD259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BF69D0"/>
    <w:multiLevelType w:val="hybridMultilevel"/>
    <w:tmpl w:val="CE18E8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61F6372"/>
    <w:multiLevelType w:val="multilevel"/>
    <w:tmpl w:val="EBCEDA8C"/>
    <w:lvl w:ilvl="0">
      <w:start w:val="1"/>
      <w:numFmt w:val="none"/>
      <w:lvlText w:val="A.1"/>
      <w:lvlJc w:val="left"/>
      <w:pPr>
        <w:ind w:left="1134" w:hanging="1134"/>
      </w:pPr>
      <w:rPr>
        <w:rFonts w:ascii="Calibri" w:hAnsi="Calibri" w:hint="default"/>
        <w:b/>
        <w:i w:val="0"/>
        <w:color w:val="auto"/>
        <w:sz w:val="24"/>
      </w:rPr>
    </w:lvl>
    <w:lvl w:ilvl="1">
      <w:start w:val="1"/>
      <w:numFmt w:val="decimal"/>
      <w:lvlText w:val="B4.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8" w15:restartNumberingAfterBreak="0">
    <w:nsid w:val="77B530DA"/>
    <w:multiLevelType w:val="hybridMultilevel"/>
    <w:tmpl w:val="B7605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8302C2"/>
    <w:multiLevelType w:val="hybridMultilevel"/>
    <w:tmpl w:val="1C0EA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1" w15:restartNumberingAfterBreak="0">
    <w:nsid w:val="7EB06756"/>
    <w:multiLevelType w:val="hybridMultilevel"/>
    <w:tmpl w:val="35AA1096"/>
    <w:lvl w:ilvl="0" w:tplc="F194566C">
      <w:start w:val="1"/>
      <w:numFmt w:val="decimal"/>
      <w:lvlText w:val="%1."/>
      <w:lvlJc w:val="left"/>
      <w:pPr>
        <w:ind w:left="41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abstractNum w:abstractNumId="53" w15:restartNumberingAfterBreak="0">
    <w:nsid w:val="7FCF74D3"/>
    <w:multiLevelType w:val="hybridMultilevel"/>
    <w:tmpl w:val="37A63E64"/>
    <w:lvl w:ilvl="0" w:tplc="224AC33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8"/>
  </w:num>
  <w:num w:numId="3">
    <w:abstractNumId w:val="52"/>
  </w:num>
  <w:num w:numId="4">
    <w:abstractNumId w:val="42"/>
  </w:num>
  <w:num w:numId="5">
    <w:abstractNumId w:val="16"/>
  </w:num>
  <w:num w:numId="6">
    <w:abstractNumId w:val="50"/>
  </w:num>
  <w:num w:numId="7">
    <w:abstractNumId w:val="14"/>
  </w:num>
  <w:num w:numId="8">
    <w:abstractNumId w:val="44"/>
  </w:num>
  <w:num w:numId="9">
    <w:abstractNumId w:val="10"/>
  </w:num>
  <w:num w:numId="10">
    <w:abstractNumId w:val="38"/>
  </w:num>
  <w:num w:numId="11">
    <w:abstractNumId w:val="29"/>
  </w:num>
  <w:num w:numId="12">
    <w:abstractNumId w:val="41"/>
  </w:num>
  <w:num w:numId="13">
    <w:abstractNumId w:val="1"/>
  </w:num>
  <w:num w:numId="14">
    <w:abstractNumId w:val="33"/>
  </w:num>
  <w:num w:numId="15">
    <w:abstractNumId w:val="9"/>
  </w:num>
  <w:num w:numId="16">
    <w:abstractNumId w:val="28"/>
  </w:num>
  <w:num w:numId="17">
    <w:abstractNumId w:val="47"/>
  </w:num>
  <w:num w:numId="18">
    <w:abstractNumId w:val="7"/>
  </w:num>
  <w:num w:numId="19">
    <w:abstractNumId w:val="30"/>
  </w:num>
  <w:num w:numId="20">
    <w:abstractNumId w:val="34"/>
  </w:num>
  <w:num w:numId="21">
    <w:abstractNumId w:val="49"/>
  </w:num>
  <w:num w:numId="22">
    <w:abstractNumId w:val="27"/>
  </w:num>
  <w:num w:numId="23">
    <w:abstractNumId w:val="35"/>
  </w:num>
  <w:num w:numId="24">
    <w:abstractNumId w:val="4"/>
  </w:num>
  <w:num w:numId="25">
    <w:abstractNumId w:val="22"/>
  </w:num>
  <w:num w:numId="26">
    <w:abstractNumId w:val="15"/>
  </w:num>
  <w:num w:numId="27">
    <w:abstractNumId w:val="18"/>
  </w:num>
  <w:num w:numId="28">
    <w:abstractNumId w:val="36"/>
  </w:num>
  <w:num w:numId="29">
    <w:abstractNumId w:val="6"/>
  </w:num>
  <w:num w:numId="30">
    <w:abstractNumId w:val="31"/>
  </w:num>
  <w:num w:numId="31">
    <w:abstractNumId w:val="17"/>
  </w:num>
  <w:num w:numId="32">
    <w:abstractNumId w:val="0"/>
  </w:num>
  <w:num w:numId="33">
    <w:abstractNumId w:val="46"/>
  </w:num>
  <w:num w:numId="34">
    <w:abstractNumId w:val="51"/>
  </w:num>
  <w:num w:numId="35">
    <w:abstractNumId w:val="40"/>
  </w:num>
  <w:num w:numId="36">
    <w:abstractNumId w:val="5"/>
  </w:num>
  <w:num w:numId="37">
    <w:abstractNumId w:val="20"/>
  </w:num>
  <w:num w:numId="38">
    <w:abstractNumId w:val="43"/>
  </w:num>
  <w:num w:numId="39">
    <w:abstractNumId w:val="2"/>
  </w:num>
  <w:num w:numId="40">
    <w:abstractNumId w:val="32"/>
  </w:num>
  <w:num w:numId="41">
    <w:abstractNumId w:val="3"/>
  </w:num>
  <w:num w:numId="42">
    <w:abstractNumId w:val="23"/>
  </w:num>
  <w:num w:numId="43">
    <w:abstractNumId w:val="45"/>
  </w:num>
  <w:num w:numId="44">
    <w:abstractNumId w:val="26"/>
  </w:num>
  <w:num w:numId="45">
    <w:abstractNumId w:val="48"/>
  </w:num>
  <w:num w:numId="46">
    <w:abstractNumId w:val="12"/>
  </w:num>
  <w:num w:numId="47">
    <w:abstractNumId w:val="39"/>
  </w:num>
  <w:num w:numId="48">
    <w:abstractNumId w:val="11"/>
  </w:num>
  <w:num w:numId="49">
    <w:abstractNumId w:val="25"/>
  </w:num>
  <w:num w:numId="50">
    <w:abstractNumId w:val="19"/>
  </w:num>
  <w:num w:numId="51">
    <w:abstractNumId w:val="24"/>
  </w:num>
  <w:num w:numId="52">
    <w:abstractNumId w:val="21"/>
  </w:num>
  <w:num w:numId="53">
    <w:abstractNumId w:val="13"/>
  </w:num>
  <w:num w:numId="54">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5zptaswpdzade29ws5pf9gx55ztppatt20&quot;&gt;Report Library 26_02&lt;record-ids&gt;&lt;item&gt;2&lt;/item&gt;&lt;item&gt;3&lt;/item&gt;&lt;item&gt;9&lt;/item&gt;&lt;item&gt;10&lt;/item&gt;&lt;item&gt;15&lt;/item&gt;&lt;item&gt;16&lt;/item&gt;&lt;item&gt;18&lt;/item&gt;&lt;item&gt;19&lt;/item&gt;&lt;item&gt;20&lt;/item&gt;&lt;item&gt;22&lt;/item&gt;&lt;item&gt;24&lt;/item&gt;&lt;item&gt;25&lt;/item&gt;&lt;item&gt;26&lt;/item&gt;&lt;item&gt;27&lt;/item&gt;&lt;item&gt;30&lt;/item&gt;&lt;item&gt;31&lt;/item&gt;&lt;item&gt;33&lt;/item&gt;&lt;item&gt;34&lt;/item&gt;&lt;item&gt;35&lt;/item&gt;&lt;item&gt;36&lt;/item&gt;&lt;item&gt;38&lt;/item&gt;&lt;item&gt;39&lt;/item&gt;&lt;item&gt;41&lt;/item&gt;&lt;item&gt;42&lt;/item&gt;&lt;item&gt;43&lt;/item&gt;&lt;item&gt;44&lt;/item&gt;&lt;item&gt;45&lt;/item&gt;&lt;item&gt;46&lt;/item&gt;&lt;item&gt;47&lt;/item&gt;&lt;item&gt;48&lt;/item&gt;&lt;item&gt;49&lt;/item&gt;&lt;item&gt;50&lt;/item&gt;&lt;item&gt;51&lt;/item&gt;&lt;item&gt;52&lt;/item&gt;&lt;item&gt;53&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3&lt;/item&gt;&lt;item&gt;74&lt;/item&gt;&lt;item&gt;75&lt;/item&gt;&lt;item&gt;76&lt;/item&gt;&lt;item&gt;77&lt;/item&gt;&lt;item&gt;78&lt;/item&gt;&lt;item&gt;79&lt;/item&gt;&lt;item&gt;80&lt;/item&gt;&lt;item&gt;81&lt;/item&gt;&lt;item&gt;83&lt;/item&gt;&lt;item&gt;84&lt;/item&gt;&lt;item&gt;85&lt;/item&gt;&lt;item&gt;86&lt;/item&gt;&lt;item&gt;87&lt;/item&gt;&lt;item&gt;88&lt;/item&gt;&lt;item&gt;89&lt;/item&gt;&lt;item&gt;90&lt;/item&gt;&lt;item&gt;91&lt;/item&gt;&lt;item&gt;92&lt;/item&gt;&lt;item&gt;93&lt;/item&gt;&lt;item&gt;94&lt;/item&gt;&lt;item&gt;95&lt;/item&gt;&lt;item&gt;101&lt;/item&gt;&lt;item&gt;103&lt;/item&gt;&lt;item&gt;104&lt;/item&gt;&lt;item&gt;105&lt;/item&gt;&lt;item&gt;106&lt;/item&gt;&lt;/record-ids&gt;&lt;/item&gt;&lt;item db-id=&quot;s205ztsw6v99t1ee2r6vpat820d0x9tefftv&quot;&gt;MSAC Reference Library&lt;record-ids&gt;&lt;item&gt;74&lt;/item&gt;&lt;item&gt;88&lt;/item&gt;&lt;/record-ids&gt;&lt;/item&gt;&lt;/Libraries&gt;"/>
  </w:docVars>
  <w:rsids>
    <w:rsidRoot w:val="00D75876"/>
    <w:rsid w:val="000002A3"/>
    <w:rsid w:val="00000AA2"/>
    <w:rsid w:val="00001152"/>
    <w:rsid w:val="00001B10"/>
    <w:rsid w:val="0000200C"/>
    <w:rsid w:val="00003669"/>
    <w:rsid w:val="00004174"/>
    <w:rsid w:val="00006FB6"/>
    <w:rsid w:val="0000765D"/>
    <w:rsid w:val="00010F33"/>
    <w:rsid w:val="0001132C"/>
    <w:rsid w:val="00011860"/>
    <w:rsid w:val="00011B03"/>
    <w:rsid w:val="00012BE3"/>
    <w:rsid w:val="00014FBA"/>
    <w:rsid w:val="00015F9B"/>
    <w:rsid w:val="00016C25"/>
    <w:rsid w:val="00020A77"/>
    <w:rsid w:val="00022C69"/>
    <w:rsid w:val="00023E50"/>
    <w:rsid w:val="00023FF1"/>
    <w:rsid w:val="00024910"/>
    <w:rsid w:val="00024B42"/>
    <w:rsid w:val="0002553B"/>
    <w:rsid w:val="0002697D"/>
    <w:rsid w:val="00030238"/>
    <w:rsid w:val="000307C3"/>
    <w:rsid w:val="0003195E"/>
    <w:rsid w:val="0003367F"/>
    <w:rsid w:val="000349B2"/>
    <w:rsid w:val="00034F39"/>
    <w:rsid w:val="000352E8"/>
    <w:rsid w:val="000356AA"/>
    <w:rsid w:val="00035B16"/>
    <w:rsid w:val="00036EC8"/>
    <w:rsid w:val="000370D7"/>
    <w:rsid w:val="000378F4"/>
    <w:rsid w:val="00037F73"/>
    <w:rsid w:val="0004095B"/>
    <w:rsid w:val="000419CA"/>
    <w:rsid w:val="00042B50"/>
    <w:rsid w:val="00043567"/>
    <w:rsid w:val="00043922"/>
    <w:rsid w:val="0004445C"/>
    <w:rsid w:val="000445CD"/>
    <w:rsid w:val="000454AD"/>
    <w:rsid w:val="0004678C"/>
    <w:rsid w:val="00047330"/>
    <w:rsid w:val="00050AB6"/>
    <w:rsid w:val="00051393"/>
    <w:rsid w:val="000516D7"/>
    <w:rsid w:val="00053E58"/>
    <w:rsid w:val="00054B2E"/>
    <w:rsid w:val="00055380"/>
    <w:rsid w:val="00056690"/>
    <w:rsid w:val="0006002E"/>
    <w:rsid w:val="00060A9B"/>
    <w:rsid w:val="000613DF"/>
    <w:rsid w:val="00063250"/>
    <w:rsid w:val="0006398B"/>
    <w:rsid w:val="00064D24"/>
    <w:rsid w:val="0006510F"/>
    <w:rsid w:val="000653B4"/>
    <w:rsid w:val="00065D65"/>
    <w:rsid w:val="00065ED4"/>
    <w:rsid w:val="0006602A"/>
    <w:rsid w:val="000666A6"/>
    <w:rsid w:val="000677C0"/>
    <w:rsid w:val="000700D4"/>
    <w:rsid w:val="00070145"/>
    <w:rsid w:val="00070860"/>
    <w:rsid w:val="00070F34"/>
    <w:rsid w:val="00071556"/>
    <w:rsid w:val="00072099"/>
    <w:rsid w:val="000726BB"/>
    <w:rsid w:val="00073CEB"/>
    <w:rsid w:val="00073FF2"/>
    <w:rsid w:val="000747A6"/>
    <w:rsid w:val="00074B5A"/>
    <w:rsid w:val="0007633B"/>
    <w:rsid w:val="00077FE2"/>
    <w:rsid w:val="00080A0A"/>
    <w:rsid w:val="00081E37"/>
    <w:rsid w:val="00083BE9"/>
    <w:rsid w:val="0008413E"/>
    <w:rsid w:val="00084592"/>
    <w:rsid w:val="000848F9"/>
    <w:rsid w:val="00085515"/>
    <w:rsid w:val="00086373"/>
    <w:rsid w:val="00087CF7"/>
    <w:rsid w:val="0009153A"/>
    <w:rsid w:val="00092155"/>
    <w:rsid w:val="00092C9F"/>
    <w:rsid w:val="0009325C"/>
    <w:rsid w:val="000933C0"/>
    <w:rsid w:val="000936FF"/>
    <w:rsid w:val="00095358"/>
    <w:rsid w:val="00096000"/>
    <w:rsid w:val="000967CF"/>
    <w:rsid w:val="000A01DE"/>
    <w:rsid w:val="000A0FC8"/>
    <w:rsid w:val="000A19C0"/>
    <w:rsid w:val="000A263B"/>
    <w:rsid w:val="000A34C9"/>
    <w:rsid w:val="000A5668"/>
    <w:rsid w:val="000A5ADF"/>
    <w:rsid w:val="000B1343"/>
    <w:rsid w:val="000B1489"/>
    <w:rsid w:val="000B1C0B"/>
    <w:rsid w:val="000B3FEF"/>
    <w:rsid w:val="000B746D"/>
    <w:rsid w:val="000B7ADD"/>
    <w:rsid w:val="000C16D2"/>
    <w:rsid w:val="000C2B3B"/>
    <w:rsid w:val="000C3A63"/>
    <w:rsid w:val="000C5972"/>
    <w:rsid w:val="000C60E1"/>
    <w:rsid w:val="000C6A32"/>
    <w:rsid w:val="000C755B"/>
    <w:rsid w:val="000C7572"/>
    <w:rsid w:val="000D175E"/>
    <w:rsid w:val="000D2BD6"/>
    <w:rsid w:val="000D2C59"/>
    <w:rsid w:val="000D5AEA"/>
    <w:rsid w:val="000D5C2A"/>
    <w:rsid w:val="000D5C44"/>
    <w:rsid w:val="000D6281"/>
    <w:rsid w:val="000D62E8"/>
    <w:rsid w:val="000D69FF"/>
    <w:rsid w:val="000D76DA"/>
    <w:rsid w:val="000D7CEF"/>
    <w:rsid w:val="000E163F"/>
    <w:rsid w:val="000E2F1B"/>
    <w:rsid w:val="000E3254"/>
    <w:rsid w:val="000E4046"/>
    <w:rsid w:val="000E59B3"/>
    <w:rsid w:val="000E5D04"/>
    <w:rsid w:val="000E5F7C"/>
    <w:rsid w:val="000E65B7"/>
    <w:rsid w:val="000E68A2"/>
    <w:rsid w:val="000E6970"/>
    <w:rsid w:val="000E719D"/>
    <w:rsid w:val="000E7CAD"/>
    <w:rsid w:val="000F2D0E"/>
    <w:rsid w:val="000F2FBE"/>
    <w:rsid w:val="000F3B75"/>
    <w:rsid w:val="000F5370"/>
    <w:rsid w:val="000F5C13"/>
    <w:rsid w:val="000F6227"/>
    <w:rsid w:val="0010199F"/>
    <w:rsid w:val="001021C7"/>
    <w:rsid w:val="00102A12"/>
    <w:rsid w:val="00102FAF"/>
    <w:rsid w:val="001031F8"/>
    <w:rsid w:val="00103457"/>
    <w:rsid w:val="00106312"/>
    <w:rsid w:val="00106BDD"/>
    <w:rsid w:val="00107A06"/>
    <w:rsid w:val="00112E5B"/>
    <w:rsid w:val="00113215"/>
    <w:rsid w:val="001156CE"/>
    <w:rsid w:val="00117239"/>
    <w:rsid w:val="00117A9B"/>
    <w:rsid w:val="0012043A"/>
    <w:rsid w:val="00121196"/>
    <w:rsid w:val="00121A06"/>
    <w:rsid w:val="00121D5C"/>
    <w:rsid w:val="0012211E"/>
    <w:rsid w:val="0012220D"/>
    <w:rsid w:val="001229D7"/>
    <w:rsid w:val="00122F17"/>
    <w:rsid w:val="00123EC3"/>
    <w:rsid w:val="00124B27"/>
    <w:rsid w:val="001250A0"/>
    <w:rsid w:val="001254E5"/>
    <w:rsid w:val="00126162"/>
    <w:rsid w:val="00126213"/>
    <w:rsid w:val="00127A9A"/>
    <w:rsid w:val="001305CF"/>
    <w:rsid w:val="00130E9D"/>
    <w:rsid w:val="001313DF"/>
    <w:rsid w:val="0013247D"/>
    <w:rsid w:val="00133333"/>
    <w:rsid w:val="00133ABB"/>
    <w:rsid w:val="00133BDF"/>
    <w:rsid w:val="00133C7F"/>
    <w:rsid w:val="001414AE"/>
    <w:rsid w:val="001423A6"/>
    <w:rsid w:val="00142832"/>
    <w:rsid w:val="001431B2"/>
    <w:rsid w:val="0014371E"/>
    <w:rsid w:val="00143DE1"/>
    <w:rsid w:val="00143FA6"/>
    <w:rsid w:val="00144128"/>
    <w:rsid w:val="00144575"/>
    <w:rsid w:val="00144757"/>
    <w:rsid w:val="0014487E"/>
    <w:rsid w:val="00145075"/>
    <w:rsid w:val="001453DD"/>
    <w:rsid w:val="001456DD"/>
    <w:rsid w:val="001459EE"/>
    <w:rsid w:val="0014611A"/>
    <w:rsid w:val="001462FC"/>
    <w:rsid w:val="00147796"/>
    <w:rsid w:val="00147845"/>
    <w:rsid w:val="00147B14"/>
    <w:rsid w:val="001502DC"/>
    <w:rsid w:val="0015042F"/>
    <w:rsid w:val="0015072B"/>
    <w:rsid w:val="00150CBA"/>
    <w:rsid w:val="00151758"/>
    <w:rsid w:val="001524E6"/>
    <w:rsid w:val="00152D27"/>
    <w:rsid w:val="00153DB7"/>
    <w:rsid w:val="00154318"/>
    <w:rsid w:val="00154789"/>
    <w:rsid w:val="0015557B"/>
    <w:rsid w:val="00156621"/>
    <w:rsid w:val="00157656"/>
    <w:rsid w:val="0016013D"/>
    <w:rsid w:val="00160289"/>
    <w:rsid w:val="001609F3"/>
    <w:rsid w:val="00160BB1"/>
    <w:rsid w:val="00163B58"/>
    <w:rsid w:val="00164247"/>
    <w:rsid w:val="00165145"/>
    <w:rsid w:val="00165421"/>
    <w:rsid w:val="0016564E"/>
    <w:rsid w:val="00170941"/>
    <w:rsid w:val="0017161B"/>
    <w:rsid w:val="0017177A"/>
    <w:rsid w:val="0017389A"/>
    <w:rsid w:val="00174071"/>
    <w:rsid w:val="001746C4"/>
    <w:rsid w:val="00175F83"/>
    <w:rsid w:val="00177753"/>
    <w:rsid w:val="00180536"/>
    <w:rsid w:val="00184332"/>
    <w:rsid w:val="00185185"/>
    <w:rsid w:val="001858E1"/>
    <w:rsid w:val="0018599D"/>
    <w:rsid w:val="00185A05"/>
    <w:rsid w:val="00190350"/>
    <w:rsid w:val="00191C0D"/>
    <w:rsid w:val="0019237D"/>
    <w:rsid w:val="00192BC8"/>
    <w:rsid w:val="001946B5"/>
    <w:rsid w:val="00194B11"/>
    <w:rsid w:val="00194BD1"/>
    <w:rsid w:val="00194D95"/>
    <w:rsid w:val="001964EF"/>
    <w:rsid w:val="0019687F"/>
    <w:rsid w:val="0019691F"/>
    <w:rsid w:val="001975BE"/>
    <w:rsid w:val="00197BC3"/>
    <w:rsid w:val="001A0028"/>
    <w:rsid w:val="001A00FB"/>
    <w:rsid w:val="001A2146"/>
    <w:rsid w:val="001A319C"/>
    <w:rsid w:val="001A39E2"/>
    <w:rsid w:val="001A5624"/>
    <w:rsid w:val="001A6D28"/>
    <w:rsid w:val="001B16E4"/>
    <w:rsid w:val="001B2BCC"/>
    <w:rsid w:val="001B2E65"/>
    <w:rsid w:val="001B34E4"/>
    <w:rsid w:val="001B4123"/>
    <w:rsid w:val="001B4C64"/>
    <w:rsid w:val="001B51E0"/>
    <w:rsid w:val="001B699E"/>
    <w:rsid w:val="001B6ECC"/>
    <w:rsid w:val="001B73C1"/>
    <w:rsid w:val="001C2EB6"/>
    <w:rsid w:val="001C2F2B"/>
    <w:rsid w:val="001C2FE2"/>
    <w:rsid w:val="001C3D16"/>
    <w:rsid w:val="001C45F4"/>
    <w:rsid w:val="001C5CFE"/>
    <w:rsid w:val="001C60AE"/>
    <w:rsid w:val="001C769F"/>
    <w:rsid w:val="001D0659"/>
    <w:rsid w:val="001D0661"/>
    <w:rsid w:val="001D0EC5"/>
    <w:rsid w:val="001D1454"/>
    <w:rsid w:val="001D19E2"/>
    <w:rsid w:val="001D3AC7"/>
    <w:rsid w:val="001D4DFA"/>
    <w:rsid w:val="001D57C7"/>
    <w:rsid w:val="001D700E"/>
    <w:rsid w:val="001D7A92"/>
    <w:rsid w:val="001D7AB3"/>
    <w:rsid w:val="001E003C"/>
    <w:rsid w:val="001E05D7"/>
    <w:rsid w:val="001E084C"/>
    <w:rsid w:val="001E0E29"/>
    <w:rsid w:val="001E36E9"/>
    <w:rsid w:val="001E3AE2"/>
    <w:rsid w:val="001E4110"/>
    <w:rsid w:val="001E4549"/>
    <w:rsid w:val="001E4AC2"/>
    <w:rsid w:val="001E4BD1"/>
    <w:rsid w:val="001E4CB4"/>
    <w:rsid w:val="001E6AF6"/>
    <w:rsid w:val="001F11C8"/>
    <w:rsid w:val="001F1374"/>
    <w:rsid w:val="001F3BBA"/>
    <w:rsid w:val="001F4339"/>
    <w:rsid w:val="001F5107"/>
    <w:rsid w:val="002003AF"/>
    <w:rsid w:val="00202282"/>
    <w:rsid w:val="002025DC"/>
    <w:rsid w:val="00204524"/>
    <w:rsid w:val="00204A26"/>
    <w:rsid w:val="00204EC1"/>
    <w:rsid w:val="00204FCF"/>
    <w:rsid w:val="0020556D"/>
    <w:rsid w:val="00205B19"/>
    <w:rsid w:val="00205D92"/>
    <w:rsid w:val="00205E2E"/>
    <w:rsid w:val="0020602F"/>
    <w:rsid w:val="002064C1"/>
    <w:rsid w:val="00206EA5"/>
    <w:rsid w:val="00207480"/>
    <w:rsid w:val="002076A6"/>
    <w:rsid w:val="00207876"/>
    <w:rsid w:val="00207FA4"/>
    <w:rsid w:val="00211976"/>
    <w:rsid w:val="002119C0"/>
    <w:rsid w:val="00212C3C"/>
    <w:rsid w:val="00213B25"/>
    <w:rsid w:val="0021413E"/>
    <w:rsid w:val="0021451B"/>
    <w:rsid w:val="0021594A"/>
    <w:rsid w:val="0021655D"/>
    <w:rsid w:val="00216AEB"/>
    <w:rsid w:val="00217500"/>
    <w:rsid w:val="00217564"/>
    <w:rsid w:val="0021767A"/>
    <w:rsid w:val="00220D40"/>
    <w:rsid w:val="00222093"/>
    <w:rsid w:val="002222E6"/>
    <w:rsid w:val="00222446"/>
    <w:rsid w:val="00224ADF"/>
    <w:rsid w:val="00226B8D"/>
    <w:rsid w:val="00226E53"/>
    <w:rsid w:val="00227066"/>
    <w:rsid w:val="002300A1"/>
    <w:rsid w:val="0023161E"/>
    <w:rsid w:val="002324B4"/>
    <w:rsid w:val="0023286A"/>
    <w:rsid w:val="002329DA"/>
    <w:rsid w:val="00232CF9"/>
    <w:rsid w:val="002335E0"/>
    <w:rsid w:val="0023386A"/>
    <w:rsid w:val="00234E04"/>
    <w:rsid w:val="0023551F"/>
    <w:rsid w:val="00235907"/>
    <w:rsid w:val="0023602F"/>
    <w:rsid w:val="0023648A"/>
    <w:rsid w:val="0023709F"/>
    <w:rsid w:val="00240EC8"/>
    <w:rsid w:val="00241E97"/>
    <w:rsid w:val="002429C9"/>
    <w:rsid w:val="002432A1"/>
    <w:rsid w:val="0024480F"/>
    <w:rsid w:val="002467C4"/>
    <w:rsid w:val="00247862"/>
    <w:rsid w:val="002500F3"/>
    <w:rsid w:val="0025036A"/>
    <w:rsid w:val="00250DD3"/>
    <w:rsid w:val="0025298D"/>
    <w:rsid w:val="00253FB0"/>
    <w:rsid w:val="002540E9"/>
    <w:rsid w:val="002552CE"/>
    <w:rsid w:val="00255C8E"/>
    <w:rsid w:val="002562C2"/>
    <w:rsid w:val="00260868"/>
    <w:rsid w:val="0026107D"/>
    <w:rsid w:val="00261ED1"/>
    <w:rsid w:val="00262114"/>
    <w:rsid w:val="0026276B"/>
    <w:rsid w:val="00262D93"/>
    <w:rsid w:val="002647F8"/>
    <w:rsid w:val="002649A4"/>
    <w:rsid w:val="0026533B"/>
    <w:rsid w:val="002661C4"/>
    <w:rsid w:val="002666AC"/>
    <w:rsid w:val="002707D5"/>
    <w:rsid w:val="00271A70"/>
    <w:rsid w:val="00272599"/>
    <w:rsid w:val="002730F7"/>
    <w:rsid w:val="00273888"/>
    <w:rsid w:val="00273AB7"/>
    <w:rsid w:val="002761E6"/>
    <w:rsid w:val="0027735B"/>
    <w:rsid w:val="00277951"/>
    <w:rsid w:val="0027795A"/>
    <w:rsid w:val="00277DA0"/>
    <w:rsid w:val="00280BCB"/>
    <w:rsid w:val="00281515"/>
    <w:rsid w:val="0028198F"/>
    <w:rsid w:val="00281AF1"/>
    <w:rsid w:val="0028303B"/>
    <w:rsid w:val="00283A8F"/>
    <w:rsid w:val="00284047"/>
    <w:rsid w:val="00284085"/>
    <w:rsid w:val="00284F7A"/>
    <w:rsid w:val="00286B4D"/>
    <w:rsid w:val="002912B1"/>
    <w:rsid w:val="00291F0B"/>
    <w:rsid w:val="00293014"/>
    <w:rsid w:val="0029523D"/>
    <w:rsid w:val="00296076"/>
    <w:rsid w:val="002A05B9"/>
    <w:rsid w:val="002A0C45"/>
    <w:rsid w:val="002A2A22"/>
    <w:rsid w:val="002A3F5D"/>
    <w:rsid w:val="002A4CF5"/>
    <w:rsid w:val="002A78A7"/>
    <w:rsid w:val="002B01FD"/>
    <w:rsid w:val="002B2170"/>
    <w:rsid w:val="002B3014"/>
    <w:rsid w:val="002B36F5"/>
    <w:rsid w:val="002B383A"/>
    <w:rsid w:val="002B535F"/>
    <w:rsid w:val="002B5BB0"/>
    <w:rsid w:val="002B6198"/>
    <w:rsid w:val="002B6F2A"/>
    <w:rsid w:val="002C1303"/>
    <w:rsid w:val="002C2F15"/>
    <w:rsid w:val="002C3E0A"/>
    <w:rsid w:val="002C3E70"/>
    <w:rsid w:val="002C4299"/>
    <w:rsid w:val="002C4616"/>
    <w:rsid w:val="002C4754"/>
    <w:rsid w:val="002C4E7F"/>
    <w:rsid w:val="002C578E"/>
    <w:rsid w:val="002C589D"/>
    <w:rsid w:val="002C5B56"/>
    <w:rsid w:val="002C69E5"/>
    <w:rsid w:val="002C7513"/>
    <w:rsid w:val="002C7CE5"/>
    <w:rsid w:val="002D2C8F"/>
    <w:rsid w:val="002D3760"/>
    <w:rsid w:val="002D413F"/>
    <w:rsid w:val="002D41D3"/>
    <w:rsid w:val="002D4E1E"/>
    <w:rsid w:val="002D67CE"/>
    <w:rsid w:val="002D76EE"/>
    <w:rsid w:val="002E0C36"/>
    <w:rsid w:val="002E0C38"/>
    <w:rsid w:val="002E2399"/>
    <w:rsid w:val="002E24C3"/>
    <w:rsid w:val="002E29F7"/>
    <w:rsid w:val="002E2A1D"/>
    <w:rsid w:val="002E352E"/>
    <w:rsid w:val="002E3B10"/>
    <w:rsid w:val="002E3E7F"/>
    <w:rsid w:val="002E472D"/>
    <w:rsid w:val="002E4D5B"/>
    <w:rsid w:val="002E53A4"/>
    <w:rsid w:val="002E77AE"/>
    <w:rsid w:val="002F00DF"/>
    <w:rsid w:val="002F0195"/>
    <w:rsid w:val="002F024D"/>
    <w:rsid w:val="002F0966"/>
    <w:rsid w:val="002F14D1"/>
    <w:rsid w:val="002F1A1C"/>
    <w:rsid w:val="002F2E70"/>
    <w:rsid w:val="002F32AC"/>
    <w:rsid w:val="002F430D"/>
    <w:rsid w:val="002F4646"/>
    <w:rsid w:val="002F4717"/>
    <w:rsid w:val="002F5FD4"/>
    <w:rsid w:val="002F7772"/>
    <w:rsid w:val="002F793A"/>
    <w:rsid w:val="002F7D1F"/>
    <w:rsid w:val="0030147A"/>
    <w:rsid w:val="00301B4E"/>
    <w:rsid w:val="00302E60"/>
    <w:rsid w:val="00302FCB"/>
    <w:rsid w:val="0030396C"/>
    <w:rsid w:val="003040CA"/>
    <w:rsid w:val="00304201"/>
    <w:rsid w:val="00305818"/>
    <w:rsid w:val="00305AF5"/>
    <w:rsid w:val="00306D93"/>
    <w:rsid w:val="00310C5E"/>
    <w:rsid w:val="00311A81"/>
    <w:rsid w:val="00311C28"/>
    <w:rsid w:val="00311F52"/>
    <w:rsid w:val="00312227"/>
    <w:rsid w:val="0031227C"/>
    <w:rsid w:val="00312E36"/>
    <w:rsid w:val="003139A5"/>
    <w:rsid w:val="00315EBD"/>
    <w:rsid w:val="00315F96"/>
    <w:rsid w:val="00316297"/>
    <w:rsid w:val="00320251"/>
    <w:rsid w:val="00321620"/>
    <w:rsid w:val="003221CD"/>
    <w:rsid w:val="0032257A"/>
    <w:rsid w:val="00322829"/>
    <w:rsid w:val="00323A9A"/>
    <w:rsid w:val="00323E2C"/>
    <w:rsid w:val="00323F8A"/>
    <w:rsid w:val="00325360"/>
    <w:rsid w:val="00325A37"/>
    <w:rsid w:val="003269BF"/>
    <w:rsid w:val="00326AC9"/>
    <w:rsid w:val="00327928"/>
    <w:rsid w:val="00327A11"/>
    <w:rsid w:val="00330FD2"/>
    <w:rsid w:val="00331F59"/>
    <w:rsid w:val="0033301E"/>
    <w:rsid w:val="0033361E"/>
    <w:rsid w:val="0033399B"/>
    <w:rsid w:val="00333A74"/>
    <w:rsid w:val="00335613"/>
    <w:rsid w:val="00340849"/>
    <w:rsid w:val="003412F3"/>
    <w:rsid w:val="00341CFE"/>
    <w:rsid w:val="003424AA"/>
    <w:rsid w:val="003430DA"/>
    <w:rsid w:val="0034319A"/>
    <w:rsid w:val="0034523F"/>
    <w:rsid w:val="00347861"/>
    <w:rsid w:val="00350F92"/>
    <w:rsid w:val="003534FE"/>
    <w:rsid w:val="00354164"/>
    <w:rsid w:val="00354E3B"/>
    <w:rsid w:val="0035633F"/>
    <w:rsid w:val="003564FC"/>
    <w:rsid w:val="00356E7A"/>
    <w:rsid w:val="00356F78"/>
    <w:rsid w:val="00360158"/>
    <w:rsid w:val="00360EDA"/>
    <w:rsid w:val="00360F71"/>
    <w:rsid w:val="00361EF8"/>
    <w:rsid w:val="003637B4"/>
    <w:rsid w:val="00364A2D"/>
    <w:rsid w:val="00365E8A"/>
    <w:rsid w:val="003661E4"/>
    <w:rsid w:val="0036728F"/>
    <w:rsid w:val="00370307"/>
    <w:rsid w:val="00370DAA"/>
    <w:rsid w:val="00371452"/>
    <w:rsid w:val="003715D3"/>
    <w:rsid w:val="00373544"/>
    <w:rsid w:val="003750E7"/>
    <w:rsid w:val="00375A67"/>
    <w:rsid w:val="00377C09"/>
    <w:rsid w:val="0038059C"/>
    <w:rsid w:val="00380E3A"/>
    <w:rsid w:val="00380E78"/>
    <w:rsid w:val="003815E5"/>
    <w:rsid w:val="003816F6"/>
    <w:rsid w:val="00383650"/>
    <w:rsid w:val="00383B0A"/>
    <w:rsid w:val="00384466"/>
    <w:rsid w:val="00384DC4"/>
    <w:rsid w:val="00385245"/>
    <w:rsid w:val="00385305"/>
    <w:rsid w:val="003855CC"/>
    <w:rsid w:val="003859BA"/>
    <w:rsid w:val="00385F84"/>
    <w:rsid w:val="00386A11"/>
    <w:rsid w:val="003871FC"/>
    <w:rsid w:val="00387BBF"/>
    <w:rsid w:val="00391CD8"/>
    <w:rsid w:val="00392CB2"/>
    <w:rsid w:val="00393E82"/>
    <w:rsid w:val="00394E83"/>
    <w:rsid w:val="003951CF"/>
    <w:rsid w:val="00395A55"/>
    <w:rsid w:val="00395FC5"/>
    <w:rsid w:val="003967C5"/>
    <w:rsid w:val="00396920"/>
    <w:rsid w:val="00396F0C"/>
    <w:rsid w:val="00397504"/>
    <w:rsid w:val="00397D27"/>
    <w:rsid w:val="003A0EAC"/>
    <w:rsid w:val="003A1AB2"/>
    <w:rsid w:val="003A1B43"/>
    <w:rsid w:val="003A2004"/>
    <w:rsid w:val="003A24F5"/>
    <w:rsid w:val="003A3FE8"/>
    <w:rsid w:val="003A4C04"/>
    <w:rsid w:val="003A575C"/>
    <w:rsid w:val="003A5798"/>
    <w:rsid w:val="003A78F8"/>
    <w:rsid w:val="003B1B0E"/>
    <w:rsid w:val="003B1E0F"/>
    <w:rsid w:val="003B2780"/>
    <w:rsid w:val="003B37E6"/>
    <w:rsid w:val="003B41DA"/>
    <w:rsid w:val="003B5549"/>
    <w:rsid w:val="003B5563"/>
    <w:rsid w:val="003B6407"/>
    <w:rsid w:val="003B6450"/>
    <w:rsid w:val="003B6A2F"/>
    <w:rsid w:val="003B6A50"/>
    <w:rsid w:val="003B6C75"/>
    <w:rsid w:val="003B6EE7"/>
    <w:rsid w:val="003B6F6C"/>
    <w:rsid w:val="003B7065"/>
    <w:rsid w:val="003B723F"/>
    <w:rsid w:val="003B773A"/>
    <w:rsid w:val="003B7986"/>
    <w:rsid w:val="003C0DDE"/>
    <w:rsid w:val="003C1BBD"/>
    <w:rsid w:val="003C1C1B"/>
    <w:rsid w:val="003C2336"/>
    <w:rsid w:val="003C23E2"/>
    <w:rsid w:val="003C373F"/>
    <w:rsid w:val="003C3A8A"/>
    <w:rsid w:val="003C44A1"/>
    <w:rsid w:val="003C623D"/>
    <w:rsid w:val="003C720E"/>
    <w:rsid w:val="003D1A41"/>
    <w:rsid w:val="003D3578"/>
    <w:rsid w:val="003D3A4C"/>
    <w:rsid w:val="003D3DB4"/>
    <w:rsid w:val="003D479D"/>
    <w:rsid w:val="003D607E"/>
    <w:rsid w:val="003D6FE4"/>
    <w:rsid w:val="003E036E"/>
    <w:rsid w:val="003E265F"/>
    <w:rsid w:val="003E2CD8"/>
    <w:rsid w:val="003E5945"/>
    <w:rsid w:val="003E5A32"/>
    <w:rsid w:val="003E7394"/>
    <w:rsid w:val="003E752A"/>
    <w:rsid w:val="003F0FC3"/>
    <w:rsid w:val="003F1C76"/>
    <w:rsid w:val="003F32D2"/>
    <w:rsid w:val="003F364D"/>
    <w:rsid w:val="003F3E42"/>
    <w:rsid w:val="003F6A24"/>
    <w:rsid w:val="003F6DCD"/>
    <w:rsid w:val="00400DC4"/>
    <w:rsid w:val="00401E3C"/>
    <w:rsid w:val="004034F6"/>
    <w:rsid w:val="004043D2"/>
    <w:rsid w:val="0040516C"/>
    <w:rsid w:val="004058BE"/>
    <w:rsid w:val="00406414"/>
    <w:rsid w:val="00406810"/>
    <w:rsid w:val="00407A1B"/>
    <w:rsid w:val="004101E1"/>
    <w:rsid w:val="00410271"/>
    <w:rsid w:val="0041446B"/>
    <w:rsid w:val="00414B8C"/>
    <w:rsid w:val="00415426"/>
    <w:rsid w:val="00417CB0"/>
    <w:rsid w:val="00420DF2"/>
    <w:rsid w:val="00421333"/>
    <w:rsid w:val="00421D76"/>
    <w:rsid w:val="004222DE"/>
    <w:rsid w:val="004226B6"/>
    <w:rsid w:val="00422BD8"/>
    <w:rsid w:val="00422C22"/>
    <w:rsid w:val="0042300E"/>
    <w:rsid w:val="004236DD"/>
    <w:rsid w:val="00425CDA"/>
    <w:rsid w:val="00426ACB"/>
    <w:rsid w:val="00426EC8"/>
    <w:rsid w:val="00427F32"/>
    <w:rsid w:val="00430BAD"/>
    <w:rsid w:val="00431003"/>
    <w:rsid w:val="004322B9"/>
    <w:rsid w:val="004327A9"/>
    <w:rsid w:val="00432897"/>
    <w:rsid w:val="004344AD"/>
    <w:rsid w:val="00435219"/>
    <w:rsid w:val="00435285"/>
    <w:rsid w:val="004371CF"/>
    <w:rsid w:val="00437279"/>
    <w:rsid w:val="004406BF"/>
    <w:rsid w:val="00440E86"/>
    <w:rsid w:val="004412CF"/>
    <w:rsid w:val="00441B23"/>
    <w:rsid w:val="00442372"/>
    <w:rsid w:val="00442E7C"/>
    <w:rsid w:val="00442EAF"/>
    <w:rsid w:val="0044547B"/>
    <w:rsid w:val="00446BD5"/>
    <w:rsid w:val="00446D90"/>
    <w:rsid w:val="00447101"/>
    <w:rsid w:val="00447C83"/>
    <w:rsid w:val="004503F3"/>
    <w:rsid w:val="00450D22"/>
    <w:rsid w:val="00450E31"/>
    <w:rsid w:val="00452999"/>
    <w:rsid w:val="00453020"/>
    <w:rsid w:val="00454389"/>
    <w:rsid w:val="0045498D"/>
    <w:rsid w:val="00454B21"/>
    <w:rsid w:val="004551FF"/>
    <w:rsid w:val="004568D6"/>
    <w:rsid w:val="004610BF"/>
    <w:rsid w:val="004612AB"/>
    <w:rsid w:val="00461C1F"/>
    <w:rsid w:val="004622EB"/>
    <w:rsid w:val="00462560"/>
    <w:rsid w:val="004626A8"/>
    <w:rsid w:val="004649DB"/>
    <w:rsid w:val="00464E9D"/>
    <w:rsid w:val="00465183"/>
    <w:rsid w:val="00466D36"/>
    <w:rsid w:val="00467398"/>
    <w:rsid w:val="00467BC2"/>
    <w:rsid w:val="0047053D"/>
    <w:rsid w:val="00470E6E"/>
    <w:rsid w:val="00471C2B"/>
    <w:rsid w:val="00472A12"/>
    <w:rsid w:val="00473091"/>
    <w:rsid w:val="0047353E"/>
    <w:rsid w:val="00473B18"/>
    <w:rsid w:val="0047687E"/>
    <w:rsid w:val="00476B34"/>
    <w:rsid w:val="0048055F"/>
    <w:rsid w:val="00480604"/>
    <w:rsid w:val="00480DDB"/>
    <w:rsid w:val="004819A7"/>
    <w:rsid w:val="0048244F"/>
    <w:rsid w:val="0048269E"/>
    <w:rsid w:val="00482CBD"/>
    <w:rsid w:val="004836B7"/>
    <w:rsid w:val="00483BE3"/>
    <w:rsid w:val="00484441"/>
    <w:rsid w:val="00484663"/>
    <w:rsid w:val="00484AF3"/>
    <w:rsid w:val="00484EB6"/>
    <w:rsid w:val="00487864"/>
    <w:rsid w:val="00490EED"/>
    <w:rsid w:val="00492489"/>
    <w:rsid w:val="004927D1"/>
    <w:rsid w:val="004928FF"/>
    <w:rsid w:val="00493308"/>
    <w:rsid w:val="00493D20"/>
    <w:rsid w:val="004959FB"/>
    <w:rsid w:val="004976A7"/>
    <w:rsid w:val="004977AB"/>
    <w:rsid w:val="004A4613"/>
    <w:rsid w:val="004A4659"/>
    <w:rsid w:val="004A4BF9"/>
    <w:rsid w:val="004A4CC5"/>
    <w:rsid w:val="004A614C"/>
    <w:rsid w:val="004A6679"/>
    <w:rsid w:val="004A7A39"/>
    <w:rsid w:val="004A7B6B"/>
    <w:rsid w:val="004B0006"/>
    <w:rsid w:val="004B0B1D"/>
    <w:rsid w:val="004B1D69"/>
    <w:rsid w:val="004B21EF"/>
    <w:rsid w:val="004B26CF"/>
    <w:rsid w:val="004B41D8"/>
    <w:rsid w:val="004B4461"/>
    <w:rsid w:val="004B488D"/>
    <w:rsid w:val="004B4D9D"/>
    <w:rsid w:val="004B6308"/>
    <w:rsid w:val="004B683F"/>
    <w:rsid w:val="004B73A7"/>
    <w:rsid w:val="004B7DC6"/>
    <w:rsid w:val="004C1094"/>
    <w:rsid w:val="004C1AB1"/>
    <w:rsid w:val="004C247E"/>
    <w:rsid w:val="004C26D5"/>
    <w:rsid w:val="004C302E"/>
    <w:rsid w:val="004C3EA1"/>
    <w:rsid w:val="004C4CD0"/>
    <w:rsid w:val="004C5578"/>
    <w:rsid w:val="004C620D"/>
    <w:rsid w:val="004C69CF"/>
    <w:rsid w:val="004C73F7"/>
    <w:rsid w:val="004C75F8"/>
    <w:rsid w:val="004D0ACA"/>
    <w:rsid w:val="004D1894"/>
    <w:rsid w:val="004D37D3"/>
    <w:rsid w:val="004E10A4"/>
    <w:rsid w:val="004E197A"/>
    <w:rsid w:val="004E1A2B"/>
    <w:rsid w:val="004E1D47"/>
    <w:rsid w:val="004E2874"/>
    <w:rsid w:val="004E2AA7"/>
    <w:rsid w:val="004E3B71"/>
    <w:rsid w:val="004E44B5"/>
    <w:rsid w:val="004E59DC"/>
    <w:rsid w:val="004E5A59"/>
    <w:rsid w:val="004E5C57"/>
    <w:rsid w:val="004E6FDC"/>
    <w:rsid w:val="004E7D77"/>
    <w:rsid w:val="004E7D8B"/>
    <w:rsid w:val="004F02F0"/>
    <w:rsid w:val="004F1D54"/>
    <w:rsid w:val="004F2ADA"/>
    <w:rsid w:val="004F3DB6"/>
    <w:rsid w:val="004F4ACD"/>
    <w:rsid w:val="004F70C9"/>
    <w:rsid w:val="004F7ACC"/>
    <w:rsid w:val="005001C0"/>
    <w:rsid w:val="00500993"/>
    <w:rsid w:val="0050121B"/>
    <w:rsid w:val="00503EA7"/>
    <w:rsid w:val="00510780"/>
    <w:rsid w:val="00511E7A"/>
    <w:rsid w:val="00511EDB"/>
    <w:rsid w:val="005125DF"/>
    <w:rsid w:val="00512E83"/>
    <w:rsid w:val="0051394F"/>
    <w:rsid w:val="00513955"/>
    <w:rsid w:val="005139C9"/>
    <w:rsid w:val="00513F32"/>
    <w:rsid w:val="00514D14"/>
    <w:rsid w:val="00514EBB"/>
    <w:rsid w:val="00514FC5"/>
    <w:rsid w:val="0051675D"/>
    <w:rsid w:val="0051721F"/>
    <w:rsid w:val="005209F9"/>
    <w:rsid w:val="0052105C"/>
    <w:rsid w:val="00523FA4"/>
    <w:rsid w:val="0052552E"/>
    <w:rsid w:val="005258A5"/>
    <w:rsid w:val="00526F28"/>
    <w:rsid w:val="00527384"/>
    <w:rsid w:val="0052786D"/>
    <w:rsid w:val="00532AAB"/>
    <w:rsid w:val="005338E5"/>
    <w:rsid w:val="00534AC1"/>
    <w:rsid w:val="00534C58"/>
    <w:rsid w:val="00534E9D"/>
    <w:rsid w:val="00534FEC"/>
    <w:rsid w:val="005356F5"/>
    <w:rsid w:val="00536304"/>
    <w:rsid w:val="00536481"/>
    <w:rsid w:val="00537CAA"/>
    <w:rsid w:val="00537F06"/>
    <w:rsid w:val="00540195"/>
    <w:rsid w:val="005403A2"/>
    <w:rsid w:val="0054295F"/>
    <w:rsid w:val="00543113"/>
    <w:rsid w:val="00543F35"/>
    <w:rsid w:val="00543F5F"/>
    <w:rsid w:val="00543F91"/>
    <w:rsid w:val="005443A8"/>
    <w:rsid w:val="00544741"/>
    <w:rsid w:val="00545C13"/>
    <w:rsid w:val="0054626A"/>
    <w:rsid w:val="005463AD"/>
    <w:rsid w:val="005475B9"/>
    <w:rsid w:val="00547A82"/>
    <w:rsid w:val="00547F95"/>
    <w:rsid w:val="00550059"/>
    <w:rsid w:val="00550A1B"/>
    <w:rsid w:val="00551039"/>
    <w:rsid w:val="00551ACF"/>
    <w:rsid w:val="005520FE"/>
    <w:rsid w:val="00552620"/>
    <w:rsid w:val="005529C6"/>
    <w:rsid w:val="00552CAB"/>
    <w:rsid w:val="00555502"/>
    <w:rsid w:val="00555721"/>
    <w:rsid w:val="00555BDB"/>
    <w:rsid w:val="005573CA"/>
    <w:rsid w:val="00557788"/>
    <w:rsid w:val="005609A2"/>
    <w:rsid w:val="00560C4C"/>
    <w:rsid w:val="005615E6"/>
    <w:rsid w:val="00561A38"/>
    <w:rsid w:val="005627E2"/>
    <w:rsid w:val="0056370D"/>
    <w:rsid w:val="005643D4"/>
    <w:rsid w:val="00565431"/>
    <w:rsid w:val="005657C9"/>
    <w:rsid w:val="00565DE0"/>
    <w:rsid w:val="00567508"/>
    <w:rsid w:val="0057056C"/>
    <w:rsid w:val="00570B67"/>
    <w:rsid w:val="00570C47"/>
    <w:rsid w:val="0057193F"/>
    <w:rsid w:val="005725E7"/>
    <w:rsid w:val="005738EE"/>
    <w:rsid w:val="00574389"/>
    <w:rsid w:val="00574785"/>
    <w:rsid w:val="00575156"/>
    <w:rsid w:val="00575381"/>
    <w:rsid w:val="0057551B"/>
    <w:rsid w:val="00575C35"/>
    <w:rsid w:val="00576003"/>
    <w:rsid w:val="00576185"/>
    <w:rsid w:val="00576648"/>
    <w:rsid w:val="00577093"/>
    <w:rsid w:val="005801A9"/>
    <w:rsid w:val="0058036D"/>
    <w:rsid w:val="00581BE7"/>
    <w:rsid w:val="00582E5E"/>
    <w:rsid w:val="005838B8"/>
    <w:rsid w:val="00583985"/>
    <w:rsid w:val="00583D1C"/>
    <w:rsid w:val="00585715"/>
    <w:rsid w:val="00585D05"/>
    <w:rsid w:val="00586CB5"/>
    <w:rsid w:val="00587B5B"/>
    <w:rsid w:val="00590643"/>
    <w:rsid w:val="00590F2A"/>
    <w:rsid w:val="00591217"/>
    <w:rsid w:val="005916E6"/>
    <w:rsid w:val="0059259B"/>
    <w:rsid w:val="00593245"/>
    <w:rsid w:val="0059346C"/>
    <w:rsid w:val="00594400"/>
    <w:rsid w:val="00597114"/>
    <w:rsid w:val="0059752A"/>
    <w:rsid w:val="005A0490"/>
    <w:rsid w:val="005A0963"/>
    <w:rsid w:val="005A0C04"/>
    <w:rsid w:val="005A1207"/>
    <w:rsid w:val="005A1242"/>
    <w:rsid w:val="005A282E"/>
    <w:rsid w:val="005A287E"/>
    <w:rsid w:val="005A4592"/>
    <w:rsid w:val="005A545C"/>
    <w:rsid w:val="005A5B17"/>
    <w:rsid w:val="005A7276"/>
    <w:rsid w:val="005A7434"/>
    <w:rsid w:val="005B095B"/>
    <w:rsid w:val="005B097D"/>
    <w:rsid w:val="005B0E41"/>
    <w:rsid w:val="005B13BC"/>
    <w:rsid w:val="005B189A"/>
    <w:rsid w:val="005B248D"/>
    <w:rsid w:val="005B2DCE"/>
    <w:rsid w:val="005B2F31"/>
    <w:rsid w:val="005B3900"/>
    <w:rsid w:val="005B3CD6"/>
    <w:rsid w:val="005B51EB"/>
    <w:rsid w:val="005B5B53"/>
    <w:rsid w:val="005B6A92"/>
    <w:rsid w:val="005B73C8"/>
    <w:rsid w:val="005B7611"/>
    <w:rsid w:val="005B7E1C"/>
    <w:rsid w:val="005C032D"/>
    <w:rsid w:val="005C0A83"/>
    <w:rsid w:val="005C0FEA"/>
    <w:rsid w:val="005C2333"/>
    <w:rsid w:val="005C3089"/>
    <w:rsid w:val="005C44EB"/>
    <w:rsid w:val="005C4CEA"/>
    <w:rsid w:val="005C683E"/>
    <w:rsid w:val="005C772C"/>
    <w:rsid w:val="005D062F"/>
    <w:rsid w:val="005D0F36"/>
    <w:rsid w:val="005D10B0"/>
    <w:rsid w:val="005D1E61"/>
    <w:rsid w:val="005D3C1F"/>
    <w:rsid w:val="005D42FD"/>
    <w:rsid w:val="005D4A17"/>
    <w:rsid w:val="005D4A50"/>
    <w:rsid w:val="005D4D93"/>
    <w:rsid w:val="005D5C83"/>
    <w:rsid w:val="005D6A3C"/>
    <w:rsid w:val="005D7343"/>
    <w:rsid w:val="005D7566"/>
    <w:rsid w:val="005D78D5"/>
    <w:rsid w:val="005E0404"/>
    <w:rsid w:val="005E04D9"/>
    <w:rsid w:val="005E152A"/>
    <w:rsid w:val="005E1B45"/>
    <w:rsid w:val="005E1B6E"/>
    <w:rsid w:val="005E42C3"/>
    <w:rsid w:val="005E4859"/>
    <w:rsid w:val="005E49B0"/>
    <w:rsid w:val="005E6E11"/>
    <w:rsid w:val="005E6E90"/>
    <w:rsid w:val="005E708A"/>
    <w:rsid w:val="005E7517"/>
    <w:rsid w:val="005F034B"/>
    <w:rsid w:val="005F0F70"/>
    <w:rsid w:val="005F0FC4"/>
    <w:rsid w:val="005F1A3E"/>
    <w:rsid w:val="005F3A2C"/>
    <w:rsid w:val="005F4482"/>
    <w:rsid w:val="005F4693"/>
    <w:rsid w:val="005F4AEF"/>
    <w:rsid w:val="005F5CD2"/>
    <w:rsid w:val="005F70E5"/>
    <w:rsid w:val="005F7447"/>
    <w:rsid w:val="006033C5"/>
    <w:rsid w:val="006038D2"/>
    <w:rsid w:val="00604B0D"/>
    <w:rsid w:val="00605C49"/>
    <w:rsid w:val="006072CA"/>
    <w:rsid w:val="006073A9"/>
    <w:rsid w:val="00607461"/>
    <w:rsid w:val="006100A1"/>
    <w:rsid w:val="00610BFC"/>
    <w:rsid w:val="00611B8E"/>
    <w:rsid w:val="00611E95"/>
    <w:rsid w:val="0061236D"/>
    <w:rsid w:val="00612BC9"/>
    <w:rsid w:val="006132AD"/>
    <w:rsid w:val="00613D71"/>
    <w:rsid w:val="00615765"/>
    <w:rsid w:val="00617512"/>
    <w:rsid w:val="006201B8"/>
    <w:rsid w:val="006213EC"/>
    <w:rsid w:val="0062159F"/>
    <w:rsid w:val="00621F69"/>
    <w:rsid w:val="00622230"/>
    <w:rsid w:val="00623B82"/>
    <w:rsid w:val="00624558"/>
    <w:rsid w:val="00624D1E"/>
    <w:rsid w:val="00624FF9"/>
    <w:rsid w:val="006250F4"/>
    <w:rsid w:val="0063099E"/>
    <w:rsid w:val="00631E48"/>
    <w:rsid w:val="00633570"/>
    <w:rsid w:val="006335F0"/>
    <w:rsid w:val="00634007"/>
    <w:rsid w:val="006341E0"/>
    <w:rsid w:val="006359BE"/>
    <w:rsid w:val="00635D45"/>
    <w:rsid w:val="00636831"/>
    <w:rsid w:val="0063690B"/>
    <w:rsid w:val="00636AB7"/>
    <w:rsid w:val="006372F9"/>
    <w:rsid w:val="0063769A"/>
    <w:rsid w:val="006379AF"/>
    <w:rsid w:val="006401CF"/>
    <w:rsid w:val="006402A6"/>
    <w:rsid w:val="00640B37"/>
    <w:rsid w:val="006422E5"/>
    <w:rsid w:val="00642398"/>
    <w:rsid w:val="0064287D"/>
    <w:rsid w:val="00642BF6"/>
    <w:rsid w:val="0064379B"/>
    <w:rsid w:val="0064439D"/>
    <w:rsid w:val="00644D84"/>
    <w:rsid w:val="006459ED"/>
    <w:rsid w:val="006462EA"/>
    <w:rsid w:val="00646E7C"/>
    <w:rsid w:val="00647DA6"/>
    <w:rsid w:val="006509D6"/>
    <w:rsid w:val="00650D20"/>
    <w:rsid w:val="00651A88"/>
    <w:rsid w:val="006520FD"/>
    <w:rsid w:val="00652631"/>
    <w:rsid w:val="00653ED6"/>
    <w:rsid w:val="00654A23"/>
    <w:rsid w:val="00654DC7"/>
    <w:rsid w:val="00655884"/>
    <w:rsid w:val="006568D7"/>
    <w:rsid w:val="006579A6"/>
    <w:rsid w:val="00657B2A"/>
    <w:rsid w:val="00660008"/>
    <w:rsid w:val="0066074F"/>
    <w:rsid w:val="006610A8"/>
    <w:rsid w:val="00662CBD"/>
    <w:rsid w:val="00662DF3"/>
    <w:rsid w:val="006630EC"/>
    <w:rsid w:val="00663648"/>
    <w:rsid w:val="006637D4"/>
    <w:rsid w:val="0066436D"/>
    <w:rsid w:val="00665317"/>
    <w:rsid w:val="00666B29"/>
    <w:rsid w:val="00666C83"/>
    <w:rsid w:val="00666CB3"/>
    <w:rsid w:val="00671A22"/>
    <w:rsid w:val="00672BDB"/>
    <w:rsid w:val="00673B9B"/>
    <w:rsid w:val="006764A1"/>
    <w:rsid w:val="00676ECD"/>
    <w:rsid w:val="00677130"/>
    <w:rsid w:val="00677C1E"/>
    <w:rsid w:val="00677DEB"/>
    <w:rsid w:val="00680028"/>
    <w:rsid w:val="006800EE"/>
    <w:rsid w:val="00680D26"/>
    <w:rsid w:val="00681881"/>
    <w:rsid w:val="006818B9"/>
    <w:rsid w:val="006836AA"/>
    <w:rsid w:val="00690D02"/>
    <w:rsid w:val="00692540"/>
    <w:rsid w:val="00693B42"/>
    <w:rsid w:val="006959FD"/>
    <w:rsid w:val="006965F4"/>
    <w:rsid w:val="00696C64"/>
    <w:rsid w:val="006976D3"/>
    <w:rsid w:val="006977F6"/>
    <w:rsid w:val="00697E4C"/>
    <w:rsid w:val="006A1AFE"/>
    <w:rsid w:val="006A2BEA"/>
    <w:rsid w:val="006A33C5"/>
    <w:rsid w:val="006A4B0A"/>
    <w:rsid w:val="006A61F9"/>
    <w:rsid w:val="006A6CE9"/>
    <w:rsid w:val="006A7D13"/>
    <w:rsid w:val="006B0C72"/>
    <w:rsid w:val="006B0DB6"/>
    <w:rsid w:val="006B1781"/>
    <w:rsid w:val="006B1C4F"/>
    <w:rsid w:val="006B2CE0"/>
    <w:rsid w:val="006B2F5E"/>
    <w:rsid w:val="006B4DCA"/>
    <w:rsid w:val="006B57FE"/>
    <w:rsid w:val="006B5954"/>
    <w:rsid w:val="006B5EE5"/>
    <w:rsid w:val="006B608B"/>
    <w:rsid w:val="006B756E"/>
    <w:rsid w:val="006B7FA0"/>
    <w:rsid w:val="006B7FA9"/>
    <w:rsid w:val="006C1E7B"/>
    <w:rsid w:val="006C2FF7"/>
    <w:rsid w:val="006C3A54"/>
    <w:rsid w:val="006C3C1A"/>
    <w:rsid w:val="006C49B5"/>
    <w:rsid w:val="006C4FEA"/>
    <w:rsid w:val="006C53A4"/>
    <w:rsid w:val="006C5784"/>
    <w:rsid w:val="006C5FD5"/>
    <w:rsid w:val="006C673A"/>
    <w:rsid w:val="006C75BD"/>
    <w:rsid w:val="006D4EDD"/>
    <w:rsid w:val="006D54F4"/>
    <w:rsid w:val="006D5B0E"/>
    <w:rsid w:val="006D6AE9"/>
    <w:rsid w:val="006D7E18"/>
    <w:rsid w:val="006E0B0C"/>
    <w:rsid w:val="006E1782"/>
    <w:rsid w:val="006E2BA9"/>
    <w:rsid w:val="006E310A"/>
    <w:rsid w:val="006E3B8B"/>
    <w:rsid w:val="006E624A"/>
    <w:rsid w:val="006E6A3C"/>
    <w:rsid w:val="006F10AE"/>
    <w:rsid w:val="006F1964"/>
    <w:rsid w:val="006F1CC9"/>
    <w:rsid w:val="006F2353"/>
    <w:rsid w:val="006F3BEE"/>
    <w:rsid w:val="006F4E0B"/>
    <w:rsid w:val="006F53FC"/>
    <w:rsid w:val="006F54CC"/>
    <w:rsid w:val="006F5520"/>
    <w:rsid w:val="006F57D7"/>
    <w:rsid w:val="006F5866"/>
    <w:rsid w:val="006F6B7F"/>
    <w:rsid w:val="006F7860"/>
    <w:rsid w:val="00700899"/>
    <w:rsid w:val="0070180B"/>
    <w:rsid w:val="00703C71"/>
    <w:rsid w:val="00703FBB"/>
    <w:rsid w:val="007048BF"/>
    <w:rsid w:val="0070497C"/>
    <w:rsid w:val="007050B9"/>
    <w:rsid w:val="00705441"/>
    <w:rsid w:val="00706BE3"/>
    <w:rsid w:val="00706E18"/>
    <w:rsid w:val="00707132"/>
    <w:rsid w:val="00710736"/>
    <w:rsid w:val="00710F5C"/>
    <w:rsid w:val="00710FA2"/>
    <w:rsid w:val="007110CF"/>
    <w:rsid w:val="00711329"/>
    <w:rsid w:val="0071161D"/>
    <w:rsid w:val="007127DC"/>
    <w:rsid w:val="007137C0"/>
    <w:rsid w:val="00713C98"/>
    <w:rsid w:val="00714684"/>
    <w:rsid w:val="00714736"/>
    <w:rsid w:val="00714CC6"/>
    <w:rsid w:val="00715C28"/>
    <w:rsid w:val="00715DBF"/>
    <w:rsid w:val="00717C73"/>
    <w:rsid w:val="00717F1D"/>
    <w:rsid w:val="00720F38"/>
    <w:rsid w:val="007215DF"/>
    <w:rsid w:val="007221A9"/>
    <w:rsid w:val="00722212"/>
    <w:rsid w:val="0072221E"/>
    <w:rsid w:val="00722812"/>
    <w:rsid w:val="00722D09"/>
    <w:rsid w:val="007241CA"/>
    <w:rsid w:val="0072770C"/>
    <w:rsid w:val="00730731"/>
    <w:rsid w:val="0073087A"/>
    <w:rsid w:val="00730D24"/>
    <w:rsid w:val="007322E3"/>
    <w:rsid w:val="0073256E"/>
    <w:rsid w:val="00732755"/>
    <w:rsid w:val="00732A44"/>
    <w:rsid w:val="00733691"/>
    <w:rsid w:val="00734081"/>
    <w:rsid w:val="00734587"/>
    <w:rsid w:val="0073506B"/>
    <w:rsid w:val="0073530E"/>
    <w:rsid w:val="00735C6C"/>
    <w:rsid w:val="00737195"/>
    <w:rsid w:val="007373CA"/>
    <w:rsid w:val="00740334"/>
    <w:rsid w:val="0074071E"/>
    <w:rsid w:val="00740D7E"/>
    <w:rsid w:val="0074102F"/>
    <w:rsid w:val="00742753"/>
    <w:rsid w:val="00743369"/>
    <w:rsid w:val="00743611"/>
    <w:rsid w:val="00743D8F"/>
    <w:rsid w:val="00744774"/>
    <w:rsid w:val="007457AD"/>
    <w:rsid w:val="00745AD3"/>
    <w:rsid w:val="00746291"/>
    <w:rsid w:val="00746D18"/>
    <w:rsid w:val="00746E5A"/>
    <w:rsid w:val="00747BEC"/>
    <w:rsid w:val="00751142"/>
    <w:rsid w:val="0075285F"/>
    <w:rsid w:val="00752FD0"/>
    <w:rsid w:val="00753C2C"/>
    <w:rsid w:val="007547FB"/>
    <w:rsid w:val="00755179"/>
    <w:rsid w:val="00755E4A"/>
    <w:rsid w:val="00755F3D"/>
    <w:rsid w:val="00760162"/>
    <w:rsid w:val="00760EED"/>
    <w:rsid w:val="007610AE"/>
    <w:rsid w:val="00761125"/>
    <w:rsid w:val="00761483"/>
    <w:rsid w:val="00761624"/>
    <w:rsid w:val="00762949"/>
    <w:rsid w:val="00762FA1"/>
    <w:rsid w:val="00764EC2"/>
    <w:rsid w:val="007651B8"/>
    <w:rsid w:val="00765A6D"/>
    <w:rsid w:val="0076761B"/>
    <w:rsid w:val="00767A3B"/>
    <w:rsid w:val="00767DEA"/>
    <w:rsid w:val="00767DEB"/>
    <w:rsid w:val="00770535"/>
    <w:rsid w:val="00771246"/>
    <w:rsid w:val="00771EED"/>
    <w:rsid w:val="00771F27"/>
    <w:rsid w:val="00772590"/>
    <w:rsid w:val="00774010"/>
    <w:rsid w:val="007757E0"/>
    <w:rsid w:val="00775864"/>
    <w:rsid w:val="007763C4"/>
    <w:rsid w:val="007773F7"/>
    <w:rsid w:val="007807D4"/>
    <w:rsid w:val="0078214A"/>
    <w:rsid w:val="007848A9"/>
    <w:rsid w:val="0078622D"/>
    <w:rsid w:val="00786F5A"/>
    <w:rsid w:val="00786F87"/>
    <w:rsid w:val="0078727E"/>
    <w:rsid w:val="00790647"/>
    <w:rsid w:val="007913CF"/>
    <w:rsid w:val="00791537"/>
    <w:rsid w:val="007917E3"/>
    <w:rsid w:val="0079250F"/>
    <w:rsid w:val="00793D99"/>
    <w:rsid w:val="00795688"/>
    <w:rsid w:val="007A15C6"/>
    <w:rsid w:val="007A1CBF"/>
    <w:rsid w:val="007A1EFB"/>
    <w:rsid w:val="007A28F1"/>
    <w:rsid w:val="007A2EA7"/>
    <w:rsid w:val="007A3089"/>
    <w:rsid w:val="007A37F9"/>
    <w:rsid w:val="007A3CDA"/>
    <w:rsid w:val="007A428F"/>
    <w:rsid w:val="007A4865"/>
    <w:rsid w:val="007A4AE5"/>
    <w:rsid w:val="007A5801"/>
    <w:rsid w:val="007A6765"/>
    <w:rsid w:val="007A799E"/>
    <w:rsid w:val="007A7C59"/>
    <w:rsid w:val="007B0BE8"/>
    <w:rsid w:val="007B1D0D"/>
    <w:rsid w:val="007B2205"/>
    <w:rsid w:val="007B347B"/>
    <w:rsid w:val="007B37BF"/>
    <w:rsid w:val="007B3F61"/>
    <w:rsid w:val="007B5878"/>
    <w:rsid w:val="007B6C02"/>
    <w:rsid w:val="007C0091"/>
    <w:rsid w:val="007C0A8A"/>
    <w:rsid w:val="007C18DE"/>
    <w:rsid w:val="007C6C85"/>
    <w:rsid w:val="007C6EF2"/>
    <w:rsid w:val="007D036E"/>
    <w:rsid w:val="007D0A33"/>
    <w:rsid w:val="007D24FA"/>
    <w:rsid w:val="007D39E7"/>
    <w:rsid w:val="007D4F7B"/>
    <w:rsid w:val="007D6A3A"/>
    <w:rsid w:val="007D7D94"/>
    <w:rsid w:val="007E058D"/>
    <w:rsid w:val="007E13F0"/>
    <w:rsid w:val="007E1FF0"/>
    <w:rsid w:val="007E21B7"/>
    <w:rsid w:val="007E2599"/>
    <w:rsid w:val="007E2A9E"/>
    <w:rsid w:val="007E366C"/>
    <w:rsid w:val="007E4506"/>
    <w:rsid w:val="007E457A"/>
    <w:rsid w:val="007E569A"/>
    <w:rsid w:val="007E5748"/>
    <w:rsid w:val="007E67E2"/>
    <w:rsid w:val="007F0283"/>
    <w:rsid w:val="007F03EC"/>
    <w:rsid w:val="007F05EE"/>
    <w:rsid w:val="007F0FFB"/>
    <w:rsid w:val="007F1CA2"/>
    <w:rsid w:val="007F274B"/>
    <w:rsid w:val="007F45AA"/>
    <w:rsid w:val="007F4A71"/>
    <w:rsid w:val="007F69EC"/>
    <w:rsid w:val="007F6A2A"/>
    <w:rsid w:val="007F6B5E"/>
    <w:rsid w:val="007F7F08"/>
    <w:rsid w:val="00801C85"/>
    <w:rsid w:val="00801FD1"/>
    <w:rsid w:val="00802291"/>
    <w:rsid w:val="00804D9B"/>
    <w:rsid w:val="0080632D"/>
    <w:rsid w:val="008066F8"/>
    <w:rsid w:val="00810459"/>
    <w:rsid w:val="0081155E"/>
    <w:rsid w:val="00812C9F"/>
    <w:rsid w:val="00814DB5"/>
    <w:rsid w:val="00817006"/>
    <w:rsid w:val="00820254"/>
    <w:rsid w:val="00825762"/>
    <w:rsid w:val="0082596E"/>
    <w:rsid w:val="00826953"/>
    <w:rsid w:val="00826AA5"/>
    <w:rsid w:val="00827547"/>
    <w:rsid w:val="00827EB4"/>
    <w:rsid w:val="00831EF9"/>
    <w:rsid w:val="00831FD8"/>
    <w:rsid w:val="0083220A"/>
    <w:rsid w:val="0083239C"/>
    <w:rsid w:val="00833401"/>
    <w:rsid w:val="00833463"/>
    <w:rsid w:val="00833E47"/>
    <w:rsid w:val="00834936"/>
    <w:rsid w:val="00835707"/>
    <w:rsid w:val="008360C2"/>
    <w:rsid w:val="00842523"/>
    <w:rsid w:val="00842547"/>
    <w:rsid w:val="00843D5B"/>
    <w:rsid w:val="00844EB4"/>
    <w:rsid w:val="00845170"/>
    <w:rsid w:val="00845DCF"/>
    <w:rsid w:val="00846389"/>
    <w:rsid w:val="00846F36"/>
    <w:rsid w:val="00847808"/>
    <w:rsid w:val="00850F1E"/>
    <w:rsid w:val="00851370"/>
    <w:rsid w:val="0085261F"/>
    <w:rsid w:val="00852B0C"/>
    <w:rsid w:val="00854E32"/>
    <w:rsid w:val="008565D5"/>
    <w:rsid w:val="00857D5B"/>
    <w:rsid w:val="00857FD1"/>
    <w:rsid w:val="00860074"/>
    <w:rsid w:val="00860DFA"/>
    <w:rsid w:val="00861568"/>
    <w:rsid w:val="00863C1B"/>
    <w:rsid w:val="0086412D"/>
    <w:rsid w:val="00864C12"/>
    <w:rsid w:val="00865526"/>
    <w:rsid w:val="00865774"/>
    <w:rsid w:val="00865CF7"/>
    <w:rsid w:val="00865EBC"/>
    <w:rsid w:val="0087025B"/>
    <w:rsid w:val="00871DC4"/>
    <w:rsid w:val="0087214D"/>
    <w:rsid w:val="00872C8E"/>
    <w:rsid w:val="0087315C"/>
    <w:rsid w:val="00873647"/>
    <w:rsid w:val="008737A4"/>
    <w:rsid w:val="00873A99"/>
    <w:rsid w:val="00874A93"/>
    <w:rsid w:val="0087556D"/>
    <w:rsid w:val="0087567C"/>
    <w:rsid w:val="0087595F"/>
    <w:rsid w:val="0087624E"/>
    <w:rsid w:val="008774D1"/>
    <w:rsid w:val="008777EA"/>
    <w:rsid w:val="00880309"/>
    <w:rsid w:val="0088084F"/>
    <w:rsid w:val="00880980"/>
    <w:rsid w:val="00880998"/>
    <w:rsid w:val="00880DD4"/>
    <w:rsid w:val="00881301"/>
    <w:rsid w:val="008819B7"/>
    <w:rsid w:val="00881C17"/>
    <w:rsid w:val="008820FA"/>
    <w:rsid w:val="008838DE"/>
    <w:rsid w:val="00883972"/>
    <w:rsid w:val="00884C1C"/>
    <w:rsid w:val="00885E03"/>
    <w:rsid w:val="00886B20"/>
    <w:rsid w:val="00887B20"/>
    <w:rsid w:val="008928FA"/>
    <w:rsid w:val="00892C20"/>
    <w:rsid w:val="00894A78"/>
    <w:rsid w:val="00895088"/>
    <w:rsid w:val="00895CA5"/>
    <w:rsid w:val="0089605B"/>
    <w:rsid w:val="008966F7"/>
    <w:rsid w:val="0089705F"/>
    <w:rsid w:val="008975C9"/>
    <w:rsid w:val="008A129A"/>
    <w:rsid w:val="008A1746"/>
    <w:rsid w:val="008A25F1"/>
    <w:rsid w:val="008A340E"/>
    <w:rsid w:val="008A4191"/>
    <w:rsid w:val="008A43C6"/>
    <w:rsid w:val="008A468E"/>
    <w:rsid w:val="008A4991"/>
    <w:rsid w:val="008A60C7"/>
    <w:rsid w:val="008A6DE0"/>
    <w:rsid w:val="008A6DFA"/>
    <w:rsid w:val="008A7669"/>
    <w:rsid w:val="008B1E94"/>
    <w:rsid w:val="008B25BB"/>
    <w:rsid w:val="008B2C1F"/>
    <w:rsid w:val="008B2D2F"/>
    <w:rsid w:val="008B3224"/>
    <w:rsid w:val="008B469D"/>
    <w:rsid w:val="008B4AA0"/>
    <w:rsid w:val="008B6537"/>
    <w:rsid w:val="008B7AA6"/>
    <w:rsid w:val="008C1B84"/>
    <w:rsid w:val="008C1BC4"/>
    <w:rsid w:val="008C3821"/>
    <w:rsid w:val="008C427E"/>
    <w:rsid w:val="008C77D0"/>
    <w:rsid w:val="008D10EC"/>
    <w:rsid w:val="008D1D74"/>
    <w:rsid w:val="008D217B"/>
    <w:rsid w:val="008D2AA3"/>
    <w:rsid w:val="008D3578"/>
    <w:rsid w:val="008D3748"/>
    <w:rsid w:val="008D561C"/>
    <w:rsid w:val="008D619F"/>
    <w:rsid w:val="008D6768"/>
    <w:rsid w:val="008E4FA3"/>
    <w:rsid w:val="008E52A3"/>
    <w:rsid w:val="008E581C"/>
    <w:rsid w:val="008E6256"/>
    <w:rsid w:val="008E6B55"/>
    <w:rsid w:val="008E6E7F"/>
    <w:rsid w:val="008E7FE0"/>
    <w:rsid w:val="008F1BD8"/>
    <w:rsid w:val="008F2759"/>
    <w:rsid w:val="008F2AFA"/>
    <w:rsid w:val="008F32E7"/>
    <w:rsid w:val="008F3D7D"/>
    <w:rsid w:val="008F6BA3"/>
    <w:rsid w:val="008F6D0A"/>
    <w:rsid w:val="008F6D5B"/>
    <w:rsid w:val="008F7337"/>
    <w:rsid w:val="008F739B"/>
    <w:rsid w:val="008F74E3"/>
    <w:rsid w:val="009001F1"/>
    <w:rsid w:val="0090061B"/>
    <w:rsid w:val="00900D30"/>
    <w:rsid w:val="00901D6B"/>
    <w:rsid w:val="00904026"/>
    <w:rsid w:val="009040D5"/>
    <w:rsid w:val="00904CBB"/>
    <w:rsid w:val="00904CEC"/>
    <w:rsid w:val="009051BF"/>
    <w:rsid w:val="00905816"/>
    <w:rsid w:val="00906758"/>
    <w:rsid w:val="00906E45"/>
    <w:rsid w:val="0090729A"/>
    <w:rsid w:val="00907D99"/>
    <w:rsid w:val="00907E7E"/>
    <w:rsid w:val="00907F2D"/>
    <w:rsid w:val="0091148E"/>
    <w:rsid w:val="0091323E"/>
    <w:rsid w:val="00916005"/>
    <w:rsid w:val="00916EEA"/>
    <w:rsid w:val="00917669"/>
    <w:rsid w:val="00920453"/>
    <w:rsid w:val="009220A7"/>
    <w:rsid w:val="0092229A"/>
    <w:rsid w:val="00923846"/>
    <w:rsid w:val="00923857"/>
    <w:rsid w:val="0092564D"/>
    <w:rsid w:val="00926FF4"/>
    <w:rsid w:val="0092715B"/>
    <w:rsid w:val="00927297"/>
    <w:rsid w:val="00931DAF"/>
    <w:rsid w:val="00932719"/>
    <w:rsid w:val="009339A8"/>
    <w:rsid w:val="0093403F"/>
    <w:rsid w:val="009347F6"/>
    <w:rsid w:val="00935C81"/>
    <w:rsid w:val="009364AD"/>
    <w:rsid w:val="00936C65"/>
    <w:rsid w:val="0094058C"/>
    <w:rsid w:val="00941DFE"/>
    <w:rsid w:val="0094479B"/>
    <w:rsid w:val="0094709A"/>
    <w:rsid w:val="00947BA1"/>
    <w:rsid w:val="00951C3A"/>
    <w:rsid w:val="00952F14"/>
    <w:rsid w:val="009531B0"/>
    <w:rsid w:val="00953B6A"/>
    <w:rsid w:val="00955D8B"/>
    <w:rsid w:val="0095665C"/>
    <w:rsid w:val="00956C9D"/>
    <w:rsid w:val="00961809"/>
    <w:rsid w:val="00964871"/>
    <w:rsid w:val="009665C7"/>
    <w:rsid w:val="009677B6"/>
    <w:rsid w:val="00967F1D"/>
    <w:rsid w:val="00967FEA"/>
    <w:rsid w:val="00970562"/>
    <w:rsid w:val="009717EB"/>
    <w:rsid w:val="00971FFB"/>
    <w:rsid w:val="0097297B"/>
    <w:rsid w:val="00973BBD"/>
    <w:rsid w:val="00973BFA"/>
    <w:rsid w:val="00974FF4"/>
    <w:rsid w:val="009754C9"/>
    <w:rsid w:val="00975F29"/>
    <w:rsid w:val="00976772"/>
    <w:rsid w:val="00977545"/>
    <w:rsid w:val="00980038"/>
    <w:rsid w:val="00980D1E"/>
    <w:rsid w:val="00982312"/>
    <w:rsid w:val="009823D4"/>
    <w:rsid w:val="00982841"/>
    <w:rsid w:val="00982BA9"/>
    <w:rsid w:val="00982C26"/>
    <w:rsid w:val="00982E60"/>
    <w:rsid w:val="00983E2E"/>
    <w:rsid w:val="009849D3"/>
    <w:rsid w:val="00985826"/>
    <w:rsid w:val="00985E02"/>
    <w:rsid w:val="00985F1A"/>
    <w:rsid w:val="00986A2F"/>
    <w:rsid w:val="00986C27"/>
    <w:rsid w:val="00987ADE"/>
    <w:rsid w:val="00987B6D"/>
    <w:rsid w:val="00990428"/>
    <w:rsid w:val="00990480"/>
    <w:rsid w:val="00991046"/>
    <w:rsid w:val="009914D1"/>
    <w:rsid w:val="00992403"/>
    <w:rsid w:val="009931EE"/>
    <w:rsid w:val="0099376D"/>
    <w:rsid w:val="00993818"/>
    <w:rsid w:val="00993B4D"/>
    <w:rsid w:val="00993E92"/>
    <w:rsid w:val="00994089"/>
    <w:rsid w:val="00994F12"/>
    <w:rsid w:val="00994F1D"/>
    <w:rsid w:val="00997CE9"/>
    <w:rsid w:val="00997D11"/>
    <w:rsid w:val="009A0134"/>
    <w:rsid w:val="009A17CA"/>
    <w:rsid w:val="009A26F6"/>
    <w:rsid w:val="009A2CE1"/>
    <w:rsid w:val="009A3CAD"/>
    <w:rsid w:val="009A4B9E"/>
    <w:rsid w:val="009A554F"/>
    <w:rsid w:val="009A7600"/>
    <w:rsid w:val="009A7685"/>
    <w:rsid w:val="009B0BF5"/>
    <w:rsid w:val="009B115C"/>
    <w:rsid w:val="009B1287"/>
    <w:rsid w:val="009B2598"/>
    <w:rsid w:val="009B2FE1"/>
    <w:rsid w:val="009B3E38"/>
    <w:rsid w:val="009B4219"/>
    <w:rsid w:val="009B5B1C"/>
    <w:rsid w:val="009B5C52"/>
    <w:rsid w:val="009B68D8"/>
    <w:rsid w:val="009C1FF8"/>
    <w:rsid w:val="009C24AF"/>
    <w:rsid w:val="009C2AA7"/>
    <w:rsid w:val="009C2E0C"/>
    <w:rsid w:val="009C309C"/>
    <w:rsid w:val="009C3633"/>
    <w:rsid w:val="009C59D1"/>
    <w:rsid w:val="009C5F26"/>
    <w:rsid w:val="009C659B"/>
    <w:rsid w:val="009C6C4E"/>
    <w:rsid w:val="009D09B0"/>
    <w:rsid w:val="009D165E"/>
    <w:rsid w:val="009D3BCC"/>
    <w:rsid w:val="009D3F07"/>
    <w:rsid w:val="009D6DEC"/>
    <w:rsid w:val="009D7259"/>
    <w:rsid w:val="009D7647"/>
    <w:rsid w:val="009D7820"/>
    <w:rsid w:val="009D7D75"/>
    <w:rsid w:val="009E090B"/>
    <w:rsid w:val="009E1C05"/>
    <w:rsid w:val="009E31B0"/>
    <w:rsid w:val="009E43BA"/>
    <w:rsid w:val="009E4632"/>
    <w:rsid w:val="009E4C33"/>
    <w:rsid w:val="009E5951"/>
    <w:rsid w:val="009E78CB"/>
    <w:rsid w:val="009F018D"/>
    <w:rsid w:val="009F023B"/>
    <w:rsid w:val="009F0CC3"/>
    <w:rsid w:val="009F1F68"/>
    <w:rsid w:val="009F244F"/>
    <w:rsid w:val="009F2C05"/>
    <w:rsid w:val="009F2EC5"/>
    <w:rsid w:val="009F3345"/>
    <w:rsid w:val="009F3559"/>
    <w:rsid w:val="009F3B3B"/>
    <w:rsid w:val="009F4BE9"/>
    <w:rsid w:val="009F553E"/>
    <w:rsid w:val="009F5632"/>
    <w:rsid w:val="009F6BE6"/>
    <w:rsid w:val="009F7E2F"/>
    <w:rsid w:val="00A00C45"/>
    <w:rsid w:val="00A00DCF"/>
    <w:rsid w:val="00A0222D"/>
    <w:rsid w:val="00A0265F"/>
    <w:rsid w:val="00A02A3A"/>
    <w:rsid w:val="00A0425E"/>
    <w:rsid w:val="00A0743A"/>
    <w:rsid w:val="00A0762B"/>
    <w:rsid w:val="00A10602"/>
    <w:rsid w:val="00A10EE2"/>
    <w:rsid w:val="00A11358"/>
    <w:rsid w:val="00A120F9"/>
    <w:rsid w:val="00A121D0"/>
    <w:rsid w:val="00A1269D"/>
    <w:rsid w:val="00A1583C"/>
    <w:rsid w:val="00A15B1A"/>
    <w:rsid w:val="00A15E8D"/>
    <w:rsid w:val="00A172F1"/>
    <w:rsid w:val="00A1732A"/>
    <w:rsid w:val="00A20382"/>
    <w:rsid w:val="00A2081E"/>
    <w:rsid w:val="00A21BDF"/>
    <w:rsid w:val="00A23C26"/>
    <w:rsid w:val="00A247DA"/>
    <w:rsid w:val="00A24B34"/>
    <w:rsid w:val="00A2520F"/>
    <w:rsid w:val="00A257C4"/>
    <w:rsid w:val="00A265CC"/>
    <w:rsid w:val="00A27482"/>
    <w:rsid w:val="00A27630"/>
    <w:rsid w:val="00A2792D"/>
    <w:rsid w:val="00A30E97"/>
    <w:rsid w:val="00A30F42"/>
    <w:rsid w:val="00A310FE"/>
    <w:rsid w:val="00A31203"/>
    <w:rsid w:val="00A31FD7"/>
    <w:rsid w:val="00A32C77"/>
    <w:rsid w:val="00A3449C"/>
    <w:rsid w:val="00A350CD"/>
    <w:rsid w:val="00A351CA"/>
    <w:rsid w:val="00A357CA"/>
    <w:rsid w:val="00A359A0"/>
    <w:rsid w:val="00A364BA"/>
    <w:rsid w:val="00A36964"/>
    <w:rsid w:val="00A377C5"/>
    <w:rsid w:val="00A400A2"/>
    <w:rsid w:val="00A40DCD"/>
    <w:rsid w:val="00A41AFD"/>
    <w:rsid w:val="00A423EA"/>
    <w:rsid w:val="00A4482D"/>
    <w:rsid w:val="00A44FB9"/>
    <w:rsid w:val="00A45553"/>
    <w:rsid w:val="00A4762F"/>
    <w:rsid w:val="00A508BD"/>
    <w:rsid w:val="00A5095A"/>
    <w:rsid w:val="00A50F0C"/>
    <w:rsid w:val="00A523AF"/>
    <w:rsid w:val="00A52DF8"/>
    <w:rsid w:val="00A54515"/>
    <w:rsid w:val="00A54D87"/>
    <w:rsid w:val="00A55232"/>
    <w:rsid w:val="00A555FB"/>
    <w:rsid w:val="00A56B13"/>
    <w:rsid w:val="00A57111"/>
    <w:rsid w:val="00A62790"/>
    <w:rsid w:val="00A63D8A"/>
    <w:rsid w:val="00A6419F"/>
    <w:rsid w:val="00A642B3"/>
    <w:rsid w:val="00A642D1"/>
    <w:rsid w:val="00A646F3"/>
    <w:rsid w:val="00A6503B"/>
    <w:rsid w:val="00A66AB5"/>
    <w:rsid w:val="00A67222"/>
    <w:rsid w:val="00A6776A"/>
    <w:rsid w:val="00A67DCC"/>
    <w:rsid w:val="00A7086B"/>
    <w:rsid w:val="00A71796"/>
    <w:rsid w:val="00A72295"/>
    <w:rsid w:val="00A72512"/>
    <w:rsid w:val="00A72A51"/>
    <w:rsid w:val="00A72C06"/>
    <w:rsid w:val="00A73BBB"/>
    <w:rsid w:val="00A74328"/>
    <w:rsid w:val="00A743E1"/>
    <w:rsid w:val="00A74D1C"/>
    <w:rsid w:val="00A74D39"/>
    <w:rsid w:val="00A75524"/>
    <w:rsid w:val="00A75FB5"/>
    <w:rsid w:val="00A77929"/>
    <w:rsid w:val="00A81781"/>
    <w:rsid w:val="00A82EF5"/>
    <w:rsid w:val="00A843FB"/>
    <w:rsid w:val="00A853E9"/>
    <w:rsid w:val="00A85637"/>
    <w:rsid w:val="00A86D51"/>
    <w:rsid w:val="00A87023"/>
    <w:rsid w:val="00A87842"/>
    <w:rsid w:val="00A87AE2"/>
    <w:rsid w:val="00A87D89"/>
    <w:rsid w:val="00A907CE"/>
    <w:rsid w:val="00A9337B"/>
    <w:rsid w:val="00A94047"/>
    <w:rsid w:val="00A95308"/>
    <w:rsid w:val="00A965D2"/>
    <w:rsid w:val="00A9696B"/>
    <w:rsid w:val="00A9748F"/>
    <w:rsid w:val="00AA1005"/>
    <w:rsid w:val="00AA1070"/>
    <w:rsid w:val="00AA1A72"/>
    <w:rsid w:val="00AA2399"/>
    <w:rsid w:val="00AA2850"/>
    <w:rsid w:val="00AA3646"/>
    <w:rsid w:val="00AA36BC"/>
    <w:rsid w:val="00AA3CC8"/>
    <w:rsid w:val="00AA4027"/>
    <w:rsid w:val="00AA40ED"/>
    <w:rsid w:val="00AA48FC"/>
    <w:rsid w:val="00AA653D"/>
    <w:rsid w:val="00AA6F26"/>
    <w:rsid w:val="00AA7433"/>
    <w:rsid w:val="00AA76B1"/>
    <w:rsid w:val="00AA78C6"/>
    <w:rsid w:val="00AA7C75"/>
    <w:rsid w:val="00AA7DE0"/>
    <w:rsid w:val="00AB06DD"/>
    <w:rsid w:val="00AB0740"/>
    <w:rsid w:val="00AB0AFB"/>
    <w:rsid w:val="00AB1568"/>
    <w:rsid w:val="00AB2520"/>
    <w:rsid w:val="00AB3299"/>
    <w:rsid w:val="00AB35B2"/>
    <w:rsid w:val="00AB393C"/>
    <w:rsid w:val="00AB40A9"/>
    <w:rsid w:val="00AB42F8"/>
    <w:rsid w:val="00AB471B"/>
    <w:rsid w:val="00AB555C"/>
    <w:rsid w:val="00AB5DEA"/>
    <w:rsid w:val="00AB63E2"/>
    <w:rsid w:val="00AB689B"/>
    <w:rsid w:val="00AC01FD"/>
    <w:rsid w:val="00AC1893"/>
    <w:rsid w:val="00AC3E9A"/>
    <w:rsid w:val="00AC41AB"/>
    <w:rsid w:val="00AC62C1"/>
    <w:rsid w:val="00AC706B"/>
    <w:rsid w:val="00AD0BAA"/>
    <w:rsid w:val="00AD0BAC"/>
    <w:rsid w:val="00AD0DCD"/>
    <w:rsid w:val="00AD0F86"/>
    <w:rsid w:val="00AD11FA"/>
    <w:rsid w:val="00AD26C7"/>
    <w:rsid w:val="00AD322A"/>
    <w:rsid w:val="00AD3CE3"/>
    <w:rsid w:val="00AD511A"/>
    <w:rsid w:val="00AD76F4"/>
    <w:rsid w:val="00AE073A"/>
    <w:rsid w:val="00AE0EB1"/>
    <w:rsid w:val="00AE1781"/>
    <w:rsid w:val="00AE1A12"/>
    <w:rsid w:val="00AE2816"/>
    <w:rsid w:val="00AE2F99"/>
    <w:rsid w:val="00AE3A5A"/>
    <w:rsid w:val="00AE42E9"/>
    <w:rsid w:val="00AE4B25"/>
    <w:rsid w:val="00AE5237"/>
    <w:rsid w:val="00AE5C89"/>
    <w:rsid w:val="00AE6B1B"/>
    <w:rsid w:val="00AE6CE7"/>
    <w:rsid w:val="00AE7DC7"/>
    <w:rsid w:val="00AF0275"/>
    <w:rsid w:val="00AF136F"/>
    <w:rsid w:val="00AF3B46"/>
    <w:rsid w:val="00AF430C"/>
    <w:rsid w:val="00AF47A1"/>
    <w:rsid w:val="00AF6601"/>
    <w:rsid w:val="00AF6AB0"/>
    <w:rsid w:val="00AF7660"/>
    <w:rsid w:val="00B01E46"/>
    <w:rsid w:val="00B02FBB"/>
    <w:rsid w:val="00B03049"/>
    <w:rsid w:val="00B0362D"/>
    <w:rsid w:val="00B0473F"/>
    <w:rsid w:val="00B0479F"/>
    <w:rsid w:val="00B05F83"/>
    <w:rsid w:val="00B06B16"/>
    <w:rsid w:val="00B06BE0"/>
    <w:rsid w:val="00B06CD2"/>
    <w:rsid w:val="00B10025"/>
    <w:rsid w:val="00B119C7"/>
    <w:rsid w:val="00B11D64"/>
    <w:rsid w:val="00B12849"/>
    <w:rsid w:val="00B13248"/>
    <w:rsid w:val="00B13CA8"/>
    <w:rsid w:val="00B145D8"/>
    <w:rsid w:val="00B14782"/>
    <w:rsid w:val="00B14B53"/>
    <w:rsid w:val="00B154BF"/>
    <w:rsid w:val="00B1693D"/>
    <w:rsid w:val="00B16BDE"/>
    <w:rsid w:val="00B177C6"/>
    <w:rsid w:val="00B177F8"/>
    <w:rsid w:val="00B20675"/>
    <w:rsid w:val="00B23C0E"/>
    <w:rsid w:val="00B23C93"/>
    <w:rsid w:val="00B23D14"/>
    <w:rsid w:val="00B2493A"/>
    <w:rsid w:val="00B27A52"/>
    <w:rsid w:val="00B27F54"/>
    <w:rsid w:val="00B30335"/>
    <w:rsid w:val="00B30ED0"/>
    <w:rsid w:val="00B33B48"/>
    <w:rsid w:val="00B35E47"/>
    <w:rsid w:val="00B35F2B"/>
    <w:rsid w:val="00B37383"/>
    <w:rsid w:val="00B375E2"/>
    <w:rsid w:val="00B403A0"/>
    <w:rsid w:val="00B40711"/>
    <w:rsid w:val="00B40C0D"/>
    <w:rsid w:val="00B4136F"/>
    <w:rsid w:val="00B41B32"/>
    <w:rsid w:val="00B4243D"/>
    <w:rsid w:val="00B42B16"/>
    <w:rsid w:val="00B42E5D"/>
    <w:rsid w:val="00B431DD"/>
    <w:rsid w:val="00B441BC"/>
    <w:rsid w:val="00B45839"/>
    <w:rsid w:val="00B47A24"/>
    <w:rsid w:val="00B50AC4"/>
    <w:rsid w:val="00B51185"/>
    <w:rsid w:val="00B5172B"/>
    <w:rsid w:val="00B529BB"/>
    <w:rsid w:val="00B53092"/>
    <w:rsid w:val="00B539EC"/>
    <w:rsid w:val="00B54714"/>
    <w:rsid w:val="00B567F0"/>
    <w:rsid w:val="00B56E4F"/>
    <w:rsid w:val="00B5706E"/>
    <w:rsid w:val="00B5733C"/>
    <w:rsid w:val="00B5791D"/>
    <w:rsid w:val="00B60EEF"/>
    <w:rsid w:val="00B61F57"/>
    <w:rsid w:val="00B62DE1"/>
    <w:rsid w:val="00B63B09"/>
    <w:rsid w:val="00B641B8"/>
    <w:rsid w:val="00B64365"/>
    <w:rsid w:val="00B65F59"/>
    <w:rsid w:val="00B6680E"/>
    <w:rsid w:val="00B6750F"/>
    <w:rsid w:val="00B6782D"/>
    <w:rsid w:val="00B7077F"/>
    <w:rsid w:val="00B714C1"/>
    <w:rsid w:val="00B735CC"/>
    <w:rsid w:val="00B737AA"/>
    <w:rsid w:val="00B75570"/>
    <w:rsid w:val="00B76BB1"/>
    <w:rsid w:val="00B81AF4"/>
    <w:rsid w:val="00B81E45"/>
    <w:rsid w:val="00B8211A"/>
    <w:rsid w:val="00B82652"/>
    <w:rsid w:val="00B833E9"/>
    <w:rsid w:val="00B83DC7"/>
    <w:rsid w:val="00B84A92"/>
    <w:rsid w:val="00B84FD8"/>
    <w:rsid w:val="00B85728"/>
    <w:rsid w:val="00B86D6B"/>
    <w:rsid w:val="00B87EBC"/>
    <w:rsid w:val="00B907C3"/>
    <w:rsid w:val="00B93D00"/>
    <w:rsid w:val="00B956DB"/>
    <w:rsid w:val="00B960E9"/>
    <w:rsid w:val="00B9700B"/>
    <w:rsid w:val="00B97468"/>
    <w:rsid w:val="00B97EC7"/>
    <w:rsid w:val="00BA097A"/>
    <w:rsid w:val="00BA1463"/>
    <w:rsid w:val="00BA19C7"/>
    <w:rsid w:val="00BA24A5"/>
    <w:rsid w:val="00BA413E"/>
    <w:rsid w:val="00BA4770"/>
    <w:rsid w:val="00BA57B1"/>
    <w:rsid w:val="00BA6D1B"/>
    <w:rsid w:val="00BA7C8A"/>
    <w:rsid w:val="00BB13CC"/>
    <w:rsid w:val="00BB1A94"/>
    <w:rsid w:val="00BB1E7B"/>
    <w:rsid w:val="00BB374E"/>
    <w:rsid w:val="00BB46D6"/>
    <w:rsid w:val="00BB4EA3"/>
    <w:rsid w:val="00BB4F55"/>
    <w:rsid w:val="00BB4FBF"/>
    <w:rsid w:val="00BB5498"/>
    <w:rsid w:val="00BB7633"/>
    <w:rsid w:val="00BB77DC"/>
    <w:rsid w:val="00BC0125"/>
    <w:rsid w:val="00BC0B60"/>
    <w:rsid w:val="00BC1110"/>
    <w:rsid w:val="00BC15B7"/>
    <w:rsid w:val="00BC1FC8"/>
    <w:rsid w:val="00BC2F58"/>
    <w:rsid w:val="00BC3AF2"/>
    <w:rsid w:val="00BC3F77"/>
    <w:rsid w:val="00BC4DCA"/>
    <w:rsid w:val="00BC72F6"/>
    <w:rsid w:val="00BC7AB8"/>
    <w:rsid w:val="00BC7BF2"/>
    <w:rsid w:val="00BD0521"/>
    <w:rsid w:val="00BD0E80"/>
    <w:rsid w:val="00BD1078"/>
    <w:rsid w:val="00BD138A"/>
    <w:rsid w:val="00BD3225"/>
    <w:rsid w:val="00BD4DEE"/>
    <w:rsid w:val="00BD5172"/>
    <w:rsid w:val="00BD53EB"/>
    <w:rsid w:val="00BD5D00"/>
    <w:rsid w:val="00BD5F0A"/>
    <w:rsid w:val="00BD7D63"/>
    <w:rsid w:val="00BE0118"/>
    <w:rsid w:val="00BE0748"/>
    <w:rsid w:val="00BE08AB"/>
    <w:rsid w:val="00BE113A"/>
    <w:rsid w:val="00BE134F"/>
    <w:rsid w:val="00BE1B46"/>
    <w:rsid w:val="00BE24FF"/>
    <w:rsid w:val="00BE2582"/>
    <w:rsid w:val="00BE4171"/>
    <w:rsid w:val="00BE4598"/>
    <w:rsid w:val="00BE4D8C"/>
    <w:rsid w:val="00BE6852"/>
    <w:rsid w:val="00BE7C4A"/>
    <w:rsid w:val="00BE7F96"/>
    <w:rsid w:val="00BF1063"/>
    <w:rsid w:val="00BF1449"/>
    <w:rsid w:val="00BF205A"/>
    <w:rsid w:val="00BF444E"/>
    <w:rsid w:val="00BF4EBB"/>
    <w:rsid w:val="00BF61CA"/>
    <w:rsid w:val="00C01B36"/>
    <w:rsid w:val="00C01F8A"/>
    <w:rsid w:val="00C0323F"/>
    <w:rsid w:val="00C0366B"/>
    <w:rsid w:val="00C03B81"/>
    <w:rsid w:val="00C053CB"/>
    <w:rsid w:val="00C053F5"/>
    <w:rsid w:val="00C05467"/>
    <w:rsid w:val="00C05F0C"/>
    <w:rsid w:val="00C06709"/>
    <w:rsid w:val="00C1179B"/>
    <w:rsid w:val="00C11D1F"/>
    <w:rsid w:val="00C1223B"/>
    <w:rsid w:val="00C1224E"/>
    <w:rsid w:val="00C12E41"/>
    <w:rsid w:val="00C1397A"/>
    <w:rsid w:val="00C149D7"/>
    <w:rsid w:val="00C15223"/>
    <w:rsid w:val="00C16572"/>
    <w:rsid w:val="00C1682B"/>
    <w:rsid w:val="00C206C7"/>
    <w:rsid w:val="00C20EFA"/>
    <w:rsid w:val="00C215C3"/>
    <w:rsid w:val="00C23F81"/>
    <w:rsid w:val="00C25286"/>
    <w:rsid w:val="00C277EB"/>
    <w:rsid w:val="00C27AA7"/>
    <w:rsid w:val="00C30139"/>
    <w:rsid w:val="00C3034B"/>
    <w:rsid w:val="00C32579"/>
    <w:rsid w:val="00C34E47"/>
    <w:rsid w:val="00C35DC8"/>
    <w:rsid w:val="00C361B0"/>
    <w:rsid w:val="00C37011"/>
    <w:rsid w:val="00C40358"/>
    <w:rsid w:val="00C40EF3"/>
    <w:rsid w:val="00C425AF"/>
    <w:rsid w:val="00C43717"/>
    <w:rsid w:val="00C4433D"/>
    <w:rsid w:val="00C45FFD"/>
    <w:rsid w:val="00C4651F"/>
    <w:rsid w:val="00C50A13"/>
    <w:rsid w:val="00C517F7"/>
    <w:rsid w:val="00C5251E"/>
    <w:rsid w:val="00C52A1B"/>
    <w:rsid w:val="00C52FF0"/>
    <w:rsid w:val="00C53663"/>
    <w:rsid w:val="00C56B79"/>
    <w:rsid w:val="00C6085E"/>
    <w:rsid w:val="00C6204A"/>
    <w:rsid w:val="00C6217A"/>
    <w:rsid w:val="00C646B5"/>
    <w:rsid w:val="00C65817"/>
    <w:rsid w:val="00C66236"/>
    <w:rsid w:val="00C7014A"/>
    <w:rsid w:val="00C701FF"/>
    <w:rsid w:val="00C702B2"/>
    <w:rsid w:val="00C71CE9"/>
    <w:rsid w:val="00C721C5"/>
    <w:rsid w:val="00C745D9"/>
    <w:rsid w:val="00C74AEB"/>
    <w:rsid w:val="00C74DF2"/>
    <w:rsid w:val="00C751AE"/>
    <w:rsid w:val="00C76EFA"/>
    <w:rsid w:val="00C777AF"/>
    <w:rsid w:val="00C8012D"/>
    <w:rsid w:val="00C81DCB"/>
    <w:rsid w:val="00C832AC"/>
    <w:rsid w:val="00C839C4"/>
    <w:rsid w:val="00C85044"/>
    <w:rsid w:val="00C85710"/>
    <w:rsid w:val="00C85C9A"/>
    <w:rsid w:val="00C85F43"/>
    <w:rsid w:val="00C8675B"/>
    <w:rsid w:val="00C87C80"/>
    <w:rsid w:val="00C9097F"/>
    <w:rsid w:val="00C91B47"/>
    <w:rsid w:val="00C931CC"/>
    <w:rsid w:val="00C9496F"/>
    <w:rsid w:val="00C95C39"/>
    <w:rsid w:val="00C975E5"/>
    <w:rsid w:val="00C97F92"/>
    <w:rsid w:val="00CA0074"/>
    <w:rsid w:val="00CA08F4"/>
    <w:rsid w:val="00CA0C96"/>
    <w:rsid w:val="00CA2074"/>
    <w:rsid w:val="00CA2BFE"/>
    <w:rsid w:val="00CA3C5A"/>
    <w:rsid w:val="00CA4E1F"/>
    <w:rsid w:val="00CA6003"/>
    <w:rsid w:val="00CA7C36"/>
    <w:rsid w:val="00CB0524"/>
    <w:rsid w:val="00CB1B0D"/>
    <w:rsid w:val="00CB31CF"/>
    <w:rsid w:val="00CB32D3"/>
    <w:rsid w:val="00CB41DC"/>
    <w:rsid w:val="00CB45AA"/>
    <w:rsid w:val="00CB6123"/>
    <w:rsid w:val="00CB6685"/>
    <w:rsid w:val="00CB6CE1"/>
    <w:rsid w:val="00CB6E0B"/>
    <w:rsid w:val="00CC07A8"/>
    <w:rsid w:val="00CC0986"/>
    <w:rsid w:val="00CC1B32"/>
    <w:rsid w:val="00CC317A"/>
    <w:rsid w:val="00CC4595"/>
    <w:rsid w:val="00CC6A8B"/>
    <w:rsid w:val="00CC7A52"/>
    <w:rsid w:val="00CC7B6A"/>
    <w:rsid w:val="00CD0179"/>
    <w:rsid w:val="00CD1546"/>
    <w:rsid w:val="00CD1AB7"/>
    <w:rsid w:val="00CD5FD1"/>
    <w:rsid w:val="00CD61AC"/>
    <w:rsid w:val="00CD6762"/>
    <w:rsid w:val="00CD6ED2"/>
    <w:rsid w:val="00CD71F8"/>
    <w:rsid w:val="00CE033C"/>
    <w:rsid w:val="00CE0DCE"/>
    <w:rsid w:val="00CE0DD3"/>
    <w:rsid w:val="00CE1349"/>
    <w:rsid w:val="00CE2224"/>
    <w:rsid w:val="00CE36B8"/>
    <w:rsid w:val="00CE37B2"/>
    <w:rsid w:val="00CE424F"/>
    <w:rsid w:val="00CE4D3A"/>
    <w:rsid w:val="00CE53DC"/>
    <w:rsid w:val="00CE5DDC"/>
    <w:rsid w:val="00CE79C6"/>
    <w:rsid w:val="00CE7F93"/>
    <w:rsid w:val="00CF0284"/>
    <w:rsid w:val="00CF1752"/>
    <w:rsid w:val="00CF2DB3"/>
    <w:rsid w:val="00CF37A8"/>
    <w:rsid w:val="00CF3C90"/>
    <w:rsid w:val="00CF4506"/>
    <w:rsid w:val="00CF4AED"/>
    <w:rsid w:val="00CF5DA9"/>
    <w:rsid w:val="00CF6511"/>
    <w:rsid w:val="00D00DE4"/>
    <w:rsid w:val="00D02176"/>
    <w:rsid w:val="00D03EF4"/>
    <w:rsid w:val="00D049CE"/>
    <w:rsid w:val="00D05C66"/>
    <w:rsid w:val="00D06994"/>
    <w:rsid w:val="00D071B5"/>
    <w:rsid w:val="00D07382"/>
    <w:rsid w:val="00D07533"/>
    <w:rsid w:val="00D11372"/>
    <w:rsid w:val="00D11809"/>
    <w:rsid w:val="00D123A7"/>
    <w:rsid w:val="00D128E3"/>
    <w:rsid w:val="00D138C4"/>
    <w:rsid w:val="00D14B09"/>
    <w:rsid w:val="00D1522E"/>
    <w:rsid w:val="00D166B9"/>
    <w:rsid w:val="00D16849"/>
    <w:rsid w:val="00D16859"/>
    <w:rsid w:val="00D17910"/>
    <w:rsid w:val="00D17AB7"/>
    <w:rsid w:val="00D17F23"/>
    <w:rsid w:val="00D20D96"/>
    <w:rsid w:val="00D20E56"/>
    <w:rsid w:val="00D22B6E"/>
    <w:rsid w:val="00D23330"/>
    <w:rsid w:val="00D2382D"/>
    <w:rsid w:val="00D24ED9"/>
    <w:rsid w:val="00D265A4"/>
    <w:rsid w:val="00D26F87"/>
    <w:rsid w:val="00D275AF"/>
    <w:rsid w:val="00D308C6"/>
    <w:rsid w:val="00D30CAC"/>
    <w:rsid w:val="00D31C10"/>
    <w:rsid w:val="00D32B83"/>
    <w:rsid w:val="00D33288"/>
    <w:rsid w:val="00D3335C"/>
    <w:rsid w:val="00D3449C"/>
    <w:rsid w:val="00D34D92"/>
    <w:rsid w:val="00D353C1"/>
    <w:rsid w:val="00D353E9"/>
    <w:rsid w:val="00D353F6"/>
    <w:rsid w:val="00D35CC4"/>
    <w:rsid w:val="00D36158"/>
    <w:rsid w:val="00D37B62"/>
    <w:rsid w:val="00D4134A"/>
    <w:rsid w:val="00D41F5E"/>
    <w:rsid w:val="00D425E8"/>
    <w:rsid w:val="00D433D9"/>
    <w:rsid w:val="00D43792"/>
    <w:rsid w:val="00D43C8B"/>
    <w:rsid w:val="00D43D37"/>
    <w:rsid w:val="00D43DD1"/>
    <w:rsid w:val="00D4493D"/>
    <w:rsid w:val="00D45DD9"/>
    <w:rsid w:val="00D46380"/>
    <w:rsid w:val="00D4659D"/>
    <w:rsid w:val="00D465C5"/>
    <w:rsid w:val="00D4666C"/>
    <w:rsid w:val="00D47314"/>
    <w:rsid w:val="00D50040"/>
    <w:rsid w:val="00D5079B"/>
    <w:rsid w:val="00D50826"/>
    <w:rsid w:val="00D51ACA"/>
    <w:rsid w:val="00D51E8B"/>
    <w:rsid w:val="00D5386E"/>
    <w:rsid w:val="00D5494D"/>
    <w:rsid w:val="00D553BB"/>
    <w:rsid w:val="00D56D81"/>
    <w:rsid w:val="00D57D61"/>
    <w:rsid w:val="00D600BE"/>
    <w:rsid w:val="00D6012F"/>
    <w:rsid w:val="00D6086B"/>
    <w:rsid w:val="00D62501"/>
    <w:rsid w:val="00D62E57"/>
    <w:rsid w:val="00D6375B"/>
    <w:rsid w:val="00D643C9"/>
    <w:rsid w:val="00D650EE"/>
    <w:rsid w:val="00D655EB"/>
    <w:rsid w:val="00D67810"/>
    <w:rsid w:val="00D67873"/>
    <w:rsid w:val="00D711F9"/>
    <w:rsid w:val="00D71688"/>
    <w:rsid w:val="00D71989"/>
    <w:rsid w:val="00D72B38"/>
    <w:rsid w:val="00D730B1"/>
    <w:rsid w:val="00D752A7"/>
    <w:rsid w:val="00D75876"/>
    <w:rsid w:val="00D758E6"/>
    <w:rsid w:val="00D77240"/>
    <w:rsid w:val="00D804C8"/>
    <w:rsid w:val="00D809B8"/>
    <w:rsid w:val="00D822FD"/>
    <w:rsid w:val="00D8321A"/>
    <w:rsid w:val="00D83E3F"/>
    <w:rsid w:val="00D85D5A"/>
    <w:rsid w:val="00D9011E"/>
    <w:rsid w:val="00D91C6B"/>
    <w:rsid w:val="00D926D4"/>
    <w:rsid w:val="00D92F8B"/>
    <w:rsid w:val="00D94A45"/>
    <w:rsid w:val="00D94D5B"/>
    <w:rsid w:val="00D955EB"/>
    <w:rsid w:val="00D95B81"/>
    <w:rsid w:val="00D96694"/>
    <w:rsid w:val="00D96D3B"/>
    <w:rsid w:val="00D975CD"/>
    <w:rsid w:val="00D97DDA"/>
    <w:rsid w:val="00DA03DB"/>
    <w:rsid w:val="00DA0BF7"/>
    <w:rsid w:val="00DA16DF"/>
    <w:rsid w:val="00DA17C3"/>
    <w:rsid w:val="00DA204F"/>
    <w:rsid w:val="00DA313D"/>
    <w:rsid w:val="00DA43F0"/>
    <w:rsid w:val="00DA5033"/>
    <w:rsid w:val="00DA54CB"/>
    <w:rsid w:val="00DA5C6A"/>
    <w:rsid w:val="00DA5DF9"/>
    <w:rsid w:val="00DA5F27"/>
    <w:rsid w:val="00DA6367"/>
    <w:rsid w:val="00DA6A48"/>
    <w:rsid w:val="00DB1F54"/>
    <w:rsid w:val="00DB35B7"/>
    <w:rsid w:val="00DB3CAB"/>
    <w:rsid w:val="00DB3FF7"/>
    <w:rsid w:val="00DB4969"/>
    <w:rsid w:val="00DB5254"/>
    <w:rsid w:val="00DB529A"/>
    <w:rsid w:val="00DB5D8D"/>
    <w:rsid w:val="00DB7652"/>
    <w:rsid w:val="00DC00DB"/>
    <w:rsid w:val="00DC03B0"/>
    <w:rsid w:val="00DC0D33"/>
    <w:rsid w:val="00DC12A8"/>
    <w:rsid w:val="00DC2412"/>
    <w:rsid w:val="00DC2627"/>
    <w:rsid w:val="00DC2AC7"/>
    <w:rsid w:val="00DC2B0F"/>
    <w:rsid w:val="00DC3315"/>
    <w:rsid w:val="00DC5DF5"/>
    <w:rsid w:val="00DC5EDC"/>
    <w:rsid w:val="00DC644D"/>
    <w:rsid w:val="00DC6EE1"/>
    <w:rsid w:val="00DC7697"/>
    <w:rsid w:val="00DD122A"/>
    <w:rsid w:val="00DD3281"/>
    <w:rsid w:val="00DD40C5"/>
    <w:rsid w:val="00DD6A20"/>
    <w:rsid w:val="00DE01A7"/>
    <w:rsid w:val="00DE06F1"/>
    <w:rsid w:val="00DE076C"/>
    <w:rsid w:val="00DE0DC1"/>
    <w:rsid w:val="00DE0EAD"/>
    <w:rsid w:val="00DE1360"/>
    <w:rsid w:val="00DE1851"/>
    <w:rsid w:val="00DE1BAE"/>
    <w:rsid w:val="00DE2DA5"/>
    <w:rsid w:val="00DE3014"/>
    <w:rsid w:val="00DE30D5"/>
    <w:rsid w:val="00DE37B4"/>
    <w:rsid w:val="00DE3ACA"/>
    <w:rsid w:val="00DE5976"/>
    <w:rsid w:val="00DE6874"/>
    <w:rsid w:val="00DE6BD7"/>
    <w:rsid w:val="00DF0ECC"/>
    <w:rsid w:val="00DF1AA3"/>
    <w:rsid w:val="00DF2715"/>
    <w:rsid w:val="00DF3673"/>
    <w:rsid w:val="00DF449E"/>
    <w:rsid w:val="00DF44C9"/>
    <w:rsid w:val="00DF4652"/>
    <w:rsid w:val="00DF4AA4"/>
    <w:rsid w:val="00DF5820"/>
    <w:rsid w:val="00DF59C4"/>
    <w:rsid w:val="00DF5B2D"/>
    <w:rsid w:val="00DF70FD"/>
    <w:rsid w:val="00DF77BA"/>
    <w:rsid w:val="00DF79D6"/>
    <w:rsid w:val="00E00B06"/>
    <w:rsid w:val="00E01259"/>
    <w:rsid w:val="00E031B5"/>
    <w:rsid w:val="00E038CA"/>
    <w:rsid w:val="00E06921"/>
    <w:rsid w:val="00E10A49"/>
    <w:rsid w:val="00E116CA"/>
    <w:rsid w:val="00E12765"/>
    <w:rsid w:val="00E12D87"/>
    <w:rsid w:val="00E13770"/>
    <w:rsid w:val="00E149D1"/>
    <w:rsid w:val="00E15204"/>
    <w:rsid w:val="00E177C4"/>
    <w:rsid w:val="00E20BE1"/>
    <w:rsid w:val="00E22BA2"/>
    <w:rsid w:val="00E237A4"/>
    <w:rsid w:val="00E23F7A"/>
    <w:rsid w:val="00E248ED"/>
    <w:rsid w:val="00E24A6C"/>
    <w:rsid w:val="00E26536"/>
    <w:rsid w:val="00E275C8"/>
    <w:rsid w:val="00E2780E"/>
    <w:rsid w:val="00E27E7E"/>
    <w:rsid w:val="00E32AD2"/>
    <w:rsid w:val="00E33BFB"/>
    <w:rsid w:val="00E35DD8"/>
    <w:rsid w:val="00E35E47"/>
    <w:rsid w:val="00E35FDD"/>
    <w:rsid w:val="00E36019"/>
    <w:rsid w:val="00E376E5"/>
    <w:rsid w:val="00E37849"/>
    <w:rsid w:val="00E4014B"/>
    <w:rsid w:val="00E404C8"/>
    <w:rsid w:val="00E4186A"/>
    <w:rsid w:val="00E427CA"/>
    <w:rsid w:val="00E43146"/>
    <w:rsid w:val="00E43C2A"/>
    <w:rsid w:val="00E4552D"/>
    <w:rsid w:val="00E459FE"/>
    <w:rsid w:val="00E45F50"/>
    <w:rsid w:val="00E46070"/>
    <w:rsid w:val="00E461F9"/>
    <w:rsid w:val="00E4707F"/>
    <w:rsid w:val="00E47377"/>
    <w:rsid w:val="00E503FF"/>
    <w:rsid w:val="00E50E5E"/>
    <w:rsid w:val="00E5100F"/>
    <w:rsid w:val="00E51EB0"/>
    <w:rsid w:val="00E54DF0"/>
    <w:rsid w:val="00E5511F"/>
    <w:rsid w:val="00E56524"/>
    <w:rsid w:val="00E56C96"/>
    <w:rsid w:val="00E56DDD"/>
    <w:rsid w:val="00E5754A"/>
    <w:rsid w:val="00E60A85"/>
    <w:rsid w:val="00E6217C"/>
    <w:rsid w:val="00E636C0"/>
    <w:rsid w:val="00E63A5D"/>
    <w:rsid w:val="00E649AE"/>
    <w:rsid w:val="00E652DA"/>
    <w:rsid w:val="00E65510"/>
    <w:rsid w:val="00E66102"/>
    <w:rsid w:val="00E66384"/>
    <w:rsid w:val="00E677C3"/>
    <w:rsid w:val="00E67CFC"/>
    <w:rsid w:val="00E67DA5"/>
    <w:rsid w:val="00E700D2"/>
    <w:rsid w:val="00E707B7"/>
    <w:rsid w:val="00E717D2"/>
    <w:rsid w:val="00E73E82"/>
    <w:rsid w:val="00E73EAD"/>
    <w:rsid w:val="00E742E4"/>
    <w:rsid w:val="00E74774"/>
    <w:rsid w:val="00E75153"/>
    <w:rsid w:val="00E75E18"/>
    <w:rsid w:val="00E77804"/>
    <w:rsid w:val="00E805CD"/>
    <w:rsid w:val="00E806CD"/>
    <w:rsid w:val="00E8111E"/>
    <w:rsid w:val="00E830A5"/>
    <w:rsid w:val="00E83F6D"/>
    <w:rsid w:val="00E8539F"/>
    <w:rsid w:val="00E85A53"/>
    <w:rsid w:val="00E85CBE"/>
    <w:rsid w:val="00E8621A"/>
    <w:rsid w:val="00E91F3E"/>
    <w:rsid w:val="00E95429"/>
    <w:rsid w:val="00E95642"/>
    <w:rsid w:val="00E96E0A"/>
    <w:rsid w:val="00E97B6B"/>
    <w:rsid w:val="00EA0839"/>
    <w:rsid w:val="00EA096D"/>
    <w:rsid w:val="00EA098F"/>
    <w:rsid w:val="00EA15E8"/>
    <w:rsid w:val="00EA2081"/>
    <w:rsid w:val="00EA2594"/>
    <w:rsid w:val="00EA3E0A"/>
    <w:rsid w:val="00EA40C4"/>
    <w:rsid w:val="00EA58EE"/>
    <w:rsid w:val="00EA5BA8"/>
    <w:rsid w:val="00EA5F2A"/>
    <w:rsid w:val="00EA6789"/>
    <w:rsid w:val="00EA67D4"/>
    <w:rsid w:val="00EA68DD"/>
    <w:rsid w:val="00EA69B1"/>
    <w:rsid w:val="00EB09F0"/>
    <w:rsid w:val="00EB1189"/>
    <w:rsid w:val="00EB24EF"/>
    <w:rsid w:val="00EB28A9"/>
    <w:rsid w:val="00EB3551"/>
    <w:rsid w:val="00EB6FD2"/>
    <w:rsid w:val="00EB721F"/>
    <w:rsid w:val="00EC177E"/>
    <w:rsid w:val="00EC1E4D"/>
    <w:rsid w:val="00EC2492"/>
    <w:rsid w:val="00EC2E50"/>
    <w:rsid w:val="00EC3043"/>
    <w:rsid w:val="00EC3DFA"/>
    <w:rsid w:val="00EC4741"/>
    <w:rsid w:val="00EC52D3"/>
    <w:rsid w:val="00EC702B"/>
    <w:rsid w:val="00EC746D"/>
    <w:rsid w:val="00EC7534"/>
    <w:rsid w:val="00ED0550"/>
    <w:rsid w:val="00ED2F59"/>
    <w:rsid w:val="00ED3EE0"/>
    <w:rsid w:val="00ED5B17"/>
    <w:rsid w:val="00ED65EE"/>
    <w:rsid w:val="00ED799F"/>
    <w:rsid w:val="00EE094C"/>
    <w:rsid w:val="00EE1E02"/>
    <w:rsid w:val="00EE2883"/>
    <w:rsid w:val="00EE2C03"/>
    <w:rsid w:val="00EE6D9E"/>
    <w:rsid w:val="00EE6ED1"/>
    <w:rsid w:val="00EE7C5C"/>
    <w:rsid w:val="00EF0230"/>
    <w:rsid w:val="00EF1046"/>
    <w:rsid w:val="00EF18A2"/>
    <w:rsid w:val="00EF36E4"/>
    <w:rsid w:val="00EF4214"/>
    <w:rsid w:val="00EF4E92"/>
    <w:rsid w:val="00EF5A36"/>
    <w:rsid w:val="00EF5ACF"/>
    <w:rsid w:val="00EF6754"/>
    <w:rsid w:val="00EF6CA2"/>
    <w:rsid w:val="00EF79A3"/>
    <w:rsid w:val="00F0114A"/>
    <w:rsid w:val="00F026FD"/>
    <w:rsid w:val="00F031F1"/>
    <w:rsid w:val="00F03763"/>
    <w:rsid w:val="00F03F27"/>
    <w:rsid w:val="00F1090A"/>
    <w:rsid w:val="00F10CDF"/>
    <w:rsid w:val="00F128AF"/>
    <w:rsid w:val="00F12980"/>
    <w:rsid w:val="00F131CA"/>
    <w:rsid w:val="00F13951"/>
    <w:rsid w:val="00F13990"/>
    <w:rsid w:val="00F14255"/>
    <w:rsid w:val="00F15EAE"/>
    <w:rsid w:val="00F17AD6"/>
    <w:rsid w:val="00F20D67"/>
    <w:rsid w:val="00F21581"/>
    <w:rsid w:val="00F218E8"/>
    <w:rsid w:val="00F22900"/>
    <w:rsid w:val="00F23439"/>
    <w:rsid w:val="00F24C82"/>
    <w:rsid w:val="00F24DEF"/>
    <w:rsid w:val="00F25222"/>
    <w:rsid w:val="00F259F2"/>
    <w:rsid w:val="00F25ABD"/>
    <w:rsid w:val="00F2733B"/>
    <w:rsid w:val="00F275A5"/>
    <w:rsid w:val="00F30468"/>
    <w:rsid w:val="00F316AE"/>
    <w:rsid w:val="00F31882"/>
    <w:rsid w:val="00F328E8"/>
    <w:rsid w:val="00F33C25"/>
    <w:rsid w:val="00F33D95"/>
    <w:rsid w:val="00F352E3"/>
    <w:rsid w:val="00F35F15"/>
    <w:rsid w:val="00F36DAE"/>
    <w:rsid w:val="00F378C0"/>
    <w:rsid w:val="00F379B7"/>
    <w:rsid w:val="00F4022E"/>
    <w:rsid w:val="00F419E0"/>
    <w:rsid w:val="00F42DA8"/>
    <w:rsid w:val="00F4305D"/>
    <w:rsid w:val="00F4356A"/>
    <w:rsid w:val="00F438B3"/>
    <w:rsid w:val="00F44969"/>
    <w:rsid w:val="00F45845"/>
    <w:rsid w:val="00F462A1"/>
    <w:rsid w:val="00F47F8F"/>
    <w:rsid w:val="00F50813"/>
    <w:rsid w:val="00F519FA"/>
    <w:rsid w:val="00F5331F"/>
    <w:rsid w:val="00F54237"/>
    <w:rsid w:val="00F5453C"/>
    <w:rsid w:val="00F54ED4"/>
    <w:rsid w:val="00F55D4C"/>
    <w:rsid w:val="00F55F19"/>
    <w:rsid w:val="00F55FA1"/>
    <w:rsid w:val="00F57246"/>
    <w:rsid w:val="00F57950"/>
    <w:rsid w:val="00F57C7B"/>
    <w:rsid w:val="00F648CC"/>
    <w:rsid w:val="00F67072"/>
    <w:rsid w:val="00F6795D"/>
    <w:rsid w:val="00F67D8E"/>
    <w:rsid w:val="00F719C3"/>
    <w:rsid w:val="00F73B52"/>
    <w:rsid w:val="00F73C8D"/>
    <w:rsid w:val="00F74572"/>
    <w:rsid w:val="00F76534"/>
    <w:rsid w:val="00F769E7"/>
    <w:rsid w:val="00F77A79"/>
    <w:rsid w:val="00F81977"/>
    <w:rsid w:val="00F81B07"/>
    <w:rsid w:val="00F82F90"/>
    <w:rsid w:val="00F83B0E"/>
    <w:rsid w:val="00F8453D"/>
    <w:rsid w:val="00F8457B"/>
    <w:rsid w:val="00F84CEC"/>
    <w:rsid w:val="00F84E0E"/>
    <w:rsid w:val="00F85D55"/>
    <w:rsid w:val="00F87398"/>
    <w:rsid w:val="00F87C59"/>
    <w:rsid w:val="00F87CBB"/>
    <w:rsid w:val="00F87DE5"/>
    <w:rsid w:val="00F90480"/>
    <w:rsid w:val="00F905BB"/>
    <w:rsid w:val="00F92B62"/>
    <w:rsid w:val="00F94695"/>
    <w:rsid w:val="00F95241"/>
    <w:rsid w:val="00F95772"/>
    <w:rsid w:val="00F96CA1"/>
    <w:rsid w:val="00FA210B"/>
    <w:rsid w:val="00FA464F"/>
    <w:rsid w:val="00FA487A"/>
    <w:rsid w:val="00FA4E0A"/>
    <w:rsid w:val="00FA6563"/>
    <w:rsid w:val="00FA6826"/>
    <w:rsid w:val="00FA7669"/>
    <w:rsid w:val="00FA7BCD"/>
    <w:rsid w:val="00FB0087"/>
    <w:rsid w:val="00FB2973"/>
    <w:rsid w:val="00FB2C22"/>
    <w:rsid w:val="00FB36BF"/>
    <w:rsid w:val="00FB4B47"/>
    <w:rsid w:val="00FB4E7C"/>
    <w:rsid w:val="00FB6CAC"/>
    <w:rsid w:val="00FC0771"/>
    <w:rsid w:val="00FC0EA5"/>
    <w:rsid w:val="00FC0F62"/>
    <w:rsid w:val="00FC1C9A"/>
    <w:rsid w:val="00FC2669"/>
    <w:rsid w:val="00FC46CB"/>
    <w:rsid w:val="00FD04FB"/>
    <w:rsid w:val="00FD17E5"/>
    <w:rsid w:val="00FD1DC4"/>
    <w:rsid w:val="00FD21EC"/>
    <w:rsid w:val="00FD440A"/>
    <w:rsid w:val="00FD4E1F"/>
    <w:rsid w:val="00FD5128"/>
    <w:rsid w:val="00FD785C"/>
    <w:rsid w:val="00FE0B01"/>
    <w:rsid w:val="00FE391B"/>
    <w:rsid w:val="00FE43B3"/>
    <w:rsid w:val="00FE4C98"/>
    <w:rsid w:val="00FE56E6"/>
    <w:rsid w:val="00FE57BA"/>
    <w:rsid w:val="00FF0406"/>
    <w:rsid w:val="00FF0E7C"/>
    <w:rsid w:val="00FF1020"/>
    <w:rsid w:val="00FF3246"/>
    <w:rsid w:val="00FF4942"/>
    <w:rsid w:val="00FF4CB5"/>
    <w:rsid w:val="00FF5C89"/>
    <w:rsid w:val="00FF6A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471D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locked="0" w:semiHidden="1" w:unhideWhenUsed="1"/>
    <w:lsdException w:name="page number" w:locked="0" w:semiHidden="1" w:uiPriority="0" w:unhideWhenUsed="1"/>
    <w:lsdException w:name="endnote reference" w:locked="0" w:semiHidden="1" w:unhideWhenUsed="1"/>
    <w:lsdException w:name="endnote text" w:locked="0" w:semiHidden="1" w:uiPriority="0" w:unhideWhenUsed="1"/>
    <w:lsdException w:name="table of authorities" w:locked="0" w:semiHidden="1" w:unhideWhenUsed="1"/>
    <w:lsdException w:name="macro" w:semiHidden="1" w:unhideWhenUsed="1"/>
    <w:lsdException w:name="toa heading" w:locked="0" w:semiHidden="1" w:unhideWhenUsed="1"/>
    <w:lsdException w:name="List" w:locked="0"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uiPriority="11"/>
    <w:lsdException w:name="Salutation" w:locked="0" w:semiHidden="1" w:unhideWhenUsed="1"/>
    <w:lsdException w:name="Date" w:locked="0" w:semiHidden="1" w:uiPriority="0"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semiHidden="1" w:unhideWhenUsed="1"/>
    <w:lsdException w:name="Body Text 3"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iPriority="0" w:unhideWhenUsed="1"/>
    <w:lsdException w:name="Strong" w:locked="0" w:uiPriority="22" w:qFormat="1"/>
    <w:lsdException w:name="Emphasis" w:locked="0" w:uiPriority="20" w:qFormat="1"/>
    <w:lsdException w:name="Document Map" w:locked="0" w:semiHidden="1" w:uiPriority="0" w:unhideWhenUsed="1"/>
    <w:lsdException w:name="Plain Text" w:locked="0" w:semiHidden="1" w:uiPriority="0"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semiHidden="1" w:unhideWhenUsed="1"/>
    <w:lsdException w:name="Table Simple 3" w:semiHidden="1" w:unhideWhenUsed="1"/>
    <w:lsdException w:name="Table Classic 1" w:locked="0" w:semiHidden="1" w:uiPriority="0" w:unhideWhenUsed="1"/>
    <w:lsdException w:name="Table Classic 2" w:semiHidden="1" w:unhideWhenUsed="1"/>
    <w:lsdException w:name="Table Classic 3" w:semiHidden="1" w:unhideWhenUsed="1"/>
    <w:lsdException w:name="Table Classic 4" w:semiHidden="1" w:unhideWhenUsed="1"/>
    <w:lsdException w:name="Table Colorful 1" w:locked="0"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0"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locked="0" w:uiPriority="60"/>
    <w:lsdException w:name="Light List" w:uiPriority="61"/>
    <w:lsdException w:name="Light Grid" w:uiPriority="62"/>
    <w:lsdException w:name="Medium Shading 1" w:locked="0" w:uiPriority="63"/>
    <w:lsdException w:name="Medium Shading 2" w:locked="0" w:uiPriority="64"/>
    <w:lsdException w:name="Medium List 1" w:uiPriority="65"/>
    <w:lsdException w:name="Medium List 2" w:locked="0" w:uiPriority="66"/>
    <w:lsdException w:name="Medium Grid 1" w:uiPriority="67"/>
    <w:lsdException w:name="Medium Grid 2" w:uiPriority="68"/>
    <w:lsdException w:name="Medium Grid 3" w:uiPriority="69"/>
    <w:lsdException w:name="Dark List" w:locked="0" w:uiPriority="70"/>
    <w:lsdException w:name="Colorful Shading" w:locked="0" w:uiPriority="71"/>
    <w:lsdException w:name="Colorful List"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0"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ocked="0"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locked="0" w:uiPriority="31"/>
    <w:lsdException w:name="Intense Reference" w:locked="0" w:uiPriority="32" w:qFormat="1"/>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114"/>
    <w:pPr>
      <w:jc w:val="both"/>
    </w:pPr>
    <w:rPr>
      <w:rFonts w:ascii="Calibri" w:eastAsia="Times New Roman" w:hAnsi="Calibri" w:cs="Tahoma"/>
      <w:lang w:eastAsia="en-AU"/>
    </w:rPr>
  </w:style>
  <w:style w:type="paragraph" w:styleId="Heading1">
    <w:name w:val="heading 1"/>
    <w:basedOn w:val="Normal"/>
    <w:next w:val="Normal"/>
    <w:link w:val="Heading1Char"/>
    <w:qFormat/>
    <w:rsid w:val="001229D7"/>
    <w:pPr>
      <w:keepNext/>
      <w:pageBreakBefore/>
      <w:pBdr>
        <w:bottom w:val="single" w:sz="4" w:space="1" w:color="auto"/>
      </w:pBdr>
      <w:spacing w:after="360"/>
      <w:ind w:left="2552" w:hanging="2552"/>
      <w:jc w:val="left"/>
      <w:outlineLvl w:val="0"/>
    </w:pPr>
    <w:rPr>
      <w:b/>
      <w:smallCaps/>
      <w:sz w:val="44"/>
    </w:rPr>
  </w:style>
  <w:style w:type="paragraph" w:styleId="Heading2">
    <w:name w:val="heading 2"/>
    <w:basedOn w:val="Normal"/>
    <w:next w:val="Normal"/>
    <w:link w:val="Heading2Char"/>
    <w:qFormat/>
    <w:rsid w:val="001229D7"/>
    <w:pPr>
      <w:keepNext/>
      <w:tabs>
        <w:tab w:val="left" w:pos="1134"/>
      </w:tabs>
      <w:spacing w:before="240"/>
      <w:jc w:val="left"/>
      <w:outlineLvl w:val="1"/>
    </w:pPr>
    <w:rPr>
      <w:b/>
      <w:smallCaps/>
      <w:sz w:val="28"/>
    </w:rPr>
  </w:style>
  <w:style w:type="paragraph" w:styleId="Heading3">
    <w:name w:val="heading 3"/>
    <w:basedOn w:val="Normal"/>
    <w:next w:val="Normal"/>
    <w:link w:val="Heading3Char"/>
    <w:qFormat/>
    <w:rsid w:val="001229D7"/>
    <w:pPr>
      <w:keepNext/>
      <w:spacing w:before="240" w:after="120"/>
      <w:jc w:val="left"/>
      <w:outlineLvl w:val="2"/>
    </w:pPr>
    <w:rPr>
      <w:b/>
      <w:smallCaps/>
      <w:sz w:val="24"/>
      <w:szCs w:val="24"/>
    </w:rPr>
  </w:style>
  <w:style w:type="paragraph" w:styleId="Heading4">
    <w:name w:val="heading 4"/>
    <w:basedOn w:val="ESSectionHeading-numbered0"/>
    <w:next w:val="Normal"/>
    <w:link w:val="Heading4Char"/>
    <w:qFormat/>
    <w:rsid w:val="00281AF1"/>
    <w:pPr>
      <w:numPr>
        <w:numId w:val="0"/>
      </w:numPr>
      <w:outlineLvl w:val="3"/>
    </w:pPr>
    <w:rPr>
      <w:smallCaps w:val="0"/>
      <w:sz w:val="22"/>
    </w:rPr>
  </w:style>
  <w:style w:type="paragraph" w:styleId="Heading5">
    <w:name w:val="heading 5"/>
    <w:basedOn w:val="Normal"/>
    <w:next w:val="Normal"/>
    <w:link w:val="Heading5Char"/>
    <w:qFormat/>
    <w:rsid w:val="00281AF1"/>
    <w:pPr>
      <w:keepNext/>
      <w:spacing w:after="60"/>
      <w:outlineLvl w:val="4"/>
    </w:pPr>
    <w:rPr>
      <w:b/>
      <w:i/>
    </w:rPr>
  </w:style>
  <w:style w:type="paragraph" w:styleId="Heading6">
    <w:name w:val="heading 6"/>
    <w:basedOn w:val="Normal"/>
    <w:next w:val="Normal"/>
    <w:link w:val="Heading6Char"/>
    <w:qFormat/>
    <w:rsid w:val="00281AF1"/>
    <w:pPr>
      <w:keepNext/>
      <w:outlineLvl w:val="5"/>
    </w:pPr>
    <w:rPr>
      <w:u w:val="single"/>
    </w:rPr>
  </w:style>
  <w:style w:type="paragraph" w:styleId="Heading7">
    <w:name w:val="heading 7"/>
    <w:basedOn w:val="Normal"/>
    <w:next w:val="Normal"/>
    <w:link w:val="Heading7Char"/>
    <w:rsid w:val="00281AF1"/>
    <w:pPr>
      <w:keepNext/>
      <w:outlineLvl w:val="6"/>
    </w:pPr>
    <w:rPr>
      <w:i/>
    </w:rPr>
  </w:style>
  <w:style w:type="paragraph" w:styleId="Heading8">
    <w:name w:val="heading 8"/>
    <w:basedOn w:val="Normal"/>
    <w:next w:val="Normal"/>
    <w:link w:val="Heading8Char"/>
    <w:rsid w:val="00281AF1"/>
    <w:pPr>
      <w:keepNext/>
      <w:outlineLvl w:val="7"/>
    </w:pPr>
    <w:rPr>
      <w:u w:val="single"/>
    </w:rPr>
  </w:style>
  <w:style w:type="paragraph" w:styleId="Heading9">
    <w:name w:val="heading 9"/>
    <w:basedOn w:val="Normal"/>
    <w:next w:val="Normal"/>
    <w:link w:val="Heading9Char"/>
    <w:rsid w:val="00281AF1"/>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autoRedefine/>
    <w:qFormat/>
    <w:locked/>
    <w:rsid w:val="003816F6"/>
    <w:pPr>
      <w:widowControl w:val="0"/>
      <w:spacing w:before="40" w:after="40" w:line="240" w:lineRule="auto"/>
      <w:jc w:val="left"/>
    </w:pPr>
    <w:rPr>
      <w:rFonts w:ascii="Arial Narrow" w:hAnsi="Arial Narrow"/>
    </w:rPr>
  </w:style>
  <w:style w:type="character" w:customStyle="1" w:styleId="TabletextChar">
    <w:name w:val="Table text Char"/>
    <w:link w:val="Tabletext"/>
    <w:rsid w:val="003816F6"/>
    <w:rPr>
      <w:rFonts w:ascii="Arial Narrow" w:eastAsia="Times New Roman" w:hAnsi="Arial Narrow" w:cs="Tahoma"/>
      <w:lang w:eastAsia="en-AU"/>
    </w:rPr>
  </w:style>
  <w:style w:type="paragraph" w:customStyle="1" w:styleId="TableHeading">
    <w:name w:val="TableHeading"/>
    <w:basedOn w:val="TableText0"/>
    <w:link w:val="TableHeadingChar"/>
    <w:autoRedefine/>
    <w:qFormat/>
    <w:rsid w:val="00722D09"/>
    <w:pPr>
      <w:keepNext/>
      <w:contextualSpacing w:val="0"/>
    </w:pPr>
    <w:rPr>
      <w:b/>
      <w:lang w:val="en-GB"/>
    </w:rPr>
  </w:style>
  <w:style w:type="character" w:customStyle="1" w:styleId="TableHeadingChar">
    <w:name w:val="TableHeading Char"/>
    <w:link w:val="TableHeading"/>
    <w:rsid w:val="00722D09"/>
    <w:rPr>
      <w:rFonts w:ascii="Arial Narrow" w:eastAsia="Times New Roman" w:hAnsi="Arial Narrow" w:cs="Tahoma"/>
      <w:b/>
      <w:sz w:val="20"/>
      <w:lang w:val="en-GB"/>
    </w:rPr>
  </w:style>
  <w:style w:type="character" w:customStyle="1" w:styleId="Heading1Char">
    <w:name w:val="Heading 1 Char"/>
    <w:basedOn w:val="DefaultParagraphFont"/>
    <w:link w:val="Heading1"/>
    <w:rsid w:val="001229D7"/>
    <w:rPr>
      <w:rFonts w:ascii="Calibri" w:eastAsia="Times New Roman" w:hAnsi="Calibri" w:cs="Tahoma"/>
      <w:b/>
      <w:smallCaps/>
      <w:sz w:val="44"/>
      <w:lang w:eastAsia="en-AU"/>
    </w:rPr>
  </w:style>
  <w:style w:type="character" w:customStyle="1" w:styleId="Heading2Char">
    <w:name w:val="Heading 2 Char"/>
    <w:basedOn w:val="DefaultParagraphFont"/>
    <w:link w:val="Heading2"/>
    <w:rsid w:val="001229D7"/>
    <w:rPr>
      <w:rFonts w:ascii="Calibri" w:eastAsia="Times New Roman" w:hAnsi="Calibri" w:cs="Tahoma"/>
      <w:b/>
      <w:smallCaps/>
      <w:sz w:val="28"/>
      <w:lang w:eastAsia="en-AU"/>
    </w:rPr>
  </w:style>
  <w:style w:type="character" w:customStyle="1" w:styleId="Heading3Char">
    <w:name w:val="Heading 3 Char"/>
    <w:basedOn w:val="DefaultParagraphFont"/>
    <w:link w:val="Heading3"/>
    <w:rsid w:val="001229D7"/>
    <w:rPr>
      <w:rFonts w:ascii="Calibri" w:eastAsia="Times New Roman" w:hAnsi="Calibri" w:cs="Tahoma"/>
      <w:b/>
      <w:smallCaps/>
      <w:sz w:val="24"/>
      <w:szCs w:val="24"/>
      <w:lang w:eastAsia="en-AU"/>
    </w:rPr>
  </w:style>
  <w:style w:type="character" w:customStyle="1" w:styleId="Heading4Char">
    <w:name w:val="Heading 4 Char"/>
    <w:basedOn w:val="DefaultParagraphFont"/>
    <w:link w:val="Heading4"/>
    <w:rsid w:val="00281AF1"/>
    <w:rPr>
      <w:rFonts w:ascii="Calibri" w:eastAsia="Times New Roman" w:hAnsi="Calibri" w:cs="Tahoma"/>
      <w:b/>
      <w:szCs w:val="24"/>
      <w:lang w:eastAsia="en-AU"/>
    </w:rPr>
  </w:style>
  <w:style w:type="character" w:customStyle="1" w:styleId="Heading5Char">
    <w:name w:val="Heading 5 Char"/>
    <w:basedOn w:val="DefaultParagraphFont"/>
    <w:link w:val="Heading5"/>
    <w:rsid w:val="00281AF1"/>
    <w:rPr>
      <w:rFonts w:ascii="Calibri" w:eastAsia="Times New Roman" w:hAnsi="Calibri" w:cs="Tahoma"/>
      <w:b/>
      <w:i/>
      <w:lang w:eastAsia="en-AU"/>
    </w:rPr>
  </w:style>
  <w:style w:type="character" w:customStyle="1" w:styleId="Heading6Char">
    <w:name w:val="Heading 6 Char"/>
    <w:basedOn w:val="DefaultParagraphFont"/>
    <w:link w:val="Heading6"/>
    <w:rsid w:val="00281AF1"/>
    <w:rPr>
      <w:rFonts w:ascii="Calibri" w:eastAsia="Times New Roman" w:hAnsi="Calibri" w:cs="Tahoma"/>
      <w:u w:val="single"/>
      <w:lang w:eastAsia="en-AU"/>
    </w:rPr>
  </w:style>
  <w:style w:type="character" w:customStyle="1" w:styleId="Heading7Char">
    <w:name w:val="Heading 7 Char"/>
    <w:basedOn w:val="DefaultParagraphFont"/>
    <w:link w:val="Heading7"/>
    <w:rsid w:val="00281AF1"/>
    <w:rPr>
      <w:rFonts w:ascii="Calibri" w:eastAsia="Times New Roman" w:hAnsi="Calibri" w:cs="Tahoma"/>
      <w:i/>
      <w:lang w:eastAsia="en-AU"/>
    </w:rPr>
  </w:style>
  <w:style w:type="character" w:customStyle="1" w:styleId="Heading8Char">
    <w:name w:val="Heading 8 Char"/>
    <w:basedOn w:val="DefaultParagraphFont"/>
    <w:link w:val="Heading8"/>
    <w:rsid w:val="00281AF1"/>
    <w:rPr>
      <w:rFonts w:ascii="Calibri" w:eastAsia="Times New Roman" w:hAnsi="Calibri" w:cs="Tahoma"/>
      <w:u w:val="single"/>
      <w:lang w:eastAsia="en-AU"/>
    </w:rPr>
  </w:style>
  <w:style w:type="character" w:customStyle="1" w:styleId="Heading9Char">
    <w:name w:val="Heading 9 Char"/>
    <w:basedOn w:val="DefaultParagraphFont"/>
    <w:link w:val="Heading9"/>
    <w:rsid w:val="00281AF1"/>
    <w:rPr>
      <w:rFonts w:ascii="Calibri" w:eastAsia="Times New Roman" w:hAnsi="Calibri" w:cs="Tahoma"/>
      <w:lang w:eastAsia="en-AU"/>
    </w:rPr>
  </w:style>
  <w:style w:type="paragraph" w:customStyle="1" w:styleId="Bullet">
    <w:name w:val="Bullet"/>
    <w:basedOn w:val="Normal"/>
    <w:rsid w:val="00281AF1"/>
    <w:pPr>
      <w:numPr>
        <w:numId w:val="1"/>
      </w:numPr>
    </w:pPr>
  </w:style>
  <w:style w:type="character" w:styleId="CommentReference">
    <w:name w:val="annotation reference"/>
    <w:uiPriority w:val="99"/>
    <w:locked/>
    <w:rsid w:val="00281AF1"/>
    <w:rPr>
      <w:sz w:val="16"/>
    </w:rPr>
  </w:style>
  <w:style w:type="paragraph" w:styleId="CommentText">
    <w:name w:val="annotation text"/>
    <w:basedOn w:val="Normal"/>
    <w:link w:val="CommentTextChar"/>
    <w:uiPriority w:val="99"/>
    <w:locked/>
    <w:rsid w:val="00281AF1"/>
    <w:rPr>
      <w:sz w:val="20"/>
    </w:rPr>
  </w:style>
  <w:style w:type="character" w:customStyle="1" w:styleId="CommentTextChar">
    <w:name w:val="Comment Text Char"/>
    <w:basedOn w:val="DefaultParagraphFont"/>
    <w:link w:val="CommentText"/>
    <w:uiPriority w:val="99"/>
    <w:rsid w:val="00281AF1"/>
    <w:rPr>
      <w:rFonts w:ascii="Calibri" w:eastAsia="Times New Roman" w:hAnsi="Calibri" w:cs="Tahoma"/>
      <w:sz w:val="20"/>
      <w:lang w:eastAsia="en-AU"/>
    </w:rPr>
  </w:style>
  <w:style w:type="paragraph" w:styleId="Date">
    <w:name w:val="Date"/>
    <w:basedOn w:val="Normal"/>
    <w:next w:val="Normal"/>
    <w:link w:val="DateChar"/>
    <w:rsid w:val="00281AF1"/>
    <w:pPr>
      <w:ind w:right="113"/>
      <w:jc w:val="right"/>
    </w:pPr>
    <w:rPr>
      <w:rFonts w:ascii="Arial" w:hAnsi="Arial"/>
      <w:b/>
      <w:sz w:val="36"/>
    </w:rPr>
  </w:style>
  <w:style w:type="character" w:customStyle="1" w:styleId="DateChar">
    <w:name w:val="Date Char"/>
    <w:basedOn w:val="DefaultParagraphFont"/>
    <w:link w:val="Date"/>
    <w:rsid w:val="00281AF1"/>
    <w:rPr>
      <w:rFonts w:ascii="Arial" w:eastAsia="Times New Roman" w:hAnsi="Arial" w:cs="Tahoma"/>
      <w:b/>
      <w:sz w:val="36"/>
      <w:lang w:eastAsia="en-AU"/>
    </w:rPr>
  </w:style>
  <w:style w:type="paragraph" w:customStyle="1" w:styleId="Summaryboxtext">
    <w:name w:val="Summary box text"/>
    <w:basedOn w:val="Normal"/>
    <w:rsid w:val="00281AF1"/>
    <w:pPr>
      <w:spacing w:after="100" w:afterAutospacing="1"/>
    </w:pPr>
    <w:rPr>
      <w:rFonts w:ascii="Arial Narrow" w:hAnsi="Arial Narrow"/>
    </w:rPr>
  </w:style>
  <w:style w:type="paragraph" w:styleId="Footer">
    <w:name w:val="footer"/>
    <w:basedOn w:val="Normal"/>
    <w:link w:val="FooterChar"/>
    <w:uiPriority w:val="99"/>
    <w:rsid w:val="00281AF1"/>
    <w:pPr>
      <w:pBdr>
        <w:top w:val="single" w:sz="4" w:space="9" w:color="auto"/>
      </w:pBdr>
      <w:tabs>
        <w:tab w:val="right" w:pos="9000"/>
      </w:tabs>
    </w:pPr>
    <w:rPr>
      <w:rFonts w:ascii="Arial" w:hAnsi="Arial"/>
      <w:b/>
      <w:sz w:val="20"/>
    </w:rPr>
  </w:style>
  <w:style w:type="character" w:customStyle="1" w:styleId="FooterChar">
    <w:name w:val="Footer Char"/>
    <w:basedOn w:val="DefaultParagraphFont"/>
    <w:link w:val="Footer"/>
    <w:uiPriority w:val="99"/>
    <w:rsid w:val="00281AF1"/>
    <w:rPr>
      <w:rFonts w:ascii="Arial" w:eastAsia="Times New Roman" w:hAnsi="Arial" w:cs="Tahoma"/>
      <w:b/>
      <w:sz w:val="20"/>
      <w:lang w:eastAsia="en-AU"/>
    </w:rPr>
  </w:style>
  <w:style w:type="character" w:styleId="FootnoteReference">
    <w:name w:val="footnote reference"/>
    <w:semiHidden/>
    <w:rsid w:val="00281AF1"/>
    <w:rPr>
      <w:vertAlign w:val="superscript"/>
    </w:rPr>
  </w:style>
  <w:style w:type="paragraph" w:styleId="FootnoteText">
    <w:name w:val="footnote text"/>
    <w:basedOn w:val="Normal"/>
    <w:link w:val="FootnoteTextChar"/>
    <w:semiHidden/>
    <w:rsid w:val="00281AF1"/>
    <w:rPr>
      <w:sz w:val="20"/>
    </w:rPr>
  </w:style>
  <w:style w:type="character" w:customStyle="1" w:styleId="FootnoteTextChar">
    <w:name w:val="Footnote Text Char"/>
    <w:basedOn w:val="DefaultParagraphFont"/>
    <w:link w:val="FootnoteText"/>
    <w:semiHidden/>
    <w:rsid w:val="00281AF1"/>
    <w:rPr>
      <w:rFonts w:ascii="Calibri" w:eastAsia="Times New Roman" w:hAnsi="Calibri" w:cs="Tahoma"/>
      <w:sz w:val="20"/>
      <w:lang w:eastAsia="en-AU"/>
    </w:rPr>
  </w:style>
  <w:style w:type="paragraph" w:styleId="Header">
    <w:name w:val="header"/>
    <w:basedOn w:val="Normal"/>
    <w:link w:val="HeaderChar"/>
    <w:rsid w:val="00281AF1"/>
    <w:pPr>
      <w:tabs>
        <w:tab w:val="center" w:pos="4153"/>
        <w:tab w:val="right" w:pos="8306"/>
      </w:tabs>
    </w:pPr>
  </w:style>
  <w:style w:type="character" w:customStyle="1" w:styleId="HeaderChar">
    <w:name w:val="Header Char"/>
    <w:basedOn w:val="DefaultParagraphFont"/>
    <w:link w:val="Header"/>
    <w:rsid w:val="00281AF1"/>
    <w:rPr>
      <w:rFonts w:ascii="Calibri" w:eastAsia="Times New Roman" w:hAnsi="Calibri" w:cs="Tahoma"/>
      <w:lang w:eastAsia="en-AU"/>
    </w:rPr>
  </w:style>
  <w:style w:type="paragraph" w:customStyle="1" w:styleId="Summaryboxheading">
    <w:name w:val="Summary box heading"/>
    <w:basedOn w:val="Summaryboxtext"/>
    <w:rsid w:val="00281AF1"/>
    <w:pPr>
      <w:spacing w:before="120"/>
    </w:pPr>
    <w:rPr>
      <w:b/>
    </w:rPr>
  </w:style>
  <w:style w:type="paragraph" w:customStyle="1" w:styleId="Heading2a">
    <w:name w:val="Heading 2a"/>
    <w:basedOn w:val="Heading2"/>
    <w:locked/>
    <w:rsid w:val="00281AF1"/>
    <w:pPr>
      <w:outlineLvl w:val="9"/>
    </w:pPr>
    <w:rPr>
      <w:sz w:val="22"/>
    </w:rPr>
  </w:style>
  <w:style w:type="character" w:styleId="PageNumber">
    <w:name w:val="page number"/>
    <w:rsid w:val="00281AF1"/>
    <w:rPr>
      <w:rFonts w:ascii="Tahoma" w:hAnsi="Tahoma"/>
      <w:b/>
      <w:sz w:val="18"/>
    </w:rPr>
  </w:style>
  <w:style w:type="paragraph" w:customStyle="1" w:styleId="PublicationTitle">
    <w:name w:val="PublicationTitle"/>
    <w:basedOn w:val="Normal"/>
    <w:rsid w:val="00281AF1"/>
    <w:pPr>
      <w:spacing w:line="480" w:lineRule="exact"/>
      <w:ind w:right="113"/>
      <w:jc w:val="right"/>
    </w:pPr>
    <w:rPr>
      <w:rFonts w:ascii="Arial" w:hAnsi="Arial"/>
      <w:b/>
      <w:i/>
      <w:sz w:val="44"/>
    </w:rPr>
  </w:style>
  <w:style w:type="paragraph" w:customStyle="1" w:styleId="References">
    <w:name w:val="References"/>
    <w:basedOn w:val="Normal"/>
    <w:rsid w:val="00281AF1"/>
    <w:pPr>
      <w:keepLines/>
      <w:ind w:left="1440" w:hanging="720"/>
    </w:pPr>
  </w:style>
  <w:style w:type="paragraph" w:customStyle="1" w:styleId="Sub-title">
    <w:name w:val="Sub-title"/>
    <w:basedOn w:val="Normal"/>
    <w:locked/>
    <w:rsid w:val="00281AF1"/>
    <w:pPr>
      <w:ind w:right="113"/>
      <w:jc w:val="right"/>
    </w:pPr>
    <w:rPr>
      <w:rFonts w:ascii="Arial" w:hAnsi="Arial"/>
      <w:b/>
      <w:sz w:val="32"/>
    </w:rPr>
  </w:style>
  <w:style w:type="paragraph" w:styleId="TableofFigures">
    <w:name w:val="table of figures"/>
    <w:basedOn w:val="Normal"/>
    <w:next w:val="Normal"/>
    <w:uiPriority w:val="99"/>
    <w:rsid w:val="00281AF1"/>
    <w:pPr>
      <w:tabs>
        <w:tab w:val="left" w:pos="1800"/>
        <w:tab w:val="right" w:leader="dot" w:pos="9017"/>
      </w:tabs>
      <w:spacing w:after="120"/>
      <w:ind w:left="1800" w:right="720" w:hanging="1080"/>
    </w:pPr>
    <w:rPr>
      <w:noProof/>
    </w:rPr>
  </w:style>
  <w:style w:type="paragraph" w:customStyle="1" w:styleId="TableText1">
    <w:name w:val="TableText"/>
    <w:basedOn w:val="Normal"/>
    <w:link w:val="TableTextChar0"/>
    <w:rsid w:val="00281AF1"/>
    <w:pPr>
      <w:keepNext/>
      <w:spacing w:before="40" w:after="40"/>
    </w:pPr>
    <w:rPr>
      <w:rFonts w:ascii="Arial Narrow" w:hAnsi="Arial Narrow"/>
      <w:sz w:val="18"/>
    </w:rPr>
  </w:style>
  <w:style w:type="character" w:customStyle="1" w:styleId="TableTextChar0">
    <w:name w:val="TableText Char"/>
    <w:link w:val="TableText1"/>
    <w:rsid w:val="00281AF1"/>
    <w:rPr>
      <w:rFonts w:ascii="Arial Narrow" w:eastAsia="Times New Roman" w:hAnsi="Arial Narrow" w:cs="Tahoma"/>
      <w:sz w:val="18"/>
      <w:lang w:eastAsia="en-AU"/>
    </w:rPr>
  </w:style>
  <w:style w:type="paragraph" w:customStyle="1" w:styleId="TableName">
    <w:name w:val="TableName"/>
    <w:basedOn w:val="TableText1"/>
    <w:link w:val="TableNameChar"/>
    <w:rsid w:val="00281AF1"/>
    <w:pPr>
      <w:ind w:left="1440" w:hanging="720"/>
    </w:pPr>
    <w:rPr>
      <w:b/>
      <w:sz w:val="20"/>
    </w:rPr>
  </w:style>
  <w:style w:type="character" w:customStyle="1" w:styleId="TableNameChar">
    <w:name w:val="TableName Char"/>
    <w:link w:val="TableName"/>
    <w:rsid w:val="00281AF1"/>
    <w:rPr>
      <w:rFonts w:ascii="Arial Narrow" w:eastAsia="Times New Roman" w:hAnsi="Arial Narrow" w:cs="Tahoma"/>
      <w:b/>
      <w:sz w:val="20"/>
      <w:lang w:eastAsia="en-AU"/>
    </w:rPr>
  </w:style>
  <w:style w:type="paragraph" w:customStyle="1" w:styleId="TableNotes">
    <w:name w:val="TableNotes"/>
    <w:basedOn w:val="TableText1"/>
    <w:link w:val="TableNotesChar"/>
    <w:rsid w:val="00281AF1"/>
    <w:pPr>
      <w:keepNext w:val="0"/>
      <w:keepLines/>
      <w:spacing w:before="0" w:after="360"/>
      <w:ind w:left="720"/>
      <w:contextualSpacing/>
    </w:pPr>
    <w:rPr>
      <w:sz w:val="16"/>
    </w:rPr>
  </w:style>
  <w:style w:type="character" w:customStyle="1" w:styleId="TableNotesChar">
    <w:name w:val="TableNotes Char"/>
    <w:link w:val="TableNotes"/>
    <w:rsid w:val="00281AF1"/>
    <w:rPr>
      <w:rFonts w:ascii="Arial Narrow" w:eastAsia="Times New Roman" w:hAnsi="Arial Narrow" w:cs="Tahoma"/>
      <w:sz w:val="16"/>
      <w:lang w:eastAsia="en-AU"/>
    </w:rPr>
  </w:style>
  <w:style w:type="paragraph" w:styleId="Title">
    <w:name w:val="Title"/>
    <w:basedOn w:val="Normal"/>
    <w:link w:val="TitleChar"/>
    <w:rsid w:val="00281AF1"/>
    <w:pPr>
      <w:jc w:val="center"/>
    </w:pPr>
    <w:rPr>
      <w:rFonts w:ascii="Arial" w:hAnsi="Arial"/>
      <w:b/>
      <w:smallCaps/>
      <w:sz w:val="44"/>
    </w:rPr>
  </w:style>
  <w:style w:type="character" w:customStyle="1" w:styleId="TitleChar">
    <w:name w:val="Title Char"/>
    <w:basedOn w:val="DefaultParagraphFont"/>
    <w:link w:val="Title"/>
    <w:rsid w:val="00281AF1"/>
    <w:rPr>
      <w:rFonts w:ascii="Arial" w:eastAsia="Times New Roman" w:hAnsi="Arial" w:cs="Tahoma"/>
      <w:b/>
      <w:smallCaps/>
      <w:sz w:val="44"/>
      <w:lang w:eastAsia="en-AU"/>
    </w:rPr>
  </w:style>
  <w:style w:type="paragraph" w:styleId="TOC1">
    <w:name w:val="toc 1"/>
    <w:basedOn w:val="Normal"/>
    <w:next w:val="Normal"/>
    <w:autoRedefine/>
    <w:uiPriority w:val="39"/>
    <w:qFormat/>
    <w:rsid w:val="00281AF1"/>
    <w:pPr>
      <w:tabs>
        <w:tab w:val="left" w:pos="1276"/>
        <w:tab w:val="right" w:leader="dot" w:pos="9017"/>
      </w:tabs>
      <w:spacing w:before="120" w:after="60"/>
      <w:ind w:right="-46"/>
    </w:pPr>
    <w:rPr>
      <w:b/>
      <w:noProof/>
    </w:rPr>
  </w:style>
  <w:style w:type="paragraph" w:styleId="TOC2">
    <w:name w:val="toc 2"/>
    <w:basedOn w:val="Normal"/>
    <w:next w:val="Normal"/>
    <w:autoRedefine/>
    <w:uiPriority w:val="39"/>
    <w:rsid w:val="00281AF1"/>
    <w:pPr>
      <w:tabs>
        <w:tab w:val="right" w:leader="dot" w:pos="9017"/>
      </w:tabs>
      <w:spacing w:after="60"/>
      <w:ind w:left="851" w:right="720"/>
    </w:pPr>
    <w:rPr>
      <w:noProof/>
    </w:rPr>
  </w:style>
  <w:style w:type="paragraph" w:styleId="TOC3">
    <w:name w:val="toc 3"/>
    <w:basedOn w:val="Normal"/>
    <w:next w:val="Normal"/>
    <w:autoRedefine/>
    <w:uiPriority w:val="39"/>
    <w:rsid w:val="00281AF1"/>
    <w:pPr>
      <w:tabs>
        <w:tab w:val="right" w:leader="dot" w:pos="9016"/>
      </w:tabs>
      <w:spacing w:after="0"/>
      <w:ind w:left="1418"/>
    </w:pPr>
    <w:rPr>
      <w:noProof/>
    </w:rPr>
  </w:style>
  <w:style w:type="paragraph" w:styleId="TOC4">
    <w:name w:val="toc 4"/>
    <w:basedOn w:val="Normal"/>
    <w:next w:val="Normal"/>
    <w:autoRedefine/>
    <w:uiPriority w:val="39"/>
    <w:rsid w:val="00281AF1"/>
    <w:pPr>
      <w:ind w:left="660"/>
    </w:pPr>
  </w:style>
  <w:style w:type="paragraph" w:styleId="TOC5">
    <w:name w:val="toc 5"/>
    <w:basedOn w:val="Normal"/>
    <w:next w:val="Normal"/>
    <w:autoRedefine/>
    <w:uiPriority w:val="39"/>
    <w:rsid w:val="00281AF1"/>
    <w:pPr>
      <w:ind w:left="880"/>
    </w:pPr>
  </w:style>
  <w:style w:type="paragraph" w:styleId="TOC6">
    <w:name w:val="toc 6"/>
    <w:basedOn w:val="Normal"/>
    <w:next w:val="Normal"/>
    <w:autoRedefine/>
    <w:uiPriority w:val="39"/>
    <w:rsid w:val="00281AF1"/>
    <w:pPr>
      <w:ind w:left="1100"/>
    </w:pPr>
  </w:style>
  <w:style w:type="paragraph" w:styleId="TOC7">
    <w:name w:val="toc 7"/>
    <w:basedOn w:val="Normal"/>
    <w:next w:val="Normal"/>
    <w:autoRedefine/>
    <w:uiPriority w:val="39"/>
    <w:rsid w:val="00281AF1"/>
    <w:pPr>
      <w:ind w:left="1320"/>
    </w:pPr>
  </w:style>
  <w:style w:type="paragraph" w:styleId="TOC8">
    <w:name w:val="toc 8"/>
    <w:basedOn w:val="Normal"/>
    <w:next w:val="Normal"/>
    <w:autoRedefine/>
    <w:uiPriority w:val="39"/>
    <w:rsid w:val="00281AF1"/>
    <w:pPr>
      <w:ind w:left="1540"/>
    </w:pPr>
  </w:style>
  <w:style w:type="paragraph" w:styleId="TOC9">
    <w:name w:val="toc 9"/>
    <w:basedOn w:val="Normal"/>
    <w:next w:val="Normal"/>
    <w:autoRedefine/>
    <w:uiPriority w:val="39"/>
    <w:rsid w:val="00281AF1"/>
    <w:pPr>
      <w:ind w:left="1760"/>
    </w:pPr>
  </w:style>
  <w:style w:type="paragraph" w:customStyle="1" w:styleId="Dash">
    <w:name w:val="Dash"/>
    <w:basedOn w:val="Normal"/>
    <w:rsid w:val="00281AF1"/>
    <w:pPr>
      <w:numPr>
        <w:numId w:val="2"/>
      </w:numPr>
    </w:pPr>
  </w:style>
  <w:style w:type="paragraph" w:styleId="Quote">
    <w:name w:val="Quote"/>
    <w:basedOn w:val="Normal"/>
    <w:link w:val="QuoteChar"/>
    <w:rsid w:val="00281AF1"/>
    <w:pPr>
      <w:keepLines/>
      <w:ind w:left="1440" w:right="720"/>
    </w:pPr>
  </w:style>
  <w:style w:type="character" w:customStyle="1" w:styleId="QuoteChar">
    <w:name w:val="Quote Char"/>
    <w:basedOn w:val="DefaultParagraphFont"/>
    <w:link w:val="Quote"/>
    <w:rsid w:val="00281AF1"/>
    <w:rPr>
      <w:rFonts w:ascii="Calibri" w:eastAsia="Times New Roman" w:hAnsi="Calibri" w:cs="Tahoma"/>
      <w:lang w:eastAsia="en-AU"/>
    </w:rPr>
  </w:style>
  <w:style w:type="paragraph" w:styleId="BodyText">
    <w:name w:val="Body Text"/>
    <w:basedOn w:val="Normal"/>
    <w:link w:val="BodyTextChar"/>
    <w:rsid w:val="00281AF1"/>
    <w:pPr>
      <w:spacing w:after="0"/>
    </w:pPr>
    <w:rPr>
      <w:rFonts w:ascii="Helv" w:hAnsi="Helv"/>
      <w:b/>
      <w:i/>
      <w:snapToGrid w:val="0"/>
      <w:color w:val="000000"/>
      <w:sz w:val="28"/>
      <w:lang w:eastAsia="en-US"/>
    </w:rPr>
  </w:style>
  <w:style w:type="character" w:customStyle="1" w:styleId="BodyTextChar">
    <w:name w:val="Body Text Char"/>
    <w:basedOn w:val="DefaultParagraphFont"/>
    <w:link w:val="BodyText"/>
    <w:rsid w:val="00281AF1"/>
    <w:rPr>
      <w:rFonts w:ascii="Helv" w:eastAsia="Times New Roman" w:hAnsi="Helv" w:cs="Tahoma"/>
      <w:b/>
      <w:i/>
      <w:snapToGrid w:val="0"/>
      <w:color w:val="000000"/>
      <w:sz w:val="28"/>
    </w:rPr>
  </w:style>
  <w:style w:type="paragraph" w:styleId="BalloonText">
    <w:name w:val="Balloon Text"/>
    <w:basedOn w:val="Normal"/>
    <w:link w:val="BalloonTextChar"/>
    <w:semiHidden/>
    <w:rsid w:val="00281AF1"/>
    <w:rPr>
      <w:sz w:val="16"/>
      <w:szCs w:val="16"/>
    </w:rPr>
  </w:style>
  <w:style w:type="character" w:customStyle="1" w:styleId="BalloonTextChar">
    <w:name w:val="Balloon Text Char"/>
    <w:basedOn w:val="DefaultParagraphFont"/>
    <w:link w:val="BalloonText"/>
    <w:uiPriority w:val="99"/>
    <w:semiHidden/>
    <w:rsid w:val="00281AF1"/>
    <w:rPr>
      <w:rFonts w:ascii="Calibri" w:eastAsia="Times New Roman" w:hAnsi="Calibri" w:cs="Tahoma"/>
      <w:sz w:val="16"/>
      <w:szCs w:val="16"/>
      <w:lang w:eastAsia="en-AU"/>
    </w:rPr>
  </w:style>
  <w:style w:type="character" w:styleId="Hyperlink">
    <w:name w:val="Hyperlink"/>
    <w:uiPriority w:val="99"/>
    <w:rsid w:val="00281AF1"/>
    <w:rPr>
      <w:color w:val="0000FF"/>
      <w:u w:val="single"/>
    </w:rPr>
  </w:style>
  <w:style w:type="paragraph" w:styleId="Caption">
    <w:name w:val="caption"/>
    <w:aliases w:val="Table and Figure Name,Caption Char2 Char,Caption Char Char Char2,Caption Char1 Char Char Char1,Caption Char2 Char Char Char1 Char1,Caption Char Char1 Char Char Char1 Char1,Caption Char1 Char Char Char Char Char Char,Caption Char Char1"/>
    <w:basedOn w:val="Normal"/>
    <w:next w:val="Normal"/>
    <w:link w:val="CaptionChar"/>
    <w:qFormat/>
    <w:rsid w:val="00B42E5D"/>
    <w:pPr>
      <w:keepNext/>
      <w:spacing w:after="120" w:line="240" w:lineRule="auto"/>
    </w:pPr>
    <w:rPr>
      <w:rFonts w:ascii="Arial Narrow" w:hAnsi="Arial Narrow"/>
      <w:b/>
      <w:bCs/>
      <w:sz w:val="20"/>
    </w:rPr>
  </w:style>
  <w:style w:type="paragraph" w:customStyle="1" w:styleId="TableHeading0">
    <w:name w:val="Table Heading"/>
    <w:basedOn w:val="Normal"/>
    <w:next w:val="Normal"/>
    <w:rsid w:val="00281AF1"/>
    <w:pPr>
      <w:keepNext/>
      <w:spacing w:before="40" w:after="40"/>
    </w:pPr>
    <w:rPr>
      <w:rFonts w:ascii="Arial" w:hAnsi="Arial"/>
      <w:b/>
      <w:sz w:val="18"/>
      <w:lang w:val="en-GB" w:eastAsia="en-US"/>
    </w:rPr>
  </w:style>
  <w:style w:type="table" w:styleId="TableGrid">
    <w:name w:val="Table Grid"/>
    <w:basedOn w:val="TableNormal"/>
    <w:uiPriority w:val="59"/>
    <w:rsid w:val="00281AF1"/>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1"/>
    <w:qFormat/>
    <w:rsid w:val="004E5C57"/>
    <w:pPr>
      <w:spacing w:before="40" w:after="40" w:line="240" w:lineRule="auto"/>
      <w:contextualSpacing/>
      <w:jc w:val="left"/>
    </w:pPr>
    <w:rPr>
      <w:rFonts w:ascii="Arial Narrow" w:hAnsi="Arial Narrow"/>
      <w:sz w:val="20"/>
      <w:lang w:eastAsia="en-US"/>
    </w:rPr>
  </w:style>
  <w:style w:type="character" w:customStyle="1" w:styleId="TableTextChar1">
    <w:name w:val="Table Text Char"/>
    <w:link w:val="TableText0"/>
    <w:rsid w:val="004E5C57"/>
    <w:rPr>
      <w:rFonts w:ascii="Arial Narrow" w:eastAsia="Times New Roman" w:hAnsi="Arial Narrow" w:cs="Tahoma"/>
      <w:sz w:val="20"/>
    </w:rPr>
  </w:style>
  <w:style w:type="paragraph" w:customStyle="1" w:styleId="Boxname">
    <w:name w:val="Box name"/>
    <w:basedOn w:val="TableName"/>
    <w:link w:val="BoxnameChar"/>
    <w:rsid w:val="00281AF1"/>
  </w:style>
  <w:style w:type="character" w:customStyle="1" w:styleId="BoxnameChar">
    <w:name w:val="Box name Char"/>
    <w:basedOn w:val="TableNameChar"/>
    <w:link w:val="Boxname"/>
    <w:rsid w:val="00281AF1"/>
    <w:rPr>
      <w:rFonts w:ascii="Arial Narrow" w:eastAsia="Times New Roman" w:hAnsi="Arial Narrow" w:cs="Tahoma"/>
      <w:b/>
      <w:sz w:val="20"/>
      <w:lang w:eastAsia="en-AU"/>
    </w:rPr>
  </w:style>
  <w:style w:type="paragraph" w:styleId="CommentSubject">
    <w:name w:val="annotation subject"/>
    <w:basedOn w:val="CommentText"/>
    <w:next w:val="CommentText"/>
    <w:link w:val="CommentSubjectChar"/>
    <w:semiHidden/>
    <w:locked/>
    <w:rsid w:val="00281AF1"/>
    <w:rPr>
      <w:b/>
      <w:bCs/>
    </w:rPr>
  </w:style>
  <w:style w:type="character" w:customStyle="1" w:styleId="CommentSubjectChar">
    <w:name w:val="Comment Subject Char"/>
    <w:basedOn w:val="CommentTextChar"/>
    <w:link w:val="CommentSubject"/>
    <w:uiPriority w:val="99"/>
    <w:semiHidden/>
    <w:rsid w:val="00281AF1"/>
    <w:rPr>
      <w:rFonts w:ascii="Calibri" w:eastAsia="Times New Roman" w:hAnsi="Calibri" w:cs="Tahoma"/>
      <w:b/>
      <w:bCs/>
      <w:sz w:val="20"/>
      <w:lang w:eastAsia="en-AU"/>
    </w:rPr>
  </w:style>
  <w:style w:type="paragraph" w:customStyle="1" w:styleId="StyleTableTextArialNarrowFirstline045cm">
    <w:name w:val="Style Table Text + Arial Narrow First line:  0.45 cm"/>
    <w:basedOn w:val="TableText0"/>
    <w:locked/>
    <w:rsid w:val="00281AF1"/>
    <w:pPr>
      <w:spacing w:after="360"/>
      <w:ind w:firstLine="720"/>
    </w:pPr>
  </w:style>
  <w:style w:type="character" w:styleId="FollowedHyperlink">
    <w:name w:val="FollowedHyperlink"/>
    <w:rsid w:val="00281AF1"/>
    <w:rPr>
      <w:color w:val="800080"/>
      <w:u w:val="single"/>
    </w:rPr>
  </w:style>
  <w:style w:type="paragraph" w:customStyle="1" w:styleId="TableNamea">
    <w:name w:val="Table Name(a)"/>
    <w:basedOn w:val="Normal"/>
    <w:rsid w:val="00281AF1"/>
    <w:pPr>
      <w:keepNext/>
      <w:spacing w:before="120" w:after="120"/>
      <w:ind w:left="1077" w:hanging="1077"/>
    </w:pPr>
    <w:rPr>
      <w:rFonts w:ascii="Arial" w:hAnsi="Arial"/>
      <w:b/>
      <w:sz w:val="20"/>
      <w:lang w:eastAsia="en-US"/>
    </w:rPr>
  </w:style>
  <w:style w:type="paragraph" w:styleId="DocumentMap">
    <w:name w:val="Document Map"/>
    <w:basedOn w:val="Normal"/>
    <w:link w:val="DocumentMapChar"/>
    <w:rsid w:val="00281AF1"/>
    <w:rPr>
      <w:sz w:val="16"/>
      <w:szCs w:val="16"/>
    </w:rPr>
  </w:style>
  <w:style w:type="character" w:customStyle="1" w:styleId="DocumentMapChar">
    <w:name w:val="Document Map Char"/>
    <w:basedOn w:val="DefaultParagraphFont"/>
    <w:link w:val="DocumentMap"/>
    <w:rsid w:val="00281AF1"/>
    <w:rPr>
      <w:rFonts w:ascii="Calibri" w:eastAsia="Times New Roman" w:hAnsi="Calibri" w:cs="Tahoma"/>
      <w:sz w:val="16"/>
      <w:szCs w:val="16"/>
      <w:lang w:eastAsia="en-AU"/>
    </w:rPr>
  </w:style>
  <w:style w:type="paragraph" w:styleId="ListParagraph">
    <w:name w:val="List Paragraph"/>
    <w:basedOn w:val="Normal"/>
    <w:uiPriority w:val="34"/>
    <w:qFormat/>
    <w:locked/>
    <w:rsid w:val="00281AF1"/>
  </w:style>
  <w:style w:type="paragraph" w:customStyle="1" w:styleId="figureheading">
    <w:name w:val="figure heading"/>
    <w:basedOn w:val="Normal"/>
    <w:locked/>
    <w:rsid w:val="00281AF1"/>
    <w:pPr>
      <w:keepNext/>
      <w:spacing w:before="120" w:after="120"/>
      <w:ind w:left="1077" w:hanging="1077"/>
    </w:pPr>
    <w:rPr>
      <w:rFonts w:ascii="Arial" w:hAnsi="Arial"/>
      <w:b/>
      <w:sz w:val="20"/>
      <w:lang w:eastAsia="en-US"/>
    </w:rPr>
  </w:style>
  <w:style w:type="paragraph" w:customStyle="1" w:styleId="Nnumberedlist">
    <w:name w:val="Nnumbered list"/>
    <w:basedOn w:val="Normal"/>
    <w:rsid w:val="00281AF1"/>
    <w:pPr>
      <w:numPr>
        <w:numId w:val="3"/>
      </w:numPr>
    </w:pPr>
  </w:style>
  <w:style w:type="paragraph" w:customStyle="1" w:styleId="Figure">
    <w:name w:val="Figure"/>
    <w:basedOn w:val="TableName"/>
    <w:rsid w:val="00281AF1"/>
    <w:pPr>
      <w:spacing w:before="120" w:after="120"/>
      <w:ind w:left="1800" w:hanging="1080"/>
    </w:pPr>
  </w:style>
  <w:style w:type="paragraph" w:styleId="NormalWeb">
    <w:name w:val="Normal (Web)"/>
    <w:basedOn w:val="Normal"/>
    <w:uiPriority w:val="99"/>
    <w:rsid w:val="00281AF1"/>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81AF1"/>
    <w:pPr>
      <w:tabs>
        <w:tab w:val="clear" w:pos="4153"/>
        <w:tab w:val="clear" w:pos="8306"/>
      </w:tabs>
    </w:pPr>
    <w:rPr>
      <w:rFonts w:ascii="Arial Narrow" w:hAnsi="Arial Narrow"/>
      <w:sz w:val="20"/>
    </w:rPr>
  </w:style>
  <w:style w:type="paragraph" w:customStyle="1" w:styleId="AHTAaddresslines">
    <w:name w:val="AHTA address lines"/>
    <w:basedOn w:val="PlainText"/>
    <w:rsid w:val="00281AF1"/>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81AF1"/>
    <w:pPr>
      <w:spacing w:after="0"/>
    </w:pPr>
    <w:rPr>
      <w:rFonts w:ascii="Courier New" w:hAnsi="Courier New" w:cs="Courier New"/>
      <w:sz w:val="20"/>
      <w:lang w:eastAsia="en-US"/>
    </w:rPr>
  </w:style>
  <w:style w:type="character" w:customStyle="1" w:styleId="PlainTextChar">
    <w:name w:val="Plain Text Char"/>
    <w:basedOn w:val="DefaultParagraphFont"/>
    <w:link w:val="PlainText"/>
    <w:rsid w:val="00281AF1"/>
    <w:rPr>
      <w:rFonts w:ascii="Courier New" w:eastAsia="Times New Roman" w:hAnsi="Courier New" w:cs="Courier New"/>
      <w:sz w:val="20"/>
    </w:rPr>
  </w:style>
  <w:style w:type="character" w:styleId="Strong">
    <w:name w:val="Strong"/>
    <w:uiPriority w:val="22"/>
    <w:rsid w:val="00281AF1"/>
    <w:rPr>
      <w:b/>
      <w:bCs/>
    </w:rPr>
  </w:style>
  <w:style w:type="character" w:customStyle="1" w:styleId="regulartext">
    <w:name w:val="regulartext"/>
    <w:basedOn w:val="DefaultParagraphFont"/>
    <w:rsid w:val="00281AF1"/>
  </w:style>
  <w:style w:type="paragraph" w:customStyle="1" w:styleId="bodytext0">
    <w:name w:val="bodytext"/>
    <w:basedOn w:val="Normal"/>
    <w:locked/>
    <w:rsid w:val="00281AF1"/>
    <w:pPr>
      <w:spacing w:before="100" w:beforeAutospacing="1" w:after="100" w:afterAutospacing="1"/>
    </w:pPr>
    <w:rPr>
      <w:rFonts w:ascii="Times New Roman" w:hAnsi="Times New Roman"/>
      <w:szCs w:val="24"/>
    </w:rPr>
  </w:style>
  <w:style w:type="character" w:customStyle="1" w:styleId="mainsubheader1">
    <w:name w:val="mainsubheader1"/>
    <w:rsid w:val="00281AF1"/>
    <w:rPr>
      <w:b/>
      <w:bCs/>
    </w:rPr>
  </w:style>
  <w:style w:type="paragraph" w:customStyle="1" w:styleId="Bullet12">
    <w:name w:val="Bullet+12"/>
    <w:basedOn w:val="Normal"/>
    <w:rsid w:val="00281AF1"/>
    <w:pPr>
      <w:tabs>
        <w:tab w:val="num" w:pos="357"/>
      </w:tabs>
      <w:ind w:left="357" w:hanging="357"/>
    </w:pPr>
    <w:rPr>
      <w:rFonts w:ascii="Times New Roman" w:hAnsi="Times New Roman"/>
      <w:lang w:eastAsia="en-US"/>
    </w:rPr>
  </w:style>
  <w:style w:type="paragraph" w:customStyle="1" w:styleId="Bullet6">
    <w:name w:val="Bullet+6"/>
    <w:basedOn w:val="Normal"/>
    <w:rsid w:val="00281AF1"/>
    <w:pPr>
      <w:tabs>
        <w:tab w:val="num" w:pos="578"/>
      </w:tabs>
      <w:spacing w:after="0"/>
      <w:ind w:left="578" w:hanging="360"/>
    </w:pPr>
    <w:rPr>
      <w:rFonts w:ascii="Times New Roman" w:hAnsi="Times New Roman"/>
      <w:szCs w:val="24"/>
    </w:rPr>
  </w:style>
  <w:style w:type="paragraph" w:customStyle="1" w:styleId="Default">
    <w:name w:val="Default"/>
    <w:locked/>
    <w:rsid w:val="00281AF1"/>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styleId="Revision">
    <w:name w:val="Revision"/>
    <w:hidden/>
    <w:uiPriority w:val="99"/>
    <w:semiHidden/>
    <w:rsid w:val="00281AF1"/>
    <w:pPr>
      <w:spacing w:after="0" w:line="240" w:lineRule="auto"/>
    </w:pPr>
    <w:rPr>
      <w:rFonts w:ascii="Tahoma" w:eastAsia="Times New Roman" w:hAnsi="Tahoma" w:cs="Tahoma"/>
      <w:lang w:eastAsia="en-AU"/>
    </w:rPr>
  </w:style>
  <w:style w:type="table" w:styleId="TableClassic1">
    <w:name w:val="Table Classic 1"/>
    <w:basedOn w:val="TableNormal"/>
    <w:rsid w:val="00281AF1"/>
    <w:pPr>
      <w:spacing w:after="240" w:line="312"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rsid w:val="00281AF1"/>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281AF1"/>
    <w:rPr>
      <w:rFonts w:ascii="Times New Roman" w:eastAsia="Times New Roman" w:hAnsi="Times New Roman" w:cs="Times New Roman"/>
      <w:sz w:val="20"/>
      <w:szCs w:val="20"/>
    </w:rPr>
  </w:style>
  <w:style w:type="paragraph" w:customStyle="1" w:styleId="Style1">
    <w:name w:val="Style1"/>
    <w:basedOn w:val="Normal"/>
    <w:locked/>
    <w:rsid w:val="00281AF1"/>
    <w:pPr>
      <w:tabs>
        <w:tab w:val="left" w:pos="720"/>
      </w:tabs>
      <w:spacing w:after="0" w:line="240" w:lineRule="auto"/>
    </w:pPr>
    <w:rPr>
      <w:rFonts w:ascii="Bookman Old Style" w:hAnsi="Bookman Old Style" w:cs="Times New Roman"/>
      <w:sz w:val="20"/>
      <w:szCs w:val="20"/>
      <w:lang w:val="en-US" w:eastAsia="en-US"/>
    </w:rPr>
  </w:style>
  <w:style w:type="character" w:styleId="Emphasis">
    <w:name w:val="Emphasis"/>
    <w:basedOn w:val="DefaultParagraphFont"/>
    <w:uiPriority w:val="20"/>
    <w:rsid w:val="00281AF1"/>
    <w:rPr>
      <w:b/>
      <w:bCs/>
      <w:i w:val="0"/>
      <w:iCs w:val="0"/>
    </w:rPr>
  </w:style>
  <w:style w:type="character" w:customStyle="1" w:styleId="st1">
    <w:name w:val="st1"/>
    <w:basedOn w:val="DefaultParagraphFont"/>
    <w:rsid w:val="00281AF1"/>
  </w:style>
  <w:style w:type="table" w:customStyle="1" w:styleId="TableGrid1">
    <w:name w:val="Table Grid1"/>
    <w:basedOn w:val="TableNormal"/>
    <w:next w:val="TableGrid"/>
    <w:locked/>
    <w:rsid w:val="00281AF1"/>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locked/>
    <w:rsid w:val="00281AF1"/>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81AF1"/>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81AF1"/>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81AF1"/>
  </w:style>
  <w:style w:type="character" w:customStyle="1" w:styleId="A5">
    <w:name w:val="A5"/>
    <w:uiPriority w:val="99"/>
    <w:rsid w:val="00281AF1"/>
    <w:rPr>
      <w:rFonts w:cs="Humanist 77 7 BT"/>
      <w:color w:val="000000"/>
      <w:sz w:val="11"/>
      <w:szCs w:val="11"/>
    </w:rPr>
  </w:style>
  <w:style w:type="paragraph" w:styleId="TOCHeading">
    <w:name w:val="TOC Heading"/>
    <w:basedOn w:val="Heading1"/>
    <w:next w:val="Normal"/>
    <w:uiPriority w:val="39"/>
    <w:unhideWhenUsed/>
    <w:rsid w:val="00281AF1"/>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2E74B5" w:themeColor="accent1" w:themeShade="BF"/>
      <w:sz w:val="28"/>
      <w:szCs w:val="28"/>
      <w:lang w:val="en-US" w:eastAsia="en-US"/>
    </w:rPr>
  </w:style>
  <w:style w:type="character" w:customStyle="1" w:styleId="highlight">
    <w:name w:val="highlight"/>
    <w:basedOn w:val="DefaultParagraphFont"/>
    <w:rsid w:val="00281AF1"/>
  </w:style>
  <w:style w:type="paragraph" w:customStyle="1" w:styleId="ESSectionHeading-numbered0">
    <w:name w:val="ES. Section Heading - numbered"/>
    <w:basedOn w:val="Heading3"/>
    <w:link w:val="ESSectionHeading-numberedChar"/>
    <w:locked/>
    <w:rsid w:val="00281AF1"/>
    <w:pPr>
      <w:numPr>
        <w:numId w:val="6"/>
      </w:numPr>
    </w:pPr>
  </w:style>
  <w:style w:type="paragraph" w:customStyle="1" w:styleId="MainBodySectionHeading-numbered">
    <w:name w:val="Main Body Section Heading - numbered"/>
    <w:basedOn w:val="Heading2"/>
    <w:link w:val="MainBodySectionHeading-numberedChar"/>
    <w:rsid w:val="00281AF1"/>
    <w:pPr>
      <w:numPr>
        <w:numId w:val="4"/>
      </w:numPr>
      <w:ind w:left="567" w:hanging="567"/>
    </w:pPr>
  </w:style>
  <w:style w:type="character" w:customStyle="1" w:styleId="ESSectionHeading-numberedChar">
    <w:name w:val="ES. Section Heading - numbered Char"/>
    <w:basedOn w:val="Heading3Char"/>
    <w:link w:val="ESSectionHeading-numbered0"/>
    <w:rsid w:val="00281AF1"/>
    <w:rPr>
      <w:rFonts w:ascii="Calibri" w:eastAsia="Times New Roman" w:hAnsi="Calibri" w:cs="Tahoma"/>
      <w:b/>
      <w:smallCaps/>
      <w:sz w:val="24"/>
      <w:szCs w:val="24"/>
      <w:lang w:eastAsia="en-AU"/>
    </w:rPr>
  </w:style>
  <w:style w:type="character" w:customStyle="1" w:styleId="MainBodySectionHeading-numberedChar">
    <w:name w:val="Main Body Section Heading - numbered Char"/>
    <w:basedOn w:val="Heading2Char"/>
    <w:link w:val="MainBodySectionHeading-numbered"/>
    <w:rsid w:val="00281AF1"/>
    <w:rPr>
      <w:rFonts w:ascii="Calibri" w:eastAsia="Times New Roman" w:hAnsi="Calibri" w:cs="Tahoma"/>
      <w:b/>
      <w:smallCaps/>
      <w:sz w:val="28"/>
      <w:lang w:eastAsia="en-AU"/>
    </w:rPr>
  </w:style>
  <w:style w:type="numbering" w:customStyle="1" w:styleId="ESSectionheading-numbered">
    <w:name w:val="ES. Section heading - numbered"/>
    <w:uiPriority w:val="99"/>
    <w:rsid w:val="00281AF1"/>
    <w:pPr>
      <w:numPr>
        <w:numId w:val="5"/>
      </w:numPr>
    </w:pPr>
  </w:style>
  <w:style w:type="paragraph" w:customStyle="1" w:styleId="ESNumberedSectionHeading">
    <w:name w:val="ES Numbered Section Heading"/>
    <w:basedOn w:val="ESSectionHeading-numbered0"/>
    <w:link w:val="ESNumberedSectionHeadingChar"/>
    <w:qFormat/>
    <w:rsid w:val="00281AF1"/>
    <w:pPr>
      <w:numPr>
        <w:numId w:val="7"/>
      </w:numPr>
    </w:pPr>
  </w:style>
  <w:style w:type="character" w:customStyle="1" w:styleId="ESNumberedSectionHeadingChar">
    <w:name w:val="ES Numbered Section Heading Char"/>
    <w:basedOn w:val="ESSectionHeading-numberedChar"/>
    <w:link w:val="ESNumberedSectionHeading"/>
    <w:rsid w:val="00281AF1"/>
    <w:rPr>
      <w:rFonts w:ascii="Calibri" w:eastAsia="Times New Roman" w:hAnsi="Calibri" w:cs="Tahoma"/>
      <w:b/>
      <w:smallCaps/>
      <w:sz w:val="24"/>
      <w:szCs w:val="24"/>
      <w:lang w:eastAsia="en-AU"/>
    </w:rPr>
  </w:style>
  <w:style w:type="paragraph" w:customStyle="1" w:styleId="Tablenotes0">
    <w:name w:val="Tablenotes"/>
    <w:basedOn w:val="Normal"/>
    <w:link w:val="TablenotesChar0"/>
    <w:qFormat/>
    <w:rsid w:val="00226B8D"/>
    <w:pPr>
      <w:widowControl w:val="0"/>
      <w:spacing w:after="120" w:line="240" w:lineRule="auto"/>
      <w:contextualSpacing/>
      <w:jc w:val="left"/>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226B8D"/>
    <w:rPr>
      <w:rFonts w:ascii="Arial Narrow" w:eastAsia="Times New Roman" w:hAnsi="Arial Narrow" w:cs="Arial"/>
      <w:snapToGrid w:val="0"/>
      <w:sz w:val="18"/>
      <w:szCs w:val="20"/>
    </w:rPr>
  </w:style>
  <w:style w:type="paragraph" w:customStyle="1" w:styleId="TableNotes18">
    <w:name w:val="TableNotes+18"/>
    <w:basedOn w:val="TableText1"/>
    <w:uiPriority w:val="99"/>
    <w:locked/>
    <w:rsid w:val="00281AF1"/>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locked/>
    <w:rsid w:val="00281AF1"/>
    <w:pPr>
      <w:keepNext/>
      <w:spacing w:after="0"/>
    </w:pPr>
  </w:style>
  <w:style w:type="paragraph" w:customStyle="1" w:styleId="TFAbbrevs0">
    <w:name w:val="TFAbbrevs+0"/>
    <w:basedOn w:val="Normal"/>
    <w:qFormat/>
    <w:locked/>
    <w:rsid w:val="00281AF1"/>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locked/>
    <w:rsid w:val="00281AF1"/>
    <w:pPr>
      <w:spacing w:after="360"/>
    </w:pPr>
  </w:style>
  <w:style w:type="character" w:customStyle="1" w:styleId="TabletextChar10">
    <w:name w:val="Table text Char1"/>
    <w:basedOn w:val="DefaultParagraphFont"/>
    <w:locked/>
    <w:rsid w:val="00281AF1"/>
    <w:rPr>
      <w:rFonts w:ascii="Arial" w:eastAsia="Times New Roman" w:hAnsi="Arial" w:cs="Times New Roman"/>
      <w:sz w:val="20"/>
      <w:szCs w:val="20"/>
      <w:lang w:eastAsia="en-US"/>
    </w:rPr>
  </w:style>
  <w:style w:type="paragraph" w:customStyle="1" w:styleId="BoxName0">
    <w:name w:val="BoxName"/>
    <w:basedOn w:val="Normal"/>
    <w:rsid w:val="00281AF1"/>
    <w:pPr>
      <w:keepNext/>
      <w:pBdr>
        <w:top w:val="single" w:sz="4" w:space="4" w:color="000000"/>
        <w:left w:val="single" w:sz="4" w:space="4" w:color="000000"/>
        <w:bottom w:val="single" w:sz="4" w:space="4" w:color="000000"/>
        <w:right w:val="single" w:sz="4" w:space="4" w:color="000000"/>
      </w:pBdr>
      <w:spacing w:before="180" w:after="120" w:line="240" w:lineRule="auto"/>
      <w:ind w:left="1886" w:right="58" w:hanging="1080"/>
    </w:pPr>
    <w:rPr>
      <w:rFonts w:ascii="Arial Narrow" w:hAnsi="Arial Narrow" w:cs="Times New Roman"/>
      <w:b/>
      <w:bCs/>
      <w:color w:val="000000"/>
      <w:szCs w:val="20"/>
    </w:rPr>
  </w:style>
  <w:style w:type="character" w:styleId="IntenseReference">
    <w:name w:val="Intense Reference"/>
    <w:uiPriority w:val="32"/>
    <w:qFormat/>
    <w:rsid w:val="00281AF1"/>
    <w:rPr>
      <w:b/>
      <w:bCs/>
      <w:smallCaps/>
    </w:rPr>
  </w:style>
  <w:style w:type="paragraph" w:customStyle="1" w:styleId="EndNoteBibliographyTitle">
    <w:name w:val="EndNote Bibliography Title"/>
    <w:basedOn w:val="Normal"/>
    <w:link w:val="EndNoteBibliographyTitleChar"/>
    <w:rsid w:val="00EF79A3"/>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EF79A3"/>
    <w:rPr>
      <w:rFonts w:ascii="Calibri" w:eastAsia="Times New Roman" w:hAnsi="Calibri" w:cs="Calibri"/>
      <w:noProof/>
      <w:lang w:eastAsia="en-AU"/>
    </w:rPr>
  </w:style>
  <w:style w:type="paragraph" w:customStyle="1" w:styleId="EndNoteBibliography">
    <w:name w:val="EndNote Bibliography"/>
    <w:basedOn w:val="Normal"/>
    <w:link w:val="EndNoteBibliographyChar"/>
    <w:rsid w:val="00EF79A3"/>
    <w:pPr>
      <w:spacing w:line="240" w:lineRule="auto"/>
    </w:pPr>
    <w:rPr>
      <w:rFonts w:cs="Calibri"/>
      <w:noProof/>
    </w:rPr>
  </w:style>
  <w:style w:type="character" w:customStyle="1" w:styleId="EndNoteBibliographyChar">
    <w:name w:val="EndNote Bibliography Char"/>
    <w:basedOn w:val="DefaultParagraphFont"/>
    <w:link w:val="EndNoteBibliography"/>
    <w:rsid w:val="00EF79A3"/>
    <w:rPr>
      <w:rFonts w:ascii="Calibri" w:eastAsia="Times New Roman" w:hAnsi="Calibri" w:cs="Calibri"/>
      <w:noProof/>
      <w:lang w:eastAsia="en-AU"/>
    </w:rPr>
  </w:style>
  <w:style w:type="table" w:customStyle="1" w:styleId="TableGrid3">
    <w:name w:val="Table Grid3"/>
    <w:basedOn w:val="TableNormal"/>
    <w:next w:val="TableGrid"/>
    <w:uiPriority w:val="59"/>
    <w:rsid w:val="00DC2B0F"/>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DefaultParagraphFont"/>
    <w:rsid w:val="001E36E9"/>
  </w:style>
  <w:style w:type="character" w:customStyle="1" w:styleId="quality-sign">
    <w:name w:val="quality-sign"/>
    <w:basedOn w:val="DefaultParagraphFont"/>
    <w:rsid w:val="001E36E9"/>
  </w:style>
  <w:style w:type="character" w:customStyle="1" w:styleId="quality-text">
    <w:name w:val="quality-text"/>
    <w:basedOn w:val="DefaultParagraphFont"/>
    <w:rsid w:val="001E36E9"/>
  </w:style>
  <w:style w:type="table" w:customStyle="1" w:styleId="TableGrid4">
    <w:name w:val="Table Grid4"/>
    <w:basedOn w:val="TableNormal"/>
    <w:next w:val="TableGrid"/>
    <w:uiPriority w:val="59"/>
    <w:rsid w:val="00426ACB"/>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06312"/>
  </w:style>
  <w:style w:type="paragraph" w:customStyle="1" w:styleId="msonormal0">
    <w:name w:val="msonormal"/>
    <w:basedOn w:val="Normal"/>
    <w:rsid w:val="00106312"/>
    <w:pPr>
      <w:spacing w:before="100" w:beforeAutospacing="1" w:after="100" w:afterAutospacing="1" w:line="240" w:lineRule="auto"/>
      <w:jc w:val="left"/>
    </w:pPr>
    <w:rPr>
      <w:rFonts w:ascii="Times New Roman" w:hAnsi="Times New Roman" w:cs="Times New Roman"/>
      <w:sz w:val="24"/>
      <w:szCs w:val="24"/>
    </w:rPr>
  </w:style>
  <w:style w:type="paragraph" w:customStyle="1" w:styleId="xl65">
    <w:name w:val="xl65"/>
    <w:basedOn w:val="Normal"/>
    <w:rsid w:val="005D7566"/>
    <w:pPr>
      <w:spacing w:before="100" w:beforeAutospacing="1" w:after="100" w:afterAutospacing="1" w:line="240" w:lineRule="auto"/>
      <w:jc w:val="left"/>
    </w:pPr>
    <w:rPr>
      <w:rFonts w:cs="Calibri"/>
      <w:b/>
      <w:bCs/>
      <w:sz w:val="24"/>
      <w:szCs w:val="24"/>
    </w:rPr>
  </w:style>
  <w:style w:type="character" w:styleId="EndnoteReference">
    <w:name w:val="endnote reference"/>
    <w:basedOn w:val="DefaultParagraphFont"/>
    <w:uiPriority w:val="99"/>
    <w:semiHidden/>
    <w:unhideWhenUsed/>
    <w:rsid w:val="00920453"/>
    <w:rPr>
      <w:vertAlign w:val="superscript"/>
    </w:rPr>
  </w:style>
  <w:style w:type="table" w:customStyle="1" w:styleId="TableGrid5">
    <w:name w:val="Table Grid5"/>
    <w:basedOn w:val="TableNormal"/>
    <w:next w:val="TableGrid"/>
    <w:uiPriority w:val="59"/>
    <w:rsid w:val="00B35E47"/>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locked/>
    <w:rsid w:val="00B35E47"/>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6">
    <w:name w:val="Table Grid6"/>
    <w:basedOn w:val="TableNormal"/>
    <w:next w:val="TableGrid"/>
    <w:uiPriority w:val="59"/>
    <w:rsid w:val="00B35E47"/>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35E47"/>
  </w:style>
  <w:style w:type="table" w:customStyle="1" w:styleId="TableGrid7">
    <w:name w:val="Table Grid7"/>
    <w:basedOn w:val="TableNormal"/>
    <w:next w:val="TableGrid"/>
    <w:uiPriority w:val="59"/>
    <w:rsid w:val="00B35E47"/>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11">
    <w:name w:val="Table Classic 11"/>
    <w:basedOn w:val="TableNormal"/>
    <w:next w:val="TableClassic1"/>
    <w:rsid w:val="00B35E47"/>
    <w:pPr>
      <w:spacing w:after="240" w:line="312"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locked/>
    <w:rsid w:val="00B35E47"/>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2">
    <w:name w:val="Table Grid22"/>
    <w:basedOn w:val="TableNormal"/>
    <w:next w:val="TableGrid"/>
    <w:locked/>
    <w:rsid w:val="00B35E47"/>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31">
    <w:name w:val="Table Grid31"/>
    <w:basedOn w:val="TableNormal"/>
    <w:next w:val="TableGrid"/>
    <w:uiPriority w:val="59"/>
    <w:rsid w:val="00B35E4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35E47"/>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35E47"/>
  </w:style>
  <w:style w:type="character" w:customStyle="1" w:styleId="st">
    <w:name w:val="st"/>
    <w:basedOn w:val="DefaultParagraphFont"/>
    <w:rsid w:val="00B35E47"/>
  </w:style>
  <w:style w:type="character" w:customStyle="1" w:styleId="CaptionChar">
    <w:name w:val="Caption Char"/>
    <w:aliases w:val="Table and Figure Name Char,Caption Char2 Char Char,Caption Char Char Char2 Char,Caption Char1 Char Char Char1 Char,Caption Char2 Char Char Char1 Char1 Char,Caption Char Char1 Char Char Char1 Char1 Char,Caption Char Char1 Char"/>
    <w:basedOn w:val="DefaultParagraphFont"/>
    <w:link w:val="Caption"/>
    <w:rsid w:val="00B35E47"/>
    <w:rPr>
      <w:rFonts w:ascii="Arial Narrow" w:eastAsia="Times New Roman" w:hAnsi="Arial Narrow" w:cs="Tahoma"/>
      <w:b/>
      <w:bCs/>
      <w:sz w:val="20"/>
      <w:lang w:eastAsia="en-AU"/>
    </w:rPr>
  </w:style>
  <w:style w:type="character" w:customStyle="1" w:styleId="TablecontentsChar">
    <w:name w:val="Table contents Char"/>
    <w:link w:val="Tablecontents"/>
    <w:locked/>
    <w:rsid w:val="00B35E47"/>
    <w:rPr>
      <w:rFonts w:ascii="Arial Narrow" w:hAnsi="Arial Narrow"/>
    </w:rPr>
  </w:style>
  <w:style w:type="paragraph" w:customStyle="1" w:styleId="Tablecontents">
    <w:name w:val="Table contents"/>
    <w:basedOn w:val="Normal"/>
    <w:link w:val="TablecontentsChar"/>
    <w:qFormat/>
    <w:rsid w:val="00B35E47"/>
    <w:pPr>
      <w:spacing w:before="60" w:after="60" w:line="240" w:lineRule="auto"/>
      <w:contextualSpacing/>
      <w:jc w:val="left"/>
    </w:pPr>
    <w:rPr>
      <w:rFonts w:ascii="Arial Narrow" w:eastAsiaTheme="minorHAnsi" w:hAnsi="Arial Narrow" w:cstheme="minorBidi"/>
      <w:lang w:eastAsia="en-US"/>
    </w:rPr>
  </w:style>
  <w:style w:type="table" w:customStyle="1" w:styleId="TableGrid12">
    <w:name w:val="Table Grid12"/>
    <w:basedOn w:val="TableNormal"/>
    <w:next w:val="TableGrid"/>
    <w:locked/>
    <w:rsid w:val="00B35E47"/>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628178">
      <w:bodyDiv w:val="1"/>
      <w:marLeft w:val="0"/>
      <w:marRight w:val="0"/>
      <w:marTop w:val="0"/>
      <w:marBottom w:val="0"/>
      <w:divBdr>
        <w:top w:val="none" w:sz="0" w:space="0" w:color="auto"/>
        <w:left w:val="none" w:sz="0" w:space="0" w:color="auto"/>
        <w:bottom w:val="none" w:sz="0" w:space="0" w:color="auto"/>
        <w:right w:val="none" w:sz="0" w:space="0" w:color="auto"/>
      </w:divBdr>
    </w:div>
    <w:div w:id="832645542">
      <w:bodyDiv w:val="1"/>
      <w:marLeft w:val="0"/>
      <w:marRight w:val="0"/>
      <w:marTop w:val="0"/>
      <w:marBottom w:val="0"/>
      <w:divBdr>
        <w:top w:val="none" w:sz="0" w:space="0" w:color="auto"/>
        <w:left w:val="none" w:sz="0" w:space="0" w:color="auto"/>
        <w:bottom w:val="none" w:sz="0" w:space="0" w:color="auto"/>
        <w:right w:val="none" w:sz="0" w:space="0" w:color="auto"/>
      </w:divBdr>
    </w:div>
    <w:div w:id="919216859">
      <w:bodyDiv w:val="1"/>
      <w:marLeft w:val="0"/>
      <w:marRight w:val="0"/>
      <w:marTop w:val="0"/>
      <w:marBottom w:val="0"/>
      <w:divBdr>
        <w:top w:val="none" w:sz="0" w:space="0" w:color="auto"/>
        <w:left w:val="none" w:sz="0" w:space="0" w:color="auto"/>
        <w:bottom w:val="none" w:sz="0" w:space="0" w:color="auto"/>
        <w:right w:val="none" w:sz="0" w:space="0" w:color="auto"/>
      </w:divBdr>
    </w:div>
    <w:div w:id="1281302698">
      <w:bodyDiv w:val="1"/>
      <w:marLeft w:val="0"/>
      <w:marRight w:val="0"/>
      <w:marTop w:val="0"/>
      <w:marBottom w:val="0"/>
      <w:divBdr>
        <w:top w:val="none" w:sz="0" w:space="0" w:color="auto"/>
        <w:left w:val="none" w:sz="0" w:space="0" w:color="auto"/>
        <w:bottom w:val="none" w:sz="0" w:space="0" w:color="auto"/>
        <w:right w:val="none" w:sz="0" w:space="0" w:color="auto"/>
      </w:divBdr>
    </w:div>
    <w:div w:id="1480806619">
      <w:bodyDiv w:val="1"/>
      <w:marLeft w:val="0"/>
      <w:marRight w:val="0"/>
      <w:marTop w:val="0"/>
      <w:marBottom w:val="0"/>
      <w:divBdr>
        <w:top w:val="none" w:sz="0" w:space="0" w:color="auto"/>
        <w:left w:val="none" w:sz="0" w:space="0" w:color="auto"/>
        <w:bottom w:val="none" w:sz="0" w:space="0" w:color="auto"/>
        <w:right w:val="none" w:sz="0" w:space="0" w:color="auto"/>
      </w:divBdr>
    </w:div>
    <w:div w:id="1533811406">
      <w:bodyDiv w:val="1"/>
      <w:marLeft w:val="0"/>
      <w:marRight w:val="0"/>
      <w:marTop w:val="0"/>
      <w:marBottom w:val="0"/>
      <w:divBdr>
        <w:top w:val="none" w:sz="0" w:space="0" w:color="auto"/>
        <w:left w:val="none" w:sz="0" w:space="0" w:color="auto"/>
        <w:bottom w:val="none" w:sz="0" w:space="0" w:color="auto"/>
        <w:right w:val="none" w:sz="0" w:space="0" w:color="auto"/>
      </w:divBdr>
    </w:div>
    <w:div w:id="1547133110">
      <w:bodyDiv w:val="1"/>
      <w:marLeft w:val="0"/>
      <w:marRight w:val="0"/>
      <w:marTop w:val="0"/>
      <w:marBottom w:val="0"/>
      <w:divBdr>
        <w:top w:val="none" w:sz="0" w:space="0" w:color="auto"/>
        <w:left w:val="none" w:sz="0" w:space="0" w:color="auto"/>
        <w:bottom w:val="none" w:sz="0" w:space="0" w:color="auto"/>
        <w:right w:val="none" w:sz="0" w:space="0" w:color="auto"/>
      </w:divBdr>
    </w:div>
    <w:div w:id="1745567360">
      <w:bodyDiv w:val="1"/>
      <w:marLeft w:val="0"/>
      <w:marRight w:val="0"/>
      <w:marTop w:val="0"/>
      <w:marBottom w:val="0"/>
      <w:divBdr>
        <w:top w:val="none" w:sz="0" w:space="0" w:color="auto"/>
        <w:left w:val="none" w:sz="0" w:space="0" w:color="auto"/>
        <w:bottom w:val="none" w:sz="0" w:space="0" w:color="auto"/>
        <w:right w:val="none" w:sz="0" w:space="0" w:color="auto"/>
      </w:divBdr>
    </w:div>
    <w:div w:id="1859270898">
      <w:bodyDiv w:val="1"/>
      <w:marLeft w:val="0"/>
      <w:marRight w:val="0"/>
      <w:marTop w:val="0"/>
      <w:marBottom w:val="0"/>
      <w:divBdr>
        <w:top w:val="none" w:sz="0" w:space="0" w:color="auto"/>
        <w:left w:val="none" w:sz="0" w:space="0" w:color="auto"/>
        <w:bottom w:val="none" w:sz="0" w:space="0" w:color="auto"/>
        <w:right w:val="none" w:sz="0" w:space="0" w:color="auto"/>
      </w:divBdr>
    </w:div>
    <w:div w:id="1877279104">
      <w:bodyDiv w:val="1"/>
      <w:marLeft w:val="0"/>
      <w:marRight w:val="0"/>
      <w:marTop w:val="0"/>
      <w:marBottom w:val="0"/>
      <w:divBdr>
        <w:top w:val="none" w:sz="0" w:space="0" w:color="auto"/>
        <w:left w:val="none" w:sz="0" w:space="0" w:color="auto"/>
        <w:bottom w:val="none" w:sz="0" w:space="0" w:color="auto"/>
        <w:right w:val="none" w:sz="0" w:space="0" w:color="auto"/>
      </w:divBdr>
    </w:div>
    <w:div w:id="1918519792">
      <w:bodyDiv w:val="1"/>
      <w:marLeft w:val="0"/>
      <w:marRight w:val="0"/>
      <w:marTop w:val="0"/>
      <w:marBottom w:val="0"/>
      <w:divBdr>
        <w:top w:val="none" w:sz="0" w:space="0" w:color="auto"/>
        <w:left w:val="none" w:sz="0" w:space="0" w:color="auto"/>
        <w:bottom w:val="none" w:sz="0" w:space="0" w:color="auto"/>
        <w:right w:val="none" w:sz="0" w:space="0" w:color="auto"/>
      </w:divBdr>
    </w:div>
    <w:div w:id="2086797929">
      <w:bodyDiv w:val="1"/>
      <w:marLeft w:val="0"/>
      <w:marRight w:val="0"/>
      <w:marTop w:val="0"/>
      <w:marBottom w:val="0"/>
      <w:divBdr>
        <w:top w:val="none" w:sz="0" w:space="0" w:color="auto"/>
        <w:left w:val="none" w:sz="0" w:space="0" w:color="auto"/>
        <w:bottom w:val="none" w:sz="0" w:space="0" w:color="auto"/>
        <w:right w:val="none" w:sz="0" w:space="0" w:color="auto"/>
      </w:divBdr>
    </w:div>
    <w:div w:id="212214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4.emf"/><Relationship Id="rId39" Type="http://schemas.openxmlformats.org/officeDocument/2006/relationships/image" Target="media/image8.png"/><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hyperlink" Target="https://www.ebs.tga.gov.au/ebs/picmi/picmirepository.nsf/PICMI?OpenForm&amp;t=&amp;q=interferon" TargetMode="External"/><Relationship Id="rId47" Type="http://schemas.openxmlformats.org/officeDocument/2006/relationships/hyperlink" Target="http://www.palms.com.au/php/labinfo/info_index.php?tc=AQP4&amp;site=RNSH&amp;tn=Aquaporin%204%20Ab&amp;s=Cerebrospinal%20Fluid&amp;sid=9" TargetMode="External"/><Relationship Id="rId50" Type="http://schemas.openxmlformats.org/officeDocument/2006/relationships/hyperlink" Target="http://www.anzctr.org.au" TargetMode="External"/><Relationship Id="rId55" Type="http://schemas.openxmlformats.org/officeDocument/2006/relationships/hyperlink" Target="http://www.med.monash.edu.au/sphpm/divisions/mars/cce.html" TargetMode="External"/><Relationship Id="rId63" Type="http://schemas.openxmlformats.org/officeDocument/2006/relationships/hyperlink" Target="http://www.imta.nl/" TargetMode="External"/><Relationship Id="rId68" Type="http://schemas.openxmlformats.org/officeDocument/2006/relationships/hyperlink" Target="http://www.cmt.liu.se/?l=en&amp;sc=true" TargetMode="External"/><Relationship Id="rId76" Type="http://schemas.openxmlformats.org/officeDocument/2006/relationships/hyperlink" Target="http://www.nlm.nih.gov/hsrph.html" TargetMode="External"/><Relationship Id="rId84" Type="http://schemas.openxmlformats.org/officeDocument/2006/relationships/hyperlink" Target="http://www.ihe.ca/research-programs/rmd/cssqac/cssqac-about"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hshealthquality.org/"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package" Target="embeddings/Microsoft_Visio_Drawing1.vsdx"/><Relationship Id="rId11" Type="http://schemas.openxmlformats.org/officeDocument/2006/relationships/hyperlink" Target="mailto:hta@health.gov.au" TargetMode="Externa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yperlink" Target="http://www.pbs.gov.au/pbs/home;jsessionid=1gj6nvvkqo8l61lok7sjsc9mvl" TargetMode="External"/><Relationship Id="rId53" Type="http://schemas.openxmlformats.org/officeDocument/2006/relationships/hyperlink" Target="https://www.ncbi.nlm.nih.gov/books/NBK16710/" TargetMode="External"/><Relationship Id="rId58" Type="http://schemas.openxmlformats.org/officeDocument/2006/relationships/hyperlink" Target="http://www.chepa.org/" TargetMode="External"/><Relationship Id="rId66" Type="http://schemas.openxmlformats.org/officeDocument/2006/relationships/hyperlink" Target="http://www.juntadeandalucia.es/" TargetMode="External"/><Relationship Id="rId74" Type="http://schemas.openxmlformats.org/officeDocument/2006/relationships/hyperlink" Target="http://www.ahrq.gov/" TargetMode="External"/><Relationship Id="rId79" Type="http://schemas.openxmlformats.org/officeDocument/2006/relationships/header" Target="header15.xml"/><Relationship Id="rId87" Type="http://schemas.openxmlformats.org/officeDocument/2006/relationships/hyperlink" Target="http://www.sign.ac.uk" TargetMode="External"/><Relationship Id="rId5" Type="http://schemas.openxmlformats.org/officeDocument/2006/relationships/webSettings" Target="webSettings.xml"/><Relationship Id="rId61" Type="http://schemas.openxmlformats.org/officeDocument/2006/relationships/hyperlink" Target="http://www.anaes.fr/" TargetMode="External"/><Relationship Id="rId82" Type="http://schemas.openxmlformats.org/officeDocument/2006/relationships/header" Target="header17.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ag.gov.au/" TargetMode="Externa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package" Target="embeddings/Microsoft_Visio_Drawing.vsdx"/><Relationship Id="rId30" Type="http://schemas.openxmlformats.org/officeDocument/2006/relationships/image" Target="media/image6.emf"/><Relationship Id="rId35" Type="http://schemas.openxmlformats.org/officeDocument/2006/relationships/header" Target="header11.xml"/><Relationship Id="rId43" Type="http://schemas.openxmlformats.org/officeDocument/2006/relationships/hyperlink" Target="http://www.pbs.gov.au/pbs/home;jsessionid=1gj6nvvkqo8l61lok7sjsc9mvl" TargetMode="External"/><Relationship Id="rId48" Type="http://schemas.openxmlformats.org/officeDocument/2006/relationships/hyperlink" Target="https://www.sapathology.sa.gov.au/wps/wcm/connect/sa+pathology+internet+content+new/content/clinicians/pathology+collection+guide?q=NMO" TargetMode="External"/><Relationship Id="rId56" Type="http://schemas.openxmlformats.org/officeDocument/2006/relationships/hyperlink" Target="https://www.monash.edu/business/che" TargetMode="External"/><Relationship Id="rId64" Type="http://schemas.openxmlformats.org/officeDocument/2006/relationships/hyperlink" Target="http://www.otago.ac.nz/christchurch/research/nzhta/" TargetMode="External"/><Relationship Id="rId69" Type="http://schemas.openxmlformats.org/officeDocument/2006/relationships/hyperlink" Target="http://www.snhta.ch/" TargetMode="External"/><Relationship Id="rId77" Type="http://schemas.openxmlformats.org/officeDocument/2006/relationships/hyperlink" Target="http://www.research.va.gov/default.cfm" TargetMode="External"/><Relationship Id="rId8" Type="http://schemas.openxmlformats.org/officeDocument/2006/relationships/hyperlink" Target="http://www.msac.gov.au/" TargetMode="External"/><Relationship Id="rId51" Type="http://schemas.openxmlformats.org/officeDocument/2006/relationships/hyperlink" Target="https://www.nihlibrary.nih.gov/resources" TargetMode="External"/><Relationship Id="rId72" Type="http://schemas.openxmlformats.org/officeDocument/2006/relationships/hyperlink" Target="http://www.nice.org.uk/" TargetMode="External"/><Relationship Id="rId80" Type="http://schemas.openxmlformats.org/officeDocument/2006/relationships/header" Target="header16.xml"/><Relationship Id="rId85" Type="http://schemas.openxmlformats.org/officeDocument/2006/relationships/hyperlink" Target="https://www.msaustralia.org.au/publications/media-facts-and-figures-about-ms"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onlinelibrary.wiley.com/doi/full/10.1111/cen3.12491" TargetMode="Externa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image" Target="media/image10.png"/><Relationship Id="rId59" Type="http://schemas.openxmlformats.org/officeDocument/2006/relationships/hyperlink" Target="http://www.ices.on.ca/" TargetMode="External"/><Relationship Id="rId67" Type="http://schemas.openxmlformats.org/officeDocument/2006/relationships/hyperlink" Target="http://www.gencat.cat" TargetMode="External"/><Relationship Id="rId20" Type="http://schemas.openxmlformats.org/officeDocument/2006/relationships/image" Target="media/image2.png"/><Relationship Id="rId41" Type="http://schemas.openxmlformats.org/officeDocument/2006/relationships/image" Target="media/image9.png"/><Relationship Id="rId54" Type="http://schemas.openxmlformats.org/officeDocument/2006/relationships/hyperlink" Target="http://www.surgeons.org/for-health-professionals/audits-and-surgical-research/asernip-s/" TargetMode="External"/><Relationship Id="rId62" Type="http://schemas.openxmlformats.org/officeDocument/2006/relationships/hyperlink" Target="http://www.iqwig.de/" TargetMode="External"/><Relationship Id="rId70" Type="http://schemas.openxmlformats.org/officeDocument/2006/relationships/hyperlink" Target="https://www.nihr.ac.uk/funding-and-support/funding-for-research-studies/funding-programmes/health-technology-assessment/" TargetMode="External"/><Relationship Id="rId75" Type="http://schemas.openxmlformats.org/officeDocument/2006/relationships/hyperlink" Target="http://www.hsph.harvard.edu/" TargetMode="External"/><Relationship Id="rId83" Type="http://schemas.openxmlformats.org/officeDocument/2006/relationships/image" Target="media/image1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5.emf"/><Relationship Id="rId36" Type="http://schemas.openxmlformats.org/officeDocument/2006/relationships/footer" Target="footer3.xml"/><Relationship Id="rId49" Type="http://schemas.openxmlformats.org/officeDocument/2006/relationships/hyperlink" Target="https://www.australianclinicaltrials.gov.au/" TargetMode="External"/><Relationship Id="rId57" Type="http://schemas.openxmlformats.org/officeDocument/2006/relationships/hyperlink" Target="https://www.cadth.ca/" TargetMode="External"/><Relationship Id="rId10" Type="http://schemas.openxmlformats.org/officeDocument/2006/relationships/hyperlink" Target="http://www.msac.gov.au/" TargetMode="External"/><Relationship Id="rId31" Type="http://schemas.openxmlformats.org/officeDocument/2006/relationships/package" Target="embeddings/Microsoft_Visio_Drawing2.vsdx"/><Relationship Id="rId44" Type="http://schemas.openxmlformats.org/officeDocument/2006/relationships/hyperlink" Target="https://www.blood.gov.au/national-product-list" TargetMode="External"/><Relationship Id="rId52" Type="http://schemas.openxmlformats.org/officeDocument/2006/relationships/hyperlink" Target="http://www.nhmrc.gov.au/" TargetMode="External"/><Relationship Id="rId60" Type="http://schemas.openxmlformats.org/officeDocument/2006/relationships/hyperlink" Target="http://www.hqc.sk.ca/" TargetMode="External"/><Relationship Id="rId65" Type="http://schemas.openxmlformats.org/officeDocument/2006/relationships/hyperlink" Target="http://www.kunnskapssenteret.no" TargetMode="External"/><Relationship Id="rId73" Type="http://schemas.openxmlformats.org/officeDocument/2006/relationships/hyperlink" Target="http://www.york.ac.uk/inst/crd/" TargetMode="External"/><Relationship Id="rId78" Type="http://schemas.openxmlformats.org/officeDocument/2006/relationships/footer" Target="footer4.xml"/><Relationship Id="rId81" Type="http://schemas.openxmlformats.org/officeDocument/2006/relationships/footer" Target="footer5.xml"/><Relationship Id="rId86" Type="http://schemas.openxmlformats.org/officeDocument/2006/relationships/hyperlink" Target="https://www.blood.gov.au/data-analysis-reporti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uptodate.com/contents/optic-neuritis-prognosis-and-treatment" TargetMode="External"/><Relationship Id="rId2" Type="http://schemas.openxmlformats.org/officeDocument/2006/relationships/hyperlink" Target="https://www.uptodate.com/contents/methylprednisolone-drug-information?topicRef=5252&amp;source=see_link" TargetMode="External"/><Relationship Id="rId1" Type="http://schemas.openxmlformats.org/officeDocument/2006/relationships/hyperlink" Target="https://www.uptodate.com/contents/prednisone-drug-information?topicRef=5252&amp;source=see_link" TargetMode="External"/><Relationship Id="rId5" Type="http://schemas.openxmlformats.org/officeDocument/2006/relationships/hyperlink" Target="https://www.nidek-intl.com/visual_acuity.html" TargetMode="External"/><Relationship Id="rId4" Type="http://schemas.openxmlformats.org/officeDocument/2006/relationships/hyperlink" Target="https://www.medcalc.org/calc/comparison_of_mean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9933377-32F6-44BF-8B9D-C2C02F2F3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127772</Words>
  <Characters>728304</Characters>
  <Application>Microsoft Office Word</Application>
  <DocSecurity>0</DocSecurity>
  <Lines>6069</Lines>
  <Paragraphs>1708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2021-08-12T04:42:00Z</dcterms:created>
  <dcterms:modified xsi:type="dcterms:W3CDTF">2021-08-12T05:23:00Z</dcterms:modified>
</cp:coreProperties>
</file>