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B143" w14:textId="23B27062" w:rsidR="00D95E54" w:rsidRDefault="00D95E54" w:rsidP="00D95E54">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br/>
      </w:r>
      <w:r w:rsidRPr="00F76D74">
        <w:rPr>
          <w:rFonts w:ascii="Arial" w:hAnsi="Arial" w:cs="Arial"/>
          <w:b/>
          <w:bCs/>
          <w:color w:val="000080"/>
          <w:sz w:val="36"/>
          <w:szCs w:val="36"/>
        </w:rPr>
        <w:t>Public Summary Document</w:t>
      </w:r>
    </w:p>
    <w:bookmarkEnd w:id="0"/>
    <w:p w14:paraId="5F394A6E" w14:textId="477CA662" w:rsidR="00D95E54" w:rsidRPr="00CE28E3" w:rsidRDefault="00D95E54" w:rsidP="00D95E54">
      <w:pPr>
        <w:pStyle w:val="Subtitle"/>
      </w:pPr>
      <w:r w:rsidRPr="00CE28E3">
        <w:t xml:space="preserve">Application No. </w:t>
      </w:r>
      <w:r>
        <w:t>1690.1</w:t>
      </w:r>
      <w:r w:rsidRPr="0044745D">
        <w:t xml:space="preserve"> – </w:t>
      </w:r>
      <w:r w:rsidRPr="00842B53">
        <w:t xml:space="preserve">Ciltacabtagene autoleucel, a B-cell maturation antigen-directed chimeric antigen receptor T cell to treat refractory or relapsed multiple </w:t>
      </w:r>
      <w:proofErr w:type="gramStart"/>
      <w:r w:rsidRPr="00842B53">
        <w:t>myeloma</w:t>
      </w:r>
      <w:proofErr w:type="gramEnd"/>
    </w:p>
    <w:p w14:paraId="33E937CD" w14:textId="3932A08A" w:rsidR="00D95E54" w:rsidRDefault="00D95E54" w:rsidP="00D95E54">
      <w:pPr>
        <w:tabs>
          <w:tab w:val="left" w:pos="3686"/>
        </w:tabs>
        <w:spacing w:before="120" w:line="256" w:lineRule="auto"/>
        <w:rPr>
          <w:rFonts w:ascii="Arial" w:eastAsia="Calibri"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sidRPr="001D021C">
        <w:rPr>
          <w:rFonts w:ascii="Arial" w:hAnsi="Arial" w:cs="Arial"/>
          <w:b/>
          <w:szCs w:val="24"/>
        </w:rPr>
        <w:t>Janssen-</w:t>
      </w:r>
      <w:proofErr w:type="spellStart"/>
      <w:r w:rsidRPr="001D021C">
        <w:rPr>
          <w:rFonts w:ascii="Arial" w:hAnsi="Arial" w:cs="Arial"/>
          <w:b/>
          <w:szCs w:val="24"/>
        </w:rPr>
        <w:t>Cilag</w:t>
      </w:r>
      <w:proofErr w:type="spellEnd"/>
      <w:r w:rsidRPr="001D021C">
        <w:rPr>
          <w:rFonts w:ascii="Arial" w:hAnsi="Arial" w:cs="Arial"/>
          <w:b/>
          <w:szCs w:val="24"/>
        </w:rPr>
        <w:t xml:space="preserve"> Pty Ltd</w:t>
      </w:r>
      <w:r w:rsidRPr="002C0248">
        <w:rPr>
          <w:rFonts w:ascii="Arial" w:eastAsia="Calibri" w:hAnsi="Arial" w:cs="Arial"/>
          <w:b/>
          <w:szCs w:val="24"/>
        </w:rPr>
        <w:t xml:space="preserve"> </w:t>
      </w:r>
    </w:p>
    <w:p w14:paraId="6916B5D4" w14:textId="52B200D8" w:rsidR="00D95E54" w:rsidRDefault="00D95E54" w:rsidP="00D95E54">
      <w:pPr>
        <w:tabs>
          <w:tab w:val="left" w:pos="3686"/>
        </w:tabs>
        <w:spacing w:before="120" w:after="360" w:line="259" w:lineRule="auto"/>
        <w:rPr>
          <w:rFonts w:ascii="Arial" w:eastAsia="Calibri" w:hAnsi="Arial" w:cs="Arial"/>
          <w:b/>
          <w:szCs w:val="24"/>
        </w:rPr>
      </w:pPr>
      <w:r w:rsidRPr="002C0248">
        <w:rPr>
          <w:rFonts w:ascii="Arial" w:eastAsia="Calibri" w:hAnsi="Arial" w:cs="Arial"/>
          <w:b/>
          <w:szCs w:val="24"/>
        </w:rPr>
        <w:t xml:space="preserve">Date of </w:t>
      </w:r>
      <w:r>
        <w:rPr>
          <w:rFonts w:ascii="Arial" w:eastAsia="Calibri" w:hAnsi="Arial" w:cs="Arial"/>
          <w:b/>
          <w:szCs w:val="24"/>
        </w:rPr>
        <w:t>MSAC</w:t>
      </w:r>
      <w:r w:rsidRPr="002C0248">
        <w:rPr>
          <w:rFonts w:ascii="Arial" w:eastAsia="Calibri" w:hAnsi="Arial" w:cs="Arial"/>
          <w:b/>
          <w:szCs w:val="24"/>
        </w:rPr>
        <w:t xml:space="preserve"> consideration:</w:t>
      </w:r>
      <w:r w:rsidRPr="002C0248">
        <w:rPr>
          <w:rFonts w:ascii="Arial" w:eastAsia="Calibri" w:hAnsi="Arial" w:cs="Arial"/>
          <w:b/>
          <w:szCs w:val="24"/>
        </w:rPr>
        <w:tab/>
      </w:r>
      <w:r w:rsidRPr="00D95E54">
        <w:rPr>
          <w:rFonts w:ascii="Arial" w:eastAsia="Calibri" w:hAnsi="Arial" w:cs="Arial"/>
          <w:b/>
          <w:szCs w:val="24"/>
        </w:rPr>
        <w:t>4-5 April 2024</w:t>
      </w:r>
    </w:p>
    <w:p w14:paraId="274A7A9B" w14:textId="77777777" w:rsidR="00D95E54" w:rsidRPr="00AE32E0" w:rsidRDefault="00D95E54" w:rsidP="00D95E54">
      <w:pPr>
        <w:rPr>
          <w:rFonts w:ascii="Franklin Gothic Book" w:hAnsi="Franklin Gothic Book"/>
          <w:color w:val="0000FF"/>
          <w:szCs w:val="24"/>
          <w:u w:val="single"/>
        </w:rPr>
      </w:pPr>
      <w:r w:rsidRPr="00AE32E0">
        <w:rPr>
          <w:rFonts w:ascii="Franklin Gothic Book" w:hAnsi="Franklin Gothic Book"/>
          <w:szCs w:val="24"/>
        </w:rPr>
        <w:t xml:space="preserve">Context for decision: MSAC makes its advice in accordance with its Terms of Reference, </w:t>
      </w:r>
      <w:hyperlink r:id="rId8" w:tooltip="Link to Medical Services Advisory Committee website" w:history="1">
        <w:r w:rsidRPr="00AE32E0">
          <w:rPr>
            <w:rStyle w:val="Hyperlink"/>
            <w:rFonts w:ascii="Franklin Gothic Book" w:hAnsi="Franklin Gothic Book"/>
            <w:szCs w:val="24"/>
          </w:rPr>
          <w:t>visit the MSAC website</w:t>
        </w:r>
      </w:hyperlink>
    </w:p>
    <w:p w14:paraId="6F4E580F" w14:textId="77777777" w:rsidR="00D95E54" w:rsidRPr="004F3649" w:rsidRDefault="00D95E54" w:rsidP="00D95E54">
      <w:pPr>
        <w:pStyle w:val="Heading2"/>
        <w:numPr>
          <w:ilvl w:val="0"/>
          <w:numId w:val="15"/>
        </w:numPr>
        <w:ind w:left="737" w:hanging="737"/>
      </w:pPr>
      <w:bookmarkStart w:id="1" w:name="_Toc69491415"/>
      <w:r w:rsidRPr="004F3649">
        <w:t xml:space="preserve">Purpose </w:t>
      </w:r>
      <w:r w:rsidRPr="004F3649">
        <w:rPr>
          <w:szCs w:val="32"/>
        </w:rPr>
        <w:t>of</w:t>
      </w:r>
      <w:r w:rsidRPr="004F3649">
        <w:t xml:space="preserve"> application</w:t>
      </w:r>
      <w:bookmarkEnd w:id="1"/>
    </w:p>
    <w:p w14:paraId="14710B6B" w14:textId="77777777" w:rsidR="00D95E54" w:rsidRPr="0031055E" w:rsidRDefault="00D95E54" w:rsidP="00D95E54">
      <w:pPr>
        <w:rPr>
          <w:rFonts w:ascii="Franklin Gothic Book" w:hAnsi="Franklin Gothic Book"/>
        </w:rPr>
      </w:pPr>
      <w:r w:rsidRPr="0031055E">
        <w:rPr>
          <w:rFonts w:ascii="Franklin Gothic Book" w:hAnsi="Franklin Gothic Book"/>
        </w:rPr>
        <w:t>A funding proposal was received from Janssen-</w:t>
      </w:r>
      <w:proofErr w:type="spellStart"/>
      <w:r w:rsidRPr="0031055E">
        <w:rPr>
          <w:rFonts w:ascii="Franklin Gothic Book" w:hAnsi="Franklin Gothic Book"/>
        </w:rPr>
        <w:t>Cilag</w:t>
      </w:r>
      <w:proofErr w:type="spellEnd"/>
      <w:r w:rsidRPr="0031055E">
        <w:rPr>
          <w:rFonts w:ascii="Franklin Gothic Book" w:hAnsi="Franklin Gothic Book"/>
        </w:rPr>
        <w:t xml:space="preserve"> (the applicant) by the Department of Health and Aged Care in relation to the public funding of ciltacabtagene autoleucel (cilta-cel, CARVYKTI®)) for the treatment of adult patients with relapsed or refractory multiple myeloma (RRMM) who have received at least 4 prior lines of therapy (i.e. fifth line or later treatment), including a proteasome inhibitor (PI), an immunomodulatory agent (</w:t>
      </w:r>
      <w:proofErr w:type="spellStart"/>
      <w:r w:rsidRPr="0031055E">
        <w:rPr>
          <w:rFonts w:ascii="Franklin Gothic Book" w:hAnsi="Franklin Gothic Book"/>
        </w:rPr>
        <w:t>IMiD</w:t>
      </w:r>
      <w:proofErr w:type="spellEnd"/>
      <w:r w:rsidRPr="0031055E">
        <w:rPr>
          <w:rFonts w:ascii="Franklin Gothic Book" w:hAnsi="Franklin Gothic Book"/>
        </w:rPr>
        <w:t>) and an anti-CD38 antibody (5L+ RRMM). The applicant is seeking public funding for cilta-cel in patients with RRMM as a Highly Specialised Therapy through the National Health Reform Agreement (NHRA), jointly funded by the Commonwealth and State and Territory governments.</w:t>
      </w:r>
    </w:p>
    <w:p w14:paraId="6B47EC2D" w14:textId="77777777" w:rsidR="00D95E54" w:rsidRDefault="00D95E54" w:rsidP="00D72F76">
      <w:pPr>
        <w:pStyle w:val="Heading2"/>
        <w:numPr>
          <w:ilvl w:val="0"/>
          <w:numId w:val="15"/>
        </w:numPr>
        <w:ind w:left="737" w:hanging="737"/>
      </w:pPr>
      <w:r>
        <w:t>MSAC’s advice to the Minister</w:t>
      </w:r>
    </w:p>
    <w:p w14:paraId="472DD0DE" w14:textId="32767B4C" w:rsidR="00D95E54" w:rsidRPr="001D5327" w:rsidRDefault="00D95E54" w:rsidP="00D95E54">
      <w:pPr>
        <w:rPr>
          <w:rFonts w:ascii="Franklin Gothic Book" w:hAnsi="Franklin Gothic Book"/>
        </w:rPr>
      </w:pPr>
      <w:r w:rsidRPr="001D5327">
        <w:rPr>
          <w:rFonts w:ascii="Franklin Gothic Book" w:hAnsi="Franklin Gothic Book"/>
        </w:rPr>
        <w:t xml:space="preserve">Following the MSAC’s decision to defer its advice on the public funding of cilta-cel for 5L+ RRMM at the November 2023 meeting, the applicant re-submitted details of a funding proposal. </w:t>
      </w:r>
      <w:r w:rsidRPr="00D95E54">
        <w:rPr>
          <w:rFonts w:ascii="Franklin Gothic Book" w:hAnsi="Franklin Gothic Book"/>
          <w:iCs/>
        </w:rPr>
        <w:t xml:space="preserve">MSAC considered it was necessary to establish an alternative way forward to enable the public funding of cilta-cel than what had been proposed by the applicant. </w:t>
      </w:r>
      <w:r w:rsidRPr="00D95E54">
        <w:rPr>
          <w:rFonts w:ascii="Franklin Gothic Book" w:hAnsi="Franklin Gothic Book"/>
        </w:rPr>
        <w:t xml:space="preserve">MSAC supported the public funding of cilta-cel </w:t>
      </w:r>
      <w:r w:rsidRPr="001D5327">
        <w:rPr>
          <w:rFonts w:ascii="Franklin Gothic Book" w:hAnsi="Franklin Gothic Book"/>
        </w:rPr>
        <w:t>for 5L+ RRMM</w:t>
      </w:r>
      <w:r w:rsidRPr="00D95E54">
        <w:rPr>
          <w:rFonts w:ascii="Franklin Gothic Book" w:hAnsi="Franklin Gothic Book"/>
        </w:rPr>
        <w:t xml:space="preserve"> at its April 2024 meeting based on an alternative funding model </w:t>
      </w:r>
      <w:r w:rsidRPr="001D5327">
        <w:rPr>
          <w:rFonts w:ascii="Franklin Gothic Book" w:hAnsi="Franklin Gothic Book"/>
        </w:rPr>
        <w:t xml:space="preserve">that appropriately managed the clinical, </w:t>
      </w:r>
      <w:proofErr w:type="gramStart"/>
      <w:r w:rsidRPr="001D5327">
        <w:rPr>
          <w:rFonts w:ascii="Franklin Gothic Book" w:hAnsi="Franklin Gothic Book"/>
        </w:rPr>
        <w:t>economic</w:t>
      </w:r>
      <w:proofErr w:type="gramEnd"/>
      <w:r w:rsidRPr="001D5327">
        <w:rPr>
          <w:rFonts w:ascii="Franklin Gothic Book" w:hAnsi="Franklin Gothic Book"/>
        </w:rPr>
        <w:t xml:space="preserve"> and financial uncertainty associated with the public funding of cilta-cel</w:t>
      </w:r>
      <w:r w:rsidRPr="00D95E54">
        <w:rPr>
          <w:rFonts w:ascii="Franklin Gothic Book" w:hAnsi="Franklin Gothic Book"/>
        </w:rPr>
        <w:t>, in conjunction with a Risk Sharing Arrangement (RSA) that appropriately managed the risk of the applicant’s financial estimates being exceeded.</w:t>
      </w:r>
    </w:p>
    <w:p w14:paraId="43B2B083" w14:textId="35A35BEF" w:rsidR="00D95E54" w:rsidRPr="001D5327" w:rsidRDefault="00D95E54" w:rsidP="00D95E54">
      <w:pPr>
        <w:rPr>
          <w:rFonts w:ascii="Franklin Gothic Book" w:hAnsi="Franklin Gothic Book"/>
        </w:rPr>
      </w:pPr>
      <w:r w:rsidRPr="001D5327">
        <w:rPr>
          <w:rFonts w:ascii="Franklin Gothic Book" w:hAnsi="Franklin Gothic Book"/>
        </w:rPr>
        <w:t xml:space="preserve">MSAC recalled it deferred its advice </w:t>
      </w:r>
      <w:proofErr w:type="gramStart"/>
      <w:r w:rsidRPr="001D5327">
        <w:rPr>
          <w:rFonts w:ascii="Franklin Gothic Book" w:hAnsi="Franklin Gothic Book"/>
        </w:rPr>
        <w:t>on the basis of</w:t>
      </w:r>
      <w:proofErr w:type="gramEnd"/>
      <w:r w:rsidRPr="001D5327">
        <w:rPr>
          <w:rFonts w:ascii="Franklin Gothic Book" w:hAnsi="Franklin Gothic Book"/>
        </w:rPr>
        <w:t xml:space="preserve"> an unacceptably high and underestimated incremental cost-effectiveness ratio (ICER); the higher cost of cilta-cel compared to other CAR-T therapies previously supported by MSAC; and highly uncertain and underestimated estimates of the costs associated with cilta-cel therapy.</w:t>
      </w:r>
      <w:r w:rsidR="00360B03">
        <w:rPr>
          <w:rFonts w:ascii="Franklin Gothic Book" w:hAnsi="Franklin Gothic Book"/>
        </w:rPr>
        <w:t xml:space="preserve"> </w:t>
      </w:r>
      <w:r w:rsidR="00887012" w:rsidRPr="00887012">
        <w:rPr>
          <w:rFonts w:ascii="Franklin Gothic Book" w:hAnsi="Franklin Gothic Book"/>
        </w:rPr>
        <w:t>MSAC deferred its advice to see whether a lower ICER could be achieved through adjusting inputs in the economic model (particularly hospital costs and health benefits gained - to be verified by jurisdictions) and for a significant price reduction to be offered by the company. MSAC advised that an ICER in the range of those for other treatments in later line RRMM recommended by PBAC would be more likely to be acceptable. Furthermore, MSAC requested the Department negotiate a pay-for-performance</w:t>
      </w:r>
      <w:r w:rsidR="00432920">
        <w:rPr>
          <w:rFonts w:ascii="Franklin Gothic Book" w:hAnsi="Franklin Gothic Book"/>
        </w:rPr>
        <w:t xml:space="preserve"> (</w:t>
      </w:r>
      <w:proofErr w:type="spellStart"/>
      <w:r w:rsidR="00432920">
        <w:rPr>
          <w:rFonts w:ascii="Franklin Gothic Book" w:hAnsi="Franklin Gothic Book"/>
        </w:rPr>
        <w:t>PfP</w:t>
      </w:r>
      <w:proofErr w:type="spellEnd"/>
      <w:r w:rsidR="00432920">
        <w:rPr>
          <w:rFonts w:ascii="Franklin Gothic Book" w:hAnsi="Franklin Gothic Book"/>
        </w:rPr>
        <w:t>)</w:t>
      </w:r>
      <w:r w:rsidR="00887012" w:rsidRPr="00887012">
        <w:rPr>
          <w:rFonts w:ascii="Franklin Gothic Book" w:hAnsi="Franklin Gothic Book"/>
        </w:rPr>
        <w:t xml:space="preserve"> arrangement to incentivise payment on the performance of the deeper level of clinical response achieved at </w:t>
      </w:r>
      <w:r w:rsidR="005F3D45">
        <w:rPr>
          <w:rFonts w:ascii="Franklin Gothic Book" w:hAnsi="Franklin Gothic Book"/>
        </w:rPr>
        <w:br/>
      </w:r>
      <w:r w:rsidR="00887012" w:rsidRPr="00887012">
        <w:rPr>
          <w:rFonts w:ascii="Franklin Gothic Book" w:hAnsi="Franklin Gothic Book"/>
        </w:rPr>
        <w:t>12-months after cilta-cel infusion.</w:t>
      </w:r>
    </w:p>
    <w:p w14:paraId="392A5F97" w14:textId="484E6033" w:rsidR="00D95E54" w:rsidRPr="00906282" w:rsidRDefault="00D95E54" w:rsidP="00D95E54">
      <w:pPr>
        <w:rPr>
          <w:rFonts w:ascii="Franklin Gothic Book" w:hAnsi="Franklin Gothic Book"/>
        </w:rPr>
      </w:pPr>
      <w:r w:rsidRPr="00906282">
        <w:rPr>
          <w:rFonts w:ascii="Franklin Gothic Book" w:hAnsi="Franklin Gothic Book"/>
        </w:rPr>
        <w:t xml:space="preserve">MSAC reviewed the funding proposal re-submitted by the </w:t>
      </w:r>
      <w:r w:rsidR="00187EE1" w:rsidRPr="00906282">
        <w:rPr>
          <w:rFonts w:ascii="Franklin Gothic Book" w:hAnsi="Franklin Gothic Book"/>
        </w:rPr>
        <w:t>applicant</w:t>
      </w:r>
      <w:r w:rsidRPr="00906282">
        <w:rPr>
          <w:rFonts w:ascii="Franklin Gothic Book" w:hAnsi="Franklin Gothic Book"/>
        </w:rPr>
        <w:t xml:space="preserve"> at its April 2024 meeting and considered that, despite being the third application, there had been no attempt from Janssen-</w:t>
      </w:r>
      <w:proofErr w:type="spellStart"/>
      <w:r w:rsidRPr="00906282">
        <w:rPr>
          <w:rFonts w:ascii="Franklin Gothic Book" w:hAnsi="Franklin Gothic Book"/>
        </w:rPr>
        <w:t>Cilag</w:t>
      </w:r>
      <w:proofErr w:type="spellEnd"/>
      <w:r w:rsidRPr="00906282">
        <w:rPr>
          <w:rFonts w:ascii="Franklin Gothic Book" w:hAnsi="Franklin Gothic Book"/>
        </w:rPr>
        <w:t xml:space="preserve"> to adequately address MSAC’s concerns following the November 2023 deferral of its </w:t>
      </w:r>
      <w:r w:rsidRPr="00906282">
        <w:rPr>
          <w:rFonts w:ascii="Franklin Gothic Book" w:hAnsi="Franklin Gothic Book"/>
        </w:rPr>
        <w:lastRenderedPageBreak/>
        <w:t>advice. MSAC also noted Janssen-</w:t>
      </w:r>
      <w:proofErr w:type="spellStart"/>
      <w:r w:rsidRPr="00906282">
        <w:rPr>
          <w:rFonts w:ascii="Franklin Gothic Book" w:hAnsi="Franklin Gothic Book"/>
        </w:rPr>
        <w:t>Cilag’s</w:t>
      </w:r>
      <w:proofErr w:type="spellEnd"/>
      <w:r w:rsidRPr="00906282">
        <w:rPr>
          <w:rFonts w:ascii="Franklin Gothic Book" w:hAnsi="Franklin Gothic Book"/>
        </w:rPr>
        <w:t xml:space="preserve"> claim that this was its final price offer </w:t>
      </w:r>
      <w:proofErr w:type="gramStart"/>
      <w:r w:rsidRPr="00906282">
        <w:rPr>
          <w:rFonts w:ascii="Franklin Gothic Book" w:hAnsi="Franklin Gothic Book"/>
        </w:rPr>
        <w:t>in order to</w:t>
      </w:r>
      <w:proofErr w:type="gramEnd"/>
      <w:r w:rsidRPr="00906282">
        <w:rPr>
          <w:rFonts w:ascii="Franklin Gothic Book" w:hAnsi="Franklin Gothic Book"/>
        </w:rPr>
        <w:t xml:space="preserve"> secure supply of cilta-cel for Australia.</w:t>
      </w:r>
    </w:p>
    <w:p w14:paraId="29A20111" w14:textId="17463875" w:rsidR="00D95E54" w:rsidRPr="00906282" w:rsidRDefault="00D95E54" w:rsidP="00D95E54">
      <w:pPr>
        <w:rPr>
          <w:rFonts w:ascii="Franklin Gothic Book" w:hAnsi="Franklin Gothic Book"/>
        </w:rPr>
      </w:pPr>
      <w:r w:rsidRPr="00906282">
        <w:rPr>
          <w:rFonts w:ascii="Franklin Gothic Book" w:hAnsi="Franklin Gothic Book"/>
        </w:rPr>
        <w:t>MSAC considered the proposal by Janssen-</w:t>
      </w:r>
      <w:proofErr w:type="spellStart"/>
      <w:r w:rsidRPr="00906282">
        <w:rPr>
          <w:rFonts w:ascii="Franklin Gothic Book" w:hAnsi="Franklin Gothic Book"/>
        </w:rPr>
        <w:t>Cilag</w:t>
      </w:r>
      <w:proofErr w:type="spellEnd"/>
      <w:r w:rsidRPr="00906282">
        <w:rPr>
          <w:rFonts w:ascii="Franklin Gothic Book" w:hAnsi="Franklin Gothic Book"/>
        </w:rPr>
        <w:t>, to limit the number of patients who could receive treatment with cilta-cel in a given funding year (</w:t>
      </w:r>
      <w:proofErr w:type="gramStart"/>
      <w:r w:rsidRPr="00906282">
        <w:rPr>
          <w:rFonts w:ascii="Franklin Gothic Book" w:hAnsi="Franklin Gothic Book"/>
        </w:rPr>
        <w:t>i.e.</w:t>
      </w:r>
      <w:proofErr w:type="gramEnd"/>
      <w:r w:rsidRPr="00906282">
        <w:rPr>
          <w:rFonts w:ascii="Franklin Gothic Book" w:hAnsi="Franklin Gothic Book"/>
        </w:rPr>
        <w:t xml:space="preserve"> a fixed cap) to compensate for the high-cost of the treatment and provide certainty around its financial estimates, was inequitable and unethical. MSAC noted that if implemented, the proposal would mean that a patient’s eligibility to receive cilta-cel would be influenced by the time of year they were deemed eligible for treatment, meaning that an eligible patient presenting at the beginning of the year had a higher likelihood of receiving the treatment than an eligible patient presenting at the end of the year. MSAC considered it was unacceptable in any circumstance for patients to be denied effective treatment based on when they became eligible, as a mechanism for Janssen-</w:t>
      </w:r>
      <w:proofErr w:type="spellStart"/>
      <w:r w:rsidRPr="00906282">
        <w:rPr>
          <w:rFonts w:ascii="Franklin Gothic Book" w:hAnsi="Franklin Gothic Book"/>
        </w:rPr>
        <w:t>Cilag</w:t>
      </w:r>
      <w:proofErr w:type="spellEnd"/>
      <w:r w:rsidRPr="00906282">
        <w:rPr>
          <w:rFonts w:ascii="Franklin Gothic Book" w:hAnsi="Franklin Gothic Book"/>
        </w:rPr>
        <w:t xml:space="preserve"> to provide certainty its financial estimates would not be exceeded. MSAC noted Janssen-</w:t>
      </w:r>
      <w:proofErr w:type="spellStart"/>
      <w:r w:rsidRPr="00906282">
        <w:rPr>
          <w:rFonts w:ascii="Franklin Gothic Book" w:hAnsi="Franklin Gothic Book"/>
        </w:rPr>
        <w:t>Cilag</w:t>
      </w:r>
      <w:proofErr w:type="spellEnd"/>
      <w:r w:rsidRPr="00906282">
        <w:rPr>
          <w:rFonts w:ascii="Franklin Gothic Book" w:hAnsi="Franklin Gothic Book"/>
        </w:rPr>
        <w:t xml:space="preserve"> presented the proposal as a Risk Sharing Arrangement (RSA) however MSAC rejected this characterisation, noting that RSAs are a long-established practice used to provide budget certainty for publicly funded treatments, but they require the treatment provider to bear the financial risk associated with the financial estimates being exceeded and, in no circumstances, the patient.</w:t>
      </w:r>
    </w:p>
    <w:p w14:paraId="470FC184" w14:textId="663375A7" w:rsidR="00D95E54" w:rsidRPr="001D5327" w:rsidRDefault="00D95E54" w:rsidP="00D95E54">
      <w:pPr>
        <w:rPr>
          <w:rFonts w:ascii="Franklin Gothic Book" w:hAnsi="Franklin Gothic Book"/>
        </w:rPr>
      </w:pPr>
      <w:r w:rsidRPr="00906282">
        <w:rPr>
          <w:rFonts w:ascii="Franklin Gothic Book" w:hAnsi="Franklin Gothic Book"/>
        </w:rPr>
        <w:t>MSAC considered the applicant’s unwillingness to negotiate on the unit price of cilta-cel since its initial application in July 2022 and failure to address the MSAC’s concerns was delaying access to publicly funded treatment for Australian patients.</w:t>
      </w:r>
      <w:r w:rsidRPr="001D5327">
        <w:rPr>
          <w:rFonts w:ascii="Franklin Gothic Book" w:hAnsi="Franklin Gothic Book"/>
        </w:rPr>
        <w:t xml:space="preserve"> Given the high and unmet clinical need for an effective treatment option to be available in the 5L+ RRMM setting, MSAC considered it was necessary to establish an alternative way forward to that proposed by the sponsor </w:t>
      </w:r>
      <w:proofErr w:type="gramStart"/>
      <w:r w:rsidRPr="001D5327">
        <w:rPr>
          <w:rFonts w:ascii="Franklin Gothic Book" w:hAnsi="Franklin Gothic Book"/>
        </w:rPr>
        <w:t>in order to</w:t>
      </w:r>
      <w:proofErr w:type="gramEnd"/>
      <w:r w:rsidRPr="001D5327">
        <w:rPr>
          <w:rFonts w:ascii="Franklin Gothic Book" w:hAnsi="Franklin Gothic Book"/>
        </w:rPr>
        <w:t xml:space="preserve"> enable the public funding of cilta-cel. Hence</w:t>
      </w:r>
      <w:r w:rsidRPr="00D95E54">
        <w:rPr>
          <w:rFonts w:ascii="Franklin Gothic Book" w:hAnsi="Franklin Gothic Book"/>
        </w:rPr>
        <w:t>,</w:t>
      </w:r>
      <w:r w:rsidRPr="001D5327">
        <w:rPr>
          <w:rFonts w:ascii="Franklin Gothic Book" w:hAnsi="Franklin Gothic Book"/>
        </w:rPr>
        <w:t xml:space="preserve"> MSAC supported the public funding of cilta-cel for patients with 5L+ RRMM at the requested </w:t>
      </w:r>
      <w:r w:rsidRPr="00906282">
        <w:rPr>
          <w:rFonts w:ascii="Franklin Gothic Book" w:hAnsi="Franklin Gothic Book"/>
        </w:rPr>
        <w:t>unit price of $</w:t>
      </w:r>
      <w:r w:rsidR="007E3177" w:rsidRPr="00CE2DDE">
        <w:rPr>
          <w:rFonts w:ascii="Franklin Gothic Book" w:hAnsi="Franklin Gothic Book"/>
          <w:color w:val="000000"/>
          <w:w w:val="66"/>
          <w:shd w:val="solid" w:color="000000" w:fill="000000"/>
          <w:fitText w:val="440" w:id="-959204608"/>
          <w14:textFill>
            <w14:solidFill>
              <w14:srgbClr w14:val="000000">
                <w14:alpha w14:val="100000"/>
              </w14:srgbClr>
            </w14:solidFill>
          </w14:textFill>
        </w:rPr>
        <w:t>|||||</w:t>
      </w:r>
      <w:r w:rsidR="007E3177" w:rsidRPr="00CE2DDE">
        <w:rPr>
          <w:rFonts w:ascii="Franklin Gothic Book" w:hAnsi="Franklin Gothic Book"/>
          <w:color w:val="000000"/>
          <w:spacing w:val="4"/>
          <w:w w:val="66"/>
          <w:shd w:val="solid" w:color="000000" w:fill="000000"/>
          <w:fitText w:val="440" w:id="-959204608"/>
          <w14:textFill>
            <w14:solidFill>
              <w14:srgbClr w14:val="000000">
                <w14:alpha w14:val="100000"/>
              </w14:srgbClr>
            </w14:solidFill>
          </w14:textFill>
        </w:rPr>
        <w:t>|</w:t>
      </w:r>
      <w:r w:rsidRPr="001D5327">
        <w:rPr>
          <w:rFonts w:ascii="Franklin Gothic Book" w:hAnsi="Franklin Gothic Book"/>
        </w:rPr>
        <w:t xml:space="preserve">, but only in conjunction with a </w:t>
      </w:r>
      <w:proofErr w:type="spellStart"/>
      <w:r w:rsidRPr="001D5327">
        <w:rPr>
          <w:rFonts w:ascii="Franklin Gothic Book" w:hAnsi="Franklin Gothic Book"/>
        </w:rPr>
        <w:t>PfP</w:t>
      </w:r>
      <w:proofErr w:type="spellEnd"/>
      <w:r w:rsidRPr="001D5327">
        <w:rPr>
          <w:rFonts w:ascii="Franklin Gothic Book" w:hAnsi="Franklin Gothic Book"/>
        </w:rPr>
        <w:t xml:space="preserve"> arrangement that appropriately managed the clinical, </w:t>
      </w:r>
      <w:proofErr w:type="gramStart"/>
      <w:r w:rsidRPr="001D5327">
        <w:rPr>
          <w:rFonts w:ascii="Franklin Gothic Book" w:hAnsi="Franklin Gothic Book"/>
        </w:rPr>
        <w:t>economic</w:t>
      </w:r>
      <w:proofErr w:type="gramEnd"/>
      <w:r w:rsidRPr="001D5327">
        <w:rPr>
          <w:rFonts w:ascii="Franklin Gothic Book" w:hAnsi="Franklin Gothic Book"/>
        </w:rPr>
        <w:t xml:space="preserve"> and financial uncertainty associated with the public funding of cilta-cel.</w:t>
      </w:r>
    </w:p>
    <w:p w14:paraId="427FC4B6" w14:textId="58C513CF" w:rsidR="00D95E54" w:rsidRPr="001D5327" w:rsidRDefault="00D95E54" w:rsidP="00D95E54">
      <w:pPr>
        <w:rPr>
          <w:rFonts w:ascii="Franklin Gothic Book" w:hAnsi="Franklin Gothic Book"/>
        </w:rPr>
      </w:pPr>
      <w:r w:rsidRPr="001D5327">
        <w:rPr>
          <w:rFonts w:ascii="Franklin Gothic Book" w:hAnsi="Franklin Gothic Book"/>
        </w:rPr>
        <w:t>In reviewing the clinical data, MSAC noted the CARTITUDE-1 phase 1b/2 single arm study, where the treated cohort continued to accrue disease progression events over a period 4 years</w:t>
      </w:r>
      <w:r w:rsidR="0028332E">
        <w:rPr>
          <w:rFonts w:ascii="Franklin Gothic Book" w:hAnsi="Franklin Gothic Book"/>
        </w:rPr>
        <w:br/>
      </w:r>
      <w:r w:rsidRPr="00933448">
        <w:rPr>
          <w:rFonts w:ascii="Franklin Gothic Book" w:hAnsi="Franklin Gothic Book"/>
          <w:kern w:val="2"/>
          <w14:ligatures w14:val="standardContextual"/>
        </w:rPr>
        <w:t>(</w:t>
      </w:r>
      <w:r w:rsidR="002901BD" w:rsidRPr="00D95E54">
        <w:rPr>
          <w:rFonts w:ascii="Franklin Gothic Book" w:hAnsi="Franklin Gothic Book"/>
          <w:kern w:val="2"/>
          <w14:ligatures w14:val="standardContextual"/>
        </w:rPr>
        <w:t>Figure</w:t>
      </w:r>
      <w:r w:rsidR="002901BD">
        <w:rPr>
          <w:rFonts w:ascii="Franklin Gothic Book" w:hAnsi="Franklin Gothic Book"/>
          <w:kern w:val="2"/>
          <w14:ligatures w14:val="standardContextual"/>
        </w:rPr>
        <w:t xml:space="preserve"> 1, Figure 2</w:t>
      </w:r>
      <w:r w:rsidRPr="00933448">
        <w:rPr>
          <w:rFonts w:ascii="Franklin Gothic Book" w:hAnsi="Franklin Gothic Book"/>
          <w:kern w:val="2"/>
          <w14:ligatures w14:val="standardContextual"/>
        </w:rPr>
        <w:t xml:space="preserve">) </w:t>
      </w:r>
      <w:bookmarkStart w:id="2" w:name="_Hlk170120808"/>
      <w:r w:rsidRPr="00906282">
        <w:rPr>
          <w:rFonts w:ascii="Franklin Gothic Book" w:hAnsi="Franklin Gothic Book"/>
        </w:rPr>
        <w:t xml:space="preserve">and therefore considered a </w:t>
      </w:r>
      <w:r w:rsidR="007E3177" w:rsidRPr="007E3177">
        <w:rPr>
          <w:rFonts w:ascii="Franklin Gothic Book" w:hAnsi="Franklin Gothic Book"/>
          <w:color w:val="000000"/>
          <w:w w:val="66"/>
          <w:shd w:val="solid" w:color="000000" w:fill="000000"/>
          <w:fitText w:val="440" w:id="-959204607"/>
          <w14:textFill>
            <w14:solidFill>
              <w14:srgbClr w14:val="000000">
                <w14:alpha w14:val="100000"/>
              </w14:srgbClr>
            </w14:solidFill>
          </w14:textFill>
        </w:rPr>
        <w:t>||||||</w:t>
      </w:r>
      <w:r w:rsidR="007E3177" w:rsidRPr="007E3177">
        <w:rPr>
          <w:rFonts w:ascii="Franklin Gothic Book" w:hAnsi="Franklin Gothic Book"/>
        </w:rPr>
        <w:t xml:space="preserve"> </w:t>
      </w:r>
      <w:r w:rsidR="007E3177" w:rsidRPr="007E3177">
        <w:rPr>
          <w:rFonts w:ascii="Franklin Gothic Book" w:hAnsi="Franklin Gothic Book"/>
          <w:color w:val="000000"/>
          <w:w w:val="66"/>
          <w:shd w:val="solid" w:color="000000" w:fill="000000"/>
          <w:fitText w:val="440" w:id="-959204606"/>
          <w14:textFill>
            <w14:solidFill>
              <w14:srgbClr w14:val="000000">
                <w14:alpha w14:val="100000"/>
              </w14:srgbClr>
            </w14:solidFill>
          </w14:textFill>
        </w:rPr>
        <w:t>||||||</w:t>
      </w:r>
      <w:r w:rsidR="007E3177" w:rsidRPr="007E3177">
        <w:rPr>
          <w:rFonts w:ascii="Franklin Gothic Book" w:hAnsi="Franklin Gothic Book"/>
        </w:rPr>
        <w:t xml:space="preserve"> </w:t>
      </w:r>
      <w:r w:rsidRPr="00906282">
        <w:rPr>
          <w:rFonts w:ascii="Franklin Gothic Book" w:hAnsi="Franklin Gothic Book"/>
        </w:rPr>
        <w:t xml:space="preserve">to estimate a durable response would not be appropriate. MSAC advised an extended </w:t>
      </w:r>
      <w:proofErr w:type="spellStart"/>
      <w:r w:rsidRPr="00906282">
        <w:rPr>
          <w:rFonts w:ascii="Franklin Gothic Book" w:hAnsi="Franklin Gothic Book"/>
        </w:rPr>
        <w:t>PfP</w:t>
      </w:r>
      <w:proofErr w:type="spellEnd"/>
      <w:r w:rsidRPr="00906282">
        <w:rPr>
          <w:rFonts w:ascii="Franklin Gothic Book" w:hAnsi="Franklin Gothic Book"/>
        </w:rPr>
        <w:t xml:space="preserve"> arrangement reflecting that patients continued to relapse over a period of 4 years</w:t>
      </w:r>
      <w:r w:rsidRPr="001D5327">
        <w:rPr>
          <w:rFonts w:ascii="Franklin Gothic Book" w:hAnsi="Franklin Gothic Book"/>
        </w:rPr>
        <w:t xml:space="preserve"> </w:t>
      </w:r>
      <w:bookmarkEnd w:id="2"/>
      <w:r w:rsidRPr="001D5327">
        <w:rPr>
          <w:rFonts w:ascii="Franklin Gothic Book" w:hAnsi="Franklin Gothic Book"/>
        </w:rPr>
        <w:t>was required to appropriately balance the high ICER and very high price of cilta-cel against the uncertainty related to the magnitude of benefit and durability of response cilta-cel claims to provide to patients.</w:t>
      </w:r>
    </w:p>
    <w:p w14:paraId="39984D96" w14:textId="14A6B733" w:rsidR="00D95E54" w:rsidRDefault="00D95E54" w:rsidP="00D95E54">
      <w:pPr>
        <w:rPr>
          <w:rFonts w:ascii="Franklin Gothic Book" w:hAnsi="Franklin Gothic Book"/>
        </w:rPr>
      </w:pPr>
      <w:r w:rsidRPr="001D5327" w:rsidDel="00571846">
        <w:rPr>
          <w:rFonts w:ascii="Franklin Gothic Book" w:hAnsi="Franklin Gothic Book"/>
        </w:rPr>
        <w:t xml:space="preserve">MSAC advised that an </w:t>
      </w:r>
      <w:r w:rsidRPr="00906282" w:rsidDel="00571846">
        <w:rPr>
          <w:rFonts w:ascii="Franklin Gothic Book" w:hAnsi="Franklin Gothic Book"/>
        </w:rPr>
        <w:t>acceptable RSA</w:t>
      </w:r>
      <w:r w:rsidRPr="00906282">
        <w:rPr>
          <w:rFonts w:ascii="Franklin Gothic Book" w:hAnsi="Franklin Gothic Book"/>
        </w:rPr>
        <w:t xml:space="preserve"> should also be implemented,</w:t>
      </w:r>
      <w:r w:rsidRPr="00906282" w:rsidDel="00571846">
        <w:rPr>
          <w:rFonts w:ascii="Franklin Gothic Book" w:hAnsi="Franklin Gothic Book"/>
        </w:rPr>
        <w:t xml:space="preserve"> where the risk of exceeding the financial estimates </w:t>
      </w:r>
      <w:r w:rsidR="00FB3244" w:rsidRPr="00906282">
        <w:rPr>
          <w:rFonts w:ascii="Franklin Gothic Book" w:hAnsi="Franklin Gothic Book"/>
        </w:rPr>
        <w:t>i</w:t>
      </w:r>
      <w:r w:rsidR="00FB3244" w:rsidRPr="00906282" w:rsidDel="00571846">
        <w:rPr>
          <w:rFonts w:ascii="Franklin Gothic Book" w:hAnsi="Franklin Gothic Book"/>
        </w:rPr>
        <w:t xml:space="preserve">s </w:t>
      </w:r>
      <w:r w:rsidRPr="00906282" w:rsidDel="00571846">
        <w:rPr>
          <w:rFonts w:ascii="Franklin Gothic Book" w:hAnsi="Franklin Gothic Book"/>
        </w:rPr>
        <w:t xml:space="preserve">borne by the applicant and did not limit the number of </w:t>
      </w:r>
      <w:r w:rsidRPr="00906282">
        <w:rPr>
          <w:rFonts w:ascii="Franklin Gothic Book" w:hAnsi="Franklin Gothic Book"/>
        </w:rPr>
        <w:t xml:space="preserve">eligible </w:t>
      </w:r>
      <w:r w:rsidRPr="00906282" w:rsidDel="00571846">
        <w:rPr>
          <w:rFonts w:ascii="Franklin Gothic Book" w:hAnsi="Franklin Gothic Book"/>
        </w:rPr>
        <w:t>patients who could receive treatment in any funding year.</w:t>
      </w:r>
    </w:p>
    <w:tbl>
      <w:tblPr>
        <w:tblStyle w:val="TableGrid"/>
        <w:tblW w:w="0" w:type="auto"/>
        <w:tblLook w:val="04A0" w:firstRow="1" w:lastRow="0" w:firstColumn="1" w:lastColumn="0" w:noHBand="0" w:noVBand="1"/>
        <w:tblDescription w:val="Consumer summary of MSAC consideration"/>
      </w:tblPr>
      <w:tblGrid>
        <w:gridCol w:w="9016"/>
      </w:tblGrid>
      <w:tr w:rsidR="00D95E54" w:rsidRPr="00AF46D8" w14:paraId="4E45508C" w14:textId="77777777">
        <w:trPr>
          <w:tblHeader/>
        </w:trPr>
        <w:tc>
          <w:tcPr>
            <w:tcW w:w="9016" w:type="dxa"/>
          </w:tcPr>
          <w:p w14:paraId="22E53595" w14:textId="447ACD70" w:rsidR="00D95E54" w:rsidRPr="00D95E54" w:rsidRDefault="00D95E54">
            <w:pPr>
              <w:pStyle w:val="Heading3"/>
              <w:numPr>
                <w:ilvl w:val="0"/>
                <w:numId w:val="0"/>
              </w:numPr>
              <w:spacing w:before="120"/>
              <w:rPr>
                <w:iCs/>
              </w:rPr>
            </w:pPr>
            <w:r w:rsidRPr="00D95E54">
              <w:t>Consumer summary</w:t>
            </w:r>
          </w:p>
        </w:tc>
      </w:tr>
      <w:tr w:rsidR="00D95E54" w:rsidRPr="00AF46D8" w14:paraId="27AA50F8" w14:textId="77777777">
        <w:tc>
          <w:tcPr>
            <w:tcW w:w="9016" w:type="dxa"/>
          </w:tcPr>
          <w:p w14:paraId="542FE645" w14:textId="7C1AEE5F" w:rsidR="00D95E54" w:rsidRPr="00D95E54" w:rsidRDefault="00D95E54" w:rsidP="00B7604F">
            <w:pPr>
              <w:pStyle w:val="Default"/>
              <w:spacing w:before="120" w:after="240"/>
              <w:rPr>
                <w:rFonts w:ascii="Franklin Gothic Book" w:hAnsi="Franklin Gothic Book"/>
                <w:iCs/>
                <w:color w:val="auto"/>
                <w:sz w:val="22"/>
                <w:szCs w:val="22"/>
              </w:rPr>
            </w:pPr>
            <w:r w:rsidRPr="00D95E54">
              <w:rPr>
                <w:rFonts w:ascii="Franklin Gothic Book" w:hAnsi="Franklin Gothic Book"/>
                <w:iCs/>
                <w:color w:val="auto"/>
                <w:sz w:val="22"/>
                <w:szCs w:val="22"/>
              </w:rPr>
              <w:t>This was a funding proposal from Janssen-</w:t>
            </w:r>
            <w:proofErr w:type="spellStart"/>
            <w:r w:rsidRPr="00D95E54">
              <w:rPr>
                <w:rFonts w:ascii="Franklin Gothic Book" w:hAnsi="Franklin Gothic Book"/>
                <w:iCs/>
                <w:color w:val="auto"/>
                <w:sz w:val="22"/>
                <w:szCs w:val="22"/>
              </w:rPr>
              <w:t>Cilag</w:t>
            </w:r>
            <w:proofErr w:type="spellEnd"/>
            <w:r w:rsidRPr="00D95E54">
              <w:rPr>
                <w:rFonts w:ascii="Franklin Gothic Book" w:hAnsi="Franklin Gothic Book"/>
                <w:iCs/>
                <w:color w:val="auto"/>
                <w:sz w:val="22"/>
                <w:szCs w:val="22"/>
              </w:rPr>
              <w:t xml:space="preserve"> Pty Ltd</w:t>
            </w:r>
            <w:r w:rsidR="00034C65">
              <w:rPr>
                <w:rFonts w:ascii="Franklin Gothic Book" w:hAnsi="Franklin Gothic Book"/>
                <w:iCs/>
                <w:color w:val="auto"/>
                <w:sz w:val="22"/>
                <w:szCs w:val="22"/>
              </w:rPr>
              <w:t xml:space="preserve"> (the company)</w:t>
            </w:r>
            <w:r w:rsidRPr="00D95E54">
              <w:rPr>
                <w:rFonts w:ascii="Franklin Gothic Book" w:hAnsi="Franklin Gothic Book"/>
                <w:iCs/>
                <w:color w:val="auto"/>
                <w:sz w:val="22"/>
                <w:szCs w:val="22"/>
              </w:rPr>
              <w:t xml:space="preserve"> to support the public funding of ciltacabtagene autoleucel (cilta-cel) to treat adults with myeloma that has not responded to previous treatment (refractory) or </w:t>
            </w:r>
            <w:r w:rsidRPr="00D95E54">
              <w:rPr>
                <w:rFonts w:ascii="Franklin Gothic Book" w:hAnsi="Franklin Gothic Book"/>
                <w:color w:val="auto"/>
                <w:sz w:val="22"/>
                <w:szCs w:val="22"/>
              </w:rPr>
              <w:t xml:space="preserve">has </w:t>
            </w:r>
            <w:r w:rsidRPr="00D95E54" w:rsidDel="001B12DF">
              <w:rPr>
                <w:rFonts w:ascii="Franklin Gothic Book" w:hAnsi="Franklin Gothic Book"/>
                <w:iCs/>
                <w:color w:val="auto"/>
                <w:sz w:val="22"/>
                <w:szCs w:val="22"/>
              </w:rPr>
              <w:t xml:space="preserve">come </w:t>
            </w:r>
            <w:r w:rsidRPr="00D95E54">
              <w:rPr>
                <w:rFonts w:ascii="Franklin Gothic Book" w:hAnsi="Franklin Gothic Book"/>
                <w:iCs/>
                <w:color w:val="auto"/>
                <w:sz w:val="22"/>
                <w:szCs w:val="22"/>
              </w:rPr>
              <w:t xml:space="preserve">back after treatment (relapsed). This funding proposal is to use cilta-cel as a fifth-line treatment, which means after four other treatments have already been tried and have not resulted in remission (disappearance of evidence of cancer). This is the third time that MSAC </w:t>
            </w:r>
            <w:r w:rsidRPr="00D95E54" w:rsidDel="00565100">
              <w:rPr>
                <w:rFonts w:ascii="Franklin Gothic Book" w:hAnsi="Franklin Gothic Book"/>
                <w:iCs/>
                <w:color w:val="auto"/>
                <w:sz w:val="22"/>
                <w:szCs w:val="22"/>
              </w:rPr>
              <w:t xml:space="preserve">has </w:t>
            </w:r>
            <w:r w:rsidRPr="00D95E54">
              <w:rPr>
                <w:rFonts w:ascii="Franklin Gothic Book" w:hAnsi="Franklin Gothic Book"/>
                <w:iCs/>
                <w:color w:val="auto"/>
                <w:sz w:val="22"/>
                <w:szCs w:val="22"/>
              </w:rPr>
              <w:t>considered this application. In July</w:t>
            </w:r>
            <w:r w:rsidR="00B7604F">
              <w:rPr>
                <w:rFonts w:ascii="Franklin Gothic Book" w:hAnsi="Franklin Gothic Book"/>
                <w:iCs/>
                <w:color w:val="auto"/>
                <w:sz w:val="22"/>
                <w:szCs w:val="22"/>
              </w:rPr>
              <w:t> </w:t>
            </w:r>
            <w:r w:rsidRPr="00D95E54">
              <w:rPr>
                <w:rFonts w:ascii="Franklin Gothic Book" w:hAnsi="Franklin Gothic Book"/>
                <w:iCs/>
                <w:color w:val="auto"/>
                <w:sz w:val="22"/>
                <w:szCs w:val="22"/>
              </w:rPr>
              <w:t xml:space="preserve">2022, MSAC did not support funding of cilta-cel for this condition and in November 2023 it deferred providing its advice on the public funding of cilta-cel. </w:t>
            </w:r>
          </w:p>
          <w:p w14:paraId="4CA1D5FC" w14:textId="77777777" w:rsidR="00D95E54" w:rsidRPr="00D95E54" w:rsidRDefault="00D95E54">
            <w:pPr>
              <w:pStyle w:val="Default"/>
              <w:spacing w:after="240"/>
              <w:rPr>
                <w:rFonts w:ascii="Franklin Gothic Book" w:hAnsi="Franklin Gothic Book"/>
                <w:iCs/>
                <w:color w:val="auto"/>
                <w:sz w:val="22"/>
                <w:szCs w:val="22"/>
              </w:rPr>
            </w:pPr>
            <w:r w:rsidRPr="00D95E54">
              <w:rPr>
                <w:rFonts w:ascii="Franklin Gothic Book" w:hAnsi="Franklin Gothic Book"/>
                <w:iCs/>
                <w:color w:val="auto"/>
                <w:sz w:val="22"/>
                <w:szCs w:val="22"/>
              </w:rPr>
              <w:t xml:space="preserve">At its November 2023 meeting, MSAC considered that the treatment was effective and safe enough for people as a </w:t>
            </w:r>
            <w:proofErr w:type="gramStart"/>
            <w:r w:rsidRPr="00D95E54">
              <w:rPr>
                <w:rFonts w:ascii="Franklin Gothic Book" w:hAnsi="Franklin Gothic Book"/>
                <w:iCs/>
                <w:color w:val="auto"/>
                <w:sz w:val="22"/>
                <w:szCs w:val="22"/>
              </w:rPr>
              <w:t>fifth-line</w:t>
            </w:r>
            <w:proofErr w:type="gramEnd"/>
            <w:r w:rsidRPr="00D95E54">
              <w:rPr>
                <w:rFonts w:ascii="Franklin Gothic Book" w:hAnsi="Franklin Gothic Book"/>
                <w:iCs/>
                <w:color w:val="auto"/>
                <w:sz w:val="22"/>
                <w:szCs w:val="22"/>
              </w:rPr>
              <w:t xml:space="preserve"> therapy, but considered the actual cost of cilta-cel to be too high. This affected </w:t>
            </w:r>
            <w:r w:rsidRPr="00D95E54">
              <w:rPr>
                <w:rFonts w:ascii="Franklin Gothic Book" w:hAnsi="Franklin Gothic Book"/>
                <w:color w:val="auto"/>
                <w:sz w:val="22"/>
                <w:szCs w:val="22"/>
              </w:rPr>
              <w:t xml:space="preserve">MSAC’s view about the </w:t>
            </w:r>
            <w:r w:rsidRPr="00D95E54">
              <w:rPr>
                <w:rFonts w:ascii="Franklin Gothic Book" w:hAnsi="Franklin Gothic Book"/>
                <w:iCs/>
                <w:color w:val="auto"/>
                <w:sz w:val="22"/>
                <w:szCs w:val="22"/>
              </w:rPr>
              <w:t>value for money</w:t>
            </w:r>
            <w:r w:rsidRPr="00D95E54">
              <w:rPr>
                <w:rFonts w:ascii="Franklin Gothic Book" w:hAnsi="Franklin Gothic Book"/>
                <w:color w:val="auto"/>
                <w:sz w:val="22"/>
                <w:szCs w:val="22"/>
              </w:rPr>
              <w:t xml:space="preserve"> offered by cilta-cel, as the cost of cilta-cel was much higher than alternative myeloma treatments when measured against the </w:t>
            </w:r>
            <w:r w:rsidRPr="00D95E54">
              <w:rPr>
                <w:rFonts w:ascii="Franklin Gothic Book" w:hAnsi="Franklin Gothic Book"/>
                <w:color w:val="auto"/>
                <w:sz w:val="22"/>
                <w:szCs w:val="22"/>
              </w:rPr>
              <w:lastRenderedPageBreak/>
              <w:t>health benefits it provided and much higher than other funded CAR-T cell therapies.</w:t>
            </w:r>
            <w:r w:rsidRPr="00D95E54">
              <w:rPr>
                <w:rFonts w:ascii="Franklin Gothic Book" w:hAnsi="Franklin Gothic Book"/>
                <w:iCs/>
                <w:color w:val="auto"/>
                <w:sz w:val="22"/>
                <w:szCs w:val="22"/>
              </w:rPr>
              <w:t xml:space="preserve"> Therefore, MSAC determined that additional work should be done on the price and how payments </w:t>
            </w:r>
            <w:r w:rsidRPr="00D95E54">
              <w:rPr>
                <w:rFonts w:ascii="Franklin Gothic Book" w:hAnsi="Franklin Gothic Book"/>
                <w:color w:val="auto"/>
                <w:sz w:val="22"/>
                <w:szCs w:val="22"/>
              </w:rPr>
              <w:t>to the company would</w:t>
            </w:r>
            <w:r w:rsidRPr="00D95E54">
              <w:rPr>
                <w:rFonts w:ascii="Franklin Gothic Book" w:hAnsi="Franklin Gothic Book"/>
                <w:iCs/>
                <w:color w:val="auto"/>
                <w:sz w:val="22"/>
                <w:szCs w:val="22"/>
              </w:rPr>
              <w:t xml:space="preserve"> be </w:t>
            </w:r>
            <w:r w:rsidRPr="00D95E54">
              <w:rPr>
                <w:rFonts w:ascii="Franklin Gothic Book" w:hAnsi="Franklin Gothic Book"/>
                <w:color w:val="auto"/>
                <w:sz w:val="22"/>
                <w:szCs w:val="22"/>
              </w:rPr>
              <w:t>made for supplying cilta-cel.</w:t>
            </w:r>
          </w:p>
          <w:p w14:paraId="3BD508E4" w14:textId="74BE4868" w:rsidR="00BA2720" w:rsidRPr="00906282" w:rsidRDefault="00BA2720">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 xml:space="preserve">MSAC noted the applicant put forward a revised pay for performance arrangement. </w:t>
            </w:r>
            <w:r w:rsidR="00BD6146" w:rsidRPr="00906282">
              <w:rPr>
                <w:rFonts w:ascii="Franklin Gothic Book" w:hAnsi="Franklin Gothic Book"/>
                <w:iCs/>
                <w:color w:val="auto"/>
                <w:sz w:val="22"/>
                <w:szCs w:val="22"/>
              </w:rPr>
              <w:t>MSAC also noted</w:t>
            </w:r>
            <w:r w:rsidR="003D54D7" w:rsidRPr="00906282">
              <w:rPr>
                <w:rFonts w:ascii="Franklin Gothic Book" w:hAnsi="Franklin Gothic Book"/>
                <w:iCs/>
                <w:color w:val="auto"/>
                <w:sz w:val="22"/>
                <w:szCs w:val="22"/>
              </w:rPr>
              <w:t xml:space="preserve"> that</w:t>
            </w:r>
            <w:r w:rsidR="00930B82" w:rsidRPr="00906282">
              <w:rPr>
                <w:rFonts w:ascii="Franklin Gothic Book" w:hAnsi="Franklin Gothic Book"/>
                <w:iCs/>
                <w:color w:val="auto"/>
                <w:sz w:val="22"/>
                <w:szCs w:val="22"/>
              </w:rPr>
              <w:t xml:space="preserve"> </w:t>
            </w:r>
            <w:r w:rsidRPr="00906282">
              <w:rPr>
                <w:rFonts w:ascii="Franklin Gothic Book" w:hAnsi="Franklin Gothic Book"/>
                <w:iCs/>
                <w:color w:val="auto"/>
                <w:sz w:val="22"/>
                <w:szCs w:val="22"/>
              </w:rPr>
              <w:t>the Department of Health and Aged Care</w:t>
            </w:r>
            <w:r w:rsidR="00244046" w:rsidRPr="00906282">
              <w:rPr>
                <w:rFonts w:ascii="Franklin Gothic Book" w:hAnsi="Franklin Gothic Book"/>
                <w:iCs/>
                <w:color w:val="auto"/>
                <w:sz w:val="22"/>
                <w:szCs w:val="22"/>
              </w:rPr>
              <w:t xml:space="preserve"> requested the applicant provide </w:t>
            </w:r>
            <w:r w:rsidR="00E53608" w:rsidRPr="00906282">
              <w:rPr>
                <w:rFonts w:ascii="Franklin Gothic Book" w:hAnsi="Franklin Gothic Book"/>
                <w:iCs/>
                <w:color w:val="auto"/>
                <w:sz w:val="22"/>
                <w:szCs w:val="22"/>
              </w:rPr>
              <w:t>an arra</w:t>
            </w:r>
            <w:r w:rsidR="00635B57" w:rsidRPr="00906282">
              <w:rPr>
                <w:rFonts w:ascii="Franklin Gothic Book" w:hAnsi="Franklin Gothic Book"/>
                <w:iCs/>
                <w:color w:val="auto"/>
                <w:sz w:val="22"/>
                <w:szCs w:val="22"/>
              </w:rPr>
              <w:t>ngement</w:t>
            </w:r>
            <w:r w:rsidR="000156B1" w:rsidRPr="00906282">
              <w:rPr>
                <w:rFonts w:ascii="Franklin Gothic Book" w:hAnsi="Franklin Gothic Book"/>
                <w:iCs/>
                <w:color w:val="auto"/>
                <w:sz w:val="22"/>
                <w:szCs w:val="22"/>
              </w:rPr>
              <w:t xml:space="preserve"> (called risk</w:t>
            </w:r>
            <w:r w:rsidR="00DD1F37" w:rsidRPr="00906282">
              <w:rPr>
                <w:rFonts w:ascii="Franklin Gothic Book" w:hAnsi="Franklin Gothic Book"/>
                <w:iCs/>
                <w:color w:val="auto"/>
                <w:sz w:val="22"/>
                <w:szCs w:val="22"/>
              </w:rPr>
              <w:t xml:space="preserve"> sharing arrangements)</w:t>
            </w:r>
            <w:r w:rsidRPr="00906282">
              <w:rPr>
                <w:rFonts w:ascii="Franklin Gothic Book" w:hAnsi="Franklin Gothic Book"/>
                <w:iCs/>
                <w:color w:val="auto"/>
                <w:sz w:val="22"/>
                <w:szCs w:val="22"/>
              </w:rPr>
              <w:t xml:space="preserve"> </w:t>
            </w:r>
            <w:r w:rsidR="00370C07" w:rsidRPr="00906282">
              <w:rPr>
                <w:rFonts w:ascii="Franklin Gothic Book" w:hAnsi="Franklin Gothic Book"/>
                <w:iCs/>
                <w:color w:val="auto"/>
                <w:sz w:val="22"/>
                <w:szCs w:val="22"/>
              </w:rPr>
              <w:t>that sought to address MSAC’s concerns from the November 2023 meeting</w:t>
            </w:r>
            <w:r w:rsidRPr="00906282">
              <w:rPr>
                <w:rFonts w:ascii="Franklin Gothic Book" w:hAnsi="Franklin Gothic Book"/>
                <w:iCs/>
                <w:color w:val="auto"/>
                <w:sz w:val="22"/>
                <w:szCs w:val="22"/>
              </w:rPr>
              <w:t>.</w:t>
            </w:r>
          </w:p>
          <w:p w14:paraId="779AF41E" w14:textId="767EACF6" w:rsidR="00D95E54" w:rsidRPr="00906282" w:rsidRDefault="00D95E54">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 xml:space="preserve">MSAC noted the company did not address any of its concerns from its November 2023 meeting and did not offer a lower price, stating this was its final price offer. MSAC noted that despite this being the third time it had considered this application, the company </w:t>
            </w:r>
            <w:r w:rsidR="002A2D7F" w:rsidRPr="00906282">
              <w:rPr>
                <w:rFonts w:ascii="Franklin Gothic Book" w:hAnsi="Franklin Gothic Book"/>
                <w:iCs/>
                <w:color w:val="auto"/>
                <w:sz w:val="22"/>
                <w:szCs w:val="22"/>
              </w:rPr>
              <w:t xml:space="preserve">had been unwilling to </w:t>
            </w:r>
            <w:r w:rsidRPr="00906282">
              <w:rPr>
                <w:rFonts w:ascii="Franklin Gothic Book" w:hAnsi="Franklin Gothic Book"/>
                <w:iCs/>
                <w:color w:val="auto"/>
                <w:sz w:val="22"/>
                <w:szCs w:val="22"/>
              </w:rPr>
              <w:t>negotiate on the price of cilta-cel since the first time the application was considered by MSAC in July 2022.</w:t>
            </w:r>
          </w:p>
          <w:p w14:paraId="0E941F5C" w14:textId="5C8D7AB1" w:rsidR="00D95E54" w:rsidRPr="00906282" w:rsidRDefault="00D95E54">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MSAC was concerned by the arrangement put forward by the company that proposed a fixed number of patients would receive treatment with cilta-cel per year and once that number was reached, no more patients could receive treatment until the following year. The company considered this was an appropriate, alternative way of limiting the total amount of money the Commonwealth and state and territory governments would pay to fund cilta-cel each year.</w:t>
            </w:r>
          </w:p>
          <w:p w14:paraId="6383B4A8" w14:textId="602C7F13" w:rsidR="00D95E54" w:rsidRPr="00D95E54" w:rsidRDefault="00D95E54">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MSAC considered any proposal to deny an eligible patient access to treatment was unacceptable. MSAC noted arrangements that offer governments financial certainty in relation to the total amount of money they will pay for a treatment over a set period are common practice in the public funding of therapies. However, MSAC noted these arrangements are constructed in a way that both governments and companies share the risk of more money being spent on the treatment than initially estimated (for example, the price of the treatment reducing if more patients are treated per year than expected), and do not impact patients’ access to treatment.</w:t>
            </w:r>
          </w:p>
          <w:p w14:paraId="4EB67FA0" w14:textId="77777777" w:rsidR="00D95E54" w:rsidRPr="00D95E54" w:rsidRDefault="00D95E54">
            <w:pPr>
              <w:pStyle w:val="Heading3"/>
              <w:numPr>
                <w:ilvl w:val="0"/>
                <w:numId w:val="0"/>
              </w:numPr>
            </w:pPr>
            <w:r w:rsidRPr="00D95E54">
              <w:t xml:space="preserve">MSAC’s advice to the </w:t>
            </w:r>
            <w:proofErr w:type="gramStart"/>
            <w:r w:rsidRPr="00D95E54">
              <w:t>Commonwealth Minister</w:t>
            </w:r>
            <w:proofErr w:type="gramEnd"/>
            <w:r w:rsidRPr="00D95E54">
              <w:t xml:space="preserve"> for Health and Aged Care</w:t>
            </w:r>
          </w:p>
          <w:p w14:paraId="4A4AFADC" w14:textId="77777777" w:rsidR="00D95E54" w:rsidRPr="00D95E54" w:rsidRDefault="00D95E54">
            <w:pPr>
              <w:pStyle w:val="Default"/>
              <w:spacing w:after="240"/>
              <w:rPr>
                <w:rFonts w:ascii="Franklin Gothic Book" w:hAnsi="Franklin Gothic Book"/>
                <w:b/>
                <w:bCs/>
                <w:i/>
                <w:color w:val="auto"/>
                <w:sz w:val="22"/>
                <w:szCs w:val="22"/>
              </w:rPr>
            </w:pPr>
            <w:r w:rsidRPr="00D95E54">
              <w:rPr>
                <w:rFonts w:ascii="Franklin Gothic Book" w:hAnsi="Franklin Gothic Book"/>
                <w:b/>
                <w:bCs/>
                <w:i/>
                <w:color w:val="auto"/>
                <w:sz w:val="22"/>
                <w:szCs w:val="22"/>
              </w:rPr>
              <w:t>MSAC proposes an alternative funding model to allow Australian patients to access cilta-</w:t>
            </w:r>
            <w:proofErr w:type="gramStart"/>
            <w:r w:rsidRPr="00D95E54">
              <w:rPr>
                <w:rFonts w:ascii="Franklin Gothic Book" w:hAnsi="Franklin Gothic Book"/>
                <w:b/>
                <w:bCs/>
                <w:i/>
                <w:color w:val="auto"/>
                <w:sz w:val="22"/>
                <w:szCs w:val="22"/>
              </w:rPr>
              <w:t>cel</w:t>
            </w:r>
            <w:proofErr w:type="gramEnd"/>
          </w:p>
          <w:p w14:paraId="3986ACAE" w14:textId="26B65FBE" w:rsidR="00D95E54" w:rsidRPr="00906282" w:rsidRDefault="00D95E54">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 xml:space="preserve">MSAC considered the company was delaying access to treatment for patients by </w:t>
            </w:r>
            <w:r w:rsidR="002A2D7F" w:rsidRPr="00906282">
              <w:rPr>
                <w:rFonts w:ascii="Franklin Gothic Book" w:hAnsi="Franklin Gothic Book"/>
                <w:iCs/>
                <w:color w:val="auto"/>
                <w:sz w:val="22"/>
                <w:szCs w:val="22"/>
              </w:rPr>
              <w:t>being unwilling</w:t>
            </w:r>
            <w:r w:rsidRPr="00906282">
              <w:rPr>
                <w:rFonts w:ascii="Franklin Gothic Book" w:hAnsi="Franklin Gothic Book"/>
                <w:iCs/>
                <w:color w:val="auto"/>
                <w:sz w:val="22"/>
                <w:szCs w:val="22"/>
              </w:rPr>
              <w:t xml:space="preserve"> to negotiate on its price and not putting forward any meaningful proposals for funding over the course of 3 applications. MSAC considered it was necessary for it to establish an alternative way forward to enable the public funding of cilta-cel. </w:t>
            </w:r>
            <w:bookmarkStart w:id="3" w:name="_Hlk166524079"/>
            <w:r w:rsidRPr="00906282">
              <w:rPr>
                <w:rFonts w:ascii="Franklin Gothic Book" w:hAnsi="Franklin Gothic Book"/>
                <w:iCs/>
                <w:color w:val="auto"/>
                <w:sz w:val="22"/>
                <w:szCs w:val="22"/>
              </w:rPr>
              <w:t xml:space="preserve">Therefore, MSAC supported the public funding of cilta-cel at the price requested by the company, however MSAC considered that </w:t>
            </w:r>
            <w:bookmarkStart w:id="4" w:name="_Hlk170121418"/>
            <w:r w:rsidRPr="00906282">
              <w:rPr>
                <w:rFonts w:ascii="Franklin Gothic Book" w:hAnsi="Franklin Gothic Book"/>
                <w:iCs/>
                <w:color w:val="auto"/>
                <w:sz w:val="22"/>
                <w:szCs w:val="22"/>
              </w:rPr>
              <w:t xml:space="preserve">payment should be made to the company in instalments over a 4-year period, where there was evidence that the patient remained with no signs of myeloma progressing. </w:t>
            </w:r>
            <w:r w:rsidR="000A4F31" w:rsidRPr="00906282">
              <w:rPr>
                <w:rFonts w:ascii="Franklin Gothic Book" w:hAnsi="Franklin Gothic Book"/>
                <w:iCs/>
                <w:color w:val="auto"/>
                <w:sz w:val="22"/>
                <w:szCs w:val="22"/>
              </w:rPr>
              <w:t>MSAC considered this arrangement was appropriate based on the evidence available through the clinical trial conducted for cilta-cel, which showed that in some patients their myeloma returned following treatment with cilta-cel within 4 years after receiving treatment</w:t>
            </w:r>
            <w:bookmarkEnd w:id="4"/>
            <w:r w:rsidRPr="00906282">
              <w:rPr>
                <w:rFonts w:ascii="Franklin Gothic Book" w:hAnsi="Franklin Gothic Book"/>
                <w:iCs/>
                <w:color w:val="auto"/>
                <w:sz w:val="22"/>
                <w:szCs w:val="22"/>
              </w:rPr>
              <w:t xml:space="preserve">. </w:t>
            </w:r>
            <w:bookmarkEnd w:id="3"/>
            <w:r w:rsidRPr="00906282">
              <w:rPr>
                <w:rFonts w:ascii="Franklin Gothic Book" w:hAnsi="Franklin Gothic Book"/>
                <w:iCs/>
                <w:color w:val="auto"/>
                <w:sz w:val="22"/>
                <w:szCs w:val="22"/>
              </w:rPr>
              <w:t xml:space="preserve">MSAC considered it was only appropriate to pay the high price requested by the company for those people who remained well after receiving cilta-cel and pay less for cilta-cel in cases where the myeloma returned, and the treatment proved to be less effective. </w:t>
            </w:r>
          </w:p>
          <w:p w14:paraId="7E9B521E" w14:textId="10D3D59E" w:rsidR="00D95E54" w:rsidRPr="00D95E54" w:rsidRDefault="00D95E54" w:rsidP="00B7604F">
            <w:pPr>
              <w:pStyle w:val="Default"/>
              <w:spacing w:after="120"/>
            </w:pPr>
            <w:r w:rsidRPr="00906282">
              <w:rPr>
                <w:rFonts w:ascii="Franklin Gothic Book" w:hAnsi="Franklin Gothic Book"/>
                <w:iCs/>
                <w:color w:val="auto"/>
                <w:sz w:val="22"/>
                <w:szCs w:val="22"/>
              </w:rPr>
              <w:t xml:space="preserve">MSAC welcomed the company’s statement that it was open to discussions about its proposal to limit the number of patients that could receive treatment with cilta-cel </w:t>
            </w:r>
            <w:proofErr w:type="gramStart"/>
            <w:r w:rsidRPr="00906282">
              <w:rPr>
                <w:rFonts w:ascii="Franklin Gothic Book" w:hAnsi="Franklin Gothic Book"/>
                <w:iCs/>
                <w:color w:val="auto"/>
                <w:sz w:val="22"/>
                <w:szCs w:val="22"/>
              </w:rPr>
              <w:t>in a given year</w:t>
            </w:r>
            <w:proofErr w:type="gramEnd"/>
            <w:r w:rsidRPr="00906282">
              <w:rPr>
                <w:rFonts w:ascii="Franklin Gothic Book" w:hAnsi="Franklin Gothic Book"/>
                <w:iCs/>
                <w:color w:val="auto"/>
                <w:sz w:val="22"/>
                <w:szCs w:val="22"/>
              </w:rPr>
              <w:t xml:space="preserve"> </w:t>
            </w:r>
            <w:r w:rsidR="1597675C" w:rsidRPr="00906282">
              <w:rPr>
                <w:rFonts w:ascii="Franklin Gothic Book" w:hAnsi="Franklin Gothic Book"/>
                <w:color w:val="auto"/>
                <w:sz w:val="22"/>
                <w:szCs w:val="22"/>
              </w:rPr>
              <w:t>if</w:t>
            </w:r>
            <w:r w:rsidRPr="00906282">
              <w:rPr>
                <w:rFonts w:ascii="Franklin Gothic Book" w:hAnsi="Franklin Gothic Book"/>
                <w:iCs/>
                <w:color w:val="auto"/>
                <w:sz w:val="22"/>
                <w:szCs w:val="22"/>
              </w:rPr>
              <w:t xml:space="preserve"> MSAC supported the funding of cilta-cel. MSAC</w:t>
            </w:r>
            <w:r w:rsidRPr="00D95E54">
              <w:rPr>
                <w:rFonts w:ascii="Franklin Gothic Book" w:hAnsi="Franklin Gothic Book"/>
                <w:iCs/>
                <w:color w:val="auto"/>
                <w:sz w:val="22"/>
                <w:szCs w:val="22"/>
              </w:rPr>
              <w:t xml:space="preserve"> accepted the company’s estimates of the number of patients likely to be treated per year and considered that instead of limiting the number of patients that could receive treatment with cilta-cel per year, if more patients than </w:t>
            </w:r>
            <w:r w:rsidRPr="00D95E54">
              <w:rPr>
                <w:rFonts w:ascii="Franklin Gothic Book" w:hAnsi="Franklin Gothic Book"/>
                <w:iCs/>
                <w:color w:val="auto"/>
                <w:sz w:val="22"/>
                <w:szCs w:val="22"/>
              </w:rPr>
              <w:lastRenderedPageBreak/>
              <w:t xml:space="preserve">estimated were treated, the company should continue to supply cilta-cel for eligible patients at a reduced cost. MSAC considered </w:t>
            </w:r>
            <w:bookmarkStart w:id="5" w:name="_Hlk170121599"/>
            <w:r w:rsidRPr="00906282">
              <w:rPr>
                <w:rFonts w:ascii="Franklin Gothic Book" w:hAnsi="Franklin Gothic Book"/>
                <w:iCs/>
                <w:color w:val="auto"/>
                <w:sz w:val="22"/>
                <w:szCs w:val="22"/>
              </w:rPr>
              <w:t xml:space="preserve">if the company was not able to provide supply of cilta-cel for Australian patients until </w:t>
            </w:r>
            <w:r w:rsidR="007E3177" w:rsidRPr="00307272">
              <w:rPr>
                <w:rFonts w:ascii="Franklin Gothic Book" w:hAnsi="Franklin Gothic Book"/>
                <w:iCs/>
                <w:w w:val="66"/>
                <w:sz w:val="22"/>
                <w:szCs w:val="22"/>
                <w:shd w:val="solid" w:color="000000" w:fill="000000"/>
                <w:fitText w:val="440" w:id="-959204605"/>
                <w14:textFill>
                  <w14:solidFill>
                    <w14:srgbClr w14:val="000000">
                      <w14:alpha w14:val="100000"/>
                    </w14:srgbClr>
                  </w14:solidFill>
                </w14:textFill>
              </w:rPr>
              <w:t>|||||</w:t>
            </w:r>
            <w:r w:rsidR="007E3177" w:rsidRPr="00307272">
              <w:rPr>
                <w:rFonts w:ascii="Franklin Gothic Book" w:hAnsi="Franklin Gothic Book"/>
                <w:iCs/>
                <w:spacing w:val="4"/>
                <w:w w:val="66"/>
                <w:sz w:val="22"/>
                <w:szCs w:val="22"/>
                <w:shd w:val="solid" w:color="000000" w:fill="000000"/>
                <w:fitText w:val="440" w:id="-959204605"/>
                <w14:textFill>
                  <w14:solidFill>
                    <w14:srgbClr w14:val="000000">
                      <w14:alpha w14:val="100000"/>
                    </w14:srgbClr>
                  </w14:solidFill>
                </w14:textFill>
              </w:rPr>
              <w:t>|</w:t>
            </w:r>
            <w:r w:rsidRPr="00906282">
              <w:rPr>
                <w:rFonts w:ascii="Franklin Gothic Book" w:hAnsi="Franklin Gothic Book"/>
                <w:iCs/>
                <w:color w:val="auto"/>
                <w:sz w:val="22"/>
                <w:szCs w:val="22"/>
              </w:rPr>
              <w:t xml:space="preserve"> as it had indicated to the Department of Health and Aged Care, then there was adequate time</w:t>
            </w:r>
            <w:r w:rsidRPr="00D95E54">
              <w:rPr>
                <w:rFonts w:ascii="Franklin Gothic Book" w:hAnsi="Franklin Gothic Book"/>
                <w:iCs/>
                <w:color w:val="auto"/>
                <w:sz w:val="22"/>
                <w:szCs w:val="22"/>
              </w:rPr>
              <w:t xml:space="preserve"> </w:t>
            </w:r>
            <w:bookmarkEnd w:id="5"/>
            <w:r w:rsidRPr="00D95E54">
              <w:rPr>
                <w:rFonts w:ascii="Franklin Gothic Book" w:hAnsi="Franklin Gothic Book"/>
                <w:iCs/>
                <w:color w:val="auto"/>
                <w:sz w:val="22"/>
                <w:szCs w:val="22"/>
              </w:rPr>
              <w:t>for the company to reach agreement on the alternative funding model recommended by MSAC and to ensure the right measures were in place to monitor how well the treatment worked over time.</w:t>
            </w:r>
            <w:r w:rsidRPr="00D95E54">
              <w:t xml:space="preserve"> </w:t>
            </w:r>
          </w:p>
        </w:tc>
      </w:tr>
    </w:tbl>
    <w:p w14:paraId="3070C904" w14:textId="77777777" w:rsidR="00D95E54" w:rsidRPr="00D72F76" w:rsidRDefault="00D95E54" w:rsidP="00D72F76">
      <w:pPr>
        <w:pStyle w:val="Heading2"/>
        <w:numPr>
          <w:ilvl w:val="0"/>
          <w:numId w:val="15"/>
        </w:numPr>
        <w:ind w:left="737" w:hanging="737"/>
      </w:pPr>
      <w:r w:rsidRPr="00D72F76">
        <w:lastRenderedPageBreak/>
        <w:t>Summary of consideration and rationale for MSAC’s advice</w:t>
      </w:r>
    </w:p>
    <w:p w14:paraId="31F42770" w14:textId="77777777"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MSAC noted that this funding proposal from Janssen-</w:t>
      </w:r>
      <w:proofErr w:type="spellStart"/>
      <w:r w:rsidRPr="00933448">
        <w:rPr>
          <w:rFonts w:ascii="Franklin Gothic Book" w:hAnsi="Franklin Gothic Book"/>
          <w:kern w:val="2"/>
          <w14:ligatures w14:val="standardContextual"/>
        </w:rPr>
        <w:t>Cilag</w:t>
      </w:r>
      <w:proofErr w:type="spellEnd"/>
      <w:r w:rsidRPr="00933448">
        <w:rPr>
          <w:rFonts w:ascii="Franklin Gothic Book" w:hAnsi="Franklin Gothic Book"/>
          <w:kern w:val="2"/>
          <w14:ligatures w14:val="standardContextual"/>
        </w:rPr>
        <w:t xml:space="preserve"> Pty Ltd, was for using ciltacabtagene autoleucel (cilta-cel) to treat adult patients with RRMM who have received at least four prior lines of therapy (i.e., fifth line or later treatment), including a proteasome inhibitor (PI), an immunomodulatory agent (</w:t>
      </w:r>
      <w:proofErr w:type="spellStart"/>
      <w:r w:rsidRPr="00933448">
        <w:rPr>
          <w:rFonts w:ascii="Franklin Gothic Book" w:hAnsi="Franklin Gothic Book"/>
          <w:kern w:val="2"/>
          <w14:ligatures w14:val="standardContextual"/>
        </w:rPr>
        <w:t>IMiD</w:t>
      </w:r>
      <w:proofErr w:type="spellEnd"/>
      <w:r w:rsidRPr="00933448">
        <w:rPr>
          <w:rFonts w:ascii="Franklin Gothic Book" w:hAnsi="Franklin Gothic Book"/>
          <w:kern w:val="2"/>
          <w14:ligatures w14:val="standardContextual"/>
        </w:rPr>
        <w:t>) and an anti-CD38 antibody (5L+ RRMM). The applicant was seeking public funding for cilta-cel in patients with 5L+ RRMM as a Highly Specialised Therapy (HST) through the National Health Reform Agreement (NHRA), jointly funded by the Commonwealth and state and territory governments.</w:t>
      </w:r>
    </w:p>
    <w:p w14:paraId="7E99B758" w14:textId="035EEF79"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recalled it had considered an application for public funding of cilta-cel for the treatment of RRMM on two previous occasions, at its July 2022 and November 2023 meetings. MSAC noted that at its November 2023 meeting it considered the ICER was both unacceptably high and underestimated. In addition, MSAC noted the cost of cilta-cel was higher compared to other </w:t>
      </w:r>
      <w:r w:rsidR="00B7604F">
        <w:rPr>
          <w:rFonts w:ascii="Franklin Gothic Book" w:hAnsi="Franklin Gothic Book"/>
          <w:kern w:val="2"/>
          <w14:ligatures w14:val="standardContextual"/>
        </w:rPr>
        <w:br/>
      </w:r>
      <w:r w:rsidRPr="00933448">
        <w:rPr>
          <w:rFonts w:ascii="Franklin Gothic Book" w:hAnsi="Franklin Gothic Book"/>
          <w:kern w:val="2"/>
          <w14:ligatures w14:val="standardContextual"/>
        </w:rPr>
        <w:t>CAR</w:t>
      </w:r>
      <w:r w:rsidRPr="00D95E54">
        <w:rPr>
          <w:rFonts w:ascii="Franklin Gothic Book" w:hAnsi="Franklin Gothic Book"/>
          <w:kern w:val="2"/>
          <w14:ligatures w14:val="standardContextual"/>
        </w:rPr>
        <w:t>-</w:t>
      </w:r>
      <w:r w:rsidRPr="00933448">
        <w:rPr>
          <w:rFonts w:ascii="Franklin Gothic Book" w:hAnsi="Franklin Gothic Book"/>
          <w:kern w:val="2"/>
          <w14:ligatures w14:val="standardContextual"/>
        </w:rPr>
        <w:t>T</w:t>
      </w:r>
      <w:r w:rsidRPr="00D95E54">
        <w:rPr>
          <w:rFonts w:ascii="Franklin Gothic Book" w:hAnsi="Franklin Gothic Book"/>
          <w:kern w:val="2"/>
          <w14:ligatures w14:val="standardContextual"/>
        </w:rPr>
        <w:t xml:space="preserve"> cell</w:t>
      </w:r>
      <w:r w:rsidRPr="00933448">
        <w:rPr>
          <w:rFonts w:ascii="Franklin Gothic Book" w:hAnsi="Franklin Gothic Book"/>
          <w:kern w:val="2"/>
          <w14:ligatures w14:val="standardContextual"/>
        </w:rPr>
        <w:t xml:space="preserve"> therapies previously supported by MSAC. MSAC recalled it deferred its advice on that occasion to see whether a lower ICER could be achieved through adjusting inputs in the economic model (particularly hospital costs and health benefits gained - to be verified by jurisdictions) and for a significant price reduction to be offered by the company. MSAC advised that an ICER in the range of those for other treatments in later line RRMM recommended by </w:t>
      </w:r>
      <w:r w:rsidRPr="00D95E54">
        <w:rPr>
          <w:rFonts w:ascii="Franklin Gothic Book" w:hAnsi="Franklin Gothic Book"/>
          <w:kern w:val="2"/>
          <w14:ligatures w14:val="standardContextual"/>
        </w:rPr>
        <w:t xml:space="preserve">the </w:t>
      </w:r>
      <w:r w:rsidRPr="00933448">
        <w:rPr>
          <w:rFonts w:ascii="Franklin Gothic Book" w:hAnsi="Franklin Gothic Book"/>
          <w:kern w:val="2"/>
          <w14:ligatures w14:val="standardContextual"/>
        </w:rPr>
        <w:t>PBAC was more likely to be acceptable. Furthermore, MSAC requested the Department negotiate a pay-for-performance</w:t>
      </w:r>
      <w:r w:rsidR="001B1671">
        <w:rPr>
          <w:rFonts w:ascii="Franklin Gothic Book" w:hAnsi="Franklin Gothic Book"/>
          <w:kern w:val="2"/>
          <w14:ligatures w14:val="standardContextual"/>
        </w:rPr>
        <w:t xml:space="preserve"> (</w:t>
      </w:r>
      <w:proofErr w:type="spellStart"/>
      <w:r w:rsidR="000C3FED">
        <w:rPr>
          <w:rFonts w:ascii="Franklin Gothic Book" w:hAnsi="Franklin Gothic Book"/>
          <w:kern w:val="2"/>
          <w14:ligatures w14:val="standardContextual"/>
        </w:rPr>
        <w:t>PfP</w:t>
      </w:r>
      <w:proofErr w:type="spellEnd"/>
      <w:r w:rsidR="000C3FED">
        <w:rPr>
          <w:rFonts w:ascii="Franklin Gothic Book" w:hAnsi="Franklin Gothic Book"/>
          <w:kern w:val="2"/>
          <w14:ligatures w14:val="standardContextual"/>
        </w:rPr>
        <w:t>)</w:t>
      </w:r>
      <w:r w:rsidRPr="00933448">
        <w:rPr>
          <w:rFonts w:ascii="Franklin Gothic Book" w:hAnsi="Franklin Gothic Book"/>
          <w:kern w:val="2"/>
          <w14:ligatures w14:val="standardContextual"/>
        </w:rPr>
        <w:t xml:space="preserve"> arrangement to incentivise payment on the performance of a deeper level of clinical response.</w:t>
      </w:r>
    </w:p>
    <w:p w14:paraId="6A1BABFE" w14:textId="53B4E36B"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MSAC noted that cilta-cel is a high-cost therapy, with a high ICER and high annual financial expenditure, that is supported by evidence generated from a single phase 1b/2 single arm study, CARTITUDE-1. MSAC noted that it has supported the public funding of other CAR-T cell therapies based on single-arm studies however these were for lower prevalence conditions. In Australia, myeloma has an incidence of approximately 2,600 people and a prevalence of approximately 20,000 people, with those having received at least 4 prior lines of therapy representing a subset of this population. MSAC again noted the price of cilta-cel was substantially higher compared to all other CAR-T cell therapies considered by MSAC and much higher than any therapy currently listed on the Pharmaceutical Benefits Scheme (PBS) for the treatment of multiple myeloma.</w:t>
      </w:r>
    </w:p>
    <w:p w14:paraId="42A22762" w14:textId="4D4EF0BC" w:rsidR="00D95E54" w:rsidRPr="00933448" w:rsidRDefault="00D95E54" w:rsidP="00D95E54">
      <w:pPr>
        <w:spacing w:after="160" w:line="259" w:lineRule="auto"/>
        <w:rPr>
          <w:rFonts w:ascii="Franklin Gothic Book" w:hAnsi="Franklin Gothic Book"/>
          <w:kern w:val="2"/>
          <w14:ligatures w14:val="standardContextual"/>
        </w:rPr>
      </w:pPr>
      <w:r w:rsidRPr="00906282">
        <w:rPr>
          <w:rFonts w:ascii="Franklin Gothic Book" w:hAnsi="Franklin Gothic Book"/>
          <w:kern w:val="2"/>
          <w14:ligatures w14:val="standardContextual"/>
        </w:rPr>
        <w:t xml:space="preserve">MSAC noted that the applicant did not address any of MSAC’s matters of concern from its November 2023 consideration. On the contrary, it introduced an additional new concern (a fixed cap characterised as </w:t>
      </w:r>
      <w:proofErr w:type="gramStart"/>
      <w:r w:rsidRPr="00906282">
        <w:rPr>
          <w:rFonts w:ascii="Franklin Gothic Book" w:hAnsi="Franklin Gothic Book"/>
          <w:kern w:val="2"/>
          <w14:ligatures w14:val="standardContextual"/>
        </w:rPr>
        <w:t>a</w:t>
      </w:r>
      <w:proofErr w:type="gramEnd"/>
      <w:r w:rsidR="00085930" w:rsidRPr="00906282">
        <w:rPr>
          <w:rFonts w:ascii="Franklin Gothic Book" w:hAnsi="Franklin Gothic Book"/>
          <w:kern w:val="2"/>
          <w14:ligatures w14:val="standardContextual"/>
        </w:rPr>
        <w:t xml:space="preserve"> </w:t>
      </w:r>
      <w:r w:rsidRPr="00906282">
        <w:rPr>
          <w:rFonts w:ascii="Franklin Gothic Book" w:hAnsi="Franklin Gothic Book"/>
          <w:kern w:val="2"/>
          <w14:ligatures w14:val="standardContextual"/>
        </w:rPr>
        <w:t>RSA).</w:t>
      </w:r>
      <w:r w:rsidRPr="00933448">
        <w:rPr>
          <w:rFonts w:ascii="Franklin Gothic Book" w:hAnsi="Franklin Gothic Book"/>
          <w:kern w:val="2"/>
          <w14:ligatures w14:val="standardContextual"/>
        </w:rPr>
        <w:t xml:space="preserve"> MSAC noted the applicant did not address its request to lower the ICER via adjustments to modelled hospital costs, health benefits gained and/or by offering a significant price reduction. MSAC noted the applicant’s assertion that “traditional ICER thresholds” should not be applied to cilta-cel because it was not a conventional medicine and that its price should not be compared to other CAR-T cell therapies given incremental benefits vary across therapies and the complexity associated in the supply and manufacturing process of cilta-cel. MSAC considered these reasons did not adequately justify the magnitude of difference between the cost of the currently funded CAR-T cell therapies and the price being requested by </w:t>
      </w:r>
      <w:r w:rsidRPr="00933448">
        <w:rPr>
          <w:rFonts w:ascii="Franklin Gothic Book" w:hAnsi="Franklin Gothic Book"/>
          <w:kern w:val="2"/>
          <w14:ligatures w14:val="standardContextual"/>
        </w:rPr>
        <w:lastRenderedPageBreak/>
        <w:t>Janssen-</w:t>
      </w:r>
      <w:proofErr w:type="spellStart"/>
      <w:r w:rsidRPr="00933448">
        <w:rPr>
          <w:rFonts w:ascii="Franklin Gothic Book" w:hAnsi="Franklin Gothic Book"/>
          <w:kern w:val="2"/>
          <w14:ligatures w14:val="standardContextual"/>
        </w:rPr>
        <w:t>Cilag</w:t>
      </w:r>
      <w:proofErr w:type="spellEnd"/>
      <w:r w:rsidRPr="00933448">
        <w:rPr>
          <w:rFonts w:ascii="Franklin Gothic Book" w:hAnsi="Franklin Gothic Book"/>
          <w:kern w:val="2"/>
          <w14:ligatures w14:val="standardContextual"/>
        </w:rPr>
        <w:t xml:space="preserve"> for cilta-cel, with no evidence provided to substantiate these claims. MSAC also noted the very high cost of cilta-cel relative to other PBS listed medicines for multiple myeloma, and that in its considerations, MSAC (and PBAC) is primarily informed by the strength and quality of evidence in relation to the comparative health gain offered by the therapy and not by the complexity or cost associated with manufacturing.</w:t>
      </w:r>
    </w:p>
    <w:p w14:paraId="61CDBAF5" w14:textId="799CE962"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confirmed the patient eligibility criteria outlined in the November 2023 application remained </w:t>
      </w:r>
      <w:r w:rsidRPr="00822131">
        <w:rPr>
          <w:rFonts w:ascii="Franklin Gothic Book" w:hAnsi="Franklin Gothic Book"/>
          <w:kern w:val="2"/>
          <w14:ligatures w14:val="standardContextual"/>
        </w:rPr>
        <w:t>appropriate for determining access to treatment (</w:t>
      </w:r>
      <w:r w:rsidR="000364DE" w:rsidRPr="00822131">
        <w:rPr>
          <w:rFonts w:ascii="Franklin Gothic Book" w:hAnsi="Franklin Gothic Book"/>
          <w:kern w:val="2"/>
          <w14:ligatures w14:val="standardContextual"/>
        </w:rPr>
        <w:t xml:space="preserve">November 2023 1690.1 PSD, </w:t>
      </w:r>
      <w:r w:rsidRPr="00822131">
        <w:rPr>
          <w:rFonts w:ascii="Franklin Gothic Book" w:hAnsi="Franklin Gothic Book"/>
          <w:kern w:val="2"/>
          <w14:ligatures w14:val="standardContextual"/>
        </w:rPr>
        <w:t>Table</w:t>
      </w:r>
      <w:r w:rsidR="00B7604F" w:rsidRPr="00822131">
        <w:rPr>
          <w:rFonts w:ascii="Franklin Gothic Book" w:hAnsi="Franklin Gothic Book"/>
          <w:kern w:val="2"/>
          <w14:ligatures w14:val="standardContextual"/>
        </w:rPr>
        <w:t> </w:t>
      </w:r>
      <w:r w:rsidR="00364934" w:rsidRPr="00822131">
        <w:rPr>
          <w:rFonts w:ascii="Franklin Gothic Book" w:hAnsi="Franklin Gothic Book"/>
          <w:kern w:val="2"/>
          <w14:ligatures w14:val="standardContextual"/>
        </w:rPr>
        <w:t>3, p.10</w:t>
      </w:r>
      <w:r w:rsidR="00C2791F" w:rsidRPr="00822131">
        <w:rPr>
          <w:rStyle w:val="FootnoteReference"/>
          <w:rFonts w:ascii="Franklin Gothic Book" w:hAnsi="Franklin Gothic Book"/>
          <w:kern w:val="2"/>
          <w14:ligatures w14:val="standardContextual"/>
        </w:rPr>
        <w:footnoteReference w:id="2"/>
      </w:r>
      <w:r w:rsidRPr="00822131">
        <w:rPr>
          <w:rFonts w:ascii="Franklin Gothic Book" w:hAnsi="Franklin Gothic Book"/>
          <w:kern w:val="2"/>
          <w14:ligatures w14:val="standardContextual"/>
        </w:rPr>
        <w:t xml:space="preserve">). MSAC noted that cilta-cel was currently supplied only in a limited number of countries, the United States, Germany, and Austria. </w:t>
      </w:r>
      <w:bookmarkStart w:id="6" w:name="_Hlk170121795"/>
      <w:r w:rsidRPr="00822131">
        <w:rPr>
          <w:rFonts w:ascii="Franklin Gothic Book" w:hAnsi="Franklin Gothic Book"/>
          <w:kern w:val="2"/>
          <w14:ligatures w14:val="standardContextual"/>
        </w:rPr>
        <w:t>MSAC noted that other international HTA bodies, such as the Canadian Agency for Drugs and Technologies in Health (CADTH) had supported the public funding of cilta-cel contingent on a 70%-80% price reduction, however publicly funded access to the therapy remains unavailable</w:t>
      </w:r>
      <w:bookmarkEnd w:id="6"/>
      <w:r w:rsidRPr="00822131">
        <w:rPr>
          <w:rFonts w:ascii="Franklin Gothic Book" w:hAnsi="Franklin Gothic Book"/>
          <w:kern w:val="2"/>
          <w14:ligatures w14:val="standardContextual"/>
        </w:rPr>
        <w:t>.</w:t>
      </w:r>
    </w:p>
    <w:p w14:paraId="2C8A3979" w14:textId="0ADD4DCB" w:rsidR="00D95E54" w:rsidRPr="00933448" w:rsidRDefault="00D95E54" w:rsidP="00D95E54">
      <w:pPr>
        <w:spacing w:after="160" w:line="259" w:lineRule="auto"/>
        <w:rPr>
          <w:rFonts w:ascii="Franklin Gothic Book" w:hAnsi="Franklin Gothic Book"/>
          <w:kern w:val="2"/>
          <w14:ligatures w14:val="standardContextual"/>
        </w:rPr>
      </w:pPr>
      <w:bookmarkStart w:id="7" w:name="_Hlk170121876"/>
      <w:r w:rsidRPr="00822131">
        <w:rPr>
          <w:rFonts w:ascii="Franklin Gothic Book" w:hAnsi="Franklin Gothic Book"/>
          <w:kern w:val="2"/>
          <w14:ligatures w14:val="standardContextual"/>
        </w:rPr>
        <w:t xml:space="preserve">MSAC noted that despite the applicant emphasising that it is operating within a </w:t>
      </w:r>
      <w:r w:rsidR="007E3177" w:rsidRPr="007E3177">
        <w:rPr>
          <w:rFonts w:ascii="Franklin Gothic Book" w:hAnsi="Franklin Gothic Book"/>
          <w:color w:val="000000"/>
          <w:w w:val="66"/>
          <w:shd w:val="solid" w:color="000000" w:fill="000000"/>
          <w:fitText w:val="440" w:id="-959204604"/>
          <w14:textFill>
            <w14:solidFill>
              <w14:srgbClr w14:val="000000">
                <w14:alpha w14:val="100000"/>
              </w14:srgbClr>
            </w14:solidFill>
          </w14:textFill>
          <w14:ligatures w14:val="standardContextual"/>
        </w:rPr>
        <w:t>|||||</w:t>
      </w:r>
      <w:r w:rsidR="007E3177" w:rsidRPr="007E3177">
        <w:rPr>
          <w:rFonts w:ascii="Franklin Gothic Book" w:hAnsi="Franklin Gothic Book"/>
          <w:color w:val="000000"/>
          <w:spacing w:val="4"/>
          <w:w w:val="66"/>
          <w:shd w:val="solid" w:color="000000" w:fill="000000"/>
          <w:fitText w:val="440" w:id="-959204604"/>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7E3177">
        <w:rPr>
          <w:rFonts w:ascii="Franklin Gothic Book" w:hAnsi="Franklin Gothic Book"/>
          <w:color w:val="000000"/>
          <w:w w:val="66"/>
          <w:shd w:val="solid" w:color="000000" w:fill="000000"/>
          <w:fitText w:val="440" w:id="-959204603"/>
          <w14:textFill>
            <w14:solidFill>
              <w14:srgbClr w14:val="000000">
                <w14:alpha w14:val="100000"/>
              </w14:srgbClr>
            </w14:solidFill>
          </w14:textFill>
          <w14:ligatures w14:val="standardContextual"/>
        </w:rPr>
        <w:t>|||||</w:t>
      </w:r>
      <w:r w:rsidR="007E3177" w:rsidRPr="007E3177">
        <w:rPr>
          <w:rFonts w:ascii="Franklin Gothic Book" w:hAnsi="Franklin Gothic Book"/>
          <w:color w:val="000000"/>
          <w:spacing w:val="4"/>
          <w:w w:val="66"/>
          <w:shd w:val="solid" w:color="000000" w:fill="000000"/>
          <w:fitText w:val="440" w:id="-959204603"/>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7E3177">
        <w:rPr>
          <w:rFonts w:ascii="Franklin Gothic Book" w:hAnsi="Franklin Gothic Book"/>
          <w:color w:val="000000"/>
          <w:w w:val="66"/>
          <w:shd w:val="solid" w:color="000000" w:fill="000000"/>
          <w:fitText w:val="440" w:id="-959204602"/>
          <w14:textFill>
            <w14:solidFill>
              <w14:srgbClr w14:val="000000">
                <w14:alpha w14:val="100000"/>
              </w14:srgbClr>
            </w14:solidFill>
          </w14:textFill>
          <w14:ligatures w14:val="standardContextual"/>
        </w:rPr>
        <w:t>|||||</w:t>
      </w:r>
      <w:r w:rsidR="007E3177" w:rsidRPr="007E3177">
        <w:rPr>
          <w:rFonts w:ascii="Franklin Gothic Book" w:hAnsi="Franklin Gothic Book"/>
          <w:color w:val="000000"/>
          <w:spacing w:val="4"/>
          <w:w w:val="66"/>
          <w:shd w:val="solid" w:color="000000" w:fill="000000"/>
          <w:fitText w:val="440" w:id="-959204602"/>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Pr="00822131">
        <w:rPr>
          <w:rFonts w:ascii="Franklin Gothic Book" w:hAnsi="Franklin Gothic Book"/>
          <w:kern w:val="2"/>
          <w14:ligatures w14:val="standardContextual"/>
        </w:rPr>
        <w:t>no assurance was provided by Janssen-</w:t>
      </w:r>
      <w:proofErr w:type="spellStart"/>
      <w:r w:rsidRPr="00822131">
        <w:rPr>
          <w:rFonts w:ascii="Franklin Gothic Book" w:hAnsi="Franklin Gothic Book"/>
          <w:kern w:val="2"/>
          <w14:ligatures w14:val="standardContextual"/>
        </w:rPr>
        <w:t>Cilag</w:t>
      </w:r>
      <w:proofErr w:type="spellEnd"/>
      <w:r w:rsidRPr="00822131">
        <w:rPr>
          <w:rFonts w:ascii="Franklin Gothic Book" w:hAnsi="Franklin Gothic Book"/>
          <w:kern w:val="2"/>
          <w14:ligatures w14:val="standardContextual"/>
        </w:rPr>
        <w:t xml:space="preserve"> that if the MSAC supported public funding of cilta-cel, Janssen-</w:t>
      </w:r>
      <w:proofErr w:type="spellStart"/>
      <w:r w:rsidRPr="00822131">
        <w:rPr>
          <w:rFonts w:ascii="Franklin Gothic Book" w:hAnsi="Franklin Gothic Book"/>
          <w:kern w:val="2"/>
          <w14:ligatures w14:val="standardContextual"/>
        </w:rPr>
        <w:t>Cilag</w:t>
      </w:r>
      <w:proofErr w:type="spellEnd"/>
      <w:r w:rsidRPr="00822131">
        <w:rPr>
          <w:rFonts w:ascii="Franklin Gothic Book" w:hAnsi="Franklin Gothic Book"/>
          <w:kern w:val="2"/>
          <w14:ligatures w14:val="standardContextual"/>
        </w:rPr>
        <w:t xml:space="preserve"> would guarantee supply of treatment to all eligible Australian patients in a timely manner. MSAC noted advice from the Department of Health and Aged Care that the applicant indicated supply for Australia would be available from </w:t>
      </w:r>
      <w:r w:rsidR="007E3177" w:rsidRPr="007E3177">
        <w:rPr>
          <w:rFonts w:ascii="Franklin Gothic Book" w:hAnsi="Franklin Gothic Book"/>
          <w:color w:val="000000"/>
          <w:w w:val="66"/>
          <w:shd w:val="solid" w:color="000000" w:fill="000000"/>
          <w:fitText w:val="440" w:id="-959204601"/>
          <w14:textFill>
            <w14:solidFill>
              <w14:srgbClr w14:val="000000">
                <w14:alpha w14:val="100000"/>
              </w14:srgbClr>
            </w14:solidFill>
          </w14:textFill>
          <w14:ligatures w14:val="standardContextual"/>
        </w:rPr>
        <w:t>|||||</w:t>
      </w:r>
      <w:r w:rsidR="007E3177" w:rsidRPr="007E3177">
        <w:rPr>
          <w:rFonts w:ascii="Franklin Gothic Book" w:hAnsi="Franklin Gothic Book"/>
          <w:color w:val="000000"/>
          <w:spacing w:val="4"/>
          <w:w w:val="66"/>
          <w:shd w:val="solid" w:color="000000" w:fill="000000"/>
          <w:fitText w:val="440" w:id="-959204601"/>
          <w14:textFill>
            <w14:solidFill>
              <w14:srgbClr w14:val="000000">
                <w14:alpha w14:val="100000"/>
              </w14:srgbClr>
            </w14:solidFill>
          </w14:textFill>
          <w14:ligatures w14:val="standardContextual"/>
        </w:rPr>
        <w:t>|</w:t>
      </w:r>
      <w:r w:rsidRPr="00822131">
        <w:rPr>
          <w:rFonts w:ascii="Franklin Gothic Book" w:hAnsi="Franklin Gothic Book"/>
          <w:kern w:val="2"/>
          <w14:ligatures w14:val="standardContextual"/>
        </w:rPr>
        <w:t xml:space="preserve"> onwards, at the earliest. MSAC considered that penalties should exist in the </w:t>
      </w:r>
      <w:r w:rsidR="00633473" w:rsidRPr="00822131">
        <w:rPr>
          <w:rFonts w:ascii="Franklin Gothic Book" w:hAnsi="Franklin Gothic Book"/>
          <w:kern w:val="2"/>
          <w14:ligatures w14:val="standardContextual"/>
        </w:rPr>
        <w:t xml:space="preserve">Deed of Agreement </w:t>
      </w:r>
      <w:r w:rsidRPr="00822131">
        <w:rPr>
          <w:rFonts w:ascii="Franklin Gothic Book" w:hAnsi="Franklin Gothic Book"/>
          <w:kern w:val="2"/>
          <w14:ligatures w14:val="standardContextual"/>
        </w:rPr>
        <w:t>if the company failed to provide supply of cilta-cel to eligible patients in a timely manner.</w:t>
      </w:r>
    </w:p>
    <w:bookmarkEnd w:id="7"/>
    <w:p w14:paraId="4DCBA315" w14:textId="362569D4" w:rsidR="00D95E54" w:rsidRPr="00D95E54"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noted this was the third time it had considered a request for the public funding of cilta-cel and for </w:t>
      </w:r>
      <w:r w:rsidRPr="00822131">
        <w:rPr>
          <w:rFonts w:ascii="Franklin Gothic Book" w:hAnsi="Franklin Gothic Book"/>
          <w:kern w:val="2"/>
          <w14:ligatures w14:val="standardContextual"/>
        </w:rPr>
        <w:t xml:space="preserve">the third consecutive time since an initial application for public funding was considered in July 2022, the applicant remained unwilling to negotiate on the unit price. MSAC noted the pricing proposal presented a minor adjustment to the weighting of the initial and subsequent payments (payment 1 and payment 2) of the </w:t>
      </w:r>
      <w:proofErr w:type="spellStart"/>
      <w:r w:rsidRPr="00822131">
        <w:rPr>
          <w:rFonts w:ascii="Franklin Gothic Book" w:hAnsi="Franklin Gothic Book"/>
          <w:kern w:val="2"/>
          <w14:ligatures w14:val="standardContextual"/>
        </w:rPr>
        <w:t>PfP</w:t>
      </w:r>
      <w:proofErr w:type="spellEnd"/>
      <w:r w:rsidRPr="00822131">
        <w:rPr>
          <w:rFonts w:ascii="Franklin Gothic Book" w:hAnsi="Franklin Gothic Book"/>
          <w:kern w:val="2"/>
          <w14:ligatures w14:val="standardContextual"/>
        </w:rPr>
        <w:t xml:space="preserve"> arrangement</w:t>
      </w:r>
      <w:r w:rsidRPr="00933448">
        <w:rPr>
          <w:rFonts w:ascii="Franklin Gothic Book" w:hAnsi="Franklin Gothic Book"/>
          <w:kern w:val="2"/>
          <w14:ligatures w14:val="standardContextual"/>
        </w:rPr>
        <w:t xml:space="preserve"> outlined in the November 2023 application, thereby reducing the estimated average price per </w:t>
      </w:r>
      <w:r w:rsidRPr="00822131">
        <w:rPr>
          <w:rFonts w:ascii="Franklin Gothic Book" w:hAnsi="Franklin Gothic Book"/>
          <w:kern w:val="2"/>
          <w14:ligatures w14:val="standardContextual"/>
        </w:rPr>
        <w:t xml:space="preserve">successfully infused patient by less than </w:t>
      </w:r>
      <w:r w:rsidR="002A7B62" w:rsidRPr="00307272">
        <w:rPr>
          <w:rFonts w:ascii="Franklin Gothic Book" w:hAnsi="Franklin Gothic Book"/>
          <w:color w:val="000000"/>
          <w:w w:val="66"/>
          <w:shd w:val="solid" w:color="000000" w:fill="000000"/>
          <w:fitText w:val="439" w:id="-959184128"/>
          <w14:textFill>
            <w14:solidFill>
              <w14:srgbClr w14:val="000000">
                <w14:alpha w14:val="100000"/>
              </w14:srgbClr>
            </w14:solidFill>
          </w14:textFill>
          <w14:ligatures w14:val="standardContextual"/>
        </w:rPr>
        <w:t>|||||</w:t>
      </w:r>
      <w:r w:rsidR="002A7B62" w:rsidRPr="00307272">
        <w:rPr>
          <w:rFonts w:ascii="Franklin Gothic Book" w:hAnsi="Franklin Gothic Book"/>
          <w:color w:val="000000"/>
          <w:spacing w:val="3"/>
          <w:w w:val="66"/>
          <w:shd w:val="solid" w:color="000000" w:fill="000000"/>
          <w:fitText w:val="439" w:id="-959184128"/>
          <w14:textFill>
            <w14:solidFill>
              <w14:srgbClr w14:val="000000">
                <w14:alpha w14:val="100000"/>
              </w14:srgbClr>
            </w14:solidFill>
          </w14:textFill>
          <w14:ligatures w14:val="standardContextual"/>
        </w:rPr>
        <w:t>|</w:t>
      </w:r>
      <w:r w:rsidRPr="00822131">
        <w:rPr>
          <w:rFonts w:ascii="Franklin Gothic Book" w:hAnsi="Franklin Gothic Book"/>
          <w:kern w:val="2"/>
          <w14:ligatures w14:val="standardContextual"/>
        </w:rPr>
        <w:t>% ($</w:t>
      </w:r>
      <w:r w:rsidR="002A7B62" w:rsidRPr="00307272">
        <w:rPr>
          <w:rFonts w:ascii="Franklin Gothic Book" w:hAnsi="Franklin Gothic Book"/>
          <w:color w:val="000000"/>
          <w:w w:val="66"/>
          <w:shd w:val="solid" w:color="000000" w:fill="000000"/>
          <w:fitText w:val="439" w:id="-959184127"/>
          <w14:textFill>
            <w14:solidFill>
              <w14:srgbClr w14:val="000000">
                <w14:alpha w14:val="100000"/>
              </w14:srgbClr>
            </w14:solidFill>
          </w14:textFill>
          <w14:ligatures w14:val="standardContextual"/>
        </w:rPr>
        <w:t>|||||</w:t>
      </w:r>
      <w:r w:rsidR="002A7B62" w:rsidRPr="00307272">
        <w:rPr>
          <w:rFonts w:ascii="Franklin Gothic Book" w:hAnsi="Franklin Gothic Book"/>
          <w:color w:val="000000"/>
          <w:spacing w:val="3"/>
          <w:w w:val="66"/>
          <w:shd w:val="solid" w:color="000000" w:fill="000000"/>
          <w:fitText w:val="439" w:id="-959184127"/>
          <w14:textFill>
            <w14:solidFill>
              <w14:srgbClr w14:val="000000">
                <w14:alpha w14:val="100000"/>
              </w14:srgbClr>
            </w14:solidFill>
          </w14:textFill>
          <w14:ligatures w14:val="standardContextual"/>
        </w:rPr>
        <w:t>|</w:t>
      </w:r>
      <w:r w:rsidRPr="00822131">
        <w:rPr>
          <w:rFonts w:ascii="Franklin Gothic Book" w:hAnsi="Franklin Gothic Book"/>
          <w:kern w:val="2"/>
          <w14:ligatures w14:val="standardContextual"/>
        </w:rPr>
        <w:t xml:space="preserve"> to $</w:t>
      </w:r>
      <w:r w:rsidR="002A7B62" w:rsidRPr="00307272">
        <w:rPr>
          <w:rFonts w:ascii="Franklin Gothic Book" w:hAnsi="Franklin Gothic Book"/>
          <w:color w:val="000000"/>
          <w:w w:val="66"/>
          <w:shd w:val="solid" w:color="000000" w:fill="000000"/>
          <w:fitText w:val="438" w:id="-959184126"/>
          <w14:textFill>
            <w14:solidFill>
              <w14:srgbClr w14:val="000000">
                <w14:alpha w14:val="100000"/>
              </w14:srgbClr>
            </w14:solidFill>
          </w14:textFill>
          <w14:ligatures w14:val="standardContextual"/>
        </w:rPr>
        <w:t>|||||</w:t>
      </w:r>
      <w:r w:rsidR="002A7B62" w:rsidRPr="00307272">
        <w:rPr>
          <w:rFonts w:ascii="Franklin Gothic Book" w:hAnsi="Franklin Gothic Book"/>
          <w:color w:val="000000"/>
          <w:spacing w:val="2"/>
          <w:w w:val="66"/>
          <w:shd w:val="solid" w:color="000000" w:fill="000000"/>
          <w:fitText w:val="438" w:id="-959184126"/>
          <w14:textFill>
            <w14:solidFill>
              <w14:srgbClr w14:val="000000">
                <w14:alpha w14:val="100000"/>
              </w14:srgbClr>
            </w14:solidFill>
          </w14:textFill>
          <w14:ligatures w14:val="standardContextual"/>
        </w:rPr>
        <w:t>|</w:t>
      </w:r>
      <w:r w:rsidRPr="00822131">
        <w:rPr>
          <w:rFonts w:ascii="Franklin Gothic Book" w:hAnsi="Franklin Gothic Book"/>
          <w:kern w:val="2"/>
          <w14:ligatures w14:val="standardContextual"/>
        </w:rPr>
        <w:t>) (Table 1). MSAC considered the minimal reduction in</w:t>
      </w:r>
      <w:r w:rsidRPr="00933448">
        <w:rPr>
          <w:rFonts w:ascii="Franklin Gothic Book" w:hAnsi="Franklin Gothic Book"/>
          <w:kern w:val="2"/>
          <w14:ligatures w14:val="standardContextual"/>
        </w:rPr>
        <w:t xml:space="preserve"> the average price of cilta-cel did not represent a meaningful price reduction.</w:t>
      </w:r>
    </w:p>
    <w:p w14:paraId="183C4B73" w14:textId="6645A0DA" w:rsidR="00D95E54" w:rsidRPr="00933448" w:rsidRDefault="00D95E54" w:rsidP="00D95E54">
      <w:pPr>
        <w:pStyle w:val="Caption"/>
      </w:pPr>
      <w:r w:rsidRPr="00933448">
        <w:t>Table 1</w:t>
      </w:r>
      <w:r w:rsidRPr="00D95E54">
        <w:tab/>
      </w:r>
      <w:r w:rsidRPr="00933448">
        <w:t>Overview of the revised pay for performance model proposed for cilta-</w:t>
      </w:r>
      <w:proofErr w:type="gramStart"/>
      <w:r w:rsidRPr="00933448">
        <w:t>cel</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4"/>
        <w:gridCol w:w="2774"/>
        <w:gridCol w:w="2774"/>
      </w:tblGrid>
      <w:tr w:rsidR="002F0531" w:rsidRPr="00933448" w14:paraId="2E529DFD" w14:textId="77777777">
        <w:trPr>
          <w:trHeight w:val="138"/>
        </w:trPr>
        <w:tc>
          <w:tcPr>
            <w:tcW w:w="2774" w:type="dxa"/>
            <w:shd w:val="clear" w:color="auto" w:fill="BFBFBF" w:themeFill="background1" w:themeFillShade="BF"/>
          </w:tcPr>
          <w:p w14:paraId="5C27470E" w14:textId="77777777" w:rsidR="00D95E54" w:rsidRPr="00933448" w:rsidRDefault="00D95E54">
            <w:pPr>
              <w:pStyle w:val="Tabletext0"/>
              <w:rPr>
                <w:b/>
                <w:bCs/>
                <w14:ligatures w14:val="standardContextual"/>
              </w:rPr>
            </w:pPr>
            <w:r w:rsidRPr="00933448">
              <w:rPr>
                <w:b/>
                <w:bCs/>
                <w14:ligatures w14:val="standardContextual"/>
              </w:rPr>
              <w:t xml:space="preserve">Description </w:t>
            </w:r>
          </w:p>
        </w:tc>
        <w:tc>
          <w:tcPr>
            <w:tcW w:w="2774" w:type="dxa"/>
            <w:shd w:val="clear" w:color="auto" w:fill="BFBFBF" w:themeFill="background1" w:themeFillShade="BF"/>
          </w:tcPr>
          <w:p w14:paraId="69DDBA7A" w14:textId="77777777" w:rsidR="00D95E54" w:rsidRPr="00933448" w:rsidRDefault="00D95E54">
            <w:pPr>
              <w:pStyle w:val="Tabletext0"/>
              <w:rPr>
                <w:b/>
                <w:bCs/>
                <w14:ligatures w14:val="standardContextual"/>
              </w:rPr>
            </w:pPr>
            <w:r w:rsidRPr="00933448">
              <w:rPr>
                <w:b/>
                <w:bCs/>
                <w14:ligatures w14:val="standardContextual"/>
              </w:rPr>
              <w:t xml:space="preserve">November 2023 </w:t>
            </w:r>
          </w:p>
        </w:tc>
        <w:tc>
          <w:tcPr>
            <w:tcW w:w="2774" w:type="dxa"/>
            <w:shd w:val="clear" w:color="auto" w:fill="BFBFBF" w:themeFill="background1" w:themeFillShade="BF"/>
          </w:tcPr>
          <w:p w14:paraId="7A47C4B7" w14:textId="77777777" w:rsidR="00D95E54" w:rsidRPr="00933448" w:rsidRDefault="00D95E54">
            <w:pPr>
              <w:pStyle w:val="Tabletext0"/>
              <w:rPr>
                <w:b/>
                <w:bCs/>
                <w14:ligatures w14:val="standardContextual"/>
              </w:rPr>
            </w:pPr>
            <w:r w:rsidRPr="00933448">
              <w:rPr>
                <w:b/>
                <w:bCs/>
                <w14:ligatures w14:val="standardContextual"/>
              </w:rPr>
              <w:t xml:space="preserve">April 2024 </w:t>
            </w:r>
          </w:p>
        </w:tc>
      </w:tr>
      <w:tr w:rsidR="00D95E54" w:rsidRPr="00933448" w14:paraId="1A7DED7E" w14:textId="77777777">
        <w:trPr>
          <w:trHeight w:val="133"/>
        </w:trPr>
        <w:tc>
          <w:tcPr>
            <w:tcW w:w="2774" w:type="dxa"/>
          </w:tcPr>
          <w:p w14:paraId="3283AFFA" w14:textId="77777777" w:rsidR="00D95E54" w:rsidRPr="00933448" w:rsidRDefault="00D95E54">
            <w:pPr>
              <w:pStyle w:val="Tabletext0"/>
              <w:rPr>
                <w14:ligatures w14:val="standardContextual"/>
              </w:rPr>
            </w:pPr>
            <w:r w:rsidRPr="00933448">
              <w:rPr>
                <w14:ligatures w14:val="standardContextual"/>
              </w:rPr>
              <w:t xml:space="preserve">Cilta-cel unit cost </w:t>
            </w:r>
          </w:p>
        </w:tc>
        <w:tc>
          <w:tcPr>
            <w:tcW w:w="2774" w:type="dxa"/>
          </w:tcPr>
          <w:p w14:paraId="0102E516" w14:textId="1A0EE915" w:rsidR="00D95E54" w:rsidRPr="00067911" w:rsidRDefault="00D95E54">
            <w:pPr>
              <w:autoSpaceDE w:val="0"/>
              <w:autoSpaceDN w:val="0"/>
              <w:adjustRightInd w:val="0"/>
              <w:spacing w:after="0"/>
              <w:rPr>
                <w:rFonts w:ascii="Arial Narrow" w:eastAsia="Times New Roman" w:hAnsi="Arial Narrow" w:cs="Tahoma"/>
                <w:sz w:val="20"/>
                <w:szCs w:val="20"/>
                <w:highlight w:val="cyan"/>
                <w:lang w:eastAsia="en-AU"/>
                <w14:ligatures w14:val="standardContextual"/>
              </w:rPr>
            </w:pPr>
            <w:r w:rsidRPr="00822131">
              <w:rPr>
                <w:rFonts w:ascii="Arial Narrow" w:eastAsia="Times New Roman" w:hAnsi="Arial Narrow" w:cs="Tahoma"/>
                <w:sz w:val="20"/>
                <w:szCs w:val="20"/>
                <w:lang w:eastAsia="en-AU"/>
                <w14:ligatures w14:val="standardContextual"/>
              </w:rPr>
              <w:t>$</w:t>
            </w:r>
            <w:r w:rsidR="007E3177" w:rsidRPr="00307272">
              <w:rPr>
                <w:rFonts w:ascii="Arial Narrow" w:eastAsia="Times New Roman" w:hAnsi="Arial Narrow" w:cs="Tahoma"/>
                <w:color w:val="000000"/>
                <w:spacing w:val="53"/>
                <w:sz w:val="20"/>
                <w:szCs w:val="20"/>
                <w:shd w:val="solid" w:color="000000" w:fill="000000"/>
                <w:fitText w:val="330" w:id="-959204600"/>
                <w:lang w:eastAsia="en-AU"/>
                <w14:textFill>
                  <w14:solidFill>
                    <w14:srgbClr w14:val="000000">
                      <w14:alpha w14:val="100000"/>
                    </w14:srgbClr>
                  </w14:solidFill>
                </w14:textFill>
                <w14:ligatures w14:val="standardContextual"/>
              </w:rPr>
              <w:t>|||</w:t>
            </w:r>
            <w:r w:rsidR="007E3177" w:rsidRPr="00307272">
              <w:rPr>
                <w:rFonts w:ascii="Arial Narrow" w:eastAsia="Times New Roman" w:hAnsi="Arial Narrow" w:cs="Tahoma"/>
                <w:color w:val="000000"/>
                <w:spacing w:val="1"/>
                <w:sz w:val="20"/>
                <w:szCs w:val="20"/>
                <w:shd w:val="solid" w:color="000000" w:fill="000000"/>
                <w:fitText w:val="330" w:id="-959204600"/>
                <w:lang w:eastAsia="en-AU"/>
                <w14:textFill>
                  <w14:solidFill>
                    <w14:srgbClr w14:val="000000">
                      <w14:alpha w14:val="100000"/>
                    </w14:srgbClr>
                  </w14:solidFill>
                </w14:textFill>
                <w14:ligatures w14:val="standardContextual"/>
              </w:rPr>
              <w:t>|</w:t>
            </w:r>
            <w:r w:rsidR="007E3177" w:rsidRPr="007E3177">
              <w:rPr>
                <w:rFonts w:ascii="Arial Narrow" w:eastAsia="Times New Roman" w:hAnsi="Arial Narrow" w:cs="Tahoma"/>
                <w:sz w:val="20"/>
                <w:szCs w:val="20"/>
                <w:lang w:eastAsia="en-AU"/>
                <w14:ligatures w14:val="standardContextual"/>
              </w:rPr>
              <w:t xml:space="preserve"> </w:t>
            </w:r>
          </w:p>
        </w:tc>
        <w:tc>
          <w:tcPr>
            <w:tcW w:w="2774" w:type="dxa"/>
          </w:tcPr>
          <w:p w14:paraId="671B399B" w14:textId="424EF33F" w:rsidR="00D95E54" w:rsidRPr="00067911" w:rsidRDefault="00D95E54">
            <w:pPr>
              <w:autoSpaceDE w:val="0"/>
              <w:autoSpaceDN w:val="0"/>
              <w:adjustRightInd w:val="0"/>
              <w:spacing w:after="0"/>
              <w:rPr>
                <w:rFonts w:ascii="Arial Narrow" w:eastAsia="Times New Roman" w:hAnsi="Arial Narrow" w:cs="Tahoma"/>
                <w:sz w:val="20"/>
                <w:szCs w:val="20"/>
                <w:highlight w:val="cyan"/>
                <w:lang w:eastAsia="en-AU"/>
                <w14:ligatures w14:val="standardContextual"/>
              </w:rPr>
            </w:pPr>
            <w:r w:rsidRPr="00822131">
              <w:rPr>
                <w:rFonts w:ascii="Arial Narrow" w:eastAsia="Times New Roman" w:hAnsi="Arial Narrow" w:cs="Tahoma"/>
                <w:sz w:val="20"/>
                <w:szCs w:val="20"/>
                <w:lang w:eastAsia="en-AU"/>
                <w14:ligatures w14:val="standardContextual"/>
              </w:rPr>
              <w:t>$</w:t>
            </w:r>
            <w:r w:rsidR="007E3177" w:rsidRPr="00307272">
              <w:rPr>
                <w:rFonts w:ascii="Arial Narrow" w:eastAsia="Times New Roman" w:hAnsi="Arial Narrow" w:cs="Tahoma"/>
                <w:color w:val="000000"/>
                <w:spacing w:val="53"/>
                <w:sz w:val="20"/>
                <w:szCs w:val="20"/>
                <w:shd w:val="solid" w:color="000000" w:fill="000000"/>
                <w:fitText w:val="330" w:id="-959204599"/>
                <w:lang w:eastAsia="en-AU"/>
                <w14:textFill>
                  <w14:solidFill>
                    <w14:srgbClr w14:val="000000">
                      <w14:alpha w14:val="100000"/>
                    </w14:srgbClr>
                  </w14:solidFill>
                </w14:textFill>
                <w14:ligatures w14:val="standardContextual"/>
              </w:rPr>
              <w:t>|||</w:t>
            </w:r>
            <w:r w:rsidR="007E3177" w:rsidRPr="00307272">
              <w:rPr>
                <w:rFonts w:ascii="Arial Narrow" w:eastAsia="Times New Roman" w:hAnsi="Arial Narrow" w:cs="Tahoma"/>
                <w:color w:val="000000"/>
                <w:spacing w:val="1"/>
                <w:sz w:val="20"/>
                <w:szCs w:val="20"/>
                <w:shd w:val="solid" w:color="000000" w:fill="000000"/>
                <w:fitText w:val="330" w:id="-959204599"/>
                <w:lang w:eastAsia="en-AU"/>
                <w14:textFill>
                  <w14:solidFill>
                    <w14:srgbClr w14:val="000000">
                      <w14:alpha w14:val="100000"/>
                    </w14:srgbClr>
                  </w14:solidFill>
                </w14:textFill>
                <w14:ligatures w14:val="standardContextual"/>
              </w:rPr>
              <w:t>|</w:t>
            </w:r>
            <w:r w:rsidR="007E3177" w:rsidRPr="007E3177">
              <w:rPr>
                <w:rFonts w:ascii="Arial Narrow" w:eastAsia="Times New Roman" w:hAnsi="Arial Narrow" w:cs="Tahoma"/>
                <w:sz w:val="20"/>
                <w:szCs w:val="20"/>
                <w:lang w:eastAsia="en-AU"/>
                <w14:ligatures w14:val="standardContextual"/>
              </w:rPr>
              <w:t xml:space="preserve"> </w:t>
            </w:r>
          </w:p>
        </w:tc>
      </w:tr>
      <w:tr w:rsidR="00D95E54" w:rsidRPr="00933448" w14:paraId="2C0AA594" w14:textId="77777777">
        <w:trPr>
          <w:trHeight w:val="133"/>
        </w:trPr>
        <w:tc>
          <w:tcPr>
            <w:tcW w:w="2774" w:type="dxa"/>
          </w:tcPr>
          <w:p w14:paraId="6C0CB537" w14:textId="72EDDE77" w:rsidR="00D95E54" w:rsidRPr="00067911" w:rsidRDefault="007E3177">
            <w:pPr>
              <w:pStyle w:val="Tabletext0"/>
              <w:rPr>
                <w:highlight w:val="cyan"/>
                <w14:ligatures w14:val="standardContextual"/>
              </w:rPr>
            </w:pPr>
            <w:r w:rsidRPr="00307272">
              <w:rPr>
                <w:color w:val="000000"/>
                <w:spacing w:val="53"/>
                <w:shd w:val="solid" w:color="000000" w:fill="000000"/>
                <w:fitText w:val="330" w:id="-959204598"/>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8"/>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597"/>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597"/>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6"/>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6"/>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4"/>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4"/>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3"/>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3"/>
                <w14:textFill>
                  <w14:solidFill>
                    <w14:srgbClr w14:val="000000">
                      <w14:alpha w14:val="100000"/>
                    </w14:srgbClr>
                  </w14:solidFill>
                </w14:textFill>
                <w14:ligatures w14:val="standardContextual"/>
              </w:rPr>
              <w:t>|</w:t>
            </w:r>
            <w:r w:rsidRPr="007E3177">
              <w:rPr>
                <w14:ligatures w14:val="standardContextual"/>
              </w:rPr>
              <w:t xml:space="preserve"> </w:t>
            </w:r>
          </w:p>
        </w:tc>
        <w:tc>
          <w:tcPr>
            <w:tcW w:w="2774" w:type="dxa"/>
          </w:tcPr>
          <w:p w14:paraId="3E90F2E5" w14:textId="6526A0B0"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592"/>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592"/>
                <w14:textFill>
                  <w14:solidFill>
                    <w14:srgbClr w14:val="000000">
                      <w14:alpha w14:val="100000"/>
                    </w14:srgbClr>
                  </w14:solidFill>
                </w14:textFill>
                <w14:ligatures w14:val="standardContextual"/>
              </w:rPr>
              <w:t>|</w:t>
            </w:r>
            <w:r w:rsidR="007E3177" w:rsidRPr="007E3177">
              <w:rPr>
                <w14:ligatures w14:val="standardContextual"/>
              </w:rPr>
              <w:t xml:space="preserve"> </w:t>
            </w:r>
            <w:r w:rsidR="007E3177" w:rsidRPr="00307272">
              <w:rPr>
                <w:color w:val="000000"/>
                <w:spacing w:val="49"/>
                <w:shd w:val="solid" w:color="000000" w:fill="000000"/>
                <w:fitText w:val="320" w:id="-959204608"/>
                <w14:textFill>
                  <w14:solidFill>
                    <w14:srgbClr w14:val="000000">
                      <w14:alpha w14:val="100000"/>
                    </w14:srgbClr>
                  </w14:solidFill>
                </w14:textFill>
                <w14:ligatures w14:val="standardContextual"/>
              </w:rPr>
              <w:t>|||</w:t>
            </w:r>
            <w:r w:rsidR="007E3177" w:rsidRPr="00307272">
              <w:rPr>
                <w:color w:val="000000"/>
                <w:spacing w:val="3"/>
                <w:shd w:val="solid" w:color="000000" w:fill="000000"/>
                <w:fitText w:val="320" w:id="-959204608"/>
                <w14:textFill>
                  <w14:solidFill>
                    <w14:srgbClr w14:val="000000">
                      <w14:alpha w14:val="100000"/>
                    </w14:srgbClr>
                  </w14:solidFill>
                </w14:textFill>
                <w14:ligatures w14:val="standardContextual"/>
              </w:rPr>
              <w:t>|</w:t>
            </w:r>
            <w:r w:rsidR="007E3177" w:rsidRPr="007E3177">
              <w:rPr>
                <w14:ligatures w14:val="standardContextual"/>
              </w:rPr>
              <w:t xml:space="preserve"> </w:t>
            </w:r>
          </w:p>
        </w:tc>
        <w:tc>
          <w:tcPr>
            <w:tcW w:w="2774" w:type="dxa"/>
          </w:tcPr>
          <w:p w14:paraId="59C31507" w14:textId="19A6BC38"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607"/>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607"/>
                <w14:textFill>
                  <w14:solidFill>
                    <w14:srgbClr w14:val="000000">
                      <w14:alpha w14:val="100000"/>
                    </w14:srgbClr>
                  </w14:solidFill>
                </w14:textFill>
                <w14:ligatures w14:val="standardContextual"/>
              </w:rPr>
              <w:t>|</w:t>
            </w:r>
            <w:r w:rsidR="007E3177" w:rsidRPr="007E3177">
              <w:rPr>
                <w14:ligatures w14:val="standardContextual"/>
              </w:rPr>
              <w:t xml:space="preserve"> </w:t>
            </w:r>
            <w:r w:rsidR="007E3177" w:rsidRPr="00307272">
              <w:rPr>
                <w:color w:val="000000"/>
                <w:spacing w:val="49"/>
                <w:shd w:val="solid" w:color="000000" w:fill="000000"/>
                <w:fitText w:val="320" w:id="-959204606"/>
                <w14:textFill>
                  <w14:solidFill>
                    <w14:srgbClr w14:val="000000">
                      <w14:alpha w14:val="100000"/>
                    </w14:srgbClr>
                  </w14:solidFill>
                </w14:textFill>
                <w14:ligatures w14:val="standardContextual"/>
              </w:rPr>
              <w:t>|||</w:t>
            </w:r>
            <w:r w:rsidR="007E3177" w:rsidRPr="00307272">
              <w:rPr>
                <w:color w:val="000000"/>
                <w:spacing w:val="3"/>
                <w:shd w:val="solid" w:color="000000" w:fill="000000"/>
                <w:fitText w:val="320" w:id="-959204606"/>
                <w14:textFill>
                  <w14:solidFill>
                    <w14:srgbClr w14:val="000000">
                      <w14:alpha w14:val="100000"/>
                    </w14:srgbClr>
                  </w14:solidFill>
                </w14:textFill>
                <w14:ligatures w14:val="standardContextual"/>
              </w:rPr>
              <w:t>|</w:t>
            </w:r>
            <w:r w:rsidR="007E3177" w:rsidRPr="007E3177">
              <w:rPr>
                <w14:ligatures w14:val="standardContextual"/>
              </w:rPr>
              <w:t xml:space="preserve"> </w:t>
            </w:r>
          </w:p>
        </w:tc>
      </w:tr>
      <w:tr w:rsidR="00D95E54" w:rsidRPr="00933448" w14:paraId="0DD84D6A" w14:textId="77777777">
        <w:trPr>
          <w:trHeight w:val="255"/>
        </w:trPr>
        <w:tc>
          <w:tcPr>
            <w:tcW w:w="2774" w:type="dxa"/>
          </w:tcPr>
          <w:p w14:paraId="2F7EF828" w14:textId="3E2FACFE" w:rsidR="00D95E54" w:rsidRPr="00067911" w:rsidRDefault="007E3177">
            <w:pPr>
              <w:pStyle w:val="Tabletext0"/>
              <w:rPr>
                <w:highlight w:val="cyan"/>
                <w14:ligatures w14:val="standardContextual"/>
              </w:rPr>
            </w:pPr>
            <w:r w:rsidRPr="00307272">
              <w:rPr>
                <w:color w:val="000000"/>
                <w:spacing w:val="53"/>
                <w:shd w:val="solid" w:color="000000" w:fill="000000"/>
                <w:fitText w:val="330" w:id="-95920460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604"/>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604"/>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3"/>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3"/>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2"/>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2"/>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1"/>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1"/>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0"/>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0"/>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9"/>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9"/>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598"/>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598"/>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7"/>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7"/>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6"/>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6"/>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4"/>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4"/>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3"/>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3"/>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592"/>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592"/>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8"/>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8"/>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7"/>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7"/>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6"/>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6"/>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4"/>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4"/>
                <w14:textFill>
                  <w14:solidFill>
                    <w14:srgbClr w14:val="000000">
                      <w14:alpha w14:val="100000"/>
                    </w14:srgbClr>
                  </w14:solidFill>
                </w14:textFill>
                <w14:ligatures w14:val="standardContextual"/>
              </w:rPr>
              <w:t>|</w:t>
            </w:r>
            <w:r w:rsidRPr="007E3177">
              <w:rPr>
                <w14:ligatures w14:val="standardContextual"/>
              </w:rPr>
              <w:t xml:space="preserve"> </w:t>
            </w:r>
          </w:p>
        </w:tc>
        <w:tc>
          <w:tcPr>
            <w:tcW w:w="2774" w:type="dxa"/>
          </w:tcPr>
          <w:p w14:paraId="3502E4C2" w14:textId="0558A432"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603"/>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603"/>
                <w14:textFill>
                  <w14:solidFill>
                    <w14:srgbClr w14:val="000000">
                      <w14:alpha w14:val="100000"/>
                    </w14:srgbClr>
                  </w14:solidFill>
                </w14:textFill>
                <w14:ligatures w14:val="standardContextual"/>
              </w:rPr>
              <w:t>|</w:t>
            </w:r>
            <w:r w:rsidR="007E3177" w:rsidRPr="007E3177">
              <w:rPr>
                <w14:ligatures w14:val="standardContextual"/>
              </w:rPr>
              <w:t xml:space="preserve"> </w:t>
            </w:r>
            <w:r w:rsidR="007E3177" w:rsidRPr="00307272">
              <w:rPr>
                <w:color w:val="000000"/>
                <w:spacing w:val="49"/>
                <w:shd w:val="solid" w:color="000000" w:fill="000000"/>
                <w:fitText w:val="320" w:id="-959204602"/>
                <w14:textFill>
                  <w14:solidFill>
                    <w14:srgbClr w14:val="000000">
                      <w14:alpha w14:val="100000"/>
                    </w14:srgbClr>
                  </w14:solidFill>
                </w14:textFill>
                <w14:ligatures w14:val="standardContextual"/>
              </w:rPr>
              <w:t>|||</w:t>
            </w:r>
            <w:r w:rsidR="007E3177" w:rsidRPr="00307272">
              <w:rPr>
                <w:color w:val="000000"/>
                <w:spacing w:val="3"/>
                <w:shd w:val="solid" w:color="000000" w:fill="000000"/>
                <w:fitText w:val="320" w:id="-959204602"/>
                <w14:textFill>
                  <w14:solidFill>
                    <w14:srgbClr w14:val="000000">
                      <w14:alpha w14:val="100000"/>
                    </w14:srgbClr>
                  </w14:solidFill>
                </w14:textFill>
                <w14:ligatures w14:val="standardContextual"/>
              </w:rPr>
              <w:t>|</w:t>
            </w:r>
            <w:r w:rsidR="007E3177" w:rsidRPr="007E3177">
              <w:rPr>
                <w14:ligatures w14:val="standardContextual"/>
              </w:rPr>
              <w:t xml:space="preserve"> </w:t>
            </w:r>
          </w:p>
        </w:tc>
        <w:tc>
          <w:tcPr>
            <w:tcW w:w="2774" w:type="dxa"/>
          </w:tcPr>
          <w:p w14:paraId="4B0EB23B" w14:textId="6ED17BC2"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601"/>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601"/>
                <w14:textFill>
                  <w14:solidFill>
                    <w14:srgbClr w14:val="000000">
                      <w14:alpha w14:val="100000"/>
                    </w14:srgbClr>
                  </w14:solidFill>
                </w14:textFill>
                <w14:ligatures w14:val="standardContextual"/>
              </w:rPr>
              <w:t>|</w:t>
            </w:r>
            <w:r w:rsidR="007E3177" w:rsidRPr="007E3177">
              <w:rPr>
                <w14:ligatures w14:val="standardContextual"/>
              </w:rPr>
              <w:t xml:space="preserve"> </w:t>
            </w:r>
            <w:r w:rsidR="007E3177" w:rsidRPr="00307272">
              <w:rPr>
                <w:color w:val="000000"/>
                <w:spacing w:val="49"/>
                <w:shd w:val="solid" w:color="000000" w:fill="000000"/>
                <w:fitText w:val="320" w:id="-959204600"/>
                <w14:textFill>
                  <w14:solidFill>
                    <w14:srgbClr w14:val="000000">
                      <w14:alpha w14:val="100000"/>
                    </w14:srgbClr>
                  </w14:solidFill>
                </w14:textFill>
                <w14:ligatures w14:val="standardContextual"/>
              </w:rPr>
              <w:t>|||</w:t>
            </w:r>
            <w:r w:rsidR="007E3177" w:rsidRPr="00307272">
              <w:rPr>
                <w:color w:val="000000"/>
                <w:spacing w:val="3"/>
                <w:shd w:val="solid" w:color="000000" w:fill="000000"/>
                <w:fitText w:val="320" w:id="-959204600"/>
                <w14:textFill>
                  <w14:solidFill>
                    <w14:srgbClr w14:val="000000">
                      <w14:alpha w14:val="100000"/>
                    </w14:srgbClr>
                  </w14:solidFill>
                </w14:textFill>
                <w14:ligatures w14:val="standardContextual"/>
              </w:rPr>
              <w:t>|</w:t>
            </w:r>
            <w:r w:rsidR="007E3177" w:rsidRPr="007E3177">
              <w:rPr>
                <w14:ligatures w14:val="standardContextual"/>
              </w:rPr>
              <w:t xml:space="preserve"> </w:t>
            </w:r>
          </w:p>
        </w:tc>
      </w:tr>
      <w:tr w:rsidR="00D95E54" w:rsidRPr="00933448" w14:paraId="4C345995" w14:textId="77777777">
        <w:trPr>
          <w:trHeight w:val="133"/>
        </w:trPr>
        <w:tc>
          <w:tcPr>
            <w:tcW w:w="2774" w:type="dxa"/>
          </w:tcPr>
          <w:p w14:paraId="3E1E9607" w14:textId="0101784B" w:rsidR="00D95E54" w:rsidRPr="00067911" w:rsidRDefault="007E3177">
            <w:pPr>
              <w:pStyle w:val="Tabletext0"/>
              <w:rPr>
                <w:highlight w:val="cyan"/>
                <w14:ligatures w14:val="standardContextual"/>
              </w:rPr>
            </w:pPr>
            <w:r w:rsidRPr="00307272">
              <w:rPr>
                <w:color w:val="000000"/>
                <w:spacing w:val="53"/>
                <w:shd w:val="solid" w:color="000000" w:fill="000000"/>
                <w:fitText w:val="330" w:id="-959204599"/>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9"/>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598"/>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598"/>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7"/>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7"/>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6"/>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6"/>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4"/>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4"/>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3"/>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3"/>
                <w14:textFill>
                  <w14:solidFill>
                    <w14:srgbClr w14:val="000000">
                      <w14:alpha w14:val="100000"/>
                    </w14:srgbClr>
                  </w14:solidFill>
                </w14:textFill>
                <w14:ligatures w14:val="standardContextual"/>
              </w:rPr>
              <w:t>|</w:t>
            </w:r>
            <w:r w:rsidRPr="007E3177">
              <w:rPr>
                <w14:ligatures w14:val="standardContextual"/>
              </w:rPr>
              <w:t xml:space="preserve"> </w:t>
            </w:r>
          </w:p>
        </w:tc>
        <w:tc>
          <w:tcPr>
            <w:tcW w:w="2774" w:type="dxa"/>
          </w:tcPr>
          <w:p w14:paraId="366E5F10" w14:textId="20A689D0"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592"/>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592"/>
                <w14:textFill>
                  <w14:solidFill>
                    <w14:srgbClr w14:val="000000">
                      <w14:alpha w14:val="100000"/>
                    </w14:srgbClr>
                  </w14:solidFill>
                </w14:textFill>
                <w14:ligatures w14:val="standardContextual"/>
              </w:rPr>
              <w:t>|</w:t>
            </w:r>
            <w:r w:rsidR="007E3177" w:rsidRPr="007E3177">
              <w:rPr>
                <w14:ligatures w14:val="standardContextual"/>
              </w:rPr>
              <w:t xml:space="preserve"> </w:t>
            </w:r>
          </w:p>
        </w:tc>
        <w:tc>
          <w:tcPr>
            <w:tcW w:w="2774" w:type="dxa"/>
          </w:tcPr>
          <w:p w14:paraId="4341BE75" w14:textId="4B5218B5"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608"/>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608"/>
                <w14:textFill>
                  <w14:solidFill>
                    <w14:srgbClr w14:val="000000">
                      <w14:alpha w14:val="100000"/>
                    </w14:srgbClr>
                  </w14:solidFill>
                </w14:textFill>
                <w14:ligatures w14:val="standardContextual"/>
              </w:rPr>
              <w:t>|</w:t>
            </w:r>
            <w:r w:rsidR="007E3177" w:rsidRPr="007E3177">
              <w:rPr>
                <w14:ligatures w14:val="standardContextual"/>
              </w:rPr>
              <w:t xml:space="preserve"> </w:t>
            </w:r>
          </w:p>
        </w:tc>
      </w:tr>
    </w:tbl>
    <w:p w14:paraId="0F5D831F" w14:textId="77777777" w:rsidR="00D95E54" w:rsidRPr="00933448" w:rsidRDefault="00D95E54" w:rsidP="00D95E54">
      <w:pPr>
        <w:tabs>
          <w:tab w:val="num" w:pos="426"/>
        </w:tabs>
        <w:spacing w:after="160" w:line="259" w:lineRule="auto"/>
        <w:ind w:left="-142" w:firstLine="142"/>
        <w:rPr>
          <w:rFonts w:ascii="Arial Narrow" w:hAnsi="Arial Narrow"/>
          <w:bCs/>
          <w:kern w:val="2"/>
          <w:sz w:val="18"/>
          <w:szCs w:val="18"/>
          <w14:ligatures w14:val="standardContextual"/>
        </w:rPr>
      </w:pPr>
      <w:r w:rsidRPr="00933448">
        <w:rPr>
          <w:rFonts w:ascii="Arial Narrow" w:hAnsi="Arial Narrow"/>
          <w:bCs/>
          <w:kern w:val="2"/>
          <w:sz w:val="18"/>
          <w:szCs w:val="18"/>
          <w14:ligatures w14:val="standardContextual"/>
        </w:rPr>
        <w:t>Source:</w:t>
      </w:r>
      <w:r w:rsidRPr="00D95E54">
        <w:rPr>
          <w:rFonts w:ascii="Arial Narrow" w:hAnsi="Arial Narrow"/>
          <w:bCs/>
          <w:kern w:val="2"/>
          <w:sz w:val="18"/>
          <w:szCs w:val="18"/>
          <w14:ligatures w14:val="standardContextual"/>
        </w:rPr>
        <w:t xml:space="preserve"> 1690.1 ADAR and</w:t>
      </w:r>
      <w:r w:rsidRPr="00933448">
        <w:rPr>
          <w:rFonts w:ascii="Arial Narrow" w:hAnsi="Arial Narrow"/>
          <w:bCs/>
          <w:kern w:val="2"/>
          <w:sz w:val="18"/>
          <w:szCs w:val="18"/>
          <w14:ligatures w14:val="standardContextual"/>
        </w:rPr>
        <w:t xml:space="preserve"> </w:t>
      </w:r>
      <w:r w:rsidRPr="00D95E54">
        <w:rPr>
          <w:rFonts w:ascii="Arial Narrow" w:hAnsi="Arial Narrow"/>
          <w:bCs/>
          <w:kern w:val="2"/>
          <w:sz w:val="18"/>
          <w:szCs w:val="18"/>
          <w14:ligatures w14:val="standardContextual"/>
        </w:rPr>
        <w:t>r</w:t>
      </w:r>
      <w:r w:rsidRPr="00933448">
        <w:rPr>
          <w:rFonts w:ascii="Arial Narrow" w:hAnsi="Arial Narrow"/>
          <w:bCs/>
          <w:kern w:val="2"/>
          <w:sz w:val="18"/>
          <w:szCs w:val="18"/>
          <w14:ligatures w14:val="standardContextual"/>
        </w:rPr>
        <w:t>esubmission letter for cilta-cel received 0</w:t>
      </w:r>
      <w:r w:rsidRPr="00D95E54">
        <w:rPr>
          <w:rFonts w:ascii="Arial Narrow" w:hAnsi="Arial Narrow"/>
          <w:bCs/>
          <w:kern w:val="2"/>
          <w:sz w:val="18"/>
          <w:szCs w:val="18"/>
          <w14:ligatures w14:val="standardContextual"/>
        </w:rPr>
        <w:t>1</w:t>
      </w:r>
      <w:r w:rsidRPr="00933448">
        <w:rPr>
          <w:rFonts w:ascii="Arial Narrow" w:hAnsi="Arial Narrow"/>
          <w:bCs/>
          <w:kern w:val="2"/>
          <w:sz w:val="18"/>
          <w:szCs w:val="18"/>
          <w14:ligatures w14:val="standardContextual"/>
        </w:rPr>
        <w:t xml:space="preserve"> March 2024</w:t>
      </w:r>
    </w:p>
    <w:p w14:paraId="117BF583" w14:textId="77777777" w:rsidR="00D95E54" w:rsidRPr="00933448" w:rsidRDefault="00D95E54" w:rsidP="00D95E54">
      <w:pPr>
        <w:spacing w:after="160" w:line="259" w:lineRule="auto"/>
        <w:rPr>
          <w:rFonts w:ascii="Franklin Gothic Book" w:hAnsi="Franklin Gothic Book"/>
          <w:kern w:val="2"/>
          <w14:ligatures w14:val="standardContextual"/>
        </w:rPr>
      </w:pPr>
      <w:r w:rsidRPr="002519A9">
        <w:rPr>
          <w:rFonts w:ascii="Franklin Gothic Book" w:hAnsi="Franklin Gothic Book"/>
          <w:kern w:val="2"/>
          <w14:ligatures w14:val="standardContextual"/>
        </w:rPr>
        <w:t>MSAC considered the applicant’s persistent unwillingness to negotiate on the price of cilta-cel and address MSAC’s concerns was delaying access to funded treatment for Australian patients. Given</w:t>
      </w:r>
      <w:r w:rsidRPr="00933448">
        <w:rPr>
          <w:rFonts w:ascii="Franklin Gothic Book" w:hAnsi="Franklin Gothic Book"/>
          <w:kern w:val="2"/>
          <w14:ligatures w14:val="standardContextual"/>
        </w:rPr>
        <w:t xml:space="preserve"> the high and unmet clinical need for an effective treatment option to be available to patients in the 5L+ RRMM setting, MSAC considered it was necessary to establish an alternative </w:t>
      </w:r>
      <w:r w:rsidRPr="00933448">
        <w:rPr>
          <w:rFonts w:ascii="Franklin Gothic Book" w:hAnsi="Franklin Gothic Book"/>
          <w:kern w:val="2"/>
          <w14:ligatures w14:val="standardContextual"/>
        </w:rPr>
        <w:lastRenderedPageBreak/>
        <w:t xml:space="preserve">way forward than what was proposed by the applicant </w:t>
      </w:r>
      <w:r w:rsidRPr="00D95E54">
        <w:rPr>
          <w:rFonts w:ascii="Franklin Gothic Book" w:hAnsi="Franklin Gothic Book"/>
          <w:kern w:val="2"/>
          <w14:ligatures w14:val="standardContextual"/>
        </w:rPr>
        <w:t>to</w:t>
      </w:r>
      <w:r w:rsidRPr="00933448">
        <w:rPr>
          <w:rFonts w:ascii="Franklin Gothic Book" w:hAnsi="Franklin Gothic Book"/>
          <w:kern w:val="2"/>
          <w14:ligatures w14:val="standardContextual"/>
        </w:rPr>
        <w:t xml:space="preserve"> enable publicly funded access to cilta-cel. </w:t>
      </w:r>
    </w:p>
    <w:p w14:paraId="5B864D5F" w14:textId="388D0A13"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supported the public funding of cilta-cel for patients with 5L+ RRMM at the </w:t>
      </w:r>
      <w:r w:rsidRPr="00123312">
        <w:rPr>
          <w:rFonts w:ascii="Franklin Gothic Book" w:hAnsi="Franklin Gothic Book"/>
          <w:kern w:val="2"/>
          <w14:ligatures w14:val="standardContextual"/>
        </w:rPr>
        <w:t>requested unit price of $</w:t>
      </w:r>
      <w:r w:rsidR="007E3177" w:rsidRPr="00307272">
        <w:rPr>
          <w:rFonts w:ascii="Franklin Gothic Book" w:hAnsi="Franklin Gothic Book"/>
          <w:color w:val="000000"/>
          <w:w w:val="66"/>
          <w:shd w:val="solid" w:color="000000" w:fill="000000"/>
          <w:fitText w:val="440" w:id="-959204607"/>
          <w14:textFill>
            <w14:solidFill>
              <w14:srgbClr w14:val="000000">
                <w14:alpha w14:val="100000"/>
              </w14:srgbClr>
            </w14:solidFill>
          </w14:textFill>
          <w14:ligatures w14:val="standardContextual"/>
        </w:rPr>
        <w:t>|||||</w:t>
      </w:r>
      <w:r w:rsidR="007E3177" w:rsidRPr="00307272">
        <w:rPr>
          <w:rFonts w:ascii="Franklin Gothic Book" w:hAnsi="Franklin Gothic Book"/>
          <w:color w:val="000000"/>
          <w:spacing w:val="4"/>
          <w:w w:val="66"/>
          <w:shd w:val="solid" w:color="000000" w:fill="000000"/>
          <w:fitText w:val="440" w:id="-959204607"/>
          <w14:textFill>
            <w14:solidFill>
              <w14:srgbClr w14:val="000000">
                <w14:alpha w14:val="100000"/>
              </w14:srgbClr>
            </w14:solidFill>
          </w14:textFill>
          <w14:ligatures w14:val="standardContextual"/>
        </w:rPr>
        <w:t>|</w:t>
      </w:r>
      <w:r w:rsidRPr="00933448">
        <w:rPr>
          <w:rFonts w:ascii="Franklin Gothic Book" w:hAnsi="Franklin Gothic Book"/>
          <w:kern w:val="2"/>
          <w14:ligatures w14:val="standardContextual"/>
        </w:rPr>
        <w:t xml:space="preserve">, but only if based on a </w:t>
      </w:r>
      <w:proofErr w:type="spellStart"/>
      <w:r w:rsidRPr="00933448">
        <w:rPr>
          <w:rFonts w:ascii="Franklin Gothic Book" w:hAnsi="Franklin Gothic Book"/>
          <w:kern w:val="2"/>
          <w14:ligatures w14:val="standardContextual"/>
        </w:rPr>
        <w:t>PfP</w:t>
      </w:r>
      <w:proofErr w:type="spellEnd"/>
      <w:r w:rsidRPr="00933448">
        <w:rPr>
          <w:rFonts w:ascii="Franklin Gothic Book" w:hAnsi="Franklin Gothic Book"/>
          <w:kern w:val="2"/>
          <w14:ligatures w14:val="standardContextual"/>
        </w:rPr>
        <w:t xml:space="preserve"> arrangement that appropriately managed the clinical, </w:t>
      </w:r>
      <w:proofErr w:type="gramStart"/>
      <w:r w:rsidRPr="00933448">
        <w:rPr>
          <w:rFonts w:ascii="Franklin Gothic Book" w:hAnsi="Franklin Gothic Book"/>
          <w:kern w:val="2"/>
          <w14:ligatures w14:val="standardContextual"/>
        </w:rPr>
        <w:t>economic</w:t>
      </w:r>
      <w:proofErr w:type="gramEnd"/>
      <w:r w:rsidRPr="00933448">
        <w:rPr>
          <w:rFonts w:ascii="Franklin Gothic Book" w:hAnsi="Franklin Gothic Book"/>
          <w:kern w:val="2"/>
          <w14:ligatures w14:val="standardContextual"/>
        </w:rPr>
        <w:t xml:space="preserve"> and financial uncertainty associated with the public funding of cilta-cel. In reviewing the clinical data, MSAC noted the CARTITUDE-1 phase 1b/2 single arm study, where the treated cohort continued to accrue disease progression events over a period 4 years</w:t>
      </w:r>
      <w:r w:rsidR="002901BD">
        <w:rPr>
          <w:rFonts w:ascii="Franklin Gothic Book" w:hAnsi="Franklin Gothic Book"/>
          <w:kern w:val="2"/>
          <w14:ligatures w14:val="standardContextual"/>
        </w:rPr>
        <w:t xml:space="preserve"> </w:t>
      </w:r>
      <w:r w:rsidR="00B7604F">
        <w:rPr>
          <w:rFonts w:ascii="Franklin Gothic Book" w:hAnsi="Franklin Gothic Book"/>
          <w:kern w:val="2"/>
          <w14:ligatures w14:val="standardContextual"/>
        </w:rPr>
        <w:br/>
      </w:r>
      <w:r w:rsidRPr="00933448">
        <w:rPr>
          <w:rFonts w:ascii="Franklin Gothic Book" w:hAnsi="Franklin Gothic Book"/>
          <w:kern w:val="2"/>
          <w14:ligatures w14:val="standardContextual"/>
        </w:rPr>
        <w:t>(</w:t>
      </w:r>
      <w:r w:rsidRPr="00D95E54">
        <w:rPr>
          <w:rFonts w:ascii="Franklin Gothic Book" w:hAnsi="Franklin Gothic Book"/>
          <w:kern w:val="2"/>
          <w14:ligatures w14:val="standardContextual"/>
        </w:rPr>
        <w:t>Figure</w:t>
      </w:r>
      <w:r w:rsidR="00F026E6">
        <w:rPr>
          <w:rFonts w:ascii="Franklin Gothic Book" w:hAnsi="Franklin Gothic Book"/>
          <w:kern w:val="2"/>
          <w14:ligatures w14:val="standardContextual"/>
        </w:rPr>
        <w:t xml:space="preserve"> 1</w:t>
      </w:r>
      <w:r w:rsidR="002901BD">
        <w:rPr>
          <w:rFonts w:ascii="Franklin Gothic Book" w:hAnsi="Franklin Gothic Book"/>
          <w:kern w:val="2"/>
          <w14:ligatures w14:val="standardContextual"/>
        </w:rPr>
        <w:t>, Figure 2</w:t>
      </w:r>
      <w:r w:rsidRPr="00933448">
        <w:rPr>
          <w:rFonts w:ascii="Franklin Gothic Book" w:hAnsi="Franklin Gothic Book"/>
          <w:kern w:val="2"/>
          <w14:ligatures w14:val="standardContextual"/>
        </w:rPr>
        <w:t xml:space="preserve">) </w:t>
      </w:r>
      <w:bookmarkStart w:id="8" w:name="_Hlk170122377"/>
      <w:r w:rsidRPr="00123312">
        <w:rPr>
          <w:rFonts w:ascii="Franklin Gothic Book" w:hAnsi="Franklin Gothic Book"/>
          <w:kern w:val="2"/>
          <w14:ligatures w14:val="standardContextual"/>
        </w:rPr>
        <w:t xml:space="preserve">and therefore considered a </w:t>
      </w:r>
      <w:r w:rsidR="007E3177" w:rsidRPr="00307272">
        <w:rPr>
          <w:rFonts w:ascii="Franklin Gothic Book" w:hAnsi="Franklin Gothic Book"/>
          <w:color w:val="000000"/>
          <w:w w:val="66"/>
          <w:shd w:val="solid" w:color="000000" w:fill="000000"/>
          <w:fitText w:val="440" w:id="-959204606"/>
          <w14:textFill>
            <w14:solidFill>
              <w14:srgbClr w14:val="000000">
                <w14:alpha w14:val="100000"/>
              </w14:srgbClr>
            </w14:solidFill>
          </w14:textFill>
          <w14:ligatures w14:val="standardContextual"/>
        </w:rPr>
        <w:t>|||||</w:t>
      </w:r>
      <w:r w:rsidR="007E3177" w:rsidRPr="00307272">
        <w:rPr>
          <w:rFonts w:ascii="Franklin Gothic Book" w:hAnsi="Franklin Gothic Book"/>
          <w:color w:val="000000"/>
          <w:spacing w:val="4"/>
          <w:w w:val="66"/>
          <w:shd w:val="solid" w:color="000000" w:fill="000000"/>
          <w:fitText w:val="440" w:id="-959204606"/>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307272">
        <w:rPr>
          <w:rFonts w:ascii="Franklin Gothic Book" w:hAnsi="Franklin Gothic Book"/>
          <w:color w:val="000000"/>
          <w:w w:val="66"/>
          <w:shd w:val="solid" w:color="000000" w:fill="000000"/>
          <w:fitText w:val="440" w:id="-959204605"/>
          <w14:textFill>
            <w14:solidFill>
              <w14:srgbClr w14:val="000000">
                <w14:alpha w14:val="100000"/>
              </w14:srgbClr>
            </w14:solidFill>
          </w14:textFill>
          <w14:ligatures w14:val="standardContextual"/>
        </w:rPr>
        <w:t>|||||</w:t>
      </w:r>
      <w:r w:rsidR="007E3177" w:rsidRPr="00307272">
        <w:rPr>
          <w:rFonts w:ascii="Franklin Gothic Book" w:hAnsi="Franklin Gothic Book"/>
          <w:color w:val="000000"/>
          <w:spacing w:val="4"/>
          <w:w w:val="66"/>
          <w:shd w:val="solid" w:color="000000" w:fill="000000"/>
          <w:fitText w:val="440" w:id="-959204605"/>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307272">
        <w:rPr>
          <w:rFonts w:ascii="Franklin Gothic Book" w:hAnsi="Franklin Gothic Book"/>
          <w:color w:val="000000"/>
          <w:w w:val="66"/>
          <w:shd w:val="solid" w:color="000000" w:fill="000000"/>
          <w:fitText w:val="440" w:id="-959204604"/>
          <w14:textFill>
            <w14:solidFill>
              <w14:srgbClr w14:val="000000">
                <w14:alpha w14:val="100000"/>
              </w14:srgbClr>
            </w14:solidFill>
          </w14:textFill>
          <w14:ligatures w14:val="standardContextual"/>
        </w:rPr>
        <w:t>|||||</w:t>
      </w:r>
      <w:r w:rsidR="007E3177" w:rsidRPr="00307272">
        <w:rPr>
          <w:rFonts w:ascii="Franklin Gothic Book" w:hAnsi="Franklin Gothic Book"/>
          <w:color w:val="000000"/>
          <w:spacing w:val="4"/>
          <w:w w:val="66"/>
          <w:shd w:val="solid" w:color="000000" w:fill="000000"/>
          <w:fitText w:val="440" w:id="-959204604"/>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Pr="00123312">
        <w:rPr>
          <w:rFonts w:ascii="Franklin Gothic Book" w:hAnsi="Franklin Gothic Book"/>
          <w:kern w:val="2"/>
          <w14:ligatures w14:val="standardContextual"/>
        </w:rPr>
        <w:t xml:space="preserve">to estimate a durable response would not be appropriate. MSAC advised an extended </w:t>
      </w:r>
      <w:proofErr w:type="spellStart"/>
      <w:r w:rsidRPr="00123312">
        <w:rPr>
          <w:rFonts w:ascii="Franklin Gothic Book" w:hAnsi="Franklin Gothic Book"/>
          <w:kern w:val="2"/>
          <w14:ligatures w14:val="standardContextual"/>
        </w:rPr>
        <w:t>PfP</w:t>
      </w:r>
      <w:proofErr w:type="spellEnd"/>
      <w:r w:rsidRPr="00123312">
        <w:rPr>
          <w:rFonts w:ascii="Franklin Gothic Book" w:hAnsi="Franklin Gothic Book"/>
          <w:kern w:val="2"/>
          <w14:ligatures w14:val="standardContextual"/>
        </w:rPr>
        <w:t xml:space="preserve"> arrangement reflecting that patients continued to relapse over a period of 4 years </w:t>
      </w:r>
      <w:bookmarkEnd w:id="8"/>
      <w:r w:rsidRPr="00123312">
        <w:rPr>
          <w:rFonts w:ascii="Franklin Gothic Book" w:hAnsi="Franklin Gothic Book"/>
          <w:kern w:val="2"/>
          <w14:ligatures w14:val="standardContextual"/>
        </w:rPr>
        <w:t>was required to ap</w:t>
      </w:r>
      <w:r w:rsidRPr="00933448">
        <w:rPr>
          <w:rFonts w:ascii="Franklin Gothic Book" w:hAnsi="Franklin Gothic Book"/>
          <w:kern w:val="2"/>
          <w14:ligatures w14:val="standardContextual"/>
        </w:rPr>
        <w:t>propriately balance the high ICER and very high price of cilta-cel against the uncertainty related to the magnitude of benefit and durability of response cilta-cel claims to provide to patients. This included:</w:t>
      </w:r>
    </w:p>
    <w:p w14:paraId="4A532AD9" w14:textId="77777777" w:rsidR="00D95E54" w:rsidRPr="00933448" w:rsidRDefault="00D95E54" w:rsidP="00D95E54">
      <w:pPr>
        <w:numPr>
          <w:ilvl w:val="0"/>
          <w:numId w:val="31"/>
        </w:numPr>
        <w:spacing w:after="160" w:line="259" w:lineRule="auto"/>
        <w:contextualSpacing/>
        <w:rPr>
          <w:rFonts w:ascii="Franklin Gothic Book" w:hAnsi="Franklin Gothic Book"/>
          <w:kern w:val="2"/>
          <w14:ligatures w14:val="standardContextual"/>
        </w:rPr>
      </w:pPr>
      <w:bookmarkStart w:id="9" w:name="_Hlk170122463"/>
      <w:r w:rsidRPr="00933448">
        <w:rPr>
          <w:rFonts w:ascii="Franklin Gothic Book" w:hAnsi="Franklin Gothic Book"/>
          <w:kern w:val="2"/>
          <w14:ligatures w14:val="standardContextual"/>
        </w:rPr>
        <w:t xml:space="preserve">A </w:t>
      </w:r>
      <w:proofErr w:type="spellStart"/>
      <w:r w:rsidRPr="00933448">
        <w:rPr>
          <w:rFonts w:ascii="Franklin Gothic Book" w:hAnsi="Franklin Gothic Book"/>
          <w:kern w:val="2"/>
          <w14:ligatures w14:val="standardContextual"/>
        </w:rPr>
        <w:t>PfP</w:t>
      </w:r>
      <w:proofErr w:type="spellEnd"/>
      <w:r w:rsidRPr="00933448">
        <w:rPr>
          <w:rFonts w:ascii="Franklin Gothic Book" w:hAnsi="Franklin Gothic Book"/>
          <w:kern w:val="2"/>
          <w14:ligatures w14:val="standardContextual"/>
        </w:rPr>
        <w:t xml:space="preserve"> arrangement composed of the following payment structure: </w:t>
      </w:r>
    </w:p>
    <w:p w14:paraId="739FB1E7" w14:textId="5808DCBB" w:rsidR="00D95E54" w:rsidRPr="004F08DC" w:rsidRDefault="00D95E54" w:rsidP="00D95E54">
      <w:pPr>
        <w:numPr>
          <w:ilvl w:val="1"/>
          <w:numId w:val="31"/>
        </w:numPr>
        <w:spacing w:after="160" w:line="259" w:lineRule="auto"/>
        <w:contextualSpacing/>
        <w:rPr>
          <w:rFonts w:ascii="Franklin Gothic Book" w:hAnsi="Franklin Gothic Book"/>
          <w:kern w:val="2"/>
          <w14:ligatures w14:val="standardContextual"/>
        </w:rPr>
      </w:pPr>
      <w:r w:rsidRPr="004F08DC">
        <w:rPr>
          <w:rFonts w:ascii="Franklin Gothic Book" w:hAnsi="Franklin Gothic Book"/>
          <w:kern w:val="2"/>
          <w14:ligatures w14:val="standardContextual"/>
        </w:rPr>
        <w:t>an initial payment only on successful infusion (up to $</w:t>
      </w:r>
      <w:r w:rsidR="007E3177" w:rsidRPr="007E3177">
        <w:rPr>
          <w:rFonts w:ascii="Franklin Gothic Book" w:hAnsi="Franklin Gothic Book"/>
          <w:color w:val="000000"/>
          <w:kern w:val="2"/>
          <w:shd w:val="solid" w:color="000000" w:fill="000000"/>
          <w14:textFill>
            <w14:solidFill>
              <w14:srgbClr w14:val="000000">
                <w14:alpha w14:val="100000"/>
              </w14:srgbClr>
            </w14:solidFill>
          </w14:textFill>
          <w14:ligatures w14:val="standardContextual"/>
        </w:rPr>
        <w:t>|</w:t>
      </w:r>
      <w:r w:rsidRPr="004F08DC">
        <w:rPr>
          <w:rFonts w:ascii="Franklin Gothic Book" w:hAnsi="Franklin Gothic Book"/>
          <w:kern w:val="2"/>
          <w14:ligatures w14:val="standardContextual"/>
        </w:rPr>
        <w:t>); and</w:t>
      </w:r>
    </w:p>
    <w:p w14:paraId="5078DA69" w14:textId="235ADCA7" w:rsidR="00D95E54" w:rsidRPr="004F08DC" w:rsidRDefault="00D95E54" w:rsidP="00D95E54">
      <w:pPr>
        <w:numPr>
          <w:ilvl w:val="1"/>
          <w:numId w:val="31"/>
        </w:numPr>
        <w:spacing w:after="160" w:line="259" w:lineRule="auto"/>
        <w:contextualSpacing/>
        <w:rPr>
          <w:rFonts w:ascii="Franklin Gothic Book" w:hAnsi="Franklin Gothic Book"/>
          <w:kern w:val="2"/>
          <w14:ligatures w14:val="standardContextual"/>
        </w:rPr>
      </w:pPr>
      <w:r w:rsidRPr="004F08DC">
        <w:rPr>
          <w:rFonts w:ascii="Franklin Gothic Book" w:hAnsi="Franklin Gothic Book"/>
          <w:kern w:val="2"/>
          <w14:ligatures w14:val="standardContextual"/>
        </w:rPr>
        <w:t>Subsequent equal payments ($</w:t>
      </w:r>
      <w:r w:rsidR="007E3177" w:rsidRPr="007E3177">
        <w:rPr>
          <w:rFonts w:ascii="Franklin Gothic Book" w:hAnsi="Franklin Gothic Book"/>
          <w:color w:val="000000"/>
          <w:kern w:val="2"/>
          <w:shd w:val="solid" w:color="000000" w:fill="000000"/>
          <w14:textFill>
            <w14:solidFill>
              <w14:srgbClr w14:val="000000">
                <w14:alpha w14:val="100000"/>
              </w14:srgbClr>
            </w14:solidFill>
          </w14:textFill>
          <w14:ligatures w14:val="standardContextual"/>
        </w:rPr>
        <w:t>|</w:t>
      </w:r>
      <w:r w:rsidRPr="004F08DC">
        <w:rPr>
          <w:rFonts w:ascii="Franklin Gothic Book" w:hAnsi="Franklin Gothic Book"/>
          <w:kern w:val="2"/>
          <w14:ligatures w14:val="standardContextual"/>
        </w:rPr>
        <w:t xml:space="preserve"> per payment) at 12, 24, 36 and 48</w:t>
      </w:r>
      <w:r w:rsidR="0095250C" w:rsidRPr="004F08DC">
        <w:rPr>
          <w:rFonts w:ascii="Franklin Gothic Book" w:hAnsi="Franklin Gothic Book"/>
          <w:kern w:val="2"/>
          <w14:ligatures w14:val="standardContextual"/>
        </w:rPr>
        <w:t> </w:t>
      </w:r>
      <w:r w:rsidRPr="004F08DC">
        <w:rPr>
          <w:rFonts w:ascii="Franklin Gothic Book" w:hAnsi="Franklin Gothic Book"/>
          <w:kern w:val="2"/>
          <w14:ligatures w14:val="standardContextual"/>
        </w:rPr>
        <w:t>months upon confirmation that the patient has not died and is in stringent complete response (</w:t>
      </w:r>
      <w:proofErr w:type="spellStart"/>
      <w:r w:rsidRPr="004F08DC">
        <w:rPr>
          <w:rFonts w:ascii="Franklin Gothic Book" w:hAnsi="Franklin Gothic Book"/>
          <w:kern w:val="2"/>
          <w14:ligatures w14:val="standardContextual"/>
        </w:rPr>
        <w:t>sCR</w:t>
      </w:r>
      <w:proofErr w:type="spellEnd"/>
      <w:r w:rsidRPr="004F08DC">
        <w:rPr>
          <w:rFonts w:ascii="Franklin Gothic Book" w:hAnsi="Franklin Gothic Book"/>
          <w:kern w:val="2"/>
          <w14:ligatures w14:val="standardContextual"/>
        </w:rPr>
        <w:t>) (as defined by the IMWG criteria) at 12 months post infusion, and with no evidence of progressive disease (as defined by the IMWG criteria) at 24, 36, or 48 months thereafter (refer to Table 2).</w:t>
      </w:r>
    </w:p>
    <w:bookmarkEnd w:id="9"/>
    <w:p w14:paraId="475FD2C6" w14:textId="47EC3905" w:rsidR="00D95E54" w:rsidRPr="004F08DC" w:rsidRDefault="00D95E54" w:rsidP="00D95E54">
      <w:pPr>
        <w:numPr>
          <w:ilvl w:val="0"/>
          <w:numId w:val="31"/>
        </w:numPr>
        <w:spacing w:after="160" w:line="259" w:lineRule="auto"/>
        <w:contextualSpacing/>
        <w:rPr>
          <w:rFonts w:ascii="Franklin Gothic Book" w:hAnsi="Franklin Gothic Book"/>
          <w:kern w:val="2"/>
          <w14:ligatures w14:val="standardContextual"/>
        </w:rPr>
      </w:pPr>
      <w:r w:rsidRPr="004F08DC">
        <w:rPr>
          <w:rFonts w:ascii="Franklin Gothic Book" w:hAnsi="Franklin Gothic Book"/>
          <w:kern w:val="2"/>
          <w14:ligatures w14:val="standardContextual"/>
        </w:rPr>
        <w:t>a maximum price per responder that does not exceed the unit price of $</w:t>
      </w:r>
      <w:r w:rsidR="007E3177" w:rsidRPr="007E3177">
        <w:rPr>
          <w:rFonts w:ascii="Franklin Gothic Book" w:hAnsi="Franklin Gothic Book" w:hint="eastAsia"/>
          <w:color w:val="000000"/>
          <w:w w:val="15"/>
          <w:shd w:val="solid" w:color="000000" w:fill="000000"/>
          <w:fitText w:val="80" w:id="-959204603"/>
          <w14:textFill>
            <w14:solidFill>
              <w14:srgbClr w14:val="000000">
                <w14:alpha w14:val="100000"/>
              </w14:srgbClr>
            </w14:solidFill>
          </w14:textFill>
          <w14:ligatures w14:val="standardContextual"/>
        </w:rPr>
        <w:t xml:space="preserve">　</w:t>
      </w:r>
      <w:proofErr w:type="gramStart"/>
      <w:r w:rsidR="007E3177" w:rsidRPr="007E3177">
        <w:rPr>
          <w:rFonts w:ascii="Franklin Gothic Book" w:hAnsi="Franklin Gothic Book"/>
          <w:color w:val="000000"/>
          <w:w w:val="15"/>
          <w:shd w:val="solid" w:color="000000" w:fill="000000"/>
          <w:fitText w:val="80" w:id="-959204603"/>
          <w14:textFill>
            <w14:solidFill>
              <w14:srgbClr w14:val="000000">
                <w14:alpha w14:val="100000"/>
              </w14:srgbClr>
            </w14:solidFill>
          </w14:textFill>
          <w14:ligatures w14:val="standardContextual"/>
        </w:rPr>
        <w:t>|</w:t>
      </w:r>
      <w:r w:rsidR="007E3177" w:rsidRPr="007E3177">
        <w:rPr>
          <w:rFonts w:ascii="Franklin Gothic Book" w:hAnsi="Franklin Gothic Book" w:hint="eastAsia"/>
          <w:color w:val="000000"/>
          <w:spacing w:val="-1"/>
          <w:w w:val="15"/>
          <w:shd w:val="solid" w:color="000000" w:fill="000000"/>
          <w:fitText w:val="80" w:id="-959204603"/>
          <w14:textFill>
            <w14:solidFill>
              <w14:srgbClr w14:val="000000">
                <w14:alpha w14:val="100000"/>
              </w14:srgbClr>
            </w14:solidFill>
          </w14:textFill>
          <w14:ligatures w14:val="standardContextual"/>
        </w:rPr>
        <w:t xml:space="preserve">　</w:t>
      </w:r>
      <w:r w:rsidRPr="004F08DC">
        <w:rPr>
          <w:rFonts w:ascii="Franklin Gothic Book" w:hAnsi="Franklin Gothic Book"/>
          <w:kern w:val="2"/>
          <w14:ligatures w14:val="standardContextual"/>
        </w:rPr>
        <w:t>;</w:t>
      </w:r>
      <w:proofErr w:type="gramEnd"/>
      <w:r w:rsidRPr="004F08DC">
        <w:rPr>
          <w:rFonts w:ascii="Franklin Gothic Book" w:hAnsi="Franklin Gothic Book"/>
          <w:kern w:val="2"/>
          <w14:ligatures w14:val="standardContextual"/>
        </w:rPr>
        <w:t xml:space="preserve"> and</w:t>
      </w:r>
    </w:p>
    <w:p w14:paraId="4225CD99" w14:textId="1838B96B" w:rsidR="00D95E54" w:rsidRPr="004F08DC" w:rsidRDefault="00D95E54" w:rsidP="00D95E54">
      <w:pPr>
        <w:numPr>
          <w:ilvl w:val="0"/>
          <w:numId w:val="31"/>
        </w:numPr>
        <w:spacing w:after="160" w:line="259" w:lineRule="auto"/>
        <w:contextualSpacing/>
        <w:rPr>
          <w:rFonts w:ascii="Franklin Gothic Book" w:hAnsi="Franklin Gothic Book"/>
          <w:kern w:val="2"/>
          <w14:ligatures w14:val="standardContextual"/>
        </w:rPr>
      </w:pPr>
      <w:bookmarkStart w:id="10" w:name="_Hlk170122500"/>
      <w:proofErr w:type="gramStart"/>
      <w:r w:rsidRPr="004F08DC">
        <w:rPr>
          <w:rFonts w:ascii="Franklin Gothic Book" w:hAnsi="Franklin Gothic Book"/>
          <w:kern w:val="2"/>
          <w14:ligatures w14:val="standardContextual"/>
        </w:rPr>
        <w:t>in order for</w:t>
      </w:r>
      <w:proofErr w:type="gramEnd"/>
      <w:r w:rsidRPr="004F08DC">
        <w:rPr>
          <w:rFonts w:ascii="Franklin Gothic Book" w:hAnsi="Franklin Gothic Book"/>
          <w:kern w:val="2"/>
          <w14:ligatures w14:val="standardContextual"/>
        </w:rPr>
        <w:t xml:space="preserve"> payments beyond the initial payment for successful infusion to be paid, the patient must not have received active anti-myeloma treatment for RRMM following infusion with cilta-cel, including non-PBS subsidised therapies or autologous stem cell transplant; and</w:t>
      </w:r>
    </w:p>
    <w:bookmarkEnd w:id="10"/>
    <w:p w14:paraId="3F4D2DFD" w14:textId="77777777" w:rsidR="00D95E54" w:rsidRPr="00933448" w:rsidRDefault="00D95E54" w:rsidP="00D95E54">
      <w:pPr>
        <w:numPr>
          <w:ilvl w:val="0"/>
          <w:numId w:val="31"/>
        </w:numPr>
        <w:spacing w:after="160" w:line="259" w:lineRule="auto"/>
        <w:contextualSpacing/>
        <w:rPr>
          <w:rFonts w:ascii="Franklin Gothic Book" w:hAnsi="Franklin Gothic Book"/>
          <w:kern w:val="2"/>
          <w14:ligatures w14:val="standardContextual"/>
        </w:rPr>
      </w:pPr>
      <w:r w:rsidRPr="00933448">
        <w:rPr>
          <w:rFonts w:ascii="Franklin Gothic Book" w:hAnsi="Franklin Gothic Book"/>
          <w:kern w:val="2"/>
          <w14:ligatures w14:val="standardContextual"/>
        </w:rPr>
        <w:t>a reduced payment only on successful infusion to be paid for each patient treated above the patient estimates in a given funding year;</w:t>
      </w:r>
      <w:r w:rsidRPr="00D95E54">
        <w:rPr>
          <w:rFonts w:ascii="Franklin Gothic Book" w:hAnsi="Franklin Gothic Book"/>
          <w:kern w:val="2"/>
          <w14:ligatures w14:val="standardContextual"/>
        </w:rPr>
        <w:t xml:space="preserve"> and</w:t>
      </w:r>
    </w:p>
    <w:p w14:paraId="0EEA20B9" w14:textId="77777777" w:rsidR="00D95E54" w:rsidRPr="00933448" w:rsidRDefault="00D95E54" w:rsidP="00D95E54">
      <w:pPr>
        <w:numPr>
          <w:ilvl w:val="0"/>
          <w:numId w:val="31"/>
        </w:numPr>
        <w:spacing w:after="160" w:line="259" w:lineRule="auto"/>
        <w:contextualSpacing/>
        <w:rPr>
          <w:rFonts w:ascii="Franklin Gothic Book" w:hAnsi="Franklin Gothic Book"/>
          <w:kern w:val="2"/>
          <w14:ligatures w14:val="standardContextual"/>
        </w:rPr>
      </w:pPr>
      <w:r w:rsidRPr="00933448">
        <w:rPr>
          <w:rFonts w:ascii="Franklin Gothic Book" w:hAnsi="Franklin Gothic Book"/>
          <w:kern w:val="2"/>
          <w14:ligatures w14:val="standardContextual"/>
        </w:rPr>
        <w:t>treatment to be limited to a single infusion of cilta-cel, as there is no evidence currently available informing the effectiveness or safety of multiple infusions; and</w:t>
      </w:r>
    </w:p>
    <w:p w14:paraId="46F61C91" w14:textId="77777777" w:rsidR="00D95E54" w:rsidRPr="00933448" w:rsidRDefault="00D95E54" w:rsidP="00D95E54">
      <w:pPr>
        <w:numPr>
          <w:ilvl w:val="0"/>
          <w:numId w:val="31"/>
        </w:numPr>
        <w:spacing w:after="160" w:line="259" w:lineRule="auto"/>
        <w:contextualSpacing/>
        <w:rPr>
          <w:rFonts w:ascii="Franklin Gothic Book" w:hAnsi="Franklin Gothic Book"/>
          <w:kern w:val="2"/>
          <w14:ligatures w14:val="standardContextual"/>
        </w:rPr>
      </w:pPr>
      <w:r w:rsidRPr="00933448">
        <w:rPr>
          <w:rFonts w:ascii="Franklin Gothic Book" w:hAnsi="Franklin Gothic Book"/>
          <w:kern w:val="2"/>
          <w14:ligatures w14:val="standardContextual"/>
        </w:rPr>
        <w:t>mandatory data collection via a registry; and</w:t>
      </w:r>
    </w:p>
    <w:p w14:paraId="6AB2CBD4" w14:textId="77777777" w:rsidR="00D95E54" w:rsidRPr="00933448" w:rsidRDefault="00D95E54" w:rsidP="0095250C">
      <w:pPr>
        <w:numPr>
          <w:ilvl w:val="0"/>
          <w:numId w:val="31"/>
        </w:numPr>
        <w:spacing w:line="259" w:lineRule="auto"/>
        <w:ind w:left="714" w:hanging="357"/>
        <w:rPr>
          <w:rFonts w:ascii="Franklin Gothic Book" w:hAnsi="Franklin Gothic Book"/>
          <w:kern w:val="2"/>
          <w14:ligatures w14:val="standardContextual"/>
        </w:rPr>
      </w:pPr>
      <w:r w:rsidRPr="00933448">
        <w:rPr>
          <w:rFonts w:ascii="Franklin Gothic Book" w:hAnsi="Franklin Gothic Book"/>
          <w:kern w:val="2"/>
          <w14:ligatures w14:val="standardContextual"/>
        </w:rPr>
        <w:t>a review conducted by the MSAC no later than 2 years post the commencement of public subsidy.</w:t>
      </w:r>
    </w:p>
    <w:p w14:paraId="56539E01" w14:textId="01B148C0" w:rsidR="00D95E54" w:rsidRDefault="00D95E54" w:rsidP="00D95E54">
      <w:pPr>
        <w:spacing w:after="160" w:line="259" w:lineRule="auto"/>
        <w:rPr>
          <w:rFonts w:ascii="Franklin Gothic Book" w:hAnsi="Franklin Gothic Book"/>
          <w:kern w:val="2"/>
          <w14:ligatures w14:val="standardContextual"/>
        </w:rPr>
      </w:pPr>
      <w:r w:rsidRPr="004F08DC">
        <w:rPr>
          <w:rFonts w:ascii="Franklin Gothic Book" w:hAnsi="Franklin Gothic Book"/>
          <w:kern w:val="2"/>
          <w14:ligatures w14:val="standardContextual"/>
        </w:rPr>
        <w:t>MSAC considered the nominated response measures reflected the outcomes used in the CARTITUDE-1 trial as well as standard clinical practice, noting it was not appropriate to require patients to receive repeated bone marrow biopsies if not otherwise clinically indicated post 12</w:t>
      </w:r>
      <w:r w:rsidR="0095250C" w:rsidRPr="004F08DC">
        <w:rPr>
          <w:rFonts w:ascii="Franklin Gothic Book" w:hAnsi="Franklin Gothic Book"/>
          <w:kern w:val="2"/>
          <w14:ligatures w14:val="standardContextual"/>
        </w:rPr>
        <w:t> </w:t>
      </w:r>
      <w:r w:rsidRPr="004F08DC">
        <w:rPr>
          <w:rFonts w:ascii="Franklin Gothic Book" w:hAnsi="Franklin Gothic Book"/>
          <w:kern w:val="2"/>
          <w14:ligatures w14:val="standardContextual"/>
        </w:rPr>
        <w:t xml:space="preserve">months. MSAC considered that if the company was not able to supply treatment to Australia until </w:t>
      </w:r>
      <w:r w:rsidR="007E3177" w:rsidRPr="007E3177">
        <w:rPr>
          <w:rFonts w:ascii="Franklin Gothic Book" w:hAnsi="Franklin Gothic Book"/>
          <w:color w:val="000000"/>
          <w:w w:val="66"/>
          <w:shd w:val="solid" w:color="000000" w:fill="000000"/>
          <w:fitText w:val="440" w:id="-959204602"/>
          <w14:textFill>
            <w14:solidFill>
              <w14:srgbClr w14:val="000000">
                <w14:alpha w14:val="100000"/>
              </w14:srgbClr>
            </w14:solidFill>
          </w14:textFill>
          <w14:ligatures w14:val="standardContextual"/>
        </w:rPr>
        <w:t>|||||</w:t>
      </w:r>
      <w:r w:rsidR="007E3177" w:rsidRPr="007E3177">
        <w:rPr>
          <w:rFonts w:ascii="Franklin Gothic Book" w:hAnsi="Franklin Gothic Book"/>
          <w:color w:val="000000"/>
          <w:spacing w:val="4"/>
          <w:w w:val="66"/>
          <w:shd w:val="solid" w:color="000000" w:fill="000000"/>
          <w:fitText w:val="440" w:id="-959204602"/>
          <w14:textFill>
            <w14:solidFill>
              <w14:srgbClr w14:val="000000">
                <w14:alpha w14:val="100000"/>
              </w14:srgbClr>
            </w14:solidFill>
          </w14:textFill>
          <w14:ligatures w14:val="standardContextual"/>
        </w:rPr>
        <w:t>|</w:t>
      </w:r>
      <w:r w:rsidRPr="004F08DC">
        <w:rPr>
          <w:rFonts w:ascii="Franklin Gothic Book" w:hAnsi="Franklin Gothic Book"/>
          <w:kern w:val="2"/>
          <w14:ligatures w14:val="standardContextual"/>
        </w:rPr>
        <w:t xml:space="preserve">, there was adequate time to negotiate the details of this </w:t>
      </w:r>
      <w:proofErr w:type="spellStart"/>
      <w:r w:rsidRPr="004F08DC">
        <w:rPr>
          <w:rFonts w:ascii="Franklin Gothic Book" w:hAnsi="Franklin Gothic Book"/>
          <w:kern w:val="2"/>
          <w14:ligatures w14:val="standardContextual"/>
        </w:rPr>
        <w:t>PfP</w:t>
      </w:r>
      <w:proofErr w:type="spellEnd"/>
      <w:r w:rsidRPr="004F08DC">
        <w:rPr>
          <w:rFonts w:ascii="Franklin Gothic Book" w:hAnsi="Franklin Gothic Book"/>
          <w:kern w:val="2"/>
          <w14:ligatures w14:val="standardContextual"/>
        </w:rPr>
        <w:t xml:space="preserve"> arrangement and to ensure the appropriate infrastructure was in place to report on patient outcomes.</w:t>
      </w:r>
    </w:p>
    <w:p w14:paraId="391F23BB" w14:textId="19D3EC6C" w:rsidR="009433E3" w:rsidRPr="004F3649" w:rsidRDefault="009433E3" w:rsidP="009433E3">
      <w:pPr>
        <w:pStyle w:val="Caption"/>
      </w:pPr>
      <w:bookmarkStart w:id="11" w:name="_Ref139989015"/>
      <w:r w:rsidRPr="004F08DC">
        <w:lastRenderedPageBreak/>
        <w:t>Figure 1</w:t>
      </w:r>
      <w:bookmarkEnd w:id="11"/>
      <w:r w:rsidRPr="004F08DC">
        <w:tab/>
        <w:t>Kaplan-Meier curves of PFS for the ITT 5L+ population of CARTITUDE-1 vs CE-MRDR main cohort</w:t>
      </w:r>
    </w:p>
    <w:p w14:paraId="0EF8AE65" w14:textId="293ED3A1" w:rsidR="00892698" w:rsidRDefault="00C41291" w:rsidP="00D95E54">
      <w:pPr>
        <w:spacing w:after="160" w:line="259" w:lineRule="auto"/>
        <w:rPr>
          <w:rFonts w:ascii="Franklin Gothic Book" w:hAnsi="Franklin Gothic Book"/>
          <w:kern w:val="2"/>
          <w14:ligatures w14:val="standardContextual"/>
        </w:rPr>
      </w:pPr>
      <w:r w:rsidRPr="00ED70EF">
        <w:rPr>
          <w:noProof/>
          <w:lang w:eastAsia="en-AU"/>
        </w:rPr>
        <w:drawing>
          <wp:inline distT="0" distB="0" distL="0" distR="0" wp14:anchorId="6A4990C4" wp14:editId="50E5C56E">
            <wp:extent cx="4507200" cy="3042815"/>
            <wp:effectExtent l="0" t="0" r="8255" b="5715"/>
            <wp:docPr id="2020092365" name="Picture 2020092365" descr="A graph of a patient's disease&#10;&#10;Kaplan-Meier curves of PFS for the ITT 5L+ population of CARTITUDE-1 vs CE-MRDR main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92365" name="Picture 2020092365" descr="A graph of a patient's disease&#10;&#10;Kaplan-Meier curves of PFS for the ITT 5L+ population of CARTITUDE-1 vs CE-MRDR main coh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7200" cy="3042815"/>
                    </a:xfrm>
                    <a:prstGeom prst="rect">
                      <a:avLst/>
                    </a:prstGeom>
                    <a:noFill/>
                    <a:ln>
                      <a:noFill/>
                    </a:ln>
                  </pic:spPr>
                </pic:pic>
              </a:graphicData>
            </a:graphic>
          </wp:inline>
        </w:drawing>
      </w:r>
    </w:p>
    <w:p w14:paraId="34F16177" w14:textId="64B7BEC7" w:rsidR="00551BB1" w:rsidRPr="004F3649" w:rsidRDefault="00551BB1" w:rsidP="00551BB1">
      <w:pPr>
        <w:pStyle w:val="Tablenotes0"/>
        <w:rPr>
          <w:shd w:val="clear" w:color="auto" w:fill="FFFFFF"/>
        </w:rPr>
      </w:pPr>
      <w:r w:rsidRPr="004F3649">
        <w:rPr>
          <w:b/>
          <w:bCs/>
        </w:rPr>
        <w:t>Source</w:t>
      </w:r>
      <w:r w:rsidRPr="004F3649">
        <w:t>: Figure 2-3</w:t>
      </w:r>
      <w:r w:rsidRPr="004F3649">
        <w:rPr>
          <w:rStyle w:val="normaltextrun"/>
          <w:color w:val="000000"/>
          <w:szCs w:val="18"/>
          <w:shd w:val="clear" w:color="auto" w:fill="FFFFFF"/>
        </w:rPr>
        <w:t>, Section 2.3.2.1. of the ADAR</w:t>
      </w:r>
      <w:r>
        <w:rPr>
          <w:rStyle w:val="normaltextrun"/>
          <w:color w:val="000000"/>
          <w:szCs w:val="18"/>
          <w:shd w:val="clear" w:color="auto" w:fill="FFFFFF"/>
        </w:rPr>
        <w:t xml:space="preserve"> 1690.1</w:t>
      </w:r>
      <w:r w:rsidRPr="004F3649">
        <w:rPr>
          <w:rStyle w:val="normaltextrun"/>
          <w:color w:val="000000"/>
          <w:szCs w:val="18"/>
          <w:shd w:val="clear" w:color="auto" w:fill="FFFFFF"/>
        </w:rPr>
        <w:t>.</w:t>
      </w:r>
      <w:r w:rsidRPr="004F3649">
        <w:rPr>
          <w:shd w:val="clear" w:color="auto" w:fill="FFFFFF"/>
        </w:rPr>
        <w:t xml:space="preserve"> </w:t>
      </w:r>
    </w:p>
    <w:p w14:paraId="6A30FC02" w14:textId="4F081E40" w:rsidR="005B1C38" w:rsidRPr="004F3649" w:rsidRDefault="005B1C38" w:rsidP="005B1C38">
      <w:pPr>
        <w:pStyle w:val="Caption"/>
      </w:pPr>
      <w:bookmarkStart w:id="12" w:name="_Ref143610330"/>
      <w:r w:rsidRPr="004F08DC">
        <w:t>Figure 2</w:t>
      </w:r>
      <w:bookmarkEnd w:id="12"/>
      <w:r w:rsidRPr="004F08DC">
        <w:tab/>
        <w:t>Kaplan-Meier curves of OS for the ITT 5L+ population of CARTITUDE-1 vs CE-MRDR main cohort</w:t>
      </w:r>
    </w:p>
    <w:p w14:paraId="7440BC4E" w14:textId="77777777" w:rsidR="005B1C38" w:rsidRPr="004F3649" w:rsidRDefault="005B1C38" w:rsidP="005B1C38">
      <w:r w:rsidRPr="00ED70EF">
        <w:rPr>
          <w:noProof/>
          <w:lang w:eastAsia="en-AU"/>
        </w:rPr>
        <w:drawing>
          <wp:inline distT="0" distB="0" distL="0" distR="0" wp14:anchorId="6F669381" wp14:editId="4D35BADE">
            <wp:extent cx="4507200" cy="3042811"/>
            <wp:effectExtent l="0" t="0" r="8255" b="5715"/>
            <wp:docPr id="635235939" name="Picture 635235939" descr="A graph of a patient's disease&#10;&#10;Kaplan-Meier curves of OS for the ITT 5L+ population of CARTITUDE-1 vs CE-MRDR main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35939" name="Picture 635235939" descr="A graph of a patient's disease&#10;&#10;Kaplan-Meier curves of OS for the ITT 5L+ population of CARTITUDE-1 vs CE-MRDR main co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7200" cy="3042811"/>
                    </a:xfrm>
                    <a:prstGeom prst="rect">
                      <a:avLst/>
                    </a:prstGeom>
                    <a:noFill/>
                    <a:ln>
                      <a:noFill/>
                    </a:ln>
                  </pic:spPr>
                </pic:pic>
              </a:graphicData>
            </a:graphic>
          </wp:inline>
        </w:drawing>
      </w:r>
    </w:p>
    <w:p w14:paraId="766149F0" w14:textId="1C37041F" w:rsidR="0095250C" w:rsidRDefault="005B1C38" w:rsidP="0095250C">
      <w:pPr>
        <w:pStyle w:val="Tablenotes0"/>
        <w:rPr>
          <w:shd w:val="clear" w:color="auto" w:fill="FFFFFF"/>
        </w:rPr>
      </w:pPr>
      <w:r w:rsidRPr="00BE6881">
        <w:rPr>
          <w:b/>
          <w:bCs/>
        </w:rPr>
        <w:t>Source</w:t>
      </w:r>
      <w:r w:rsidRPr="00BE6881">
        <w:t>: Figure 2-11</w:t>
      </w:r>
      <w:r w:rsidRPr="00BE6881">
        <w:rPr>
          <w:rStyle w:val="normaltextrun"/>
          <w:color w:val="000000"/>
          <w:szCs w:val="18"/>
          <w:shd w:val="clear" w:color="auto" w:fill="FFFFFF"/>
        </w:rPr>
        <w:t>, Section 2.3.2.2. of the ADAR 1690.1.</w:t>
      </w:r>
      <w:r w:rsidRPr="004F3649">
        <w:rPr>
          <w:shd w:val="clear" w:color="auto" w:fill="FFFFFF"/>
        </w:rPr>
        <w:t xml:space="preserve"> </w:t>
      </w:r>
      <w:r w:rsidR="0095250C">
        <w:rPr>
          <w:shd w:val="clear" w:color="auto" w:fill="FFFFFF"/>
        </w:rPr>
        <w:br w:type="page"/>
      </w:r>
    </w:p>
    <w:p w14:paraId="60E16CCB" w14:textId="3ADA455F" w:rsidR="00D95E54" w:rsidRPr="00933448" w:rsidRDefault="00D95E54" w:rsidP="00D95E54">
      <w:pPr>
        <w:pStyle w:val="Caption"/>
      </w:pPr>
      <w:r w:rsidRPr="00933448">
        <w:t xml:space="preserve">Table </w:t>
      </w:r>
      <w:r w:rsidRPr="00D95E54">
        <w:t>2</w:t>
      </w:r>
      <w:r w:rsidRPr="00D95E54">
        <w:tab/>
      </w:r>
      <w:r w:rsidRPr="00933448">
        <w:t xml:space="preserve">Supported </w:t>
      </w:r>
      <w:proofErr w:type="spellStart"/>
      <w:r w:rsidRPr="00933448">
        <w:t>PfP</w:t>
      </w:r>
      <w:proofErr w:type="spellEnd"/>
      <w:r w:rsidRPr="00933448">
        <w:t xml:space="preserve"> schedule for cilta-cel</w:t>
      </w: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4"/>
        <w:gridCol w:w="4564"/>
      </w:tblGrid>
      <w:tr w:rsidR="00D95E54" w:rsidRPr="00933448" w14:paraId="21846C76" w14:textId="77777777">
        <w:trPr>
          <w:trHeight w:val="121"/>
        </w:trPr>
        <w:tc>
          <w:tcPr>
            <w:tcW w:w="4564" w:type="dxa"/>
            <w:shd w:val="clear" w:color="auto" w:fill="BFBFBF" w:themeFill="background1" w:themeFillShade="BF"/>
          </w:tcPr>
          <w:p w14:paraId="43179F2F" w14:textId="77777777" w:rsidR="00D95E54" w:rsidRPr="00933448" w:rsidRDefault="00D95E54">
            <w:pPr>
              <w:pStyle w:val="Tabletext0"/>
              <w:rPr>
                <w:b/>
                <w:bCs/>
                <w14:ligatures w14:val="standardContextual"/>
              </w:rPr>
            </w:pPr>
            <w:r w:rsidRPr="00933448">
              <w:rPr>
                <w:b/>
                <w:bCs/>
                <w14:ligatures w14:val="standardContextual"/>
              </w:rPr>
              <w:t xml:space="preserve">Description </w:t>
            </w:r>
          </w:p>
        </w:tc>
        <w:tc>
          <w:tcPr>
            <w:tcW w:w="4564" w:type="dxa"/>
            <w:shd w:val="clear" w:color="auto" w:fill="BFBFBF" w:themeFill="background1" w:themeFillShade="BF"/>
          </w:tcPr>
          <w:p w14:paraId="7C429614" w14:textId="77777777" w:rsidR="00D95E54" w:rsidRPr="00933448" w:rsidRDefault="00D95E54">
            <w:pPr>
              <w:pStyle w:val="Tabletext0"/>
              <w:rPr>
                <w:b/>
                <w:bCs/>
                <w14:ligatures w14:val="standardContextual"/>
              </w:rPr>
            </w:pPr>
            <w:r w:rsidRPr="00933448">
              <w:rPr>
                <w:b/>
                <w:bCs/>
                <w14:ligatures w14:val="standardContextual"/>
              </w:rPr>
              <w:t xml:space="preserve">Payment schedule </w:t>
            </w:r>
          </w:p>
        </w:tc>
      </w:tr>
      <w:tr w:rsidR="00D95E54" w:rsidRPr="00933448" w14:paraId="1D065111" w14:textId="77777777">
        <w:trPr>
          <w:trHeight w:val="117"/>
        </w:trPr>
        <w:tc>
          <w:tcPr>
            <w:tcW w:w="4564" w:type="dxa"/>
          </w:tcPr>
          <w:p w14:paraId="7041B39F"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Cilta-cel unit cost/maximum cost </w:t>
            </w:r>
          </w:p>
        </w:tc>
        <w:tc>
          <w:tcPr>
            <w:tcW w:w="4564" w:type="dxa"/>
          </w:tcPr>
          <w:p w14:paraId="2394C2EA" w14:textId="25152F9B"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601"/>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601"/>
                <w14:textFill>
                  <w14:solidFill>
                    <w14:srgbClr w14:val="000000">
                      <w14:alpha w14:val="100000"/>
                    </w14:srgbClr>
                  </w14:solidFill>
                </w14:textFill>
                <w14:ligatures w14:val="standardContextual"/>
              </w:rPr>
              <w:t>|</w:t>
            </w:r>
            <w:r w:rsidR="007E3177" w:rsidRPr="007E3177">
              <w:rPr>
                <w:rFonts w:ascii="Arial Narrow" w:hAnsi="Arial Narrow" w:cs="Calibri"/>
                <w:color w:val="000000"/>
                <w:sz w:val="20"/>
                <w:szCs w:val="20"/>
                <w14:ligatures w14:val="standardContextual"/>
              </w:rPr>
              <w:t xml:space="preserve"> </w:t>
            </w:r>
          </w:p>
        </w:tc>
      </w:tr>
      <w:tr w:rsidR="00D95E54" w:rsidRPr="00933448" w14:paraId="4A3F064F" w14:textId="77777777">
        <w:trPr>
          <w:trHeight w:val="117"/>
        </w:trPr>
        <w:tc>
          <w:tcPr>
            <w:tcW w:w="4564" w:type="dxa"/>
          </w:tcPr>
          <w:p w14:paraId="1660CCA6"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1 at successful infusion </w:t>
            </w:r>
          </w:p>
        </w:tc>
        <w:tc>
          <w:tcPr>
            <w:tcW w:w="4564" w:type="dxa"/>
          </w:tcPr>
          <w:p w14:paraId="1A97BD1F" w14:textId="047071AE"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600"/>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600"/>
                <w14:textFill>
                  <w14:solidFill>
                    <w14:srgbClr w14:val="000000">
                      <w14:alpha w14:val="100000"/>
                    </w14:srgbClr>
                  </w14:solidFill>
                </w14:textFill>
                <w14:ligatures w14:val="standardContextual"/>
              </w:rPr>
              <w:t>|</w:t>
            </w:r>
            <w:r w:rsidR="007E3177" w:rsidRPr="007E3177">
              <w:rPr>
                <w:rFonts w:ascii="Arial Narrow" w:hAnsi="Arial Narrow" w:cs="Calibri"/>
                <w:color w:val="000000"/>
                <w:sz w:val="20"/>
                <w:szCs w:val="20"/>
                <w14:ligatures w14:val="standardContextual"/>
              </w:rPr>
              <w:t xml:space="preserve"> </w:t>
            </w:r>
          </w:p>
        </w:tc>
      </w:tr>
      <w:tr w:rsidR="00D95E54" w:rsidRPr="00933448" w14:paraId="16BA08D0" w14:textId="77777777">
        <w:trPr>
          <w:trHeight w:val="225"/>
        </w:trPr>
        <w:tc>
          <w:tcPr>
            <w:tcW w:w="4564" w:type="dxa"/>
          </w:tcPr>
          <w:p w14:paraId="6EE1D971"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2 at 12 months and </w:t>
            </w:r>
            <w:proofErr w:type="spellStart"/>
            <w:r w:rsidRPr="004F08DC">
              <w:rPr>
                <w:rFonts w:ascii="Arial Narrow" w:hAnsi="Arial Narrow" w:cs="Calibri"/>
                <w:color w:val="000000"/>
                <w:sz w:val="20"/>
                <w:szCs w:val="20"/>
                <w14:ligatures w14:val="standardContextual"/>
              </w:rPr>
              <w:t>sCR</w:t>
            </w:r>
            <w:proofErr w:type="spellEnd"/>
            <w:r w:rsidRPr="004F08DC">
              <w:rPr>
                <w:rFonts w:ascii="Arial Narrow" w:hAnsi="Arial Narrow" w:cs="Calibri"/>
                <w:color w:val="000000"/>
                <w:sz w:val="20"/>
                <w:szCs w:val="20"/>
                <w14:ligatures w14:val="standardContextual"/>
              </w:rPr>
              <w:t xml:space="preserve"> </w:t>
            </w:r>
          </w:p>
        </w:tc>
        <w:tc>
          <w:tcPr>
            <w:tcW w:w="4564" w:type="dxa"/>
          </w:tcPr>
          <w:p w14:paraId="695FAE99" w14:textId="6EA7B134"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599"/>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599"/>
                <w14:textFill>
                  <w14:solidFill>
                    <w14:srgbClr w14:val="000000">
                      <w14:alpha w14:val="100000"/>
                    </w14:srgbClr>
                  </w14:solidFill>
                </w14:textFill>
                <w14:ligatures w14:val="standardContextual"/>
              </w:rPr>
              <w:t>|</w:t>
            </w:r>
          </w:p>
        </w:tc>
      </w:tr>
      <w:tr w:rsidR="00D95E54" w:rsidRPr="00933448" w14:paraId="7B1F2D9A" w14:textId="77777777">
        <w:trPr>
          <w:trHeight w:val="117"/>
        </w:trPr>
        <w:tc>
          <w:tcPr>
            <w:tcW w:w="4564" w:type="dxa"/>
          </w:tcPr>
          <w:p w14:paraId="79F0D63F"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3 for patients at </w:t>
            </w:r>
            <w:proofErr w:type="spellStart"/>
            <w:r w:rsidRPr="004F08DC">
              <w:rPr>
                <w:rFonts w:ascii="Arial Narrow" w:hAnsi="Arial Narrow" w:cs="Calibri"/>
                <w:color w:val="000000"/>
                <w:sz w:val="20"/>
                <w:szCs w:val="20"/>
                <w14:ligatures w14:val="standardContextual"/>
              </w:rPr>
              <w:t>sCR</w:t>
            </w:r>
            <w:proofErr w:type="spellEnd"/>
            <w:r w:rsidRPr="004F08DC">
              <w:rPr>
                <w:rFonts w:ascii="Arial Narrow" w:hAnsi="Arial Narrow" w:cs="Calibri"/>
                <w:color w:val="000000"/>
                <w:sz w:val="20"/>
                <w:szCs w:val="20"/>
                <w14:ligatures w14:val="standardContextual"/>
              </w:rPr>
              <w:t xml:space="preserve"> 12 months and no progressive disease at 24 months</w:t>
            </w:r>
          </w:p>
        </w:tc>
        <w:tc>
          <w:tcPr>
            <w:tcW w:w="4564" w:type="dxa"/>
          </w:tcPr>
          <w:p w14:paraId="2758220E" w14:textId="6C3E6BE2"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598"/>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598"/>
                <w14:textFill>
                  <w14:solidFill>
                    <w14:srgbClr w14:val="000000">
                      <w14:alpha w14:val="100000"/>
                    </w14:srgbClr>
                  </w14:solidFill>
                </w14:textFill>
                <w14:ligatures w14:val="standardContextual"/>
              </w:rPr>
              <w:t>|</w:t>
            </w:r>
          </w:p>
        </w:tc>
      </w:tr>
      <w:tr w:rsidR="00D95E54" w:rsidRPr="00933448" w14:paraId="529EEF8C" w14:textId="77777777">
        <w:trPr>
          <w:trHeight w:val="117"/>
        </w:trPr>
        <w:tc>
          <w:tcPr>
            <w:tcW w:w="4564" w:type="dxa"/>
          </w:tcPr>
          <w:p w14:paraId="762567D3"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4 for patients at </w:t>
            </w:r>
            <w:proofErr w:type="spellStart"/>
            <w:r w:rsidRPr="004F08DC">
              <w:rPr>
                <w:rFonts w:ascii="Arial Narrow" w:hAnsi="Arial Narrow" w:cs="Calibri"/>
                <w:color w:val="000000"/>
                <w:sz w:val="20"/>
                <w:szCs w:val="20"/>
                <w14:ligatures w14:val="standardContextual"/>
              </w:rPr>
              <w:t>sCR</w:t>
            </w:r>
            <w:proofErr w:type="spellEnd"/>
            <w:r w:rsidRPr="004F08DC">
              <w:rPr>
                <w:rFonts w:ascii="Arial Narrow" w:hAnsi="Arial Narrow" w:cs="Calibri"/>
                <w:color w:val="000000"/>
                <w:sz w:val="20"/>
                <w:szCs w:val="20"/>
                <w14:ligatures w14:val="standardContextual"/>
              </w:rPr>
              <w:t xml:space="preserve"> 12 months and no progressive disease at 24 and 36 months</w:t>
            </w:r>
          </w:p>
        </w:tc>
        <w:tc>
          <w:tcPr>
            <w:tcW w:w="4564" w:type="dxa"/>
          </w:tcPr>
          <w:p w14:paraId="140D05A9" w14:textId="0579767E"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597"/>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597"/>
                <w14:textFill>
                  <w14:solidFill>
                    <w14:srgbClr w14:val="000000">
                      <w14:alpha w14:val="100000"/>
                    </w14:srgbClr>
                  </w14:solidFill>
                </w14:textFill>
                <w14:ligatures w14:val="standardContextual"/>
              </w:rPr>
              <w:t>|</w:t>
            </w:r>
          </w:p>
        </w:tc>
      </w:tr>
      <w:tr w:rsidR="00D95E54" w:rsidRPr="00933448" w14:paraId="7EEDAB07" w14:textId="77777777">
        <w:trPr>
          <w:trHeight w:val="117"/>
        </w:trPr>
        <w:tc>
          <w:tcPr>
            <w:tcW w:w="4564" w:type="dxa"/>
          </w:tcPr>
          <w:p w14:paraId="3658AED1"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5 for patients at </w:t>
            </w:r>
            <w:proofErr w:type="spellStart"/>
            <w:r w:rsidRPr="004F08DC">
              <w:rPr>
                <w:rFonts w:ascii="Arial Narrow" w:hAnsi="Arial Narrow" w:cs="Calibri"/>
                <w:color w:val="000000"/>
                <w:sz w:val="20"/>
                <w:szCs w:val="20"/>
                <w14:ligatures w14:val="standardContextual"/>
              </w:rPr>
              <w:t>sCR</w:t>
            </w:r>
            <w:proofErr w:type="spellEnd"/>
            <w:r w:rsidRPr="004F08DC">
              <w:rPr>
                <w:rFonts w:ascii="Arial Narrow" w:hAnsi="Arial Narrow" w:cs="Calibri"/>
                <w:color w:val="000000"/>
                <w:sz w:val="20"/>
                <w:szCs w:val="20"/>
                <w14:ligatures w14:val="standardContextual"/>
              </w:rPr>
              <w:t xml:space="preserve"> 12 months and no progressive disease at 24, 36 and 48 months</w:t>
            </w:r>
          </w:p>
        </w:tc>
        <w:tc>
          <w:tcPr>
            <w:tcW w:w="4564" w:type="dxa"/>
          </w:tcPr>
          <w:p w14:paraId="0337636B" w14:textId="47C7A9DF"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596"/>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596"/>
                <w14:textFill>
                  <w14:solidFill>
                    <w14:srgbClr w14:val="000000">
                      <w14:alpha w14:val="100000"/>
                    </w14:srgbClr>
                  </w14:solidFill>
                </w14:textFill>
                <w14:ligatures w14:val="standardContextual"/>
              </w:rPr>
              <w:t>|</w:t>
            </w:r>
          </w:p>
        </w:tc>
      </w:tr>
      <w:tr w:rsidR="00D95E54" w:rsidRPr="00933448" w14:paraId="6D11EFEC" w14:textId="77777777">
        <w:trPr>
          <w:trHeight w:val="117"/>
        </w:trPr>
        <w:tc>
          <w:tcPr>
            <w:tcW w:w="4564" w:type="dxa"/>
          </w:tcPr>
          <w:p w14:paraId="7EC71D5C"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Additional Requirements</w:t>
            </w:r>
          </w:p>
        </w:tc>
        <w:tc>
          <w:tcPr>
            <w:tcW w:w="4564" w:type="dxa"/>
          </w:tcPr>
          <w:p w14:paraId="37BE3FE5" w14:textId="77777777" w:rsidR="00D95E54" w:rsidRPr="00BE6881" w:rsidRDefault="00D95E54">
            <w:pPr>
              <w:autoSpaceDE w:val="0"/>
              <w:autoSpaceDN w:val="0"/>
              <w:adjustRightInd w:val="0"/>
              <w:spacing w:after="0"/>
              <w:rPr>
                <w:rFonts w:ascii="Arial Narrow" w:hAnsi="Arial Narrow" w:cs="Calibri"/>
                <w:color w:val="000000"/>
                <w:sz w:val="20"/>
                <w:szCs w:val="20"/>
                <w14:ligatures w14:val="standardContextual"/>
              </w:rPr>
            </w:pPr>
            <w:proofErr w:type="gramStart"/>
            <w:r w:rsidRPr="00BE6881">
              <w:rPr>
                <w:rFonts w:ascii="Arial Narrow" w:hAnsi="Arial Narrow" w:cs="Calibri"/>
                <w:color w:val="000000"/>
                <w:sz w:val="20"/>
                <w:szCs w:val="20"/>
                <w14:ligatures w14:val="standardContextual"/>
              </w:rPr>
              <w:t>In order to</w:t>
            </w:r>
            <w:proofErr w:type="gramEnd"/>
            <w:r w:rsidRPr="00BE6881">
              <w:rPr>
                <w:rFonts w:ascii="Arial Narrow" w:hAnsi="Arial Narrow" w:cs="Calibri"/>
                <w:color w:val="000000"/>
                <w:sz w:val="20"/>
                <w:szCs w:val="20"/>
                <w14:ligatures w14:val="standardContextual"/>
              </w:rPr>
              <w:t xml:space="preserve"> receive payment at 12, 24, 36 or 48 months:</w:t>
            </w:r>
          </w:p>
          <w:p w14:paraId="65AF6992" w14:textId="1571FDA1" w:rsidR="00DF1512" w:rsidRDefault="00D95E54" w:rsidP="00DF1512">
            <w:pPr>
              <w:numPr>
                <w:ilvl w:val="0"/>
                <w:numId w:val="32"/>
              </w:numPr>
              <w:autoSpaceDE w:val="0"/>
              <w:autoSpaceDN w:val="0"/>
              <w:adjustRightInd w:val="0"/>
              <w:spacing w:after="0" w:line="259" w:lineRule="auto"/>
              <w:rPr>
                <w:rFonts w:ascii="Arial Narrow" w:hAnsi="Arial Narrow" w:cs="Calibri"/>
                <w:color w:val="000000"/>
                <w:sz w:val="20"/>
                <w:szCs w:val="20"/>
                <w14:ligatures w14:val="standardContextual"/>
              </w:rPr>
            </w:pPr>
            <w:r w:rsidRPr="00BE6881">
              <w:rPr>
                <w:rFonts w:ascii="Arial Narrow" w:hAnsi="Arial Narrow" w:cs="Calibri"/>
                <w:color w:val="000000"/>
                <w:sz w:val="20"/>
                <w:szCs w:val="20"/>
                <w14:ligatures w14:val="standardContextual"/>
              </w:rPr>
              <w:t>the patient must not have died; and</w:t>
            </w:r>
          </w:p>
          <w:p w14:paraId="31E303B4" w14:textId="38E93552" w:rsidR="00D95E54" w:rsidRPr="00DF1512" w:rsidRDefault="00D95E54" w:rsidP="00DF1512">
            <w:pPr>
              <w:numPr>
                <w:ilvl w:val="0"/>
                <w:numId w:val="32"/>
              </w:numPr>
              <w:autoSpaceDE w:val="0"/>
              <w:autoSpaceDN w:val="0"/>
              <w:adjustRightInd w:val="0"/>
              <w:spacing w:after="0" w:line="259" w:lineRule="auto"/>
              <w:rPr>
                <w:rFonts w:ascii="Arial Narrow" w:hAnsi="Arial Narrow" w:cs="Calibri"/>
                <w:color w:val="000000"/>
                <w:sz w:val="20"/>
                <w:szCs w:val="20"/>
                <w14:ligatures w14:val="standardContextual"/>
              </w:rPr>
            </w:pPr>
            <w:r w:rsidRPr="00DF1512">
              <w:rPr>
                <w:rFonts w:ascii="Arial Narrow" w:hAnsi="Arial Narrow" w:cs="Calibri"/>
                <w:color w:val="000000"/>
                <w:sz w:val="20"/>
                <w:szCs w:val="20"/>
                <w14:ligatures w14:val="standardContextual"/>
              </w:rPr>
              <w:t>the patient must not have received treatment with active anti-myeloma therapy post successful infusion with cilta-cel, including non-PBS subsidised therapies or autologous stem cell transplant</w:t>
            </w:r>
          </w:p>
        </w:tc>
      </w:tr>
    </w:tbl>
    <w:p w14:paraId="642E2146" w14:textId="77777777" w:rsidR="00D95E54" w:rsidRPr="00933448" w:rsidRDefault="00D95E54" w:rsidP="00D95E54">
      <w:pPr>
        <w:tabs>
          <w:tab w:val="num" w:pos="426"/>
        </w:tabs>
        <w:spacing w:after="160" w:line="259" w:lineRule="auto"/>
        <w:ind w:left="-142" w:firstLine="142"/>
        <w:rPr>
          <w:rFonts w:ascii="Arial Narrow" w:hAnsi="Arial Narrow"/>
          <w:bCs/>
          <w:kern w:val="2"/>
          <w:sz w:val="18"/>
          <w:szCs w:val="18"/>
          <w14:ligatures w14:val="standardContextual"/>
        </w:rPr>
      </w:pPr>
      <w:r w:rsidRPr="00933448">
        <w:rPr>
          <w:rFonts w:ascii="Arial Narrow" w:hAnsi="Arial Narrow"/>
          <w:bCs/>
          <w:kern w:val="2"/>
          <w:sz w:val="18"/>
          <w:szCs w:val="18"/>
          <w14:ligatures w14:val="standardContextual"/>
        </w:rPr>
        <w:t>Source: Resubmission letter for cilta-cel received 0</w:t>
      </w:r>
      <w:r w:rsidRPr="00D95E54">
        <w:rPr>
          <w:rFonts w:ascii="Arial Narrow" w:hAnsi="Arial Narrow"/>
          <w:bCs/>
          <w:kern w:val="2"/>
          <w:sz w:val="18"/>
          <w:szCs w:val="18"/>
          <w14:ligatures w14:val="standardContextual"/>
        </w:rPr>
        <w:t>1</w:t>
      </w:r>
      <w:r w:rsidRPr="00933448">
        <w:rPr>
          <w:rFonts w:ascii="Arial Narrow" w:hAnsi="Arial Narrow"/>
          <w:bCs/>
          <w:kern w:val="2"/>
          <w:sz w:val="18"/>
          <w:szCs w:val="18"/>
          <w14:ligatures w14:val="standardContextual"/>
        </w:rPr>
        <w:t xml:space="preserve"> March 2024</w:t>
      </w:r>
    </w:p>
    <w:p w14:paraId="58BF740A" w14:textId="09EEB29B"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noted the applicant revised the financial estimates based on the updated </w:t>
      </w:r>
      <w:proofErr w:type="spellStart"/>
      <w:r w:rsidRPr="00933448">
        <w:rPr>
          <w:rFonts w:ascii="Franklin Gothic Book" w:hAnsi="Franklin Gothic Book"/>
          <w:kern w:val="2"/>
          <w14:ligatures w14:val="standardContextual"/>
        </w:rPr>
        <w:t>PfP</w:t>
      </w:r>
      <w:proofErr w:type="spellEnd"/>
      <w:r w:rsidRPr="00933448">
        <w:rPr>
          <w:rFonts w:ascii="Franklin Gothic Book" w:hAnsi="Franklin Gothic Book"/>
          <w:kern w:val="2"/>
          <w14:ligatures w14:val="standardContextual"/>
        </w:rPr>
        <w:t xml:space="preserve"> arrangement proposed by them, with an estimated total expenditure of </w:t>
      </w:r>
      <w:r w:rsidRPr="00DF1512">
        <w:rPr>
          <w:rFonts w:ascii="Franklin Gothic Book" w:hAnsi="Franklin Gothic Book"/>
          <w:kern w:val="2"/>
          <w14:ligatures w14:val="standardContextual"/>
        </w:rPr>
        <w:t>$</w:t>
      </w:r>
      <w:r w:rsidR="007E3177" w:rsidRPr="007E3177">
        <w:rPr>
          <w:rFonts w:ascii="Franklin Gothic Book" w:hAnsi="Franklin Gothic Book"/>
          <w:color w:val="000000"/>
          <w:w w:val="66"/>
          <w:shd w:val="solid" w:color="000000" w:fill="000000"/>
          <w:fitText w:val="440" w:id="-959204595"/>
          <w14:textFill>
            <w14:solidFill>
              <w14:srgbClr w14:val="000000">
                <w14:alpha w14:val="100000"/>
              </w14:srgbClr>
            </w14:solidFill>
          </w14:textFill>
          <w14:ligatures w14:val="standardContextual"/>
        </w:rPr>
        <w:t>|||||</w:t>
      </w:r>
      <w:r w:rsidR="007E3177" w:rsidRPr="007E3177">
        <w:rPr>
          <w:rFonts w:ascii="Franklin Gothic Book" w:hAnsi="Franklin Gothic Book"/>
          <w:color w:val="000000"/>
          <w:spacing w:val="4"/>
          <w:w w:val="66"/>
          <w:shd w:val="solid" w:color="000000" w:fill="000000"/>
          <w:fitText w:val="440" w:id="-959204595"/>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7E3177">
        <w:rPr>
          <w:rFonts w:ascii="Franklin Gothic Book" w:hAnsi="Franklin Gothic Book"/>
          <w:color w:val="000000"/>
          <w:w w:val="66"/>
          <w:shd w:val="solid" w:color="000000" w:fill="000000"/>
          <w:fitText w:val="440" w:id="-959204594"/>
          <w14:textFill>
            <w14:solidFill>
              <w14:srgbClr w14:val="000000">
                <w14:alpha w14:val="100000"/>
              </w14:srgbClr>
            </w14:solidFill>
          </w14:textFill>
          <w14:ligatures w14:val="standardContextual"/>
        </w:rPr>
        <w:t>|||||</w:t>
      </w:r>
      <w:r w:rsidR="007E3177" w:rsidRPr="007E3177">
        <w:rPr>
          <w:rFonts w:ascii="Franklin Gothic Book" w:hAnsi="Franklin Gothic Book"/>
          <w:color w:val="000000"/>
          <w:spacing w:val="4"/>
          <w:w w:val="66"/>
          <w:shd w:val="solid" w:color="000000" w:fill="000000"/>
          <w:fitText w:val="440" w:id="-959204594"/>
          <w14:textFill>
            <w14:solidFill>
              <w14:srgbClr w14:val="000000">
                <w14:alpha w14:val="100000"/>
              </w14:srgbClr>
            </w14:solidFill>
          </w14:textFill>
          <w14:ligatures w14:val="standardContextual"/>
        </w:rPr>
        <w:t>|</w:t>
      </w:r>
      <w:r w:rsidRPr="00DF1512">
        <w:rPr>
          <w:rFonts w:ascii="Franklin Gothic Book" w:hAnsi="Franklin Gothic Book"/>
          <w:kern w:val="2"/>
          <w14:ligatures w14:val="standardContextual"/>
        </w:rPr>
        <w:t xml:space="preserve"> over 5 years </w:t>
      </w:r>
      <w:r w:rsidRPr="00933448">
        <w:rPr>
          <w:rFonts w:ascii="Franklin Gothic Book" w:hAnsi="Franklin Gothic Book"/>
          <w:kern w:val="2"/>
          <w14:ligatures w14:val="standardContextual"/>
        </w:rPr>
        <w:t>(</w:t>
      </w:r>
      <w:r w:rsidRPr="00D95E54">
        <w:rPr>
          <w:rFonts w:ascii="Franklin Gothic Book" w:hAnsi="Franklin Gothic Book"/>
          <w:kern w:val="2"/>
          <w14:ligatures w14:val="standardContextual"/>
        </w:rPr>
        <w:t>T</w:t>
      </w:r>
      <w:r w:rsidRPr="00933448">
        <w:rPr>
          <w:rFonts w:ascii="Franklin Gothic Book" w:hAnsi="Franklin Gothic Book"/>
          <w:kern w:val="2"/>
          <w14:ligatures w14:val="standardContextual"/>
        </w:rPr>
        <w:t xml:space="preserve">able </w:t>
      </w:r>
      <w:r w:rsidRPr="00D95E54">
        <w:rPr>
          <w:rFonts w:ascii="Franklin Gothic Book" w:hAnsi="Franklin Gothic Book"/>
          <w:kern w:val="2"/>
          <w14:ligatures w14:val="standardContextual"/>
        </w:rPr>
        <w:t>3</w:t>
      </w:r>
      <w:r w:rsidRPr="00933448">
        <w:rPr>
          <w:rFonts w:ascii="Franklin Gothic Book" w:hAnsi="Franklin Gothic Book"/>
          <w:kern w:val="2"/>
          <w14:ligatures w14:val="standardContextual"/>
        </w:rPr>
        <w:t xml:space="preserve">). MSAC considered the financial estimates were substantial and noted they only accounted for the cost of the cilta-cel. MSAC noted an additional net budget impact to the health system of </w:t>
      </w:r>
      <w:r w:rsidRPr="00D20839">
        <w:rPr>
          <w:rFonts w:ascii="Franklin Gothic Book" w:hAnsi="Franklin Gothic Book"/>
          <w:kern w:val="2"/>
          <w14:ligatures w14:val="standardContextual"/>
        </w:rPr>
        <w:t>$2.5million to $9million</w:t>
      </w:r>
      <w:r w:rsidRPr="00933448">
        <w:rPr>
          <w:rFonts w:ascii="Franklin Gothic Book" w:hAnsi="Franklin Gothic Book"/>
          <w:kern w:val="2"/>
          <w14:ligatures w14:val="standardContextual"/>
        </w:rPr>
        <w:t xml:space="preserve"> per year was likely given the ancillary costs associated with providing cilta-cel, and that the estimates were likely underestimated.</w:t>
      </w:r>
    </w:p>
    <w:p w14:paraId="43D375E7" w14:textId="77777777" w:rsidR="00D95E54" w:rsidRPr="00933448" w:rsidRDefault="00D95E54" w:rsidP="00D95E54">
      <w:pPr>
        <w:pStyle w:val="Caption"/>
      </w:pPr>
      <w:r w:rsidRPr="00933448">
        <w:t xml:space="preserve">Table </w:t>
      </w:r>
      <w:r w:rsidRPr="00D95E54">
        <w:t>3</w:t>
      </w:r>
      <w:r w:rsidRPr="00D95E54">
        <w:tab/>
      </w:r>
      <w:r w:rsidRPr="00933448">
        <w:t xml:space="preserve">Overview of patient numbers and budget impact </w:t>
      </w:r>
    </w:p>
    <w:tbl>
      <w:tblPr>
        <w:tblStyle w:val="TableGrid"/>
        <w:tblW w:w="9067" w:type="dxa"/>
        <w:tblLayout w:type="fixed"/>
        <w:tblLook w:val="0020" w:firstRow="1" w:lastRow="0" w:firstColumn="0" w:lastColumn="0" w:noHBand="0" w:noVBand="0"/>
      </w:tblPr>
      <w:tblGrid>
        <w:gridCol w:w="1323"/>
        <w:gridCol w:w="6"/>
        <w:gridCol w:w="1222"/>
        <w:gridCol w:w="58"/>
        <w:gridCol w:w="1294"/>
        <w:gridCol w:w="7"/>
        <w:gridCol w:w="1301"/>
        <w:gridCol w:w="44"/>
        <w:gridCol w:w="1228"/>
        <w:gridCol w:w="29"/>
        <w:gridCol w:w="1301"/>
        <w:gridCol w:w="22"/>
        <w:gridCol w:w="1232"/>
      </w:tblGrid>
      <w:tr w:rsidR="00D95E54" w:rsidRPr="00933448" w14:paraId="31551BF1" w14:textId="77777777" w:rsidTr="00415619">
        <w:trPr>
          <w:trHeight w:val="399"/>
        </w:trPr>
        <w:tc>
          <w:tcPr>
            <w:tcW w:w="1329" w:type="dxa"/>
            <w:gridSpan w:val="2"/>
            <w:shd w:val="clear" w:color="auto" w:fill="BFBFBF" w:themeFill="background1" w:themeFillShade="BF"/>
          </w:tcPr>
          <w:p w14:paraId="225F09B1"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p>
        </w:tc>
        <w:tc>
          <w:tcPr>
            <w:tcW w:w="1280" w:type="dxa"/>
            <w:gridSpan w:val="2"/>
            <w:shd w:val="clear" w:color="auto" w:fill="BFBFBF" w:themeFill="background1" w:themeFillShade="BF"/>
          </w:tcPr>
          <w:p w14:paraId="33039EEC" w14:textId="77777777" w:rsidR="00D95E54" w:rsidRPr="00933448" w:rsidRDefault="00D95E54">
            <w:pPr>
              <w:keepNext/>
              <w:autoSpaceDE w:val="0"/>
              <w:autoSpaceDN w:val="0"/>
              <w:adjustRightInd w:val="0"/>
              <w:spacing w:after="0"/>
              <w:rPr>
                <w:rFonts w:ascii="Arial Narrow" w:hAnsi="Arial Narrow" w:cs="Calibri"/>
                <w:b/>
                <w:bCs/>
                <w:color w:val="000000"/>
                <w:sz w:val="20"/>
                <w:szCs w:val="20"/>
              </w:rPr>
            </w:pPr>
            <w:r w:rsidRPr="00933448">
              <w:rPr>
                <w:rFonts w:ascii="Arial Narrow" w:hAnsi="Arial Narrow" w:cs="Calibri"/>
                <w:b/>
                <w:bCs/>
                <w:color w:val="000000"/>
                <w:sz w:val="20"/>
                <w:szCs w:val="20"/>
              </w:rPr>
              <w:t>Year 1 (of NHRA funding)</w:t>
            </w:r>
          </w:p>
        </w:tc>
        <w:tc>
          <w:tcPr>
            <w:tcW w:w="1301" w:type="dxa"/>
            <w:gridSpan w:val="2"/>
            <w:shd w:val="clear" w:color="auto" w:fill="BFBFBF" w:themeFill="background1" w:themeFillShade="BF"/>
          </w:tcPr>
          <w:p w14:paraId="2CF4927C"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 2 </w:t>
            </w:r>
          </w:p>
        </w:tc>
        <w:tc>
          <w:tcPr>
            <w:tcW w:w="1301" w:type="dxa"/>
            <w:shd w:val="clear" w:color="auto" w:fill="BFBFBF" w:themeFill="background1" w:themeFillShade="BF"/>
          </w:tcPr>
          <w:p w14:paraId="3DA47537"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 3 </w:t>
            </w:r>
          </w:p>
        </w:tc>
        <w:tc>
          <w:tcPr>
            <w:tcW w:w="1301" w:type="dxa"/>
            <w:gridSpan w:val="3"/>
            <w:shd w:val="clear" w:color="auto" w:fill="BFBFBF" w:themeFill="background1" w:themeFillShade="BF"/>
          </w:tcPr>
          <w:p w14:paraId="69319479"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 4 </w:t>
            </w:r>
          </w:p>
        </w:tc>
        <w:tc>
          <w:tcPr>
            <w:tcW w:w="1301" w:type="dxa"/>
            <w:shd w:val="clear" w:color="auto" w:fill="BFBFBF" w:themeFill="background1" w:themeFillShade="BF"/>
          </w:tcPr>
          <w:p w14:paraId="2E19C977"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 5 </w:t>
            </w:r>
          </w:p>
        </w:tc>
        <w:tc>
          <w:tcPr>
            <w:tcW w:w="1254" w:type="dxa"/>
            <w:gridSpan w:val="2"/>
            <w:shd w:val="clear" w:color="auto" w:fill="BFBFBF" w:themeFill="background1" w:themeFillShade="BF"/>
          </w:tcPr>
          <w:p w14:paraId="2E529619"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Years 1 – 5 </w:t>
            </w:r>
          </w:p>
        </w:tc>
      </w:tr>
      <w:tr w:rsidR="00D95E54" w:rsidRPr="00933448" w14:paraId="76117ED8" w14:textId="77777777" w:rsidTr="00415619">
        <w:trPr>
          <w:trHeight w:val="144"/>
        </w:trPr>
        <w:tc>
          <w:tcPr>
            <w:tcW w:w="9067" w:type="dxa"/>
            <w:gridSpan w:val="13"/>
            <w:shd w:val="clear" w:color="auto" w:fill="E7E6E6" w:themeFill="background2"/>
          </w:tcPr>
          <w:p w14:paraId="291DC4BE"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April 2024 proposal: 5L+ MM population patient numbers </w:t>
            </w:r>
          </w:p>
        </w:tc>
      </w:tr>
      <w:tr w:rsidR="00D95E54" w:rsidRPr="00933448" w14:paraId="6E3D1166" w14:textId="77777777" w:rsidTr="00415619">
        <w:trPr>
          <w:trHeight w:val="267"/>
        </w:trPr>
        <w:tc>
          <w:tcPr>
            <w:tcW w:w="1323" w:type="dxa"/>
          </w:tcPr>
          <w:p w14:paraId="183C0BCC"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color w:val="000000"/>
                <w:sz w:val="20"/>
                <w:szCs w:val="20"/>
              </w:rPr>
              <w:t xml:space="preserve">Initiating patients </w:t>
            </w:r>
          </w:p>
        </w:tc>
        <w:tc>
          <w:tcPr>
            <w:tcW w:w="1228" w:type="dxa"/>
            <w:gridSpan w:val="2"/>
          </w:tcPr>
          <w:p w14:paraId="529D572B" w14:textId="471AC73D"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52"/>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52"/>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352" w:type="dxa"/>
            <w:gridSpan w:val="2"/>
          </w:tcPr>
          <w:p w14:paraId="7925E017" w14:textId="5461AFF6"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51"/>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51"/>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352" w:type="dxa"/>
            <w:gridSpan w:val="3"/>
          </w:tcPr>
          <w:p w14:paraId="3D12B988" w14:textId="50834A89"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50"/>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50"/>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228" w:type="dxa"/>
          </w:tcPr>
          <w:p w14:paraId="126474E5" w14:textId="6E21D49F"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9"/>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9"/>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352" w:type="dxa"/>
            <w:gridSpan w:val="3"/>
          </w:tcPr>
          <w:p w14:paraId="32E52A8B" w14:textId="54F93152"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8"/>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8"/>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232" w:type="dxa"/>
          </w:tcPr>
          <w:p w14:paraId="1C9DD690" w14:textId="2E9ADD3E"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7"/>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7"/>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r>
      <w:tr w:rsidR="00D95E54" w:rsidRPr="00933448" w14:paraId="73DBBB47" w14:textId="77777777" w:rsidTr="00415619">
        <w:trPr>
          <w:trHeight w:val="267"/>
        </w:trPr>
        <w:tc>
          <w:tcPr>
            <w:tcW w:w="1323" w:type="dxa"/>
          </w:tcPr>
          <w:p w14:paraId="37D17403"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color w:val="000000"/>
                <w:sz w:val="20"/>
                <w:szCs w:val="20"/>
              </w:rPr>
              <w:t xml:space="preserve">Infused patients </w:t>
            </w:r>
          </w:p>
        </w:tc>
        <w:tc>
          <w:tcPr>
            <w:tcW w:w="1228" w:type="dxa"/>
            <w:gridSpan w:val="2"/>
          </w:tcPr>
          <w:p w14:paraId="795C579A" w14:textId="4856207B"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6"/>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6"/>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352" w:type="dxa"/>
            <w:gridSpan w:val="2"/>
          </w:tcPr>
          <w:p w14:paraId="669997D8" w14:textId="579CCF54"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5"/>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5"/>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352" w:type="dxa"/>
            <w:gridSpan w:val="3"/>
          </w:tcPr>
          <w:p w14:paraId="2D631EB3" w14:textId="024D09B8"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4"/>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4"/>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228" w:type="dxa"/>
          </w:tcPr>
          <w:p w14:paraId="4E9D7BB7" w14:textId="0D72BF45"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3"/>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3"/>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352" w:type="dxa"/>
            <w:gridSpan w:val="3"/>
          </w:tcPr>
          <w:p w14:paraId="0A9FE849" w14:textId="2341A9BD"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2"/>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2"/>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c>
          <w:tcPr>
            <w:tcW w:w="1232" w:type="dxa"/>
          </w:tcPr>
          <w:p w14:paraId="339EF2F7" w14:textId="25AA8969"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1"/>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1"/>
                <w14:textFill>
                  <w14:solidFill>
                    <w14:srgbClr w14:val="000000">
                      <w14:alpha w14:val="100000"/>
                    </w14:srgbClr>
                  </w14:solidFill>
                </w14:textFill>
              </w:rPr>
              <w:t>|</w:t>
            </w:r>
            <w:r w:rsidRPr="007E3177">
              <w:rPr>
                <w:rFonts w:ascii="Arial Narrow" w:hAnsi="Arial Narrow" w:cs="Calibri"/>
                <w:color w:val="000000"/>
                <w:sz w:val="20"/>
                <w:szCs w:val="20"/>
              </w:rPr>
              <w:t xml:space="preserve"> </w:t>
            </w:r>
          </w:p>
        </w:tc>
      </w:tr>
      <w:tr w:rsidR="00D95E54" w:rsidRPr="00933448" w14:paraId="2A8D3297" w14:textId="77777777" w:rsidTr="00415619">
        <w:trPr>
          <w:trHeight w:val="272"/>
        </w:trPr>
        <w:tc>
          <w:tcPr>
            <w:tcW w:w="9067" w:type="dxa"/>
            <w:gridSpan w:val="13"/>
            <w:shd w:val="clear" w:color="auto" w:fill="E7E6E6" w:themeFill="background2"/>
          </w:tcPr>
          <w:p w14:paraId="4FAC92EB" w14:textId="46C3EFDE" w:rsidR="00D95E54" w:rsidRPr="00933448" w:rsidRDefault="00D95E54">
            <w:pPr>
              <w:keepNext/>
              <w:autoSpaceDE w:val="0"/>
              <w:autoSpaceDN w:val="0"/>
              <w:adjustRightInd w:val="0"/>
              <w:spacing w:after="0"/>
              <w:rPr>
                <w:rFonts w:ascii="Arial Narrow" w:hAnsi="Arial Narrow" w:cs="Calibri"/>
                <w:color w:val="000000"/>
                <w:sz w:val="20"/>
                <w:szCs w:val="20"/>
                <w:lang w:val="en-US"/>
              </w:rPr>
            </w:pPr>
            <w:r w:rsidRPr="00933448">
              <w:rPr>
                <w:rFonts w:ascii="Arial Narrow" w:hAnsi="Arial Narrow" w:cs="Calibri"/>
                <w:b/>
                <w:color w:val="000000"/>
                <w:sz w:val="20"/>
                <w:szCs w:val="20"/>
                <w:lang w:val="en-US"/>
              </w:rPr>
              <w:t xml:space="preserve">April 2024 proposal: Maximum budget impact of 5L+ MM population with revised payment for outcome model </w:t>
            </w:r>
            <w:r w:rsidR="007E3177" w:rsidRPr="00307272">
              <w:rPr>
                <w:rFonts w:ascii="Arial Narrow" w:hAnsi="Arial Narrow" w:cs="Calibri"/>
                <w:b/>
                <w:color w:val="000000"/>
                <w:spacing w:val="55"/>
                <w:sz w:val="20"/>
                <w:szCs w:val="20"/>
                <w:shd w:val="solid" w:color="000000" w:fill="000000"/>
                <w:fitText w:val="350" w:id="-959204340"/>
                <w:lang w:val="en-US"/>
                <w14:textFill>
                  <w14:solidFill>
                    <w14:srgbClr w14:val="000000">
                      <w14:alpha w14:val="100000"/>
                    </w14:srgbClr>
                  </w14:solidFill>
                </w14:textFill>
              </w:rPr>
              <w:t>|||</w:t>
            </w:r>
            <w:r w:rsidR="007E3177" w:rsidRPr="00307272">
              <w:rPr>
                <w:rFonts w:ascii="Arial Narrow" w:hAnsi="Arial Narrow" w:cs="Calibri"/>
                <w:b/>
                <w:color w:val="000000"/>
                <w:spacing w:val="2"/>
                <w:sz w:val="20"/>
                <w:szCs w:val="20"/>
                <w:shd w:val="solid" w:color="000000" w:fill="000000"/>
                <w:fitText w:val="350" w:id="-959204340"/>
                <w:lang w:val="en-US"/>
                <w14:textFill>
                  <w14:solidFill>
                    <w14:srgbClr w14:val="000000">
                      <w14:alpha w14:val="100000"/>
                    </w14:srgbClr>
                  </w14:solidFill>
                </w14:textFill>
              </w:rPr>
              <w:t>|</w:t>
            </w:r>
            <w:r w:rsidR="007E3177" w:rsidRPr="007E3177">
              <w:rPr>
                <w:rFonts w:ascii="Arial Narrow" w:hAnsi="Arial Narrow" w:cs="Calibri"/>
                <w:b/>
                <w:color w:val="000000"/>
                <w:sz w:val="20"/>
                <w:szCs w:val="20"/>
                <w:lang w:val="en-US"/>
              </w:rPr>
              <w:t xml:space="preserve"> </w:t>
            </w:r>
            <w:r w:rsidR="007E3177" w:rsidRPr="00307272">
              <w:rPr>
                <w:rFonts w:ascii="Arial Narrow" w:hAnsi="Arial Narrow" w:cs="Calibri"/>
                <w:b/>
                <w:color w:val="000000"/>
                <w:spacing w:val="58"/>
                <w:sz w:val="20"/>
                <w:szCs w:val="20"/>
                <w:shd w:val="solid" w:color="000000" w:fill="000000"/>
                <w:fitText w:val="360" w:id="-959204339"/>
                <w:lang w:val="en-US"/>
                <w14:textFill>
                  <w14:solidFill>
                    <w14:srgbClr w14:val="000000">
                      <w14:alpha w14:val="100000"/>
                    </w14:srgbClr>
                  </w14:solidFill>
                </w14:textFill>
              </w:rPr>
              <w:t>|||</w:t>
            </w:r>
            <w:r w:rsidR="007E3177" w:rsidRPr="00307272">
              <w:rPr>
                <w:rFonts w:ascii="Arial Narrow" w:hAnsi="Arial Narrow" w:cs="Calibri"/>
                <w:b/>
                <w:color w:val="000000"/>
                <w:spacing w:val="3"/>
                <w:sz w:val="20"/>
                <w:szCs w:val="20"/>
                <w:shd w:val="solid" w:color="000000" w:fill="000000"/>
                <w:fitText w:val="360" w:id="-959204339"/>
                <w:lang w:val="en-US"/>
                <w14:textFill>
                  <w14:solidFill>
                    <w14:srgbClr w14:val="000000">
                      <w14:alpha w14:val="100000"/>
                    </w14:srgbClr>
                  </w14:solidFill>
                </w14:textFill>
              </w:rPr>
              <w:t>|</w:t>
            </w:r>
            <w:r w:rsidRPr="00933448">
              <w:rPr>
                <w:rFonts w:ascii="Arial Narrow" w:hAnsi="Arial Narrow" w:cs="Calibri"/>
                <w:b/>
                <w:color w:val="000000"/>
                <w:sz w:val="20"/>
                <w:szCs w:val="20"/>
                <w:lang w:val="en-US"/>
              </w:rPr>
              <w:t xml:space="preserve"> </w:t>
            </w:r>
          </w:p>
        </w:tc>
      </w:tr>
      <w:tr w:rsidR="00D95E54" w:rsidRPr="00933448" w14:paraId="70BC824E" w14:textId="77777777" w:rsidTr="00415619">
        <w:trPr>
          <w:trHeight w:val="266"/>
        </w:trPr>
        <w:tc>
          <w:tcPr>
            <w:tcW w:w="1323" w:type="dxa"/>
          </w:tcPr>
          <w:p w14:paraId="05DA8FF1"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color w:val="000000"/>
                <w:sz w:val="20"/>
                <w:szCs w:val="20"/>
              </w:rPr>
              <w:t xml:space="preserve">Financial estimates </w:t>
            </w:r>
          </w:p>
        </w:tc>
        <w:tc>
          <w:tcPr>
            <w:tcW w:w="1228" w:type="dxa"/>
            <w:gridSpan w:val="2"/>
          </w:tcPr>
          <w:p w14:paraId="2CD0D629" w14:textId="573BCB72"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38"/>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38"/>
                <w14:textFill>
                  <w14:solidFill>
                    <w14:srgbClr w14:val="000000">
                      <w14:alpha w14:val="100000"/>
                    </w14:srgbClr>
                  </w14:solidFill>
                </w14:textFill>
              </w:rPr>
              <w:t>|</w:t>
            </w:r>
            <w:r w:rsidR="007E3177" w:rsidRPr="007E3177">
              <w:rPr>
                <w:rFonts w:ascii="Arial Narrow" w:hAnsi="Arial Narrow" w:cs="Calibri"/>
                <w:color w:val="000000"/>
                <w:sz w:val="20"/>
                <w:szCs w:val="20"/>
              </w:rPr>
              <w:t xml:space="preserve"> </w:t>
            </w:r>
          </w:p>
        </w:tc>
        <w:tc>
          <w:tcPr>
            <w:tcW w:w="1352" w:type="dxa"/>
            <w:gridSpan w:val="2"/>
          </w:tcPr>
          <w:p w14:paraId="62B4B2EB" w14:textId="12306EEC"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37"/>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37"/>
                <w14:textFill>
                  <w14:solidFill>
                    <w14:srgbClr w14:val="000000">
                      <w14:alpha w14:val="100000"/>
                    </w14:srgbClr>
                  </w14:solidFill>
                </w14:textFill>
              </w:rPr>
              <w:t>|</w:t>
            </w:r>
            <w:r w:rsidR="007E3177" w:rsidRPr="007E3177">
              <w:rPr>
                <w:rFonts w:ascii="Arial Narrow" w:hAnsi="Arial Narrow" w:cs="Calibri"/>
                <w:color w:val="000000"/>
                <w:sz w:val="20"/>
                <w:szCs w:val="20"/>
              </w:rPr>
              <w:t xml:space="preserve"> </w:t>
            </w:r>
          </w:p>
        </w:tc>
        <w:tc>
          <w:tcPr>
            <w:tcW w:w="1352" w:type="dxa"/>
            <w:gridSpan w:val="3"/>
          </w:tcPr>
          <w:p w14:paraId="4940BAE9" w14:textId="14A98F6C"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36"/>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36"/>
                <w14:textFill>
                  <w14:solidFill>
                    <w14:srgbClr w14:val="000000">
                      <w14:alpha w14:val="100000"/>
                    </w14:srgbClr>
                  </w14:solidFill>
                </w14:textFill>
              </w:rPr>
              <w:t>|</w:t>
            </w:r>
            <w:r w:rsidR="007E3177" w:rsidRPr="007E3177">
              <w:rPr>
                <w:rFonts w:ascii="Arial Narrow" w:hAnsi="Arial Narrow" w:cs="Calibri"/>
                <w:color w:val="000000"/>
                <w:sz w:val="20"/>
                <w:szCs w:val="20"/>
              </w:rPr>
              <w:t xml:space="preserve"> </w:t>
            </w:r>
          </w:p>
        </w:tc>
        <w:tc>
          <w:tcPr>
            <w:tcW w:w="1228" w:type="dxa"/>
          </w:tcPr>
          <w:p w14:paraId="534F58CE" w14:textId="30A38220"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52"/>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52"/>
                <w14:textFill>
                  <w14:solidFill>
                    <w14:srgbClr w14:val="000000">
                      <w14:alpha w14:val="100000"/>
                    </w14:srgbClr>
                  </w14:solidFill>
                </w14:textFill>
              </w:rPr>
              <w:t>|</w:t>
            </w:r>
            <w:r w:rsidR="007E3177" w:rsidRPr="007E3177">
              <w:rPr>
                <w:rFonts w:ascii="Arial Narrow" w:hAnsi="Arial Narrow" w:cs="Calibri"/>
                <w:color w:val="000000"/>
                <w:sz w:val="20"/>
                <w:szCs w:val="20"/>
              </w:rPr>
              <w:t xml:space="preserve"> </w:t>
            </w:r>
          </w:p>
        </w:tc>
        <w:tc>
          <w:tcPr>
            <w:tcW w:w="1352" w:type="dxa"/>
            <w:gridSpan w:val="3"/>
          </w:tcPr>
          <w:p w14:paraId="260EC0B6" w14:textId="32EE87D1"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51"/>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51"/>
                <w14:textFill>
                  <w14:solidFill>
                    <w14:srgbClr w14:val="000000">
                      <w14:alpha w14:val="100000"/>
                    </w14:srgbClr>
                  </w14:solidFill>
                </w14:textFill>
              </w:rPr>
              <w:t>|</w:t>
            </w:r>
            <w:r w:rsidR="007E3177" w:rsidRPr="007E3177">
              <w:rPr>
                <w:rFonts w:ascii="Arial Narrow" w:hAnsi="Arial Narrow" w:cs="Calibri"/>
                <w:color w:val="000000"/>
                <w:sz w:val="20"/>
                <w:szCs w:val="20"/>
              </w:rPr>
              <w:t xml:space="preserve"> </w:t>
            </w:r>
          </w:p>
        </w:tc>
        <w:tc>
          <w:tcPr>
            <w:tcW w:w="1232" w:type="dxa"/>
          </w:tcPr>
          <w:p w14:paraId="1F03D2D9" w14:textId="0648E776"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50"/>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50"/>
                <w14:textFill>
                  <w14:solidFill>
                    <w14:srgbClr w14:val="000000">
                      <w14:alpha w14:val="100000"/>
                    </w14:srgbClr>
                  </w14:solidFill>
                </w14:textFill>
              </w:rPr>
              <w:t>|</w:t>
            </w:r>
            <w:r w:rsidR="007E3177" w:rsidRPr="007E3177">
              <w:rPr>
                <w:rFonts w:ascii="Arial Narrow" w:hAnsi="Arial Narrow" w:cs="Calibri"/>
                <w:color w:val="000000"/>
                <w:sz w:val="20"/>
                <w:szCs w:val="20"/>
              </w:rPr>
              <w:t xml:space="preserve"> </w:t>
            </w:r>
          </w:p>
        </w:tc>
      </w:tr>
    </w:tbl>
    <w:p w14:paraId="0ADFE260" w14:textId="77777777" w:rsidR="00D95E54" w:rsidRPr="00D95E54" w:rsidRDefault="00D95E54" w:rsidP="00D95E54">
      <w:pPr>
        <w:tabs>
          <w:tab w:val="num" w:pos="426"/>
        </w:tabs>
        <w:spacing w:after="0" w:line="259" w:lineRule="auto"/>
        <w:ind w:left="-142" w:firstLine="142"/>
        <w:rPr>
          <w:rFonts w:ascii="Arial Narrow" w:hAnsi="Arial Narrow"/>
          <w:bCs/>
          <w:kern w:val="2"/>
          <w:sz w:val="18"/>
          <w:szCs w:val="18"/>
          <w14:ligatures w14:val="standardContextual"/>
        </w:rPr>
      </w:pPr>
      <w:r w:rsidRPr="00933448">
        <w:rPr>
          <w:rFonts w:ascii="Arial Narrow" w:hAnsi="Arial Narrow"/>
          <w:bCs/>
          <w:kern w:val="2"/>
          <w:sz w:val="18"/>
          <w:szCs w:val="18"/>
          <w14:ligatures w14:val="standardContextual"/>
        </w:rPr>
        <w:t>Source: Resubmission letter for cilta-cel received 08 March 2024</w:t>
      </w:r>
    </w:p>
    <w:p w14:paraId="49FC300D" w14:textId="77777777" w:rsidR="00D95E54" w:rsidRPr="00D95E54" w:rsidRDefault="00D95E54" w:rsidP="00D95E54">
      <w:pPr>
        <w:tabs>
          <w:tab w:val="num" w:pos="426"/>
        </w:tabs>
        <w:spacing w:after="0" w:line="259" w:lineRule="auto"/>
        <w:ind w:left="-142" w:firstLine="142"/>
        <w:rPr>
          <w:rFonts w:ascii="Arial Narrow" w:hAnsi="Arial Narrow"/>
          <w:bCs/>
          <w:kern w:val="2"/>
          <w:sz w:val="18"/>
          <w:szCs w:val="18"/>
          <w14:ligatures w14:val="standardContextual"/>
        </w:rPr>
      </w:pPr>
      <w:r w:rsidRPr="00933448">
        <w:rPr>
          <w:rFonts w:ascii="Arial Narrow" w:hAnsi="Arial Narrow"/>
          <w:bCs/>
          <w:kern w:val="2"/>
          <w:sz w:val="18"/>
          <w:szCs w:val="18"/>
          <w14:ligatures w14:val="standardContextual"/>
        </w:rPr>
        <w:t xml:space="preserve">Abbreviations: 5L = </w:t>
      </w:r>
      <w:proofErr w:type="gramStart"/>
      <w:r w:rsidRPr="00933448">
        <w:rPr>
          <w:rFonts w:ascii="Arial Narrow" w:hAnsi="Arial Narrow"/>
          <w:bCs/>
          <w:kern w:val="2"/>
          <w:sz w:val="18"/>
          <w:szCs w:val="18"/>
          <w14:ligatures w14:val="standardContextual"/>
        </w:rPr>
        <w:t>fifth-line</w:t>
      </w:r>
      <w:proofErr w:type="gramEnd"/>
      <w:r w:rsidRPr="00933448">
        <w:rPr>
          <w:rFonts w:ascii="Arial Narrow" w:hAnsi="Arial Narrow"/>
          <w:bCs/>
          <w:kern w:val="2"/>
          <w:sz w:val="18"/>
          <w:szCs w:val="18"/>
          <w14:ligatures w14:val="standardContextual"/>
        </w:rPr>
        <w:t>; MM = multiple myeloma; NHRA =</w:t>
      </w:r>
      <w:r w:rsidRPr="00933448">
        <w:rPr>
          <w:rFonts w:ascii="Arial Narrow" w:hAnsi="Arial Narrow"/>
          <w:kern w:val="2"/>
          <w:sz w:val="18"/>
          <w:szCs w:val="18"/>
          <w14:ligatures w14:val="standardContextual"/>
        </w:rPr>
        <w:t xml:space="preserve"> </w:t>
      </w:r>
      <w:r w:rsidRPr="00933448">
        <w:rPr>
          <w:rFonts w:ascii="Arial Narrow" w:hAnsi="Arial Narrow"/>
          <w:bCs/>
          <w:kern w:val="2"/>
          <w:sz w:val="18"/>
          <w:szCs w:val="18"/>
          <w14:ligatures w14:val="standardContextual"/>
        </w:rPr>
        <w:t>National Health Reform Agreement</w:t>
      </w:r>
    </w:p>
    <w:p w14:paraId="38954DFA" w14:textId="0F5E5937" w:rsidR="00D95E54" w:rsidRPr="000871DB" w:rsidRDefault="005500A3" w:rsidP="0095250C">
      <w:pPr>
        <w:spacing w:before="240" w:after="160" w:line="259" w:lineRule="auto"/>
        <w:rPr>
          <w:rFonts w:ascii="Franklin Gothic Book" w:hAnsi="Franklin Gothic Book"/>
          <w:kern w:val="2"/>
          <w14:ligatures w14:val="standardContextual"/>
        </w:rPr>
      </w:pPr>
      <w:r w:rsidRPr="000871DB">
        <w:rPr>
          <w:rFonts w:ascii="Franklin Gothic Book" w:hAnsi="Franklin Gothic Book"/>
          <w:iCs/>
        </w:rPr>
        <w:t>MSAC noted</w:t>
      </w:r>
      <w:r w:rsidR="000F3790" w:rsidRPr="000871DB">
        <w:rPr>
          <w:rFonts w:ascii="Franklin Gothic Book" w:hAnsi="Franklin Gothic Book"/>
          <w:iCs/>
        </w:rPr>
        <w:t xml:space="preserve"> that the</w:t>
      </w:r>
      <w:r w:rsidRPr="000871DB">
        <w:rPr>
          <w:rFonts w:ascii="Franklin Gothic Book" w:hAnsi="Franklin Gothic Book"/>
          <w:iCs/>
        </w:rPr>
        <w:t xml:space="preserve"> Department of Health and Aged Care</w:t>
      </w:r>
      <w:r w:rsidR="000F3790" w:rsidRPr="000871DB">
        <w:rPr>
          <w:rFonts w:ascii="Franklin Gothic Book" w:hAnsi="Franklin Gothic Book"/>
          <w:iCs/>
        </w:rPr>
        <w:t xml:space="preserve"> requested</w:t>
      </w:r>
      <w:r w:rsidR="00B530CD" w:rsidRPr="000871DB">
        <w:rPr>
          <w:rFonts w:ascii="Franklin Gothic Book" w:hAnsi="Franklin Gothic Book"/>
          <w:iCs/>
        </w:rPr>
        <w:t xml:space="preserve"> the applicant provide </w:t>
      </w:r>
      <w:r w:rsidR="006A5473" w:rsidRPr="000871DB">
        <w:rPr>
          <w:rFonts w:ascii="Franklin Gothic Book" w:hAnsi="Franklin Gothic Book"/>
          <w:iCs/>
        </w:rPr>
        <w:t>a risk sharing arrangement</w:t>
      </w:r>
      <w:r w:rsidR="0040362C" w:rsidRPr="000871DB">
        <w:rPr>
          <w:rFonts w:ascii="Franklin Gothic Book" w:hAnsi="Franklin Gothic Book"/>
          <w:iCs/>
        </w:rPr>
        <w:t xml:space="preserve"> that sought to address MSAC’s concerns from the November 2023 meeting</w:t>
      </w:r>
      <w:r w:rsidRPr="000871DB">
        <w:rPr>
          <w:rFonts w:ascii="Franklin Gothic Book" w:hAnsi="Franklin Gothic Book"/>
          <w:iCs/>
        </w:rPr>
        <w:t xml:space="preserve">. </w:t>
      </w:r>
      <w:r w:rsidR="00D95E54" w:rsidRPr="000871DB">
        <w:rPr>
          <w:rFonts w:ascii="Franklin Gothic Book" w:hAnsi="Franklin Gothic Book"/>
          <w:kern w:val="2"/>
          <w14:ligatures w14:val="standardContextual"/>
        </w:rPr>
        <w:t>MSAC noted the proposal by Janssen-</w:t>
      </w:r>
      <w:proofErr w:type="spellStart"/>
      <w:r w:rsidR="00D95E54" w:rsidRPr="000871DB">
        <w:rPr>
          <w:rFonts w:ascii="Franklin Gothic Book" w:hAnsi="Franklin Gothic Book"/>
          <w:kern w:val="2"/>
          <w14:ligatures w14:val="standardContextual"/>
        </w:rPr>
        <w:t>Cilag</w:t>
      </w:r>
      <w:proofErr w:type="spellEnd"/>
      <w:r w:rsidR="00D95E54" w:rsidRPr="000871DB">
        <w:rPr>
          <w:rFonts w:ascii="Franklin Gothic Book" w:hAnsi="Franklin Gothic Book"/>
          <w:kern w:val="2"/>
          <w14:ligatures w14:val="standardContextual"/>
        </w:rPr>
        <w:t xml:space="preserve"> to limit the number of patients who could receive treatment with cilta-cel in any given funding year, with the patient number limit resetting at the end of each funding year. MSAC noted that if implemented, the proposal would mean that a patient’s eligibility to receive cilta-cel would be influenced by the time of year they were deemed eligible for treatment, meaning that an eligible patient presenting at the beginning of the year had a higher likelihood of receiving the treatment than an eligible patient presenting at the end of the year. MSAC considered it was unacceptable in any circumstance for patients to be denied access to effective treatment as a mechanism for Janssen-</w:t>
      </w:r>
      <w:proofErr w:type="spellStart"/>
      <w:r w:rsidR="00D95E54" w:rsidRPr="000871DB">
        <w:rPr>
          <w:rFonts w:ascii="Franklin Gothic Book" w:hAnsi="Franklin Gothic Book"/>
          <w:kern w:val="2"/>
          <w14:ligatures w14:val="standardContextual"/>
        </w:rPr>
        <w:t>Cilag</w:t>
      </w:r>
      <w:proofErr w:type="spellEnd"/>
      <w:r w:rsidR="00D95E54" w:rsidRPr="000871DB">
        <w:rPr>
          <w:rFonts w:ascii="Franklin Gothic Book" w:hAnsi="Franklin Gothic Book"/>
          <w:kern w:val="2"/>
          <w14:ligatures w14:val="standardContextual"/>
        </w:rPr>
        <w:t xml:space="preserve"> to provide certainty its financial estimates would not be exceeded. At the end of a funding year, the applicant proposed that if the “infused patient number” limit was not reached, these patients could be carried over to the subsequent funding year, should Janssen-</w:t>
      </w:r>
      <w:proofErr w:type="spellStart"/>
      <w:r w:rsidR="00D95E54" w:rsidRPr="000871DB">
        <w:rPr>
          <w:rFonts w:ascii="Franklin Gothic Book" w:hAnsi="Franklin Gothic Book"/>
          <w:kern w:val="2"/>
          <w14:ligatures w14:val="standardContextual"/>
        </w:rPr>
        <w:t>Cilag</w:t>
      </w:r>
      <w:proofErr w:type="spellEnd"/>
      <w:r w:rsidR="00D95E54" w:rsidRPr="000871DB">
        <w:rPr>
          <w:rFonts w:ascii="Franklin Gothic Book" w:hAnsi="Franklin Gothic Book"/>
          <w:kern w:val="2"/>
          <w14:ligatures w14:val="standardContextual"/>
        </w:rPr>
        <w:t xml:space="preserve"> be able to meet the additional supply demand in that timeframe. This further concerned MSAC that Janssen-</w:t>
      </w:r>
      <w:proofErr w:type="spellStart"/>
      <w:r w:rsidR="00D95E54" w:rsidRPr="000871DB">
        <w:rPr>
          <w:rFonts w:ascii="Franklin Gothic Book" w:hAnsi="Franklin Gothic Book"/>
          <w:kern w:val="2"/>
          <w14:ligatures w14:val="standardContextual"/>
        </w:rPr>
        <w:t>Cilag</w:t>
      </w:r>
      <w:proofErr w:type="spellEnd"/>
      <w:r w:rsidR="00D95E54" w:rsidRPr="000871DB">
        <w:rPr>
          <w:rFonts w:ascii="Franklin Gothic Book" w:hAnsi="Franklin Gothic Book"/>
          <w:kern w:val="2"/>
          <w14:ligatures w14:val="standardContextual"/>
        </w:rPr>
        <w:t xml:space="preserve"> could not guarantee adequate supply of cilta-cel for Australian patients</w:t>
      </w:r>
      <w:r w:rsidR="00C82AB6" w:rsidRPr="000871DB">
        <w:rPr>
          <w:rFonts w:ascii="Franklin Gothic Book" w:hAnsi="Franklin Gothic Book"/>
          <w:kern w:val="2"/>
          <w14:ligatures w14:val="standardContextual"/>
        </w:rPr>
        <w:t>.</w:t>
      </w:r>
    </w:p>
    <w:p w14:paraId="52DD3C9F" w14:textId="30DBA768" w:rsidR="00D95E54" w:rsidRPr="000871DB"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Janssen-</w:t>
      </w:r>
      <w:proofErr w:type="spellStart"/>
      <w:r w:rsidRPr="000871DB">
        <w:rPr>
          <w:rFonts w:ascii="Franklin Gothic Book" w:hAnsi="Franklin Gothic Book"/>
          <w:kern w:val="2"/>
          <w14:ligatures w14:val="standardContextual"/>
        </w:rPr>
        <w:t>Cilag</w:t>
      </w:r>
      <w:proofErr w:type="spellEnd"/>
      <w:r w:rsidRPr="000871DB">
        <w:rPr>
          <w:rFonts w:ascii="Franklin Gothic Book" w:hAnsi="Franklin Gothic Book"/>
          <w:kern w:val="2"/>
          <w14:ligatures w14:val="standardContextual"/>
        </w:rPr>
        <w:t xml:space="preserve"> proposed that the National CAR-T Prioritisation Committee (NPC), which includes a specialist group of physicians working in multi-disciplinary teams delivering CAR-T therapy in approved hospitals, could oversee patient selection for CAR-T cell therapy at the national level, thereby managing the proposed limit on the number of patients treated with cilta-cel per year. MSAC noted feedback provided by the states and territories that Australia does not have a national entity with authority to arbitrate on which patients do or do not receive CAR-T cell therapy, and that the NPC was set up to provide clinical advice and support very early in implementation of CAR-T cell therapies and was not tasked to manage patient caps. MSAC noted that final determination of patient eligibility does not sit with this group, with each state and territory determining this through their own multi-disciplinary teams, and therefore it would be inappropriate for the NPC to now be charged to facilitate or otherwise manage a cap on patient numbers.</w:t>
      </w:r>
    </w:p>
    <w:p w14:paraId="0C6B8093" w14:textId="36704A9B" w:rsidR="00D95E54" w:rsidRPr="000871DB"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MSAC noted that in the case a proposed annual allocation was reached, Janssen-</w:t>
      </w:r>
      <w:proofErr w:type="spellStart"/>
      <w:r w:rsidRPr="000871DB">
        <w:rPr>
          <w:rFonts w:ascii="Franklin Gothic Book" w:hAnsi="Franklin Gothic Book"/>
          <w:kern w:val="2"/>
          <w14:ligatures w14:val="standardContextual"/>
        </w:rPr>
        <w:t>Cilag</w:t>
      </w:r>
      <w:proofErr w:type="spellEnd"/>
      <w:r w:rsidRPr="000871DB">
        <w:rPr>
          <w:rFonts w:ascii="Franklin Gothic Book" w:hAnsi="Franklin Gothic Book"/>
          <w:kern w:val="2"/>
          <w14:ligatures w14:val="standardContextual"/>
        </w:rPr>
        <w:t xml:space="preserve"> would be willing to amend the parameters of its current compassionate daratumumab program for RRMM to ensure cilta-cel eligible patients could instead access an additional option that is not available on the PBS and that these patients may also potentially have alternative PBS options available to manage their RRMM until the next funding year starts. MSAC agreed with the state and territory feedback and considered the use of daratumumab in this setting was questionable given all patients deemed eligible to receive cilta-cel would have already received daratumumab, and offering patients alternative therapies if they were eligible to receive cilta-cel and had already exhausted all other treatment options went against good clinical practice.</w:t>
      </w:r>
    </w:p>
    <w:p w14:paraId="13302E98" w14:textId="532DF8C4" w:rsidR="00D95E54" w:rsidRPr="000871DB"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MSAC considered the proposal put forward by Janssen-</w:t>
      </w:r>
      <w:proofErr w:type="spellStart"/>
      <w:r w:rsidRPr="000871DB">
        <w:rPr>
          <w:rFonts w:ascii="Franklin Gothic Book" w:hAnsi="Franklin Gothic Book"/>
          <w:kern w:val="2"/>
          <w14:ligatures w14:val="standardContextual"/>
        </w:rPr>
        <w:t>Cilag</w:t>
      </w:r>
      <w:proofErr w:type="spellEnd"/>
      <w:r w:rsidRPr="000871DB">
        <w:rPr>
          <w:rFonts w:ascii="Franklin Gothic Book" w:hAnsi="Franklin Gothic Book"/>
          <w:kern w:val="2"/>
          <w14:ligatures w14:val="standardContextual"/>
        </w:rPr>
        <w:t xml:space="preserve"> was not a genuine RSA, with the applicant bearing no financial risk if the utilisation estimates were to be exceeded. MSAC considered Janssen-</w:t>
      </w:r>
      <w:proofErr w:type="spellStart"/>
      <w:r w:rsidRPr="000871DB">
        <w:rPr>
          <w:rFonts w:ascii="Franklin Gothic Book" w:hAnsi="Franklin Gothic Book"/>
          <w:kern w:val="2"/>
          <w14:ligatures w14:val="standardContextual"/>
        </w:rPr>
        <w:t>Cilag’s</w:t>
      </w:r>
      <w:proofErr w:type="spellEnd"/>
      <w:r w:rsidRPr="000871DB">
        <w:rPr>
          <w:rFonts w:ascii="Franklin Gothic Book" w:hAnsi="Franklin Gothic Book"/>
          <w:kern w:val="2"/>
          <w14:ligatures w14:val="standardContextual"/>
        </w:rPr>
        <w:t xml:space="preserve"> proposal transferred all the risk associated with exceeding their proposed financial estimates to the patients and the health system. MSAC considered that any suggestion to limit the number of eligible patients who could receive treatment with cilta-cel per year was inequitable and unethical. MSAC welcomed Janssen-</w:t>
      </w:r>
      <w:proofErr w:type="spellStart"/>
      <w:r w:rsidRPr="000871DB">
        <w:rPr>
          <w:rFonts w:ascii="Franklin Gothic Book" w:hAnsi="Franklin Gothic Book"/>
          <w:kern w:val="2"/>
          <w14:ligatures w14:val="standardContextual"/>
        </w:rPr>
        <w:t>Cilag’s</w:t>
      </w:r>
      <w:proofErr w:type="spellEnd"/>
      <w:r w:rsidRPr="000871DB">
        <w:rPr>
          <w:rFonts w:ascii="Franklin Gothic Book" w:hAnsi="Franklin Gothic Book"/>
          <w:kern w:val="2"/>
          <w14:ligatures w14:val="standardContextual"/>
        </w:rPr>
        <w:t xml:space="preserve"> statement that it was open to further discussion on this matter should MSAC support funding of cilta-cel. MSAC considered that should the patient estimates be exceeded an acceptable RSA would be one where a reduced payment on successful infusion only was paid for each eligible patient treated above the patient estimates in a given funding year.</w:t>
      </w:r>
    </w:p>
    <w:p w14:paraId="3A78309F" w14:textId="31753358" w:rsidR="00D95E54" w:rsidRPr="000871DB"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 xml:space="preserve">MSAC noted feedback on the funding proposal was provided by four states and territories.  MSAC noted </w:t>
      </w:r>
      <w:r w:rsidR="00C80513" w:rsidRPr="000871DB">
        <w:rPr>
          <w:rFonts w:ascii="Franklin Gothic Book" w:hAnsi="Franklin Gothic Book"/>
          <w:kern w:val="2"/>
          <w14:ligatures w14:val="standardContextual"/>
        </w:rPr>
        <w:t xml:space="preserve">all </w:t>
      </w:r>
      <w:r w:rsidRPr="000871DB">
        <w:rPr>
          <w:rFonts w:ascii="Franklin Gothic Book" w:hAnsi="Franklin Gothic Book"/>
          <w:kern w:val="2"/>
          <w14:ligatures w14:val="standardContextual"/>
        </w:rPr>
        <w:t xml:space="preserve">states and territories </w:t>
      </w:r>
      <w:r w:rsidR="00C80513" w:rsidRPr="000871DB">
        <w:rPr>
          <w:rFonts w:ascii="Franklin Gothic Book" w:hAnsi="Franklin Gothic Book"/>
          <w:kern w:val="2"/>
          <w14:ligatures w14:val="standardContextual"/>
        </w:rPr>
        <w:t xml:space="preserve">except one </w:t>
      </w:r>
      <w:r w:rsidRPr="000871DB">
        <w:rPr>
          <w:rFonts w:ascii="Franklin Gothic Book" w:hAnsi="Franklin Gothic Book"/>
          <w:kern w:val="2"/>
          <w14:ligatures w14:val="standardContextual"/>
        </w:rPr>
        <w:t>shared the same concerns as the Committee, particularly that the company had not made a sufficient attempt to address the MSAC’s concerns and that the pricing proposal and limit on patient numbers put forward by the applicant were inadequate and unacceptable.</w:t>
      </w:r>
    </w:p>
    <w:p w14:paraId="2FEE0E77" w14:textId="77777777" w:rsidR="00D95E54" w:rsidRPr="00933448"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 xml:space="preserve">MSAC considered data collection was mandatory for the public funding of cilta-cel. More broadly, MSAC considered there should be a single national registry that collected standardised sets of data for all cell and gene therapies, independent of the condition. MSAC reiterated its previous advice that there is an urgent and important need for the Commonwealth, </w:t>
      </w:r>
      <w:proofErr w:type="gramStart"/>
      <w:r w:rsidRPr="000871DB">
        <w:rPr>
          <w:rFonts w:ascii="Franklin Gothic Book" w:hAnsi="Franklin Gothic Book"/>
          <w:kern w:val="2"/>
          <w14:ligatures w14:val="standardContextual"/>
        </w:rPr>
        <w:t>jurisdictions</w:t>
      </w:r>
      <w:proofErr w:type="gramEnd"/>
      <w:r w:rsidRPr="000871DB">
        <w:rPr>
          <w:rFonts w:ascii="Franklin Gothic Book" w:hAnsi="Franklin Gothic Book"/>
          <w:kern w:val="2"/>
          <w14:ligatures w14:val="standardContextual"/>
        </w:rPr>
        <w:t xml:space="preserve"> and other relevant stakeholders to work together to determine the most appropriate data collection mechanism for highly specialised therapies.</w:t>
      </w:r>
    </w:p>
    <w:p w14:paraId="0F9D82C2" w14:textId="77777777" w:rsidR="00191C5C" w:rsidRDefault="00191C5C" w:rsidP="00191C5C">
      <w:pPr>
        <w:pStyle w:val="Heading2"/>
        <w:numPr>
          <w:ilvl w:val="0"/>
          <w:numId w:val="27"/>
        </w:numPr>
        <w:ind w:left="709" w:hanging="709"/>
      </w:pPr>
      <w:bookmarkStart w:id="13" w:name="_Toc69491416"/>
      <w:r w:rsidRPr="004F3649">
        <w:t>Background</w:t>
      </w:r>
      <w:bookmarkEnd w:id="13"/>
    </w:p>
    <w:p w14:paraId="14E31F18" w14:textId="4DA6A8B3" w:rsidR="00F85775" w:rsidRPr="00F85775" w:rsidRDefault="001A66BE" w:rsidP="00E22927">
      <w:pPr>
        <w:pStyle w:val="paragraph"/>
        <w:spacing w:before="0" w:beforeAutospacing="0" w:after="0" w:afterAutospacing="0"/>
        <w:jc w:val="left"/>
        <w:textAlignment w:val="baseline"/>
        <w:rPr>
          <w:rFonts w:ascii="Franklin Gothic Book" w:eastAsiaTheme="minorHAnsi" w:hAnsi="Franklin Gothic Book" w:cstheme="minorBidi"/>
          <w:kern w:val="2"/>
          <w:sz w:val="22"/>
          <w:szCs w:val="22"/>
          <w:lang w:val="en-AU" w:eastAsia="en-US"/>
          <w14:ligatures w14:val="standardContextual"/>
        </w:rPr>
      </w:pPr>
      <w:r w:rsidRPr="00F85775">
        <w:rPr>
          <w:rFonts w:ascii="Franklin Gothic Book" w:eastAsiaTheme="minorHAnsi" w:hAnsi="Franklin Gothic Book" w:cstheme="minorBidi"/>
          <w:kern w:val="2"/>
          <w:sz w:val="22"/>
          <w:szCs w:val="22"/>
          <w:lang w:val="en-AU" w:eastAsia="en-US"/>
          <w14:ligatures w14:val="standardContextual"/>
        </w:rPr>
        <w:t xml:space="preserve">Cilta-cel was considered by the </w:t>
      </w:r>
      <w:r w:rsidR="00322FF9" w:rsidRPr="00F85775">
        <w:rPr>
          <w:rFonts w:ascii="Franklin Gothic Book" w:eastAsiaTheme="minorHAnsi" w:hAnsi="Franklin Gothic Book" w:cstheme="minorBidi"/>
          <w:kern w:val="2"/>
          <w:sz w:val="22"/>
          <w:szCs w:val="22"/>
          <w:lang w:val="en-AU" w:eastAsia="en-US"/>
          <w14:ligatures w14:val="standardContextual"/>
        </w:rPr>
        <w:t xml:space="preserve">Medical Services Advisory Committee (MSAC) in November 2023 for the treatment of </w:t>
      </w:r>
      <w:r w:rsidR="005848FC" w:rsidRPr="00F85775">
        <w:rPr>
          <w:rFonts w:ascii="Franklin Gothic Book" w:eastAsiaTheme="minorHAnsi" w:hAnsi="Franklin Gothic Book" w:cstheme="minorBidi"/>
          <w:kern w:val="2"/>
          <w:sz w:val="22"/>
          <w:szCs w:val="22"/>
          <w:lang w:val="en-AU" w:eastAsia="en-US"/>
          <w14:ligatures w14:val="standardContextual"/>
        </w:rPr>
        <w:t xml:space="preserve">adult patients with RRMM who have received at least 4 prior lines of therapy, including a PI, an </w:t>
      </w:r>
      <w:proofErr w:type="spellStart"/>
      <w:r w:rsidR="005848FC" w:rsidRPr="00F85775">
        <w:rPr>
          <w:rFonts w:ascii="Franklin Gothic Book" w:eastAsiaTheme="minorHAnsi" w:hAnsi="Franklin Gothic Book" w:cstheme="minorBidi"/>
          <w:kern w:val="2"/>
          <w:sz w:val="22"/>
          <w:szCs w:val="22"/>
          <w:lang w:val="en-AU" w:eastAsia="en-US"/>
          <w14:ligatures w14:val="standardContextual"/>
        </w:rPr>
        <w:t>IMiD</w:t>
      </w:r>
      <w:proofErr w:type="spellEnd"/>
      <w:r w:rsidR="005848FC" w:rsidRPr="00F85775">
        <w:rPr>
          <w:rFonts w:ascii="Franklin Gothic Book" w:eastAsiaTheme="minorHAnsi" w:hAnsi="Franklin Gothic Book" w:cstheme="minorBidi"/>
          <w:kern w:val="2"/>
          <w:sz w:val="22"/>
          <w:szCs w:val="22"/>
          <w:lang w:val="en-AU" w:eastAsia="en-US"/>
          <w14:ligatures w14:val="standardContextual"/>
        </w:rPr>
        <w:t xml:space="preserve"> and an anti-CD38 antibody. MSAC deferred its advice in relation to the public funding of cilta-cel</w:t>
      </w:r>
      <w:r w:rsidR="0077366A" w:rsidRPr="00F85775">
        <w:rPr>
          <w:rFonts w:ascii="Franklin Gothic Book" w:eastAsiaTheme="minorHAnsi" w:hAnsi="Franklin Gothic Book" w:cstheme="minorBidi"/>
          <w:kern w:val="2"/>
          <w:sz w:val="22"/>
          <w:szCs w:val="22"/>
          <w:lang w:val="en-AU" w:eastAsia="en-US"/>
          <w14:ligatures w14:val="standardContextual"/>
        </w:rPr>
        <w:t xml:space="preserve"> </w:t>
      </w:r>
      <w:r w:rsidR="00F85775" w:rsidRPr="00F85775">
        <w:rPr>
          <w:rFonts w:ascii="Franklin Gothic Book" w:eastAsiaTheme="minorHAnsi" w:hAnsi="Franklin Gothic Book" w:cstheme="minorBidi"/>
          <w:kern w:val="2"/>
          <w:sz w:val="22"/>
          <w:szCs w:val="22"/>
          <w:lang w:val="en-AU" w:eastAsia="en-US"/>
          <w14:ligatures w14:val="standardContextual"/>
        </w:rPr>
        <w:t>to see whether a lower ICER could be achieved through adjusting inputs in the economic model (particularly hospital costs and health benefits gained - to be verified by jurisdictions) and for a significant price reduction to be offered by the company. MSAC advised that an ICER in the range of those for other treatments in later line RRMM recommended by PBAC would be more likely to be acceptable. Furthermore, MSAC requested the Department negotiate a pay-for-performance arrangement to incentivise payment on the performance of the deeper level of clinical response achieved at 12-months after cilta-cel infusion.</w:t>
      </w:r>
    </w:p>
    <w:p w14:paraId="2A4EDB18" w14:textId="68764006" w:rsidR="0081236F" w:rsidRPr="0081236F" w:rsidRDefault="0081236F" w:rsidP="00E22927">
      <w:pPr>
        <w:spacing w:before="240"/>
        <w:rPr>
          <w:rFonts w:ascii="Franklin Gothic Book" w:hAnsi="Franklin Gothic Book"/>
        </w:rPr>
      </w:pPr>
      <w:r w:rsidRPr="0081236F">
        <w:rPr>
          <w:rFonts w:ascii="Franklin Gothic Book" w:hAnsi="Franklin Gothic Book"/>
        </w:rPr>
        <w:t>Following the MSAC’s decision to defer its advice on the public funding of cilta-cel for 5L+ RRMM at the November 2023 meeting, the applicant re-submitted details of a funding proposal</w:t>
      </w:r>
      <w:r w:rsidR="009757D5">
        <w:rPr>
          <w:rFonts w:ascii="Franklin Gothic Book" w:hAnsi="Franklin Gothic Book"/>
        </w:rPr>
        <w:t xml:space="preserve"> and </w:t>
      </w:r>
      <w:proofErr w:type="gramStart"/>
      <w:r w:rsidR="009757D5">
        <w:rPr>
          <w:rFonts w:ascii="Franklin Gothic Book" w:hAnsi="Franklin Gothic Book"/>
        </w:rPr>
        <w:t>a</w:t>
      </w:r>
      <w:proofErr w:type="gramEnd"/>
      <w:r w:rsidR="009757D5">
        <w:rPr>
          <w:rFonts w:ascii="Franklin Gothic Book" w:hAnsi="Franklin Gothic Book"/>
        </w:rPr>
        <w:t xml:space="preserve"> RSA</w:t>
      </w:r>
      <w:r w:rsidRPr="0081236F">
        <w:rPr>
          <w:rFonts w:ascii="Franklin Gothic Book" w:hAnsi="Franklin Gothic Book"/>
        </w:rPr>
        <w:t>.</w:t>
      </w:r>
    </w:p>
    <w:p w14:paraId="1ECC2733" w14:textId="77777777" w:rsidR="009B326D" w:rsidRDefault="009B326D" w:rsidP="009B326D">
      <w:pPr>
        <w:pStyle w:val="Heading2"/>
        <w:numPr>
          <w:ilvl w:val="0"/>
          <w:numId w:val="27"/>
        </w:numPr>
        <w:ind w:left="737" w:hanging="737"/>
      </w:pPr>
      <w:bookmarkStart w:id="14" w:name="_Toc69491417"/>
      <w:r w:rsidRPr="004F3649">
        <w:t>Prerequisites to implementation of any funding advice</w:t>
      </w:r>
      <w:bookmarkEnd w:id="14"/>
    </w:p>
    <w:p w14:paraId="7A2E65A6" w14:textId="63B5E267" w:rsidR="009B326D" w:rsidRPr="00394FEF" w:rsidRDefault="009B326D" w:rsidP="009B326D">
      <w:pPr>
        <w:rPr>
          <w:b/>
          <w:bCs/>
          <w:i/>
          <w:iCs/>
          <w:sz w:val="24"/>
          <w:szCs w:val="24"/>
        </w:rPr>
      </w:pPr>
      <w:r w:rsidRPr="00FD6C78">
        <w:rPr>
          <w:rFonts w:ascii="Franklin Gothic Book" w:hAnsi="Franklin Gothic Book"/>
        </w:rPr>
        <w:t>Cilta-cel qualifies as a high-cost, highly specialised therapy as per the NHRA definition (Addendum to the NHRA 2020–2025 (NHRA 2020–2025).</w:t>
      </w:r>
    </w:p>
    <w:p w14:paraId="0CAEA1D2" w14:textId="77777777" w:rsidR="000B681E" w:rsidRPr="004F3649" w:rsidRDefault="000B681E" w:rsidP="000B681E">
      <w:pPr>
        <w:pStyle w:val="Heading3"/>
        <w:numPr>
          <w:ilvl w:val="0"/>
          <w:numId w:val="0"/>
        </w:numPr>
        <w:rPr>
          <w:rFonts w:ascii="Franklin Gothic Book" w:hAnsi="Franklin Gothic Book" w:cstheme="minorHAnsi"/>
          <w:b/>
          <w:bCs/>
        </w:rPr>
      </w:pPr>
      <w:bookmarkStart w:id="15" w:name="_Toc95314662"/>
      <w:bookmarkStart w:id="16" w:name="_Toc139447879"/>
      <w:r w:rsidRPr="004F3649">
        <w:rPr>
          <w:rFonts w:ascii="Franklin Gothic Book" w:hAnsi="Franklin Gothic Book" w:cstheme="minorHAnsi"/>
          <w:b/>
          <w:bCs/>
        </w:rPr>
        <w:t>TGA details</w:t>
      </w:r>
      <w:bookmarkEnd w:id="15"/>
      <w:bookmarkEnd w:id="16"/>
    </w:p>
    <w:p w14:paraId="2282BCB3" w14:textId="741FAB83" w:rsidR="000B681E" w:rsidRPr="00FD6C78" w:rsidRDefault="000B681E" w:rsidP="000B681E">
      <w:pPr>
        <w:rPr>
          <w:rFonts w:ascii="Franklin Gothic Book" w:hAnsi="Franklin Gothic Book"/>
        </w:rPr>
      </w:pPr>
      <w:r w:rsidRPr="00FD6C78">
        <w:rPr>
          <w:rFonts w:ascii="Franklin Gothic Book" w:hAnsi="Franklin Gothic Book"/>
        </w:rPr>
        <w:t>Cilta-cel (CARVYKTI®) was included on the Australian Register of Therapeutic Goods (ARTG) on 6</w:t>
      </w:r>
      <w:r w:rsidR="00C82AB6">
        <w:rPr>
          <w:rFonts w:ascii="Franklin Gothic Book" w:hAnsi="Franklin Gothic Book"/>
        </w:rPr>
        <w:t> </w:t>
      </w:r>
      <w:r w:rsidRPr="00FD6C78">
        <w:rPr>
          <w:rFonts w:ascii="Franklin Gothic Book" w:hAnsi="Franklin Gothic Book"/>
        </w:rPr>
        <w:t>June 2023. Cilta-cel was registered on the ARTG as a Class 4 biological.</w:t>
      </w:r>
      <w:r>
        <w:rPr>
          <w:rStyle w:val="FootnoteReference"/>
          <w:rFonts w:ascii="Franklin Gothic Book" w:hAnsi="Franklin Gothic Book"/>
        </w:rPr>
        <w:footnoteReference w:id="3"/>
      </w:r>
      <w:r w:rsidRPr="00FD6C78">
        <w:rPr>
          <w:rFonts w:ascii="Franklin Gothic Book" w:hAnsi="Franklin Gothic Book"/>
        </w:rPr>
        <w:t xml:space="preserve"> </w:t>
      </w:r>
    </w:p>
    <w:p w14:paraId="0C8DD67A" w14:textId="71E17A0A" w:rsidR="000B681E" w:rsidRPr="00FD6C78" w:rsidRDefault="000B681E" w:rsidP="000B681E">
      <w:pPr>
        <w:rPr>
          <w:rFonts w:ascii="Franklin Gothic Book" w:hAnsi="Franklin Gothic Book"/>
        </w:rPr>
      </w:pPr>
      <w:r w:rsidRPr="00FD6C78">
        <w:rPr>
          <w:rFonts w:ascii="Franklin Gothic Book" w:hAnsi="Franklin Gothic Book"/>
        </w:rPr>
        <w:t xml:space="preserve">The TGA approved indication is: ‘cilta-cel is indicated for the treatment of adult patients with RRMM, who have received at least 3 prior lines of therapy, including a PI, an </w:t>
      </w:r>
      <w:proofErr w:type="spellStart"/>
      <w:r w:rsidRPr="00FD6C78">
        <w:rPr>
          <w:rFonts w:ascii="Franklin Gothic Book" w:hAnsi="Franklin Gothic Book"/>
        </w:rPr>
        <w:t>IMiD</w:t>
      </w:r>
      <w:proofErr w:type="spellEnd"/>
      <w:r w:rsidRPr="00FD6C78">
        <w:rPr>
          <w:rFonts w:ascii="Franklin Gothic Book" w:hAnsi="Franklin Gothic Book"/>
        </w:rPr>
        <w:t>, and an anti-CD38 antibody.’</w:t>
      </w:r>
    </w:p>
    <w:p w14:paraId="76B10262" w14:textId="77777777" w:rsidR="000862B2" w:rsidRPr="004F3649" w:rsidRDefault="000862B2" w:rsidP="000862B2">
      <w:pPr>
        <w:pStyle w:val="Heading2"/>
        <w:numPr>
          <w:ilvl w:val="0"/>
          <w:numId w:val="27"/>
        </w:numPr>
        <w:ind w:left="737" w:hanging="737"/>
      </w:pPr>
      <w:bookmarkStart w:id="17" w:name="_Toc69491421"/>
      <w:r w:rsidRPr="004F3649">
        <w:t>Summary of public consultation input</w:t>
      </w:r>
      <w:bookmarkEnd w:id="17"/>
    </w:p>
    <w:p w14:paraId="22DF5311" w14:textId="0DF27A30" w:rsidR="00BF758E" w:rsidRPr="00C647B0" w:rsidRDefault="000862B2" w:rsidP="00BF758E">
      <w:pPr>
        <w:rPr>
          <w:rFonts w:ascii="Franklin Gothic Book" w:hAnsi="Franklin Gothic Book"/>
        </w:rPr>
      </w:pPr>
      <w:r w:rsidRPr="00C647B0">
        <w:rPr>
          <w:rFonts w:ascii="Franklin Gothic Book" w:hAnsi="Franklin Gothic Book"/>
        </w:rPr>
        <w:t xml:space="preserve">A summary of previous consultation feedback received for MSAC Application 1690 is available in the Public Summary Document. Please refer to application 1690 </w:t>
      </w:r>
      <w:r w:rsidR="00C159E8">
        <w:rPr>
          <w:rFonts w:ascii="Franklin Gothic Book" w:hAnsi="Franklin Gothic Book"/>
        </w:rPr>
        <w:t>Public Summary Document</w:t>
      </w:r>
      <w:r w:rsidRPr="00C647B0">
        <w:rPr>
          <w:rFonts w:ascii="Franklin Gothic Book" w:hAnsi="Franklin Gothic Book"/>
        </w:rPr>
        <w:t xml:space="preserve"> July</w:t>
      </w:r>
      <w:r w:rsidR="00C82AB6">
        <w:rPr>
          <w:rFonts w:ascii="Franklin Gothic Book" w:hAnsi="Franklin Gothic Book"/>
        </w:rPr>
        <w:t> </w:t>
      </w:r>
      <w:r w:rsidRPr="00C647B0">
        <w:rPr>
          <w:rFonts w:ascii="Franklin Gothic Book" w:hAnsi="Franklin Gothic Book"/>
        </w:rPr>
        <w:t>2022 (pp10-12)</w:t>
      </w:r>
      <w:r w:rsidR="003F284F">
        <w:rPr>
          <w:rStyle w:val="FootnoteReference"/>
          <w:rFonts w:ascii="Franklin Gothic Book" w:hAnsi="Franklin Gothic Book"/>
        </w:rPr>
        <w:footnoteReference w:id="4"/>
      </w:r>
      <w:r w:rsidRPr="00C647B0">
        <w:rPr>
          <w:rFonts w:ascii="Franklin Gothic Book" w:hAnsi="Franklin Gothic Book"/>
        </w:rPr>
        <w:t>.</w:t>
      </w:r>
      <w:r w:rsidR="00BF758E">
        <w:rPr>
          <w:rFonts w:ascii="Franklin Gothic Book" w:hAnsi="Franklin Gothic Book"/>
        </w:rPr>
        <w:t xml:space="preserve"> </w:t>
      </w:r>
      <w:r w:rsidR="00BF758E" w:rsidRPr="00C647B0">
        <w:rPr>
          <w:rFonts w:ascii="Franklin Gothic Book" w:hAnsi="Franklin Gothic Book"/>
        </w:rPr>
        <w:t>A summary of previous consultation feedback received for MSAC Application 1690</w:t>
      </w:r>
      <w:r w:rsidR="00BF758E">
        <w:rPr>
          <w:rFonts w:ascii="Franklin Gothic Book" w:hAnsi="Franklin Gothic Book"/>
        </w:rPr>
        <w:t>.1 considered at the November 2023 meeting</w:t>
      </w:r>
      <w:r w:rsidR="00BF758E" w:rsidRPr="00C647B0">
        <w:rPr>
          <w:rFonts w:ascii="Franklin Gothic Book" w:hAnsi="Franklin Gothic Book"/>
        </w:rPr>
        <w:t xml:space="preserve"> is available in the </w:t>
      </w:r>
      <w:r w:rsidR="00C159E8">
        <w:rPr>
          <w:rFonts w:ascii="Franklin Gothic Book" w:hAnsi="Franklin Gothic Book"/>
        </w:rPr>
        <w:t>November</w:t>
      </w:r>
      <w:r w:rsidR="00E22927">
        <w:rPr>
          <w:rFonts w:ascii="Franklin Gothic Book" w:hAnsi="Franklin Gothic Book"/>
        </w:rPr>
        <w:t> </w:t>
      </w:r>
      <w:r w:rsidR="00C159E8">
        <w:rPr>
          <w:rFonts w:ascii="Franklin Gothic Book" w:hAnsi="Franklin Gothic Book"/>
        </w:rPr>
        <w:t xml:space="preserve">2023 1690.1 </w:t>
      </w:r>
      <w:r w:rsidR="00BF758E" w:rsidRPr="00C647B0">
        <w:rPr>
          <w:rFonts w:ascii="Franklin Gothic Book" w:hAnsi="Franklin Gothic Book"/>
        </w:rPr>
        <w:t>Public Summary Document</w:t>
      </w:r>
      <w:r w:rsidR="00132968">
        <w:rPr>
          <w:rFonts w:ascii="Franklin Gothic Book" w:hAnsi="Franklin Gothic Book"/>
        </w:rPr>
        <w:t xml:space="preserve"> (pp</w:t>
      </w:r>
      <w:r w:rsidR="00BF758E" w:rsidRPr="00C647B0">
        <w:rPr>
          <w:rFonts w:ascii="Franklin Gothic Book" w:hAnsi="Franklin Gothic Book"/>
        </w:rPr>
        <w:t>.</w:t>
      </w:r>
      <w:r w:rsidR="00560C4C">
        <w:rPr>
          <w:rFonts w:ascii="Franklin Gothic Book" w:hAnsi="Franklin Gothic Book"/>
        </w:rPr>
        <w:t>13-15).</w:t>
      </w:r>
      <w:r w:rsidR="00BF758E" w:rsidRPr="00C647B0">
        <w:rPr>
          <w:rFonts w:ascii="Franklin Gothic Book" w:hAnsi="Franklin Gothic Book"/>
        </w:rPr>
        <w:t xml:space="preserve"> Please refer to application 1690</w:t>
      </w:r>
      <w:r w:rsidR="00524EBE">
        <w:rPr>
          <w:rFonts w:ascii="Franklin Gothic Book" w:hAnsi="Franklin Gothic Book"/>
        </w:rPr>
        <w:t>.1</w:t>
      </w:r>
      <w:r w:rsidR="00BF758E" w:rsidRPr="00C647B0">
        <w:rPr>
          <w:rFonts w:ascii="Franklin Gothic Book" w:hAnsi="Franklin Gothic Book"/>
        </w:rPr>
        <w:t xml:space="preserve"> PSD </w:t>
      </w:r>
      <w:r w:rsidR="00524EBE">
        <w:rPr>
          <w:rFonts w:ascii="Franklin Gothic Book" w:hAnsi="Franklin Gothic Book"/>
        </w:rPr>
        <w:t>November</w:t>
      </w:r>
      <w:r w:rsidR="00524EBE" w:rsidRPr="00C647B0">
        <w:rPr>
          <w:rFonts w:ascii="Franklin Gothic Book" w:hAnsi="Franklin Gothic Book"/>
        </w:rPr>
        <w:t xml:space="preserve"> </w:t>
      </w:r>
      <w:r w:rsidR="00BF758E" w:rsidRPr="00C647B0">
        <w:rPr>
          <w:rFonts w:ascii="Franklin Gothic Book" w:hAnsi="Franklin Gothic Book"/>
        </w:rPr>
        <w:t>202</w:t>
      </w:r>
      <w:r w:rsidR="00524EBE">
        <w:rPr>
          <w:rFonts w:ascii="Franklin Gothic Book" w:hAnsi="Franklin Gothic Book"/>
        </w:rPr>
        <w:t>3</w:t>
      </w:r>
      <w:r w:rsidR="00BF758E" w:rsidRPr="00C647B0">
        <w:rPr>
          <w:rFonts w:ascii="Franklin Gothic Book" w:hAnsi="Franklin Gothic Book"/>
        </w:rPr>
        <w:t xml:space="preserve"> (pp</w:t>
      </w:r>
      <w:r w:rsidR="00EA45F9">
        <w:rPr>
          <w:rFonts w:ascii="Franklin Gothic Book" w:hAnsi="Franklin Gothic Book"/>
        </w:rPr>
        <w:t>13-15</w:t>
      </w:r>
      <w:r w:rsidR="00BF758E" w:rsidRPr="00C647B0">
        <w:rPr>
          <w:rFonts w:ascii="Franklin Gothic Book" w:hAnsi="Franklin Gothic Book"/>
        </w:rPr>
        <w:t>)</w:t>
      </w:r>
      <w:r w:rsidR="00971D94">
        <w:rPr>
          <w:rStyle w:val="FootnoteReference"/>
          <w:rFonts w:ascii="Franklin Gothic Book" w:hAnsi="Franklin Gothic Book"/>
        </w:rPr>
        <w:footnoteReference w:id="5"/>
      </w:r>
      <w:r w:rsidR="00BF758E" w:rsidRPr="00C647B0">
        <w:rPr>
          <w:rFonts w:ascii="Franklin Gothic Book" w:hAnsi="Franklin Gothic Book"/>
        </w:rPr>
        <w:t>.</w:t>
      </w:r>
    </w:p>
    <w:p w14:paraId="6C10A7F2" w14:textId="1A30F864" w:rsidR="000862B2" w:rsidRPr="00231287" w:rsidRDefault="000862B2" w:rsidP="006C5F36">
      <w:pPr>
        <w:keepNext/>
        <w:keepLines/>
        <w:spacing w:after="120"/>
        <w:rPr>
          <w:rFonts w:ascii="Franklin Gothic Book" w:hAnsi="Franklin Gothic Book"/>
        </w:rPr>
      </w:pPr>
      <w:r w:rsidRPr="00231287">
        <w:rPr>
          <w:rFonts w:ascii="Franklin Gothic Book" w:hAnsi="Franklin Gothic Book"/>
        </w:rPr>
        <w:t>Consultation input to this resubmission</w:t>
      </w:r>
      <w:r>
        <w:rPr>
          <w:rFonts w:ascii="Franklin Gothic Book" w:hAnsi="Franklin Gothic Book"/>
        </w:rPr>
        <w:t xml:space="preserve"> </w:t>
      </w:r>
      <w:r w:rsidRPr="00231287">
        <w:rPr>
          <w:rFonts w:ascii="Franklin Gothic Book" w:hAnsi="Franklin Gothic Book"/>
        </w:rPr>
        <w:t xml:space="preserve">was received from </w:t>
      </w:r>
      <w:r w:rsidR="00970C1B">
        <w:rPr>
          <w:rFonts w:ascii="Franklin Gothic Book" w:hAnsi="Franklin Gothic Book"/>
        </w:rPr>
        <w:t>2</w:t>
      </w:r>
      <w:r w:rsidRPr="00231287">
        <w:rPr>
          <w:rFonts w:ascii="Franklin Gothic Book" w:hAnsi="Franklin Gothic Book"/>
        </w:rPr>
        <w:t xml:space="preserve"> health professional organisations The organisations that submitted input was:</w:t>
      </w:r>
    </w:p>
    <w:p w14:paraId="062009AC" w14:textId="77777777" w:rsidR="000862B2" w:rsidRPr="00786C78" w:rsidRDefault="000862B2" w:rsidP="006C5F36">
      <w:pPr>
        <w:pStyle w:val="ListParagraph"/>
        <w:keepNext/>
        <w:keepLines/>
        <w:numPr>
          <w:ilvl w:val="0"/>
          <w:numId w:val="28"/>
        </w:numPr>
        <w:spacing w:before="0" w:after="120"/>
        <w:contextualSpacing w:val="0"/>
        <w:jc w:val="left"/>
      </w:pPr>
      <w:r w:rsidRPr="00786C78">
        <w:t>Myeloma Australia</w:t>
      </w:r>
    </w:p>
    <w:p w14:paraId="7F7535A0" w14:textId="680278DD" w:rsidR="000862B2" w:rsidRPr="00786C78" w:rsidRDefault="000862B2" w:rsidP="006C5F36">
      <w:pPr>
        <w:pStyle w:val="ListParagraph"/>
        <w:keepNext/>
        <w:keepLines/>
        <w:numPr>
          <w:ilvl w:val="0"/>
          <w:numId w:val="28"/>
        </w:numPr>
        <w:spacing w:before="0" w:after="120"/>
        <w:contextualSpacing w:val="0"/>
        <w:jc w:val="left"/>
      </w:pPr>
      <w:r w:rsidRPr="00786C78">
        <w:t>The National CAR T Patient Prioritisation Committee (N</w:t>
      </w:r>
      <w:r w:rsidR="00E9449F">
        <w:t>PC</w:t>
      </w:r>
      <w:r w:rsidRPr="00786C78">
        <w:t>)</w:t>
      </w:r>
    </w:p>
    <w:p w14:paraId="034AC751" w14:textId="6A5156DE" w:rsidR="00AF4DB3" w:rsidRPr="006C5F36" w:rsidRDefault="000862B2" w:rsidP="006C5F36">
      <w:pPr>
        <w:pStyle w:val="Default"/>
        <w:rPr>
          <w:rFonts w:ascii="Franklin Gothic Book" w:hAnsi="Franklin Gothic Book" w:cstheme="minorBidi"/>
          <w:color w:val="auto"/>
          <w:sz w:val="22"/>
          <w:szCs w:val="22"/>
        </w:rPr>
      </w:pPr>
      <w:r w:rsidRPr="00786C78">
        <w:rPr>
          <w:rFonts w:ascii="Franklin Gothic Book" w:hAnsi="Franklin Gothic Book" w:cstheme="minorBidi"/>
          <w:color w:val="auto"/>
          <w:sz w:val="22"/>
          <w:szCs w:val="22"/>
        </w:rPr>
        <w:t>All consultation feedback received was supportive of making this therapy available to patients with refractory or relapsed multiple myeloma (</w:t>
      </w:r>
      <w:r w:rsidRPr="00231287">
        <w:rPr>
          <w:rFonts w:ascii="Franklin Gothic Book" w:hAnsi="Franklin Gothic Book" w:cstheme="minorBidi"/>
          <w:color w:val="auto"/>
          <w:sz w:val="22"/>
          <w:szCs w:val="22"/>
        </w:rPr>
        <w:t>RRMM).</w:t>
      </w:r>
    </w:p>
    <w:p w14:paraId="6A355B5C" w14:textId="77777777" w:rsidR="00D1597B" w:rsidRDefault="00D1597B" w:rsidP="006C5F36">
      <w:pPr>
        <w:pStyle w:val="Heading2"/>
        <w:numPr>
          <w:ilvl w:val="0"/>
          <w:numId w:val="27"/>
        </w:numPr>
        <w:ind w:left="737" w:hanging="737"/>
      </w:pPr>
      <w:r>
        <w:t>Applicant comments on MSAC’s Public Summary Document</w:t>
      </w:r>
    </w:p>
    <w:p w14:paraId="55406519" w14:textId="3598357C" w:rsidR="00AA3F01" w:rsidRPr="0006117F" w:rsidRDefault="00AA3F01" w:rsidP="0006117F">
      <w:pPr>
        <w:pStyle w:val="NormalBeforeBullet"/>
        <w:rPr>
          <w:rFonts w:asciiTheme="minorHAnsi" w:hAnsiTheme="minorHAnsi" w:cstheme="minorBidi"/>
          <w:szCs w:val="22"/>
        </w:rPr>
      </w:pPr>
      <w:r w:rsidRPr="0006117F">
        <w:rPr>
          <w:rFonts w:eastAsiaTheme="majorEastAsia"/>
        </w:rPr>
        <w:t>Johnson &amp; Johnson welcomes MSAC’s recommendation to publicly fund CAR T-cell therapy for myeloma patients who have received four prior lines of therapy. Johnson &amp; Johnson will work through the further negotiations with Federal and State Governments which are necessary to navigate the complexities of bringing this highly specialised therapy to Australian patients.</w:t>
      </w:r>
    </w:p>
    <w:p w14:paraId="7D9D8F5C" w14:textId="25AB54C5" w:rsidR="00D1597B" w:rsidRDefault="00D1597B" w:rsidP="006C77BD">
      <w:pPr>
        <w:pStyle w:val="Heading2"/>
        <w:numPr>
          <w:ilvl w:val="0"/>
          <w:numId w:val="27"/>
        </w:numPr>
        <w:ind w:left="737" w:hanging="737"/>
      </w:pPr>
      <w:r>
        <w:t>Further information on MSAC</w:t>
      </w:r>
    </w:p>
    <w:p w14:paraId="2091C132" w14:textId="77777777" w:rsidR="00D1597B" w:rsidRPr="00847587" w:rsidRDefault="00D1597B" w:rsidP="00D1597B">
      <w:pPr>
        <w:pStyle w:val="BodyText"/>
        <w:rPr>
          <w:b/>
          <w:bCs/>
          <w:i/>
          <w:iCs/>
        </w:rPr>
      </w:pPr>
      <w:r w:rsidRPr="00F309FA">
        <w:rPr>
          <w:bCs/>
          <w:iCs/>
        </w:rPr>
        <w:t xml:space="preserve">MSAC Terms of Reference and other information are available on the MSAC Website: </w:t>
      </w:r>
      <w:hyperlink r:id="rId11" w:tooltip="Link to the MSAC website" w:history="1">
        <w:r w:rsidRPr="00F309FA">
          <w:rPr>
            <w:rStyle w:val="Hyperlink"/>
            <w:iCs/>
          </w:rPr>
          <w:t>visit the MSAC website</w:t>
        </w:r>
      </w:hyperlink>
    </w:p>
    <w:sectPr w:rsidR="00D1597B" w:rsidRPr="0084758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E68A" w14:textId="77777777" w:rsidR="00AC1A0D" w:rsidRDefault="00AC1A0D" w:rsidP="00D95E54">
      <w:pPr>
        <w:spacing w:after="0"/>
      </w:pPr>
      <w:r>
        <w:separator/>
      </w:r>
    </w:p>
  </w:endnote>
  <w:endnote w:type="continuationSeparator" w:id="0">
    <w:p w14:paraId="60CD68F2" w14:textId="77777777" w:rsidR="00AC1A0D" w:rsidRDefault="00AC1A0D" w:rsidP="00D95E54">
      <w:pPr>
        <w:spacing w:after="0"/>
      </w:pPr>
      <w:r>
        <w:continuationSeparator/>
      </w:r>
    </w:p>
  </w:endnote>
  <w:endnote w:type="continuationNotice" w:id="1">
    <w:p w14:paraId="0A181858" w14:textId="77777777" w:rsidR="00AC1A0D" w:rsidRDefault="00AC1A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BD4C" w14:textId="77777777" w:rsidR="002A7B62" w:rsidRDefault="002A7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493054"/>
      <w:docPartObj>
        <w:docPartGallery w:val="Page Numbers (Bottom of Page)"/>
        <w:docPartUnique/>
      </w:docPartObj>
    </w:sdtPr>
    <w:sdtEndPr>
      <w:rPr>
        <w:noProof/>
      </w:rPr>
    </w:sdtEndPr>
    <w:sdtContent>
      <w:p w14:paraId="468123AB" w14:textId="0522F4F8" w:rsidR="00C83DD2" w:rsidRDefault="00C83DD2" w:rsidP="009525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68BA" w14:textId="77777777" w:rsidR="002A7B62" w:rsidRDefault="002A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983F" w14:textId="77777777" w:rsidR="00AC1A0D" w:rsidRDefault="00AC1A0D" w:rsidP="00D95E54">
      <w:pPr>
        <w:spacing w:after="0"/>
      </w:pPr>
      <w:r>
        <w:separator/>
      </w:r>
    </w:p>
  </w:footnote>
  <w:footnote w:type="continuationSeparator" w:id="0">
    <w:p w14:paraId="71680E6B" w14:textId="77777777" w:rsidR="00AC1A0D" w:rsidRDefault="00AC1A0D" w:rsidP="00D95E54">
      <w:pPr>
        <w:spacing w:after="0"/>
      </w:pPr>
      <w:r>
        <w:continuationSeparator/>
      </w:r>
    </w:p>
  </w:footnote>
  <w:footnote w:type="continuationNotice" w:id="1">
    <w:p w14:paraId="0E6BE229" w14:textId="77777777" w:rsidR="00AC1A0D" w:rsidRDefault="00AC1A0D">
      <w:pPr>
        <w:spacing w:after="0"/>
      </w:pPr>
    </w:p>
  </w:footnote>
  <w:footnote w:id="2">
    <w:p w14:paraId="33F63423" w14:textId="1CDA0A80" w:rsidR="00C2791F" w:rsidRDefault="00C2791F">
      <w:pPr>
        <w:pStyle w:val="FootnoteText"/>
      </w:pPr>
      <w:r>
        <w:rPr>
          <w:rStyle w:val="FootnoteReference"/>
        </w:rPr>
        <w:footnoteRef/>
      </w:r>
      <w:r>
        <w:t xml:space="preserve"> </w:t>
      </w:r>
      <w:r w:rsidR="00364934" w:rsidRPr="00364934">
        <w:t>http://www.msac.gov.au/internet/msac/publishing.nsf/Content/28CCF400501579E3CA2589CD000B2D68/$File/1690.1%20Final%20PSD%20-%20Nov2023%20(redacted).pdf</w:t>
      </w:r>
    </w:p>
  </w:footnote>
  <w:footnote w:id="3">
    <w:p w14:paraId="3869C9AE" w14:textId="77777777" w:rsidR="000B681E" w:rsidRDefault="000B681E" w:rsidP="000B681E">
      <w:pPr>
        <w:pStyle w:val="FootnoteText"/>
      </w:pPr>
      <w:r>
        <w:rPr>
          <w:rStyle w:val="FootnoteReference"/>
        </w:rPr>
        <w:footnoteRef/>
      </w:r>
      <w:r>
        <w:t xml:space="preserve"> </w:t>
      </w:r>
      <w:r w:rsidRPr="00EB5B8D">
        <w:t>https://www.tga.gov.au/resources/artg/410143</w:t>
      </w:r>
    </w:p>
  </w:footnote>
  <w:footnote w:id="4">
    <w:p w14:paraId="26C4AA26" w14:textId="041566C8" w:rsidR="003F284F" w:rsidRDefault="003F284F">
      <w:pPr>
        <w:pStyle w:val="FootnoteText"/>
      </w:pPr>
      <w:r>
        <w:rPr>
          <w:rStyle w:val="FootnoteReference"/>
        </w:rPr>
        <w:footnoteRef/>
      </w:r>
      <w:r w:rsidR="009622CE">
        <w:t xml:space="preserve"> </w:t>
      </w:r>
      <w:r w:rsidR="00971D94" w:rsidRPr="00971D94">
        <w:t>http://www.msac.gov.au/internet/msac/publishing.nsf/Content/62970FEB7C513544CA25874F008251EB/$File/1690%20Final%20PSD_Jul2022%20-%20Redacted_Final.pdf</w:t>
      </w:r>
    </w:p>
  </w:footnote>
  <w:footnote w:id="5">
    <w:p w14:paraId="05D9D333" w14:textId="746140BD" w:rsidR="00971D94" w:rsidRDefault="00971D94">
      <w:pPr>
        <w:pStyle w:val="FootnoteText"/>
      </w:pPr>
      <w:r>
        <w:rPr>
          <w:rStyle w:val="FootnoteReference"/>
        </w:rPr>
        <w:footnoteRef/>
      </w:r>
      <w:r>
        <w:t xml:space="preserve"> </w:t>
      </w:r>
      <w:r w:rsidR="009622CE" w:rsidRPr="009622CE">
        <w:t>http://www.msac.gov.au/internet/msac/publishing.nsf/Content/28CCF400501579E3CA2589CD000B2D68/$File/1690.1%20Final%20PSD%20-%20Nov2023%20(redacted).pdf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1947" w14:textId="77777777" w:rsidR="002A7B62" w:rsidRDefault="002A7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3F8D" w14:textId="77777777" w:rsidR="002A7B62" w:rsidRDefault="002A7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001B" w14:textId="77777777" w:rsidR="002A7B62" w:rsidRDefault="002A7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A05"/>
    <w:multiLevelType w:val="hybridMultilevel"/>
    <w:tmpl w:val="D99A7E5E"/>
    <w:lvl w:ilvl="0" w:tplc="A282C92E">
      <w:start w:val="4"/>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B400D9"/>
    <w:multiLevelType w:val="hybridMultilevel"/>
    <w:tmpl w:val="5352063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F1F480A"/>
    <w:multiLevelType w:val="hybridMultilevel"/>
    <w:tmpl w:val="E54C39D8"/>
    <w:lvl w:ilvl="0" w:tplc="8C087B6C">
      <w:start w:val="1"/>
      <w:numFmt w:val="bullet"/>
      <w:lvlText w:val=""/>
      <w:lvlJc w:val="left"/>
      <w:pPr>
        <w:ind w:left="720" w:hanging="360"/>
      </w:pPr>
      <w:rPr>
        <w:rFonts w:ascii="Symbol" w:hAnsi="Symbol"/>
      </w:rPr>
    </w:lvl>
    <w:lvl w:ilvl="1" w:tplc="7BA29408">
      <w:start w:val="1"/>
      <w:numFmt w:val="bullet"/>
      <w:lvlText w:val=""/>
      <w:lvlJc w:val="left"/>
      <w:pPr>
        <w:ind w:left="720" w:hanging="360"/>
      </w:pPr>
      <w:rPr>
        <w:rFonts w:ascii="Symbol" w:hAnsi="Symbol"/>
      </w:rPr>
    </w:lvl>
    <w:lvl w:ilvl="2" w:tplc="72EE80AA">
      <w:start w:val="1"/>
      <w:numFmt w:val="bullet"/>
      <w:lvlText w:val=""/>
      <w:lvlJc w:val="left"/>
      <w:pPr>
        <w:ind w:left="720" w:hanging="360"/>
      </w:pPr>
      <w:rPr>
        <w:rFonts w:ascii="Symbol" w:hAnsi="Symbol"/>
      </w:rPr>
    </w:lvl>
    <w:lvl w:ilvl="3" w:tplc="8ECEFE1E">
      <w:start w:val="1"/>
      <w:numFmt w:val="bullet"/>
      <w:lvlText w:val=""/>
      <w:lvlJc w:val="left"/>
      <w:pPr>
        <w:ind w:left="720" w:hanging="360"/>
      </w:pPr>
      <w:rPr>
        <w:rFonts w:ascii="Symbol" w:hAnsi="Symbol"/>
      </w:rPr>
    </w:lvl>
    <w:lvl w:ilvl="4" w:tplc="922AF7EA">
      <w:start w:val="1"/>
      <w:numFmt w:val="bullet"/>
      <w:lvlText w:val=""/>
      <w:lvlJc w:val="left"/>
      <w:pPr>
        <w:ind w:left="720" w:hanging="360"/>
      </w:pPr>
      <w:rPr>
        <w:rFonts w:ascii="Symbol" w:hAnsi="Symbol"/>
      </w:rPr>
    </w:lvl>
    <w:lvl w:ilvl="5" w:tplc="92ECF612">
      <w:start w:val="1"/>
      <w:numFmt w:val="bullet"/>
      <w:lvlText w:val=""/>
      <w:lvlJc w:val="left"/>
      <w:pPr>
        <w:ind w:left="720" w:hanging="360"/>
      </w:pPr>
      <w:rPr>
        <w:rFonts w:ascii="Symbol" w:hAnsi="Symbol"/>
      </w:rPr>
    </w:lvl>
    <w:lvl w:ilvl="6" w:tplc="C9624CF2">
      <w:start w:val="1"/>
      <w:numFmt w:val="bullet"/>
      <w:lvlText w:val=""/>
      <w:lvlJc w:val="left"/>
      <w:pPr>
        <w:ind w:left="720" w:hanging="360"/>
      </w:pPr>
      <w:rPr>
        <w:rFonts w:ascii="Symbol" w:hAnsi="Symbol"/>
      </w:rPr>
    </w:lvl>
    <w:lvl w:ilvl="7" w:tplc="3C20100A">
      <w:start w:val="1"/>
      <w:numFmt w:val="bullet"/>
      <w:lvlText w:val=""/>
      <w:lvlJc w:val="left"/>
      <w:pPr>
        <w:ind w:left="720" w:hanging="360"/>
      </w:pPr>
      <w:rPr>
        <w:rFonts w:ascii="Symbol" w:hAnsi="Symbol"/>
      </w:rPr>
    </w:lvl>
    <w:lvl w:ilvl="8" w:tplc="C63EC7E0">
      <w:start w:val="1"/>
      <w:numFmt w:val="bullet"/>
      <w:lvlText w:val=""/>
      <w:lvlJc w:val="left"/>
      <w:pPr>
        <w:ind w:left="720" w:hanging="360"/>
      </w:pPr>
      <w:rPr>
        <w:rFonts w:ascii="Symbol" w:hAnsi="Symbol"/>
      </w:rPr>
    </w:lvl>
  </w:abstractNum>
  <w:abstractNum w:abstractNumId="3" w15:restartNumberingAfterBreak="0">
    <w:nsid w:val="10042E68"/>
    <w:multiLevelType w:val="hybridMultilevel"/>
    <w:tmpl w:val="AEC66D1A"/>
    <w:lvl w:ilvl="0" w:tplc="17D49C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80094"/>
    <w:multiLevelType w:val="hybridMultilevel"/>
    <w:tmpl w:val="A5F63A9E"/>
    <w:lvl w:ilvl="0" w:tplc="40AC7D42">
      <w:start w:val="1"/>
      <w:numFmt w:val="bullet"/>
      <w:lvlText w:val=""/>
      <w:lvlJc w:val="left"/>
      <w:pPr>
        <w:ind w:left="1080" w:hanging="360"/>
      </w:pPr>
      <w:rPr>
        <w:rFonts w:ascii="Symbol" w:hAnsi="Symbol"/>
      </w:rPr>
    </w:lvl>
    <w:lvl w:ilvl="1" w:tplc="C6AAF83E">
      <w:start w:val="1"/>
      <w:numFmt w:val="bullet"/>
      <w:lvlText w:val=""/>
      <w:lvlJc w:val="left"/>
      <w:pPr>
        <w:ind w:left="1080" w:hanging="360"/>
      </w:pPr>
      <w:rPr>
        <w:rFonts w:ascii="Symbol" w:hAnsi="Symbol"/>
      </w:rPr>
    </w:lvl>
    <w:lvl w:ilvl="2" w:tplc="E4E259F0">
      <w:start w:val="1"/>
      <w:numFmt w:val="bullet"/>
      <w:lvlText w:val=""/>
      <w:lvlJc w:val="left"/>
      <w:pPr>
        <w:ind w:left="1080" w:hanging="360"/>
      </w:pPr>
      <w:rPr>
        <w:rFonts w:ascii="Symbol" w:hAnsi="Symbol"/>
      </w:rPr>
    </w:lvl>
    <w:lvl w:ilvl="3" w:tplc="9E3CF58A">
      <w:start w:val="1"/>
      <w:numFmt w:val="bullet"/>
      <w:lvlText w:val=""/>
      <w:lvlJc w:val="left"/>
      <w:pPr>
        <w:ind w:left="1080" w:hanging="360"/>
      </w:pPr>
      <w:rPr>
        <w:rFonts w:ascii="Symbol" w:hAnsi="Symbol"/>
      </w:rPr>
    </w:lvl>
    <w:lvl w:ilvl="4" w:tplc="51DE173C">
      <w:start w:val="1"/>
      <w:numFmt w:val="bullet"/>
      <w:lvlText w:val=""/>
      <w:lvlJc w:val="left"/>
      <w:pPr>
        <w:ind w:left="1080" w:hanging="360"/>
      </w:pPr>
      <w:rPr>
        <w:rFonts w:ascii="Symbol" w:hAnsi="Symbol"/>
      </w:rPr>
    </w:lvl>
    <w:lvl w:ilvl="5" w:tplc="E1C0110A">
      <w:start w:val="1"/>
      <w:numFmt w:val="bullet"/>
      <w:lvlText w:val=""/>
      <w:lvlJc w:val="left"/>
      <w:pPr>
        <w:ind w:left="1080" w:hanging="360"/>
      </w:pPr>
      <w:rPr>
        <w:rFonts w:ascii="Symbol" w:hAnsi="Symbol"/>
      </w:rPr>
    </w:lvl>
    <w:lvl w:ilvl="6" w:tplc="E86289D4">
      <w:start w:val="1"/>
      <w:numFmt w:val="bullet"/>
      <w:lvlText w:val=""/>
      <w:lvlJc w:val="left"/>
      <w:pPr>
        <w:ind w:left="1080" w:hanging="360"/>
      </w:pPr>
      <w:rPr>
        <w:rFonts w:ascii="Symbol" w:hAnsi="Symbol"/>
      </w:rPr>
    </w:lvl>
    <w:lvl w:ilvl="7" w:tplc="04D608F4">
      <w:start w:val="1"/>
      <w:numFmt w:val="bullet"/>
      <w:lvlText w:val=""/>
      <w:lvlJc w:val="left"/>
      <w:pPr>
        <w:ind w:left="1080" w:hanging="360"/>
      </w:pPr>
      <w:rPr>
        <w:rFonts w:ascii="Symbol" w:hAnsi="Symbol"/>
      </w:rPr>
    </w:lvl>
    <w:lvl w:ilvl="8" w:tplc="FD3EFB3C">
      <w:start w:val="1"/>
      <w:numFmt w:val="bullet"/>
      <w:lvlText w:val=""/>
      <w:lvlJc w:val="left"/>
      <w:pPr>
        <w:ind w:left="1080" w:hanging="360"/>
      </w:pPr>
      <w:rPr>
        <w:rFonts w:ascii="Symbol" w:hAnsi="Symbol"/>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1095A"/>
    <w:multiLevelType w:val="hybridMultilevel"/>
    <w:tmpl w:val="07C21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449FD"/>
    <w:multiLevelType w:val="hybridMultilevel"/>
    <w:tmpl w:val="4C221D24"/>
    <w:lvl w:ilvl="0" w:tplc="3278A168">
      <w:start w:val="1"/>
      <w:numFmt w:val="bullet"/>
      <w:lvlText w:val=""/>
      <w:lvlJc w:val="left"/>
      <w:pPr>
        <w:ind w:left="720" w:hanging="360"/>
      </w:pPr>
      <w:rPr>
        <w:rFonts w:ascii="Symbol" w:hAnsi="Symbol"/>
      </w:rPr>
    </w:lvl>
    <w:lvl w:ilvl="1" w:tplc="A4E0B0CC">
      <w:start w:val="1"/>
      <w:numFmt w:val="bullet"/>
      <w:lvlText w:val=""/>
      <w:lvlJc w:val="left"/>
      <w:pPr>
        <w:ind w:left="720" w:hanging="360"/>
      </w:pPr>
      <w:rPr>
        <w:rFonts w:ascii="Symbol" w:hAnsi="Symbol"/>
      </w:rPr>
    </w:lvl>
    <w:lvl w:ilvl="2" w:tplc="F94EEF62">
      <w:start w:val="1"/>
      <w:numFmt w:val="bullet"/>
      <w:lvlText w:val=""/>
      <w:lvlJc w:val="left"/>
      <w:pPr>
        <w:ind w:left="720" w:hanging="360"/>
      </w:pPr>
      <w:rPr>
        <w:rFonts w:ascii="Symbol" w:hAnsi="Symbol"/>
      </w:rPr>
    </w:lvl>
    <w:lvl w:ilvl="3" w:tplc="422852EC">
      <w:start w:val="1"/>
      <w:numFmt w:val="bullet"/>
      <w:lvlText w:val=""/>
      <w:lvlJc w:val="left"/>
      <w:pPr>
        <w:ind w:left="720" w:hanging="360"/>
      </w:pPr>
      <w:rPr>
        <w:rFonts w:ascii="Symbol" w:hAnsi="Symbol"/>
      </w:rPr>
    </w:lvl>
    <w:lvl w:ilvl="4" w:tplc="8E909B5C">
      <w:start w:val="1"/>
      <w:numFmt w:val="bullet"/>
      <w:lvlText w:val=""/>
      <w:lvlJc w:val="left"/>
      <w:pPr>
        <w:ind w:left="720" w:hanging="360"/>
      </w:pPr>
      <w:rPr>
        <w:rFonts w:ascii="Symbol" w:hAnsi="Symbol"/>
      </w:rPr>
    </w:lvl>
    <w:lvl w:ilvl="5" w:tplc="B8504C40">
      <w:start w:val="1"/>
      <w:numFmt w:val="bullet"/>
      <w:lvlText w:val=""/>
      <w:lvlJc w:val="left"/>
      <w:pPr>
        <w:ind w:left="720" w:hanging="360"/>
      </w:pPr>
      <w:rPr>
        <w:rFonts w:ascii="Symbol" w:hAnsi="Symbol"/>
      </w:rPr>
    </w:lvl>
    <w:lvl w:ilvl="6" w:tplc="81FC1362">
      <w:start w:val="1"/>
      <w:numFmt w:val="bullet"/>
      <w:lvlText w:val=""/>
      <w:lvlJc w:val="left"/>
      <w:pPr>
        <w:ind w:left="720" w:hanging="360"/>
      </w:pPr>
      <w:rPr>
        <w:rFonts w:ascii="Symbol" w:hAnsi="Symbol"/>
      </w:rPr>
    </w:lvl>
    <w:lvl w:ilvl="7" w:tplc="0AB87118">
      <w:start w:val="1"/>
      <w:numFmt w:val="bullet"/>
      <w:lvlText w:val=""/>
      <w:lvlJc w:val="left"/>
      <w:pPr>
        <w:ind w:left="720" w:hanging="360"/>
      </w:pPr>
      <w:rPr>
        <w:rFonts w:ascii="Symbol" w:hAnsi="Symbol"/>
      </w:rPr>
    </w:lvl>
    <w:lvl w:ilvl="8" w:tplc="20C444EC">
      <w:start w:val="1"/>
      <w:numFmt w:val="bullet"/>
      <w:lvlText w:val=""/>
      <w:lvlJc w:val="left"/>
      <w:pPr>
        <w:ind w:left="720" w:hanging="360"/>
      </w:pPr>
      <w:rPr>
        <w:rFonts w:ascii="Symbol" w:hAnsi="Symbol"/>
      </w:rPr>
    </w:lvl>
  </w:abstractNum>
  <w:abstractNum w:abstractNumId="8"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BED5D83"/>
    <w:multiLevelType w:val="hybridMultilevel"/>
    <w:tmpl w:val="623AB768"/>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1A7663"/>
    <w:multiLevelType w:val="hybridMultilevel"/>
    <w:tmpl w:val="FC4800E8"/>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D1347"/>
    <w:multiLevelType w:val="hybridMultilevel"/>
    <w:tmpl w:val="A9141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371DC"/>
    <w:multiLevelType w:val="multilevel"/>
    <w:tmpl w:val="4A02812C"/>
    <w:lvl w:ilvl="0">
      <w:start w:val="1"/>
      <w:numFmt w:val="decimal"/>
      <w:lvlText w:val="Section %1"/>
      <w:lvlJc w:val="left"/>
      <w:pPr>
        <w:ind w:left="786" w:hanging="360"/>
      </w:pPr>
      <w:rPr>
        <w:rFonts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12489A"/>
    <w:multiLevelType w:val="hybridMultilevel"/>
    <w:tmpl w:val="13BA3D8C"/>
    <w:lvl w:ilvl="0" w:tplc="6C8E1240">
      <w:start w:val="1"/>
      <w:numFmt w:val="bullet"/>
      <w:lvlText w:val=""/>
      <w:lvlJc w:val="left"/>
      <w:pPr>
        <w:ind w:left="720" w:hanging="360"/>
      </w:pPr>
      <w:rPr>
        <w:rFonts w:ascii="Symbol" w:hAnsi="Symbol"/>
      </w:rPr>
    </w:lvl>
    <w:lvl w:ilvl="1" w:tplc="7DD60FE8">
      <w:start w:val="1"/>
      <w:numFmt w:val="bullet"/>
      <w:lvlText w:val=""/>
      <w:lvlJc w:val="left"/>
      <w:pPr>
        <w:ind w:left="720" w:hanging="360"/>
      </w:pPr>
      <w:rPr>
        <w:rFonts w:ascii="Symbol" w:hAnsi="Symbol"/>
      </w:rPr>
    </w:lvl>
    <w:lvl w:ilvl="2" w:tplc="A4B8D64E">
      <w:start w:val="1"/>
      <w:numFmt w:val="bullet"/>
      <w:lvlText w:val=""/>
      <w:lvlJc w:val="left"/>
      <w:pPr>
        <w:ind w:left="720" w:hanging="360"/>
      </w:pPr>
      <w:rPr>
        <w:rFonts w:ascii="Symbol" w:hAnsi="Symbol"/>
      </w:rPr>
    </w:lvl>
    <w:lvl w:ilvl="3" w:tplc="EA16E892">
      <w:start w:val="1"/>
      <w:numFmt w:val="bullet"/>
      <w:lvlText w:val=""/>
      <w:lvlJc w:val="left"/>
      <w:pPr>
        <w:ind w:left="720" w:hanging="360"/>
      </w:pPr>
      <w:rPr>
        <w:rFonts w:ascii="Symbol" w:hAnsi="Symbol"/>
      </w:rPr>
    </w:lvl>
    <w:lvl w:ilvl="4" w:tplc="B3E02918">
      <w:start w:val="1"/>
      <w:numFmt w:val="bullet"/>
      <w:lvlText w:val=""/>
      <w:lvlJc w:val="left"/>
      <w:pPr>
        <w:ind w:left="720" w:hanging="360"/>
      </w:pPr>
      <w:rPr>
        <w:rFonts w:ascii="Symbol" w:hAnsi="Symbol"/>
      </w:rPr>
    </w:lvl>
    <w:lvl w:ilvl="5" w:tplc="D4C2C3A6">
      <w:start w:val="1"/>
      <w:numFmt w:val="bullet"/>
      <w:lvlText w:val=""/>
      <w:lvlJc w:val="left"/>
      <w:pPr>
        <w:ind w:left="720" w:hanging="360"/>
      </w:pPr>
      <w:rPr>
        <w:rFonts w:ascii="Symbol" w:hAnsi="Symbol"/>
      </w:rPr>
    </w:lvl>
    <w:lvl w:ilvl="6" w:tplc="4E4C2C36">
      <w:start w:val="1"/>
      <w:numFmt w:val="bullet"/>
      <w:lvlText w:val=""/>
      <w:lvlJc w:val="left"/>
      <w:pPr>
        <w:ind w:left="720" w:hanging="360"/>
      </w:pPr>
      <w:rPr>
        <w:rFonts w:ascii="Symbol" w:hAnsi="Symbol"/>
      </w:rPr>
    </w:lvl>
    <w:lvl w:ilvl="7" w:tplc="63425878">
      <w:start w:val="1"/>
      <w:numFmt w:val="bullet"/>
      <w:lvlText w:val=""/>
      <w:lvlJc w:val="left"/>
      <w:pPr>
        <w:ind w:left="720" w:hanging="360"/>
      </w:pPr>
      <w:rPr>
        <w:rFonts w:ascii="Symbol" w:hAnsi="Symbol"/>
      </w:rPr>
    </w:lvl>
    <w:lvl w:ilvl="8" w:tplc="44CA5E22">
      <w:start w:val="1"/>
      <w:numFmt w:val="bullet"/>
      <w:lvlText w:val=""/>
      <w:lvlJc w:val="left"/>
      <w:pPr>
        <w:ind w:left="720" w:hanging="360"/>
      </w:pPr>
      <w:rPr>
        <w:rFonts w:ascii="Symbol" w:hAnsi="Symbol"/>
      </w:rPr>
    </w:lvl>
  </w:abstractNum>
  <w:abstractNum w:abstractNumId="18" w15:restartNumberingAfterBreak="0">
    <w:nsid w:val="40AA6FBC"/>
    <w:multiLevelType w:val="hybridMultilevel"/>
    <w:tmpl w:val="9BCC7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403FD7"/>
    <w:multiLevelType w:val="hybridMultilevel"/>
    <w:tmpl w:val="BC20D1BA"/>
    <w:lvl w:ilvl="0" w:tplc="88F0EF78">
      <w:start w:val="1"/>
      <w:numFmt w:val="bullet"/>
      <w:lvlText w:val=""/>
      <w:lvlJc w:val="left"/>
      <w:pPr>
        <w:ind w:left="720" w:hanging="360"/>
      </w:pPr>
      <w:rPr>
        <w:rFonts w:ascii="Symbol" w:hAnsi="Symbol"/>
      </w:rPr>
    </w:lvl>
    <w:lvl w:ilvl="1" w:tplc="64DE1E30">
      <w:start w:val="1"/>
      <w:numFmt w:val="bullet"/>
      <w:lvlText w:val=""/>
      <w:lvlJc w:val="left"/>
      <w:pPr>
        <w:ind w:left="720" w:hanging="360"/>
      </w:pPr>
      <w:rPr>
        <w:rFonts w:ascii="Symbol" w:hAnsi="Symbol"/>
      </w:rPr>
    </w:lvl>
    <w:lvl w:ilvl="2" w:tplc="5CC44282">
      <w:start w:val="1"/>
      <w:numFmt w:val="bullet"/>
      <w:lvlText w:val=""/>
      <w:lvlJc w:val="left"/>
      <w:pPr>
        <w:ind w:left="720" w:hanging="360"/>
      </w:pPr>
      <w:rPr>
        <w:rFonts w:ascii="Symbol" w:hAnsi="Symbol"/>
      </w:rPr>
    </w:lvl>
    <w:lvl w:ilvl="3" w:tplc="C2D03600">
      <w:start w:val="1"/>
      <w:numFmt w:val="bullet"/>
      <w:lvlText w:val=""/>
      <w:lvlJc w:val="left"/>
      <w:pPr>
        <w:ind w:left="720" w:hanging="360"/>
      </w:pPr>
      <w:rPr>
        <w:rFonts w:ascii="Symbol" w:hAnsi="Symbol"/>
      </w:rPr>
    </w:lvl>
    <w:lvl w:ilvl="4" w:tplc="298A167C">
      <w:start w:val="1"/>
      <w:numFmt w:val="bullet"/>
      <w:lvlText w:val=""/>
      <w:lvlJc w:val="left"/>
      <w:pPr>
        <w:ind w:left="720" w:hanging="360"/>
      </w:pPr>
      <w:rPr>
        <w:rFonts w:ascii="Symbol" w:hAnsi="Symbol"/>
      </w:rPr>
    </w:lvl>
    <w:lvl w:ilvl="5" w:tplc="17080E5A">
      <w:start w:val="1"/>
      <w:numFmt w:val="bullet"/>
      <w:lvlText w:val=""/>
      <w:lvlJc w:val="left"/>
      <w:pPr>
        <w:ind w:left="720" w:hanging="360"/>
      </w:pPr>
      <w:rPr>
        <w:rFonts w:ascii="Symbol" w:hAnsi="Symbol"/>
      </w:rPr>
    </w:lvl>
    <w:lvl w:ilvl="6" w:tplc="0B648178">
      <w:start w:val="1"/>
      <w:numFmt w:val="bullet"/>
      <w:lvlText w:val=""/>
      <w:lvlJc w:val="left"/>
      <w:pPr>
        <w:ind w:left="720" w:hanging="360"/>
      </w:pPr>
      <w:rPr>
        <w:rFonts w:ascii="Symbol" w:hAnsi="Symbol"/>
      </w:rPr>
    </w:lvl>
    <w:lvl w:ilvl="7" w:tplc="392256C6">
      <w:start w:val="1"/>
      <w:numFmt w:val="bullet"/>
      <w:lvlText w:val=""/>
      <w:lvlJc w:val="left"/>
      <w:pPr>
        <w:ind w:left="720" w:hanging="360"/>
      </w:pPr>
      <w:rPr>
        <w:rFonts w:ascii="Symbol" w:hAnsi="Symbol"/>
      </w:rPr>
    </w:lvl>
    <w:lvl w:ilvl="8" w:tplc="6D46A39C">
      <w:start w:val="1"/>
      <w:numFmt w:val="bullet"/>
      <w:lvlText w:val=""/>
      <w:lvlJc w:val="left"/>
      <w:pPr>
        <w:ind w:left="720" w:hanging="360"/>
      </w:pPr>
      <w:rPr>
        <w:rFonts w:ascii="Symbol" w:hAnsi="Symbol"/>
      </w:rPr>
    </w:lvl>
  </w:abstractNum>
  <w:abstractNum w:abstractNumId="20" w15:restartNumberingAfterBreak="0">
    <w:nsid w:val="47095746"/>
    <w:multiLevelType w:val="hybridMultilevel"/>
    <w:tmpl w:val="9D287834"/>
    <w:lvl w:ilvl="0" w:tplc="E18AF33C">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79D2856"/>
    <w:multiLevelType w:val="hybridMultilevel"/>
    <w:tmpl w:val="60B8D4EA"/>
    <w:lvl w:ilvl="0" w:tplc="0C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3956E7"/>
    <w:multiLevelType w:val="hybridMultilevel"/>
    <w:tmpl w:val="3D9C1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915C3A"/>
    <w:multiLevelType w:val="hybridMultilevel"/>
    <w:tmpl w:val="BFD84DA2"/>
    <w:lvl w:ilvl="0" w:tplc="CD105544">
      <w:start w:val="1"/>
      <w:numFmt w:val="bullet"/>
      <w:lvlText w:val=""/>
      <w:lvlJc w:val="left"/>
      <w:pPr>
        <w:ind w:left="720" w:hanging="360"/>
      </w:pPr>
      <w:rPr>
        <w:rFonts w:ascii="Symbol" w:hAnsi="Symbol"/>
      </w:rPr>
    </w:lvl>
    <w:lvl w:ilvl="1" w:tplc="7CECE474">
      <w:start w:val="1"/>
      <w:numFmt w:val="bullet"/>
      <w:lvlText w:val=""/>
      <w:lvlJc w:val="left"/>
      <w:pPr>
        <w:ind w:left="720" w:hanging="360"/>
      </w:pPr>
      <w:rPr>
        <w:rFonts w:ascii="Symbol" w:hAnsi="Symbol"/>
      </w:rPr>
    </w:lvl>
    <w:lvl w:ilvl="2" w:tplc="C49E8756">
      <w:start w:val="1"/>
      <w:numFmt w:val="bullet"/>
      <w:lvlText w:val=""/>
      <w:lvlJc w:val="left"/>
      <w:pPr>
        <w:ind w:left="720" w:hanging="360"/>
      </w:pPr>
      <w:rPr>
        <w:rFonts w:ascii="Symbol" w:hAnsi="Symbol"/>
      </w:rPr>
    </w:lvl>
    <w:lvl w:ilvl="3" w:tplc="98686DAC">
      <w:start w:val="1"/>
      <w:numFmt w:val="bullet"/>
      <w:lvlText w:val=""/>
      <w:lvlJc w:val="left"/>
      <w:pPr>
        <w:ind w:left="720" w:hanging="360"/>
      </w:pPr>
      <w:rPr>
        <w:rFonts w:ascii="Symbol" w:hAnsi="Symbol"/>
      </w:rPr>
    </w:lvl>
    <w:lvl w:ilvl="4" w:tplc="B9C40B3C">
      <w:start w:val="1"/>
      <w:numFmt w:val="bullet"/>
      <w:lvlText w:val=""/>
      <w:lvlJc w:val="left"/>
      <w:pPr>
        <w:ind w:left="720" w:hanging="360"/>
      </w:pPr>
      <w:rPr>
        <w:rFonts w:ascii="Symbol" w:hAnsi="Symbol"/>
      </w:rPr>
    </w:lvl>
    <w:lvl w:ilvl="5" w:tplc="54E0799C">
      <w:start w:val="1"/>
      <w:numFmt w:val="bullet"/>
      <w:lvlText w:val=""/>
      <w:lvlJc w:val="left"/>
      <w:pPr>
        <w:ind w:left="720" w:hanging="360"/>
      </w:pPr>
      <w:rPr>
        <w:rFonts w:ascii="Symbol" w:hAnsi="Symbol"/>
      </w:rPr>
    </w:lvl>
    <w:lvl w:ilvl="6" w:tplc="F30E0C1C">
      <w:start w:val="1"/>
      <w:numFmt w:val="bullet"/>
      <w:lvlText w:val=""/>
      <w:lvlJc w:val="left"/>
      <w:pPr>
        <w:ind w:left="720" w:hanging="360"/>
      </w:pPr>
      <w:rPr>
        <w:rFonts w:ascii="Symbol" w:hAnsi="Symbol"/>
      </w:rPr>
    </w:lvl>
    <w:lvl w:ilvl="7" w:tplc="D1DA2552">
      <w:start w:val="1"/>
      <w:numFmt w:val="bullet"/>
      <w:lvlText w:val=""/>
      <w:lvlJc w:val="left"/>
      <w:pPr>
        <w:ind w:left="720" w:hanging="360"/>
      </w:pPr>
      <w:rPr>
        <w:rFonts w:ascii="Symbol" w:hAnsi="Symbol"/>
      </w:rPr>
    </w:lvl>
    <w:lvl w:ilvl="8" w:tplc="0DB0608C">
      <w:start w:val="1"/>
      <w:numFmt w:val="bullet"/>
      <w:lvlText w:val=""/>
      <w:lvlJc w:val="left"/>
      <w:pPr>
        <w:ind w:left="720" w:hanging="360"/>
      </w:pPr>
      <w:rPr>
        <w:rFonts w:ascii="Symbol" w:hAnsi="Symbol"/>
      </w:rPr>
    </w:lvl>
  </w:abstractNum>
  <w:abstractNum w:abstractNumId="24" w15:restartNumberingAfterBreak="0">
    <w:nsid w:val="4AF25AC8"/>
    <w:multiLevelType w:val="hybridMultilevel"/>
    <w:tmpl w:val="7D965A98"/>
    <w:lvl w:ilvl="0" w:tplc="08090001">
      <w:start w:val="1"/>
      <w:numFmt w:val="bullet"/>
      <w:lvlText w:val=""/>
      <w:lvlJc w:val="left"/>
      <w:pPr>
        <w:ind w:left="720" w:hanging="360"/>
      </w:pPr>
      <w:rPr>
        <w:rFonts w:ascii="Symbol" w:hAnsi="Symbol" w:hint="default"/>
      </w:rPr>
    </w:lvl>
    <w:lvl w:ilvl="1" w:tplc="CD607438">
      <w:numFmt w:val="bullet"/>
      <w:lvlText w:val="•"/>
      <w:lvlJc w:val="left"/>
      <w:pPr>
        <w:ind w:left="1800" w:hanging="72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52193"/>
    <w:multiLevelType w:val="hybridMultilevel"/>
    <w:tmpl w:val="9A16E8A2"/>
    <w:lvl w:ilvl="0" w:tplc="4386C5B6">
      <w:start w:val="1"/>
      <w:numFmt w:val="bullet"/>
      <w:lvlText w:val=""/>
      <w:lvlJc w:val="left"/>
      <w:pPr>
        <w:ind w:left="720" w:hanging="360"/>
      </w:pPr>
      <w:rPr>
        <w:rFonts w:ascii="Symbol" w:hAnsi="Symbol"/>
      </w:rPr>
    </w:lvl>
    <w:lvl w:ilvl="1" w:tplc="7CD0CD8E">
      <w:start w:val="1"/>
      <w:numFmt w:val="bullet"/>
      <w:lvlText w:val=""/>
      <w:lvlJc w:val="left"/>
      <w:pPr>
        <w:ind w:left="720" w:hanging="360"/>
      </w:pPr>
      <w:rPr>
        <w:rFonts w:ascii="Symbol" w:hAnsi="Symbol"/>
      </w:rPr>
    </w:lvl>
    <w:lvl w:ilvl="2" w:tplc="409C16B6">
      <w:start w:val="1"/>
      <w:numFmt w:val="bullet"/>
      <w:lvlText w:val=""/>
      <w:lvlJc w:val="left"/>
      <w:pPr>
        <w:ind w:left="720" w:hanging="360"/>
      </w:pPr>
      <w:rPr>
        <w:rFonts w:ascii="Symbol" w:hAnsi="Symbol"/>
      </w:rPr>
    </w:lvl>
    <w:lvl w:ilvl="3" w:tplc="882A4984">
      <w:start w:val="1"/>
      <w:numFmt w:val="bullet"/>
      <w:lvlText w:val=""/>
      <w:lvlJc w:val="left"/>
      <w:pPr>
        <w:ind w:left="720" w:hanging="360"/>
      </w:pPr>
      <w:rPr>
        <w:rFonts w:ascii="Symbol" w:hAnsi="Symbol"/>
      </w:rPr>
    </w:lvl>
    <w:lvl w:ilvl="4" w:tplc="B6B00C56">
      <w:start w:val="1"/>
      <w:numFmt w:val="bullet"/>
      <w:lvlText w:val=""/>
      <w:lvlJc w:val="left"/>
      <w:pPr>
        <w:ind w:left="720" w:hanging="360"/>
      </w:pPr>
      <w:rPr>
        <w:rFonts w:ascii="Symbol" w:hAnsi="Symbol"/>
      </w:rPr>
    </w:lvl>
    <w:lvl w:ilvl="5" w:tplc="93EAE5CE">
      <w:start w:val="1"/>
      <w:numFmt w:val="bullet"/>
      <w:lvlText w:val=""/>
      <w:lvlJc w:val="left"/>
      <w:pPr>
        <w:ind w:left="720" w:hanging="360"/>
      </w:pPr>
      <w:rPr>
        <w:rFonts w:ascii="Symbol" w:hAnsi="Symbol"/>
      </w:rPr>
    </w:lvl>
    <w:lvl w:ilvl="6" w:tplc="9F54C7B8">
      <w:start w:val="1"/>
      <w:numFmt w:val="bullet"/>
      <w:lvlText w:val=""/>
      <w:lvlJc w:val="left"/>
      <w:pPr>
        <w:ind w:left="720" w:hanging="360"/>
      </w:pPr>
      <w:rPr>
        <w:rFonts w:ascii="Symbol" w:hAnsi="Symbol"/>
      </w:rPr>
    </w:lvl>
    <w:lvl w:ilvl="7" w:tplc="58042450">
      <w:start w:val="1"/>
      <w:numFmt w:val="bullet"/>
      <w:lvlText w:val=""/>
      <w:lvlJc w:val="left"/>
      <w:pPr>
        <w:ind w:left="720" w:hanging="360"/>
      </w:pPr>
      <w:rPr>
        <w:rFonts w:ascii="Symbol" w:hAnsi="Symbol"/>
      </w:rPr>
    </w:lvl>
    <w:lvl w:ilvl="8" w:tplc="98046B68">
      <w:start w:val="1"/>
      <w:numFmt w:val="bullet"/>
      <w:lvlText w:val=""/>
      <w:lvlJc w:val="left"/>
      <w:pPr>
        <w:ind w:left="720" w:hanging="360"/>
      </w:pPr>
      <w:rPr>
        <w:rFonts w:ascii="Symbol" w:hAnsi="Symbol"/>
      </w:rPr>
    </w:lvl>
  </w:abstractNum>
  <w:abstractNum w:abstractNumId="26" w15:restartNumberingAfterBreak="0">
    <w:nsid w:val="53325B6A"/>
    <w:multiLevelType w:val="hybridMultilevel"/>
    <w:tmpl w:val="2C7E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53961"/>
    <w:multiLevelType w:val="hybridMultilevel"/>
    <w:tmpl w:val="D8F6D5A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7E051C"/>
    <w:multiLevelType w:val="hybridMultilevel"/>
    <w:tmpl w:val="E8582E76"/>
    <w:lvl w:ilvl="0" w:tplc="7FCC4FDE">
      <w:start w:val="1"/>
      <w:numFmt w:val="bullet"/>
      <w:pStyle w:val="ListParagraph"/>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AF1597"/>
    <w:multiLevelType w:val="hybridMultilevel"/>
    <w:tmpl w:val="CA98A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DA5D96"/>
    <w:multiLevelType w:val="hybridMultilevel"/>
    <w:tmpl w:val="0756E538"/>
    <w:lvl w:ilvl="0" w:tplc="3224DF46">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D384A67"/>
    <w:multiLevelType w:val="multilevel"/>
    <w:tmpl w:val="A5FEA4E2"/>
    <w:lvl w:ilvl="0">
      <w:start w:val="1"/>
      <w:numFmt w:val="decimal"/>
      <w:pStyle w:val="Heading1"/>
      <w:lvlText w:val="Section %1"/>
      <w:lvlJc w:val="left"/>
      <w:pPr>
        <w:ind w:left="0" w:firstLine="0"/>
      </w:pPr>
    </w:lvl>
    <w:lvl w:ilvl="1">
      <w:start w:val="1"/>
      <w:numFmt w:val="decimal"/>
      <w:pStyle w:val="Heading2"/>
      <w:lvlText w:val="%1.%2"/>
      <w:lvlJc w:val="left"/>
      <w:pPr>
        <w:ind w:left="0" w:firstLine="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Heading3"/>
      <w:lvlText w:val="%1.%2.%3"/>
      <w:lvlJc w:val="left"/>
      <w:pPr>
        <w:ind w:left="284" w:firstLine="0"/>
      </w:pPr>
    </w:lvl>
    <w:lvl w:ilvl="3">
      <w:start w:val="1"/>
      <w:numFmt w:val="decimal"/>
      <w:lvlText w:val="(%4)"/>
      <w:lvlJc w:val="left"/>
      <w:pPr>
        <w:ind w:left="81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5C34E6"/>
    <w:multiLevelType w:val="hybridMultilevel"/>
    <w:tmpl w:val="7EEE07E2"/>
    <w:lvl w:ilvl="0" w:tplc="0A72F52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172F10"/>
    <w:multiLevelType w:val="multilevel"/>
    <w:tmpl w:val="AED6F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E76DEA"/>
    <w:multiLevelType w:val="hybridMultilevel"/>
    <w:tmpl w:val="F588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2560C0"/>
    <w:multiLevelType w:val="hybridMultilevel"/>
    <w:tmpl w:val="F6967F2A"/>
    <w:lvl w:ilvl="0" w:tplc="F31C2A0C">
      <w:start w:val="1"/>
      <w:numFmt w:val="bullet"/>
      <w:lvlText w:val=""/>
      <w:lvlJc w:val="left"/>
      <w:pPr>
        <w:ind w:left="720" w:hanging="360"/>
      </w:pPr>
      <w:rPr>
        <w:rFonts w:ascii="Symbol" w:hAnsi="Symbol"/>
      </w:rPr>
    </w:lvl>
    <w:lvl w:ilvl="1" w:tplc="5CDE40BC">
      <w:start w:val="1"/>
      <w:numFmt w:val="bullet"/>
      <w:lvlText w:val=""/>
      <w:lvlJc w:val="left"/>
      <w:pPr>
        <w:ind w:left="720" w:hanging="360"/>
      </w:pPr>
      <w:rPr>
        <w:rFonts w:ascii="Symbol" w:hAnsi="Symbol"/>
      </w:rPr>
    </w:lvl>
    <w:lvl w:ilvl="2" w:tplc="CED42F0A">
      <w:start w:val="1"/>
      <w:numFmt w:val="bullet"/>
      <w:lvlText w:val=""/>
      <w:lvlJc w:val="left"/>
      <w:pPr>
        <w:ind w:left="720" w:hanging="360"/>
      </w:pPr>
      <w:rPr>
        <w:rFonts w:ascii="Symbol" w:hAnsi="Symbol"/>
      </w:rPr>
    </w:lvl>
    <w:lvl w:ilvl="3" w:tplc="F036D88C">
      <w:start w:val="1"/>
      <w:numFmt w:val="bullet"/>
      <w:lvlText w:val=""/>
      <w:lvlJc w:val="left"/>
      <w:pPr>
        <w:ind w:left="720" w:hanging="360"/>
      </w:pPr>
      <w:rPr>
        <w:rFonts w:ascii="Symbol" w:hAnsi="Symbol"/>
      </w:rPr>
    </w:lvl>
    <w:lvl w:ilvl="4" w:tplc="24E00416">
      <w:start w:val="1"/>
      <w:numFmt w:val="bullet"/>
      <w:lvlText w:val=""/>
      <w:lvlJc w:val="left"/>
      <w:pPr>
        <w:ind w:left="720" w:hanging="360"/>
      </w:pPr>
      <w:rPr>
        <w:rFonts w:ascii="Symbol" w:hAnsi="Symbol"/>
      </w:rPr>
    </w:lvl>
    <w:lvl w:ilvl="5" w:tplc="2ADECC3E">
      <w:start w:val="1"/>
      <w:numFmt w:val="bullet"/>
      <w:lvlText w:val=""/>
      <w:lvlJc w:val="left"/>
      <w:pPr>
        <w:ind w:left="720" w:hanging="360"/>
      </w:pPr>
      <w:rPr>
        <w:rFonts w:ascii="Symbol" w:hAnsi="Symbol"/>
      </w:rPr>
    </w:lvl>
    <w:lvl w:ilvl="6" w:tplc="FFA858B2">
      <w:start w:val="1"/>
      <w:numFmt w:val="bullet"/>
      <w:lvlText w:val=""/>
      <w:lvlJc w:val="left"/>
      <w:pPr>
        <w:ind w:left="720" w:hanging="360"/>
      </w:pPr>
      <w:rPr>
        <w:rFonts w:ascii="Symbol" w:hAnsi="Symbol"/>
      </w:rPr>
    </w:lvl>
    <w:lvl w:ilvl="7" w:tplc="041C01DA">
      <w:start w:val="1"/>
      <w:numFmt w:val="bullet"/>
      <w:lvlText w:val=""/>
      <w:lvlJc w:val="left"/>
      <w:pPr>
        <w:ind w:left="720" w:hanging="360"/>
      </w:pPr>
      <w:rPr>
        <w:rFonts w:ascii="Symbol" w:hAnsi="Symbol"/>
      </w:rPr>
    </w:lvl>
    <w:lvl w:ilvl="8" w:tplc="7BB083E4">
      <w:start w:val="1"/>
      <w:numFmt w:val="bullet"/>
      <w:lvlText w:val=""/>
      <w:lvlJc w:val="left"/>
      <w:pPr>
        <w:ind w:left="720" w:hanging="360"/>
      </w:pPr>
      <w:rPr>
        <w:rFonts w:ascii="Symbol" w:hAnsi="Symbol"/>
      </w:rPr>
    </w:lvl>
  </w:abstractNum>
  <w:abstractNum w:abstractNumId="36"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F64E9"/>
    <w:multiLevelType w:val="hybridMultilevel"/>
    <w:tmpl w:val="33A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num w:numId="1" w16cid:durableId="511647671">
    <w:abstractNumId w:val="20"/>
  </w:num>
  <w:num w:numId="2" w16cid:durableId="18632067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293169">
    <w:abstractNumId w:val="5"/>
  </w:num>
  <w:num w:numId="4" w16cid:durableId="842933781">
    <w:abstractNumId w:val="37"/>
  </w:num>
  <w:num w:numId="5" w16cid:durableId="592738579">
    <w:abstractNumId w:val="39"/>
  </w:num>
  <w:num w:numId="6" w16cid:durableId="1114518143">
    <w:abstractNumId w:val="9"/>
  </w:num>
  <w:num w:numId="7" w16cid:durableId="220016852">
    <w:abstractNumId w:val="36"/>
  </w:num>
  <w:num w:numId="8" w16cid:durableId="888880651">
    <w:abstractNumId w:val="10"/>
  </w:num>
  <w:num w:numId="9" w16cid:durableId="1629511523">
    <w:abstractNumId w:val="11"/>
  </w:num>
  <w:num w:numId="10" w16cid:durableId="829100206">
    <w:abstractNumId w:val="15"/>
  </w:num>
  <w:num w:numId="11" w16cid:durableId="1202671901">
    <w:abstractNumId w:val="28"/>
  </w:num>
  <w:num w:numId="12" w16cid:durableId="1372920723">
    <w:abstractNumId w:val="12"/>
    <w:lvlOverride w:ilvl="0">
      <w:startOverride w:val="1"/>
    </w:lvlOverride>
  </w:num>
  <w:num w:numId="13" w16cid:durableId="985008917">
    <w:abstractNumId w:val="38"/>
  </w:num>
  <w:num w:numId="14" w16cid:durableId="620188081">
    <w:abstractNumId w:val="14"/>
  </w:num>
  <w:num w:numId="15" w16cid:durableId="133839881">
    <w:abstractNumId w:val="3"/>
  </w:num>
  <w:num w:numId="16" w16cid:durableId="518007981">
    <w:abstractNumId w:val="26"/>
  </w:num>
  <w:num w:numId="17" w16cid:durableId="1176725043">
    <w:abstractNumId w:val="24"/>
  </w:num>
  <w:num w:numId="18" w16cid:durableId="1765296588">
    <w:abstractNumId w:val="27"/>
  </w:num>
  <w:num w:numId="19" w16cid:durableId="399132262">
    <w:abstractNumId w:val="13"/>
  </w:num>
  <w:num w:numId="20" w16cid:durableId="1219056009">
    <w:abstractNumId w:val="32"/>
  </w:num>
  <w:num w:numId="21" w16cid:durableId="1910798273">
    <w:abstractNumId w:val="34"/>
  </w:num>
  <w:num w:numId="22" w16cid:durableId="491482331">
    <w:abstractNumId w:val="33"/>
  </w:num>
  <w:num w:numId="23" w16cid:durableId="1478231271">
    <w:abstractNumId w:val="21"/>
  </w:num>
  <w:num w:numId="24" w16cid:durableId="948052579">
    <w:abstractNumId w:val="6"/>
  </w:num>
  <w:num w:numId="25" w16cid:durableId="1870753970">
    <w:abstractNumId w:val="30"/>
  </w:num>
  <w:num w:numId="26" w16cid:durableId="1271669731">
    <w:abstractNumId w:val="8"/>
  </w:num>
  <w:num w:numId="27" w16cid:durableId="1128014739">
    <w:abstractNumId w:val="0"/>
  </w:num>
  <w:num w:numId="28" w16cid:durableId="536047630">
    <w:abstractNumId w:val="1"/>
  </w:num>
  <w:num w:numId="29" w16cid:durableId="847213652">
    <w:abstractNumId w:val="16"/>
  </w:num>
  <w:num w:numId="30" w16cid:durableId="13101326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548713">
    <w:abstractNumId w:val="22"/>
  </w:num>
  <w:num w:numId="32" w16cid:durableId="1746105510">
    <w:abstractNumId w:val="29"/>
  </w:num>
  <w:num w:numId="33" w16cid:durableId="1639841873">
    <w:abstractNumId w:val="18"/>
  </w:num>
  <w:num w:numId="34" w16cid:durableId="18457059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9021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14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8538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27563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516114">
    <w:abstractNumId w:val="17"/>
  </w:num>
  <w:num w:numId="40" w16cid:durableId="910116764">
    <w:abstractNumId w:val="7"/>
  </w:num>
  <w:num w:numId="41" w16cid:durableId="455954766">
    <w:abstractNumId w:val="19"/>
  </w:num>
  <w:num w:numId="42" w16cid:durableId="170025970">
    <w:abstractNumId w:val="4"/>
  </w:num>
  <w:num w:numId="43" w16cid:durableId="41441655">
    <w:abstractNumId w:val="2"/>
  </w:num>
  <w:num w:numId="44" w16cid:durableId="432018118">
    <w:abstractNumId w:val="23"/>
  </w:num>
  <w:num w:numId="45" w16cid:durableId="683672890">
    <w:abstractNumId w:val="35"/>
  </w:num>
  <w:num w:numId="46" w16cid:durableId="20229679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54"/>
    <w:rsid w:val="000074C5"/>
    <w:rsid w:val="0001382A"/>
    <w:rsid w:val="000156B1"/>
    <w:rsid w:val="0001599D"/>
    <w:rsid w:val="00020F66"/>
    <w:rsid w:val="000226C3"/>
    <w:rsid w:val="0002341E"/>
    <w:rsid w:val="000234B2"/>
    <w:rsid w:val="00023B1C"/>
    <w:rsid w:val="00032D33"/>
    <w:rsid w:val="00033007"/>
    <w:rsid w:val="000343B2"/>
    <w:rsid w:val="00034C65"/>
    <w:rsid w:val="00035BDF"/>
    <w:rsid w:val="000364DE"/>
    <w:rsid w:val="00040D56"/>
    <w:rsid w:val="00044D6A"/>
    <w:rsid w:val="00047E9E"/>
    <w:rsid w:val="00050888"/>
    <w:rsid w:val="000553FE"/>
    <w:rsid w:val="00055D71"/>
    <w:rsid w:val="000608B3"/>
    <w:rsid w:val="0006117F"/>
    <w:rsid w:val="000626EC"/>
    <w:rsid w:val="00065CAC"/>
    <w:rsid w:val="00067911"/>
    <w:rsid w:val="00071B2C"/>
    <w:rsid w:val="000742DD"/>
    <w:rsid w:val="00076CA1"/>
    <w:rsid w:val="000777C8"/>
    <w:rsid w:val="00077B92"/>
    <w:rsid w:val="00077E35"/>
    <w:rsid w:val="00080967"/>
    <w:rsid w:val="00081CAD"/>
    <w:rsid w:val="00082F79"/>
    <w:rsid w:val="0008506D"/>
    <w:rsid w:val="00085930"/>
    <w:rsid w:val="000862B2"/>
    <w:rsid w:val="000871DB"/>
    <w:rsid w:val="00092FB4"/>
    <w:rsid w:val="000931BD"/>
    <w:rsid w:val="00095B0C"/>
    <w:rsid w:val="000A12B5"/>
    <w:rsid w:val="000A4F31"/>
    <w:rsid w:val="000A69E9"/>
    <w:rsid w:val="000A6F66"/>
    <w:rsid w:val="000B1332"/>
    <w:rsid w:val="000B681E"/>
    <w:rsid w:val="000B685E"/>
    <w:rsid w:val="000B68D8"/>
    <w:rsid w:val="000C3FED"/>
    <w:rsid w:val="000C4EF6"/>
    <w:rsid w:val="000C7FDF"/>
    <w:rsid w:val="000D48C4"/>
    <w:rsid w:val="000D6868"/>
    <w:rsid w:val="000E1244"/>
    <w:rsid w:val="000E1C9C"/>
    <w:rsid w:val="000E2081"/>
    <w:rsid w:val="000E3515"/>
    <w:rsid w:val="000E3704"/>
    <w:rsid w:val="000F0785"/>
    <w:rsid w:val="000F346C"/>
    <w:rsid w:val="000F3790"/>
    <w:rsid w:val="000F3AE0"/>
    <w:rsid w:val="000F5724"/>
    <w:rsid w:val="000F5D67"/>
    <w:rsid w:val="00103DA1"/>
    <w:rsid w:val="00106AB7"/>
    <w:rsid w:val="00107338"/>
    <w:rsid w:val="00111537"/>
    <w:rsid w:val="00117BA1"/>
    <w:rsid w:val="00122600"/>
    <w:rsid w:val="001232CD"/>
    <w:rsid w:val="00123312"/>
    <w:rsid w:val="00127C3F"/>
    <w:rsid w:val="00132968"/>
    <w:rsid w:val="001338F1"/>
    <w:rsid w:val="00136D07"/>
    <w:rsid w:val="001448E6"/>
    <w:rsid w:val="001449AB"/>
    <w:rsid w:val="00147876"/>
    <w:rsid w:val="0015056B"/>
    <w:rsid w:val="001530E2"/>
    <w:rsid w:val="001569BB"/>
    <w:rsid w:val="00160183"/>
    <w:rsid w:val="001641D2"/>
    <w:rsid w:val="00165080"/>
    <w:rsid w:val="00166B92"/>
    <w:rsid w:val="001707AF"/>
    <w:rsid w:val="001722D3"/>
    <w:rsid w:val="00173855"/>
    <w:rsid w:val="00176D79"/>
    <w:rsid w:val="00177C03"/>
    <w:rsid w:val="001850F2"/>
    <w:rsid w:val="00186C16"/>
    <w:rsid w:val="00187EE1"/>
    <w:rsid w:val="00191C5C"/>
    <w:rsid w:val="00192789"/>
    <w:rsid w:val="00192C80"/>
    <w:rsid w:val="001945C6"/>
    <w:rsid w:val="001947DF"/>
    <w:rsid w:val="001963C0"/>
    <w:rsid w:val="001A1888"/>
    <w:rsid w:val="001A66BE"/>
    <w:rsid w:val="001B1671"/>
    <w:rsid w:val="001B1F81"/>
    <w:rsid w:val="001B351D"/>
    <w:rsid w:val="001B574B"/>
    <w:rsid w:val="001C07BA"/>
    <w:rsid w:val="001C60AB"/>
    <w:rsid w:val="001D2206"/>
    <w:rsid w:val="001D2993"/>
    <w:rsid w:val="001D5003"/>
    <w:rsid w:val="001F5329"/>
    <w:rsid w:val="00201FC9"/>
    <w:rsid w:val="00202821"/>
    <w:rsid w:val="002038DB"/>
    <w:rsid w:val="002057E0"/>
    <w:rsid w:val="00214FF2"/>
    <w:rsid w:val="00215311"/>
    <w:rsid w:val="00215396"/>
    <w:rsid w:val="00215928"/>
    <w:rsid w:val="002176AC"/>
    <w:rsid w:val="00217F56"/>
    <w:rsid w:val="00222BFB"/>
    <w:rsid w:val="00224C88"/>
    <w:rsid w:val="00224E48"/>
    <w:rsid w:val="00230151"/>
    <w:rsid w:val="002339F5"/>
    <w:rsid w:val="002410E5"/>
    <w:rsid w:val="00244046"/>
    <w:rsid w:val="00245BAA"/>
    <w:rsid w:val="00246083"/>
    <w:rsid w:val="00247E4E"/>
    <w:rsid w:val="002519A9"/>
    <w:rsid w:val="002528CA"/>
    <w:rsid w:val="00252C9C"/>
    <w:rsid w:val="00253F62"/>
    <w:rsid w:val="002549D0"/>
    <w:rsid w:val="00257651"/>
    <w:rsid w:val="00270DD7"/>
    <w:rsid w:val="00274440"/>
    <w:rsid w:val="002750C3"/>
    <w:rsid w:val="00275875"/>
    <w:rsid w:val="00276048"/>
    <w:rsid w:val="0028054D"/>
    <w:rsid w:val="0028332E"/>
    <w:rsid w:val="00285747"/>
    <w:rsid w:val="002901BD"/>
    <w:rsid w:val="00290407"/>
    <w:rsid w:val="00295868"/>
    <w:rsid w:val="00296692"/>
    <w:rsid w:val="00296C8B"/>
    <w:rsid w:val="002A1129"/>
    <w:rsid w:val="002A2D7F"/>
    <w:rsid w:val="002A5209"/>
    <w:rsid w:val="002A611B"/>
    <w:rsid w:val="002A701F"/>
    <w:rsid w:val="002A7B62"/>
    <w:rsid w:val="002B2E75"/>
    <w:rsid w:val="002B370B"/>
    <w:rsid w:val="002B44F2"/>
    <w:rsid w:val="002B4819"/>
    <w:rsid w:val="002B5B27"/>
    <w:rsid w:val="002B6EA5"/>
    <w:rsid w:val="002C0186"/>
    <w:rsid w:val="002C37B7"/>
    <w:rsid w:val="002D0E4C"/>
    <w:rsid w:val="002D348E"/>
    <w:rsid w:val="002D5E7D"/>
    <w:rsid w:val="002E1E48"/>
    <w:rsid w:val="002F0531"/>
    <w:rsid w:val="002F1CE5"/>
    <w:rsid w:val="002F4275"/>
    <w:rsid w:val="00300D9E"/>
    <w:rsid w:val="00305B4C"/>
    <w:rsid w:val="00307272"/>
    <w:rsid w:val="0030767B"/>
    <w:rsid w:val="003162D8"/>
    <w:rsid w:val="0031734D"/>
    <w:rsid w:val="0032254F"/>
    <w:rsid w:val="00322848"/>
    <w:rsid w:val="003228E2"/>
    <w:rsid w:val="00322FF9"/>
    <w:rsid w:val="0032740E"/>
    <w:rsid w:val="00327DD0"/>
    <w:rsid w:val="003315C9"/>
    <w:rsid w:val="0033247A"/>
    <w:rsid w:val="00333F45"/>
    <w:rsid w:val="00341F53"/>
    <w:rsid w:val="0034328B"/>
    <w:rsid w:val="00345A52"/>
    <w:rsid w:val="003538FD"/>
    <w:rsid w:val="00360B03"/>
    <w:rsid w:val="00360C9A"/>
    <w:rsid w:val="00360F4E"/>
    <w:rsid w:val="003618A5"/>
    <w:rsid w:val="00362F49"/>
    <w:rsid w:val="00364934"/>
    <w:rsid w:val="00370C07"/>
    <w:rsid w:val="00374A2B"/>
    <w:rsid w:val="00380BDD"/>
    <w:rsid w:val="0038694E"/>
    <w:rsid w:val="00397867"/>
    <w:rsid w:val="003A524D"/>
    <w:rsid w:val="003A7EAE"/>
    <w:rsid w:val="003B1298"/>
    <w:rsid w:val="003B1918"/>
    <w:rsid w:val="003B2111"/>
    <w:rsid w:val="003B2AE6"/>
    <w:rsid w:val="003C4C54"/>
    <w:rsid w:val="003C5633"/>
    <w:rsid w:val="003D54D7"/>
    <w:rsid w:val="003D55CA"/>
    <w:rsid w:val="003D6177"/>
    <w:rsid w:val="003D659D"/>
    <w:rsid w:val="003E29BB"/>
    <w:rsid w:val="003E7850"/>
    <w:rsid w:val="003F02C0"/>
    <w:rsid w:val="003F284F"/>
    <w:rsid w:val="003F5D1E"/>
    <w:rsid w:val="00401311"/>
    <w:rsid w:val="0040362C"/>
    <w:rsid w:val="004037CB"/>
    <w:rsid w:val="004062AB"/>
    <w:rsid w:val="00413944"/>
    <w:rsid w:val="00413EBA"/>
    <w:rsid w:val="00415619"/>
    <w:rsid w:val="00425E07"/>
    <w:rsid w:val="00427F72"/>
    <w:rsid w:val="00432920"/>
    <w:rsid w:val="004437CA"/>
    <w:rsid w:val="00444564"/>
    <w:rsid w:val="00444DFA"/>
    <w:rsid w:val="00445270"/>
    <w:rsid w:val="0044733B"/>
    <w:rsid w:val="0045006F"/>
    <w:rsid w:val="00450106"/>
    <w:rsid w:val="00450273"/>
    <w:rsid w:val="00456C77"/>
    <w:rsid w:val="004736B0"/>
    <w:rsid w:val="004A081C"/>
    <w:rsid w:val="004B2016"/>
    <w:rsid w:val="004B36DF"/>
    <w:rsid w:val="004B54DD"/>
    <w:rsid w:val="004B7022"/>
    <w:rsid w:val="004D1A62"/>
    <w:rsid w:val="004D2786"/>
    <w:rsid w:val="004D2B1C"/>
    <w:rsid w:val="004D2C91"/>
    <w:rsid w:val="004D6336"/>
    <w:rsid w:val="004E3FA0"/>
    <w:rsid w:val="004E4DA4"/>
    <w:rsid w:val="004E632E"/>
    <w:rsid w:val="004F08DC"/>
    <w:rsid w:val="004F1637"/>
    <w:rsid w:val="005030A2"/>
    <w:rsid w:val="00503827"/>
    <w:rsid w:val="00510255"/>
    <w:rsid w:val="005226FE"/>
    <w:rsid w:val="00524EBE"/>
    <w:rsid w:val="0052514E"/>
    <w:rsid w:val="00525951"/>
    <w:rsid w:val="00533798"/>
    <w:rsid w:val="00535A82"/>
    <w:rsid w:val="0053712D"/>
    <w:rsid w:val="005377D9"/>
    <w:rsid w:val="00541344"/>
    <w:rsid w:val="0054149C"/>
    <w:rsid w:val="00544C65"/>
    <w:rsid w:val="005500A3"/>
    <w:rsid w:val="00550B1C"/>
    <w:rsid w:val="0055126E"/>
    <w:rsid w:val="00551BB1"/>
    <w:rsid w:val="005541CA"/>
    <w:rsid w:val="00557499"/>
    <w:rsid w:val="00557F00"/>
    <w:rsid w:val="00560C4C"/>
    <w:rsid w:val="00564FD7"/>
    <w:rsid w:val="005673AC"/>
    <w:rsid w:val="00567B42"/>
    <w:rsid w:val="00570896"/>
    <w:rsid w:val="00573B9D"/>
    <w:rsid w:val="00575DE4"/>
    <w:rsid w:val="00583B35"/>
    <w:rsid w:val="005848FC"/>
    <w:rsid w:val="0059564E"/>
    <w:rsid w:val="00595A9F"/>
    <w:rsid w:val="00597457"/>
    <w:rsid w:val="005A2F3E"/>
    <w:rsid w:val="005A7124"/>
    <w:rsid w:val="005B1C38"/>
    <w:rsid w:val="005C091D"/>
    <w:rsid w:val="005C63B6"/>
    <w:rsid w:val="005D03AC"/>
    <w:rsid w:val="005D20BE"/>
    <w:rsid w:val="005D529C"/>
    <w:rsid w:val="005E30D0"/>
    <w:rsid w:val="005E3A45"/>
    <w:rsid w:val="005F3435"/>
    <w:rsid w:val="005F3D45"/>
    <w:rsid w:val="005F576E"/>
    <w:rsid w:val="005F73E1"/>
    <w:rsid w:val="00600271"/>
    <w:rsid w:val="00600551"/>
    <w:rsid w:val="006065ED"/>
    <w:rsid w:val="006066F6"/>
    <w:rsid w:val="00607978"/>
    <w:rsid w:val="006166A4"/>
    <w:rsid w:val="00623A61"/>
    <w:rsid w:val="006308B1"/>
    <w:rsid w:val="00632EFE"/>
    <w:rsid w:val="00633473"/>
    <w:rsid w:val="00635B57"/>
    <w:rsid w:val="0064141F"/>
    <w:rsid w:val="00645321"/>
    <w:rsid w:val="00651A52"/>
    <w:rsid w:val="006549F7"/>
    <w:rsid w:val="006604AD"/>
    <w:rsid w:val="0066143E"/>
    <w:rsid w:val="006655E5"/>
    <w:rsid w:val="006656D0"/>
    <w:rsid w:val="0066604D"/>
    <w:rsid w:val="00671315"/>
    <w:rsid w:val="006767AB"/>
    <w:rsid w:val="006773A3"/>
    <w:rsid w:val="0068243D"/>
    <w:rsid w:val="0068341B"/>
    <w:rsid w:val="006859E0"/>
    <w:rsid w:val="00696352"/>
    <w:rsid w:val="00697171"/>
    <w:rsid w:val="00697970"/>
    <w:rsid w:val="006A2B4E"/>
    <w:rsid w:val="006A5473"/>
    <w:rsid w:val="006A6175"/>
    <w:rsid w:val="006B08DF"/>
    <w:rsid w:val="006B0B94"/>
    <w:rsid w:val="006C5500"/>
    <w:rsid w:val="006C5F36"/>
    <w:rsid w:val="006C77BD"/>
    <w:rsid w:val="006D0CB5"/>
    <w:rsid w:val="006D684A"/>
    <w:rsid w:val="006D693D"/>
    <w:rsid w:val="006E2456"/>
    <w:rsid w:val="006E4B1C"/>
    <w:rsid w:val="006F1748"/>
    <w:rsid w:val="006F635E"/>
    <w:rsid w:val="00700024"/>
    <w:rsid w:val="00700EB3"/>
    <w:rsid w:val="00704ABB"/>
    <w:rsid w:val="00706E5C"/>
    <w:rsid w:val="00713B2B"/>
    <w:rsid w:val="0071579A"/>
    <w:rsid w:val="00721462"/>
    <w:rsid w:val="00722DE0"/>
    <w:rsid w:val="00726490"/>
    <w:rsid w:val="00726A85"/>
    <w:rsid w:val="00730F5F"/>
    <w:rsid w:val="00731987"/>
    <w:rsid w:val="00736261"/>
    <w:rsid w:val="00742A74"/>
    <w:rsid w:val="007443E9"/>
    <w:rsid w:val="00752FDD"/>
    <w:rsid w:val="00754CEA"/>
    <w:rsid w:val="007616C7"/>
    <w:rsid w:val="00764A49"/>
    <w:rsid w:val="0076580D"/>
    <w:rsid w:val="00771967"/>
    <w:rsid w:val="0077366A"/>
    <w:rsid w:val="00774554"/>
    <w:rsid w:val="007756E1"/>
    <w:rsid w:val="00786AFA"/>
    <w:rsid w:val="00786C78"/>
    <w:rsid w:val="0079657C"/>
    <w:rsid w:val="007965D9"/>
    <w:rsid w:val="00797800"/>
    <w:rsid w:val="00797CAC"/>
    <w:rsid w:val="007A3BC6"/>
    <w:rsid w:val="007A44F3"/>
    <w:rsid w:val="007A6D71"/>
    <w:rsid w:val="007B1541"/>
    <w:rsid w:val="007B3FE2"/>
    <w:rsid w:val="007B6754"/>
    <w:rsid w:val="007D3476"/>
    <w:rsid w:val="007E2C6B"/>
    <w:rsid w:val="007E3177"/>
    <w:rsid w:val="007E3C71"/>
    <w:rsid w:val="00806A12"/>
    <w:rsid w:val="008073E7"/>
    <w:rsid w:val="008079A5"/>
    <w:rsid w:val="0081185E"/>
    <w:rsid w:val="0081217F"/>
    <w:rsid w:val="0081236F"/>
    <w:rsid w:val="008148FA"/>
    <w:rsid w:val="00816B38"/>
    <w:rsid w:val="00822131"/>
    <w:rsid w:val="00824840"/>
    <w:rsid w:val="00825555"/>
    <w:rsid w:val="0083102B"/>
    <w:rsid w:val="00832735"/>
    <w:rsid w:val="00832A7E"/>
    <w:rsid w:val="00834934"/>
    <w:rsid w:val="008425AB"/>
    <w:rsid w:val="00842C29"/>
    <w:rsid w:val="0085249E"/>
    <w:rsid w:val="00852E19"/>
    <w:rsid w:val="008576BB"/>
    <w:rsid w:val="0086177D"/>
    <w:rsid w:val="00872DF8"/>
    <w:rsid w:val="00880AF2"/>
    <w:rsid w:val="00880B95"/>
    <w:rsid w:val="00880E3A"/>
    <w:rsid w:val="00886D8C"/>
    <w:rsid w:val="00887012"/>
    <w:rsid w:val="00887051"/>
    <w:rsid w:val="00890425"/>
    <w:rsid w:val="00892698"/>
    <w:rsid w:val="00896F88"/>
    <w:rsid w:val="008B71BA"/>
    <w:rsid w:val="008C29E7"/>
    <w:rsid w:val="008C3204"/>
    <w:rsid w:val="008D3B98"/>
    <w:rsid w:val="008E2BDE"/>
    <w:rsid w:val="008E3844"/>
    <w:rsid w:val="008E7F72"/>
    <w:rsid w:val="008F04EB"/>
    <w:rsid w:val="008F2F21"/>
    <w:rsid w:val="009000A6"/>
    <w:rsid w:val="009004F0"/>
    <w:rsid w:val="00900DE8"/>
    <w:rsid w:val="0090507C"/>
    <w:rsid w:val="00905121"/>
    <w:rsid w:val="00905ADA"/>
    <w:rsid w:val="00906282"/>
    <w:rsid w:val="0090761A"/>
    <w:rsid w:val="009121CF"/>
    <w:rsid w:val="009155AD"/>
    <w:rsid w:val="00916860"/>
    <w:rsid w:val="0091761B"/>
    <w:rsid w:val="009256AE"/>
    <w:rsid w:val="00927668"/>
    <w:rsid w:val="00927A2E"/>
    <w:rsid w:val="00927E41"/>
    <w:rsid w:val="00930170"/>
    <w:rsid w:val="00930B82"/>
    <w:rsid w:val="00932FD4"/>
    <w:rsid w:val="0094070C"/>
    <w:rsid w:val="009433E3"/>
    <w:rsid w:val="0095250C"/>
    <w:rsid w:val="009541AC"/>
    <w:rsid w:val="009607D9"/>
    <w:rsid w:val="009622CE"/>
    <w:rsid w:val="009638ED"/>
    <w:rsid w:val="00964DAD"/>
    <w:rsid w:val="009679A6"/>
    <w:rsid w:val="00970C1B"/>
    <w:rsid w:val="00971359"/>
    <w:rsid w:val="00971D94"/>
    <w:rsid w:val="009757D5"/>
    <w:rsid w:val="00981A67"/>
    <w:rsid w:val="00984D60"/>
    <w:rsid w:val="00985CE6"/>
    <w:rsid w:val="00987B5A"/>
    <w:rsid w:val="00990258"/>
    <w:rsid w:val="009925F7"/>
    <w:rsid w:val="00994D54"/>
    <w:rsid w:val="00994EB5"/>
    <w:rsid w:val="0099549C"/>
    <w:rsid w:val="009970D2"/>
    <w:rsid w:val="00997407"/>
    <w:rsid w:val="009A1D40"/>
    <w:rsid w:val="009A5623"/>
    <w:rsid w:val="009A7F9B"/>
    <w:rsid w:val="009B12C0"/>
    <w:rsid w:val="009B1B57"/>
    <w:rsid w:val="009B326D"/>
    <w:rsid w:val="009C108E"/>
    <w:rsid w:val="009C3D18"/>
    <w:rsid w:val="009C69EE"/>
    <w:rsid w:val="009D566E"/>
    <w:rsid w:val="009E149A"/>
    <w:rsid w:val="009E2D21"/>
    <w:rsid w:val="009F4A32"/>
    <w:rsid w:val="009F5772"/>
    <w:rsid w:val="00A013BB"/>
    <w:rsid w:val="00A0170F"/>
    <w:rsid w:val="00A04CA7"/>
    <w:rsid w:val="00A07D96"/>
    <w:rsid w:val="00A130B2"/>
    <w:rsid w:val="00A14B75"/>
    <w:rsid w:val="00A17B60"/>
    <w:rsid w:val="00A20694"/>
    <w:rsid w:val="00A23F61"/>
    <w:rsid w:val="00A249CF"/>
    <w:rsid w:val="00A343F2"/>
    <w:rsid w:val="00A34732"/>
    <w:rsid w:val="00A34F57"/>
    <w:rsid w:val="00A41C50"/>
    <w:rsid w:val="00A63281"/>
    <w:rsid w:val="00A672AD"/>
    <w:rsid w:val="00A6776B"/>
    <w:rsid w:val="00A713E0"/>
    <w:rsid w:val="00A80150"/>
    <w:rsid w:val="00A815EF"/>
    <w:rsid w:val="00A8167D"/>
    <w:rsid w:val="00A81CE8"/>
    <w:rsid w:val="00A83AF1"/>
    <w:rsid w:val="00A9102E"/>
    <w:rsid w:val="00A9120B"/>
    <w:rsid w:val="00AA262C"/>
    <w:rsid w:val="00AA3F01"/>
    <w:rsid w:val="00AA5DB0"/>
    <w:rsid w:val="00AB1062"/>
    <w:rsid w:val="00AB5863"/>
    <w:rsid w:val="00AC1A0D"/>
    <w:rsid w:val="00AC3FFE"/>
    <w:rsid w:val="00AC52A3"/>
    <w:rsid w:val="00AC551B"/>
    <w:rsid w:val="00AC6A66"/>
    <w:rsid w:val="00AC77C2"/>
    <w:rsid w:val="00AD103E"/>
    <w:rsid w:val="00AD1062"/>
    <w:rsid w:val="00AD7591"/>
    <w:rsid w:val="00AE5F72"/>
    <w:rsid w:val="00AE61AE"/>
    <w:rsid w:val="00AF2A1D"/>
    <w:rsid w:val="00AF4DB3"/>
    <w:rsid w:val="00B11839"/>
    <w:rsid w:val="00B16341"/>
    <w:rsid w:val="00B35DA6"/>
    <w:rsid w:val="00B36122"/>
    <w:rsid w:val="00B40CC8"/>
    <w:rsid w:val="00B4137D"/>
    <w:rsid w:val="00B43F00"/>
    <w:rsid w:val="00B530CD"/>
    <w:rsid w:val="00B61576"/>
    <w:rsid w:val="00B616E6"/>
    <w:rsid w:val="00B61EFB"/>
    <w:rsid w:val="00B67112"/>
    <w:rsid w:val="00B67CF1"/>
    <w:rsid w:val="00B67EA5"/>
    <w:rsid w:val="00B73C96"/>
    <w:rsid w:val="00B752F0"/>
    <w:rsid w:val="00B7604F"/>
    <w:rsid w:val="00B772E9"/>
    <w:rsid w:val="00B84C14"/>
    <w:rsid w:val="00B85B1C"/>
    <w:rsid w:val="00B85D81"/>
    <w:rsid w:val="00B85FD6"/>
    <w:rsid w:val="00B916A7"/>
    <w:rsid w:val="00B934F7"/>
    <w:rsid w:val="00B9488A"/>
    <w:rsid w:val="00B94A35"/>
    <w:rsid w:val="00B94CFA"/>
    <w:rsid w:val="00B97265"/>
    <w:rsid w:val="00BA2720"/>
    <w:rsid w:val="00BA5E63"/>
    <w:rsid w:val="00BA62E6"/>
    <w:rsid w:val="00BB2C07"/>
    <w:rsid w:val="00BB4131"/>
    <w:rsid w:val="00BB6118"/>
    <w:rsid w:val="00BC0B34"/>
    <w:rsid w:val="00BC189A"/>
    <w:rsid w:val="00BC5DCF"/>
    <w:rsid w:val="00BD0CC5"/>
    <w:rsid w:val="00BD2B03"/>
    <w:rsid w:val="00BD6146"/>
    <w:rsid w:val="00BE1F44"/>
    <w:rsid w:val="00BE2244"/>
    <w:rsid w:val="00BE531E"/>
    <w:rsid w:val="00BE5F3F"/>
    <w:rsid w:val="00BE6881"/>
    <w:rsid w:val="00BF036B"/>
    <w:rsid w:val="00BF0498"/>
    <w:rsid w:val="00BF4EA5"/>
    <w:rsid w:val="00BF758E"/>
    <w:rsid w:val="00C00428"/>
    <w:rsid w:val="00C05E84"/>
    <w:rsid w:val="00C06EEF"/>
    <w:rsid w:val="00C10F4D"/>
    <w:rsid w:val="00C1322C"/>
    <w:rsid w:val="00C13CB6"/>
    <w:rsid w:val="00C159E8"/>
    <w:rsid w:val="00C2633F"/>
    <w:rsid w:val="00C2791F"/>
    <w:rsid w:val="00C37D50"/>
    <w:rsid w:val="00C41291"/>
    <w:rsid w:val="00C4191D"/>
    <w:rsid w:val="00C44FA9"/>
    <w:rsid w:val="00C46EA7"/>
    <w:rsid w:val="00C50D27"/>
    <w:rsid w:val="00C542DF"/>
    <w:rsid w:val="00C56D45"/>
    <w:rsid w:val="00C6166B"/>
    <w:rsid w:val="00C6415B"/>
    <w:rsid w:val="00C80513"/>
    <w:rsid w:val="00C82AB6"/>
    <w:rsid w:val="00C82FA3"/>
    <w:rsid w:val="00C83DD2"/>
    <w:rsid w:val="00C84787"/>
    <w:rsid w:val="00C84F54"/>
    <w:rsid w:val="00C92CAD"/>
    <w:rsid w:val="00C96B47"/>
    <w:rsid w:val="00C9767B"/>
    <w:rsid w:val="00CA0FB8"/>
    <w:rsid w:val="00CA4915"/>
    <w:rsid w:val="00CB2C55"/>
    <w:rsid w:val="00CB3B5D"/>
    <w:rsid w:val="00CB65C8"/>
    <w:rsid w:val="00CB7039"/>
    <w:rsid w:val="00CC08BE"/>
    <w:rsid w:val="00CC54AC"/>
    <w:rsid w:val="00CD175C"/>
    <w:rsid w:val="00CD282D"/>
    <w:rsid w:val="00CD3E2B"/>
    <w:rsid w:val="00CD7EF6"/>
    <w:rsid w:val="00CE2DDE"/>
    <w:rsid w:val="00CE3133"/>
    <w:rsid w:val="00CE5B8E"/>
    <w:rsid w:val="00CE5CCE"/>
    <w:rsid w:val="00CF334B"/>
    <w:rsid w:val="00CF5BE0"/>
    <w:rsid w:val="00CF6A02"/>
    <w:rsid w:val="00D00373"/>
    <w:rsid w:val="00D01E4D"/>
    <w:rsid w:val="00D0319A"/>
    <w:rsid w:val="00D11730"/>
    <w:rsid w:val="00D1516C"/>
    <w:rsid w:val="00D1597B"/>
    <w:rsid w:val="00D1603A"/>
    <w:rsid w:val="00D200FC"/>
    <w:rsid w:val="00D20839"/>
    <w:rsid w:val="00D302C8"/>
    <w:rsid w:val="00D36829"/>
    <w:rsid w:val="00D37636"/>
    <w:rsid w:val="00D45207"/>
    <w:rsid w:val="00D46611"/>
    <w:rsid w:val="00D46B4B"/>
    <w:rsid w:val="00D47A20"/>
    <w:rsid w:val="00D50123"/>
    <w:rsid w:val="00D51655"/>
    <w:rsid w:val="00D54046"/>
    <w:rsid w:val="00D64BCA"/>
    <w:rsid w:val="00D64E26"/>
    <w:rsid w:val="00D72779"/>
    <w:rsid w:val="00D72F76"/>
    <w:rsid w:val="00D74317"/>
    <w:rsid w:val="00D82E33"/>
    <w:rsid w:val="00D85F9C"/>
    <w:rsid w:val="00D86C67"/>
    <w:rsid w:val="00D86E11"/>
    <w:rsid w:val="00D87CA8"/>
    <w:rsid w:val="00D9043D"/>
    <w:rsid w:val="00D913B4"/>
    <w:rsid w:val="00D925E4"/>
    <w:rsid w:val="00D95A50"/>
    <w:rsid w:val="00D95E54"/>
    <w:rsid w:val="00D969ED"/>
    <w:rsid w:val="00D96EA8"/>
    <w:rsid w:val="00DA13B0"/>
    <w:rsid w:val="00DA4C1C"/>
    <w:rsid w:val="00DA5BB4"/>
    <w:rsid w:val="00DA789C"/>
    <w:rsid w:val="00DA7B6F"/>
    <w:rsid w:val="00DB4A51"/>
    <w:rsid w:val="00DB6E54"/>
    <w:rsid w:val="00DC3BF4"/>
    <w:rsid w:val="00DC6C86"/>
    <w:rsid w:val="00DC6E9D"/>
    <w:rsid w:val="00DD1F37"/>
    <w:rsid w:val="00DD26A4"/>
    <w:rsid w:val="00DD7E1E"/>
    <w:rsid w:val="00DE129D"/>
    <w:rsid w:val="00DE289F"/>
    <w:rsid w:val="00DE28DF"/>
    <w:rsid w:val="00DE399D"/>
    <w:rsid w:val="00DE7618"/>
    <w:rsid w:val="00DF0D6C"/>
    <w:rsid w:val="00DF0F13"/>
    <w:rsid w:val="00DF1512"/>
    <w:rsid w:val="00DF79B8"/>
    <w:rsid w:val="00E06CE0"/>
    <w:rsid w:val="00E126FE"/>
    <w:rsid w:val="00E16803"/>
    <w:rsid w:val="00E203E4"/>
    <w:rsid w:val="00E20E38"/>
    <w:rsid w:val="00E22927"/>
    <w:rsid w:val="00E362BE"/>
    <w:rsid w:val="00E36590"/>
    <w:rsid w:val="00E366B9"/>
    <w:rsid w:val="00E4743A"/>
    <w:rsid w:val="00E474FB"/>
    <w:rsid w:val="00E507EE"/>
    <w:rsid w:val="00E51490"/>
    <w:rsid w:val="00E53608"/>
    <w:rsid w:val="00E57421"/>
    <w:rsid w:val="00E609B6"/>
    <w:rsid w:val="00E6286C"/>
    <w:rsid w:val="00E707B5"/>
    <w:rsid w:val="00E72E80"/>
    <w:rsid w:val="00E73554"/>
    <w:rsid w:val="00E81FCA"/>
    <w:rsid w:val="00E82363"/>
    <w:rsid w:val="00E82E14"/>
    <w:rsid w:val="00E8339D"/>
    <w:rsid w:val="00E84069"/>
    <w:rsid w:val="00E90D1D"/>
    <w:rsid w:val="00E9449F"/>
    <w:rsid w:val="00EA45F9"/>
    <w:rsid w:val="00EA7E52"/>
    <w:rsid w:val="00EB1005"/>
    <w:rsid w:val="00EB5931"/>
    <w:rsid w:val="00EB678F"/>
    <w:rsid w:val="00EB7F27"/>
    <w:rsid w:val="00EC51D5"/>
    <w:rsid w:val="00ED79D1"/>
    <w:rsid w:val="00EE5D91"/>
    <w:rsid w:val="00F00F28"/>
    <w:rsid w:val="00F026E6"/>
    <w:rsid w:val="00F03C16"/>
    <w:rsid w:val="00F04578"/>
    <w:rsid w:val="00F04785"/>
    <w:rsid w:val="00F0648B"/>
    <w:rsid w:val="00F077B2"/>
    <w:rsid w:val="00F07C47"/>
    <w:rsid w:val="00F1090B"/>
    <w:rsid w:val="00F11305"/>
    <w:rsid w:val="00F116B5"/>
    <w:rsid w:val="00F1427C"/>
    <w:rsid w:val="00F1624D"/>
    <w:rsid w:val="00F248D2"/>
    <w:rsid w:val="00F25A20"/>
    <w:rsid w:val="00F27158"/>
    <w:rsid w:val="00F31392"/>
    <w:rsid w:val="00F438BC"/>
    <w:rsid w:val="00F4535E"/>
    <w:rsid w:val="00F45D21"/>
    <w:rsid w:val="00F46505"/>
    <w:rsid w:val="00F50EFA"/>
    <w:rsid w:val="00F51238"/>
    <w:rsid w:val="00F537EC"/>
    <w:rsid w:val="00F55461"/>
    <w:rsid w:val="00F56FE1"/>
    <w:rsid w:val="00F57E76"/>
    <w:rsid w:val="00F610C2"/>
    <w:rsid w:val="00F61B9A"/>
    <w:rsid w:val="00F72E58"/>
    <w:rsid w:val="00F8212B"/>
    <w:rsid w:val="00F85775"/>
    <w:rsid w:val="00F911D6"/>
    <w:rsid w:val="00FA1913"/>
    <w:rsid w:val="00FA3944"/>
    <w:rsid w:val="00FA4D7C"/>
    <w:rsid w:val="00FA5E8A"/>
    <w:rsid w:val="00FB0B79"/>
    <w:rsid w:val="00FB26EC"/>
    <w:rsid w:val="00FB3244"/>
    <w:rsid w:val="00FB6237"/>
    <w:rsid w:val="00FC3EF5"/>
    <w:rsid w:val="00FD0F59"/>
    <w:rsid w:val="00FD77AF"/>
    <w:rsid w:val="00FD7ABE"/>
    <w:rsid w:val="00FE108B"/>
    <w:rsid w:val="00FE3E71"/>
    <w:rsid w:val="00FF2988"/>
    <w:rsid w:val="00FF5155"/>
    <w:rsid w:val="0252C83E"/>
    <w:rsid w:val="032DB82D"/>
    <w:rsid w:val="05295272"/>
    <w:rsid w:val="052A2820"/>
    <w:rsid w:val="061D90BF"/>
    <w:rsid w:val="0758E648"/>
    <w:rsid w:val="0853D8FE"/>
    <w:rsid w:val="0924FDA2"/>
    <w:rsid w:val="0BC0DAE9"/>
    <w:rsid w:val="0F75FC49"/>
    <w:rsid w:val="11B127B2"/>
    <w:rsid w:val="129F0788"/>
    <w:rsid w:val="1597675C"/>
    <w:rsid w:val="1681DF3F"/>
    <w:rsid w:val="19EDCA4D"/>
    <w:rsid w:val="1A99E904"/>
    <w:rsid w:val="20E6FBDE"/>
    <w:rsid w:val="277A3F43"/>
    <w:rsid w:val="28F261C1"/>
    <w:rsid w:val="29BCCBC9"/>
    <w:rsid w:val="29D26895"/>
    <w:rsid w:val="2BA4B315"/>
    <w:rsid w:val="2CA304D2"/>
    <w:rsid w:val="2D94FFFC"/>
    <w:rsid w:val="307B2EC7"/>
    <w:rsid w:val="31324376"/>
    <w:rsid w:val="35E5B17C"/>
    <w:rsid w:val="383F01E0"/>
    <w:rsid w:val="3BCA9F6D"/>
    <w:rsid w:val="3C978022"/>
    <w:rsid w:val="3D6DC14B"/>
    <w:rsid w:val="4A512FFC"/>
    <w:rsid w:val="4AEA7186"/>
    <w:rsid w:val="4F106DF6"/>
    <w:rsid w:val="4F417C46"/>
    <w:rsid w:val="50C70D9A"/>
    <w:rsid w:val="53FCACB9"/>
    <w:rsid w:val="54E62B6A"/>
    <w:rsid w:val="553E8471"/>
    <w:rsid w:val="5C6489E1"/>
    <w:rsid w:val="600E97A0"/>
    <w:rsid w:val="61719EED"/>
    <w:rsid w:val="638E91B6"/>
    <w:rsid w:val="63B0DD65"/>
    <w:rsid w:val="6867A6CC"/>
    <w:rsid w:val="6A4C89AE"/>
    <w:rsid w:val="6ACF408B"/>
    <w:rsid w:val="6CAE233C"/>
    <w:rsid w:val="6E6FC7E1"/>
    <w:rsid w:val="6E811B9A"/>
    <w:rsid w:val="6F599ADF"/>
    <w:rsid w:val="70BEA0C8"/>
    <w:rsid w:val="7555DA09"/>
    <w:rsid w:val="756002AB"/>
    <w:rsid w:val="7BDE71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8B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E54"/>
    <w:pPr>
      <w:spacing w:after="240" w:line="240" w:lineRule="auto"/>
    </w:pPr>
    <w:rPr>
      <w:kern w:val="0"/>
      <w14:ligatures w14:val="none"/>
    </w:rPr>
  </w:style>
  <w:style w:type="paragraph" w:styleId="Heading1">
    <w:name w:val="heading 1"/>
    <w:basedOn w:val="Normal"/>
    <w:next w:val="Normal"/>
    <w:link w:val="Heading1Char"/>
    <w:uiPriority w:val="9"/>
    <w:qFormat/>
    <w:rsid w:val="00D95E54"/>
    <w:pPr>
      <w:keepNext/>
      <w:keepLines/>
      <w:numPr>
        <w:numId w:val="2"/>
      </w:numPr>
      <w:pBdr>
        <w:bottom w:val="single" w:sz="4" w:space="1" w:color="auto"/>
      </w:pBdr>
      <w:spacing w:before="600" w:after="48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D95E54"/>
    <w:pPr>
      <w:keepNext/>
      <w:keepLines/>
      <w:numPr>
        <w:ilvl w:val="1"/>
        <w:numId w:val="2"/>
      </w:numPr>
      <w:spacing w:before="36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D95E54"/>
    <w:pPr>
      <w:keepNext/>
      <w:keepLines/>
      <w:numPr>
        <w:ilvl w:val="2"/>
        <w:numId w:val="2"/>
      </w:numPr>
      <w:tabs>
        <w:tab w:val="left" w:pos="851"/>
      </w:tabs>
      <w:spacing w:before="360" w:after="200"/>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D95E54"/>
    <w:pPr>
      <w:numPr>
        <w:ilvl w:val="0"/>
        <w:numId w:val="0"/>
      </w:numPr>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E54"/>
    <w:rPr>
      <w:rFonts w:ascii="Franklin Gothic Medium" w:eastAsiaTheme="majorEastAsia" w:hAnsi="Franklin Gothic Medium" w:cstheme="majorBidi"/>
      <w:kern w:val="0"/>
      <w:sz w:val="44"/>
      <w:szCs w:val="32"/>
      <w14:ligatures w14:val="none"/>
    </w:rPr>
  </w:style>
  <w:style w:type="character" w:customStyle="1" w:styleId="Heading2Char">
    <w:name w:val="Heading 2 Char"/>
    <w:basedOn w:val="DefaultParagraphFont"/>
    <w:link w:val="Heading2"/>
    <w:uiPriority w:val="9"/>
    <w:rsid w:val="00D95E54"/>
    <w:rPr>
      <w:rFonts w:ascii="Franklin Gothic Medium" w:eastAsiaTheme="majorEastAsia" w:hAnsi="Franklin Gothic Medium" w:cstheme="majorBidi"/>
      <w:color w:val="000000" w:themeColor="text1"/>
      <w:kern w:val="0"/>
      <w:sz w:val="32"/>
      <w:szCs w:val="26"/>
      <w14:ligatures w14:val="none"/>
    </w:rPr>
  </w:style>
  <w:style w:type="character" w:customStyle="1" w:styleId="Heading3Char">
    <w:name w:val="Heading 3 Char"/>
    <w:basedOn w:val="DefaultParagraphFont"/>
    <w:link w:val="Heading3"/>
    <w:uiPriority w:val="9"/>
    <w:rsid w:val="00D95E54"/>
    <w:rPr>
      <w:rFonts w:ascii="Franklin Gothic Medium" w:eastAsiaTheme="majorEastAsia" w:hAnsi="Franklin Gothic Medium" w:cstheme="majorBidi"/>
      <w:kern w:val="0"/>
      <w:sz w:val="24"/>
      <w:szCs w:val="24"/>
      <w14:ligatures w14:val="none"/>
    </w:rPr>
  </w:style>
  <w:style w:type="character" w:customStyle="1" w:styleId="Heading4Char">
    <w:name w:val="Heading 4 Char"/>
    <w:basedOn w:val="DefaultParagraphFont"/>
    <w:link w:val="Heading4"/>
    <w:uiPriority w:val="9"/>
    <w:rsid w:val="00D95E54"/>
    <w:rPr>
      <w:rFonts w:ascii="Franklin Gothic Medium" w:eastAsiaTheme="majorEastAsia" w:hAnsi="Franklin Gothic Medium" w:cstheme="majorBidi"/>
      <w:i/>
      <w:kern w:val="0"/>
      <w:sz w:val="24"/>
      <w:szCs w:val="24"/>
      <w14:ligatures w14:val="none"/>
    </w:rPr>
  </w:style>
  <w:style w:type="table" w:styleId="TableGrid">
    <w:name w:val="Table Grid"/>
    <w:aliases w:val="Summary box,Table Gridbeth,RTI AMCP Table,new style,ASD Table,HealthConsult,CMA Table Template,PBAC table,Conclusion box,Table Grid nm,HTAtableplain,Dossier table,Section 3- footnotes,MSD Table Grid,Lash Style Table"/>
    <w:basedOn w:val="TableNormal"/>
    <w:rsid w:val="00D95E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altext">
    <w:name w:val="Instructional text"/>
    <w:basedOn w:val="Normal"/>
    <w:link w:val="InstructionaltextChar"/>
    <w:qFormat/>
    <w:rsid w:val="00D95E54"/>
    <w:pPr>
      <w:spacing w:before="120" w:after="160" w:line="259" w:lineRule="auto"/>
    </w:pPr>
    <w:rPr>
      <w:rFonts w:ascii="Franklin Gothic Book" w:hAnsi="Franklin Gothic Book"/>
      <w:color w:val="258221"/>
    </w:rPr>
  </w:style>
  <w:style w:type="character" w:customStyle="1" w:styleId="InstructionaltextChar">
    <w:name w:val="Instructional text Char"/>
    <w:basedOn w:val="DefaultParagraphFont"/>
    <w:link w:val="Instructionaltext"/>
    <w:rsid w:val="00D95E54"/>
    <w:rPr>
      <w:rFonts w:ascii="Franklin Gothic Book" w:hAnsi="Franklin Gothic Book"/>
      <w:color w:val="258221"/>
      <w:kern w:val="0"/>
      <w14:ligatures w14:val="none"/>
    </w:rPr>
  </w:style>
  <w:style w:type="paragraph" w:customStyle="1" w:styleId="Instructionaltext-bullet">
    <w:name w:val="Instructional text - bullet"/>
    <w:basedOn w:val="Instructionaltext"/>
    <w:qFormat/>
    <w:rsid w:val="00D95E54"/>
    <w:pPr>
      <w:numPr>
        <w:numId w:val="1"/>
      </w:numPr>
      <w:tabs>
        <w:tab w:val="num" w:pos="360"/>
      </w:tabs>
      <w:spacing w:before="0" w:after="0"/>
      <w:ind w:left="714" w:hanging="357"/>
    </w:pPr>
  </w:style>
  <w:style w:type="paragraph" w:styleId="Subtitle">
    <w:name w:val="Subtitle"/>
    <w:basedOn w:val="Normal"/>
    <w:next w:val="Normal"/>
    <w:link w:val="SubtitleChar"/>
    <w:qFormat/>
    <w:rsid w:val="00D95E54"/>
    <w:pPr>
      <w:spacing w:before="12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D95E54"/>
    <w:rPr>
      <w:rFonts w:ascii="Arial" w:eastAsia="Times New Roman" w:hAnsi="Arial" w:cs="Arial"/>
      <w:b/>
      <w:bCs/>
      <w:i/>
      <w:color w:val="000080"/>
      <w:kern w:val="0"/>
      <w:sz w:val="28"/>
      <w:szCs w:val="28"/>
      <w:lang w:eastAsia="en-AU"/>
      <w14:ligatures w14:val="none"/>
    </w:rPr>
  </w:style>
  <w:style w:type="paragraph" w:customStyle="1" w:styleId="BoxName">
    <w:name w:val="BoxName"/>
    <w:basedOn w:val="Normal"/>
    <w:rsid w:val="00D95E54"/>
    <w:pPr>
      <w:keepNext/>
      <w:pBdr>
        <w:top w:val="single" w:sz="4" w:space="4" w:color="000000"/>
        <w:left w:val="single" w:sz="4" w:space="4" w:color="000000"/>
        <w:bottom w:val="single" w:sz="4" w:space="4" w:color="000000"/>
        <w:right w:val="single" w:sz="4" w:space="4" w:color="000000"/>
      </w:pBdr>
      <w:spacing w:before="240"/>
      <w:ind w:left="1077" w:hanging="1077"/>
    </w:pPr>
    <w:rPr>
      <w:rFonts w:ascii="Franklin Gothic Book" w:eastAsia="Times New Roman" w:hAnsi="Franklin Gothic Book" w:cs="Times New Roman"/>
      <w:b/>
      <w:bCs/>
      <w:color w:val="000000"/>
      <w:sz w:val="24"/>
      <w:szCs w:val="20"/>
      <w:lang w:eastAsia="en-AU"/>
    </w:rPr>
  </w:style>
  <w:style w:type="paragraph" w:customStyle="1" w:styleId="BoxBullet">
    <w:name w:val="BoxBullet"/>
    <w:basedOn w:val="Normal"/>
    <w:rsid w:val="00D95E54"/>
    <w:pPr>
      <w:numPr>
        <w:numId w:val="3"/>
      </w:numPr>
      <w:pBdr>
        <w:top w:val="single" w:sz="4" w:space="4" w:color="000000"/>
        <w:left w:val="single" w:sz="4" w:space="4" w:color="000000"/>
        <w:bottom w:val="single" w:sz="4" w:space="4" w:color="000000"/>
        <w:right w:val="single" w:sz="4" w:space="4" w:color="000000"/>
      </w:pBdr>
      <w:spacing w:after="120"/>
    </w:pPr>
    <w:rPr>
      <w:rFonts w:ascii="Franklin Gothic Book" w:eastAsia="Times New Roman" w:hAnsi="Franklin Gothic Book" w:cs="Times New Roman"/>
      <w:color w:val="000000"/>
      <w:szCs w:val="20"/>
      <w:lang w:eastAsia="en-AU"/>
    </w:rPr>
  </w:style>
  <w:style w:type="paragraph" w:customStyle="1" w:styleId="BoxHeading">
    <w:name w:val="BoxHeading"/>
    <w:basedOn w:val="Normal"/>
    <w:rsid w:val="00D95E54"/>
    <w:pPr>
      <w:keepNext/>
      <w:pBdr>
        <w:top w:val="single" w:sz="4" w:space="4" w:color="000000"/>
        <w:left w:val="single" w:sz="4" w:space="4" w:color="000000"/>
        <w:bottom w:val="single" w:sz="4" w:space="4" w:color="000000"/>
        <w:right w:val="single" w:sz="4" w:space="4" w:color="000000"/>
      </w:pBdr>
      <w:spacing w:before="120" w:after="60"/>
    </w:pPr>
    <w:rPr>
      <w:rFonts w:ascii="Franklin Gothic Book" w:eastAsia="Times New Roman" w:hAnsi="Franklin Gothic Book" w:cs="Times New Roman"/>
      <w:b/>
      <w:bCs/>
      <w:color w:val="000000"/>
      <w:szCs w:val="20"/>
      <w:lang w:eastAsia="en-AU"/>
    </w:rPr>
  </w:style>
  <w:style w:type="paragraph" w:customStyle="1" w:styleId="BulletBeforeDash">
    <w:name w:val="BulletBeforeDash"/>
    <w:basedOn w:val="Normal"/>
    <w:rsid w:val="00D95E54"/>
    <w:pPr>
      <w:numPr>
        <w:numId w:val="4"/>
      </w:numPr>
      <w:spacing w:after="0"/>
    </w:pPr>
    <w:rPr>
      <w:rFonts w:ascii="Franklin Gothic Book" w:eastAsia="Times New Roman" w:hAnsi="Franklin Gothic Book" w:cs="Times New Roman"/>
      <w:color w:val="000000"/>
      <w:szCs w:val="20"/>
      <w:lang w:eastAsia="en-AU"/>
    </w:rPr>
  </w:style>
  <w:style w:type="paragraph" w:customStyle="1" w:styleId="Bullet">
    <w:name w:val="Bullet"/>
    <w:basedOn w:val="BulletBeforeDash"/>
    <w:qFormat/>
    <w:rsid w:val="00D95E54"/>
    <w:pPr>
      <w:spacing w:after="120"/>
    </w:pPr>
  </w:style>
  <w:style w:type="paragraph" w:customStyle="1" w:styleId="BulletLast">
    <w:name w:val="BulletLast"/>
    <w:basedOn w:val="Bullet"/>
    <w:qFormat/>
    <w:rsid w:val="00D95E54"/>
    <w:pPr>
      <w:spacing w:after="240"/>
    </w:pPr>
  </w:style>
  <w:style w:type="paragraph" w:customStyle="1" w:styleId="NormalBeforeBullet">
    <w:name w:val="NormalBeforeBullet"/>
    <w:basedOn w:val="Normal"/>
    <w:qFormat/>
    <w:rsid w:val="00D95E54"/>
    <w:pPr>
      <w:keepNext/>
      <w:spacing w:after="120"/>
    </w:pPr>
    <w:rPr>
      <w:rFonts w:ascii="Franklin Gothic Book" w:eastAsia="Times New Roman" w:hAnsi="Franklin Gothic Book" w:cs="Times New Roman"/>
      <w:color w:val="000000"/>
      <w:szCs w:val="20"/>
      <w:lang w:eastAsia="en-AU"/>
    </w:rPr>
  </w:style>
  <w:style w:type="paragraph" w:customStyle="1" w:styleId="TableText">
    <w:name w:val="Table Text"/>
    <w:basedOn w:val="Normal"/>
    <w:link w:val="TableTextChar"/>
    <w:qFormat/>
    <w:rsid w:val="00D95E54"/>
    <w:pPr>
      <w:spacing w:before="40" w:after="40"/>
      <w:jc w:val="both"/>
    </w:pPr>
    <w:rPr>
      <w:rFonts w:ascii="Arial Narrow" w:eastAsia="SimSun" w:hAnsi="Arial Narrow"/>
      <w:sz w:val="20"/>
    </w:rPr>
  </w:style>
  <w:style w:type="paragraph" w:customStyle="1" w:styleId="TableHeading">
    <w:name w:val="TableHeading"/>
    <w:basedOn w:val="Normal"/>
    <w:link w:val="TableHeadingChar"/>
    <w:qFormat/>
    <w:rsid w:val="00D95E54"/>
    <w:pPr>
      <w:keepNext/>
      <w:spacing w:before="120" w:after="60"/>
      <w:jc w:val="both"/>
    </w:pPr>
    <w:rPr>
      <w:rFonts w:ascii="Arial Narrow" w:eastAsia="SimSun" w:hAnsi="Arial Narrow"/>
      <w:b/>
      <w:sz w:val="20"/>
    </w:rPr>
  </w:style>
  <w:style w:type="paragraph" w:styleId="CommentText">
    <w:name w:val="annotation text"/>
    <w:aliases w:val="- H19,Commentaire,Comment Text Char Char,Comment Text Char1 Char Char,Comment Text Char Char Char Char,Comment Text Char Char1"/>
    <w:basedOn w:val="Normal"/>
    <w:link w:val="CommentTextChar"/>
    <w:uiPriority w:val="99"/>
    <w:unhideWhenUsed/>
    <w:rsid w:val="00D95E54"/>
    <w:pPr>
      <w:spacing w:before="120"/>
      <w:jc w:val="both"/>
    </w:pPr>
    <w:rPr>
      <w:rFonts w:ascii="Calibri" w:eastAsia="Times New Roman" w:hAnsi="Calibri" w:cs="Times New Roman"/>
      <w:color w:val="000000"/>
      <w:szCs w:val="24"/>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
    <w:basedOn w:val="DefaultParagraphFont"/>
    <w:link w:val="CommentText"/>
    <w:uiPriority w:val="99"/>
    <w:rsid w:val="00D95E54"/>
    <w:rPr>
      <w:rFonts w:ascii="Calibri" w:eastAsia="Times New Roman" w:hAnsi="Calibri" w:cs="Times New Roman"/>
      <w:color w:val="000000"/>
      <w:kern w:val="0"/>
      <w:szCs w:val="24"/>
      <w:lang w:eastAsia="en-AU"/>
      <w14:ligatures w14:val="none"/>
    </w:rPr>
  </w:style>
  <w:style w:type="character" w:styleId="CommentReference">
    <w:name w:val="annotation reference"/>
    <w:aliases w:val="Table Title,-H18"/>
    <w:basedOn w:val="DefaultParagraphFont"/>
    <w:uiPriority w:val="99"/>
    <w:unhideWhenUsed/>
    <w:qFormat/>
    <w:rsid w:val="00D95E54"/>
    <w:rPr>
      <w:sz w:val="16"/>
      <w:szCs w:val="16"/>
    </w:rPr>
  </w:style>
  <w:style w:type="character" w:customStyle="1" w:styleId="TableTextChar">
    <w:name w:val="Table Text Char"/>
    <w:basedOn w:val="DefaultParagraphFont"/>
    <w:link w:val="TableText"/>
    <w:rsid w:val="00D95E54"/>
    <w:rPr>
      <w:rFonts w:ascii="Arial Narrow" w:eastAsia="SimSun" w:hAnsi="Arial Narrow"/>
      <w:kern w:val="0"/>
      <w:sz w:val="20"/>
      <w14:ligatures w14:val="none"/>
    </w:rPr>
  </w:style>
  <w:style w:type="character" w:customStyle="1" w:styleId="TableHeadingChar">
    <w:name w:val="TableHeading Char"/>
    <w:link w:val="TableHeading"/>
    <w:rsid w:val="00D95E54"/>
    <w:rPr>
      <w:rFonts w:ascii="Arial Narrow" w:eastAsia="SimSun" w:hAnsi="Arial Narrow"/>
      <w:b/>
      <w:kern w:val="0"/>
      <w:sz w:val="20"/>
      <w14:ligatures w14:val="none"/>
    </w:rPr>
  </w:style>
  <w:style w:type="paragraph" w:styleId="BalloonText">
    <w:name w:val="Balloon Text"/>
    <w:basedOn w:val="Normal"/>
    <w:link w:val="BalloonTextChar"/>
    <w:uiPriority w:val="99"/>
    <w:semiHidden/>
    <w:unhideWhenUsed/>
    <w:rsid w:val="00D95E54"/>
    <w:pPr>
      <w:spacing w:before="120" w:after="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95E54"/>
    <w:rPr>
      <w:rFonts w:ascii="Segoe UI" w:eastAsia="SimSun"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D95E54"/>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D95E54"/>
    <w:rPr>
      <w:rFonts w:ascii="Calibri" w:eastAsia="Times New Roman" w:hAnsi="Calibri" w:cs="Times New Roman"/>
      <w:b/>
      <w:bCs/>
      <w:color w:val="000000"/>
      <w:kern w:val="0"/>
      <w:sz w:val="20"/>
      <w:szCs w:val="20"/>
      <w:lang w:eastAsia="en-AU"/>
      <w14:ligatures w14:val="non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qFormat/>
    <w:rsid w:val="00D95E54"/>
    <w:pPr>
      <w:keepNext/>
      <w:tabs>
        <w:tab w:val="left" w:pos="851"/>
      </w:tabs>
      <w:spacing w:before="360" w:after="120"/>
      <w:jc w:val="both"/>
    </w:pPr>
    <w:rPr>
      <w:rFonts w:ascii="Arial Narrow" w:eastAsia="Times New Roman" w:hAnsi="Arial Narrow" w:cs="Times New Roman"/>
      <w:b/>
      <w:bCs/>
      <w:sz w:val="20"/>
      <w:szCs w:val="20"/>
    </w:rPr>
  </w:style>
  <w:style w:type="table" w:customStyle="1" w:styleId="TableGrid1">
    <w:name w:val="Table Grid1"/>
    <w:basedOn w:val="TableNormal"/>
    <w:next w:val="TableGrid"/>
    <w:uiPriority w:val="59"/>
    <w:locked/>
    <w:rsid w:val="00D95E54"/>
    <w:pPr>
      <w:spacing w:before="40" w:after="40" w:line="240" w:lineRule="auto"/>
    </w:pPr>
    <w:rPr>
      <w:rFonts w:ascii="Arial Narrow" w:eastAsia="Times New Roman" w:hAnsi="Arial Narrow"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Symbol" w:hAnsi="Segoe UI Symbol"/>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basedOn w:val="DefaultParagraphFont"/>
    <w:link w:val="Caption"/>
    <w:rsid w:val="00D95E54"/>
    <w:rPr>
      <w:rFonts w:ascii="Arial Narrow" w:eastAsia="Times New Roman" w:hAnsi="Arial Narrow" w:cs="Times New Roman"/>
      <w:b/>
      <w:bCs/>
      <w:kern w:val="0"/>
      <w:sz w:val="20"/>
      <w:szCs w:val="20"/>
      <w14:ligatures w14:val="none"/>
    </w:rPr>
  </w:style>
  <w:style w:type="paragraph" w:customStyle="1" w:styleId="TableFigNote">
    <w:name w:val="TableFigNote"/>
    <w:basedOn w:val="Normal"/>
    <w:qFormat/>
    <w:rsid w:val="00D95E54"/>
    <w:pPr>
      <w:spacing w:before="120" w:after="360"/>
      <w:contextualSpacing/>
      <w:jc w:val="both"/>
    </w:pPr>
    <w:rPr>
      <w:rFonts w:ascii="Franklin Gothic Book" w:eastAsia="SimSun" w:hAnsi="Franklin Gothic Book"/>
      <w:sz w:val="18"/>
    </w:rPr>
  </w:style>
  <w:style w:type="paragraph" w:styleId="ListParagraph">
    <w:name w:val="List Paragraph"/>
    <w:aliases w:val="BulletPoints,Bullet point,List Paragraph1,List Paragraph11,Recommendation,Section heading,Numbered para,ES Paragraph,PBAC ES Paragraph,PBAC normal points,Bullet List,Figure_name,Numbered Indented Text,Bullet- First level,List NUmber,lp1,n"/>
    <w:basedOn w:val="Normal"/>
    <w:link w:val="ListParagraphChar"/>
    <w:uiPriority w:val="34"/>
    <w:qFormat/>
    <w:rsid w:val="00D95E54"/>
    <w:pPr>
      <w:numPr>
        <w:numId w:val="11"/>
      </w:numPr>
      <w:spacing w:before="120" w:after="0"/>
      <w:contextualSpacing/>
      <w:jc w:val="both"/>
    </w:pPr>
    <w:rPr>
      <w:rFonts w:ascii="Franklin Gothic Book" w:eastAsia="SimSun" w:hAnsi="Franklin Gothic Book"/>
    </w:rPr>
  </w:style>
  <w:style w:type="character" w:styleId="Strong">
    <w:name w:val="Strong"/>
    <w:basedOn w:val="DefaultParagraphFont"/>
    <w:uiPriority w:val="22"/>
    <w:qFormat/>
    <w:rsid w:val="00D95E54"/>
    <w:rPr>
      <w:b/>
      <w:bCs/>
    </w:rPr>
  </w:style>
  <w:style w:type="paragraph" w:customStyle="1" w:styleId="TableName">
    <w:name w:val="TableName"/>
    <w:basedOn w:val="Normal"/>
    <w:qFormat/>
    <w:rsid w:val="00D95E54"/>
    <w:pPr>
      <w:keepNext/>
      <w:spacing w:before="120"/>
      <w:ind w:left="1418" w:hanging="1418"/>
      <w:jc w:val="both"/>
    </w:pPr>
    <w:rPr>
      <w:rFonts w:ascii="Franklin Gothic Medium" w:eastAsia="SimSun" w:hAnsi="Franklin Gothic Medium"/>
    </w:rPr>
  </w:style>
  <w:style w:type="paragraph" w:customStyle="1" w:styleId="TableFigNoteHangingLast">
    <w:name w:val="TableFigNoteHanging Last"/>
    <w:basedOn w:val="TableFigNote"/>
    <w:qFormat/>
    <w:rsid w:val="00D95E54"/>
    <w:pPr>
      <w:ind w:left="142" w:hanging="142"/>
    </w:pPr>
  </w:style>
  <w:style w:type="paragraph" w:customStyle="1" w:styleId="TableTextCA">
    <w:name w:val="Table Text CA"/>
    <w:basedOn w:val="TableText"/>
    <w:qFormat/>
    <w:rsid w:val="00D95E54"/>
    <w:pPr>
      <w:jc w:val="center"/>
    </w:pPr>
  </w:style>
  <w:style w:type="paragraph" w:customStyle="1" w:styleId="TableHeadingCA">
    <w:name w:val="Table Heading CA"/>
    <w:basedOn w:val="TableHeading0"/>
    <w:qFormat/>
    <w:rsid w:val="00D95E54"/>
    <w:pPr>
      <w:jc w:val="center"/>
    </w:pPr>
  </w:style>
  <w:style w:type="paragraph" w:customStyle="1" w:styleId="TableHeading0">
    <w:name w:val="Table Heading"/>
    <w:basedOn w:val="Normal"/>
    <w:link w:val="TableHeadingChar0"/>
    <w:qFormat/>
    <w:rsid w:val="00D95E54"/>
    <w:pPr>
      <w:spacing w:before="120" w:after="60"/>
      <w:jc w:val="both"/>
    </w:pPr>
    <w:rPr>
      <w:rFonts w:ascii="Arial Narrow" w:eastAsia="SimSun" w:hAnsi="Arial Narrow"/>
      <w:b/>
      <w:sz w:val="20"/>
    </w:rPr>
  </w:style>
  <w:style w:type="paragraph" w:customStyle="1" w:styleId="TableFigNoteLast">
    <w:name w:val="TableFigNote Last"/>
    <w:basedOn w:val="TableFigNote"/>
    <w:qFormat/>
    <w:rsid w:val="00D95E54"/>
  </w:style>
  <w:style w:type="paragraph" w:customStyle="1" w:styleId="2ChapterText">
    <w:name w:val="2ChapterText"/>
    <w:basedOn w:val="Normal"/>
    <w:qFormat/>
    <w:rsid w:val="00D95E54"/>
    <w:pPr>
      <w:spacing w:before="120" w:after="160" w:line="259" w:lineRule="auto"/>
      <w:jc w:val="both"/>
    </w:pPr>
    <w:rPr>
      <w:rFonts w:ascii="Franklin Gothic Book" w:eastAsia="SimSun" w:hAnsi="Franklin Gothic Book"/>
      <w:shd w:val="clear" w:color="auto" w:fill="B4C6E7" w:themeFill="accent1" w:themeFillTint="66"/>
    </w:rPr>
  </w:style>
  <w:style w:type="paragraph" w:customStyle="1" w:styleId="1ExplanatoryText">
    <w:name w:val="1ExplanatoryText"/>
    <w:basedOn w:val="Normal"/>
    <w:qFormat/>
    <w:rsid w:val="00D95E54"/>
    <w:pPr>
      <w:shd w:val="clear" w:color="auto" w:fill="C5E0B3" w:themeFill="accent6" w:themeFillTint="66"/>
      <w:spacing w:before="120" w:after="160" w:line="259" w:lineRule="auto"/>
      <w:jc w:val="both"/>
    </w:pPr>
    <w:rPr>
      <w:rFonts w:ascii="Franklin Gothic Book" w:eastAsia="SimSun" w:hAnsi="Franklin Gothic Book"/>
    </w:rPr>
  </w:style>
  <w:style w:type="character" w:styleId="Hyperlink">
    <w:name w:val="Hyperlink"/>
    <w:basedOn w:val="DefaultParagraphFont"/>
    <w:uiPriority w:val="99"/>
    <w:unhideWhenUsed/>
    <w:rsid w:val="00D95E54"/>
    <w:rPr>
      <w:color w:val="0070C0"/>
      <w:u w:val="single"/>
    </w:rPr>
  </w:style>
  <w:style w:type="paragraph" w:styleId="TOC1">
    <w:name w:val="toc 1"/>
    <w:basedOn w:val="Normal"/>
    <w:next w:val="Normal"/>
    <w:autoRedefine/>
    <w:uiPriority w:val="39"/>
    <w:unhideWhenUsed/>
    <w:rsid w:val="00D95E54"/>
    <w:pPr>
      <w:tabs>
        <w:tab w:val="left" w:pos="1100"/>
        <w:tab w:val="left" w:pos="1531"/>
        <w:tab w:val="right" w:leader="dot" w:pos="9010"/>
      </w:tabs>
      <w:spacing w:before="120" w:after="100"/>
      <w:jc w:val="both"/>
    </w:pPr>
    <w:rPr>
      <w:rFonts w:eastAsia="SimSun"/>
      <w:b/>
    </w:rPr>
  </w:style>
  <w:style w:type="paragraph" w:styleId="TOC2">
    <w:name w:val="toc 2"/>
    <w:basedOn w:val="Normal"/>
    <w:next w:val="Normal"/>
    <w:autoRedefine/>
    <w:uiPriority w:val="39"/>
    <w:unhideWhenUsed/>
    <w:rsid w:val="00D95E54"/>
    <w:pPr>
      <w:tabs>
        <w:tab w:val="left" w:pos="1089"/>
        <w:tab w:val="right" w:leader="dot" w:pos="9010"/>
      </w:tabs>
      <w:spacing w:before="120" w:after="100"/>
      <w:jc w:val="both"/>
    </w:pPr>
    <w:rPr>
      <w:rFonts w:eastAsia="SimSun"/>
    </w:rPr>
  </w:style>
  <w:style w:type="paragraph" w:styleId="TOC3">
    <w:name w:val="toc 3"/>
    <w:basedOn w:val="Normal"/>
    <w:next w:val="Normal"/>
    <w:autoRedefine/>
    <w:uiPriority w:val="39"/>
    <w:unhideWhenUsed/>
    <w:rsid w:val="00D95E54"/>
    <w:pPr>
      <w:spacing w:before="120" w:after="100"/>
      <w:ind w:left="720"/>
      <w:jc w:val="both"/>
    </w:pPr>
    <w:rPr>
      <w:rFonts w:eastAsia="SimSun"/>
    </w:rPr>
  </w:style>
  <w:style w:type="character" w:styleId="FollowedHyperlink">
    <w:name w:val="FollowedHyperlink"/>
    <w:basedOn w:val="DefaultParagraphFont"/>
    <w:uiPriority w:val="99"/>
    <w:semiHidden/>
    <w:unhideWhenUsed/>
    <w:rsid w:val="00D95E54"/>
    <w:rPr>
      <w:color w:val="954F72" w:themeColor="followedHyperlink"/>
      <w:u w:val="single"/>
    </w:rPr>
  </w:style>
  <w:style w:type="paragraph" w:styleId="TOC9">
    <w:name w:val="toc 9"/>
    <w:basedOn w:val="Normal"/>
    <w:next w:val="Normal"/>
    <w:autoRedefine/>
    <w:uiPriority w:val="39"/>
    <w:unhideWhenUsed/>
    <w:rsid w:val="00D95E54"/>
    <w:pPr>
      <w:spacing w:before="120" w:after="100" w:line="259" w:lineRule="auto"/>
      <w:ind w:left="1760"/>
      <w:jc w:val="both"/>
    </w:pPr>
    <w:rPr>
      <w:rFonts w:ascii="Franklin Gothic Book" w:eastAsia="SimSun" w:hAnsi="Franklin Gothic Book"/>
    </w:rPr>
  </w:style>
  <w:style w:type="paragraph" w:styleId="Date">
    <w:name w:val="Date"/>
    <w:basedOn w:val="Normal"/>
    <w:next w:val="Normal"/>
    <w:link w:val="DateChar"/>
    <w:rsid w:val="00D95E54"/>
    <w:pPr>
      <w:spacing w:before="1134" w:after="800" w:line="259" w:lineRule="auto"/>
      <w:ind w:left="4536"/>
      <w:jc w:val="both"/>
    </w:pPr>
    <w:rPr>
      <w:rFonts w:ascii="Arial" w:eastAsia="Times New Roman" w:hAnsi="Arial" w:cs="Tahoma"/>
      <w:b/>
      <w:sz w:val="36"/>
      <w:lang w:eastAsia="en-AU"/>
    </w:rPr>
  </w:style>
  <w:style w:type="character" w:customStyle="1" w:styleId="DateChar">
    <w:name w:val="Date Char"/>
    <w:basedOn w:val="DefaultParagraphFont"/>
    <w:link w:val="Date"/>
    <w:rsid w:val="00D95E54"/>
    <w:rPr>
      <w:rFonts w:ascii="Arial" w:eastAsia="Times New Roman" w:hAnsi="Arial" w:cs="Tahoma"/>
      <w:b/>
      <w:kern w:val="0"/>
      <w:sz w:val="36"/>
      <w:lang w:eastAsia="en-AU"/>
      <w14:ligatures w14:val="none"/>
    </w:rPr>
  </w:style>
  <w:style w:type="paragraph" w:customStyle="1" w:styleId="PublicationTitle">
    <w:name w:val="PublicationTitle"/>
    <w:basedOn w:val="Normal"/>
    <w:rsid w:val="00D95E54"/>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D95E54"/>
    <w:pPr>
      <w:spacing w:before="1701" w:after="160" w:line="259" w:lineRule="auto"/>
      <w:ind w:left="4536"/>
      <w:jc w:val="both"/>
    </w:pPr>
    <w:rPr>
      <w:rFonts w:ascii="Arial" w:eastAsia="Times New Roman" w:hAnsi="Arial" w:cs="Tahoma"/>
      <w:b/>
      <w:sz w:val="32"/>
      <w:lang w:eastAsia="en-AU"/>
    </w:rPr>
  </w:style>
  <w:style w:type="paragraph" w:customStyle="1" w:styleId="Nnumberedlist">
    <w:name w:val="Nnumbered list"/>
    <w:basedOn w:val="Normal"/>
    <w:rsid w:val="00D95E54"/>
    <w:pPr>
      <w:numPr>
        <w:numId w:val="5"/>
      </w:numPr>
      <w:spacing w:before="120" w:after="160" w:line="259" w:lineRule="auto"/>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95E54"/>
    <w:pPr>
      <w:numPr>
        <w:numId w:val="0"/>
      </w:numPr>
      <w:pBdr>
        <w:bottom w:val="none" w:sz="0" w:space="0" w:color="auto"/>
      </w:pBdr>
      <w:spacing w:before="240" w:after="0" w:line="259" w:lineRule="auto"/>
      <w:jc w:val="both"/>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unhideWhenUsed/>
    <w:rsid w:val="00D95E54"/>
    <w:pPr>
      <w:spacing w:before="120" w:after="100" w:line="259" w:lineRule="auto"/>
      <w:ind w:left="660"/>
      <w:jc w:val="both"/>
    </w:pPr>
    <w:rPr>
      <w:rFonts w:eastAsiaTheme="minorEastAsia"/>
      <w:lang w:eastAsia="en-AU"/>
    </w:rPr>
  </w:style>
  <w:style w:type="paragraph" w:styleId="TOC5">
    <w:name w:val="toc 5"/>
    <w:basedOn w:val="Normal"/>
    <w:next w:val="Normal"/>
    <w:autoRedefine/>
    <w:uiPriority w:val="39"/>
    <w:unhideWhenUsed/>
    <w:rsid w:val="00D95E54"/>
    <w:pPr>
      <w:spacing w:before="120" w:after="100" w:line="259" w:lineRule="auto"/>
      <w:ind w:left="880"/>
      <w:jc w:val="both"/>
    </w:pPr>
    <w:rPr>
      <w:rFonts w:eastAsiaTheme="minorEastAsia"/>
      <w:lang w:eastAsia="en-AU"/>
    </w:rPr>
  </w:style>
  <w:style w:type="paragraph" w:styleId="TOC6">
    <w:name w:val="toc 6"/>
    <w:basedOn w:val="Normal"/>
    <w:next w:val="Normal"/>
    <w:autoRedefine/>
    <w:uiPriority w:val="39"/>
    <w:unhideWhenUsed/>
    <w:rsid w:val="00D95E54"/>
    <w:pPr>
      <w:spacing w:before="120" w:after="100" w:line="259" w:lineRule="auto"/>
      <w:ind w:left="1100"/>
      <w:jc w:val="both"/>
    </w:pPr>
    <w:rPr>
      <w:rFonts w:eastAsiaTheme="minorEastAsia"/>
      <w:lang w:eastAsia="en-AU"/>
    </w:rPr>
  </w:style>
  <w:style w:type="paragraph" w:styleId="TOC7">
    <w:name w:val="toc 7"/>
    <w:basedOn w:val="Normal"/>
    <w:next w:val="Normal"/>
    <w:autoRedefine/>
    <w:uiPriority w:val="39"/>
    <w:unhideWhenUsed/>
    <w:rsid w:val="00D95E54"/>
    <w:pPr>
      <w:spacing w:before="120" w:after="100" w:line="259" w:lineRule="auto"/>
      <w:ind w:left="1320"/>
      <w:jc w:val="both"/>
    </w:pPr>
    <w:rPr>
      <w:rFonts w:eastAsiaTheme="minorEastAsia"/>
      <w:lang w:eastAsia="en-AU"/>
    </w:rPr>
  </w:style>
  <w:style w:type="paragraph" w:styleId="TOC8">
    <w:name w:val="toc 8"/>
    <w:basedOn w:val="Normal"/>
    <w:next w:val="Normal"/>
    <w:autoRedefine/>
    <w:uiPriority w:val="39"/>
    <w:unhideWhenUsed/>
    <w:rsid w:val="00D95E54"/>
    <w:pPr>
      <w:spacing w:before="120" w:after="100" w:line="259" w:lineRule="auto"/>
      <w:ind w:left="1540"/>
      <w:jc w:val="both"/>
    </w:pPr>
    <w:rPr>
      <w:rFonts w:eastAsiaTheme="minorEastAsia"/>
      <w:lang w:eastAsia="en-AU"/>
    </w:rPr>
  </w:style>
  <w:style w:type="paragraph" w:customStyle="1" w:styleId="In-tableHeading">
    <w:name w:val="In-table Heading"/>
    <w:qFormat/>
    <w:rsid w:val="00D95E54"/>
    <w:pPr>
      <w:keepNext/>
      <w:spacing w:after="0" w:line="240" w:lineRule="auto"/>
    </w:pPr>
    <w:rPr>
      <w:rFonts w:ascii="Arial Narrow" w:eastAsiaTheme="majorEastAsia" w:hAnsi="Arial Narrow" w:cs="Times New Roman"/>
      <w:b/>
      <w:kern w:val="0"/>
      <w:sz w:val="20"/>
      <w:szCs w:val="24"/>
      <w:lang w:val="en-US" w:eastAsia="en-AU"/>
      <w14:ligatures w14:val="none"/>
    </w:rPr>
  </w:style>
  <w:style w:type="paragraph" w:customStyle="1" w:styleId="TableFigureFooter">
    <w:name w:val="Table/Figure Footer"/>
    <w:basedOn w:val="Normal"/>
    <w:link w:val="TableFigureFooterChar"/>
    <w:qFormat/>
    <w:rsid w:val="00D95E54"/>
    <w:pPr>
      <w:tabs>
        <w:tab w:val="left" w:pos="284"/>
      </w:tabs>
      <w:spacing w:before="120" w:after="360"/>
      <w:jc w:val="both"/>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D95E54"/>
    <w:rPr>
      <w:rFonts w:ascii="Arial Narrow" w:eastAsia="Times New Roman" w:hAnsi="Arial Narrow" w:cs="Arial"/>
      <w:snapToGrid w:val="0"/>
      <w:kern w:val="0"/>
      <w:sz w:val="18"/>
      <w:lang w:eastAsia="en-AU"/>
      <w14:ligatures w14:val="none"/>
    </w:rPr>
  </w:style>
  <w:style w:type="character" w:styleId="Emphasis">
    <w:name w:val="Emphasis"/>
    <w:uiPriority w:val="20"/>
    <w:qFormat/>
    <w:rsid w:val="00D95E54"/>
    <w:rPr>
      <w:i/>
      <w:iCs/>
    </w:rPr>
  </w:style>
  <w:style w:type="paragraph" w:styleId="Header">
    <w:name w:val="header"/>
    <w:basedOn w:val="Normal"/>
    <w:link w:val="HeaderChar"/>
    <w:uiPriority w:val="99"/>
    <w:unhideWhenUsed/>
    <w:rsid w:val="00D95E54"/>
    <w:pPr>
      <w:tabs>
        <w:tab w:val="center" w:pos="4513"/>
        <w:tab w:val="right" w:pos="9026"/>
      </w:tabs>
      <w:spacing w:before="120" w:after="0"/>
      <w:jc w:val="both"/>
    </w:pPr>
    <w:rPr>
      <w:rFonts w:ascii="Franklin Gothic Book" w:eastAsia="SimSun" w:hAnsi="Franklin Gothic Book"/>
    </w:rPr>
  </w:style>
  <w:style w:type="character" w:customStyle="1" w:styleId="HeaderChar">
    <w:name w:val="Header Char"/>
    <w:basedOn w:val="DefaultParagraphFont"/>
    <w:link w:val="Header"/>
    <w:uiPriority w:val="99"/>
    <w:rsid w:val="00D95E54"/>
    <w:rPr>
      <w:rFonts w:ascii="Franklin Gothic Book" w:eastAsia="SimSun" w:hAnsi="Franklin Gothic Book"/>
      <w:kern w:val="0"/>
      <w14:ligatures w14:val="none"/>
    </w:rPr>
  </w:style>
  <w:style w:type="paragraph" w:styleId="Footer">
    <w:name w:val="footer"/>
    <w:basedOn w:val="Normal"/>
    <w:link w:val="FooterChar"/>
    <w:uiPriority w:val="99"/>
    <w:unhideWhenUsed/>
    <w:rsid w:val="00D95E54"/>
    <w:pPr>
      <w:tabs>
        <w:tab w:val="center" w:pos="4513"/>
        <w:tab w:val="right" w:pos="9026"/>
      </w:tabs>
      <w:spacing w:before="120" w:after="0"/>
      <w:jc w:val="both"/>
    </w:pPr>
    <w:rPr>
      <w:rFonts w:ascii="Franklin Gothic Book" w:eastAsia="SimSun" w:hAnsi="Franklin Gothic Book"/>
    </w:rPr>
  </w:style>
  <w:style w:type="character" w:customStyle="1" w:styleId="FooterChar">
    <w:name w:val="Footer Char"/>
    <w:basedOn w:val="DefaultParagraphFont"/>
    <w:link w:val="Footer"/>
    <w:uiPriority w:val="99"/>
    <w:rsid w:val="00D95E54"/>
    <w:rPr>
      <w:rFonts w:ascii="Franklin Gothic Book" w:eastAsia="SimSun" w:hAnsi="Franklin Gothic Book"/>
      <w:kern w:val="0"/>
      <w14:ligatures w14:val="none"/>
    </w:rPr>
  </w:style>
  <w:style w:type="paragraph" w:customStyle="1" w:styleId="Tablenotes">
    <w:name w:val="Tablenotes"/>
    <w:basedOn w:val="Normal"/>
    <w:link w:val="TablenotesChar"/>
    <w:qFormat/>
    <w:rsid w:val="00D95E54"/>
    <w:pPr>
      <w:widowControl w:val="0"/>
      <w:spacing w:before="120" w:after="120"/>
      <w:contextualSpacing/>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D95E54"/>
    <w:rPr>
      <w:rFonts w:ascii="Arial Narrow" w:eastAsia="Times New Roman" w:hAnsi="Arial Narrow" w:cs="Arial"/>
      <w:snapToGrid w:val="0"/>
      <w:kern w:val="0"/>
      <w:sz w:val="18"/>
      <w:szCs w:val="20"/>
      <w14:ligatures w14:val="none"/>
    </w:rPr>
  </w:style>
  <w:style w:type="character" w:customStyle="1" w:styleId="ListParagraphChar">
    <w:name w:val="List Paragraph Char"/>
    <w:aliases w:val="BulletPoints Char,Bullet point Char,List Paragraph1 Char,List Paragraph11 Char,Recommendation Char,Section heading Char,Numbered para Char,ES Paragraph Char,PBAC ES Paragraph Char,PBAC normal points Char,Bullet List Char,lp1 Char"/>
    <w:basedOn w:val="DefaultParagraphFont"/>
    <w:link w:val="ListParagraph"/>
    <w:uiPriority w:val="34"/>
    <w:qFormat/>
    <w:rsid w:val="00D95E54"/>
    <w:rPr>
      <w:rFonts w:ascii="Franklin Gothic Book" w:eastAsia="SimSun" w:hAnsi="Franklin Gothic Book"/>
      <w:kern w:val="0"/>
      <w14:ligatures w14:val="none"/>
    </w:rPr>
  </w:style>
  <w:style w:type="table" w:customStyle="1" w:styleId="TableGridLight1">
    <w:name w:val="Table Grid Light1"/>
    <w:basedOn w:val="TableNormal"/>
    <w:uiPriority w:val="40"/>
    <w:rsid w:val="00D95E54"/>
    <w:pPr>
      <w:spacing w:after="0" w:line="240" w:lineRule="auto"/>
    </w:pPr>
    <w:rPr>
      <w:rFonts w:eastAsia="SimSun"/>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FigureHeading">
    <w:name w:val="Table/Figure Heading"/>
    <w:next w:val="In-tableHeading"/>
    <w:link w:val="TableFigureHeadingChar"/>
    <w:qFormat/>
    <w:rsid w:val="00D95E54"/>
    <w:pPr>
      <w:keepNext/>
      <w:spacing w:after="0" w:line="240" w:lineRule="auto"/>
    </w:pPr>
    <w:rPr>
      <w:rFonts w:ascii="Arial Narrow" w:eastAsiaTheme="majorEastAsia" w:hAnsi="Arial Narrow" w:cstheme="majorBidi"/>
      <w:b/>
      <w:bCs/>
      <w:kern w:val="0"/>
      <w:sz w:val="20"/>
      <w:szCs w:val="24"/>
      <w:lang w:eastAsia="en-AU"/>
      <w14:ligatures w14:val="none"/>
    </w:rPr>
  </w:style>
  <w:style w:type="character" w:customStyle="1" w:styleId="TableFigureHeadingChar">
    <w:name w:val="Table/Figure Heading Char"/>
    <w:basedOn w:val="DefaultParagraphFont"/>
    <w:link w:val="TableFigureHeading"/>
    <w:rsid w:val="00D95E54"/>
    <w:rPr>
      <w:rFonts w:ascii="Arial Narrow" w:eastAsiaTheme="majorEastAsia" w:hAnsi="Arial Narrow" w:cstheme="majorBidi"/>
      <w:b/>
      <w:bCs/>
      <w:kern w:val="0"/>
      <w:sz w:val="20"/>
      <w:szCs w:val="24"/>
      <w:lang w:eastAsia="en-AU"/>
      <w14:ligatures w14:val="none"/>
    </w:rPr>
  </w:style>
  <w:style w:type="paragraph" w:customStyle="1" w:styleId="Tabletext0">
    <w:name w:val="Table text"/>
    <w:basedOn w:val="Normal"/>
    <w:link w:val="TabletextChar0"/>
    <w:qFormat/>
    <w:rsid w:val="00D95E54"/>
    <w:pPr>
      <w:spacing w:before="40" w:after="40"/>
    </w:pPr>
    <w:rPr>
      <w:rFonts w:ascii="Arial Narrow" w:eastAsia="Times New Roman" w:hAnsi="Arial Narrow" w:cs="Tahoma"/>
      <w:sz w:val="20"/>
      <w:szCs w:val="20"/>
      <w:lang w:eastAsia="en-AU"/>
    </w:rPr>
  </w:style>
  <w:style w:type="character" w:customStyle="1" w:styleId="TabletextChar0">
    <w:name w:val="Table text Char"/>
    <w:link w:val="Tabletext0"/>
    <w:rsid w:val="00D95E54"/>
    <w:rPr>
      <w:rFonts w:ascii="Arial Narrow" w:eastAsia="Times New Roman" w:hAnsi="Arial Narrow" w:cs="Tahoma"/>
      <w:kern w:val="0"/>
      <w:sz w:val="20"/>
      <w:szCs w:val="20"/>
      <w:lang w:eastAsia="en-AU"/>
      <w14:ligatures w14:val="none"/>
    </w:rPr>
  </w:style>
  <w:style w:type="paragraph" w:customStyle="1" w:styleId="Tablenotes0">
    <w:name w:val="Table notes"/>
    <w:basedOn w:val="Normal"/>
    <w:link w:val="TablenotesChar0"/>
    <w:qFormat/>
    <w:rsid w:val="00D95E54"/>
    <w:pPr>
      <w:spacing w:before="120" w:line="259" w:lineRule="auto"/>
      <w:contextualSpacing/>
      <w:jc w:val="both"/>
    </w:pPr>
    <w:rPr>
      <w:rFonts w:ascii="Arial Narrow" w:eastAsia="SimSun" w:hAnsi="Arial Narrow" w:cs="Arial"/>
      <w:sz w:val="18"/>
    </w:rPr>
  </w:style>
  <w:style w:type="character" w:customStyle="1" w:styleId="TablenotesChar0">
    <w:name w:val="Table notes Char"/>
    <w:basedOn w:val="DefaultParagraphFont"/>
    <w:link w:val="Tablenotes0"/>
    <w:rsid w:val="00D95E54"/>
    <w:rPr>
      <w:rFonts w:ascii="Arial Narrow" w:eastAsia="SimSun" w:hAnsi="Arial Narrow" w:cs="Arial"/>
      <w:kern w:val="0"/>
      <w:sz w:val="18"/>
      <w14:ligatures w14:val="none"/>
    </w:rPr>
  </w:style>
  <w:style w:type="numbering" w:customStyle="1" w:styleId="ESSectionheading-numbered">
    <w:name w:val="ES. Section heading - numbered"/>
    <w:uiPriority w:val="99"/>
    <w:rsid w:val="00D95E54"/>
    <w:pPr>
      <w:numPr>
        <w:numId w:val="6"/>
      </w:numPr>
    </w:pPr>
  </w:style>
  <w:style w:type="paragraph" w:customStyle="1" w:styleId="2-SectionHeading">
    <w:name w:val="2-Section Heading"/>
    <w:qFormat/>
    <w:rsid w:val="00D95E54"/>
    <w:pPr>
      <w:keepNext/>
      <w:numPr>
        <w:numId w:val="7"/>
      </w:numPr>
      <w:spacing w:before="240" w:after="120" w:line="240" w:lineRule="auto"/>
      <w:outlineLvl w:val="0"/>
    </w:pPr>
    <w:rPr>
      <w:rFonts w:eastAsia="Times New Roman" w:cs="Arial"/>
      <w:b/>
      <w:snapToGrid w:val="0"/>
      <w:kern w:val="0"/>
      <w:sz w:val="32"/>
      <w:szCs w:val="32"/>
      <w:lang w:eastAsia="en-AU"/>
      <w14:ligatures w14:val="none"/>
    </w:rPr>
  </w:style>
  <w:style w:type="paragraph" w:customStyle="1" w:styleId="3-BodyText">
    <w:name w:val="3-Body Text"/>
    <w:basedOn w:val="ListParagraph"/>
    <w:qFormat/>
    <w:rsid w:val="00D95E54"/>
    <w:pPr>
      <w:numPr>
        <w:ilvl w:val="1"/>
        <w:numId w:val="7"/>
      </w:numPr>
      <w:tabs>
        <w:tab w:val="num" w:pos="360"/>
      </w:tabs>
      <w:spacing w:after="120"/>
      <w:contextualSpacing w:val="0"/>
    </w:pPr>
    <w:rPr>
      <w:rFonts w:asciiTheme="minorHAnsi" w:eastAsia="Times New Roman" w:hAnsiTheme="minorHAnsi" w:cs="Arial"/>
      <w:snapToGrid w:val="0"/>
      <w:sz w:val="24"/>
      <w:szCs w:val="24"/>
      <w:lang w:eastAsia="en-AU"/>
    </w:rPr>
  </w:style>
  <w:style w:type="paragraph" w:customStyle="1" w:styleId="BoxName0">
    <w:name w:val="Box Name"/>
    <w:basedOn w:val="Normal"/>
    <w:qFormat/>
    <w:rsid w:val="00D95E54"/>
    <w:pPr>
      <w:pBdr>
        <w:top w:val="single" w:sz="4" w:space="4" w:color="auto"/>
        <w:left w:val="single" w:sz="4" w:space="4" w:color="auto"/>
        <w:bottom w:val="single" w:sz="4" w:space="4" w:color="auto"/>
        <w:right w:val="single" w:sz="4" w:space="4" w:color="auto"/>
      </w:pBdr>
      <w:spacing w:before="120" w:after="120"/>
      <w:jc w:val="both"/>
    </w:pPr>
    <w:rPr>
      <w:rFonts w:ascii="Franklin Gothic Medium" w:eastAsia="SimSun" w:hAnsi="Franklin Gothic Medium"/>
      <w:sz w:val="21"/>
    </w:rPr>
  </w:style>
  <w:style w:type="character" w:customStyle="1" w:styleId="InstructionBulletpointChar">
    <w:name w:val="Instruction Bullet point Char"/>
    <w:basedOn w:val="DefaultParagraphFont"/>
    <w:link w:val="InstructionBulletpoint"/>
    <w:uiPriority w:val="3"/>
    <w:locked/>
    <w:rsid w:val="00D95E54"/>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D95E54"/>
    <w:pPr>
      <w:numPr>
        <w:numId w:val="8"/>
      </w:numPr>
      <w:spacing w:before="120" w:after="120"/>
      <w:jc w:val="both"/>
    </w:pPr>
    <w:rPr>
      <w:rFonts w:ascii="Calibri" w:hAnsi="Calibri" w:cs="Calibri"/>
      <w:color w:val="0070C0"/>
      <w:kern w:val="2"/>
      <w:sz w:val="24"/>
      <w14:ligatures w14:val="standardContextual"/>
    </w:rPr>
  </w:style>
  <w:style w:type="character" w:customStyle="1" w:styleId="TableFooterChar">
    <w:name w:val="Table Footer Char"/>
    <w:link w:val="TableFooter"/>
    <w:locked/>
    <w:rsid w:val="00D95E54"/>
    <w:rPr>
      <w:rFonts w:ascii="Arial Narrow" w:eastAsia="Times New Roman" w:hAnsi="Arial Narrow" w:cs="Arial"/>
      <w:sz w:val="18"/>
      <w:szCs w:val="20"/>
    </w:rPr>
  </w:style>
  <w:style w:type="paragraph" w:customStyle="1" w:styleId="TableFooter">
    <w:name w:val="Table Footer"/>
    <w:basedOn w:val="Normal"/>
    <w:link w:val="TableFooterChar"/>
    <w:qFormat/>
    <w:rsid w:val="00D95E54"/>
    <w:pPr>
      <w:widowControl w:val="0"/>
      <w:snapToGrid w:val="0"/>
      <w:spacing w:before="120"/>
      <w:contextualSpacing/>
      <w:jc w:val="both"/>
    </w:pPr>
    <w:rPr>
      <w:rFonts w:ascii="Arial Narrow" w:eastAsia="Times New Roman" w:hAnsi="Arial Narrow" w:cs="Arial"/>
      <w:kern w:val="2"/>
      <w:sz w:val="18"/>
      <w:szCs w:val="20"/>
      <w14:ligatures w14:val="standardContextual"/>
    </w:rPr>
  </w:style>
  <w:style w:type="table" w:customStyle="1" w:styleId="PBACTableStyle">
    <w:name w:val="PBAC Table Style"/>
    <w:basedOn w:val="TableGrid10"/>
    <w:uiPriority w:val="99"/>
    <w:rsid w:val="00D95E54"/>
    <w:pPr>
      <w:widowControl w:val="0"/>
      <w:spacing w:before="120" w:after="0" w:line="240" w:lineRule="auto"/>
      <w:contextualSpacing/>
      <w:jc w:val="center"/>
    </w:pPr>
    <w:rPr>
      <w:rFonts w:ascii="Arial Narrow" w:hAnsi="Arial Narrow"/>
      <w:color w:val="000000" w:themeColor="text1"/>
      <w:sz w:val="20"/>
      <w:szCs w:val="20"/>
      <w:lang w:val="en-NZ"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UI Symbol" w:hAnsi="Segoe UI Symbol"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UI Symbol" w:hAnsi="Segoe UI Symbol"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UI Symbol" w:hAnsi="Segoe UI Symbol"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95E54"/>
    <w:rPr>
      <w:rFonts w:eastAsia="SimSun"/>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D95E54"/>
    <w:rPr>
      <w:rFonts w:ascii="Times New Roman" w:hAnsi="Times New Roman" w:cs="Times New Roman"/>
      <w:sz w:val="24"/>
    </w:rPr>
  </w:style>
  <w:style w:type="paragraph" w:customStyle="1" w:styleId="MSACESParagraph">
    <w:name w:val="MSAC ES Paragraph"/>
    <w:link w:val="MSACESParagraphChar"/>
    <w:uiPriority w:val="1"/>
    <w:qFormat/>
    <w:rsid w:val="00D95E54"/>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D95E54"/>
    <w:pPr>
      <w:spacing w:before="120" w:after="0"/>
      <w:jc w:val="both"/>
    </w:pPr>
    <w:rPr>
      <w:rFonts w:eastAsia="SimSun"/>
      <w:sz w:val="18"/>
      <w:szCs w:val="20"/>
    </w:rPr>
  </w:style>
  <w:style w:type="character" w:customStyle="1" w:styleId="FootnoteTextChar">
    <w:name w:val="Footnote Text Char"/>
    <w:basedOn w:val="DefaultParagraphFont"/>
    <w:link w:val="FootnoteText"/>
    <w:uiPriority w:val="99"/>
    <w:rsid w:val="00D95E54"/>
    <w:rPr>
      <w:rFonts w:eastAsia="SimSun"/>
      <w:kern w:val="0"/>
      <w:sz w:val="18"/>
      <w:szCs w:val="20"/>
      <w14:ligatures w14:val="none"/>
    </w:rPr>
  </w:style>
  <w:style w:type="character" w:styleId="FootnoteReference">
    <w:name w:val="footnote reference"/>
    <w:basedOn w:val="DefaultParagraphFont"/>
    <w:uiPriority w:val="99"/>
    <w:unhideWhenUsed/>
    <w:rsid w:val="00D95E54"/>
    <w:rPr>
      <w:vertAlign w:val="superscript"/>
    </w:rPr>
  </w:style>
  <w:style w:type="paragraph" w:customStyle="1" w:styleId="TableFigNoteHanging">
    <w:name w:val="TableFigNoteHanging"/>
    <w:basedOn w:val="TableFigNoteHangingLast"/>
    <w:qFormat/>
    <w:rsid w:val="00D95E54"/>
    <w:pPr>
      <w:spacing w:after="0"/>
      <w:contextualSpacing w:val="0"/>
    </w:pPr>
    <w:rPr>
      <w:rFonts w:asciiTheme="minorHAnsi" w:hAnsiTheme="minorHAnsi"/>
    </w:rPr>
  </w:style>
  <w:style w:type="table" w:customStyle="1" w:styleId="TableGrid2">
    <w:name w:val="Table Grid2"/>
    <w:basedOn w:val="TableNormal"/>
    <w:next w:val="TableGrid"/>
    <w:uiPriority w:val="59"/>
    <w:rsid w:val="00D95E54"/>
    <w:pPr>
      <w:spacing w:after="240" w:line="240" w:lineRule="auto"/>
      <w:ind w:left="720"/>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D95E54"/>
    <w:pPr>
      <w:spacing w:before="120" w:after="100" w:afterAutospacing="1" w:line="259" w:lineRule="auto"/>
      <w:jc w:val="both"/>
    </w:pPr>
    <w:rPr>
      <w:rFonts w:ascii="Arial Narrow" w:eastAsia="Times New Roman" w:hAnsi="Arial Narrow" w:cs="Tahoma"/>
      <w:b/>
      <w:lang w:eastAsia="en-AU"/>
    </w:rPr>
  </w:style>
  <w:style w:type="paragraph" w:customStyle="1" w:styleId="TableText1">
    <w:name w:val="TableText"/>
    <w:basedOn w:val="Normal"/>
    <w:link w:val="TableTextChar1"/>
    <w:rsid w:val="00D95E54"/>
    <w:pPr>
      <w:keepNext/>
      <w:spacing w:before="40" w:after="40" w:line="259" w:lineRule="auto"/>
      <w:jc w:val="both"/>
    </w:pPr>
    <w:rPr>
      <w:rFonts w:ascii="Arial Narrow" w:eastAsia="Times New Roman" w:hAnsi="Arial Narrow" w:cs="Tahoma"/>
      <w:sz w:val="18"/>
      <w:lang w:eastAsia="en-AU"/>
    </w:rPr>
  </w:style>
  <w:style w:type="character" w:customStyle="1" w:styleId="TableTextChar1">
    <w:name w:val="TableText Char"/>
    <w:link w:val="TableText1"/>
    <w:rsid w:val="00D95E54"/>
    <w:rPr>
      <w:rFonts w:ascii="Arial Narrow" w:eastAsia="Times New Roman" w:hAnsi="Arial Narrow" w:cs="Tahoma"/>
      <w:kern w:val="0"/>
      <w:sz w:val="18"/>
      <w:lang w:eastAsia="en-AU"/>
      <w14:ligatures w14:val="none"/>
    </w:rPr>
  </w:style>
  <w:style w:type="paragraph" w:customStyle="1" w:styleId="References">
    <w:name w:val="References"/>
    <w:basedOn w:val="Normal"/>
    <w:rsid w:val="00D95E54"/>
    <w:pPr>
      <w:keepLines/>
      <w:spacing w:before="120" w:line="312" w:lineRule="auto"/>
      <w:ind w:left="1440" w:hanging="720"/>
      <w:jc w:val="both"/>
    </w:pPr>
    <w:rPr>
      <w:rFonts w:ascii="Calibri" w:eastAsia="Times New Roman" w:hAnsi="Calibri" w:cs="Tahoma"/>
      <w:lang w:eastAsia="en-AU"/>
    </w:rPr>
  </w:style>
  <w:style w:type="paragraph" w:styleId="Title">
    <w:name w:val="Title"/>
    <w:basedOn w:val="Normal"/>
    <w:next w:val="Normal"/>
    <w:link w:val="TitleChar"/>
    <w:qFormat/>
    <w:rsid w:val="00D95E54"/>
    <w:pPr>
      <w:spacing w:before="480"/>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D95E54"/>
    <w:rPr>
      <w:rFonts w:ascii="Arial" w:eastAsia="Times New Roman" w:hAnsi="Arial" w:cs="Arial"/>
      <w:b/>
      <w:bCs/>
      <w:color w:val="000080"/>
      <w:kern w:val="0"/>
      <w:sz w:val="36"/>
      <w:szCs w:val="36"/>
      <w:lang w:eastAsia="en-AU"/>
      <w14:ligatures w14:val="none"/>
    </w:rPr>
  </w:style>
  <w:style w:type="paragraph" w:customStyle="1" w:styleId="ESHeading1">
    <w:name w:val="ES Heading1"/>
    <w:basedOn w:val="Heading2"/>
    <w:next w:val="Normal"/>
    <w:qFormat/>
    <w:rsid w:val="00D95E54"/>
    <w:pPr>
      <w:numPr>
        <w:ilvl w:val="0"/>
        <w:numId w:val="9"/>
      </w:numPr>
      <w:spacing w:before="240"/>
      <w:jc w:val="both"/>
    </w:pPr>
  </w:style>
  <w:style w:type="paragraph" w:customStyle="1" w:styleId="NormalBeforeBullet0">
    <w:name w:val="Normal Before Bullet"/>
    <w:basedOn w:val="Normal"/>
    <w:qFormat/>
    <w:rsid w:val="00D95E54"/>
    <w:pPr>
      <w:keepNext/>
      <w:spacing w:before="120" w:after="120"/>
      <w:jc w:val="both"/>
    </w:pPr>
    <w:rPr>
      <w:rFonts w:eastAsia="SimSun"/>
    </w:rPr>
  </w:style>
  <w:style w:type="paragraph" w:customStyle="1" w:styleId="Dash">
    <w:name w:val="Dash"/>
    <w:basedOn w:val="Bullet"/>
    <w:qFormat/>
    <w:rsid w:val="00D95E54"/>
    <w:pPr>
      <w:numPr>
        <w:numId w:val="10"/>
      </w:numPr>
      <w:spacing w:before="120" w:after="40"/>
      <w:jc w:val="both"/>
    </w:pPr>
    <w:rPr>
      <w:rFonts w:asciiTheme="minorHAnsi" w:eastAsia="SimSun" w:hAnsiTheme="minorHAnsi" w:cstheme="minorBidi"/>
      <w:color w:val="auto"/>
      <w:szCs w:val="22"/>
      <w:lang w:eastAsia="en-US"/>
    </w:rPr>
  </w:style>
  <w:style w:type="character" w:customStyle="1" w:styleId="UnresolvedMention1">
    <w:name w:val="Unresolved Mention1"/>
    <w:basedOn w:val="DefaultParagraphFont"/>
    <w:uiPriority w:val="99"/>
    <w:semiHidden/>
    <w:unhideWhenUsed/>
    <w:rsid w:val="00D95E54"/>
    <w:rPr>
      <w:color w:val="605E5C"/>
      <w:shd w:val="clear" w:color="auto" w:fill="E1DFDD"/>
    </w:rPr>
  </w:style>
  <w:style w:type="paragraph" w:customStyle="1" w:styleId="Instructionaltext-afterfiguretable">
    <w:name w:val="Instructional text - after figure/table"/>
    <w:basedOn w:val="Instructionaltext"/>
    <w:qFormat/>
    <w:rsid w:val="00D95E54"/>
    <w:pPr>
      <w:spacing w:before="360"/>
      <w:jc w:val="both"/>
    </w:pPr>
    <w:rPr>
      <w:rFonts w:eastAsia="SimSun"/>
    </w:rPr>
  </w:style>
  <w:style w:type="paragraph" w:customStyle="1" w:styleId="Guidelinescross-ref">
    <w:name w:val="Guidelines cross-ref"/>
    <w:basedOn w:val="Normal"/>
    <w:qFormat/>
    <w:rsid w:val="00D95E54"/>
    <w:pPr>
      <w:spacing w:before="240" w:line="259" w:lineRule="auto"/>
      <w:jc w:val="both"/>
    </w:pPr>
    <w:rPr>
      <w:rFonts w:ascii="Franklin Gothic Book" w:eastAsia="SimSun" w:hAnsi="Franklin Gothic Book"/>
      <w:b/>
      <w:color w:val="0070C0"/>
      <w:sz w:val="24"/>
    </w:rPr>
  </w:style>
  <w:style w:type="paragraph" w:styleId="Revision">
    <w:name w:val="Revision"/>
    <w:hidden/>
    <w:uiPriority w:val="99"/>
    <w:semiHidden/>
    <w:rsid w:val="00D95E54"/>
    <w:pPr>
      <w:spacing w:after="0" w:line="240" w:lineRule="auto"/>
    </w:pPr>
    <w:rPr>
      <w:rFonts w:ascii="Franklin Gothic Book" w:eastAsia="SimSun" w:hAnsi="Franklin Gothic Book"/>
      <w:kern w:val="0"/>
      <w14:ligatures w14:val="none"/>
    </w:rPr>
  </w:style>
  <w:style w:type="character" w:customStyle="1" w:styleId="UnresolvedMention2">
    <w:name w:val="Unresolved Mention2"/>
    <w:basedOn w:val="DefaultParagraphFont"/>
    <w:uiPriority w:val="99"/>
    <w:semiHidden/>
    <w:unhideWhenUsed/>
    <w:rsid w:val="00D95E54"/>
    <w:rPr>
      <w:color w:val="605E5C"/>
      <w:shd w:val="clear" w:color="auto" w:fill="E1DFDD"/>
    </w:rPr>
  </w:style>
  <w:style w:type="character" w:customStyle="1" w:styleId="UnresolvedMention3">
    <w:name w:val="Unresolved Mention3"/>
    <w:basedOn w:val="DefaultParagraphFont"/>
    <w:uiPriority w:val="99"/>
    <w:unhideWhenUsed/>
    <w:rsid w:val="00D95E54"/>
    <w:rPr>
      <w:color w:val="605E5C"/>
      <w:shd w:val="clear" w:color="auto" w:fill="E1DFDD"/>
    </w:rPr>
  </w:style>
  <w:style w:type="character" w:customStyle="1" w:styleId="Mention1">
    <w:name w:val="Mention1"/>
    <w:basedOn w:val="DefaultParagraphFont"/>
    <w:uiPriority w:val="99"/>
    <w:unhideWhenUsed/>
    <w:rsid w:val="00D95E54"/>
    <w:rPr>
      <w:color w:val="2B579A"/>
      <w:shd w:val="clear" w:color="auto" w:fill="E1DFDD"/>
    </w:rPr>
  </w:style>
  <w:style w:type="paragraph" w:customStyle="1" w:styleId="Notes-TableFigure">
    <w:name w:val="Notes - Table/Figure"/>
    <w:basedOn w:val="Normal"/>
    <w:link w:val="Notes-TableFigureChar"/>
    <w:qFormat/>
    <w:rsid w:val="00D95E54"/>
    <w:pPr>
      <w:spacing w:before="120" w:after="360"/>
      <w:contextualSpacing/>
      <w:jc w:val="both"/>
    </w:pPr>
    <w:rPr>
      <w:rFonts w:ascii="Arial Narrow" w:eastAsia="SimSun" w:hAnsi="Arial Narrow"/>
      <w:sz w:val="18"/>
      <w:lang w:val="en-US"/>
    </w:rPr>
  </w:style>
  <w:style w:type="character" w:customStyle="1" w:styleId="Notes-TableFigureChar">
    <w:name w:val="Notes - Table/Figure Char"/>
    <w:basedOn w:val="DefaultParagraphFont"/>
    <w:link w:val="Notes-TableFigure"/>
    <w:rsid w:val="00D95E54"/>
    <w:rPr>
      <w:rFonts w:ascii="Arial Narrow" w:eastAsia="SimSun" w:hAnsi="Arial Narrow"/>
      <w:kern w:val="0"/>
      <w:sz w:val="18"/>
      <w:lang w:val="en-US"/>
      <w14:ligatures w14:val="none"/>
    </w:rPr>
  </w:style>
  <w:style w:type="paragraph" w:customStyle="1" w:styleId="Heading2execsummary">
    <w:name w:val="Heading 2 exec summary"/>
    <w:basedOn w:val="Heading2"/>
    <w:next w:val="Normal"/>
    <w:link w:val="Heading2execsummaryChar"/>
    <w:qFormat/>
    <w:rsid w:val="00D95E54"/>
    <w:pPr>
      <w:numPr>
        <w:ilvl w:val="0"/>
        <w:numId w:val="12"/>
      </w:numPr>
      <w:spacing w:before="0"/>
      <w:jc w:val="both"/>
    </w:pPr>
    <w:rPr>
      <w:lang w:val="en-US"/>
    </w:rPr>
  </w:style>
  <w:style w:type="character" w:customStyle="1" w:styleId="Heading2execsummaryChar">
    <w:name w:val="Heading 2 exec summary Char"/>
    <w:basedOn w:val="Heading2Char"/>
    <w:link w:val="Heading2execsummary"/>
    <w:rsid w:val="00D95E54"/>
    <w:rPr>
      <w:rFonts w:ascii="Franklin Gothic Medium" w:eastAsiaTheme="majorEastAsia" w:hAnsi="Franklin Gothic Medium" w:cstheme="majorBidi"/>
      <w:color w:val="000000" w:themeColor="text1"/>
      <w:kern w:val="0"/>
      <w:sz w:val="32"/>
      <w:szCs w:val="26"/>
      <w:lang w:val="en-US"/>
      <w14:ligatures w14:val="none"/>
    </w:rPr>
  </w:style>
  <w:style w:type="paragraph" w:customStyle="1" w:styleId="Heading3nonumbers">
    <w:name w:val="Heading 3 no numbers"/>
    <w:basedOn w:val="Heading3"/>
    <w:next w:val="Normal"/>
    <w:link w:val="Heading3nonumbersChar"/>
    <w:qFormat/>
    <w:rsid w:val="00D95E54"/>
    <w:pPr>
      <w:numPr>
        <w:ilvl w:val="0"/>
        <w:numId w:val="0"/>
      </w:numPr>
      <w:tabs>
        <w:tab w:val="clear" w:pos="851"/>
      </w:tabs>
      <w:jc w:val="both"/>
    </w:pPr>
    <w:rPr>
      <w:color w:val="000000" w:themeColor="text1"/>
      <w:lang w:val="en-US"/>
    </w:rPr>
  </w:style>
  <w:style w:type="character" w:customStyle="1" w:styleId="Heading3nonumbersChar">
    <w:name w:val="Heading 3 no numbers Char"/>
    <w:basedOn w:val="Heading3Char"/>
    <w:link w:val="Heading3nonumbers"/>
    <w:rsid w:val="00D95E54"/>
    <w:rPr>
      <w:rFonts w:ascii="Franklin Gothic Medium" w:eastAsiaTheme="majorEastAsia" w:hAnsi="Franklin Gothic Medium" w:cstheme="majorBidi"/>
      <w:color w:val="000000" w:themeColor="text1"/>
      <w:kern w:val="0"/>
      <w:sz w:val="24"/>
      <w:szCs w:val="24"/>
      <w:lang w:val="en-US"/>
      <w14:ligatures w14:val="none"/>
    </w:rPr>
  </w:style>
  <w:style w:type="paragraph" w:customStyle="1" w:styleId="BodyTextSTD">
    <w:name w:val="Body Text STD"/>
    <w:basedOn w:val="Normal"/>
    <w:link w:val="BodyTextSTDChar"/>
    <w:rsid w:val="00D95E54"/>
    <w:pPr>
      <w:spacing w:line="312" w:lineRule="auto"/>
      <w:jc w:val="both"/>
    </w:pPr>
    <w:rPr>
      <w:rFonts w:ascii="Calibri" w:eastAsia="Times New Roman" w:hAnsi="Calibri" w:cs="Tahoma"/>
      <w:lang w:eastAsia="en-AU"/>
    </w:rPr>
  </w:style>
  <w:style w:type="character" w:customStyle="1" w:styleId="BodyTextSTDChar">
    <w:name w:val="Body Text STD Char"/>
    <w:basedOn w:val="DefaultParagraphFont"/>
    <w:link w:val="BodyTextSTD"/>
    <w:rsid w:val="00D95E54"/>
    <w:rPr>
      <w:rFonts w:ascii="Calibri" w:eastAsia="Times New Roman" w:hAnsi="Calibri" w:cs="Tahoma"/>
      <w:kern w:val="0"/>
      <w:lang w:eastAsia="en-AU"/>
      <w14:ligatures w14:val="none"/>
    </w:rPr>
  </w:style>
  <w:style w:type="paragraph" w:customStyle="1" w:styleId="Rosscomments">
    <w:name w:val="Ross comments"/>
    <w:basedOn w:val="Normal"/>
    <w:qFormat/>
    <w:rsid w:val="00D95E54"/>
    <w:pPr>
      <w:spacing w:before="120" w:after="160" w:line="259" w:lineRule="auto"/>
      <w:jc w:val="both"/>
    </w:pPr>
    <w:rPr>
      <w:rFonts w:ascii="Franklin Gothic Book" w:eastAsia="SimSun" w:hAnsi="Franklin Gothic Book"/>
      <w:i/>
      <w:iCs/>
      <w:color w:val="FF0000"/>
    </w:rPr>
  </w:style>
  <w:style w:type="paragraph" w:customStyle="1" w:styleId="Style1">
    <w:name w:val="Style1"/>
    <w:basedOn w:val="Instructionaltext"/>
    <w:qFormat/>
    <w:rsid w:val="00D95E54"/>
    <w:pPr>
      <w:jc w:val="both"/>
    </w:pPr>
    <w:rPr>
      <w:rFonts w:eastAsia="SimSun"/>
      <w:color w:val="auto"/>
    </w:rPr>
  </w:style>
  <w:style w:type="character" w:customStyle="1" w:styleId="ilfuvd">
    <w:name w:val="ilfuvd"/>
    <w:basedOn w:val="DefaultParagraphFont"/>
    <w:rsid w:val="00D95E54"/>
  </w:style>
  <w:style w:type="character" w:customStyle="1" w:styleId="TableHeadingChar0">
    <w:name w:val="Table Heading Char"/>
    <w:basedOn w:val="DefaultParagraphFont"/>
    <w:link w:val="TableHeading0"/>
    <w:rsid w:val="00D95E54"/>
    <w:rPr>
      <w:rFonts w:ascii="Arial Narrow" w:eastAsia="SimSun" w:hAnsi="Arial Narrow"/>
      <w:b/>
      <w:kern w:val="0"/>
      <w:sz w:val="20"/>
      <w14:ligatures w14:val="none"/>
    </w:rPr>
  </w:style>
  <w:style w:type="table" w:styleId="TableGridLight">
    <w:name w:val="Grid Table Light"/>
    <w:basedOn w:val="TableNormal"/>
    <w:uiPriority w:val="40"/>
    <w:rsid w:val="00D95E54"/>
    <w:pPr>
      <w:spacing w:after="0" w:line="240" w:lineRule="auto"/>
    </w:pPr>
    <w:rPr>
      <w:rFonts w:eastAsia="SimSun"/>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D95E54"/>
    <w:pPr>
      <w:widowControl w:val="0"/>
      <w:autoSpaceDE w:val="0"/>
      <w:autoSpaceDN w:val="0"/>
      <w:spacing w:before="120" w:after="120" w:line="276" w:lineRule="auto"/>
      <w:jc w:val="both"/>
    </w:pPr>
    <w:rPr>
      <w:rFonts w:ascii="Franklin Gothic Book" w:eastAsia="SimSun" w:hAnsi="Franklin Gothic Book"/>
      <w:lang w:val="en-US"/>
    </w:rPr>
  </w:style>
  <w:style w:type="character" w:customStyle="1" w:styleId="BodyTextChar">
    <w:name w:val="Body Text Char"/>
    <w:basedOn w:val="DefaultParagraphFont"/>
    <w:link w:val="BodyText"/>
    <w:uiPriority w:val="1"/>
    <w:rsid w:val="00D95E54"/>
    <w:rPr>
      <w:rFonts w:ascii="Franklin Gothic Book" w:eastAsia="SimSun" w:hAnsi="Franklin Gothic Book"/>
      <w:kern w:val="0"/>
      <w:lang w:val="en-US"/>
      <w14:ligatures w14:val="none"/>
    </w:rPr>
  </w:style>
  <w:style w:type="character" w:customStyle="1" w:styleId="normaltextrun">
    <w:name w:val="normaltextrun"/>
    <w:basedOn w:val="DefaultParagraphFont"/>
    <w:rsid w:val="00D95E54"/>
  </w:style>
  <w:style w:type="paragraph" w:styleId="NormalWeb">
    <w:name w:val="Normal (Web)"/>
    <w:basedOn w:val="Normal"/>
    <w:uiPriority w:val="99"/>
    <w:semiHidden/>
    <w:unhideWhenUsed/>
    <w:rsid w:val="00D95E54"/>
    <w:pPr>
      <w:spacing w:before="120" w:after="160" w:line="259" w:lineRule="auto"/>
      <w:jc w:val="both"/>
    </w:pPr>
    <w:rPr>
      <w:rFonts w:ascii="Times New Roman" w:eastAsia="SimSun" w:hAnsi="Times New Roman" w:cs="Times New Roman"/>
      <w:sz w:val="24"/>
      <w:szCs w:val="24"/>
    </w:rPr>
  </w:style>
  <w:style w:type="paragraph" w:customStyle="1" w:styleId="EndNoteBibliographyTitle">
    <w:name w:val="EndNote Bibliography Title"/>
    <w:basedOn w:val="Normal"/>
    <w:link w:val="EndNoteBibliographyTitleChar"/>
    <w:rsid w:val="00D95E54"/>
    <w:pPr>
      <w:spacing w:before="120" w:after="0" w:line="259" w:lineRule="auto"/>
      <w:jc w:val="center"/>
    </w:pPr>
    <w:rPr>
      <w:rFonts w:ascii="Franklin Gothic Book" w:eastAsia="SimSun" w:hAnsi="Franklin Gothic Book"/>
      <w:noProof/>
      <w:lang w:val="en-US"/>
    </w:rPr>
  </w:style>
  <w:style w:type="character" w:customStyle="1" w:styleId="EndNoteBibliographyTitleChar">
    <w:name w:val="EndNote Bibliography Title Char"/>
    <w:basedOn w:val="DefaultParagraphFont"/>
    <w:link w:val="EndNoteBibliographyTitle"/>
    <w:rsid w:val="00D95E54"/>
    <w:rPr>
      <w:rFonts w:ascii="Franklin Gothic Book" w:eastAsia="SimSun" w:hAnsi="Franklin Gothic Book"/>
      <w:noProof/>
      <w:kern w:val="0"/>
      <w:lang w:val="en-US"/>
      <w14:ligatures w14:val="none"/>
    </w:rPr>
  </w:style>
  <w:style w:type="paragraph" w:customStyle="1" w:styleId="EndNoteBibliography">
    <w:name w:val="EndNote Bibliography"/>
    <w:basedOn w:val="Normal"/>
    <w:link w:val="EndNoteBibliographyChar"/>
    <w:rsid w:val="00D95E54"/>
    <w:pPr>
      <w:spacing w:before="120" w:after="160"/>
      <w:jc w:val="both"/>
    </w:pPr>
    <w:rPr>
      <w:rFonts w:ascii="Franklin Gothic Book" w:eastAsia="SimSun" w:hAnsi="Franklin Gothic Book"/>
      <w:noProof/>
      <w:lang w:val="en-US"/>
    </w:rPr>
  </w:style>
  <w:style w:type="character" w:customStyle="1" w:styleId="EndNoteBibliographyChar">
    <w:name w:val="EndNote Bibliography Char"/>
    <w:basedOn w:val="DefaultParagraphFont"/>
    <w:link w:val="EndNoteBibliography"/>
    <w:rsid w:val="00D95E54"/>
    <w:rPr>
      <w:rFonts w:ascii="Franklin Gothic Book" w:eastAsia="SimSun" w:hAnsi="Franklin Gothic Book"/>
      <w:noProof/>
      <w:kern w:val="0"/>
      <w:lang w:val="en-US"/>
      <w14:ligatures w14:val="none"/>
    </w:rPr>
  </w:style>
  <w:style w:type="character" w:customStyle="1" w:styleId="findhit">
    <w:name w:val="findhit"/>
    <w:basedOn w:val="DefaultParagraphFont"/>
    <w:rsid w:val="00D95E54"/>
  </w:style>
  <w:style w:type="character" w:customStyle="1" w:styleId="eop">
    <w:name w:val="eop"/>
    <w:basedOn w:val="DefaultParagraphFont"/>
    <w:rsid w:val="00D95E54"/>
  </w:style>
  <w:style w:type="character" w:customStyle="1" w:styleId="cf01">
    <w:name w:val="cf01"/>
    <w:basedOn w:val="DefaultParagraphFont"/>
    <w:rsid w:val="00D95E54"/>
    <w:rPr>
      <w:rFonts w:ascii="Segoe UI" w:hAnsi="Segoe UI" w:cs="Segoe UI" w:hint="default"/>
      <w:sz w:val="18"/>
      <w:szCs w:val="18"/>
      <w:shd w:val="clear" w:color="auto" w:fill="FFFFFF"/>
    </w:rPr>
  </w:style>
  <w:style w:type="paragraph" w:customStyle="1" w:styleId="paragraph">
    <w:name w:val="paragraph"/>
    <w:basedOn w:val="Normal"/>
    <w:rsid w:val="00D95E54"/>
    <w:pPr>
      <w:spacing w:before="100" w:beforeAutospacing="1" w:after="100" w:afterAutospacing="1"/>
      <w:jc w:val="both"/>
    </w:pPr>
    <w:rPr>
      <w:rFonts w:ascii="Times New Roman" w:eastAsia="Times New Roman" w:hAnsi="Times New Roman" w:cs="Times New Roman"/>
      <w:sz w:val="24"/>
      <w:szCs w:val="24"/>
      <w:lang w:val="en-GB" w:eastAsia="en-GB"/>
    </w:rPr>
  </w:style>
  <w:style w:type="table" w:customStyle="1" w:styleId="TableGrid3">
    <w:name w:val="Table Grid3"/>
    <w:basedOn w:val="TableNormal"/>
    <w:next w:val="TableGrid"/>
    <w:uiPriority w:val="39"/>
    <w:rsid w:val="00D95E54"/>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5E54"/>
    <w:pPr>
      <w:widowControl w:val="0"/>
      <w:spacing w:after="0"/>
      <w:jc w:val="both"/>
    </w:pPr>
    <w:rPr>
      <w:rFonts w:eastAsia="SimSun"/>
      <w:lang w:val="en-US"/>
    </w:rPr>
  </w:style>
  <w:style w:type="paragraph" w:customStyle="1" w:styleId="ql-indent-1">
    <w:name w:val="ql-indent-1"/>
    <w:basedOn w:val="Normal"/>
    <w:rsid w:val="00D95E54"/>
    <w:pPr>
      <w:spacing w:before="100" w:beforeAutospacing="1" w:after="100" w:afterAutospacing="1"/>
      <w:jc w:val="both"/>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D95E54"/>
  </w:style>
  <w:style w:type="character" w:styleId="Mention">
    <w:name w:val="Mention"/>
    <w:basedOn w:val="DefaultParagraphFont"/>
    <w:uiPriority w:val="99"/>
    <w:unhideWhenUsed/>
    <w:rsid w:val="00D95E54"/>
    <w:rPr>
      <w:color w:val="2B579A"/>
      <w:shd w:val="clear" w:color="auto" w:fill="E1DFDD"/>
    </w:rPr>
  </w:style>
  <w:style w:type="paragraph" w:customStyle="1" w:styleId="Default">
    <w:name w:val="Default"/>
    <w:rsid w:val="00D95E54"/>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D9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ac.gov.au/internet/msac/publishing.nsf/Content/Hom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F873-9344-4529-AD6B-297BBB9F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4914</Words>
  <Characters>27177</Characters>
  <Application>Microsoft Office Word</Application>
  <DocSecurity>0</DocSecurity>
  <Lines>603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31764</CharactersWithSpaces>
  <SharedDoc>false</SharedDoc>
  <HLinks>
    <vt:vector size="12" baseType="variant">
      <vt:variant>
        <vt:i4>6684716</vt:i4>
      </vt:variant>
      <vt:variant>
        <vt:i4>3</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2024-07-04T01:45:00Z</dcterms:created>
  <dcterms:modified xsi:type="dcterms:W3CDTF">2024-07-04T01:45:00Z</dcterms:modified>
</cp:coreProperties>
</file>