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BF3456">
      <w:pPr>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BF3456"/>
    <w:p w:rsidR="00C67DD2" w:rsidRPr="008D5885" w:rsidRDefault="00C67DD2" w:rsidP="00BF3456"/>
    <w:p w:rsidR="00BC1364" w:rsidRPr="007B32D1" w:rsidRDefault="00BF479B" w:rsidP="00BF3456">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BF3456"/>
    <w:p w:rsidR="00D43F48" w:rsidRPr="00D43F48" w:rsidRDefault="00BC1364" w:rsidP="00BF3456">
      <w:pPr>
        <w:jc w:val="center"/>
        <w:rPr>
          <w:rFonts w:ascii="Arial" w:hAnsi="Arial" w:cs="Arial"/>
          <w:b/>
          <w:bCs/>
          <w:i/>
          <w:color w:val="000080"/>
          <w:sz w:val="28"/>
          <w:szCs w:val="28"/>
        </w:rPr>
      </w:pPr>
      <w:r w:rsidRPr="007B32D1">
        <w:rPr>
          <w:rFonts w:ascii="Arial" w:hAnsi="Arial" w:cs="Arial"/>
          <w:b/>
          <w:bCs/>
          <w:i/>
          <w:color w:val="000080"/>
          <w:sz w:val="28"/>
          <w:szCs w:val="28"/>
        </w:rPr>
        <w:t>Application</w:t>
      </w:r>
      <w:r w:rsidR="00D43F48">
        <w:rPr>
          <w:rFonts w:ascii="Arial" w:hAnsi="Arial" w:cs="Arial"/>
          <w:b/>
          <w:bCs/>
          <w:i/>
          <w:color w:val="000080"/>
          <w:sz w:val="28"/>
          <w:szCs w:val="28"/>
        </w:rPr>
        <w:t xml:space="preserve"> 1162</w:t>
      </w:r>
      <w:r w:rsidRPr="007B32D1">
        <w:rPr>
          <w:rFonts w:ascii="Arial" w:hAnsi="Arial" w:cs="Arial"/>
          <w:b/>
          <w:bCs/>
          <w:i/>
          <w:color w:val="000080"/>
          <w:sz w:val="28"/>
          <w:szCs w:val="28"/>
        </w:rPr>
        <w:t xml:space="preserve"> – </w:t>
      </w:r>
      <w:r w:rsidR="00D43F48" w:rsidRPr="00D43F48">
        <w:rPr>
          <w:rFonts w:ascii="Arial" w:hAnsi="Arial" w:cs="Arial"/>
          <w:b/>
          <w:bCs/>
          <w:i/>
          <w:color w:val="000080"/>
          <w:sz w:val="28"/>
          <w:szCs w:val="28"/>
        </w:rPr>
        <w:t>Bone Mineral Density analyses using dual energy X-ray absorptiometry (DXA) for women in their 50</w:t>
      </w:r>
      <w:r w:rsidR="00D43F48" w:rsidRPr="00D43F48">
        <w:rPr>
          <w:rFonts w:ascii="Arial" w:hAnsi="Arial" w:cs="Arial"/>
          <w:b/>
          <w:bCs/>
          <w:i/>
          <w:color w:val="000080"/>
          <w:sz w:val="28"/>
          <w:szCs w:val="28"/>
          <w:vertAlign w:val="superscript"/>
        </w:rPr>
        <w:t>th</w:t>
      </w:r>
      <w:r w:rsidR="00D43F48" w:rsidRPr="00D43F48">
        <w:rPr>
          <w:rFonts w:ascii="Arial" w:hAnsi="Arial" w:cs="Arial"/>
          <w:b/>
          <w:bCs/>
          <w:i/>
          <w:color w:val="000080"/>
          <w:sz w:val="28"/>
          <w:szCs w:val="28"/>
        </w:rPr>
        <w:t xml:space="preserve"> year</w:t>
      </w:r>
    </w:p>
    <w:p w:rsidR="00BC1364" w:rsidRDefault="00BC1364" w:rsidP="00BF3456">
      <w:pPr>
        <w:jc w:val="center"/>
        <w:rPr>
          <w:szCs w:val="24"/>
        </w:rPr>
      </w:pPr>
    </w:p>
    <w:p w:rsidR="00BC1364" w:rsidRPr="00707064" w:rsidRDefault="00BC1364" w:rsidP="00BF3456">
      <w:pPr>
        <w:tabs>
          <w:tab w:val="left" w:pos="3600"/>
        </w:tabs>
        <w:ind w:left="3600" w:hanging="3600"/>
        <w:rPr>
          <w:szCs w:val="24"/>
        </w:rPr>
      </w:pPr>
    </w:p>
    <w:p w:rsidR="00BC1364" w:rsidRPr="00D90A38" w:rsidRDefault="00E77239" w:rsidP="00E77239">
      <w:pPr>
        <w:ind w:left="3600" w:hanging="3600"/>
        <w:rPr>
          <w:rFonts w:ascii="Arial" w:hAnsi="Arial" w:cs="Arial"/>
          <w:b/>
          <w:szCs w:val="24"/>
        </w:rPr>
      </w:pPr>
      <w:r>
        <w:rPr>
          <w:rFonts w:ascii="Arial" w:hAnsi="Arial" w:cs="Arial"/>
          <w:b/>
          <w:szCs w:val="24"/>
        </w:rPr>
        <w:t>Sponsor/Applicant/s:</w:t>
      </w:r>
      <w:r>
        <w:rPr>
          <w:rFonts w:ascii="Arial" w:hAnsi="Arial" w:cs="Arial"/>
          <w:b/>
          <w:szCs w:val="24"/>
        </w:rPr>
        <w:tab/>
      </w:r>
      <w:r w:rsidR="00BF3456">
        <w:rPr>
          <w:rFonts w:ascii="Arial" w:hAnsi="Arial" w:cs="Arial"/>
          <w:b/>
          <w:szCs w:val="24"/>
        </w:rPr>
        <w:t xml:space="preserve">Professor Christopher </w:t>
      </w:r>
      <w:proofErr w:type="spellStart"/>
      <w:r w:rsidR="00BF3456">
        <w:rPr>
          <w:rFonts w:ascii="Arial" w:hAnsi="Arial" w:cs="Arial"/>
          <w:b/>
          <w:szCs w:val="24"/>
        </w:rPr>
        <w:t>Nordin</w:t>
      </w:r>
      <w:proofErr w:type="spellEnd"/>
      <w:r>
        <w:rPr>
          <w:rFonts w:ascii="Arial" w:hAnsi="Arial" w:cs="Arial"/>
          <w:b/>
          <w:szCs w:val="24"/>
        </w:rPr>
        <w:t xml:space="preserve"> and Professor Richard Prince</w:t>
      </w:r>
    </w:p>
    <w:p w:rsidR="00BC1364" w:rsidRPr="00D90A38" w:rsidRDefault="00BC1364" w:rsidP="00BF3456">
      <w:pPr>
        <w:tabs>
          <w:tab w:val="left" w:pos="2265"/>
          <w:tab w:val="left" w:pos="3420"/>
          <w:tab w:val="left" w:pos="4320"/>
        </w:tabs>
        <w:rPr>
          <w:rFonts w:ascii="Arial" w:hAnsi="Arial" w:cs="Arial"/>
          <w:b/>
        </w:rPr>
      </w:pPr>
    </w:p>
    <w:p w:rsidR="00BC1364" w:rsidRPr="00D90A38" w:rsidRDefault="00BC1364" w:rsidP="00BF3456">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D43F48">
        <w:rPr>
          <w:rFonts w:ascii="Arial" w:hAnsi="Arial" w:cs="Arial"/>
          <w:b/>
          <w:szCs w:val="24"/>
        </w:rPr>
        <w:t>62</w:t>
      </w:r>
      <w:r w:rsidR="00D43F48" w:rsidRPr="00D43F48">
        <w:rPr>
          <w:rFonts w:ascii="Arial" w:hAnsi="Arial" w:cs="Arial"/>
          <w:b/>
          <w:szCs w:val="24"/>
          <w:vertAlign w:val="superscript"/>
        </w:rPr>
        <w:t>nd</w:t>
      </w:r>
      <w:r w:rsidRPr="00D90A38">
        <w:rPr>
          <w:rFonts w:ascii="Arial" w:hAnsi="Arial" w:cs="Arial"/>
          <w:b/>
          <w:szCs w:val="24"/>
        </w:rPr>
        <w:t xml:space="preserve"> Meeting, </w:t>
      </w:r>
      <w:r w:rsidR="00A27858">
        <w:rPr>
          <w:rFonts w:ascii="Arial" w:hAnsi="Arial" w:cs="Arial"/>
          <w:b/>
          <w:szCs w:val="24"/>
        </w:rPr>
        <w:t>26-28 November 2014</w:t>
      </w:r>
    </w:p>
    <w:p w:rsidR="00BC1364" w:rsidRDefault="00BC1364" w:rsidP="00BF3456">
      <w:pPr>
        <w:rPr>
          <w:szCs w:val="24"/>
        </w:rPr>
      </w:pPr>
    </w:p>
    <w:p w:rsidR="0041758C" w:rsidRDefault="006A0D97" w:rsidP="00BF3456">
      <w:pPr>
        <w:rPr>
          <w:szCs w:val="24"/>
        </w:rPr>
      </w:pPr>
      <w:r>
        <w:rPr>
          <w:szCs w:val="24"/>
        </w:rPr>
        <w:t xml:space="preserve">Context for decision: MSAC makes its advice in accordance with its Terms of Reference, see at </w:t>
      </w:r>
      <w:hyperlink r:id="rId10" w:tooltip="msac website link" w:history="1">
        <w:r w:rsidRPr="000A74FE">
          <w:rPr>
            <w:rStyle w:val="Hyperlink"/>
            <w:szCs w:val="24"/>
          </w:rPr>
          <w:t>www.msac.gov.au</w:t>
        </w:r>
      </w:hyperlink>
      <w:r w:rsidR="00932F56">
        <w:rPr>
          <w:rStyle w:val="Hyperlink"/>
          <w:szCs w:val="24"/>
        </w:rPr>
        <w:t>.</w:t>
      </w:r>
    </w:p>
    <w:p w:rsidR="0041758C" w:rsidRDefault="0041758C" w:rsidP="00BF3456">
      <w:pPr>
        <w:rPr>
          <w:szCs w:val="24"/>
        </w:rPr>
      </w:pPr>
    </w:p>
    <w:p w:rsidR="00F41812" w:rsidRDefault="00F41812" w:rsidP="00BF3456">
      <w:pPr>
        <w:rPr>
          <w:szCs w:val="24"/>
        </w:rPr>
      </w:pPr>
    </w:p>
    <w:p w:rsidR="003D7F29" w:rsidRPr="00D90A38" w:rsidRDefault="003D7F29" w:rsidP="00BF3456">
      <w:pPr>
        <w:pStyle w:val="Heading1"/>
        <w:numPr>
          <w:ilvl w:val="0"/>
          <w:numId w:val="23"/>
        </w:numPr>
        <w:ind w:hanging="720"/>
      </w:pPr>
      <w:r w:rsidRPr="00D90A38">
        <w:t>Purpose of application</w:t>
      </w:r>
      <w:r w:rsidR="00822C7E">
        <w:t xml:space="preserve"> and links to other applications</w:t>
      </w:r>
    </w:p>
    <w:p w:rsidR="00BF3456" w:rsidRDefault="00BF3456" w:rsidP="00BF3456">
      <w:pPr>
        <w:tabs>
          <w:tab w:val="left" w:pos="720"/>
          <w:tab w:val="left" w:pos="1140"/>
        </w:tabs>
      </w:pPr>
      <w:r w:rsidRPr="006243F2">
        <w:rPr>
          <w:szCs w:val="24"/>
        </w:rPr>
        <w:t xml:space="preserve">An application requesting MBS listing </w:t>
      </w:r>
      <w:r w:rsidRPr="002B6023">
        <w:t>of dual energy X-ray absorptiometry (DXA) for women in their 50</w:t>
      </w:r>
      <w:r w:rsidRPr="002B6023">
        <w:rPr>
          <w:vertAlign w:val="superscript"/>
        </w:rPr>
        <w:t>th</w:t>
      </w:r>
      <w:r w:rsidRPr="002B6023">
        <w:t xml:space="preserve"> year was received by the Department of Health in June 2011.</w:t>
      </w:r>
    </w:p>
    <w:p w:rsidR="00BF3456" w:rsidRDefault="00BF3456" w:rsidP="00BF3456"/>
    <w:p w:rsidR="00BF3456" w:rsidRPr="00BB418D" w:rsidRDefault="00BF3456" w:rsidP="00BF3456">
      <w:pPr>
        <w:tabs>
          <w:tab w:val="left" w:pos="720"/>
          <w:tab w:val="left" w:pos="1140"/>
        </w:tabs>
        <w:rPr>
          <w:szCs w:val="24"/>
        </w:rPr>
      </w:pPr>
      <w:r w:rsidRPr="002B6023">
        <w:t xml:space="preserve">The </w:t>
      </w:r>
      <w:r>
        <w:t>applicati</w:t>
      </w:r>
      <w:r w:rsidR="00E77239">
        <w:t>on proposed</w:t>
      </w:r>
      <w:r w:rsidRPr="002B6023">
        <w:t xml:space="preserve"> provision of a</w:t>
      </w:r>
      <w:r>
        <w:t>n</w:t>
      </w:r>
      <w:r w:rsidRPr="002B6023">
        <w:t xml:space="preserve"> MBS item number for </w:t>
      </w:r>
      <w:r>
        <w:t>femoral neck</w:t>
      </w:r>
      <w:r w:rsidRPr="002B6023">
        <w:t xml:space="preserve"> and</w:t>
      </w:r>
      <w:r>
        <w:t xml:space="preserve"> lumbar</w:t>
      </w:r>
      <w:r w:rsidRPr="002B6023">
        <w:t xml:space="preserve"> spine bone densitometry by </w:t>
      </w:r>
      <w:r>
        <w:t>DXA</w:t>
      </w:r>
      <w:r w:rsidRPr="002B6023">
        <w:t xml:space="preserve"> for all women in their 50</w:t>
      </w:r>
      <w:r w:rsidRPr="002B6023">
        <w:rPr>
          <w:vertAlign w:val="superscript"/>
        </w:rPr>
        <w:t>th</w:t>
      </w:r>
      <w:r w:rsidRPr="002B6023">
        <w:t xml:space="preserve"> year with a view to, at an early stage, identifying individuals with</w:t>
      </w:r>
      <w:r>
        <w:t xml:space="preserve"> a low or low-normal</w:t>
      </w:r>
      <w:r w:rsidRPr="002B6023">
        <w:t xml:space="preserve"> bone mineral density (BMD) </w:t>
      </w:r>
      <w:r>
        <w:t>(that is individuals with a negative T-score)</w:t>
      </w:r>
      <w:r w:rsidRPr="002B6023">
        <w:t xml:space="preserve"> who may be at</w:t>
      </w:r>
      <w:r>
        <w:t xml:space="preserve"> future</w:t>
      </w:r>
      <w:r w:rsidRPr="002B6023">
        <w:t xml:space="preserve"> increased fracture risk and who would be given appropriate</w:t>
      </w:r>
      <w:r>
        <w:t xml:space="preserve"> dietary and</w:t>
      </w:r>
      <w:r w:rsidRPr="002B6023">
        <w:t xml:space="preserve"> lifestyle advice</w:t>
      </w:r>
      <w:r>
        <w:t xml:space="preserve"> for maintaining bone density</w:t>
      </w:r>
      <w:r w:rsidRPr="002B6023">
        <w:t>.</w:t>
      </w:r>
    </w:p>
    <w:p w:rsidR="003D7F29" w:rsidRPr="00D90A38" w:rsidRDefault="003D7F29" w:rsidP="00BF3456">
      <w:pPr>
        <w:rPr>
          <w:color w:val="FF0000"/>
          <w:szCs w:val="24"/>
        </w:rPr>
      </w:pPr>
    </w:p>
    <w:p w:rsidR="00E977EE" w:rsidRDefault="00E977EE" w:rsidP="00BF3456">
      <w:pPr>
        <w:pStyle w:val="Heading1"/>
        <w:numPr>
          <w:ilvl w:val="0"/>
          <w:numId w:val="23"/>
        </w:numPr>
        <w:ind w:hanging="720"/>
      </w:pPr>
      <w:r w:rsidRPr="008D5885">
        <w:t>MSAC’s advice to the Minister</w:t>
      </w:r>
    </w:p>
    <w:p w:rsidR="00E977EE" w:rsidRDefault="00E977EE" w:rsidP="00BF3456">
      <w:pPr>
        <w:tabs>
          <w:tab w:val="left" w:pos="720"/>
        </w:tabs>
        <w:ind w:left="709" w:hanging="709"/>
        <w:rPr>
          <w:b/>
          <w:szCs w:val="24"/>
        </w:rPr>
      </w:pPr>
    </w:p>
    <w:p w:rsidR="00B01DB2" w:rsidRDefault="00B01DB2" w:rsidP="00B01DB2">
      <w:r>
        <w:t>After considering the available evidence in relation to safety, clinical effectiveness and cost-effectiveness, MSAC does not support public funding DXA screening for women aged 50 years. This was based on the following:</w:t>
      </w:r>
    </w:p>
    <w:p w:rsidR="00B01DB2" w:rsidRDefault="00B01DB2" w:rsidP="00B01DB2">
      <w:pPr>
        <w:pStyle w:val="ListParagraph"/>
        <w:numPr>
          <w:ilvl w:val="0"/>
          <w:numId w:val="29"/>
        </w:numPr>
      </w:pPr>
      <w:r>
        <w:t>There was no demonstrated advantage of DXA over other methods of fracture risk assessment such as the FRAX</w:t>
      </w:r>
      <w:r w:rsidRPr="0037715A">
        <w:rPr>
          <w:vertAlign w:val="superscript"/>
        </w:rPr>
        <w:t>®</w:t>
      </w:r>
      <w:r>
        <w:t xml:space="preserve"> online assessment tool</w:t>
      </w:r>
      <w:r w:rsidR="007D566D">
        <w:t>; and</w:t>
      </w:r>
    </w:p>
    <w:p w:rsidR="00B01DB2" w:rsidRDefault="00B01DB2" w:rsidP="00B01DB2">
      <w:pPr>
        <w:pStyle w:val="ListParagraph"/>
        <w:numPr>
          <w:ilvl w:val="0"/>
          <w:numId w:val="29"/>
        </w:numPr>
      </w:pPr>
      <w:r>
        <w:t>Currently Medicare benefits are not payable in respect of a health screening service.</w:t>
      </w:r>
    </w:p>
    <w:p w:rsidR="00E977EE" w:rsidRPr="000F14B4" w:rsidRDefault="00E977EE" w:rsidP="00BF3456">
      <w:pPr>
        <w:pStyle w:val="Default"/>
        <w:ind w:left="720"/>
        <w:rPr>
          <w:color w:val="FF0000"/>
        </w:rPr>
      </w:pPr>
    </w:p>
    <w:p w:rsidR="00550354" w:rsidRDefault="00550354" w:rsidP="00BF3456">
      <w:pPr>
        <w:pStyle w:val="Heading1"/>
        <w:numPr>
          <w:ilvl w:val="0"/>
          <w:numId w:val="23"/>
        </w:numPr>
        <w:ind w:hanging="720"/>
      </w:pPr>
      <w:r w:rsidRPr="008D5885">
        <w:t>Summary of consideration and rationale for MSAC’s advice</w:t>
      </w:r>
      <w:r w:rsidRPr="00707064">
        <w:t xml:space="preserve"> </w:t>
      </w:r>
    </w:p>
    <w:p w:rsidR="00550354" w:rsidRDefault="00550354" w:rsidP="00BF3456">
      <w:pPr>
        <w:rPr>
          <w:szCs w:val="24"/>
        </w:rPr>
      </w:pPr>
    </w:p>
    <w:p w:rsidR="00B01DB2" w:rsidRDefault="00B01DB2" w:rsidP="00B01DB2">
      <w:r>
        <w:t>MSAC noted that</w:t>
      </w:r>
      <w:r w:rsidRPr="00DD56D0">
        <w:t xml:space="preserve"> </w:t>
      </w:r>
      <w:r>
        <w:t>the application was for provision of a</w:t>
      </w:r>
      <w:r w:rsidR="007D566D">
        <w:t>n</w:t>
      </w:r>
      <w:r>
        <w:t xml:space="preserve"> MBS item number for femoral neck and lumbar spine bone densitometry by DXA for all peri-menopausal women in their 50th year in order to identify those with a low bone mineral density (BMD) at increased fracture risk and who would be given appropriate dietary and lifestyle advice. MSAC understood that </w:t>
      </w:r>
      <w:r>
        <w:lastRenderedPageBreak/>
        <w:t xml:space="preserve">this population was proposed because it is known </w:t>
      </w:r>
      <w:r w:rsidR="007D566D">
        <w:t xml:space="preserve">to </w:t>
      </w:r>
      <w:r>
        <w:t>be associated with an accelerated rate of bone loss.</w:t>
      </w:r>
    </w:p>
    <w:p w:rsidR="00B01DB2" w:rsidRDefault="00B01DB2" w:rsidP="00B01DB2"/>
    <w:p w:rsidR="00B01DB2" w:rsidRDefault="00B01DB2" w:rsidP="00B01DB2">
      <w:r>
        <w:t>MSAC considered that, at the time of testing, this target population would not have a combination of risk factors (</w:t>
      </w:r>
      <w:proofErr w:type="spellStart"/>
      <w:r>
        <w:t>eg</w:t>
      </w:r>
      <w:proofErr w:type="spellEnd"/>
      <w:r>
        <w:t xml:space="preserve"> being female and peri-menopausal) that would sufficiently differentiate the requested testing arrangements from a primary health screening service given that they are otherwise healthy. In this regard, MSAC noted that Section 19 (5) of the </w:t>
      </w:r>
      <w:r w:rsidRPr="00A442F7">
        <w:rPr>
          <w:i/>
        </w:rPr>
        <w:t>Health Insurance Act 1973</w:t>
      </w:r>
      <w:r>
        <w:t xml:space="preserve"> generally prevents payment of Medicare benefits for screening services stating:</w:t>
      </w:r>
    </w:p>
    <w:p w:rsidR="00B01DB2" w:rsidRDefault="00B01DB2" w:rsidP="00B01DB2">
      <w:r>
        <w:t xml:space="preserve">"Unless the Minister otherwise directs, a Medicare benefit is not payable in respect of a health screening service, that is to say, a professional service that is a medical examination or test that is a medical examination or test that is not reasonably required for the management of the medical condition of the patient." As the proposed item is essentially a screening test MSAC requested clarification about whether </w:t>
      </w:r>
      <w:r w:rsidR="006C2C8F">
        <w:t xml:space="preserve">funding of this item </w:t>
      </w:r>
      <w:r>
        <w:t>was outside the remit of the MBS.</w:t>
      </w:r>
    </w:p>
    <w:p w:rsidR="00B01DB2" w:rsidRDefault="00B01DB2" w:rsidP="00B01DB2"/>
    <w:p w:rsidR="00B01DB2" w:rsidRDefault="00B01DB2" w:rsidP="00B01DB2">
      <w:r>
        <w:t>MSAC noted that the comparator to the proposed DXA item is clinical risk assessment without DXA using, for example, the fracture risk assessment tool (FRAX</w:t>
      </w:r>
      <w:r w:rsidRPr="0037715A">
        <w:rPr>
          <w:vertAlign w:val="superscript"/>
        </w:rPr>
        <w:t>®</w:t>
      </w:r>
      <w:r>
        <w:t>) developed for online use by the World Health Organisation, but without inputting BMD data.</w:t>
      </w:r>
    </w:p>
    <w:p w:rsidR="00B01DB2" w:rsidRDefault="00B01DB2" w:rsidP="00B01DB2"/>
    <w:p w:rsidR="00B01DB2" w:rsidRDefault="00B01DB2" w:rsidP="00B01DB2">
      <w:r>
        <w:t>MSAC considered that DXA is safe, being non-invasive, and using low levels of radiation, the equivalent of two to four days of background radiation.</w:t>
      </w:r>
    </w:p>
    <w:p w:rsidR="00B01DB2" w:rsidRDefault="00B01DB2" w:rsidP="00B01DB2"/>
    <w:p w:rsidR="00B01DB2" w:rsidRDefault="00B01DB2" w:rsidP="00B01DB2">
      <w:r>
        <w:t>However, MSAC noted that there were no studies that assessed DXA screening and fracture rates over the long-term and that screening of BMD is not recommended in any international guideline. Therefore, the effectiveness of DXA screening in improving health outcomes was assessed based on three questions:</w:t>
      </w:r>
    </w:p>
    <w:p w:rsidR="00B01DB2" w:rsidRDefault="00B01DB2" w:rsidP="00B01DB2">
      <w:pPr>
        <w:pStyle w:val="ListParagraph"/>
        <w:numPr>
          <w:ilvl w:val="0"/>
          <w:numId w:val="30"/>
        </w:numPr>
      </w:pPr>
      <w:r>
        <w:t>How accurate is adding a DXA-based BMD result to generate a FRAX</w:t>
      </w:r>
      <w:r w:rsidRPr="0037715A">
        <w:rPr>
          <w:vertAlign w:val="superscript"/>
        </w:rPr>
        <w:t>®</w:t>
      </w:r>
      <w:r>
        <w:t xml:space="preserve"> score compared to generating a FRAX</w:t>
      </w:r>
      <w:r w:rsidRPr="0037715A">
        <w:rPr>
          <w:vertAlign w:val="superscript"/>
        </w:rPr>
        <w:t>®</w:t>
      </w:r>
      <w:r>
        <w:t xml:space="preserve"> score without inputting a BMD result?</w:t>
      </w:r>
    </w:p>
    <w:p w:rsidR="00B01DB2" w:rsidRDefault="00B01DB2" w:rsidP="00B01DB2">
      <w:pPr>
        <w:pStyle w:val="ListParagraph"/>
        <w:numPr>
          <w:ilvl w:val="0"/>
          <w:numId w:val="30"/>
        </w:numPr>
      </w:pPr>
      <w:r>
        <w:t>Does generating a DXA result influence lifestyle changes?</w:t>
      </w:r>
    </w:p>
    <w:p w:rsidR="00B01DB2" w:rsidRDefault="00B01DB2" w:rsidP="00B01DB2">
      <w:pPr>
        <w:pStyle w:val="ListParagraph"/>
        <w:numPr>
          <w:ilvl w:val="0"/>
          <w:numId w:val="30"/>
        </w:numPr>
      </w:pPr>
      <w:r>
        <w:t>Do these lifestyle changes improve health outcomes?</w:t>
      </w:r>
    </w:p>
    <w:p w:rsidR="00B01DB2" w:rsidRDefault="00B01DB2" w:rsidP="00B01DB2"/>
    <w:p w:rsidR="00B01DB2" w:rsidRDefault="00B01DB2" w:rsidP="00B01DB2">
      <w:r>
        <w:t>In terms of accuracy, MSAC noted that, from the studies presented (Cheung et al, 2012; Tamaki et al, 2011), BMD alone versus FRAX</w:t>
      </w:r>
      <w:r w:rsidRPr="0037715A">
        <w:rPr>
          <w:vertAlign w:val="superscript"/>
        </w:rPr>
        <w:t>®</w:t>
      </w:r>
      <w:r>
        <w:t xml:space="preserve"> without BMD versus FRAX</w:t>
      </w:r>
      <w:r w:rsidRPr="0037715A">
        <w:rPr>
          <w:vertAlign w:val="superscript"/>
        </w:rPr>
        <w:t>®</w:t>
      </w:r>
      <w:r>
        <w:t xml:space="preserve"> with BMD all had similar area under the receiver operating characteristic curve (AUROC) values and thus, the addition of BMD to FRAX</w:t>
      </w:r>
      <w:r w:rsidRPr="0037715A">
        <w:rPr>
          <w:vertAlign w:val="superscript"/>
        </w:rPr>
        <w:t>®</w:t>
      </w:r>
      <w:r>
        <w:t xml:space="preserve"> does not increase the predictive ability of the FRAX</w:t>
      </w:r>
      <w:r w:rsidRPr="0037715A">
        <w:rPr>
          <w:vertAlign w:val="superscript"/>
        </w:rPr>
        <w:t>®</w:t>
      </w:r>
      <w:r>
        <w:t xml:space="preserve"> model, particularly for individuals otherwise at low risk of fracture. These values were modest, varying between 0.64 and 0.73 for major osteoporotic fracture and between 0.82 and 0.90 for hip fracture. The studies were conducted in mainly older women (mean age of 62 years in Cheung et al, 2012 and 57 years in Tamaki et al, 2011), so would be more likely to detect an incremental predictive effect of adding BMD results than the target population of women in their 50th year. MSAC also considered that, although these studies were conducted in mainly Asian populations, their results in relative terms could be regarded as sufficiently applicable to the Australian context.</w:t>
      </w:r>
    </w:p>
    <w:p w:rsidR="00B01DB2" w:rsidRDefault="00B01DB2" w:rsidP="00B01DB2"/>
    <w:p w:rsidR="00B01DB2" w:rsidRDefault="00B01DB2" w:rsidP="00B01DB2">
      <w:r>
        <w:t>In terms of influencing lifestyle changes, MSAC noted that the addition of DXA screening results to questionnaires compared in a randomised trial (</w:t>
      </w:r>
      <w:proofErr w:type="spellStart"/>
      <w:r>
        <w:t>Sedluk</w:t>
      </w:r>
      <w:proofErr w:type="spellEnd"/>
      <w:r>
        <w:t xml:space="preserve"> et al, 2007 in 203 postmenopausal women) to a control group receiving questionnaires alone resulted in greater increases over the following year in women taking calcium and osteoporosis medications, but with no change in alcohol, smoking or exercise. Of these results, MSAC considered that the </w:t>
      </w:r>
      <w:r>
        <w:lastRenderedPageBreak/>
        <w:t>net clinical benefit to patients of increasing calcium intake remains unclear due to elevated cardiovascular risks, and the failure to improve exercise may be important because increasing exercise may particularly contribute to reducing fracture risk by reducing the risk of falling.</w:t>
      </w:r>
    </w:p>
    <w:p w:rsidR="00B01DB2" w:rsidRDefault="00B01DB2" w:rsidP="00B01DB2"/>
    <w:p w:rsidR="00B01DB2" w:rsidRDefault="00B01DB2" w:rsidP="00B01DB2">
      <w:r>
        <w:t>In terms of improved health outcomes, MSAC noted that there was no basis to estimate the extent of any improved health outcomes from any reported extent of lifestyle change.</w:t>
      </w:r>
    </w:p>
    <w:p w:rsidR="00B01DB2" w:rsidRDefault="00B01DB2" w:rsidP="00B01DB2"/>
    <w:p w:rsidR="00B01DB2" w:rsidRDefault="00B01DB2" w:rsidP="00B01DB2">
      <w:r>
        <w:t>MSAC noted that no economic evaluation was presented as there was no demonstrated advantage of DXA over other methods of risk assessment. The proposed fee was the same as all other DXA-BMD items already on the MBS, however, no justification was provided for these costs.</w:t>
      </w:r>
    </w:p>
    <w:p w:rsidR="00B01DB2" w:rsidRDefault="00B01DB2" w:rsidP="00B01DB2"/>
    <w:p w:rsidR="00B01DB2" w:rsidRDefault="00B01DB2" w:rsidP="00B01DB2">
      <w:r>
        <w:t>The expected volume of use is 40% of Australian females aged 50 years and the expected frequency of use is once per patient over their lifetime. MSAC noted that the budgetary impact depended on the uptake of the service, with 10% uptake translating to a total MBS impact of approximately $2 million in the first year and an 80% uptake translating to approximately $16 million.</w:t>
      </w:r>
    </w:p>
    <w:p w:rsidR="00550354" w:rsidRPr="00707064" w:rsidRDefault="00550354" w:rsidP="00BF3456">
      <w:pPr>
        <w:rPr>
          <w:szCs w:val="24"/>
        </w:rPr>
      </w:pPr>
    </w:p>
    <w:p w:rsidR="00BC1364" w:rsidRPr="00D90A38" w:rsidRDefault="00BC1364" w:rsidP="00BF3456">
      <w:pPr>
        <w:pStyle w:val="Heading1"/>
        <w:numPr>
          <w:ilvl w:val="0"/>
          <w:numId w:val="23"/>
        </w:numPr>
        <w:ind w:hanging="720"/>
      </w:pPr>
      <w:r w:rsidRPr="00D90A38">
        <w:t>Background</w:t>
      </w:r>
    </w:p>
    <w:p w:rsidR="00BF3456" w:rsidRDefault="00BF3456" w:rsidP="00BF3456">
      <w:pPr>
        <w:tabs>
          <w:tab w:val="left" w:pos="720"/>
          <w:tab w:val="left" w:pos="1140"/>
        </w:tabs>
        <w:rPr>
          <w:b/>
          <w:szCs w:val="24"/>
        </w:rPr>
      </w:pPr>
    </w:p>
    <w:p w:rsidR="00BF3456" w:rsidRDefault="00BF3456" w:rsidP="00BF3456">
      <w:pPr>
        <w:tabs>
          <w:tab w:val="left" w:pos="720"/>
          <w:tab w:val="left" w:pos="1140"/>
        </w:tabs>
      </w:pPr>
      <w:r w:rsidRPr="00817570">
        <w:rPr>
          <w:szCs w:val="24"/>
        </w:rPr>
        <w:t>MSAC has not previously considered</w:t>
      </w:r>
      <w:r>
        <w:rPr>
          <w:szCs w:val="24"/>
        </w:rPr>
        <w:t xml:space="preserve"> </w:t>
      </w:r>
      <w:r>
        <w:t>BMD</w:t>
      </w:r>
      <w:r w:rsidRPr="00D94652">
        <w:t xml:space="preserve"> </w:t>
      </w:r>
      <w:r>
        <w:t xml:space="preserve">measurement </w:t>
      </w:r>
      <w:r w:rsidRPr="00D94652">
        <w:t>using DXA</w:t>
      </w:r>
      <w:r>
        <w:t xml:space="preserve"> </w:t>
      </w:r>
      <w:r w:rsidRPr="002B6023">
        <w:t>for women in their 50</w:t>
      </w:r>
      <w:r w:rsidRPr="002B6023">
        <w:rPr>
          <w:vertAlign w:val="superscript"/>
        </w:rPr>
        <w:t>th</w:t>
      </w:r>
      <w:r w:rsidRPr="002B6023">
        <w:t xml:space="preserve"> year</w:t>
      </w:r>
      <w:r>
        <w:t xml:space="preserve">. </w:t>
      </w:r>
    </w:p>
    <w:p w:rsidR="00BF3456" w:rsidRDefault="00BF3456" w:rsidP="00BF3456">
      <w:pPr>
        <w:tabs>
          <w:tab w:val="left" w:pos="720"/>
          <w:tab w:val="left" w:pos="1140"/>
        </w:tabs>
      </w:pPr>
    </w:p>
    <w:p w:rsidR="00BF3456" w:rsidRDefault="00BF3456" w:rsidP="00BF3456">
      <w:pPr>
        <w:tabs>
          <w:tab w:val="left" w:pos="720"/>
          <w:tab w:val="left" w:pos="1140"/>
        </w:tabs>
      </w:pPr>
      <w:r w:rsidRPr="007B15AC">
        <w:t>Unconditional access to DXA scanning is currently available to persons aged 70 years and over (MBS item 12323).</w:t>
      </w:r>
      <w:r w:rsidR="00B86F47">
        <w:t xml:space="preserve">  </w:t>
      </w:r>
      <w:r>
        <w:t>Conditional access to DXA scanning is also currently available if a person meets certain criteria (MBS items 12306 to 12321).</w:t>
      </w:r>
    </w:p>
    <w:p w:rsidR="00E77239" w:rsidRDefault="00E77239" w:rsidP="00BF3456">
      <w:pPr>
        <w:tabs>
          <w:tab w:val="left" w:pos="720"/>
          <w:tab w:val="left" w:pos="1140"/>
        </w:tabs>
      </w:pPr>
    </w:p>
    <w:p w:rsidR="00E77239" w:rsidRPr="00BB418D" w:rsidRDefault="00E77239" w:rsidP="0029499F">
      <w:r>
        <w:t>Quantitative computed tomography (QCT) is also listed on the MBS for measuring BMD, for mostly the same indications.</w:t>
      </w:r>
    </w:p>
    <w:p w:rsidR="007B32D1" w:rsidRPr="007B32D1" w:rsidRDefault="007B32D1" w:rsidP="00BF3456"/>
    <w:p w:rsidR="00BC1364" w:rsidRPr="00D90A38" w:rsidRDefault="00BC1364" w:rsidP="00BF3456">
      <w:pPr>
        <w:pStyle w:val="Heading1"/>
        <w:numPr>
          <w:ilvl w:val="0"/>
          <w:numId w:val="23"/>
        </w:numPr>
        <w:ind w:hanging="720"/>
      </w:pPr>
      <w:r w:rsidRPr="00D90A38">
        <w:t>Prerequisites to implementation of any funding advice</w:t>
      </w:r>
    </w:p>
    <w:p w:rsidR="00BC1364" w:rsidRPr="00707064" w:rsidRDefault="00BC1364" w:rsidP="00BF3456">
      <w:pPr>
        <w:tabs>
          <w:tab w:val="left" w:pos="720"/>
          <w:tab w:val="left" w:pos="1140"/>
        </w:tabs>
        <w:ind w:left="706"/>
        <w:rPr>
          <w:b/>
          <w:szCs w:val="24"/>
        </w:rPr>
      </w:pPr>
    </w:p>
    <w:p w:rsidR="00932F56" w:rsidRDefault="00BF3456" w:rsidP="00BF3456">
      <w:r w:rsidRPr="00571D39">
        <w:t>DXA scanners are already approved for use in Australia through the TGA.</w:t>
      </w:r>
      <w:r w:rsidR="00932F56" w:rsidDel="00932F56">
        <w:t xml:space="preserve"> </w:t>
      </w:r>
    </w:p>
    <w:p w:rsidR="00932F56" w:rsidRDefault="00932F56" w:rsidP="00BF3456"/>
    <w:p w:rsidR="00BF3456" w:rsidRPr="00E77239" w:rsidRDefault="00BF3456" w:rsidP="00BF3456">
      <w:r>
        <w:t xml:space="preserve">Operators and technicians of DXA scanners are required to have accreditation in Australia. The </w:t>
      </w:r>
      <w:r w:rsidR="000E2C92" w:rsidRPr="000E2C92">
        <w:t xml:space="preserve">Australian and New Zealand Bone and Mineral Society </w:t>
      </w:r>
      <w:r w:rsidR="000E2C92">
        <w:t>(</w:t>
      </w:r>
      <w:r>
        <w:t>ANZBMS</w:t>
      </w:r>
      <w:r w:rsidR="000E2C92">
        <w:t>)</w:t>
      </w:r>
      <w:r>
        <w:t xml:space="preserve"> </w:t>
      </w:r>
      <w:proofErr w:type="gramStart"/>
      <w:r>
        <w:t>runs</w:t>
      </w:r>
      <w:proofErr w:type="gramEnd"/>
      <w:r w:rsidRPr="00B94AB7">
        <w:t xml:space="preserve"> courses which</w:t>
      </w:r>
      <w:r>
        <w:t>,</w:t>
      </w:r>
      <w:r w:rsidRPr="00B94AB7">
        <w:t xml:space="preserve"> upon completion</w:t>
      </w:r>
      <w:r>
        <w:t>,</w:t>
      </w:r>
      <w:r w:rsidRPr="00B94AB7">
        <w:t xml:space="preserve"> award participants with a Certificate of Completion in Clinical Bone Densitometry. </w:t>
      </w:r>
      <w:r w:rsidR="00B86F47">
        <w:t xml:space="preserve"> </w:t>
      </w:r>
      <w:r w:rsidRPr="00B94AB7">
        <w:t>This satisfies the requirements of radiation safety legislation in most Australian states</w:t>
      </w:r>
      <w:r w:rsidRPr="001D186F">
        <w:rPr>
          <w:color w:val="000000"/>
          <w:sz w:val="20"/>
          <w:shd w:val="clear" w:color="auto" w:fill="FFFFFF"/>
        </w:rPr>
        <w:t>.</w:t>
      </w:r>
    </w:p>
    <w:p w:rsidR="00BC1364" w:rsidRPr="00707064" w:rsidRDefault="00BC1364" w:rsidP="00BF3456">
      <w:pPr>
        <w:tabs>
          <w:tab w:val="left" w:pos="720"/>
          <w:tab w:val="left" w:pos="1140"/>
        </w:tabs>
        <w:rPr>
          <w:color w:val="0070C0"/>
          <w:szCs w:val="24"/>
        </w:rPr>
      </w:pPr>
    </w:p>
    <w:p w:rsidR="00B11BAA" w:rsidRDefault="00B11BAA">
      <w:pPr>
        <w:rPr>
          <w:rFonts w:ascii="Arial" w:hAnsi="Arial"/>
          <w:b/>
          <w:bCs/>
          <w:szCs w:val="28"/>
        </w:rPr>
      </w:pPr>
      <w:r>
        <w:br w:type="page"/>
      </w:r>
    </w:p>
    <w:p w:rsidR="00BC1364" w:rsidRPr="007B32D1" w:rsidRDefault="00BC1364" w:rsidP="00BF3456">
      <w:pPr>
        <w:pStyle w:val="Heading1"/>
        <w:numPr>
          <w:ilvl w:val="0"/>
          <w:numId w:val="23"/>
        </w:numPr>
        <w:ind w:hanging="720"/>
      </w:pPr>
      <w:r w:rsidRPr="007B32D1">
        <w:lastRenderedPageBreak/>
        <w:t>Proposal for public funding</w:t>
      </w:r>
    </w:p>
    <w:p w:rsidR="00BC1364" w:rsidRDefault="00BC1364" w:rsidP="00BF3456">
      <w:pPr>
        <w:tabs>
          <w:tab w:val="left" w:pos="720"/>
          <w:tab w:val="left" w:pos="1140"/>
        </w:tabs>
        <w:rPr>
          <w:sz w:val="23"/>
          <w:szCs w:val="23"/>
        </w:rPr>
      </w:pPr>
    </w:p>
    <w:p w:rsidR="00BF3456" w:rsidRDefault="00BF3456" w:rsidP="00BF3456">
      <w:pPr>
        <w:pStyle w:val="Caption"/>
        <w:keepNext/>
        <w:spacing w:after="0"/>
        <w:rPr>
          <w:rFonts w:ascii="Times New Roman" w:hAnsi="Times New Roman" w:cs="Times New Roman"/>
          <w:b w:val="0"/>
          <w:sz w:val="24"/>
          <w:szCs w:val="24"/>
        </w:rPr>
      </w:pPr>
      <w:r w:rsidRPr="009603CB">
        <w:rPr>
          <w:rFonts w:ascii="Times New Roman" w:hAnsi="Times New Roman" w:cs="Times New Roman"/>
          <w:b w:val="0"/>
          <w:sz w:val="24"/>
          <w:szCs w:val="24"/>
        </w:rPr>
        <w:t>The</w:t>
      </w:r>
      <w:r>
        <w:rPr>
          <w:rFonts w:ascii="Times New Roman" w:hAnsi="Times New Roman" w:cs="Times New Roman"/>
          <w:b w:val="0"/>
          <w:sz w:val="24"/>
          <w:szCs w:val="24"/>
        </w:rPr>
        <w:t xml:space="preserve"> application’s</w:t>
      </w:r>
      <w:r w:rsidRPr="009603CB">
        <w:rPr>
          <w:rFonts w:ascii="Times New Roman" w:hAnsi="Times New Roman" w:cs="Times New Roman"/>
          <w:b w:val="0"/>
          <w:sz w:val="24"/>
          <w:szCs w:val="24"/>
        </w:rPr>
        <w:t xml:space="preserve"> p</w:t>
      </w:r>
      <w:r>
        <w:rPr>
          <w:rFonts w:ascii="Times New Roman" w:hAnsi="Times New Roman" w:cs="Times New Roman"/>
          <w:b w:val="0"/>
          <w:sz w:val="24"/>
          <w:szCs w:val="24"/>
        </w:rPr>
        <w:t>roposed MBS item is shown below:</w:t>
      </w:r>
    </w:p>
    <w:p w:rsidR="00BF3456" w:rsidRPr="00B95589" w:rsidRDefault="00BF3456" w:rsidP="00BF3456">
      <w:pPr>
        <w:pStyle w:val="ListParagraph"/>
        <w:ind w:left="10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4"/>
      </w:tblGrid>
      <w:tr w:rsidR="00BF3456" w:rsidRPr="009F2E3B" w:rsidTr="00F52143">
        <w:tc>
          <w:tcPr>
            <w:tcW w:w="9134" w:type="dxa"/>
            <w:tcBorders>
              <w:top w:val="single" w:sz="4" w:space="0" w:color="auto"/>
              <w:left w:val="single" w:sz="4" w:space="0" w:color="auto"/>
              <w:bottom w:val="nil"/>
              <w:right w:val="single" w:sz="4" w:space="0" w:color="auto"/>
            </w:tcBorders>
          </w:tcPr>
          <w:p w:rsidR="00BF3456" w:rsidRPr="009F2E3B" w:rsidRDefault="00BF3456" w:rsidP="00BF3456">
            <w:pPr>
              <w:rPr>
                <w:rFonts w:asciiTheme="minorHAnsi" w:hAnsiTheme="minorHAnsi"/>
                <w:sz w:val="20"/>
                <w:lang w:eastAsia="ja-JP"/>
              </w:rPr>
            </w:pPr>
            <w:r w:rsidRPr="009F2E3B">
              <w:rPr>
                <w:rFonts w:asciiTheme="minorHAnsi" w:hAnsiTheme="minorHAnsi"/>
                <w:sz w:val="20"/>
                <w:lang w:eastAsia="ja-JP"/>
              </w:rPr>
              <w:t>Category 2 – DIAGNOSTIC PROCEDURES AND INVESTIGATIONS, Bone Densitometry</w:t>
            </w:r>
          </w:p>
        </w:tc>
      </w:tr>
      <w:tr w:rsidR="00BF3456" w:rsidRPr="009F2E3B" w:rsidTr="00F52143">
        <w:tc>
          <w:tcPr>
            <w:tcW w:w="9134" w:type="dxa"/>
            <w:tcBorders>
              <w:top w:val="nil"/>
            </w:tcBorders>
          </w:tcPr>
          <w:p w:rsidR="00BF3456" w:rsidRPr="009F2E3B" w:rsidRDefault="00BF3456" w:rsidP="00BF3456">
            <w:pPr>
              <w:rPr>
                <w:rFonts w:asciiTheme="minorHAnsi" w:hAnsiTheme="minorHAnsi"/>
                <w:b/>
                <w:sz w:val="20"/>
                <w:lang w:eastAsia="ja-JP"/>
              </w:rPr>
            </w:pPr>
            <w:r w:rsidRPr="009F2E3B">
              <w:rPr>
                <w:rFonts w:asciiTheme="minorHAnsi" w:hAnsiTheme="minorHAnsi"/>
                <w:b/>
                <w:sz w:val="20"/>
                <w:lang w:eastAsia="ja-JP"/>
              </w:rPr>
              <w:t>MBS XXXX</w:t>
            </w:r>
          </w:p>
          <w:p w:rsidR="00BF3456" w:rsidRPr="009F2E3B" w:rsidRDefault="00BF3456" w:rsidP="00BF3456">
            <w:pPr>
              <w:rPr>
                <w:rFonts w:asciiTheme="minorHAnsi" w:hAnsiTheme="minorHAnsi"/>
                <w:sz w:val="20"/>
                <w:lang w:eastAsia="en-US"/>
              </w:rPr>
            </w:pPr>
            <w:r w:rsidRPr="009F2E3B">
              <w:rPr>
                <w:rFonts w:asciiTheme="minorHAnsi" w:hAnsiTheme="minorHAnsi"/>
                <w:sz w:val="20"/>
                <w:lang w:eastAsia="en-US"/>
              </w:rPr>
              <w:t xml:space="preserve">Bone densitometry (performed by a specialist or consultant physician where the patient is referred by another medical practitioner), using </w:t>
            </w:r>
            <w:r w:rsidRPr="009F2E3B">
              <w:rPr>
                <w:rFonts w:asciiTheme="minorHAnsi" w:hAnsiTheme="minorHAnsi"/>
                <w:b/>
                <w:sz w:val="20"/>
                <w:lang w:eastAsia="en-US"/>
              </w:rPr>
              <w:t>dual energy X-ray absorptiometry</w:t>
            </w:r>
            <w:r w:rsidRPr="009F2E3B">
              <w:rPr>
                <w:rFonts w:asciiTheme="minorHAnsi" w:hAnsiTheme="minorHAnsi"/>
                <w:sz w:val="20"/>
                <w:lang w:eastAsia="en-US"/>
              </w:rPr>
              <w:t>, for the measurement of hip and spine bone mineral density in women in their 50th (or 55th or 60th) year.</w:t>
            </w:r>
          </w:p>
          <w:p w:rsidR="00BF3456" w:rsidRPr="009F2E3B" w:rsidRDefault="00BF3456" w:rsidP="00BF3456">
            <w:pPr>
              <w:rPr>
                <w:rFonts w:asciiTheme="minorHAnsi" w:hAnsiTheme="minorHAnsi"/>
                <w:sz w:val="20"/>
                <w:lang w:eastAsia="en-US"/>
              </w:rPr>
            </w:pPr>
            <w:r w:rsidRPr="009F2E3B">
              <w:rPr>
                <w:rFonts w:asciiTheme="minorHAnsi" w:hAnsiTheme="minorHAnsi"/>
                <w:sz w:val="20"/>
                <w:lang w:eastAsia="en-US"/>
              </w:rPr>
              <w:t>Measurement of 2 or more sites –1 service only – including interpretation and report; not being a service associated with a service to which item 12306, 12309, 12312, 12315, 12318, 12321 or 12323 applies (Ministerial Determination).</w:t>
            </w:r>
          </w:p>
          <w:p w:rsidR="00BF3456" w:rsidRPr="009F2E3B" w:rsidRDefault="00BF3456" w:rsidP="00BF3456">
            <w:pPr>
              <w:rPr>
                <w:rFonts w:asciiTheme="minorHAnsi" w:hAnsiTheme="minorHAnsi"/>
                <w:b/>
                <w:sz w:val="20"/>
                <w:lang w:eastAsia="en-US"/>
              </w:rPr>
            </w:pPr>
            <w:r w:rsidRPr="009F2E3B">
              <w:rPr>
                <w:rFonts w:asciiTheme="minorHAnsi" w:hAnsiTheme="minorHAnsi"/>
                <w:b/>
                <w:sz w:val="20"/>
                <w:lang w:eastAsia="en-US"/>
              </w:rPr>
              <w:t>Fee: $</w:t>
            </w:r>
            <w:r>
              <w:rPr>
                <w:rFonts w:asciiTheme="minorHAnsi" w:hAnsiTheme="minorHAnsi"/>
                <w:b/>
                <w:sz w:val="20"/>
                <w:lang w:eastAsia="en-US"/>
              </w:rPr>
              <w:t>102.40</w:t>
            </w:r>
            <w:r w:rsidRPr="009F2E3B">
              <w:rPr>
                <w:rFonts w:asciiTheme="minorHAnsi" w:hAnsiTheme="minorHAnsi"/>
                <w:b/>
                <w:sz w:val="20"/>
                <w:lang w:eastAsia="en-US"/>
              </w:rPr>
              <w:t xml:space="preserve"> Benefit: 75% = $</w:t>
            </w:r>
            <w:r>
              <w:rPr>
                <w:rFonts w:asciiTheme="minorHAnsi" w:hAnsiTheme="minorHAnsi"/>
                <w:b/>
                <w:sz w:val="20"/>
                <w:lang w:eastAsia="en-US"/>
              </w:rPr>
              <w:t>76.80</w:t>
            </w:r>
            <w:r w:rsidRPr="009F2E3B">
              <w:rPr>
                <w:rFonts w:asciiTheme="minorHAnsi" w:hAnsiTheme="minorHAnsi"/>
                <w:b/>
                <w:sz w:val="20"/>
                <w:lang w:eastAsia="en-US"/>
              </w:rPr>
              <w:t xml:space="preserve">   85% = $</w:t>
            </w:r>
            <w:r>
              <w:rPr>
                <w:rFonts w:asciiTheme="minorHAnsi" w:hAnsiTheme="minorHAnsi"/>
                <w:b/>
                <w:sz w:val="20"/>
                <w:lang w:eastAsia="en-US"/>
              </w:rPr>
              <w:t>87.05</w:t>
            </w:r>
          </w:p>
          <w:p w:rsidR="00BF3456" w:rsidRPr="009F2E3B" w:rsidRDefault="00BF3456" w:rsidP="00BF3456">
            <w:pPr>
              <w:rPr>
                <w:rFonts w:asciiTheme="minorHAnsi" w:hAnsiTheme="minorHAnsi"/>
                <w:sz w:val="20"/>
                <w:lang w:eastAsia="en-US"/>
              </w:rPr>
            </w:pPr>
          </w:p>
          <w:p w:rsidR="00BF3456" w:rsidRPr="009F2E3B" w:rsidRDefault="00BF3456" w:rsidP="00BF3456">
            <w:pPr>
              <w:rPr>
                <w:rFonts w:asciiTheme="minorHAnsi" w:hAnsiTheme="minorHAnsi"/>
                <w:sz w:val="20"/>
                <w:lang w:eastAsia="ja-JP"/>
              </w:rPr>
            </w:pPr>
            <w:r w:rsidRPr="009F2E3B">
              <w:rPr>
                <w:rFonts w:asciiTheme="minorHAnsi" w:hAnsiTheme="minorHAnsi"/>
                <w:sz w:val="20"/>
                <w:lang w:eastAsia="en-US"/>
              </w:rPr>
              <w:t>Other relevant notes from D1.27, Bone Densitometry – (Items 12306 to 12323)</w:t>
            </w:r>
          </w:p>
        </w:tc>
      </w:tr>
    </w:tbl>
    <w:p w:rsidR="00B01DB2" w:rsidRDefault="00B01DB2" w:rsidP="00BF3456">
      <w:pPr>
        <w:tabs>
          <w:tab w:val="left" w:pos="720"/>
        </w:tabs>
      </w:pPr>
    </w:p>
    <w:p w:rsidR="00BF3456" w:rsidRDefault="00BF3456" w:rsidP="00BF3456">
      <w:pPr>
        <w:tabs>
          <w:tab w:val="left" w:pos="720"/>
        </w:tabs>
      </w:pPr>
      <w:r>
        <w:t>As DXA scanning is already on the MBS for other indications, the proposed fee is the same as the existing MBS item numbers.</w:t>
      </w:r>
    </w:p>
    <w:p w:rsidR="00BF3456" w:rsidRPr="001D186F" w:rsidRDefault="00BF3456" w:rsidP="00BF3456"/>
    <w:p w:rsidR="00BF3456" w:rsidRDefault="00BF3456" w:rsidP="00BF3456">
      <w:r>
        <w:t>DXA scanning is proposed for the target population of women in their 50</w:t>
      </w:r>
      <w:r w:rsidRPr="00733B05">
        <w:rPr>
          <w:vertAlign w:val="superscript"/>
        </w:rPr>
        <w:t>th</w:t>
      </w:r>
      <w:r>
        <w:t xml:space="preserve"> year </w:t>
      </w:r>
      <w:r w:rsidRPr="002B6023">
        <w:t>who are not eligible for a DXA scan through existing MBS items</w:t>
      </w:r>
      <w:r>
        <w:t>.</w:t>
      </w:r>
      <w:r w:rsidR="00B86F47">
        <w:t xml:space="preserve">  </w:t>
      </w:r>
      <w:r w:rsidRPr="002B6023">
        <w:t>The choice of the 50</w:t>
      </w:r>
      <w:r w:rsidRPr="00733B05">
        <w:rPr>
          <w:vertAlign w:val="superscript"/>
        </w:rPr>
        <w:t>th</w:t>
      </w:r>
      <w:r w:rsidRPr="002B6023">
        <w:t xml:space="preserve"> year was proposed since </w:t>
      </w:r>
      <w:r>
        <w:t>this approximates to</w:t>
      </w:r>
      <w:r w:rsidRPr="002B6023">
        <w:t xml:space="preserve"> the average age of menopause in Australia</w:t>
      </w:r>
      <w:r>
        <w:t>.</w:t>
      </w:r>
    </w:p>
    <w:p w:rsidR="00BF3456" w:rsidRDefault="00BF3456" w:rsidP="00BF3456">
      <w:pPr>
        <w:pStyle w:val="ListParagraph"/>
        <w:rPr>
          <w:rFonts w:ascii="Arial" w:hAnsi="Arial" w:cs="Arial"/>
          <w:color w:val="3366FF"/>
          <w:szCs w:val="24"/>
        </w:rPr>
      </w:pPr>
    </w:p>
    <w:p w:rsidR="000E2C92" w:rsidRDefault="000E2C92" w:rsidP="000E2C92">
      <w:r>
        <w:t>Women</w:t>
      </w:r>
      <w:r w:rsidRPr="00C75B9D">
        <w:t xml:space="preserve"> di</w:t>
      </w:r>
      <w:r>
        <w:t xml:space="preserve">agnosed with osteoporosis (T-score ≤-2.5) </w:t>
      </w:r>
      <w:r w:rsidRPr="00C75B9D">
        <w:t>would be eligible for repeat testing as required under</w:t>
      </w:r>
      <w:r>
        <w:t xml:space="preserve"> MBS</w:t>
      </w:r>
      <w:r w:rsidRPr="00C75B9D">
        <w:t xml:space="preserve"> item 12306</w:t>
      </w:r>
      <w:r>
        <w:t>.</w:t>
      </w:r>
    </w:p>
    <w:p w:rsidR="000E2C92" w:rsidRDefault="000E2C92" w:rsidP="00BF3456">
      <w:pPr>
        <w:pStyle w:val="ListParagraph"/>
        <w:rPr>
          <w:rFonts w:ascii="Arial" w:hAnsi="Arial" w:cs="Arial"/>
          <w:color w:val="3366FF"/>
          <w:szCs w:val="24"/>
        </w:rPr>
      </w:pPr>
    </w:p>
    <w:p w:rsidR="00BF3456" w:rsidRDefault="00BF3456" w:rsidP="00BF3456">
      <w:r>
        <w:t>DXA scanning can be performed at any location which has a DXA mach</w:t>
      </w:r>
      <w:r w:rsidR="00B86F47">
        <w:t xml:space="preserve">ine and a qualified technician.  </w:t>
      </w:r>
      <w:r>
        <w:t xml:space="preserve">The scans should be critically assessed by the </w:t>
      </w:r>
      <w:proofErr w:type="spellStart"/>
      <w:r>
        <w:t>densitometrist</w:t>
      </w:r>
      <w:proofErr w:type="spellEnd"/>
      <w:r>
        <w:t xml:space="preserve"> and interpreting physician for abnormalities that can affect BMD measurements </w:t>
      </w:r>
      <w:r>
        <w:fldChar w:fldCharType="begin"/>
      </w:r>
      <w:r>
        <w:instrText xml:space="preserve"> ADDIN EN.CITE &lt;EndNote&gt;&lt;Cite&gt;&lt;Author&gt;El Maghraoui&lt;/Author&gt;&lt;Year&gt;2008&lt;/Year&gt;&lt;RecNum&gt;4&lt;/RecNum&gt;&lt;IDText&gt;605-17&lt;/IDText&gt;&lt;DisplayText&gt;(El Maghraoui &amp;amp; Roux 2008)&lt;/DisplayText&gt;&lt;record&gt;&lt;rec-number&gt;4&lt;/rec-number&gt;&lt;foreign-keys&gt;&lt;key app="EN" db-id="w9ftxpwra0fevjee59fp0decssz0xxrxdsrs"&gt;4&lt;/key&gt;&lt;/foreign-keys&gt;&lt;ref-type name="Journal Article"&gt;17&lt;/ref-type&gt;&lt;contributors&gt;&lt;authors&gt;&lt;author&gt;El Maghraoui, A.&lt;/author&gt;&lt;author&gt;Roux, C.&lt;/author&gt;&lt;/authors&gt;&lt;/contributors&gt;&lt;auth-address&gt;Rheumatology and Physical Rehabilitation Centre, Military Hospital Mohammed V, Rabat, PO Box: 1018, Morocco. aelmaghraoui@gmail.com&lt;/auth-address&gt;&lt;titles&gt;&lt;title&gt;DXA scanning in clinical practice&lt;/title&gt;&lt;secondary-title&gt;QJM&lt;/secondary-title&gt;&lt;alt-title&gt;QJM : monthly journal of the Association of Physicians&lt;/alt-title&gt;&lt;/titles&gt;&lt;periodical&gt;&lt;full-title&gt;QJM&lt;/full-title&gt;&lt;abbr-1&gt;QJM : monthly journal of the Association of Physicians&lt;/abbr-1&gt;&lt;/periodical&gt;&lt;alt-periodical&gt;&lt;full-title&gt;QJM&lt;/full-title&gt;&lt;abbr-1&gt;QJM : monthly journal of the Association of Physicians&lt;/abbr-1&gt;&lt;/alt-periodical&gt;&lt;pages&gt;605-17&lt;/pages&gt;&lt;volume&gt;101&lt;/volume&gt;&lt;number&gt;8&lt;/number&gt;&lt;keywords&gt;&lt;keyword&gt;Absorptiometry, Photon/*instrumentation&lt;/keyword&gt;&lt;keyword&gt;Bone Density/*physiology&lt;/keyword&gt;&lt;keyword&gt;Female&lt;/keyword&gt;&lt;keyword&gt;Fractures, Bone/*radiography&lt;/keyword&gt;&lt;keyword&gt;Humans&lt;/keyword&gt;&lt;keyword&gt;Male&lt;/keyword&gt;&lt;keyword&gt;Middle Aged&lt;/keyword&gt;&lt;keyword&gt;Osteoporosis, Postmenopausal/physiopathology/*radiography&lt;/keyword&gt;&lt;keyword&gt;Predictive Value of Tests&lt;/keyword&gt;&lt;keyword&gt;Reproducibility of Results&lt;/keyword&gt;&lt;keyword&gt;Risk Assessment&lt;/keyword&gt;&lt;/keywords&gt;&lt;dates&gt;&lt;year&gt;2008&lt;/year&gt;&lt;pub-dates&gt;&lt;date&gt;Aug&lt;/date&gt;&lt;/pub-dates&gt;&lt;/dates&gt;&lt;isbn&gt;1460-2393 (Electronic)&amp;#xD;1460-2393 (Linking)&lt;/isbn&gt;&lt;accession-num&gt;18334497&lt;/accession-num&gt;&lt;urls&gt;&lt;related-urls&gt;&lt;url&gt;http://www.ncbi.nlm.nih.gov/pubmed/18334497&lt;/url&gt;&lt;url&gt;http://qjmed.oxfordjournals.org/content/101/8/605.full.pdf&lt;/url&gt;&lt;/related-urls&gt;&lt;/urls&gt;&lt;electronic-resource-num&gt;10.1093/qjmed/hcn022&lt;/electronic-resource-num&gt;&lt;/record&gt;&lt;/Cite&gt;&lt;/EndNote&gt;</w:instrText>
      </w:r>
      <w:r>
        <w:fldChar w:fldCharType="separate"/>
      </w:r>
      <w:r>
        <w:rPr>
          <w:noProof/>
        </w:rPr>
        <w:t>(</w:t>
      </w:r>
      <w:hyperlink w:anchor="_ENREF_14" w:tooltip="El Maghraoui, 2008 #4" w:history="1">
        <w:r>
          <w:rPr>
            <w:noProof/>
          </w:rPr>
          <w:t>El Maghraoui &amp; Roux 2008</w:t>
        </w:r>
      </w:hyperlink>
      <w:r>
        <w:rPr>
          <w:noProof/>
        </w:rPr>
        <w:t>)</w:t>
      </w:r>
      <w:r>
        <w:fldChar w:fldCharType="end"/>
      </w:r>
      <w:r>
        <w:t>.</w:t>
      </w:r>
    </w:p>
    <w:p w:rsidR="00BC1364" w:rsidRPr="00707064" w:rsidRDefault="00BC1364" w:rsidP="00BF3456">
      <w:pPr>
        <w:tabs>
          <w:tab w:val="left" w:pos="720"/>
          <w:tab w:val="left" w:pos="1140"/>
        </w:tabs>
        <w:rPr>
          <w:color w:val="0070C0"/>
          <w:szCs w:val="24"/>
        </w:rPr>
      </w:pPr>
    </w:p>
    <w:p w:rsidR="00BC1364" w:rsidRPr="007B32D1" w:rsidRDefault="00BC1364" w:rsidP="00BF3456">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BF3456">
      <w:pPr>
        <w:rPr>
          <w:b/>
          <w:szCs w:val="24"/>
        </w:rPr>
      </w:pPr>
    </w:p>
    <w:p w:rsidR="00BF3456" w:rsidRPr="00794C7D" w:rsidRDefault="00B01DB2" w:rsidP="00BF3456">
      <w:pPr>
        <w:rPr>
          <w:szCs w:val="24"/>
        </w:rPr>
      </w:pPr>
      <w:r>
        <w:rPr>
          <w:szCs w:val="24"/>
        </w:rPr>
        <w:t>C</w:t>
      </w:r>
      <w:r w:rsidR="00BF3456">
        <w:rPr>
          <w:szCs w:val="24"/>
        </w:rPr>
        <w:t>onsumer</w:t>
      </w:r>
      <w:r>
        <w:rPr>
          <w:szCs w:val="24"/>
        </w:rPr>
        <w:t>s</w:t>
      </w:r>
      <w:r w:rsidR="00BF3456">
        <w:rPr>
          <w:szCs w:val="24"/>
        </w:rPr>
        <w:t xml:space="preserve"> noted that, not requiring </w:t>
      </w:r>
      <w:r w:rsidR="00BF3456" w:rsidRPr="00794C7D">
        <w:rPr>
          <w:szCs w:val="24"/>
        </w:rPr>
        <w:t>highly trained personnel to provide the proposed intervention</w:t>
      </w:r>
      <w:r w:rsidR="00BF3456">
        <w:rPr>
          <w:szCs w:val="24"/>
        </w:rPr>
        <w:t xml:space="preserve"> may </w:t>
      </w:r>
      <w:r w:rsidR="003C5C49">
        <w:rPr>
          <w:szCs w:val="24"/>
        </w:rPr>
        <w:t>lead to</w:t>
      </w:r>
      <w:r>
        <w:rPr>
          <w:szCs w:val="24"/>
        </w:rPr>
        <w:t xml:space="preserve"> improved access.  However, they </w:t>
      </w:r>
      <w:r w:rsidR="00BF3456">
        <w:rPr>
          <w:szCs w:val="24"/>
        </w:rPr>
        <w:t xml:space="preserve">were </w:t>
      </w:r>
      <w:r w:rsidR="00BF3456" w:rsidRPr="00794C7D">
        <w:rPr>
          <w:szCs w:val="24"/>
        </w:rPr>
        <w:t>concerned</w:t>
      </w:r>
      <w:r w:rsidR="003C5C49">
        <w:rPr>
          <w:szCs w:val="24"/>
        </w:rPr>
        <w:t xml:space="preserve"> </w:t>
      </w:r>
      <w:r w:rsidR="00BF3456" w:rsidRPr="00794C7D">
        <w:rPr>
          <w:szCs w:val="24"/>
        </w:rPr>
        <w:t xml:space="preserve">about who would identify ‘appropriately trained’ individuals. </w:t>
      </w:r>
    </w:p>
    <w:p w:rsidR="00BF3456" w:rsidRPr="00794C7D" w:rsidRDefault="00BF3456" w:rsidP="00BF3456">
      <w:pPr>
        <w:rPr>
          <w:szCs w:val="24"/>
        </w:rPr>
      </w:pPr>
    </w:p>
    <w:p w:rsidR="00BF3456" w:rsidRPr="00794C7D" w:rsidRDefault="00BF3456" w:rsidP="00BF3456">
      <w:pPr>
        <w:rPr>
          <w:szCs w:val="24"/>
        </w:rPr>
      </w:pPr>
      <w:r w:rsidRPr="00794C7D">
        <w:rPr>
          <w:szCs w:val="24"/>
        </w:rPr>
        <w:t xml:space="preserve">Consumers were also concerned that no long term impact or benefit regarding the proposed indication was provided and that consumer impact in general was not </w:t>
      </w:r>
      <w:r>
        <w:rPr>
          <w:szCs w:val="24"/>
        </w:rPr>
        <w:t>addressed</w:t>
      </w:r>
      <w:r w:rsidRPr="00794C7D">
        <w:rPr>
          <w:szCs w:val="24"/>
        </w:rPr>
        <w:t xml:space="preserve"> in the assessment report. </w:t>
      </w:r>
      <w:r w:rsidR="00B86F47">
        <w:rPr>
          <w:szCs w:val="24"/>
        </w:rPr>
        <w:t xml:space="preserve"> </w:t>
      </w:r>
      <w:r w:rsidRPr="00794C7D">
        <w:rPr>
          <w:szCs w:val="24"/>
        </w:rPr>
        <w:t xml:space="preserve">For example, travel costs and lack of productivity which consumers may incur </w:t>
      </w:r>
      <w:r>
        <w:rPr>
          <w:szCs w:val="24"/>
        </w:rPr>
        <w:t xml:space="preserve">were </w:t>
      </w:r>
      <w:r w:rsidRPr="00794C7D">
        <w:rPr>
          <w:szCs w:val="24"/>
        </w:rPr>
        <w:t xml:space="preserve">not </w:t>
      </w:r>
      <w:r>
        <w:rPr>
          <w:szCs w:val="24"/>
        </w:rPr>
        <w:t>addressed</w:t>
      </w:r>
      <w:r w:rsidRPr="00794C7D">
        <w:rPr>
          <w:szCs w:val="24"/>
        </w:rPr>
        <w:t xml:space="preserve">. </w:t>
      </w:r>
    </w:p>
    <w:p w:rsidR="00BF3456" w:rsidRPr="00794C7D" w:rsidRDefault="00BF3456" w:rsidP="00BF3456">
      <w:pPr>
        <w:rPr>
          <w:szCs w:val="24"/>
        </w:rPr>
      </w:pPr>
    </w:p>
    <w:p w:rsidR="00BF3456" w:rsidRPr="00794C7D" w:rsidRDefault="00BF3456" w:rsidP="00BF3456">
      <w:pPr>
        <w:rPr>
          <w:szCs w:val="24"/>
        </w:rPr>
      </w:pPr>
      <w:r>
        <w:rPr>
          <w:szCs w:val="24"/>
        </w:rPr>
        <w:t>Consumer</w:t>
      </w:r>
      <w:r w:rsidR="00B01DB2">
        <w:rPr>
          <w:szCs w:val="24"/>
        </w:rPr>
        <w:t>s</w:t>
      </w:r>
      <w:r>
        <w:rPr>
          <w:szCs w:val="24"/>
        </w:rPr>
        <w:t xml:space="preserve"> </w:t>
      </w:r>
      <w:r w:rsidRPr="00794C7D">
        <w:rPr>
          <w:szCs w:val="24"/>
        </w:rPr>
        <w:t xml:space="preserve">also questioned whether consumers would have repeat or combined </w:t>
      </w:r>
      <w:r>
        <w:rPr>
          <w:szCs w:val="24"/>
        </w:rPr>
        <w:t>scans</w:t>
      </w:r>
      <w:r w:rsidRPr="00794C7D">
        <w:rPr>
          <w:szCs w:val="24"/>
        </w:rPr>
        <w:t xml:space="preserve">. </w:t>
      </w:r>
    </w:p>
    <w:p w:rsidR="00BC1364" w:rsidRPr="00707064" w:rsidRDefault="00BC1364" w:rsidP="00BF3456">
      <w:pPr>
        <w:rPr>
          <w:b/>
          <w:szCs w:val="24"/>
        </w:rPr>
      </w:pPr>
    </w:p>
    <w:p w:rsidR="00BC1364" w:rsidRDefault="00BC1364" w:rsidP="00BF3456">
      <w:pPr>
        <w:pStyle w:val="Heading1"/>
        <w:numPr>
          <w:ilvl w:val="0"/>
          <w:numId w:val="23"/>
        </w:numPr>
        <w:ind w:hanging="720"/>
      </w:pPr>
      <w:r w:rsidRPr="00D90A38">
        <w:t>Proposed intervention’s place in clinical management</w:t>
      </w:r>
    </w:p>
    <w:p w:rsidR="00BC1364" w:rsidRDefault="00BC1364" w:rsidP="00BF3456">
      <w:pPr>
        <w:rPr>
          <w:color w:val="3366FF"/>
          <w:szCs w:val="24"/>
        </w:rPr>
      </w:pPr>
    </w:p>
    <w:p w:rsidR="0029499F" w:rsidRPr="00BB418D" w:rsidRDefault="0029499F" w:rsidP="0029499F">
      <w:pPr>
        <w:tabs>
          <w:tab w:val="left" w:pos="720"/>
          <w:tab w:val="left" w:pos="1140"/>
        </w:tabs>
        <w:rPr>
          <w:szCs w:val="24"/>
        </w:rPr>
      </w:pPr>
      <w:r>
        <w:t xml:space="preserve">Osteoporosis is a condition in which the bones become fragile and brittle, leading to a higher risk of fractures (breaks or cracks) than in normal bone.  Fractures due to osteoporosis (osteoporotic fractures) can lead to changes in muscle weakness, loss of height and bone deformity of the spine. </w:t>
      </w:r>
      <w:r w:rsidR="00B86F47">
        <w:t xml:space="preserve"> </w:t>
      </w:r>
      <w:r>
        <w:t>Fractures can lead to chronic pain, disability, loss of independence and even premature death.</w:t>
      </w:r>
      <w:r>
        <w:br/>
      </w:r>
      <w:r>
        <w:lastRenderedPageBreak/>
        <w:t>The prevalence of osteoporosis is high in women due to a decrease in oestrogen levels after menopause which results in higher levels of bone loss per year than in men.</w:t>
      </w:r>
    </w:p>
    <w:p w:rsidR="0029499F" w:rsidRDefault="0029499F" w:rsidP="0029499F"/>
    <w:p w:rsidR="0029499F" w:rsidRPr="00EF28F2" w:rsidRDefault="0029499F" w:rsidP="0029499F">
      <w:r>
        <w:t xml:space="preserve">DXA is a diagnostic procedure introduced into routine clinical practice as a method to measure bone mineral density (BMD). </w:t>
      </w:r>
      <w:r w:rsidR="00B86F47">
        <w:t xml:space="preserve"> </w:t>
      </w:r>
      <w:r>
        <w:t xml:space="preserve">Clinicians use DXA to diagnose osteopenia and osteoporosis and appropriately treat individuals to prevent fractures. </w:t>
      </w:r>
      <w:r w:rsidR="00B86F47">
        <w:t xml:space="preserve"> </w:t>
      </w:r>
      <w:r>
        <w:t xml:space="preserve">The DXA scan is used to generate a T-score, a comparison of a patient’s bone density to that of peak bone density for the patient’s gender and is the number of standard deviations above or below the normal young adult gender-specific BMD mean. </w:t>
      </w:r>
      <w:r w:rsidR="00B86F47">
        <w:t xml:space="preserve"> </w:t>
      </w:r>
      <w:r>
        <w:t>BMD is often measured at the lumbar spine (L2-L4), total hip and femoral neck.</w:t>
      </w:r>
    </w:p>
    <w:p w:rsidR="0029499F" w:rsidRDefault="0029499F" w:rsidP="0029499F">
      <w:pPr>
        <w:jc w:val="both"/>
      </w:pPr>
    </w:p>
    <w:p w:rsidR="0029499F" w:rsidRDefault="0029499F" w:rsidP="00B86F47">
      <w:r>
        <w:t>DXA would be used in combination with lifestyle and dietary advice to encourage women in their 50</w:t>
      </w:r>
      <w:r w:rsidRPr="008A7C76">
        <w:rPr>
          <w:vertAlign w:val="superscript"/>
        </w:rPr>
        <w:t>th</w:t>
      </w:r>
      <w:r>
        <w:t xml:space="preserve"> year with a BMD that is lower than the mean (T-score &lt; 0) to change their lifestyle to prevent future osteoporosis and minimal trauma fractures.</w:t>
      </w:r>
      <w:r w:rsidR="00B86F47">
        <w:t xml:space="preserve"> </w:t>
      </w:r>
      <w:r>
        <w:t xml:space="preserve"> As postmenopausal osteoporosis is both predictable and preventable, a change in lifestyle and diet at age 50 in those who are at risk of developing osteoporosis could significantly reduce the fracture burden.</w:t>
      </w:r>
    </w:p>
    <w:p w:rsidR="0029499F" w:rsidRDefault="0029499F" w:rsidP="00B86F47"/>
    <w:p w:rsidR="00E77239" w:rsidRDefault="0029499F" w:rsidP="00BF3456">
      <w:pPr>
        <w:sectPr w:rsidR="00E772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t>The proposed item number would be used in addition to the existing MBS items for DXA and QCT.</w:t>
      </w:r>
    </w:p>
    <w:p w:rsidR="00BF3456" w:rsidRDefault="00BF3456" w:rsidP="00BF3456">
      <w:r>
        <w:lastRenderedPageBreak/>
        <w:t>The figure shows t</w:t>
      </w:r>
      <w:r w:rsidRPr="004A4622">
        <w:t xml:space="preserve">he </w:t>
      </w:r>
      <w:r>
        <w:t xml:space="preserve">clinical management </w:t>
      </w:r>
      <w:r w:rsidRPr="004A4622">
        <w:t xml:space="preserve">algorithm </w:t>
      </w:r>
      <w:r>
        <w:t xml:space="preserve">for the proposed new intervention: </w:t>
      </w:r>
    </w:p>
    <w:p w:rsidR="00BF3456" w:rsidRDefault="00BF3456" w:rsidP="00BF3456">
      <w:pPr>
        <w:tabs>
          <w:tab w:val="left" w:pos="720"/>
          <w:tab w:val="left" w:pos="1140"/>
        </w:tabs>
        <w:rPr>
          <w:szCs w:val="24"/>
        </w:rPr>
      </w:pPr>
    </w:p>
    <w:p w:rsidR="00BF3456" w:rsidRPr="00BB418D" w:rsidRDefault="00BF3456" w:rsidP="00BF3456">
      <w:pPr>
        <w:tabs>
          <w:tab w:val="left" w:pos="720"/>
          <w:tab w:val="left" w:pos="1140"/>
        </w:tabs>
        <w:rPr>
          <w:szCs w:val="24"/>
        </w:rPr>
      </w:pPr>
      <w:r>
        <w:rPr>
          <w:noProof/>
        </w:rPr>
        <mc:AlternateContent>
          <mc:Choice Requires="wpc">
            <w:drawing>
              <wp:inline distT="0" distB="0" distL="0" distR="0" wp14:anchorId="4A59844C" wp14:editId="67352F93">
                <wp:extent cx="5731510" cy="2960863"/>
                <wp:effectExtent l="0" t="0" r="3774440" b="1859280"/>
                <wp:docPr id="135" name="Canvas 2" descr="Proposed clinical management algorithm for osteoporosis management of women in their 50th year" title="Proposed clinical management algorithm for osteoporosis management of women in their 50th yea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Straight Arrow Connector 404"/>
                        <wps:cNvCnPr/>
                        <wps:spPr bwMode="auto">
                          <a:xfrm>
                            <a:off x="981001" y="2627965"/>
                            <a:ext cx="900" cy="896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 name="Straight Arrow Connector 244"/>
                        <wps:cNvCnPr/>
                        <wps:spPr bwMode="auto">
                          <a:xfrm flipH="1">
                            <a:off x="5594006" y="2683273"/>
                            <a:ext cx="0" cy="8755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Straight Connector 256"/>
                        <wps:cNvCnPr/>
                        <wps:spPr bwMode="auto">
                          <a:xfrm>
                            <a:off x="7160607" y="2683273"/>
                            <a:ext cx="0" cy="162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243"/>
                        <wps:cNvCnPr/>
                        <wps:spPr bwMode="auto">
                          <a:xfrm>
                            <a:off x="6276007" y="2208007"/>
                            <a:ext cx="0" cy="1597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282" descr="Proposed clinical management algorithm for osteoporosis management of women in their 50th year" title="Proposed clinical management algorithm for osteoporosis management of women in their 50th year"/>
                        <wps:cNvSpPr txBox="1">
                          <a:spLocks noChangeArrowheads="1"/>
                        </wps:cNvSpPr>
                        <wps:spPr bwMode="auto">
                          <a:xfrm>
                            <a:off x="0" y="0"/>
                            <a:ext cx="7811008" cy="25713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F3456" w:rsidRDefault="00BF3456" w:rsidP="00BF3456">
                              <w:pPr>
                                <w:pStyle w:val="Caption"/>
                                <w:spacing w:after="0"/>
                                <w:ind w:left="1440" w:hanging="1440"/>
                              </w:pPr>
                            </w:p>
                          </w:txbxContent>
                        </wps:txbx>
                        <wps:bodyPr rot="0" vert="horz" wrap="square" lIns="91440" tIns="45720" rIns="91440" bIns="45720" anchor="t" anchorCtr="0" upright="1">
                          <a:noAutofit/>
                        </wps:bodyPr>
                      </wps:wsp>
                      <wps:wsp>
                        <wps:cNvPr id="8" name="Text Box 123"/>
                        <wps:cNvSpPr txBox="1">
                          <a:spLocks noChangeArrowheads="1"/>
                        </wps:cNvSpPr>
                        <wps:spPr bwMode="auto">
                          <a:xfrm>
                            <a:off x="1962901" y="253135"/>
                            <a:ext cx="1486502" cy="247634"/>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200" w:afterAutospacing="0" w:line="276" w:lineRule="auto"/>
                              </w:pPr>
                              <w:r>
                                <w:rPr>
                                  <w:rFonts w:ascii="Arial Narrow" w:hAnsi="Arial Narrow"/>
                                  <w:sz w:val="18"/>
                                  <w:szCs w:val="18"/>
                                </w:rPr>
                                <w:t>All other factors (from Figure 3)</w:t>
                              </w:r>
                            </w:p>
                          </w:txbxContent>
                        </wps:txbx>
                        <wps:bodyPr rot="0" vert="horz" wrap="none" lIns="91440" tIns="45720" rIns="91440" bIns="45720" anchor="t" anchorCtr="0" upright="1">
                          <a:noAutofit/>
                        </wps:bodyPr>
                      </wps:wsp>
                      <wps:wsp>
                        <wps:cNvPr id="9" name="Text Box 123"/>
                        <wps:cNvSpPr txBox="1">
                          <a:spLocks noChangeArrowheads="1"/>
                        </wps:cNvSpPr>
                        <wps:spPr bwMode="auto">
                          <a:xfrm>
                            <a:off x="1244601" y="649690"/>
                            <a:ext cx="2846703" cy="247034"/>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200" w:afterAutospacing="0" w:line="276" w:lineRule="auto"/>
                              </w:pPr>
                              <w:r>
                                <w:rPr>
                                  <w:rFonts w:ascii="Arial Narrow" w:hAnsi="Arial Narrow"/>
                                  <w:sz w:val="18"/>
                                  <w:szCs w:val="18"/>
                                </w:rPr>
                                <w:t>Women in their 50</w:t>
                              </w:r>
                              <w:r w:rsidRPr="00E54DA9">
                                <w:rPr>
                                  <w:rFonts w:ascii="Arial Narrow" w:hAnsi="Arial Narrow"/>
                                  <w:sz w:val="18"/>
                                  <w:szCs w:val="18"/>
                                  <w:vertAlign w:val="superscript"/>
                                </w:rPr>
                                <w:t>th</w:t>
                              </w:r>
                              <w:r>
                                <w:rPr>
                                  <w:rFonts w:ascii="Arial Narrow" w:hAnsi="Arial Narrow"/>
                                  <w:sz w:val="18"/>
                                  <w:szCs w:val="18"/>
                                </w:rPr>
                                <w:t xml:space="preserve"> year (not eligible for existing MBS items) (a)</w:t>
                              </w:r>
                            </w:p>
                          </w:txbxContent>
                        </wps:txbx>
                        <wps:bodyPr rot="0" vert="horz" wrap="none" lIns="91440" tIns="45720" rIns="91440" bIns="45720" anchor="t" anchorCtr="0" upright="1">
                          <a:noAutofit/>
                        </wps:bodyPr>
                      </wps:wsp>
                      <wps:wsp>
                        <wps:cNvPr id="10" name="Text Box 123"/>
                        <wps:cNvSpPr txBox="1">
                          <a:spLocks noChangeArrowheads="1"/>
                        </wps:cNvSpPr>
                        <wps:spPr bwMode="auto">
                          <a:xfrm>
                            <a:off x="1628302" y="1629627"/>
                            <a:ext cx="2101902" cy="247034"/>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200" w:afterAutospacing="0" w:line="276" w:lineRule="auto"/>
                              </w:pPr>
                              <w:r>
                                <w:rPr>
                                  <w:rFonts w:ascii="Arial Narrow" w:hAnsi="Arial Narrow"/>
                                  <w:sz w:val="18"/>
                                  <w:szCs w:val="18"/>
                                </w:rPr>
                                <w:t>DXA scan of lumbar spine and proximal femur</w:t>
                              </w:r>
                            </w:p>
                          </w:txbxContent>
                        </wps:txbx>
                        <wps:bodyPr rot="0" vert="horz" wrap="none" lIns="91440" tIns="45720" rIns="91440" bIns="45720" anchor="t" anchorCtr="0" upright="1">
                          <a:noAutofit/>
                        </wps:bodyPr>
                      </wps:wsp>
                      <wps:wsp>
                        <wps:cNvPr id="11" name="Text Box 123"/>
                        <wps:cNvSpPr txBox="1">
                          <a:spLocks noChangeArrowheads="1"/>
                        </wps:cNvSpPr>
                        <wps:spPr bwMode="auto">
                          <a:xfrm>
                            <a:off x="653401" y="2118395"/>
                            <a:ext cx="648335" cy="247015"/>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200" w:afterAutospacing="0" w:line="276" w:lineRule="auto"/>
                              </w:pPr>
                              <w:r>
                                <w:rPr>
                                  <w:rFonts w:ascii="Arial Narrow" w:hAnsi="Arial Narrow"/>
                                  <w:sz w:val="18"/>
                                  <w:szCs w:val="18"/>
                                </w:rPr>
                                <w:t>T-score ≥0</w:t>
                              </w:r>
                            </w:p>
                          </w:txbxContent>
                        </wps:txbx>
                        <wps:bodyPr rot="0" vert="horz" wrap="none" lIns="91440" tIns="45720" rIns="91440" bIns="45720" anchor="t" anchorCtr="0" upright="1">
                          <a:noAutofit/>
                        </wps:bodyPr>
                      </wps:wsp>
                      <wps:wsp>
                        <wps:cNvPr id="12" name="Text Box 123"/>
                        <wps:cNvSpPr txBox="1">
                          <a:spLocks noChangeArrowheads="1"/>
                        </wps:cNvSpPr>
                        <wps:spPr bwMode="auto">
                          <a:xfrm>
                            <a:off x="2225702" y="2106893"/>
                            <a:ext cx="902970" cy="247015"/>
                          </a:xfrm>
                          <a:prstGeom prst="rect">
                            <a:avLst/>
                          </a:prstGeom>
                          <a:solidFill>
                            <a:srgbClr val="FFFFFF"/>
                          </a:solidFill>
                          <a:ln w="6350">
                            <a:solidFill>
                              <a:srgbClr val="000000"/>
                            </a:solidFill>
                            <a:miter lim="800000"/>
                            <a:headEnd/>
                            <a:tailEnd/>
                          </a:ln>
                        </wps:spPr>
                        <wps:txbx>
                          <w:txbxContent>
                            <w:p w:rsidR="00BF3456" w:rsidRPr="00192EAD" w:rsidRDefault="00BF3456" w:rsidP="00BF3456">
                              <w:pPr>
                                <w:pStyle w:val="NormalWeb"/>
                                <w:spacing w:before="0" w:beforeAutospacing="0" w:after="200" w:afterAutospacing="0" w:line="276" w:lineRule="auto"/>
                              </w:pPr>
                              <w:r w:rsidRPr="00192EAD">
                                <w:rPr>
                                  <w:rFonts w:ascii="Arial Narrow" w:hAnsi="Arial Narrow"/>
                                  <w:sz w:val="18"/>
                                  <w:szCs w:val="18"/>
                                </w:rPr>
                                <w:t xml:space="preserve">Negative </w:t>
                              </w:r>
                              <w:r>
                                <w:rPr>
                                  <w:rFonts w:ascii="Arial Narrow" w:hAnsi="Arial Narrow"/>
                                  <w:sz w:val="18"/>
                                  <w:szCs w:val="18"/>
                                </w:rPr>
                                <w:t>T-score</w:t>
                              </w:r>
                            </w:p>
                          </w:txbxContent>
                        </wps:txbx>
                        <wps:bodyPr rot="0" vert="horz" wrap="none" lIns="91440" tIns="45720" rIns="91440" bIns="45720" anchor="t" anchorCtr="0" upright="1">
                          <a:noAutofit/>
                        </wps:bodyPr>
                      </wps:wsp>
                      <wps:wsp>
                        <wps:cNvPr id="13" name="Text Box 123"/>
                        <wps:cNvSpPr txBox="1">
                          <a:spLocks noChangeArrowheads="1"/>
                        </wps:cNvSpPr>
                        <wps:spPr bwMode="auto">
                          <a:xfrm>
                            <a:off x="417400" y="2488446"/>
                            <a:ext cx="1106801" cy="449663"/>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No change in</w:t>
                              </w:r>
                            </w:p>
                            <w:p w:rsidR="00BF3456" w:rsidRDefault="00BF3456" w:rsidP="00BF3456">
                              <w:pPr>
                                <w:pStyle w:val="NormalWeb"/>
                                <w:spacing w:before="0" w:beforeAutospacing="0" w:after="0" w:afterAutospacing="0" w:line="276" w:lineRule="auto"/>
                                <w:jc w:val="center"/>
                                <w:rPr>
                                  <w:rFonts w:ascii="Arial Narrow" w:hAnsi="Arial Narrow"/>
                                  <w:sz w:val="18"/>
                                  <w:szCs w:val="18"/>
                                </w:rPr>
                              </w:pPr>
                              <w:proofErr w:type="gramStart"/>
                              <w:r>
                                <w:rPr>
                                  <w:rFonts w:ascii="Arial Narrow" w:hAnsi="Arial Narrow"/>
                                  <w:sz w:val="18"/>
                                  <w:szCs w:val="18"/>
                                </w:rPr>
                                <w:t>management</w:t>
                              </w:r>
                              <w:proofErr w:type="gramEnd"/>
                              <w:r>
                                <w:rPr>
                                  <w:rFonts w:ascii="Arial Narrow" w:hAnsi="Arial Narrow"/>
                                  <w:sz w:val="18"/>
                                  <w:szCs w:val="18"/>
                                </w:rPr>
                                <w:t xml:space="preserve"> required</w:t>
                              </w:r>
                            </w:p>
                          </w:txbxContent>
                        </wps:txbx>
                        <wps:bodyPr rot="0" vert="horz" wrap="none" lIns="91440" tIns="45720" rIns="91440" bIns="45720" anchor="t" anchorCtr="0" upright="1">
                          <a:noAutofit/>
                        </wps:bodyPr>
                      </wps:wsp>
                      <wps:wsp>
                        <wps:cNvPr id="14" name="Straight Arrow Connector 121"/>
                        <wps:cNvCnPr/>
                        <wps:spPr bwMode="auto">
                          <a:xfrm>
                            <a:off x="2663103" y="504870"/>
                            <a:ext cx="0" cy="1313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Straight Connector 127"/>
                        <wps:cNvCnPr/>
                        <wps:spPr bwMode="auto">
                          <a:xfrm>
                            <a:off x="2672903" y="1421598"/>
                            <a:ext cx="0" cy="144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Connector 139"/>
                        <wps:cNvCnPr/>
                        <wps:spPr bwMode="auto">
                          <a:xfrm>
                            <a:off x="962901" y="1942170"/>
                            <a:ext cx="1700202" cy="9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Straight Arrow Connector 141"/>
                        <wps:cNvCnPr/>
                        <wps:spPr bwMode="auto">
                          <a:xfrm flipH="1">
                            <a:off x="963501" y="1951871"/>
                            <a:ext cx="3200" cy="166423"/>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149"/>
                        <wps:cNvCnPr/>
                        <wps:spPr bwMode="auto">
                          <a:xfrm flipH="1">
                            <a:off x="967301" y="2365729"/>
                            <a:ext cx="0" cy="12331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Text Box 123"/>
                        <wps:cNvSpPr txBox="1">
                          <a:spLocks noChangeArrowheads="1"/>
                        </wps:cNvSpPr>
                        <wps:spPr bwMode="auto">
                          <a:xfrm>
                            <a:off x="743801" y="3524390"/>
                            <a:ext cx="476200" cy="394955"/>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0" name="Straight Arrow Connector 239"/>
                        <wps:cNvCnPr/>
                        <wps:spPr bwMode="auto">
                          <a:xfrm>
                            <a:off x="2675103" y="1528112"/>
                            <a:ext cx="0" cy="10221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Text Box 123"/>
                        <wps:cNvSpPr txBox="1">
                          <a:spLocks noChangeArrowheads="1"/>
                        </wps:cNvSpPr>
                        <wps:spPr bwMode="auto">
                          <a:xfrm>
                            <a:off x="1893002" y="3520390"/>
                            <a:ext cx="476300" cy="381653"/>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2" name="Text Box 123"/>
                        <wps:cNvSpPr txBox="1">
                          <a:spLocks noChangeArrowheads="1"/>
                        </wps:cNvSpPr>
                        <wps:spPr bwMode="auto">
                          <a:xfrm>
                            <a:off x="1716502" y="2987515"/>
                            <a:ext cx="846401" cy="380353"/>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jc w:val="center"/>
                              </w:pPr>
                              <w:r>
                                <w:rPr>
                                  <w:rFonts w:ascii="Arial Narrow" w:hAnsi="Arial Narrow"/>
                                  <w:sz w:val="18"/>
                                  <w:szCs w:val="18"/>
                                </w:rPr>
                                <w:t>Patient adheres</w:t>
                              </w:r>
                            </w:p>
                            <w:p w:rsidR="00BF3456" w:rsidRDefault="00BF3456" w:rsidP="00BF3456">
                              <w:pPr>
                                <w:pStyle w:val="NormalWeb"/>
                                <w:spacing w:before="0" w:beforeAutospacing="0" w:after="0" w:afterAutospacing="0" w:line="276" w:lineRule="auto"/>
                                <w:jc w:val="center"/>
                              </w:pPr>
                              <w:proofErr w:type="gramStart"/>
                              <w:r>
                                <w:rPr>
                                  <w:rFonts w:ascii="Arial Narrow" w:hAnsi="Arial Narrow"/>
                                  <w:sz w:val="18"/>
                                  <w:szCs w:val="18"/>
                                </w:rPr>
                                <w:t>to</w:t>
                              </w:r>
                              <w:proofErr w:type="gramEnd"/>
                              <w:r>
                                <w:rPr>
                                  <w:rFonts w:ascii="Arial Narrow" w:hAnsi="Arial Narrow"/>
                                  <w:sz w:val="18"/>
                                  <w:szCs w:val="18"/>
                                </w:rPr>
                                <w:t xml:space="preserve"> advice</w:t>
                              </w:r>
                            </w:p>
                          </w:txbxContent>
                        </wps:txbx>
                        <wps:bodyPr rot="0" vert="horz" wrap="none" lIns="91440" tIns="45720" rIns="91440" bIns="45720" anchor="t" anchorCtr="0" upright="1">
                          <a:noAutofit/>
                        </wps:bodyPr>
                      </wps:wsp>
                      <wps:wsp>
                        <wps:cNvPr id="23" name="Text Box 123"/>
                        <wps:cNvSpPr txBox="1">
                          <a:spLocks noChangeArrowheads="1"/>
                        </wps:cNvSpPr>
                        <wps:spPr bwMode="auto">
                          <a:xfrm>
                            <a:off x="2784503" y="2985215"/>
                            <a:ext cx="882701" cy="380453"/>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pPr>
                              <w:r>
                                <w:rPr>
                                  <w:rFonts w:ascii="Arial Narrow" w:hAnsi="Arial Narrow"/>
                                  <w:sz w:val="18"/>
                                  <w:szCs w:val="18"/>
                                </w:rPr>
                                <w:t>Patient does not</w:t>
                              </w:r>
                            </w:p>
                            <w:p w:rsidR="00BF3456" w:rsidRDefault="00BF3456" w:rsidP="00BF3456">
                              <w:pPr>
                                <w:pStyle w:val="NormalWeb"/>
                                <w:spacing w:before="0" w:beforeAutospacing="0" w:after="0" w:afterAutospacing="0" w:line="276" w:lineRule="auto"/>
                              </w:pPr>
                              <w:proofErr w:type="gramStart"/>
                              <w:r>
                                <w:rPr>
                                  <w:rFonts w:ascii="Arial Narrow" w:hAnsi="Arial Narrow"/>
                                  <w:sz w:val="18"/>
                                  <w:szCs w:val="18"/>
                                </w:rPr>
                                <w:t>adhere</w:t>
                              </w:r>
                              <w:proofErr w:type="gramEnd"/>
                              <w:r>
                                <w:rPr>
                                  <w:rFonts w:ascii="Arial Narrow" w:hAnsi="Arial Narrow"/>
                                  <w:sz w:val="18"/>
                                  <w:szCs w:val="18"/>
                                </w:rPr>
                                <w:t xml:space="preserve"> to advice</w:t>
                              </w:r>
                            </w:p>
                          </w:txbxContent>
                        </wps:txbx>
                        <wps:bodyPr rot="0" vert="horz" wrap="none" lIns="91440" tIns="45720" rIns="91440" bIns="45720" anchor="t" anchorCtr="0" upright="1">
                          <a:noAutofit/>
                        </wps:bodyPr>
                      </wps:wsp>
                      <wps:wsp>
                        <wps:cNvPr id="24" name="Text Box 123"/>
                        <wps:cNvSpPr txBox="1">
                          <a:spLocks noChangeArrowheads="1"/>
                        </wps:cNvSpPr>
                        <wps:spPr bwMode="auto">
                          <a:xfrm>
                            <a:off x="2973103" y="3528691"/>
                            <a:ext cx="476300" cy="373352"/>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25" name="Straight Arrow Connector 180"/>
                        <wps:cNvCnPr/>
                        <wps:spPr bwMode="auto">
                          <a:xfrm>
                            <a:off x="2135702" y="2808991"/>
                            <a:ext cx="3800" cy="1785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Straight Arrow Connector 181"/>
                        <wps:cNvCnPr/>
                        <wps:spPr bwMode="auto">
                          <a:xfrm>
                            <a:off x="3211403" y="2808991"/>
                            <a:ext cx="3800" cy="1785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Straight Connector 182"/>
                        <wps:cNvCnPr/>
                        <wps:spPr bwMode="auto">
                          <a:xfrm>
                            <a:off x="2140102" y="2808991"/>
                            <a:ext cx="1075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Connector 183"/>
                        <wps:cNvCnPr/>
                        <wps:spPr bwMode="auto">
                          <a:xfrm>
                            <a:off x="2659603" y="2645768"/>
                            <a:ext cx="0" cy="1626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Arrow Connector 18"/>
                        <wps:cNvCnPr/>
                        <wps:spPr bwMode="auto">
                          <a:xfrm>
                            <a:off x="2131102" y="3902043"/>
                            <a:ext cx="100" cy="1298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Text Box 123"/>
                        <wps:cNvSpPr txBox="1">
                          <a:spLocks noChangeArrowheads="1"/>
                        </wps:cNvSpPr>
                        <wps:spPr bwMode="auto">
                          <a:xfrm>
                            <a:off x="1882302" y="2491446"/>
                            <a:ext cx="1664402" cy="228032"/>
                          </a:xfrm>
                          <a:prstGeom prst="rect">
                            <a:avLst/>
                          </a:prstGeom>
                          <a:solidFill>
                            <a:srgbClr val="FFFFFF"/>
                          </a:solidFill>
                          <a:ln w="6350">
                            <a:solidFill>
                              <a:srgbClr val="000000"/>
                            </a:solidFill>
                            <a:miter lim="800000"/>
                            <a:headEnd/>
                            <a:tailEnd/>
                          </a:ln>
                        </wps:spPr>
                        <wps:txbx>
                          <w:txbxContent>
                            <w:p w:rsidR="00BF3456" w:rsidRPr="00192EAD" w:rsidRDefault="00BF3456" w:rsidP="00BF3456">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Lifestyle and dietary advice (b, c, d)</w:t>
                              </w:r>
                            </w:p>
                          </w:txbxContent>
                        </wps:txbx>
                        <wps:bodyPr rot="0" vert="horz" wrap="none" lIns="91440" tIns="45720" rIns="91440" bIns="45720" anchor="t" anchorCtr="0" upright="1">
                          <a:noAutofit/>
                        </wps:bodyPr>
                      </wps:wsp>
                      <wps:wsp>
                        <wps:cNvPr id="31" name="Text Box 123"/>
                        <wps:cNvSpPr txBox="1">
                          <a:spLocks noChangeArrowheads="1"/>
                        </wps:cNvSpPr>
                        <wps:spPr bwMode="auto">
                          <a:xfrm>
                            <a:off x="5433106" y="1933369"/>
                            <a:ext cx="1560202" cy="261036"/>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pPr>
                              <w:r>
                                <w:rPr>
                                  <w:rFonts w:ascii="Arial Narrow" w:hAnsi="Arial Narrow"/>
                                  <w:sz w:val="18"/>
                                  <w:szCs w:val="18"/>
                                </w:rPr>
                                <w:t>Lifestyle and dietary advice (b, c)</w:t>
                              </w:r>
                            </w:p>
                          </w:txbxContent>
                        </wps:txbx>
                        <wps:bodyPr rot="0" vert="horz" wrap="none" lIns="91440" tIns="45720" rIns="91440" bIns="45720" anchor="t" anchorCtr="0" upright="1">
                          <a:noAutofit/>
                        </wps:bodyPr>
                      </wps:wsp>
                      <wps:wsp>
                        <wps:cNvPr id="32" name="Text Box 123"/>
                        <wps:cNvSpPr txBox="1">
                          <a:spLocks noChangeArrowheads="1"/>
                        </wps:cNvSpPr>
                        <wps:spPr bwMode="auto">
                          <a:xfrm>
                            <a:off x="5352506" y="3564196"/>
                            <a:ext cx="476300" cy="389354"/>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33" name="Text Box 123"/>
                        <wps:cNvSpPr txBox="1">
                          <a:spLocks noChangeArrowheads="1"/>
                        </wps:cNvSpPr>
                        <wps:spPr bwMode="auto">
                          <a:xfrm>
                            <a:off x="6984407" y="2515050"/>
                            <a:ext cx="351200" cy="247734"/>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200" w:afterAutospacing="0" w:line="276" w:lineRule="auto"/>
                              </w:pPr>
                              <w:r>
                                <w:rPr>
                                  <w:rFonts w:ascii="Arial Narrow" w:hAnsi="Arial Narrow"/>
                                  <w:sz w:val="18"/>
                                  <w:szCs w:val="18"/>
                                </w:rPr>
                                <w:t>Yes</w:t>
                              </w:r>
                            </w:p>
                          </w:txbxContent>
                        </wps:txbx>
                        <wps:bodyPr rot="0" vert="horz" wrap="none" lIns="91440" tIns="45720" rIns="91440" bIns="45720" anchor="t" anchorCtr="0" upright="1">
                          <a:noAutofit/>
                        </wps:bodyPr>
                      </wps:wsp>
                      <wps:wsp>
                        <wps:cNvPr id="34" name="Text Box 123"/>
                        <wps:cNvSpPr txBox="1">
                          <a:spLocks noChangeArrowheads="1"/>
                        </wps:cNvSpPr>
                        <wps:spPr bwMode="auto">
                          <a:xfrm>
                            <a:off x="5416206" y="2515050"/>
                            <a:ext cx="309300" cy="247734"/>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200" w:afterAutospacing="0" w:line="276" w:lineRule="auto"/>
                              </w:pPr>
                              <w:r>
                                <w:rPr>
                                  <w:rFonts w:ascii="Arial Narrow" w:hAnsi="Arial Narrow"/>
                                  <w:sz w:val="18"/>
                                  <w:szCs w:val="18"/>
                                </w:rPr>
                                <w:t>No</w:t>
                              </w:r>
                            </w:p>
                          </w:txbxContent>
                        </wps:txbx>
                        <wps:bodyPr rot="0" vert="horz" wrap="none" lIns="91440" tIns="45720" rIns="91440" bIns="45720" anchor="t" anchorCtr="0" upright="1">
                          <a:noAutofit/>
                        </wps:bodyPr>
                      </wps:wsp>
                      <wps:wsp>
                        <wps:cNvPr id="35" name="Text Box 123"/>
                        <wps:cNvSpPr txBox="1">
                          <a:spLocks noChangeArrowheads="1"/>
                        </wps:cNvSpPr>
                        <wps:spPr bwMode="auto">
                          <a:xfrm>
                            <a:off x="6393907" y="3565796"/>
                            <a:ext cx="476300" cy="381653"/>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36" name="Straight Connector 240"/>
                        <wps:cNvCnPr/>
                        <wps:spPr bwMode="auto">
                          <a:xfrm>
                            <a:off x="5594006" y="2367729"/>
                            <a:ext cx="15837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Arrow Connector 241"/>
                        <wps:cNvCnPr/>
                        <wps:spPr bwMode="auto">
                          <a:xfrm>
                            <a:off x="5594006" y="2367729"/>
                            <a:ext cx="0" cy="1596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Straight Arrow Connector 242"/>
                        <wps:cNvCnPr/>
                        <wps:spPr bwMode="auto">
                          <a:xfrm>
                            <a:off x="7178307" y="2367729"/>
                            <a:ext cx="0" cy="1572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Text Box 123"/>
                        <wps:cNvSpPr txBox="1">
                          <a:spLocks noChangeArrowheads="1"/>
                        </wps:cNvSpPr>
                        <wps:spPr bwMode="auto">
                          <a:xfrm>
                            <a:off x="6217406" y="3016920"/>
                            <a:ext cx="846401" cy="380453"/>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jc w:val="center"/>
                              </w:pPr>
                              <w:r>
                                <w:rPr>
                                  <w:rFonts w:ascii="Arial Narrow" w:hAnsi="Arial Narrow"/>
                                  <w:sz w:val="18"/>
                                  <w:szCs w:val="18"/>
                                </w:rPr>
                                <w:t>Patient adheres</w:t>
                              </w:r>
                            </w:p>
                            <w:p w:rsidR="00BF3456" w:rsidRDefault="00BF3456" w:rsidP="00BF3456">
                              <w:pPr>
                                <w:pStyle w:val="NormalWeb"/>
                                <w:spacing w:before="0" w:beforeAutospacing="0" w:after="0" w:afterAutospacing="0" w:line="276" w:lineRule="auto"/>
                                <w:jc w:val="center"/>
                              </w:pPr>
                              <w:proofErr w:type="gramStart"/>
                              <w:r>
                                <w:rPr>
                                  <w:rFonts w:ascii="Arial Narrow" w:hAnsi="Arial Narrow"/>
                                  <w:sz w:val="18"/>
                                  <w:szCs w:val="18"/>
                                </w:rPr>
                                <w:t>to</w:t>
                              </w:r>
                              <w:proofErr w:type="gramEnd"/>
                              <w:r>
                                <w:rPr>
                                  <w:rFonts w:ascii="Arial Narrow" w:hAnsi="Arial Narrow"/>
                                  <w:sz w:val="18"/>
                                  <w:szCs w:val="18"/>
                                </w:rPr>
                                <w:t xml:space="preserve"> advice</w:t>
                              </w:r>
                            </w:p>
                          </w:txbxContent>
                        </wps:txbx>
                        <wps:bodyPr rot="0" vert="horz" wrap="none" lIns="91440" tIns="45720" rIns="91440" bIns="45720" anchor="t" anchorCtr="0" upright="1">
                          <a:noAutofit/>
                        </wps:bodyPr>
                      </wps:wsp>
                      <wps:wsp>
                        <wps:cNvPr id="40" name="Text Box 123"/>
                        <wps:cNvSpPr txBox="1">
                          <a:spLocks noChangeArrowheads="1"/>
                        </wps:cNvSpPr>
                        <wps:spPr bwMode="auto">
                          <a:xfrm>
                            <a:off x="7285408" y="3006818"/>
                            <a:ext cx="882701" cy="380453"/>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pPr>
                              <w:r>
                                <w:rPr>
                                  <w:rFonts w:ascii="Arial Narrow" w:hAnsi="Arial Narrow"/>
                                  <w:sz w:val="18"/>
                                  <w:szCs w:val="18"/>
                                </w:rPr>
                                <w:t>Patient does not</w:t>
                              </w:r>
                            </w:p>
                            <w:p w:rsidR="00BF3456" w:rsidRDefault="00BF3456" w:rsidP="00BF3456">
                              <w:pPr>
                                <w:pStyle w:val="NormalWeb"/>
                                <w:spacing w:before="0" w:beforeAutospacing="0" w:after="0" w:afterAutospacing="0" w:line="276" w:lineRule="auto"/>
                              </w:pPr>
                              <w:proofErr w:type="gramStart"/>
                              <w:r>
                                <w:rPr>
                                  <w:rFonts w:ascii="Arial Narrow" w:hAnsi="Arial Narrow"/>
                                  <w:sz w:val="18"/>
                                  <w:szCs w:val="18"/>
                                </w:rPr>
                                <w:t>adhere</w:t>
                              </w:r>
                              <w:proofErr w:type="gramEnd"/>
                              <w:r>
                                <w:rPr>
                                  <w:rFonts w:ascii="Arial Narrow" w:hAnsi="Arial Narrow"/>
                                  <w:sz w:val="18"/>
                                  <w:szCs w:val="18"/>
                                </w:rPr>
                                <w:t xml:space="preserve"> to advice</w:t>
                              </w:r>
                            </w:p>
                          </w:txbxContent>
                        </wps:txbx>
                        <wps:bodyPr rot="0" vert="horz" wrap="none" lIns="91440" tIns="45720" rIns="91440" bIns="45720" anchor="t" anchorCtr="0" upright="1">
                          <a:noAutofit/>
                        </wps:bodyPr>
                      </wps:wsp>
                      <wps:wsp>
                        <wps:cNvPr id="41" name="Text Box 123"/>
                        <wps:cNvSpPr txBox="1">
                          <a:spLocks noChangeArrowheads="1"/>
                        </wps:cNvSpPr>
                        <wps:spPr bwMode="auto">
                          <a:xfrm>
                            <a:off x="7474008" y="3574097"/>
                            <a:ext cx="476300" cy="373352"/>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wps:txbx>
                        <wps:bodyPr rot="0" vert="horz" wrap="none" lIns="91440" tIns="45720" rIns="91440" bIns="45720" anchor="t" anchorCtr="0" upright="1">
                          <a:noAutofit/>
                        </wps:bodyPr>
                      </wps:wsp>
                      <wps:wsp>
                        <wps:cNvPr id="42" name="Straight Arrow Connector 253"/>
                        <wps:cNvCnPr/>
                        <wps:spPr bwMode="auto">
                          <a:xfrm>
                            <a:off x="6636707" y="2846496"/>
                            <a:ext cx="3800" cy="178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254"/>
                        <wps:cNvCnPr/>
                        <wps:spPr bwMode="auto">
                          <a:xfrm>
                            <a:off x="7712408" y="2846496"/>
                            <a:ext cx="3800" cy="1784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Connector 255"/>
                        <wps:cNvCnPr/>
                        <wps:spPr bwMode="auto">
                          <a:xfrm>
                            <a:off x="6641107" y="2846496"/>
                            <a:ext cx="1075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Straight Arrow Connector 257"/>
                        <wps:cNvCnPr/>
                        <wps:spPr bwMode="auto">
                          <a:xfrm flipH="1">
                            <a:off x="6636707" y="3397973"/>
                            <a:ext cx="3800" cy="1608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Straight Arrow Connector 258"/>
                        <wps:cNvCnPr/>
                        <wps:spPr bwMode="auto">
                          <a:xfrm>
                            <a:off x="7712408" y="3397973"/>
                            <a:ext cx="0" cy="16082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7" name="Text Box 123"/>
                        <wps:cNvSpPr txBox="1">
                          <a:spLocks noChangeArrowheads="1"/>
                        </wps:cNvSpPr>
                        <wps:spPr bwMode="auto">
                          <a:xfrm>
                            <a:off x="4045104" y="1630227"/>
                            <a:ext cx="1638302" cy="247034"/>
                          </a:xfrm>
                          <a:prstGeom prst="rect">
                            <a:avLst/>
                          </a:prstGeom>
                          <a:solidFill>
                            <a:srgbClr val="FFFFFF"/>
                          </a:solidFill>
                          <a:ln w="6350">
                            <a:solidFill>
                              <a:srgbClr val="000000"/>
                            </a:solidFill>
                            <a:miter lim="800000"/>
                            <a:headEnd/>
                            <a:tailEnd/>
                          </a:ln>
                        </wps:spPr>
                        <wps:txbx>
                          <w:txbxContent>
                            <w:p w:rsidR="00BF3456" w:rsidRDefault="00BF3456" w:rsidP="00BF3456">
                              <w:pPr>
                                <w:pStyle w:val="NormalWeb"/>
                                <w:spacing w:before="0" w:beforeAutospacing="0" w:after="200" w:afterAutospacing="0" w:line="276" w:lineRule="auto"/>
                              </w:pPr>
                              <w:r>
                                <w:rPr>
                                  <w:rFonts w:ascii="Arial Narrow" w:hAnsi="Arial Narrow"/>
                                  <w:sz w:val="18"/>
                                  <w:szCs w:val="18"/>
                                </w:rPr>
                                <w:t>Patient does not receive DXA scan</w:t>
                              </w:r>
                            </w:p>
                          </w:txbxContent>
                        </wps:txbx>
                        <wps:bodyPr rot="0" vert="horz" wrap="none" lIns="91440" tIns="45720" rIns="91440" bIns="45720" anchor="t" anchorCtr="0" upright="1">
                          <a:noAutofit/>
                        </wps:bodyPr>
                      </wps:wsp>
                      <wps:wsp>
                        <wps:cNvPr id="48" name="Straight Connector 19"/>
                        <wps:cNvCnPr/>
                        <wps:spPr bwMode="auto">
                          <a:xfrm>
                            <a:off x="2675103" y="1528112"/>
                            <a:ext cx="2189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Arrow Connector 21"/>
                        <wps:cNvCnPr/>
                        <wps:spPr bwMode="auto">
                          <a:xfrm>
                            <a:off x="4857505" y="1510610"/>
                            <a:ext cx="7000" cy="119617"/>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Text Box 123"/>
                        <wps:cNvSpPr txBox="1">
                          <a:spLocks noChangeArrowheads="1"/>
                        </wps:cNvSpPr>
                        <wps:spPr bwMode="auto">
                          <a:xfrm>
                            <a:off x="5999106" y="224431"/>
                            <a:ext cx="3494404" cy="1304381"/>
                          </a:xfrm>
                          <a:prstGeom prst="rect">
                            <a:avLst/>
                          </a:prstGeom>
                          <a:solidFill>
                            <a:srgbClr val="FFFFFF"/>
                          </a:solidFill>
                          <a:ln w="6350">
                            <a:solidFill>
                              <a:srgbClr val="000000"/>
                            </a:solidFill>
                            <a:miter lim="800000"/>
                            <a:headEnd/>
                            <a:tailEnd/>
                          </a:ln>
                        </wps:spPr>
                        <wps:txbx>
                          <w:txbxContent>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Notes: MTF: minimal trauma fracture</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(a) Options for the initial screen to be provided to women in their 55</w:t>
                              </w:r>
                              <w:r w:rsidRPr="003E3B2C">
                                <w:rPr>
                                  <w:rFonts w:ascii="Arial Narrow" w:hAnsi="Arial Narrow"/>
                                  <w:color w:val="000000"/>
                                  <w:sz w:val="16"/>
                                  <w:szCs w:val="16"/>
                                  <w:vertAlign w:val="superscript"/>
                                </w:rPr>
                                <w:t>th</w:t>
                              </w:r>
                              <w:r w:rsidRPr="003E3B2C">
                                <w:rPr>
                                  <w:rFonts w:ascii="Arial Narrow" w:hAnsi="Arial Narrow"/>
                                  <w:color w:val="000000"/>
                                  <w:sz w:val="16"/>
                                  <w:szCs w:val="16"/>
                                </w:rPr>
                                <w:t xml:space="preserve"> and 60</w:t>
                              </w:r>
                              <w:r w:rsidRPr="003E3B2C">
                                <w:rPr>
                                  <w:rFonts w:ascii="Arial Narrow" w:hAnsi="Arial Narrow"/>
                                  <w:color w:val="000000"/>
                                  <w:sz w:val="16"/>
                                  <w:szCs w:val="16"/>
                                  <w:vertAlign w:val="superscript"/>
                                </w:rPr>
                                <w:t>th</w:t>
                              </w:r>
                              <w:r w:rsidRPr="003E3B2C">
                                <w:rPr>
                                  <w:rFonts w:ascii="Arial Narrow" w:hAnsi="Arial Narrow"/>
                                  <w:color w:val="000000"/>
                                  <w:sz w:val="16"/>
                                  <w:szCs w:val="16"/>
                                </w:rPr>
                                <w:t xml:space="preserve"> year</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(b) Exercise, sunshine, general bone health awareness</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(c) Calcium (1300mg/day), ensure replete vitamin D status &gt;60nmol/L</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(d) Any otherwise healthy woman identified through the proposed service</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proofErr w:type="gramStart"/>
                              <w:r w:rsidRPr="003E3B2C">
                                <w:rPr>
                                  <w:rFonts w:ascii="Arial Narrow" w:hAnsi="Arial Narrow"/>
                                  <w:color w:val="000000"/>
                                  <w:sz w:val="16"/>
                                  <w:szCs w:val="16"/>
                                </w:rPr>
                                <w:t>with</w:t>
                              </w:r>
                              <w:proofErr w:type="gramEnd"/>
                              <w:r w:rsidRPr="003E3B2C">
                                <w:rPr>
                                  <w:rFonts w:ascii="Arial Narrow" w:hAnsi="Arial Narrow"/>
                                  <w:color w:val="000000"/>
                                  <w:sz w:val="16"/>
                                  <w:szCs w:val="16"/>
                                </w:rPr>
                                <w:t xml:space="preserve"> a T-score of -2.5 or less will</w:t>
                              </w:r>
                              <w:r>
                                <w:rPr>
                                  <w:rFonts w:ascii="Arial Narrow" w:hAnsi="Arial Narrow"/>
                                  <w:color w:val="000000"/>
                                  <w:sz w:val="16"/>
                                  <w:szCs w:val="16"/>
                                </w:rPr>
                                <w:t xml:space="preserve"> not be eligible for anti-resorp</w:t>
                              </w:r>
                              <w:r w:rsidRPr="003E3B2C">
                                <w:rPr>
                                  <w:rFonts w:ascii="Arial Narrow" w:hAnsi="Arial Narrow"/>
                                  <w:color w:val="000000"/>
                                  <w:sz w:val="16"/>
                                  <w:szCs w:val="16"/>
                                </w:rPr>
                                <w:t>tive medications on the PBS, but may choose to pay for TGA-approved medication such as bisphosphonates</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 xml:space="preserve">(e) For T-score </w:t>
                              </w:r>
                              <w:r w:rsidRPr="005F413E">
                                <w:rPr>
                                  <w:rFonts w:ascii="Arial Narrow" w:hAnsi="Arial Narrow"/>
                                  <w:color w:val="000000"/>
                                  <w:sz w:val="16"/>
                                  <w:szCs w:val="16"/>
                                </w:rPr>
                                <w:t>≤</w:t>
                              </w:r>
                              <w:r w:rsidRPr="003E3B2C">
                                <w:rPr>
                                  <w:rFonts w:ascii="Arial Narrow" w:hAnsi="Arial Narrow"/>
                                  <w:color w:val="000000"/>
                                  <w:sz w:val="16"/>
                                  <w:szCs w:val="16"/>
                                </w:rPr>
                                <w:t xml:space="preserve"> -2.5, a repeat DXA would be available through existing MBS</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12306 or 12321</w:t>
                              </w:r>
                            </w:p>
                          </w:txbxContent>
                        </wps:txbx>
                        <wps:bodyPr rot="0" vert="horz" wrap="square" lIns="91440" tIns="45720" rIns="91440" bIns="45720" anchor="t" anchorCtr="0" upright="1">
                          <a:spAutoFit/>
                        </wps:bodyPr>
                      </wps:wsp>
                      <wps:wsp>
                        <wps:cNvPr id="51" name="Elbow Connector 26"/>
                        <wps:cNvCnPr/>
                        <wps:spPr bwMode="auto">
                          <a:xfrm>
                            <a:off x="5683406" y="1753744"/>
                            <a:ext cx="582201" cy="180025"/>
                          </a:xfrm>
                          <a:prstGeom prst="bentConnector2">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2" name="Text Box 123"/>
                        <wps:cNvSpPr txBox="1">
                          <a:spLocks noChangeArrowheads="1"/>
                        </wps:cNvSpPr>
                        <wps:spPr bwMode="auto">
                          <a:xfrm>
                            <a:off x="1589202" y="1068749"/>
                            <a:ext cx="2174802" cy="392655"/>
                          </a:xfrm>
                          <a:prstGeom prst="rect">
                            <a:avLst/>
                          </a:prstGeom>
                          <a:solidFill>
                            <a:srgbClr val="FFFFFF"/>
                          </a:solidFill>
                          <a:ln w="6350">
                            <a:solidFill>
                              <a:srgbClr val="000000"/>
                            </a:solidFill>
                            <a:miter lim="800000"/>
                            <a:headEnd/>
                            <a:tailEnd/>
                          </a:ln>
                        </wps:spPr>
                        <wps:txbx>
                          <w:txbxContent>
                            <w:p w:rsidR="00BF3456" w:rsidRPr="00192EAD" w:rsidRDefault="00BF3456" w:rsidP="00BF3456">
                              <w:pPr>
                                <w:pStyle w:val="NormalWeb"/>
                                <w:spacing w:before="0" w:beforeAutospacing="0" w:after="0" w:afterAutospacing="0" w:line="276" w:lineRule="auto"/>
                                <w:jc w:val="center"/>
                              </w:pPr>
                              <w:r w:rsidRPr="00192EAD">
                                <w:rPr>
                                  <w:rFonts w:ascii="Arial Narrow" w:hAnsi="Arial Narrow"/>
                                  <w:sz w:val="18"/>
                                  <w:szCs w:val="18"/>
                                </w:rPr>
                                <w:t>Clinical assessment, test for vitamin D</w:t>
                              </w:r>
                            </w:p>
                            <w:p w:rsidR="00BF3456" w:rsidRPr="00192EAD" w:rsidRDefault="00BF3456" w:rsidP="00BF3456">
                              <w:pPr>
                                <w:pStyle w:val="NormalWeb"/>
                                <w:spacing w:before="0" w:beforeAutospacing="0" w:after="0" w:afterAutospacing="0" w:line="276" w:lineRule="auto"/>
                                <w:jc w:val="center"/>
                              </w:pPr>
                              <w:r w:rsidRPr="00192EAD">
                                <w:rPr>
                                  <w:rFonts w:ascii="Arial Narrow" w:hAnsi="Arial Narrow"/>
                                  <w:sz w:val="18"/>
                                  <w:szCs w:val="18"/>
                                </w:rPr>
                                <w:t>Including existing fracture risk assessment tools</w:t>
                              </w:r>
                            </w:p>
                          </w:txbxContent>
                        </wps:txbx>
                        <wps:bodyPr rot="0" vert="horz" wrap="none" lIns="91440" tIns="45720" rIns="91440" bIns="45720" anchor="t" anchorCtr="0" upright="1">
                          <a:noAutofit/>
                        </wps:bodyPr>
                      </wps:wsp>
                      <wps:wsp>
                        <wps:cNvPr id="53" name="Straight Arrow Connector 262"/>
                        <wps:cNvCnPr/>
                        <wps:spPr bwMode="auto">
                          <a:xfrm>
                            <a:off x="2667603" y="923428"/>
                            <a:ext cx="0" cy="1308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Text Box 123"/>
                        <wps:cNvSpPr txBox="1">
                          <a:spLocks noChangeArrowheads="1"/>
                        </wps:cNvSpPr>
                        <wps:spPr bwMode="auto">
                          <a:xfrm>
                            <a:off x="377600" y="4039762"/>
                            <a:ext cx="1211001" cy="769107"/>
                          </a:xfrm>
                          <a:prstGeom prst="rect">
                            <a:avLst/>
                          </a:prstGeom>
                          <a:solidFill>
                            <a:srgbClr val="FFFFFF"/>
                          </a:solidFill>
                          <a:ln w="6350">
                            <a:solidFill>
                              <a:srgbClr val="000000"/>
                            </a:solidFill>
                            <a:miter lim="800000"/>
                            <a:headEnd/>
                            <a:tailEnd/>
                          </a:ln>
                        </wps:spPr>
                        <wps:txbx>
                          <w:txbxContent>
                            <w:p w:rsidR="00BF3456" w:rsidRPr="00192EAD" w:rsidRDefault="00BF3456" w:rsidP="00BF3456">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Repeat scan options (e):</w:t>
                              </w:r>
                            </w:p>
                            <w:p w:rsidR="00BF3456" w:rsidRPr="00192EAD" w:rsidRDefault="00BF3456" w:rsidP="00BF3456">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No repeat;</w:t>
                              </w:r>
                            </w:p>
                            <w:p w:rsidR="00BF3456" w:rsidRPr="00192EAD" w:rsidRDefault="00BF3456" w:rsidP="00BF3456">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Repeat after 5 years;</w:t>
                              </w:r>
                            </w:p>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Repeat after 10 years</w:t>
                              </w:r>
                            </w:p>
                          </w:txbxContent>
                        </wps:txbx>
                        <wps:bodyPr rot="0" vert="horz" wrap="none" lIns="91440" tIns="45720" rIns="91440" bIns="45720" anchor="t" anchorCtr="0" upright="1">
                          <a:noAutofit/>
                        </wps:bodyPr>
                      </wps:wsp>
                      <wps:wsp>
                        <wps:cNvPr id="55" name="Straight Arrow Connector 73"/>
                        <wps:cNvCnPr/>
                        <wps:spPr bwMode="auto">
                          <a:xfrm>
                            <a:off x="2653003" y="1876661"/>
                            <a:ext cx="4500" cy="2295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Text Box 123"/>
                        <wps:cNvSpPr txBox="1">
                          <a:spLocks noChangeArrowheads="1"/>
                        </wps:cNvSpPr>
                        <wps:spPr bwMode="auto">
                          <a:xfrm>
                            <a:off x="2003602" y="4038362"/>
                            <a:ext cx="1346201" cy="769107"/>
                          </a:xfrm>
                          <a:prstGeom prst="rect">
                            <a:avLst/>
                          </a:prstGeom>
                          <a:solidFill>
                            <a:srgbClr val="FFFFFF"/>
                          </a:solidFill>
                          <a:ln w="6350">
                            <a:solidFill>
                              <a:srgbClr val="000000"/>
                            </a:solidFill>
                            <a:miter lim="800000"/>
                            <a:headEnd/>
                            <a:tailEnd/>
                          </a:ln>
                        </wps:spPr>
                        <wps:txbx>
                          <w:txbxContent>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Monitoring scan options (e):</w:t>
                              </w:r>
                            </w:p>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No repeat;</w:t>
                              </w:r>
                            </w:p>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Repeat after 5 years;</w:t>
                              </w:r>
                            </w:p>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Repeat after 10 years</w:t>
                              </w:r>
                            </w:p>
                          </w:txbxContent>
                        </wps:txbx>
                        <wps:bodyPr rot="0" vert="horz" wrap="none" lIns="91440" tIns="45720" rIns="91440" bIns="45720" anchor="t" anchorCtr="0" upright="1">
                          <a:noAutofit/>
                        </wps:bodyPr>
                      </wps:wsp>
                      <wps:wsp>
                        <wps:cNvPr id="57" name="Straight Arrow Connector 265"/>
                        <wps:cNvCnPr/>
                        <wps:spPr bwMode="auto">
                          <a:xfrm>
                            <a:off x="981901" y="3914944"/>
                            <a:ext cx="0" cy="1296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Straight Arrow Connector 266"/>
                        <wps:cNvCnPr/>
                        <wps:spPr bwMode="auto">
                          <a:xfrm>
                            <a:off x="3208503" y="3914944"/>
                            <a:ext cx="0" cy="1296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Straight Arrow Connector 267"/>
                        <wps:cNvCnPr/>
                        <wps:spPr bwMode="auto">
                          <a:xfrm>
                            <a:off x="2128302" y="3375869"/>
                            <a:ext cx="0" cy="1295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Straight Arrow Connector 268"/>
                        <wps:cNvCnPr/>
                        <wps:spPr bwMode="auto">
                          <a:xfrm>
                            <a:off x="3215203" y="3383170"/>
                            <a:ext cx="0" cy="1296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Straight Arrow Connector 269"/>
                        <wps:cNvCnPr/>
                        <wps:spPr bwMode="auto">
                          <a:xfrm>
                            <a:off x="2658603" y="2354027"/>
                            <a:ext cx="0" cy="12951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w14:anchorId="2E912B57" id="Canvas 2" o:spid="_x0000_s1026" editas="canvas" alt="Title: Proposed clinical management algorithm for osteoporosis management of women in their 50th year - Description: Proposed clinical management algorithm for osteoporosis management of women in their 50th year" style="width:451.3pt;height:233.15pt;mso-position-horizontal-relative:char;mso-position-vertical-relative:line" coordsize="57315,29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roposed clinical management algorithm for osteoporosis management of women in their 50th year" style="position:absolute;width:57315;height:29603;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404" o:spid="_x0000_s1028" type="#_x0000_t32" style="position:absolute;left:9810;top:26279;width:9;height:89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0hMMAAADaAAAADwAAAGRycy9kb3ducmV2LnhtbESPQWvCQBSE7wX/w/KEXkrdGNFKdCMi&#10;tBU8qYVeH9mXbEj2bciuMf33XaHQ4zAz3zDb3WhbMVDva8cK5rMEBHHhdM2Vgq/r++sahA/IGlvH&#10;pOCHPOzyydMWM+3ufKbhEioRIewzVGBC6DIpfWHIop+5jjh6pesthij7Suoe7xFuW5kmyUparDku&#10;GOzoYKhoLjeroEw1zV+ab/P5tsTycFqkw9B+KPU8HfcbEIHG8B/+ax+1ggU8rsQbIP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5dITDAAAA2gAAAA8AAAAAAAAAAAAA&#10;AAAAoQIAAGRycy9kb3ducmV2LnhtbFBLBQYAAAAABAAEAPkAAACRAwAAAAA=&#10;">
                  <v:stroke endarrow="open"/>
                </v:shape>
                <v:shape id="Straight Arrow Connector 244" o:spid="_x0000_s1029" type="#_x0000_t32" style="position:absolute;left:55940;top:26832;width:0;height:87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oPdsQAAADaAAAADwAAAGRycy9kb3ducmV2LnhtbESPQWvCQBSE7wX/w/IEL0U3WhGJriKC&#10;IKUgWi/eHtmXbDD7NmbXGPvruwWhx2FmvmGW685WoqXGl44VjEcJCOLM6ZILBefv3XAOwgdkjZVj&#10;UvAkD+tV722JqXYPPlJ7CoWIEPYpKjAh1KmUPjNk0Y9cTRy93DUWQ5RNIXWDjwi3lZwkyUxaLDku&#10;GKxpayi7nu5WwfvxUhZ5fv96+o+fwzz5PNxM1io16HebBYhAXfgPv9p7rWAKf1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g92xAAAANoAAAAPAAAAAAAAAAAA&#10;AAAAAKECAABkcnMvZG93bnJldi54bWxQSwUGAAAAAAQABAD5AAAAkgMAAAAA&#10;">
                  <v:stroke endarrow="open"/>
                </v:shape>
                <v:line id="Straight Connector 256" o:spid="_x0000_s1030" style="position:absolute;visibility:visible;mso-wrap-style:square" from="71606,26832" to="71606,2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Straight Connector 243" o:spid="_x0000_s1031" style="position:absolute;visibility:visible;mso-wrap-style:square" from="62760,22080" to="62760,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type id="_x0000_t202" coordsize="21600,21600" o:spt="202" path="m,l,21600r21600,l21600,xe">
                  <v:stroke joinstyle="miter"/>
                  <v:path gradientshapeok="t" o:connecttype="rect"/>
                </v:shapetype>
                <v:shape id="Text Box 282" o:spid="_x0000_s1032" type="#_x0000_t202" alt="Proposed clinical management algorithm for osteoporosis management of women in their 50th year" style="position:absolute;width:78110;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oGQ78A&#10;AADaAAAADwAAAGRycy9kb3ducmV2LnhtbESPzYoCMRCE74LvEFrwphmXRWU0igjCnhb8PTeTdjI4&#10;6QxJ1NGnN4Lgsaiqr6j5srW1uJEPlWMFo2EGgrhwuuJSwWG/GUxBhIissXZMCh4UYLnoduaYa3fn&#10;Ld12sRQJwiFHBSbGJpcyFIYshqFriJN3dt5iTNKXUnu8J7it5U+WjaXFitOCwYbWhorL7moVnEr7&#10;PB1HjTfa1r/8/3zsD65Sqt9rVzMQkdr4DX/af1rBB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ugZDvwAAANoAAAAPAAAAAAAAAAAAAAAAAJgCAABkcnMvZG93bnJl&#10;di54bWxQSwUGAAAAAAQABAD1AAAAhAMAAAAA&#10;" stroked="f" strokeweight=".5pt">
                  <v:textbox>
                    <w:txbxContent>
                      <w:p w:rsidR="00BF3456" w:rsidRDefault="00BF3456" w:rsidP="00BF3456">
                        <w:pPr>
                          <w:pStyle w:val="Caption"/>
                          <w:spacing w:after="0"/>
                          <w:ind w:left="1440" w:hanging="1440"/>
                        </w:pPr>
                      </w:p>
                    </w:txbxContent>
                  </v:textbox>
                </v:shape>
                <v:shape id="Text Box 123" o:spid="_x0000_s1033" type="#_x0000_t202" style="position:absolute;left:19629;top:2531;width:14865;height:24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2BzMEA&#10;AADaAAAADwAAAGRycy9kb3ducmV2LnhtbERPy2rCQBTdC/7DcIVuRCfpQiQ6ioglJQtB+1hfZ26T&#10;0MydNDM10a/vLAouD+e93g62EVfqfO1YQTpPQBBrZ2ouFby/vcyWIHxANtg4JgU38rDdjEdrzIzr&#10;+UTXcyhFDGGfoYIqhDaT0uuKLPq5a4kj9+U6iyHCrpSmwz6G20Y+J8lCWqw5NlTY0r4i/X3+tQry&#10;4pLei4+Dzn/40sjT51Tb/VGpp8mwW4EINISH+N/9ahTErfFKvA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gczBAAAA2gAAAA8AAAAAAAAAAAAAAAAAmAIAAGRycy9kb3du&#10;cmV2LnhtbFBLBQYAAAAABAAEAPUAAACGAwAAAAA=&#10;" strokeweight=".5pt">
                  <v:textbox>
                    <w:txbxContent>
                      <w:p w:rsidR="00BF3456" w:rsidRDefault="00BF3456" w:rsidP="00BF3456">
                        <w:pPr>
                          <w:pStyle w:val="NormalWeb"/>
                          <w:spacing w:before="0" w:beforeAutospacing="0" w:after="200" w:afterAutospacing="0" w:line="276" w:lineRule="auto"/>
                        </w:pPr>
                        <w:r>
                          <w:rPr>
                            <w:rFonts w:ascii="Arial Narrow" w:hAnsi="Arial Narrow"/>
                            <w:sz w:val="18"/>
                            <w:szCs w:val="18"/>
                          </w:rPr>
                          <w:t>All other factors (from Figure 3)</w:t>
                        </w:r>
                      </w:p>
                    </w:txbxContent>
                  </v:textbox>
                </v:shape>
                <v:shape id="Text Box 123" o:spid="_x0000_s1034" type="#_x0000_t202" style="position:absolute;left:12446;top:6496;width:28467;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kV8UA&#10;AADaAAAADwAAAGRycy9kb3ducmV2LnhtbESPQWvCQBSE74L/YXlCL8Vs7KG00U0QUSweBG31/Nx9&#10;TUKzb2N2q6m/vlsoeBxm5htmVvS2ERfqfO1YwSRJQRBrZ2ouFXy8r8YvIHxANtg4JgU/5KHIh4MZ&#10;ZsZdeUeXfShFhLDPUEEVQptJ6XVFFn3iWuLofbrOYoiyK6Xp8BrhtpFPafosLdYcFypsaVGR/tp/&#10;WwXrzWly2xyWen3mUyN3x0dtF1ulHkb9fAoiUB/u4f/2m1HwCn9X4g2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SRXxQAAANoAAAAPAAAAAAAAAAAAAAAAAJgCAABkcnMv&#10;ZG93bnJldi54bWxQSwUGAAAAAAQABAD1AAAAigMAAAAA&#10;" strokeweight=".5pt">
                  <v:textbox>
                    <w:txbxContent>
                      <w:p w:rsidR="00BF3456" w:rsidRDefault="00BF3456" w:rsidP="00BF3456">
                        <w:pPr>
                          <w:pStyle w:val="NormalWeb"/>
                          <w:spacing w:before="0" w:beforeAutospacing="0" w:after="200" w:afterAutospacing="0" w:line="276" w:lineRule="auto"/>
                        </w:pPr>
                        <w:r>
                          <w:rPr>
                            <w:rFonts w:ascii="Arial Narrow" w:hAnsi="Arial Narrow"/>
                            <w:sz w:val="18"/>
                            <w:szCs w:val="18"/>
                          </w:rPr>
                          <w:t>Women in their 50</w:t>
                        </w:r>
                        <w:r w:rsidRPr="00E54DA9">
                          <w:rPr>
                            <w:rFonts w:ascii="Arial Narrow" w:hAnsi="Arial Narrow"/>
                            <w:sz w:val="18"/>
                            <w:szCs w:val="18"/>
                            <w:vertAlign w:val="superscript"/>
                          </w:rPr>
                          <w:t>th</w:t>
                        </w:r>
                        <w:r>
                          <w:rPr>
                            <w:rFonts w:ascii="Arial Narrow" w:hAnsi="Arial Narrow"/>
                            <w:sz w:val="18"/>
                            <w:szCs w:val="18"/>
                          </w:rPr>
                          <w:t xml:space="preserve"> year (not eligible for existing MBS items) (a)</w:t>
                        </w:r>
                      </w:p>
                    </w:txbxContent>
                  </v:textbox>
                </v:shape>
                <v:shape id="Text Box 123" o:spid="_x0000_s1035" type="#_x0000_t202" style="position:absolute;left:16283;top:16296;width:21019;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4FcUA&#10;AADbAAAADwAAAGRycy9kb3ducmV2LnhtbESPQWsCQQyF7wX/wxDBS9FZPZSyOoqIRfFQ0FbPcSbu&#10;Lu5ktjujbvvrm0Oht4T38t6X2aLztbpTG6vABsajDBSxDa7iwsDnx9vwFVRMyA7rwGTgmyIs5r2n&#10;GeYuPHhP90MqlIRwzNFAmVKTax1tSR7jKDTEol1C6zHJ2hbatfiQcF/rSZa9aI8VS0OJDa1KstfD&#10;zRvY7M7jn91xbTdffK71/vRs/erdmEG/W05BJerSv/nveusEX+jlFxl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bgVxQAAANsAAAAPAAAAAAAAAAAAAAAAAJgCAABkcnMv&#10;ZG93bnJldi54bWxQSwUGAAAAAAQABAD1AAAAigMAAAAA&#10;" strokeweight=".5pt">
                  <v:textbox>
                    <w:txbxContent>
                      <w:p w:rsidR="00BF3456" w:rsidRDefault="00BF3456" w:rsidP="00BF3456">
                        <w:pPr>
                          <w:pStyle w:val="NormalWeb"/>
                          <w:spacing w:before="0" w:beforeAutospacing="0" w:after="200" w:afterAutospacing="0" w:line="276" w:lineRule="auto"/>
                        </w:pPr>
                        <w:r>
                          <w:rPr>
                            <w:rFonts w:ascii="Arial Narrow" w:hAnsi="Arial Narrow"/>
                            <w:sz w:val="18"/>
                            <w:szCs w:val="18"/>
                          </w:rPr>
                          <w:t>DXA scan of lumbar spine and proximal femur</w:t>
                        </w:r>
                      </w:p>
                    </w:txbxContent>
                  </v:textbox>
                </v:shape>
                <v:shape id="Text Box 123" o:spid="_x0000_s1036" type="#_x0000_t202" style="position:absolute;left:6534;top:21183;width:6483;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djsMA&#10;AADbAAAADwAAAGRycy9kb3ducmV2LnhtbERPTWvCQBC9F/wPywi9FN2kh1Kiq0iwWDwU1NbzZHdM&#10;gtnZmN3G1F/vFgq9zeN9znw52Eb01PnasYJ0moAg1s7UXCr4PLxNXkH4gGywcUwKfsjDcjF6mGNm&#10;3JV31O9DKWII+wwVVCG0mZReV2TRT11LHLmT6yyGCLtSmg6vMdw28jlJXqTFmmNDhS3lFenz/tsq&#10;2GyL9Lb9WuvNhYtG7o5P2uYfSj2Oh9UMRKAh/Iv/3O8mzk/h95d4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djsMAAADbAAAADwAAAAAAAAAAAAAAAACYAgAAZHJzL2Rv&#10;d25yZXYueG1sUEsFBgAAAAAEAAQA9QAAAIgDAAAAAA==&#10;" strokeweight=".5pt">
                  <v:textbox>
                    <w:txbxContent>
                      <w:p w:rsidR="00BF3456" w:rsidRDefault="00BF3456" w:rsidP="00BF3456">
                        <w:pPr>
                          <w:pStyle w:val="NormalWeb"/>
                          <w:spacing w:before="0" w:beforeAutospacing="0" w:after="200" w:afterAutospacing="0" w:line="276" w:lineRule="auto"/>
                        </w:pPr>
                        <w:r>
                          <w:rPr>
                            <w:rFonts w:ascii="Arial Narrow" w:hAnsi="Arial Narrow"/>
                            <w:sz w:val="18"/>
                            <w:szCs w:val="18"/>
                          </w:rPr>
                          <w:t>T-score ≥0</w:t>
                        </w:r>
                      </w:p>
                    </w:txbxContent>
                  </v:textbox>
                </v:shape>
                <v:shape id="Text Box 123" o:spid="_x0000_s1037" type="#_x0000_t202" style="position:absolute;left:22257;top:21068;width:9029;height:2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cIA&#10;AADbAAAADwAAAGRycy9kb3ducmV2LnhtbERPS4vCMBC+C/6HMAteRFM9iFSjLKK4eBB87J7HZLYt&#10;20xqk9XqrzeC4G0+vudM540txYVqXzhWMOgnIIi1MwVnCo6HVW8Mwgdkg6VjUnAjD/NZuzXF1Lgr&#10;7+iyD5mIIexTVJCHUKVSep2TRd93FXHkfl1tMURYZ9LUeI3htpTDJBlJiwXHhhwrWuSk//b/VsF6&#10;cxrcN99LvT7zqZS7n662i61SnY/mcwIiUBPe4pf7y8T5Q3j+E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4P5wgAAANsAAAAPAAAAAAAAAAAAAAAAAJgCAABkcnMvZG93&#10;bnJldi54bWxQSwUGAAAAAAQABAD1AAAAhwMAAAAA&#10;" strokeweight=".5pt">
                  <v:textbox>
                    <w:txbxContent>
                      <w:p w:rsidR="00BF3456" w:rsidRPr="00192EAD" w:rsidRDefault="00BF3456" w:rsidP="00BF3456">
                        <w:pPr>
                          <w:pStyle w:val="NormalWeb"/>
                          <w:spacing w:before="0" w:beforeAutospacing="0" w:after="200" w:afterAutospacing="0" w:line="276" w:lineRule="auto"/>
                        </w:pPr>
                        <w:r w:rsidRPr="00192EAD">
                          <w:rPr>
                            <w:rFonts w:ascii="Arial Narrow" w:hAnsi="Arial Narrow"/>
                            <w:sz w:val="18"/>
                            <w:szCs w:val="18"/>
                          </w:rPr>
                          <w:t xml:space="preserve">Negative </w:t>
                        </w:r>
                        <w:r>
                          <w:rPr>
                            <w:rFonts w:ascii="Arial Narrow" w:hAnsi="Arial Narrow"/>
                            <w:sz w:val="18"/>
                            <w:szCs w:val="18"/>
                          </w:rPr>
                          <w:t>T-score</w:t>
                        </w:r>
                      </w:p>
                    </w:txbxContent>
                  </v:textbox>
                </v:shape>
                <v:shape id="Text Box 123" o:spid="_x0000_s1038" type="#_x0000_t202" style="position:absolute;left:4174;top:24884;width:11068;height:44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mYsIA&#10;AADbAAAADwAAAGRycy9kb3ducmV2LnhtbERPTWsCMRC9C/6HMIKXolktFFmNImJRPAha9Twm4+7i&#10;ZrLdRN3665tCwds83udMZo0txZ1qXzhWMOgnIIi1MwVnCg5fn70RCB+QDZaOScEPeZhN260JpsY9&#10;eEf3fchEDGGfooI8hCqV0uucLPq+q4gjd3G1xRBhnUlT4yOG21IOk+RDWiw4NuRY0SInfd3frILV&#10;5jx4bo5Lvfrmcyl3pzdtF1ulup1mPgYRqAkv8b97beL8d/j7JR4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yZiwgAAANsAAAAPAAAAAAAAAAAAAAAAAJgCAABkcnMvZG93&#10;bnJldi54bWxQSwUGAAAAAAQABAD1AAAAhwMAAAAA&#10;" strokeweight=".5pt">
                  <v:textbox>
                    <w:txbxContent>
                      <w:p w:rsidR="00BF3456" w:rsidRDefault="00BF3456" w:rsidP="00BF3456">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No change in</w:t>
                        </w:r>
                      </w:p>
                      <w:p w:rsidR="00BF3456" w:rsidRDefault="00BF3456" w:rsidP="00BF3456">
                        <w:pPr>
                          <w:pStyle w:val="NormalWeb"/>
                          <w:spacing w:before="0" w:beforeAutospacing="0" w:after="0" w:afterAutospacing="0" w:line="276" w:lineRule="auto"/>
                          <w:jc w:val="center"/>
                          <w:rPr>
                            <w:rFonts w:ascii="Arial Narrow" w:hAnsi="Arial Narrow"/>
                            <w:sz w:val="18"/>
                            <w:szCs w:val="18"/>
                          </w:rPr>
                        </w:pPr>
                        <w:r>
                          <w:rPr>
                            <w:rFonts w:ascii="Arial Narrow" w:hAnsi="Arial Narrow"/>
                            <w:sz w:val="18"/>
                            <w:szCs w:val="18"/>
                          </w:rPr>
                          <w:t>management required</w:t>
                        </w:r>
                      </w:p>
                    </w:txbxContent>
                  </v:textbox>
                </v:shape>
                <v:shape id="Straight Arrow Connector 121" o:spid="_x0000_s1039" type="#_x0000_t32" style="position:absolute;left:26631;top:5048;width:0;height:1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line id="Straight Connector 127" o:spid="_x0000_s1040" style="position:absolute;visibility:visible;mso-wrap-style:square" from="26729,14215" to="26729,1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Straight Connector 139" o:spid="_x0000_s1041" style="position:absolute;visibility:visible;mso-wrap-style:square" from="9629,19421" to="26631,19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Straight Arrow Connector 141" o:spid="_x0000_s1042" type="#_x0000_t32" style="position:absolute;left:9635;top:19518;width:32;height:1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8uGsIAAADbAAAADwAAAGRycy9kb3ducmV2LnhtbERPTYvCMBC9L/gfwgheFk11QaUaRQRB&#10;lgXR9eJtaKZNsZnUJta6v36zIOxtHu9zluvOVqKlxpeOFYxHCQjizOmSCwXn791wDsIHZI2VY1Lw&#10;JA/rVe9tial2Dz5SewqFiCHsU1RgQqhTKX1myKIfuZo4crlrLIYIm0LqBh8x3FZykiRTabHk2GCw&#10;pq2h7Hq6WwXvx0tZ5Pn96+k/fg7z5PNwM1mr1KDfbRYgAnXhX/xy73WcP4O/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8uGsIAAADbAAAADwAAAAAAAAAAAAAA&#10;AAChAgAAZHJzL2Rvd25yZXYueG1sUEsFBgAAAAAEAAQA+QAAAJADAAAAAA==&#10;">
                  <v:stroke endarrow="open"/>
                </v:shape>
                <v:shape id="Straight Arrow Connector 149" o:spid="_x0000_s1043" type="#_x0000_t32" style="position:absolute;left:9673;top:23657;width:0;height:12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C6aMYAAADbAAAADwAAAGRycy9kb3ducmV2LnhtbESPT2vCQBDF7wW/wzKFXopuVCiSukop&#10;FEQK4p+LtyE7yYZmZ2N2jbGfvnMQepvhvXnvN8v14BvVUxfrwAamkwwUcRFszZWB0/FrvAAVE7LF&#10;JjAZuFOE9Wr0tMTchhvvqT+kSkkIxxwNuJTaXOtYOPIYJ6ElFq0Mnccka1dp2+FNwn2jZ1n2pj3W&#10;LA0OW/p0VPwcrt7A6/5cV2V5/b7H+e9ukW13F1f0xrw8Dx/voBIN6d/8uN5YwRdY+UUG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wumjGAAAA2wAAAA8AAAAAAAAA&#10;AAAAAAAAoQIAAGRycy9kb3ducmV2LnhtbFBLBQYAAAAABAAEAPkAAACUAwAAAAA=&#10;">
                  <v:stroke endarrow="open"/>
                </v:shape>
                <v:shape id="Text Box 123" o:spid="_x0000_s1044" type="#_x0000_t202" style="position:absolute;left:7438;top:35243;width:4762;height:39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RiMIA&#10;AADbAAAADwAAAGRycy9kb3ducmV2LnhtbERPTWsCMRC9C/6HMIKXolk9lLoaRcSieBC06nlMxt3F&#10;zWS7ibr11zeFgrd5vM+ZzBpbijvVvnCsYNBPQBBrZwrOFBy+PnsfIHxANlg6JgU/5GE2bbcmmBr3&#10;4B3d9yETMYR9igryEKpUSq9zsuj7riKO3MXVFkOEdSZNjY8Ybks5TJJ3abHg2JBjRYuc9HV/swpW&#10;m/PguTku9eqbz6Xcnd60XWyV6naa+RhEoCa8xP/utYnzR/D3Szx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xGIwgAAANsAAAAPAAAAAAAAAAAAAAAAAJgCAABkcnMvZG93&#10;bnJldi54bWxQSwUGAAAAAAQABAD1AAAAhwMAAAAA&#10;" strokeweight=".5pt">
                  <v:textbo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239" o:spid="_x0000_s1045" type="#_x0000_t32" style="position:absolute;left:26751;top:15281;width:0;height:1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Text Box 123" o:spid="_x0000_s1046" type="#_x0000_t202" style="position:absolute;left:18930;top:35203;width:4763;height:3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XM8UA&#10;AADbAAAADwAAAGRycy9kb3ducmV2LnhtbESPQWvCQBSE7wX/w/KEXopu4qGU6CaIKBYPBW31/LL7&#10;moRm38bsVlN/vVso9DjMzDfMohhsKy7U+8axgnSagCDWzjRcKfh430xeQPiAbLB1TAp+yEORjx4W&#10;mBl35T1dDqESEcI+QwV1CF0mpdc1WfRT1xFH79P1FkOUfSVNj9cIt62cJcmztNhwXKixo1VN+uvw&#10;bRVsd2V62x3XenvmspX705O2qzelHsfDcg4i0BD+w3/tV6NglsLvl/gD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SdczxQAAANsAAAAPAAAAAAAAAAAAAAAAAJgCAABkcnMv&#10;ZG93bnJldi54bWxQSwUGAAAAAAQABAD1AAAAigMAAAAA&#10;" strokeweight=".5pt">
                  <v:textbo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047" type="#_x0000_t202" style="position:absolute;left:17165;top:29875;width:8464;height:38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JRMUA&#10;AADbAAAADwAAAGRycy9kb3ducmV2LnhtbESPT2vCQBTE74V+h+UJXkQ35lAkuopIRfFQ8E97ftl9&#10;TUKzb2N21dhP3xWEHoeZ+Q0zW3S2FldqfeVYwXiUgCDWzlRcKDgd18MJCB+QDdaOScGdPCzmry8z&#10;zIy78Z6uh1CICGGfoYIyhCaT0uuSLPqRa4ij9+1aiyHKtpCmxVuE21qmSfImLVYcF0psaFWS/jlc&#10;rILNLh//7j7f9ebMeS33XwNtVx9K9XvdcgoiUBf+w8/21ihIU3h8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0lExQAAANsAAAAPAAAAAAAAAAAAAAAAAJgCAABkcnMv&#10;ZG93bnJldi54bWxQSwUGAAAAAAQABAD1AAAAigMAAAAA&#10;" strokeweight=".5pt">
                  <v:textbox>
                    <w:txbxContent>
                      <w:p w:rsidR="00BF3456" w:rsidRDefault="00BF3456" w:rsidP="00BF3456">
                        <w:pPr>
                          <w:pStyle w:val="NormalWeb"/>
                          <w:spacing w:before="0" w:beforeAutospacing="0" w:after="0" w:afterAutospacing="0" w:line="276" w:lineRule="auto"/>
                          <w:jc w:val="center"/>
                        </w:pPr>
                        <w:r>
                          <w:rPr>
                            <w:rFonts w:ascii="Arial Narrow" w:hAnsi="Arial Narrow"/>
                            <w:sz w:val="18"/>
                            <w:szCs w:val="18"/>
                          </w:rPr>
                          <w:t>Patient adheres</w:t>
                        </w:r>
                      </w:p>
                      <w:p w:rsidR="00BF3456" w:rsidRDefault="00BF3456" w:rsidP="00BF3456">
                        <w:pPr>
                          <w:pStyle w:val="NormalWeb"/>
                          <w:spacing w:before="0" w:beforeAutospacing="0" w:after="0" w:afterAutospacing="0" w:line="276" w:lineRule="auto"/>
                          <w:jc w:val="center"/>
                        </w:pPr>
                        <w:r>
                          <w:rPr>
                            <w:rFonts w:ascii="Arial Narrow" w:hAnsi="Arial Narrow"/>
                            <w:sz w:val="18"/>
                            <w:szCs w:val="18"/>
                          </w:rPr>
                          <w:t>to advice</w:t>
                        </w:r>
                      </w:p>
                    </w:txbxContent>
                  </v:textbox>
                </v:shape>
                <v:shape id="Text Box 123" o:spid="_x0000_s1048" type="#_x0000_t202" style="position:absolute;left:27845;top:29852;width:8827;height:3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s38QA&#10;AADbAAAADwAAAGRycy9kb3ducmV2LnhtbESPT2sCMRTE7wW/Q3hCL6JZLYisRhGxWDwI/j0/k+fu&#10;4uZl3aS69dM3BaHHYWZ+w0xmjS3FnWpfOFbQ7yUgiLUzBWcKDvvP7giED8gGS8ek4Ic8zKattwmm&#10;xj14S/ddyESEsE9RQR5ClUrpdU4Wfc9VxNG7uNpiiLLOpKnxEeG2lIMkGUqLBceFHCta5KSvu2+r&#10;YLU+95/r41Kvbnwu5fbU0XaxUeq93czHIAI14T/8an8ZBYMP+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X7N/EAAAA2wAAAA8AAAAAAAAAAAAAAAAAmAIAAGRycy9k&#10;b3ducmV2LnhtbFBLBQYAAAAABAAEAPUAAACJAwAAAAA=&#10;" strokeweight=".5pt">
                  <v:textbox>
                    <w:txbxContent>
                      <w:p w:rsidR="00BF3456" w:rsidRDefault="00BF3456" w:rsidP="00BF3456">
                        <w:pPr>
                          <w:pStyle w:val="NormalWeb"/>
                          <w:spacing w:before="0" w:beforeAutospacing="0" w:after="0" w:afterAutospacing="0" w:line="276" w:lineRule="auto"/>
                        </w:pPr>
                        <w:r>
                          <w:rPr>
                            <w:rFonts w:ascii="Arial Narrow" w:hAnsi="Arial Narrow"/>
                            <w:sz w:val="18"/>
                            <w:szCs w:val="18"/>
                          </w:rPr>
                          <w:t>Patient does not</w:t>
                        </w:r>
                      </w:p>
                      <w:p w:rsidR="00BF3456" w:rsidRDefault="00BF3456" w:rsidP="00BF3456">
                        <w:pPr>
                          <w:pStyle w:val="NormalWeb"/>
                          <w:spacing w:before="0" w:beforeAutospacing="0" w:after="0" w:afterAutospacing="0" w:line="276" w:lineRule="auto"/>
                        </w:pPr>
                        <w:r>
                          <w:rPr>
                            <w:rFonts w:ascii="Arial Narrow" w:hAnsi="Arial Narrow"/>
                            <w:sz w:val="18"/>
                            <w:szCs w:val="18"/>
                          </w:rPr>
                          <w:t>adhere to advice</w:t>
                        </w:r>
                      </w:p>
                    </w:txbxContent>
                  </v:textbox>
                </v:shape>
                <v:shape id="Text Box 123" o:spid="_x0000_s1049" type="#_x0000_t202" style="position:absolute;left:29731;top:35286;width:4763;height:3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50q8QA&#10;AADbAAAADwAAAGRycy9kb3ducmV2LnhtbESPT2sCMRTE7wW/Q3hCL6JZpYisRhGxWDwI/j0/k+fu&#10;4uZl3aS69dM3BaHHYWZ+w0xmjS3FnWpfOFbQ7yUgiLUzBWcKDvvP7giED8gGS8ek4Ic8zKattwmm&#10;xj14S/ddyESEsE9RQR5ClUrpdU4Wfc9VxNG7uNpiiLLOpKnxEeG2lIMkGUqLBceFHCta5KSvu2+r&#10;YLU+95/r41Kvbnwu5fbU0XaxUeq93czHIAI14T/8an8ZBYMP+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dKvEAAAA2wAAAA8AAAAAAAAAAAAAAAAAmAIAAGRycy9k&#10;b3ducmV2LnhtbFBLBQYAAAAABAAEAPUAAACJAwAAAAA=&#10;" strokeweight=".5pt">
                  <v:textbo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180" o:spid="_x0000_s1050" type="#_x0000_t32" style="position:absolute;left:21357;top:28089;width:38;height:1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ELMQAAADbAAAADwAAAGRycy9kb3ducmV2LnhtbESPT2vCQBTE7wW/w/KEXopuTPEP0VVE&#10;aC30ZBS8PrIv2WD2bciuMf32bqHQ4zAzv2E2u8E2oqfO144VzKYJCOLC6ZorBZfzx2QFwgdkjY1j&#10;UvBDHnbb0csGM+0efKI+D5WIEPYZKjAhtJmUvjBk0U9dSxy90nUWQ5RdJXWHjwi3jUyTZCEt1hwX&#10;DLZ0MFTc8rtVUKaaZm+3qzku51gevt/Tvm8+lXodD/s1iEBD+A//tb+0gnQO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dIQsxAAAANsAAAAPAAAAAAAAAAAA&#10;AAAAAKECAABkcnMvZG93bnJldi54bWxQSwUGAAAAAAQABAD5AAAAkgMAAAAA&#10;">
                  <v:stroke endarrow="open"/>
                </v:shape>
                <v:shape id="Straight Arrow Connector 181" o:spid="_x0000_s1051" type="#_x0000_t32" style="position:absolute;left:32114;top:28089;width:38;height:1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line id="Straight Connector 182" o:spid="_x0000_s1052" style="position:absolute;visibility:visible;mso-wrap-style:square" from="21401,28089" to="32152,28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Straight Connector 183" o:spid="_x0000_s1053" style="position:absolute;visibility:visible;mso-wrap-style:square" from="26596,26457" to="26596,28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Straight Arrow Connector 18" o:spid="_x0000_s1054" type="#_x0000_t32" style="position:absolute;left:21311;top:39020;width:1;height:1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OKcQAAADbAAAADwAAAGRycy9kb3ducmV2LnhtbESPQWvCQBSE7wX/w/IEL6VujLTW6CaI&#10;YFvwVC30+si+ZIPZtyG7xvTfu4VCj8PMfMNsi9G2YqDeN44VLOYJCOLS6YZrBV/nw9MrCB+QNbaO&#10;ScEPeSjyycMWM+1u/EnDKdQiQthnqMCE0GVS+tKQRT93HXH0KtdbDFH2tdQ93iLctjJNkhdpseG4&#10;YLCjvaHycrpaBVWqafF4+Tbvq2es9sdlOgztm1Kz6bjbgAg0hv/wX/tDK0jX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Y4pxAAAANsAAAAPAAAAAAAAAAAA&#10;AAAAAKECAABkcnMvZG93bnJldi54bWxQSwUGAAAAAAQABAD5AAAAkgMAAAAA&#10;">
                  <v:stroke endarrow="open"/>
                </v:shape>
                <v:shape id="Text Box 123" o:spid="_x0000_s1055" type="#_x0000_t202" style="position:absolute;left:18823;top:24914;width:16644;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zkdcMA&#10;AADbAAAADwAAAGRycy9kb3ducmV2LnhtbERPy2rCQBTdF/yH4QpuSjNRQUrqKEUqiouC9rG+mblN&#10;QjN30syYRL++sxBcHs57uR5sLTpqfeVYwTRJQRBrZyouFHx+bJ+eQfiAbLB2TAou5GG9Gj0sMTOu&#10;5yN1p1CIGMI+QwVlCE0mpdclWfSJa4gj9+NaiyHCtpCmxT6G21rO0nQhLVYcG0psaFOS/j2drYLd&#10;IZ9eD19vevfHeS2P34/abt6VmoyH1xcQgYZwF9/ce6NgHtfH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zkdcMAAADbAAAADwAAAAAAAAAAAAAAAACYAgAAZHJzL2Rv&#10;d25yZXYueG1sUEsFBgAAAAAEAAQA9QAAAIgDAAAAAA==&#10;" strokeweight=".5pt">
                  <v:textbox>
                    <w:txbxContent>
                      <w:p w:rsidR="00BF3456" w:rsidRPr="00192EAD" w:rsidRDefault="00BF3456" w:rsidP="00BF3456">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Lifestyle and dietary advice (b, c, d)</w:t>
                        </w:r>
                      </w:p>
                    </w:txbxContent>
                  </v:textbox>
                </v:shape>
                <v:shape id="Text Box 123" o:spid="_x0000_s1056" type="#_x0000_t202" style="position:absolute;left:54331;top:19333;width:15602;height:26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B7sUA&#10;AADbAAAADwAAAGRycy9kb3ducmV2LnhtbESPQWvCQBSE74X+h+UVepG6SQUp0TWUUFE8FNTW83P3&#10;NQnNvo3ZVWN/vSsIPQ4z8w0zzXvbiBN1vnasIB0mIIi1MzWXCr6285c3ED4gG2wck4ILechnjw9T&#10;zIw785pOm1CKCGGfoYIqhDaT0uuKLPqha4mj9+M6iyHKrpSmw3OE20a+JslYWqw5LlTYUlGR/t0c&#10;rYLFap/+rb4/9OLA+0audwNti0+lnp/69wmIQH34D9/bS6Ngl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kEHuxQAAANsAAAAPAAAAAAAAAAAAAAAAAJgCAABkcnMv&#10;ZG93bnJldi54bWxQSwUGAAAAAAQABAD1AAAAigMAAAAA&#10;" strokeweight=".5pt">
                  <v:textbox>
                    <w:txbxContent>
                      <w:p w:rsidR="00BF3456" w:rsidRDefault="00BF3456" w:rsidP="00BF3456">
                        <w:pPr>
                          <w:pStyle w:val="NormalWeb"/>
                          <w:spacing w:before="0" w:beforeAutospacing="0" w:after="0" w:afterAutospacing="0" w:line="276" w:lineRule="auto"/>
                        </w:pPr>
                        <w:r>
                          <w:rPr>
                            <w:rFonts w:ascii="Arial Narrow" w:hAnsi="Arial Narrow"/>
                            <w:sz w:val="18"/>
                            <w:szCs w:val="18"/>
                          </w:rPr>
                          <w:t>Lifestyle and dietary advice (b, c)</w:t>
                        </w:r>
                      </w:p>
                    </w:txbxContent>
                  </v:textbox>
                </v:shape>
                <v:shape id="Text Box 123" o:spid="_x0000_s1057" type="#_x0000_t202" style="position:absolute;left:53525;top:35641;width:4763;height:38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fmcQA&#10;AADbAAAADwAAAGRycy9kb3ducmV2LnhtbESPT2sCMRTE7wW/Q3hCL6JZLYisRhGxWDwI/j0/k+fu&#10;4uZl3aS69dM3BaHHYWZ+w0xmjS3FnWpfOFbQ7yUgiLUzBWcKDvvP7giED8gGS8ek4Ic8zKattwmm&#10;xj14S/ddyESEsE9RQR5ClUrpdU4Wfc9VxNG7uNpiiLLOpKnxEeG2lIMkGUqLBceFHCta5KSvu2+r&#10;YLU+95/r41Kvbnwu5fbU0XaxUeq93czHIAI14T/8an8ZBR8D+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35nEAAAA2wAAAA8AAAAAAAAAAAAAAAAAmAIAAGRycy9k&#10;b3ducmV2LnhtbFBLBQYAAAAABAAEAPUAAACJAwAAAAA=&#10;" strokeweight=".5pt">
                  <v:textbo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v:textbox>
                </v:shape>
                <v:shape id="Text Box 123" o:spid="_x0000_s1058" type="#_x0000_t202" style="position:absolute;left:69844;top:25150;width:3512;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56AsUA&#10;AADbAAAADwAAAGRycy9kb3ducmV2LnhtbESPQWvCQBSE7wX/w/IEL0U3ViiSZiMiLYoHQW09P3df&#10;k2D2bZpdNfrruwWhx2FmvmGyWWdrcaHWV44VjEcJCGLtTMWFgs/9x3AKwgdkg7VjUnAjD7O895Rh&#10;atyVt3TZhUJECPsUFZQhNKmUXpdk0Y9cQxy9b9daDFG2hTQtXiPc1vIlSV6lxYrjQokNLUrSp93Z&#10;Kliuj+P7+utdL3/4WMvt4VnbxUapQb+bv4EI1IX/8KO9MgomE/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noCxQAAANsAAAAPAAAAAAAAAAAAAAAAAJgCAABkcnMv&#10;ZG93bnJldi54bWxQSwUGAAAAAAQABAD1AAAAigMAAAAA&#10;" strokeweight=".5pt">
                  <v:textbox>
                    <w:txbxContent>
                      <w:p w:rsidR="00BF3456" w:rsidRDefault="00BF3456" w:rsidP="00BF3456">
                        <w:pPr>
                          <w:pStyle w:val="NormalWeb"/>
                          <w:spacing w:before="0" w:beforeAutospacing="0" w:after="200" w:afterAutospacing="0" w:line="276" w:lineRule="auto"/>
                        </w:pPr>
                        <w:r>
                          <w:rPr>
                            <w:rFonts w:ascii="Arial Narrow" w:hAnsi="Arial Narrow"/>
                            <w:sz w:val="18"/>
                            <w:szCs w:val="18"/>
                          </w:rPr>
                          <w:t>Yes</w:t>
                        </w:r>
                      </w:p>
                    </w:txbxContent>
                  </v:textbox>
                </v:shape>
                <v:shape id="Text Box 123" o:spid="_x0000_s1059" type="#_x0000_t202" style="position:absolute;left:54162;top:25150;width:3093;height:2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idsYA&#10;AADbAAAADwAAAGRycy9kb3ducmV2LnhtbESPT2vCQBTE74LfYXlCL6KbtKVI6hpELBYPBf+05+fu&#10;axLMvo3ZrUY/fVco9DjMzG+Yad7ZWpyp9ZVjBek4AUGsnam4ULDfvY0mIHxANlg7JgVX8pDP+r0p&#10;ZsZdeEPnbShEhLDPUEEZQpNJ6XVJFv3YNcTR+3atxRBlW0jT4iXCbS0fk+RFWqw4LpTY0KIkfdz+&#10;WAWr9SG9rT+XenXiQy03X0NtFx9KPQy6+SuIQF34D/+1342Cp2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fidsYAAADbAAAADwAAAAAAAAAAAAAAAACYAgAAZHJz&#10;L2Rvd25yZXYueG1sUEsFBgAAAAAEAAQA9QAAAIsDAAAAAA==&#10;" strokeweight=".5pt">
                  <v:textbox>
                    <w:txbxContent>
                      <w:p w:rsidR="00BF3456" w:rsidRDefault="00BF3456" w:rsidP="00BF3456">
                        <w:pPr>
                          <w:pStyle w:val="NormalWeb"/>
                          <w:spacing w:before="0" w:beforeAutospacing="0" w:after="200" w:afterAutospacing="0" w:line="276" w:lineRule="auto"/>
                        </w:pPr>
                        <w:r>
                          <w:rPr>
                            <w:rFonts w:ascii="Arial Narrow" w:hAnsi="Arial Narrow"/>
                            <w:sz w:val="18"/>
                            <w:szCs w:val="18"/>
                          </w:rPr>
                          <w:t>No</w:t>
                        </w:r>
                      </w:p>
                    </w:txbxContent>
                  </v:textbox>
                </v:shape>
                <v:shape id="Text Box 123" o:spid="_x0000_s1060" type="#_x0000_t202" style="position:absolute;left:63939;top:35657;width:4763;height:38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tH7cYA&#10;AADbAAAADwAAAGRycy9kb3ducmV2LnhtbESPT2vCQBTE74LfYXlCL6KbtLRI6hpELBYPBf+05+fu&#10;axLMvo3ZrUY/fVco9DjMzG+Yad7ZWpyp9ZVjBek4AUGsnam4ULDfvY0mIHxANlg7JgVX8pDP+r0p&#10;ZsZdeEPnbShEhLDPUEEZQpNJ6XVJFv3YNcTR+3atxRBlW0jT4iXCbS0fk+RFWqw4LpTY0KIkfdz+&#10;WAWr9SG9rT+XenXiQy03X0NtFx9KPQy6+SuIQF34D/+1342Cp2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tH7cYAAADbAAAADwAAAAAAAAAAAAAAAACYAgAAZHJz&#10;L2Rvd25yZXYueG1sUEsFBgAAAAAEAAQA9QAAAIsDAAAAAA==&#10;" strokeweight=".5pt">
                  <v:textbo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v:textbox>
                </v:shape>
                <v:line id="Straight Connector 240" o:spid="_x0000_s1061" style="position:absolute;visibility:visible;mso-wrap-style:square" from="55940,23677" to="71777,2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Straight Arrow Connector 241" o:spid="_x0000_s1062" type="#_x0000_t32" style="position:absolute;left:55940;top:23677;width:0;height:15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HcMAAADbAAAADwAAAGRycy9kb3ducmV2LnhtbESPQWvCQBSE74L/YXlCL1I3RqwldRUR&#10;agVPVaHXR/YlG8y+Ddk1xn/fFQSPw8x8wyzXva1FR62vHCuYThIQxLnTFZcKzqfv908QPiBrrB2T&#10;gjt5WK+GgyVm2t34l7pjKEWEsM9QgQmhyaT0uSGLfuIa4ugVrrUYomxLqVu8RbitZZokH9JixXHB&#10;YENbQ/nleLUKilTTdHz5Mz+LORbbwyztunqn1Nuo33yBCNSHV/jZ3msFswU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KR3DAAAA2wAAAA8AAAAAAAAAAAAA&#10;AAAAoQIAAGRycy9kb3ducmV2LnhtbFBLBQYAAAAABAAEAPkAAACRAwAAAAA=&#10;">
                  <v:stroke endarrow="open"/>
                </v:shape>
                <v:shape id="Straight Arrow Connector 242" o:spid="_x0000_s1063" type="#_x0000_t32" style="position:absolute;left:71783;top:23677;width:0;height:1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shape id="Text Box 123" o:spid="_x0000_s1064" type="#_x0000_t202" style="position:absolute;left:62174;top:30169;width:8464;height:3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N6MYA&#10;AADbAAAADwAAAGRycy9kb3ducmV2LnhtbESPT2vCQBTE74LfYXlCL6KbtFBq6hpELBYPBf+05+fu&#10;axLMvo3ZrUY/fVco9DjMzG+Yad7ZWpyp9ZVjBek4AUGsnam4ULDfvY1eQPiAbLB2TAqu5CGf9XtT&#10;zIy78IbO21CICGGfoYIyhCaT0uuSLPqxa4ij9+1aiyHKtpCmxUuE21o+JsmztFhxXCixoUVJ+rj9&#10;sQpW60N6W38u9erEh1puvobaLj6Uehh081cQgbrwH/5rvxsFTxO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ZN6MYAAADbAAAADwAAAAAAAAAAAAAAAACYAgAAZHJz&#10;L2Rvd25yZXYueG1sUEsFBgAAAAAEAAQA9QAAAIsDAAAAAA==&#10;" strokeweight=".5pt">
                  <v:textbox>
                    <w:txbxContent>
                      <w:p w:rsidR="00BF3456" w:rsidRDefault="00BF3456" w:rsidP="00BF3456">
                        <w:pPr>
                          <w:pStyle w:val="NormalWeb"/>
                          <w:spacing w:before="0" w:beforeAutospacing="0" w:after="0" w:afterAutospacing="0" w:line="276" w:lineRule="auto"/>
                          <w:jc w:val="center"/>
                        </w:pPr>
                        <w:r>
                          <w:rPr>
                            <w:rFonts w:ascii="Arial Narrow" w:hAnsi="Arial Narrow"/>
                            <w:sz w:val="18"/>
                            <w:szCs w:val="18"/>
                          </w:rPr>
                          <w:t>Patient adheres</w:t>
                        </w:r>
                      </w:p>
                      <w:p w:rsidR="00BF3456" w:rsidRDefault="00BF3456" w:rsidP="00BF3456">
                        <w:pPr>
                          <w:pStyle w:val="NormalWeb"/>
                          <w:spacing w:before="0" w:beforeAutospacing="0" w:after="0" w:afterAutospacing="0" w:line="276" w:lineRule="auto"/>
                          <w:jc w:val="center"/>
                        </w:pPr>
                        <w:r>
                          <w:rPr>
                            <w:rFonts w:ascii="Arial Narrow" w:hAnsi="Arial Narrow"/>
                            <w:sz w:val="18"/>
                            <w:szCs w:val="18"/>
                          </w:rPr>
                          <w:t>to advice</w:t>
                        </w:r>
                      </w:p>
                    </w:txbxContent>
                  </v:textbox>
                </v:shape>
                <v:shape id="Text Box 123" o:spid="_x0000_s1065" type="#_x0000_t202" style="position:absolute;left:72854;top:30068;width:8827;height:38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qXCMMA&#10;AADbAAAADwAAAGRycy9kb3ducmV2LnhtbERPy2rCQBTdF/yH4QpuSjNRRErqKEUqiouC9rG+mblN&#10;QjN30syYRL++sxBcHs57uR5sLTpqfeVYwTRJQRBrZyouFHx+bJ+eQfiAbLB2TAou5GG9Gj0sMTOu&#10;5yN1p1CIGMI+QwVlCE0mpdclWfSJa4gj9+NaiyHCtpCmxT6G21rO0nQhLVYcG0psaFOS/j2drYLd&#10;IZ9eD19vevfHeS2P34/abt6VmoyH1xcQgYZwF9/ce6NgHtfH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qXCMMAAADbAAAADwAAAAAAAAAAAAAAAACYAgAAZHJzL2Rv&#10;d25yZXYueG1sUEsFBgAAAAAEAAQA9QAAAIgDAAAAAA==&#10;" strokeweight=".5pt">
                  <v:textbox>
                    <w:txbxContent>
                      <w:p w:rsidR="00BF3456" w:rsidRDefault="00BF3456" w:rsidP="00BF3456">
                        <w:pPr>
                          <w:pStyle w:val="NormalWeb"/>
                          <w:spacing w:before="0" w:beforeAutospacing="0" w:after="0" w:afterAutospacing="0" w:line="276" w:lineRule="auto"/>
                        </w:pPr>
                        <w:r>
                          <w:rPr>
                            <w:rFonts w:ascii="Arial Narrow" w:hAnsi="Arial Narrow"/>
                            <w:sz w:val="18"/>
                            <w:szCs w:val="18"/>
                          </w:rPr>
                          <w:t>Patient does not</w:t>
                        </w:r>
                      </w:p>
                      <w:p w:rsidR="00BF3456" w:rsidRDefault="00BF3456" w:rsidP="00BF3456">
                        <w:pPr>
                          <w:pStyle w:val="NormalWeb"/>
                          <w:spacing w:before="0" w:beforeAutospacing="0" w:after="0" w:afterAutospacing="0" w:line="276" w:lineRule="auto"/>
                        </w:pPr>
                        <w:r>
                          <w:rPr>
                            <w:rFonts w:ascii="Arial Narrow" w:hAnsi="Arial Narrow"/>
                            <w:sz w:val="18"/>
                            <w:szCs w:val="18"/>
                          </w:rPr>
                          <w:t>adhere to advice</w:t>
                        </w:r>
                      </w:p>
                    </w:txbxContent>
                  </v:textbox>
                </v:shape>
                <v:shape id="Text Box 123" o:spid="_x0000_s1066" type="#_x0000_t202" style="position:absolute;left:74740;top:35740;width:4763;height:37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yk8UA&#10;AADbAAAADwAAAGRycy9kb3ducmV2LnhtbESPQWvCQBSE74X+h+UVepG6SREp0TWUUFE8FNTW83P3&#10;NQnNvo3ZVWN/vSsIPQ4z8w0zzXvbiBN1vnasIB0mIIi1MzWXCr6285c3ED4gG2wck4ILechnjw9T&#10;zIw785pOm1CKCGGfoYIqhDaT0uuKLPqha4mj9+M6iyHKrpSmw3OE20a+JslYWqw5LlTYUlGR/t0c&#10;rYLFap/+rb4/9OLA+0audwNti0+lnp/69wmIQH34D9/bS6Ngl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jKTxQAAANsAAAAPAAAAAAAAAAAAAAAAAJgCAABkcnMv&#10;ZG93bnJldi54bWxQSwUGAAAAAAQABAD1AAAAigMAAAAA&#10;" strokeweight=".5pt">
                  <v:textbox>
                    <w:txbxContent>
                      <w:p w:rsidR="00BF3456" w:rsidRDefault="00BF3456" w:rsidP="00BF3456">
                        <w:pPr>
                          <w:pStyle w:val="NormalWeb"/>
                          <w:spacing w:before="0" w:beforeAutospacing="0" w:after="0" w:afterAutospacing="0" w:line="276" w:lineRule="auto"/>
                        </w:pPr>
                        <w:r>
                          <w:rPr>
                            <w:rFonts w:ascii="Arial Narrow" w:hAnsi="Arial Narrow"/>
                            <w:sz w:val="18"/>
                            <w:szCs w:val="18"/>
                          </w:rPr>
                          <w:t>Risk of</w:t>
                        </w:r>
                      </w:p>
                      <w:p w:rsidR="00BF3456" w:rsidRDefault="00BF3456" w:rsidP="00BF3456">
                        <w:pPr>
                          <w:pStyle w:val="NormalWeb"/>
                          <w:spacing w:before="0" w:beforeAutospacing="0" w:after="0" w:afterAutospacing="0" w:line="276" w:lineRule="auto"/>
                        </w:pPr>
                        <w:r>
                          <w:rPr>
                            <w:rFonts w:ascii="Arial Narrow" w:hAnsi="Arial Narrow"/>
                            <w:sz w:val="18"/>
                            <w:szCs w:val="18"/>
                          </w:rPr>
                          <w:t>MTF</w:t>
                        </w:r>
                      </w:p>
                    </w:txbxContent>
                  </v:textbox>
                </v:shape>
                <v:shape id="Straight Arrow Connector 253" o:spid="_x0000_s1067" type="#_x0000_t32" style="position:absolute;left:66367;top:28464;width:38;height:1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Straight Arrow Connector 254" o:spid="_x0000_s1068" type="#_x0000_t32" style="position:absolute;left:77124;top:28464;width:38;height:1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5cY8MAAADbAAAADwAAAGRycy9kb3ducmV2LnhtbESPQWvCQBSE74L/YXkFL1I3Rm1L6ioi&#10;qIWeqoVeH9mXbDD7NmTXGP+9KxQ8DjPzDbNc97YWHbW+cqxgOklAEOdOV1wq+D3tXj9A+ICssXZM&#10;Cm7kYb0aDpaYaXflH+qOoRQRwj5DBSaEJpPS54Ys+olriKNXuNZiiLItpW7xGuG2lmmSvEmLFccF&#10;gw1tDeXn48UqKFJN0/H5zxzeF1hsv2dp19V7pUYv/eYTRKA+PMP/7S+tYD6Dx5f4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OXGPDAAAA2wAAAA8AAAAAAAAAAAAA&#10;AAAAoQIAAGRycy9kb3ducmV2LnhtbFBLBQYAAAAABAAEAPkAAACRAwAAAAA=&#10;">
                  <v:stroke endarrow="open"/>
                </v:shape>
                <v:line id="Straight Connector 255" o:spid="_x0000_s1069" style="position:absolute;visibility:visible;mso-wrap-style:square" from="66411,28464" to="77162,2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shape id="Straight Arrow Connector 257" o:spid="_x0000_s1070" type="#_x0000_t32" style="position:absolute;left:66367;top:33979;width:38;height:16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I668YAAADbAAAADwAAAGRycy9kb3ducmV2LnhtbESPQWvCQBSE74L/YXmCF2k2tbVImlWk&#10;IEgpiNpLb4/sSzY0+zZm1xj767uFgsdhZr5h8vVgG9FT52vHCh6TFARx4XTNlYLP0/ZhCcIHZI2N&#10;Y1JwIw/r1XiUY6bdlQ/UH0MlIoR9hgpMCG0mpS8MWfSJa4mjV7rOYoiyq6Tu8BrhtpHzNH2RFmuO&#10;CwZbejNUfB8vVsHs8FVXZXn5uPmnn/0yfd+fTdErNZ0Mm1cQgYZwD/+3d1rB8wL+vs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COuvGAAAA2wAAAA8AAAAAAAAA&#10;AAAAAAAAoQIAAGRycy9kb3ducmV2LnhtbFBLBQYAAAAABAAEAPkAAACUAwAAAAA=&#10;">
                  <v:stroke endarrow="open"/>
                </v:shape>
                <v:shape id="Straight Arrow Connector 258" o:spid="_x0000_s1071" type="#_x0000_t32" style="position:absolute;left:77124;top:33979;width:0;height:1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8QAAADbAAAADwAAAGRycy9kb3ducmV2LnhtbESPQWvCQBSE70L/w/IKvZS6Ma22pG5E&#10;hFrBk1ro9ZF9yYZk34bsGuO/7xYEj8PMfMMsV6NtxUC9rx0rmE0TEMSF0zVXCn5OXy8fIHxA1tg6&#10;JgVX8rDKHyZLzLS78IGGY6hEhLDPUIEJocuk9IUhi37qOuLola63GKLsK6l7vES4bWWaJAtpsea4&#10;YLCjjaGiOZ6tgjLVNHtufs33+x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f/7xAAAANsAAAAPAAAAAAAAAAAA&#10;AAAAAKECAABkcnMvZG93bnJldi54bWxQSwUGAAAAAAQABAD5AAAAkgMAAAAA&#10;">
                  <v:stroke endarrow="open"/>
                </v:shape>
                <v:shape id="Text Box 123" o:spid="_x0000_s1072" type="#_x0000_t202" style="position:absolute;left:40451;top:16302;width:16383;height:24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PfMYA&#10;AADbAAAADwAAAGRycy9kb3ducmV2LnhtbESPT2vCQBTE74LfYXlCL6KblNJK6hpELBYPBf+05+fu&#10;axLMvo3ZrUY/fVco9DjMzG+Yad7ZWpyp9ZVjBek4AUGsnam4ULDfvY0mIHxANlg7JgVX8pDP+r0p&#10;ZsZdeEPnbShEhLDPUEEZQpNJ6XVJFv3YNcTR+3atxRBlW0jT4iXCbS0fk+RZWqw4LpTY0KIkfdz+&#10;WAWr9SG9rT+XenXiQy03X0NtFx9KPQy6+SuIQF34D/+1342Cpx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MPfMYAAADbAAAADwAAAAAAAAAAAAAAAACYAgAAZHJz&#10;L2Rvd25yZXYueG1sUEsFBgAAAAAEAAQA9QAAAIsDAAAAAA==&#10;" strokeweight=".5pt">
                  <v:textbox>
                    <w:txbxContent>
                      <w:p w:rsidR="00BF3456" w:rsidRDefault="00BF3456" w:rsidP="00BF3456">
                        <w:pPr>
                          <w:pStyle w:val="NormalWeb"/>
                          <w:spacing w:before="0" w:beforeAutospacing="0" w:after="200" w:afterAutospacing="0" w:line="276" w:lineRule="auto"/>
                        </w:pPr>
                        <w:r>
                          <w:rPr>
                            <w:rFonts w:ascii="Arial Narrow" w:hAnsi="Arial Narrow"/>
                            <w:sz w:val="18"/>
                            <w:szCs w:val="18"/>
                          </w:rPr>
                          <w:t>Patient does not receive DXA scan</w:t>
                        </w:r>
                      </w:p>
                    </w:txbxContent>
                  </v:textbox>
                </v:shape>
                <v:line id="Straight Connector 19" o:spid="_x0000_s1073" style="position:absolute;visibility:visible;mso-wrap-style:square" from="26751,15281" to="48644,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Straight Arrow Connector 21" o:spid="_x0000_s1074" type="#_x0000_t32" style="position:absolute;left:48575;top:15106;width:70;height:1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ricQAAADbAAAADwAAAGRycy9kb3ducmV2LnhtbESPQWvCQBSE70L/w/KEXkrdmGrV6CpF&#10;aBU8mRa8PrIv2WD2bchuY/rvu4WCx2FmvmE2u8E2oqfO144VTCcJCOLC6ZorBV+f789LED4ga2wc&#10;k4If8rDbPow2mGl34zP1eahEhLDPUIEJoc2k9IUhi37iWuLola6zGKLsKqk7vEW4bWSaJK/SYs1x&#10;wWBLe0PFNf+2CspU0/TpejGHxRzL/ekl7fvmQ6nH8fC2BhFoCPfwf/uoFcx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5muJxAAAANsAAAAPAAAAAAAAAAAA&#10;AAAAAKECAABkcnMvZG93bnJldi54bWxQSwUGAAAAAAQABAD5AAAAkgMAAAAA&#10;">
                  <v:stroke endarrow="open"/>
                </v:shape>
                <v:shape id="Text Box 123" o:spid="_x0000_s1075" type="#_x0000_t202" style="position:absolute;left:59991;top:2244;width:34944;height:13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S9sMA&#10;AADbAAAADwAAAGRycy9kb3ducmV2LnhtbERPXWvCMBR9F/wP4Qq+DE0cU1xtKnPiUBBENwa+3TV3&#10;bVlzU5qo3b9fHgY+Hs53uuxsLa7U+sqxhslYgSDOnam40PDxvhnNQfiAbLB2TBp+ycMy6/dSTIy7&#10;8ZGup1CIGMI+QQ1lCE0ipc9LsujHriGO3LdrLYYI20KaFm8x3NbyUamZtFhxbCixodeS8p/TxWo4&#10;rB4aM3la1cXXbv2p9sqEt/Oz1sNB97IAEagLd/G/e2s0TOP6+CX+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iS9sMAAADbAAAADwAAAAAAAAAAAAAAAACYAgAAZHJzL2Rv&#10;d25yZXYueG1sUEsFBgAAAAAEAAQA9QAAAIgDAAAAAA==&#10;" strokeweight=".5pt">
                  <v:textbox style="mso-fit-shape-to-text:t">
                    <w:txbxContent>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Notes: MTF: minimal trauma fracture</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(a) Options for the initial screen to be provided to women in their 55</w:t>
                        </w:r>
                        <w:r w:rsidRPr="003E3B2C">
                          <w:rPr>
                            <w:rFonts w:ascii="Arial Narrow" w:hAnsi="Arial Narrow"/>
                            <w:color w:val="000000"/>
                            <w:sz w:val="16"/>
                            <w:szCs w:val="16"/>
                            <w:vertAlign w:val="superscript"/>
                          </w:rPr>
                          <w:t>th</w:t>
                        </w:r>
                        <w:r w:rsidRPr="003E3B2C">
                          <w:rPr>
                            <w:rFonts w:ascii="Arial Narrow" w:hAnsi="Arial Narrow"/>
                            <w:color w:val="000000"/>
                            <w:sz w:val="16"/>
                            <w:szCs w:val="16"/>
                          </w:rPr>
                          <w:t xml:space="preserve"> and 60</w:t>
                        </w:r>
                        <w:r w:rsidRPr="003E3B2C">
                          <w:rPr>
                            <w:rFonts w:ascii="Arial Narrow" w:hAnsi="Arial Narrow"/>
                            <w:color w:val="000000"/>
                            <w:sz w:val="16"/>
                            <w:szCs w:val="16"/>
                            <w:vertAlign w:val="superscript"/>
                          </w:rPr>
                          <w:t>th</w:t>
                        </w:r>
                        <w:r w:rsidRPr="003E3B2C">
                          <w:rPr>
                            <w:rFonts w:ascii="Arial Narrow" w:hAnsi="Arial Narrow"/>
                            <w:color w:val="000000"/>
                            <w:sz w:val="16"/>
                            <w:szCs w:val="16"/>
                          </w:rPr>
                          <w:t xml:space="preserve"> year</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(b) Exercise, sunshine, general bone health awareness</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(c) Calcium (1300mg/day), ensure replete vitamin D status &gt;60nmol/L</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(d) Any otherwise healthy woman identified through the proposed service</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with a T-score of -2.5 or less will</w:t>
                        </w:r>
                        <w:r>
                          <w:rPr>
                            <w:rFonts w:ascii="Arial Narrow" w:hAnsi="Arial Narrow"/>
                            <w:color w:val="000000"/>
                            <w:sz w:val="16"/>
                            <w:szCs w:val="16"/>
                          </w:rPr>
                          <w:t xml:space="preserve"> not be eligible for anti-resorp</w:t>
                        </w:r>
                        <w:r w:rsidRPr="003E3B2C">
                          <w:rPr>
                            <w:rFonts w:ascii="Arial Narrow" w:hAnsi="Arial Narrow"/>
                            <w:color w:val="000000"/>
                            <w:sz w:val="16"/>
                            <w:szCs w:val="16"/>
                          </w:rPr>
                          <w:t>tive medications on the PBS, but may choose to pay for TGA-approved medication such as bisphosphonates</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 xml:space="preserve">(e) For T-score </w:t>
                        </w:r>
                        <w:r w:rsidRPr="005F413E">
                          <w:rPr>
                            <w:rFonts w:ascii="Arial Narrow" w:hAnsi="Arial Narrow"/>
                            <w:color w:val="000000"/>
                            <w:sz w:val="16"/>
                            <w:szCs w:val="16"/>
                          </w:rPr>
                          <w:t>≤</w:t>
                        </w:r>
                        <w:r w:rsidRPr="003E3B2C">
                          <w:rPr>
                            <w:rFonts w:ascii="Arial Narrow" w:hAnsi="Arial Narrow"/>
                            <w:color w:val="000000"/>
                            <w:sz w:val="16"/>
                            <w:szCs w:val="16"/>
                          </w:rPr>
                          <w:t xml:space="preserve"> -2.5, a repeat DXA would be available through existing MBS</w:t>
                        </w:r>
                      </w:p>
                      <w:p w:rsidR="00BF3456" w:rsidRPr="003E3B2C" w:rsidRDefault="00BF3456" w:rsidP="00BF3456">
                        <w:pPr>
                          <w:pStyle w:val="NormalWeb"/>
                          <w:spacing w:before="0" w:beforeAutospacing="0" w:after="0" w:afterAutospacing="0" w:line="276" w:lineRule="auto"/>
                          <w:rPr>
                            <w:rFonts w:ascii="Arial Narrow" w:hAnsi="Arial Narrow"/>
                            <w:color w:val="000000"/>
                            <w:sz w:val="16"/>
                            <w:szCs w:val="16"/>
                          </w:rPr>
                        </w:pPr>
                        <w:r w:rsidRPr="003E3B2C">
                          <w:rPr>
                            <w:rFonts w:ascii="Arial Narrow" w:hAnsi="Arial Narrow"/>
                            <w:color w:val="000000"/>
                            <w:sz w:val="16"/>
                            <w:szCs w:val="16"/>
                          </w:rPr>
                          <w:t>12306 or 12321</w:t>
                        </w:r>
                      </w:p>
                    </w:txbxContent>
                  </v:textbox>
                </v:shape>
                <v:shapetype id="_x0000_t33" coordsize="21600,21600" o:spt="33" o:oned="t" path="m,l21600,r,21600e" filled="f">
                  <v:stroke joinstyle="miter"/>
                  <v:path arrowok="t" fillok="f" o:connecttype="none"/>
                  <o:lock v:ext="edit" shapetype="t"/>
                </v:shapetype>
                <v:shape id="Elbow Connector 26" o:spid="_x0000_s1076" type="#_x0000_t33" style="position:absolute;left:56834;top:17537;width:5822;height:18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6rsQAAADbAAAADwAAAGRycy9kb3ducmV2LnhtbESPQWvCQBSE74L/YXkFb7pRaFqiq9RC&#10;oKBIjR48PrLPJJp9G3a3Gv+9Wyj0OMzMN8xi1ZtW3Mj5xrKC6SQBQVxa3XCl4HjIx+8gfEDW2Fom&#10;BQ/ysFoOBwvMtL3znm5FqESEsM9QQR1Cl0npy5oM+ontiKN3ts5giNJVUju8R7hp5SxJUmmw4bhQ&#10;Y0efNZXX4sco2K7TU5nv9ObSXvPcf8/SN7dHpUYv/cccRKA+/If/2l9awesUfr/EH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6jquxAAAANsAAAAPAAAAAAAAAAAA&#10;AAAAAKECAABkcnMvZG93bnJldi54bWxQSwUGAAAAAAQABAD5AAAAkgMAAAAA&#10;">
                  <v:stroke endarrow="open"/>
                </v:shape>
                <v:shape id="Text Box 123" o:spid="_x0000_s1077" type="#_x0000_t202" style="position:absolute;left:15892;top:10687;width:21748;height:39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6OcQA&#10;AADbAAAADwAAAGRycy9kb3ducmV2LnhtbESPT2sCMRTE7wW/Q3hCL6JZhYqsRhGxWDwI/j0/k+fu&#10;4uZl3aS69dM3BaHHYWZ+w0xmjS3FnWpfOFbQ7yUgiLUzBWcKDvvP7giED8gGS8ek4Ic8zKattwmm&#10;xj14S/ddyESEsE9RQR5ClUrpdU4Wfc9VxNG7uNpiiLLOpKnxEeG2lIMkGUqLBceFHCta5KSvu2+r&#10;YLU+95/r41Kvbnwu5fbU0XaxUeq93czHIAI14T/8an8ZBR8D+PsSf4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dOjnEAAAA2wAAAA8AAAAAAAAAAAAAAAAAmAIAAGRycy9k&#10;b3ducmV2LnhtbFBLBQYAAAAABAAEAPUAAACJAwAAAAA=&#10;" strokeweight=".5pt">
                  <v:textbox>
                    <w:txbxContent>
                      <w:p w:rsidR="00BF3456" w:rsidRPr="00192EAD" w:rsidRDefault="00BF3456" w:rsidP="00BF3456">
                        <w:pPr>
                          <w:pStyle w:val="NormalWeb"/>
                          <w:spacing w:before="0" w:beforeAutospacing="0" w:after="0" w:afterAutospacing="0" w:line="276" w:lineRule="auto"/>
                          <w:jc w:val="center"/>
                        </w:pPr>
                        <w:r w:rsidRPr="00192EAD">
                          <w:rPr>
                            <w:rFonts w:ascii="Arial Narrow" w:hAnsi="Arial Narrow"/>
                            <w:sz w:val="18"/>
                            <w:szCs w:val="18"/>
                          </w:rPr>
                          <w:t>Clinical assessment, test for vitamin D</w:t>
                        </w:r>
                      </w:p>
                      <w:p w:rsidR="00BF3456" w:rsidRPr="00192EAD" w:rsidRDefault="00BF3456" w:rsidP="00BF3456">
                        <w:pPr>
                          <w:pStyle w:val="NormalWeb"/>
                          <w:spacing w:before="0" w:beforeAutospacing="0" w:after="0" w:afterAutospacing="0" w:line="276" w:lineRule="auto"/>
                          <w:jc w:val="center"/>
                        </w:pPr>
                        <w:r w:rsidRPr="00192EAD">
                          <w:rPr>
                            <w:rFonts w:ascii="Arial Narrow" w:hAnsi="Arial Narrow"/>
                            <w:sz w:val="18"/>
                            <w:szCs w:val="18"/>
                          </w:rPr>
                          <w:t>Including existing fracture risk assessment tools</w:t>
                        </w:r>
                      </w:p>
                    </w:txbxContent>
                  </v:textbox>
                </v:shape>
                <v:shape id="Straight Arrow Connector 262" o:spid="_x0000_s1078" type="#_x0000_t32" style="position:absolute;left:26676;top:9234;width:0;height:1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fKvsQAAADbAAAADwAAAGRycy9kb3ducmV2LnhtbESPQWvCQBSE7wX/w/IKXkrdGLGV1I2I&#10;oC30VBW8PrIv2ZDs25BdY/z3bqHQ4zAz3zDrzWhbMVDva8cK5rMEBHHhdM2VgvNp/7oC4QOyxtYx&#10;KbiTh00+eVpjpt2Nf2g4hkpECPsMFZgQukxKXxiy6GeuI45e6XqLIcq+krrHW4TbVqZJ8iYt1hwX&#10;DHa0M1Q0x6tVUKaa5i/NxXy+L7HcfS/SYWgPSk2fx+0HiEBj+A//tb+0guUC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18q+xAAAANsAAAAPAAAAAAAAAAAA&#10;AAAAAKECAABkcnMvZG93bnJldi54bWxQSwUGAAAAAAQABAD5AAAAkgMAAAAA&#10;">
                  <v:stroke endarrow="open"/>
                </v:shape>
                <v:shape id="Text Box 123" o:spid="_x0000_s1079" type="#_x0000_t202" style="position:absolute;left:3776;top:40397;width:12110;height:7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gH1sYA&#10;AADbAAAADwAAAGRycy9kb3ducmV2LnhtbESPT2vCQBTE74LfYXlCL6KblLZI6hpELBYPBf+05+fu&#10;axLMvo3ZrUY/fVco9DjMzG+Yad7ZWpyp9ZVjBek4AUGsnam4ULDfvY0mIHxANlg7JgVX8pDP+r0p&#10;ZsZdeEPnbShEhLDPUEEZQpNJ6XVJFv3YNcTR+3atxRBlW0jT4iXCbS0fk+RFWqw4LpTY0KIkfdz+&#10;WAWr9SG9rT+XenXiQy03X0NtFx9KPQy6+SuIQF34D/+1342C5ye4f4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gH1sYAAADbAAAADwAAAAAAAAAAAAAAAACYAgAAZHJz&#10;L2Rvd25yZXYueG1sUEsFBgAAAAAEAAQA9QAAAIsDAAAAAA==&#10;" strokeweight=".5pt">
                  <v:textbox>
                    <w:txbxContent>
                      <w:p w:rsidR="00BF3456" w:rsidRPr="00192EAD" w:rsidRDefault="00BF3456" w:rsidP="00BF3456">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Repeat scan options (e):</w:t>
                        </w:r>
                      </w:p>
                      <w:p w:rsidR="00BF3456" w:rsidRPr="00192EAD" w:rsidRDefault="00BF3456" w:rsidP="00BF3456">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No repeat;</w:t>
                        </w:r>
                      </w:p>
                      <w:p w:rsidR="00BF3456" w:rsidRPr="00192EAD" w:rsidRDefault="00BF3456" w:rsidP="00BF3456">
                        <w:pPr>
                          <w:pStyle w:val="NormalWeb"/>
                          <w:spacing w:before="0" w:beforeAutospacing="0" w:after="0" w:afterAutospacing="0" w:line="276" w:lineRule="auto"/>
                          <w:rPr>
                            <w:rFonts w:ascii="Arial Narrow" w:hAnsi="Arial Narrow"/>
                            <w:sz w:val="18"/>
                            <w:szCs w:val="18"/>
                          </w:rPr>
                        </w:pPr>
                        <w:r w:rsidRPr="00192EAD">
                          <w:rPr>
                            <w:rFonts w:ascii="Arial Narrow" w:hAnsi="Arial Narrow"/>
                            <w:sz w:val="18"/>
                            <w:szCs w:val="18"/>
                          </w:rPr>
                          <w:t>Repeat after 5 years;</w:t>
                        </w:r>
                      </w:p>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Repeat after 10 years</w:t>
                        </w:r>
                      </w:p>
                    </w:txbxContent>
                  </v:textbox>
                </v:shape>
                <v:shape id="Straight Arrow Connector 73" o:spid="_x0000_s1080" type="#_x0000_t32" style="position:absolute;left:26530;top:18766;width:45;height:2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3UcMAAADbAAAADwAAAGRycy9kb3ducmV2LnhtbESPQWvCQBSE70L/w/IKvYhuTIktqasU&#10;oSp4UgteH9mXbDD7NmS3Mf57tyB4HGbmG2axGmwjeup87VjBbJqAIC6crrlS8Hv6mXyC8AFZY+OY&#10;FNzIw2r5Mlpgrt2VD9QfQyUihH2OCkwIbS6lLwxZ9FPXEkevdJ3FEGVXSd3hNcJtI9MkmUuLNccF&#10;gy2tDRWX459VUKaaZuPL2Ww/MizX+/e075uNUm+vw/cXiEBDeIYf7Z1WkG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y91HDAAAA2wAAAA8AAAAAAAAAAAAA&#10;AAAAoQIAAGRycy9kb3ducmV2LnhtbFBLBQYAAAAABAAEAPkAAACRAwAAAAA=&#10;">
                  <v:stroke endarrow="open"/>
                </v:shape>
                <v:shape id="Text Box 123" o:spid="_x0000_s1081" type="#_x0000_t202" style="position:absolute;left:20036;top:40383;width:13462;height:7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8OsUA&#10;AADbAAAADwAAAGRycy9kb3ducmV2LnhtbESPQWvCQBSE70L/w/IKvYjZWFBK6iYUsSgeCtrW83P3&#10;NQnNvo3ZrUZ/vVsQPA4z8w0zK3rbiCN1vnasYJykIIi1MzWXCr4+30cvIHxANtg4JgVn8lDkD4MZ&#10;ZsadeEPHbShFhLDPUEEVQptJ6XVFFn3iWuLo/bjOYoiyK6Xp8BThtpHPaTqVFmuOCxW2NK9I/27/&#10;rILlej++rL8XenngfSM3u6G28w+lnh77t1cQgfpwD9/aK6NgMoX/L/EH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jw6xQAAANsAAAAPAAAAAAAAAAAAAAAAAJgCAABkcnMv&#10;ZG93bnJldi54bWxQSwUGAAAAAAQABAD1AAAAigMAAAAA&#10;" strokeweight=".5pt">
                  <v:textbox>
                    <w:txbxContent>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Monitoring scan options (e):</w:t>
                        </w:r>
                      </w:p>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No repeat;</w:t>
                        </w:r>
                      </w:p>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Repeat after 5 years;</w:t>
                        </w:r>
                      </w:p>
                      <w:p w:rsidR="00BF3456" w:rsidRPr="00192EAD" w:rsidRDefault="00BF3456" w:rsidP="00BF3456">
                        <w:pPr>
                          <w:pStyle w:val="NormalWeb"/>
                          <w:spacing w:before="0" w:beforeAutospacing="0" w:after="0" w:afterAutospacing="0" w:line="276" w:lineRule="auto"/>
                        </w:pPr>
                        <w:r w:rsidRPr="00192EAD">
                          <w:rPr>
                            <w:rFonts w:ascii="Arial Narrow" w:hAnsi="Arial Narrow"/>
                            <w:sz w:val="18"/>
                            <w:szCs w:val="18"/>
                          </w:rPr>
                          <w:t>Repeat after 10 years</w:t>
                        </w:r>
                      </w:p>
                    </w:txbxContent>
                  </v:textbox>
                </v:shape>
                <v:shape id="Straight Arrow Connector 265" o:spid="_x0000_s1082" type="#_x0000_t32" style="position:absolute;left:9819;top:39149;width:0;height:1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cMAAADbAAAADwAAAGRycy9kb3ducmV2LnhtbESPQWvCQBSE74L/YXlCL1I3plhL6ioi&#10;VAVPVaHXR/YlG8y+Ddk1xn/vFgSPw8x8wyxWva1FR62vHCuYThIQxLnTFZcKzqef9y8QPiBrrB2T&#10;gjt5WC2HgwVm2t34l7pjKEWEsM9QgQmhyaT0uSGLfuIa4ugVrrUYomxLqVu8RbitZZokn9JixXHB&#10;YEMbQ/nleLUKilTTdHz5M7v5DIvN4SPtunqr1NuoX3+DCNSHV/jZ3msFsz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szL3DAAAA2wAAAA8AAAAAAAAAAAAA&#10;AAAAoQIAAGRycy9kb3ducmV2LnhtbFBLBQYAAAAABAAEAPkAAACRAwAAAAA=&#10;">
                  <v:stroke endarrow="open"/>
                </v:shape>
                <v:shape id="Straight Arrow Connector 266" o:spid="_x0000_s1083" type="#_x0000_t32" style="position:absolute;left:32085;top:39149;width:0;height:1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Straight Arrow Connector 267" o:spid="_x0000_s1084" type="#_x0000_t32" style="position:absolute;left:21283;top:33758;width:0;height:1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VMQAAADbAAAADwAAAGRycy9kb3ducmV2LnhtbESPQWvCQBSE70L/w/KEXkrdmKLV6CYU&#10;obXQU7XQ6yP7kg1m34bsNqb/3hUEj8PMfMNsi9G2YqDeN44VzGcJCOLS6YZrBT/H9+cVCB+QNbaO&#10;ScE/eSjyh8kWM+3O/E3DIdQiQthnqMCE0GVS+tKQRT9zHXH0KtdbDFH2tdQ9niPctjJNkqW02HBc&#10;MNjRzlB5OvxZBVWqaf50+jX71wVWu6+XdBjaD6Uep+PbBkSgMdzDt/anVrBYw/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1UxAAAANsAAAAPAAAAAAAAAAAA&#10;AAAAAKECAABkcnMvZG93bnJldi54bWxQSwUGAAAAAAQABAD5AAAAkgMAAAAA&#10;">
                  <v:stroke endarrow="open"/>
                </v:shape>
                <v:shape id="Straight Arrow Connector 268" o:spid="_x0000_s1085" type="#_x0000_t32" style="position:absolute;left:32152;top:33831;width:0;height:1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edMAAAADbAAAADwAAAGRycy9kb3ducmV2LnhtbERPy4rCMBTdD/gP4QpuBk2tjEo1igg6&#10;A7PyAW4vzW1TbG5KE2v9+8lCmOXhvNfb3taio9ZXjhVMJwkI4tzpiksF18thvAThA7LG2jEpeJGH&#10;7WbwscZMuyefqDuHUsQQ9hkqMCE0mZQ+N2TRT1xDHLnCtRZDhG0pdYvPGG5rmSbJXFqsODYYbGhv&#10;KL+fH1ZBkWqaft5v5nvxhcX+d5Z2XX1UajTsdysQgfrwL367f7SCeVwfv8QfI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pnnTAAAAA2wAAAA8AAAAAAAAAAAAAAAAA&#10;oQIAAGRycy9kb3ducmV2LnhtbFBLBQYAAAAABAAEAPkAAACOAwAAAAA=&#10;">
                  <v:stroke endarrow="open"/>
                </v:shape>
                <v:shape id="Straight Arrow Connector 269" o:spid="_x0000_s1086" type="#_x0000_t32" style="position:absolute;left:26586;top:23540;width:0;height:1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778QAAADbAAAADwAAAGRycy9kb3ducmV2LnhtbESPT2vCQBTE7wW/w/IEL0U3SalKdBUR&#10;ags9+Qe8PrIv2WD2bchuY/z2bqHQ4zAzv2HW28E2oqfO144VpLMEBHHhdM2Vgsv5Y7oE4QOyxsYx&#10;KXiQh+1m9LLGXLs7H6k/hUpECPscFZgQ2lxKXxiy6GeuJY5e6TqLIcqukrrDe4TbRmZJMpcWa44L&#10;BlvaGypupx+roMw0pa+3q/lcvGO5/37L+r45KDUZD7sViEBD+A//tb+0gnk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TvvxAAAANsAAAAPAAAAAAAAAAAA&#10;AAAAAKECAABkcnMvZG93bnJldi54bWxQSwUGAAAAAAQABAD5AAAAkgMAAAAA&#10;">
                  <v:stroke endarrow="open"/>
                </v:shape>
                <w10:anchorlock/>
              </v:group>
            </w:pict>
          </mc:Fallback>
        </mc:AlternateContent>
      </w:r>
    </w:p>
    <w:p w:rsidR="00BF3456" w:rsidRDefault="00BF3456" w:rsidP="00BF3456">
      <w:pPr>
        <w:tabs>
          <w:tab w:val="left" w:pos="720"/>
          <w:tab w:val="left" w:pos="1140"/>
        </w:tabs>
        <w:ind w:left="720" w:hanging="720"/>
        <w:rPr>
          <w:rFonts w:ascii="Arial" w:hAnsi="Arial" w:cs="Arial"/>
          <w:b/>
        </w:rPr>
        <w:sectPr w:rsidR="00BF3456" w:rsidSect="00DB1A79">
          <w:pgSz w:w="16838" w:h="11906" w:orient="landscape"/>
          <w:pgMar w:top="1440" w:right="1440" w:bottom="1440" w:left="1440" w:header="708" w:footer="708" w:gutter="0"/>
          <w:cols w:space="708"/>
          <w:docGrid w:linePitch="360"/>
        </w:sectPr>
      </w:pPr>
    </w:p>
    <w:p w:rsidR="00BC1364" w:rsidRPr="00BF3456" w:rsidRDefault="00BC1364" w:rsidP="00BF3456">
      <w:pPr>
        <w:pStyle w:val="Heading1"/>
        <w:numPr>
          <w:ilvl w:val="0"/>
          <w:numId w:val="23"/>
        </w:numPr>
        <w:ind w:hanging="720"/>
      </w:pPr>
      <w:r w:rsidRPr="008D5885">
        <w:lastRenderedPageBreak/>
        <w:t xml:space="preserve">Comparator </w:t>
      </w:r>
    </w:p>
    <w:p w:rsidR="00B6632D" w:rsidRDefault="00B6632D" w:rsidP="00BF3456">
      <w:pPr>
        <w:tabs>
          <w:tab w:val="left" w:pos="720"/>
          <w:tab w:val="left" w:pos="1140"/>
        </w:tabs>
        <w:rPr>
          <w:szCs w:val="24"/>
        </w:rPr>
      </w:pPr>
    </w:p>
    <w:p w:rsidR="00276754" w:rsidRPr="00BB418D" w:rsidRDefault="00BF3456" w:rsidP="00BF3456">
      <w:pPr>
        <w:tabs>
          <w:tab w:val="left" w:pos="720"/>
          <w:tab w:val="left" w:pos="1140"/>
        </w:tabs>
        <w:rPr>
          <w:szCs w:val="24"/>
        </w:rPr>
      </w:pPr>
      <w:r>
        <w:rPr>
          <w:szCs w:val="24"/>
        </w:rPr>
        <w:t>The compa</w:t>
      </w:r>
      <w:r w:rsidR="00B6632D">
        <w:rPr>
          <w:szCs w:val="24"/>
        </w:rPr>
        <w:t>rator to the proposed DXA item wa</w:t>
      </w:r>
      <w:r>
        <w:rPr>
          <w:szCs w:val="24"/>
        </w:rPr>
        <w:t>s clinical risk assessment without DXA, including use of risk assessment (</w:t>
      </w:r>
      <w:proofErr w:type="spellStart"/>
      <w:r>
        <w:rPr>
          <w:szCs w:val="24"/>
        </w:rPr>
        <w:t>eg</w:t>
      </w:r>
      <w:proofErr w:type="spellEnd"/>
      <w:r>
        <w:rPr>
          <w:szCs w:val="24"/>
        </w:rPr>
        <w:t xml:space="preserve">, the FRAX (WHO) online tool). </w:t>
      </w:r>
      <w:r w:rsidR="00B6632D">
        <w:rPr>
          <w:szCs w:val="24"/>
        </w:rPr>
        <w:t xml:space="preserve"> </w:t>
      </w:r>
      <w:r>
        <w:rPr>
          <w:szCs w:val="24"/>
        </w:rPr>
        <w:t>E</w:t>
      </w:r>
      <w:r w:rsidRPr="001310A8">
        <w:rPr>
          <w:szCs w:val="24"/>
        </w:rPr>
        <w:t>vidence was searched for all m</w:t>
      </w:r>
      <w:r>
        <w:rPr>
          <w:szCs w:val="24"/>
        </w:rPr>
        <w:t>e</w:t>
      </w:r>
      <w:r w:rsidRPr="001310A8">
        <w:rPr>
          <w:szCs w:val="24"/>
        </w:rPr>
        <w:t xml:space="preserve">thods of risk assessment, </w:t>
      </w:r>
      <w:r>
        <w:rPr>
          <w:szCs w:val="24"/>
        </w:rPr>
        <w:t xml:space="preserve">however </w:t>
      </w:r>
      <w:r w:rsidRPr="001310A8">
        <w:rPr>
          <w:szCs w:val="24"/>
        </w:rPr>
        <w:t xml:space="preserve">evidence </w:t>
      </w:r>
      <w:r>
        <w:rPr>
          <w:szCs w:val="24"/>
        </w:rPr>
        <w:t xml:space="preserve">was only found </w:t>
      </w:r>
      <w:r w:rsidRPr="001310A8">
        <w:rPr>
          <w:szCs w:val="24"/>
        </w:rPr>
        <w:t>for the FRAX</w:t>
      </w:r>
      <w:r>
        <w:rPr>
          <w:szCs w:val="24"/>
        </w:rPr>
        <w:t xml:space="preserve"> tool</w:t>
      </w:r>
      <w:r w:rsidRPr="001310A8">
        <w:rPr>
          <w:szCs w:val="24"/>
        </w:rPr>
        <w:t>.</w:t>
      </w:r>
    </w:p>
    <w:p w:rsidR="00BC1364" w:rsidRPr="00707064" w:rsidRDefault="00BC1364" w:rsidP="00BF3456">
      <w:pPr>
        <w:rPr>
          <w:b/>
          <w:szCs w:val="24"/>
        </w:rPr>
      </w:pPr>
    </w:p>
    <w:p w:rsidR="00BC1364" w:rsidRPr="008D5885" w:rsidRDefault="00BC1364" w:rsidP="00BF3456">
      <w:pPr>
        <w:pStyle w:val="Heading1"/>
        <w:numPr>
          <w:ilvl w:val="0"/>
          <w:numId w:val="23"/>
        </w:numPr>
        <w:ind w:hanging="720"/>
      </w:pPr>
      <w:r w:rsidRPr="008D5885">
        <w:t>Comparative safety</w:t>
      </w:r>
    </w:p>
    <w:p w:rsidR="00BC1364" w:rsidRDefault="00BC1364" w:rsidP="00BF3456">
      <w:pPr>
        <w:pStyle w:val="ListParagraph"/>
        <w:ind w:left="0"/>
        <w:rPr>
          <w:b/>
          <w:szCs w:val="24"/>
        </w:rPr>
      </w:pPr>
    </w:p>
    <w:p w:rsidR="00276754" w:rsidRPr="005B5314" w:rsidRDefault="00BF3456" w:rsidP="00BF3456">
      <w:pPr>
        <w:tabs>
          <w:tab w:val="left" w:pos="720"/>
        </w:tabs>
        <w:rPr>
          <w:szCs w:val="24"/>
        </w:rPr>
      </w:pPr>
      <w:r w:rsidRPr="005B5314">
        <w:rPr>
          <w:szCs w:val="24"/>
        </w:rPr>
        <w:t xml:space="preserve">There are no studies that specifically investigate the safety of DXA testing as the ionising radiation dose is so low. </w:t>
      </w:r>
    </w:p>
    <w:p w:rsidR="00BC1364" w:rsidRPr="00707064" w:rsidRDefault="00BC1364" w:rsidP="00BF3456">
      <w:pPr>
        <w:pStyle w:val="ListParagraph"/>
        <w:ind w:left="0"/>
        <w:rPr>
          <w:b/>
          <w:szCs w:val="24"/>
        </w:rPr>
      </w:pPr>
    </w:p>
    <w:p w:rsidR="00BC1364" w:rsidRPr="008D5885" w:rsidRDefault="00BC1364" w:rsidP="00BF3456">
      <w:pPr>
        <w:pStyle w:val="Heading1"/>
        <w:numPr>
          <w:ilvl w:val="0"/>
          <w:numId w:val="23"/>
        </w:numPr>
        <w:ind w:hanging="720"/>
      </w:pPr>
      <w:r w:rsidRPr="008D5885">
        <w:t>Comparative effectiveness</w:t>
      </w:r>
    </w:p>
    <w:p w:rsidR="00BC1364" w:rsidRDefault="00BC1364" w:rsidP="00BF3456">
      <w:pPr>
        <w:rPr>
          <w:b/>
        </w:rPr>
      </w:pPr>
    </w:p>
    <w:p w:rsidR="00BF3456" w:rsidRPr="002B6581" w:rsidRDefault="00BF3456" w:rsidP="00BF3456">
      <w:pPr>
        <w:tabs>
          <w:tab w:val="left" w:pos="720"/>
        </w:tabs>
        <w:rPr>
          <w:szCs w:val="24"/>
        </w:rPr>
      </w:pPr>
      <w:r>
        <w:rPr>
          <w:szCs w:val="24"/>
        </w:rPr>
        <w:t>There is n</w:t>
      </w:r>
      <w:r w:rsidRPr="00D27D40">
        <w:rPr>
          <w:szCs w:val="24"/>
        </w:rPr>
        <w:t xml:space="preserve">o study looking at </w:t>
      </w:r>
      <w:r>
        <w:rPr>
          <w:szCs w:val="24"/>
        </w:rPr>
        <w:t xml:space="preserve">DXA </w:t>
      </w:r>
      <w:r w:rsidRPr="00D27D40">
        <w:rPr>
          <w:szCs w:val="24"/>
        </w:rPr>
        <w:t xml:space="preserve">screening and fractures </w:t>
      </w:r>
      <w:r>
        <w:rPr>
          <w:szCs w:val="24"/>
        </w:rPr>
        <w:t>rates over the</w:t>
      </w:r>
      <w:r w:rsidRPr="00D27D40">
        <w:rPr>
          <w:szCs w:val="24"/>
        </w:rPr>
        <w:t xml:space="preserve"> long-term</w:t>
      </w:r>
      <w:r>
        <w:rPr>
          <w:szCs w:val="24"/>
        </w:rPr>
        <w:t>.</w:t>
      </w:r>
      <w:r w:rsidR="00B6632D">
        <w:rPr>
          <w:szCs w:val="24"/>
        </w:rPr>
        <w:t xml:space="preserve">  </w:t>
      </w:r>
      <w:r w:rsidRPr="002B6581">
        <w:rPr>
          <w:szCs w:val="24"/>
        </w:rPr>
        <w:t>It was also noted that screening of BMD is not recommended in ANY international guideline.</w:t>
      </w:r>
    </w:p>
    <w:p w:rsidR="00B6632D" w:rsidRDefault="00B6632D" w:rsidP="00BF3456">
      <w:pPr>
        <w:tabs>
          <w:tab w:val="left" w:pos="720"/>
        </w:tabs>
        <w:rPr>
          <w:szCs w:val="24"/>
          <w:u w:val="single"/>
        </w:rPr>
      </w:pPr>
    </w:p>
    <w:p w:rsidR="00BF3456" w:rsidRPr="00B01DB2" w:rsidRDefault="00B01DB2" w:rsidP="00B01DB2">
      <w:pPr>
        <w:tabs>
          <w:tab w:val="left" w:pos="720"/>
        </w:tabs>
        <w:rPr>
          <w:szCs w:val="24"/>
        </w:rPr>
      </w:pPr>
      <w:proofErr w:type="spellStart"/>
      <w:r>
        <w:rPr>
          <w:szCs w:val="24"/>
        </w:rPr>
        <w:t>Gutin</w:t>
      </w:r>
      <w:proofErr w:type="spellEnd"/>
      <w:r>
        <w:rPr>
          <w:szCs w:val="24"/>
        </w:rPr>
        <w:t xml:space="preserve"> et al (1992) and </w:t>
      </w:r>
      <w:proofErr w:type="spellStart"/>
      <w:r>
        <w:rPr>
          <w:szCs w:val="24"/>
        </w:rPr>
        <w:t>Winzenberg</w:t>
      </w:r>
      <w:proofErr w:type="spellEnd"/>
      <w:r>
        <w:rPr>
          <w:szCs w:val="24"/>
        </w:rPr>
        <w:t xml:space="preserve"> et al (2006)</w:t>
      </w:r>
      <w:r w:rsidR="00BF3456" w:rsidRPr="00B6632D">
        <w:rPr>
          <w:szCs w:val="24"/>
        </w:rPr>
        <w:t xml:space="preserve"> were used to investigate the effectiveness of DXA screening on BMD as a surrogate of fracture risk; neither of these ha</w:t>
      </w:r>
      <w:r>
        <w:rPr>
          <w:szCs w:val="24"/>
        </w:rPr>
        <w:t>d</w:t>
      </w:r>
      <w:r w:rsidR="00BF3456" w:rsidRPr="00B6632D">
        <w:rPr>
          <w:szCs w:val="24"/>
        </w:rPr>
        <w:t xml:space="preserve"> a control group and both rel</w:t>
      </w:r>
      <w:r>
        <w:rPr>
          <w:szCs w:val="24"/>
        </w:rPr>
        <w:t>ied</w:t>
      </w:r>
      <w:r w:rsidR="00BF3456" w:rsidRPr="00B6632D">
        <w:rPr>
          <w:szCs w:val="24"/>
        </w:rPr>
        <w:t xml:space="preserve"> on expected patterns from previous studies as the control</w:t>
      </w:r>
      <w:r>
        <w:rPr>
          <w:szCs w:val="24"/>
        </w:rPr>
        <w:t xml:space="preserve">. </w:t>
      </w:r>
      <w:proofErr w:type="spellStart"/>
      <w:r w:rsidR="00BF3456" w:rsidRPr="00D27D40">
        <w:rPr>
          <w:szCs w:val="24"/>
        </w:rPr>
        <w:t>Gutin</w:t>
      </w:r>
      <w:proofErr w:type="spellEnd"/>
      <w:r>
        <w:rPr>
          <w:szCs w:val="24"/>
        </w:rPr>
        <w:t xml:space="preserve"> et al</w:t>
      </w:r>
      <w:r w:rsidR="00BF3456" w:rsidRPr="00D27D40">
        <w:rPr>
          <w:szCs w:val="24"/>
        </w:rPr>
        <w:t xml:space="preserve"> (1992)</w:t>
      </w:r>
      <w:r>
        <w:rPr>
          <w:szCs w:val="24"/>
        </w:rPr>
        <w:t xml:space="preserve"> found n</w:t>
      </w:r>
      <w:r w:rsidR="00BF3456" w:rsidRPr="00B01DB2">
        <w:rPr>
          <w:szCs w:val="24"/>
        </w:rPr>
        <w:t>o difference in BMD at hip or spine, compared to expected decline in BMD.</w:t>
      </w:r>
      <w:r>
        <w:rPr>
          <w:szCs w:val="24"/>
        </w:rPr>
        <w:t xml:space="preserve"> </w:t>
      </w:r>
      <w:proofErr w:type="spellStart"/>
      <w:r w:rsidR="00BF3456" w:rsidRPr="00D27D40">
        <w:rPr>
          <w:szCs w:val="24"/>
        </w:rPr>
        <w:t>Winzenberg</w:t>
      </w:r>
      <w:proofErr w:type="spellEnd"/>
      <w:r w:rsidR="00BF3456" w:rsidRPr="00D27D40">
        <w:rPr>
          <w:szCs w:val="24"/>
        </w:rPr>
        <w:t xml:space="preserve"> </w:t>
      </w:r>
      <w:r>
        <w:rPr>
          <w:szCs w:val="24"/>
        </w:rPr>
        <w:t xml:space="preserve">et al </w:t>
      </w:r>
      <w:r w:rsidR="00BF3456" w:rsidRPr="00D27D40">
        <w:rPr>
          <w:szCs w:val="24"/>
        </w:rPr>
        <w:t>(2006)</w:t>
      </w:r>
      <w:r>
        <w:rPr>
          <w:szCs w:val="24"/>
        </w:rPr>
        <w:t xml:space="preserve"> found n</w:t>
      </w:r>
      <w:r w:rsidR="00BF3456" w:rsidRPr="00B01DB2">
        <w:rPr>
          <w:szCs w:val="24"/>
        </w:rPr>
        <w:t>o difference between leaflet and course but</w:t>
      </w:r>
      <w:r>
        <w:rPr>
          <w:szCs w:val="24"/>
        </w:rPr>
        <w:t xml:space="preserve"> there was increase in BMD of 1.1% per year</w:t>
      </w:r>
      <w:r w:rsidR="00BF3456" w:rsidRPr="00B01DB2">
        <w:rPr>
          <w:szCs w:val="24"/>
        </w:rPr>
        <w:t xml:space="preserve"> at hip not spine (combined), compared to expected stability.</w:t>
      </w:r>
    </w:p>
    <w:p w:rsidR="00B6632D" w:rsidRDefault="00B6632D" w:rsidP="00B6632D">
      <w:pPr>
        <w:rPr>
          <w:szCs w:val="24"/>
          <w:u w:val="single"/>
        </w:rPr>
      </w:pPr>
    </w:p>
    <w:p w:rsidR="00BF3456" w:rsidRPr="00DC7824" w:rsidRDefault="00B01DB2" w:rsidP="00E02CC0">
      <w:pPr>
        <w:rPr>
          <w:szCs w:val="24"/>
        </w:rPr>
      </w:pPr>
      <w:r>
        <w:rPr>
          <w:szCs w:val="24"/>
        </w:rPr>
        <w:t xml:space="preserve">Cheung et al (2012) and Tamaki et al (2011) </w:t>
      </w:r>
      <w:r w:rsidR="00BF3456" w:rsidRPr="00B6632D">
        <w:rPr>
          <w:szCs w:val="24"/>
        </w:rPr>
        <w:t xml:space="preserve">were used to investigate the effectiveness of </w:t>
      </w:r>
      <w:r w:rsidR="00E02CC0">
        <w:rPr>
          <w:szCs w:val="24"/>
        </w:rPr>
        <w:t xml:space="preserve">fracture risk assessment </w:t>
      </w:r>
      <w:r w:rsidR="00BF3456" w:rsidRPr="00B6632D">
        <w:rPr>
          <w:szCs w:val="24"/>
        </w:rPr>
        <w:t xml:space="preserve">using FRAX </w:t>
      </w:r>
      <w:r w:rsidR="00E02CC0">
        <w:rPr>
          <w:szCs w:val="24"/>
        </w:rPr>
        <w:t>alone</w:t>
      </w:r>
      <w:r w:rsidR="00E02CC0" w:rsidRPr="00B6632D">
        <w:rPr>
          <w:szCs w:val="24"/>
        </w:rPr>
        <w:t xml:space="preserve"> </w:t>
      </w:r>
      <w:r w:rsidR="00BF3456" w:rsidRPr="00B6632D">
        <w:rPr>
          <w:szCs w:val="24"/>
        </w:rPr>
        <w:t xml:space="preserve">versus FRAX and </w:t>
      </w:r>
      <w:r w:rsidR="00E02CC0">
        <w:rPr>
          <w:szCs w:val="24"/>
        </w:rPr>
        <w:t xml:space="preserve">BMD (via </w:t>
      </w:r>
      <w:r w:rsidR="00BF3456" w:rsidRPr="00B6632D">
        <w:rPr>
          <w:szCs w:val="24"/>
        </w:rPr>
        <w:t>DXA</w:t>
      </w:r>
      <w:r w:rsidR="00E02CC0">
        <w:rPr>
          <w:szCs w:val="24"/>
        </w:rPr>
        <w:t>) combined</w:t>
      </w:r>
      <w:r w:rsidR="00DC7824">
        <w:rPr>
          <w:szCs w:val="24"/>
        </w:rPr>
        <w:t xml:space="preserve">. </w:t>
      </w:r>
      <w:r w:rsidR="00BF3456" w:rsidRPr="00F04444">
        <w:rPr>
          <w:szCs w:val="24"/>
        </w:rPr>
        <w:t xml:space="preserve">Tamaki </w:t>
      </w:r>
      <w:r w:rsidR="00DC7824">
        <w:rPr>
          <w:szCs w:val="24"/>
        </w:rPr>
        <w:t>et al (</w:t>
      </w:r>
      <w:r w:rsidR="00BF3456" w:rsidRPr="00F04444">
        <w:rPr>
          <w:szCs w:val="24"/>
        </w:rPr>
        <w:t>2011</w:t>
      </w:r>
      <w:r w:rsidR="00DC7824">
        <w:rPr>
          <w:szCs w:val="24"/>
        </w:rPr>
        <w:t xml:space="preserve">) found </w:t>
      </w:r>
      <w:r w:rsidR="00BF3456" w:rsidRPr="00DC7824">
        <w:rPr>
          <w:szCs w:val="24"/>
        </w:rPr>
        <w:t>BMD alone v</w:t>
      </w:r>
      <w:r w:rsidR="00DC7824">
        <w:rPr>
          <w:szCs w:val="24"/>
        </w:rPr>
        <w:t>ersus FRAX had</w:t>
      </w:r>
      <w:r w:rsidR="00BF3456" w:rsidRPr="00DC7824">
        <w:rPr>
          <w:szCs w:val="24"/>
        </w:rPr>
        <w:t xml:space="preserve"> </w:t>
      </w:r>
      <w:r w:rsidR="00DC7824">
        <w:rPr>
          <w:szCs w:val="24"/>
        </w:rPr>
        <w:t xml:space="preserve">a </w:t>
      </w:r>
      <w:r w:rsidR="00BF3456" w:rsidRPr="00DC7824">
        <w:rPr>
          <w:szCs w:val="24"/>
        </w:rPr>
        <w:t>very similar area under the curve (AUC</w:t>
      </w:r>
      <w:proofErr w:type="gramStart"/>
      <w:r w:rsidR="00BF3456" w:rsidRPr="00DC7824">
        <w:rPr>
          <w:szCs w:val="24"/>
        </w:rPr>
        <w:t>)AUROC</w:t>
      </w:r>
      <w:proofErr w:type="gramEnd"/>
      <w:r w:rsidR="00BF3456" w:rsidRPr="00DC7824">
        <w:rPr>
          <w:szCs w:val="24"/>
        </w:rPr>
        <w:t>, i.e. ~ between 0.7-0.9</w:t>
      </w:r>
      <w:r w:rsidR="00DC7824">
        <w:rPr>
          <w:szCs w:val="24"/>
        </w:rPr>
        <w:t xml:space="preserve"> and that adding BMD to FRAX did</w:t>
      </w:r>
      <w:r w:rsidR="00BF3456" w:rsidRPr="00DC7824">
        <w:rPr>
          <w:szCs w:val="24"/>
        </w:rPr>
        <w:t xml:space="preserve"> not increase the AUROC significantly</w:t>
      </w:r>
      <w:r w:rsidR="00DC7824">
        <w:rPr>
          <w:szCs w:val="24"/>
        </w:rPr>
        <w:t>.</w:t>
      </w:r>
    </w:p>
    <w:p w:rsidR="00B86F47" w:rsidRDefault="00B86F47" w:rsidP="00BF3456">
      <w:pPr>
        <w:tabs>
          <w:tab w:val="left" w:pos="720"/>
        </w:tabs>
        <w:rPr>
          <w:szCs w:val="24"/>
        </w:rPr>
      </w:pPr>
    </w:p>
    <w:p w:rsidR="00BF3456" w:rsidRPr="00561D28" w:rsidRDefault="00DC7824" w:rsidP="00BF3456">
      <w:pPr>
        <w:tabs>
          <w:tab w:val="left" w:pos="720"/>
        </w:tabs>
        <w:rPr>
          <w:szCs w:val="24"/>
        </w:rPr>
      </w:pPr>
      <w:proofErr w:type="spellStart"/>
      <w:r>
        <w:rPr>
          <w:szCs w:val="24"/>
        </w:rPr>
        <w:t>Sedlak</w:t>
      </w:r>
      <w:proofErr w:type="spellEnd"/>
      <w:r>
        <w:rPr>
          <w:szCs w:val="24"/>
        </w:rPr>
        <w:t xml:space="preserve"> et al (2007), </w:t>
      </w:r>
      <w:proofErr w:type="spellStart"/>
      <w:r>
        <w:rPr>
          <w:szCs w:val="24"/>
        </w:rPr>
        <w:t>Winzenberg</w:t>
      </w:r>
      <w:proofErr w:type="spellEnd"/>
      <w:r>
        <w:rPr>
          <w:szCs w:val="24"/>
        </w:rPr>
        <w:t xml:space="preserve"> et al (2006) and </w:t>
      </w:r>
      <w:proofErr w:type="spellStart"/>
      <w:r w:rsidR="006C2C8F">
        <w:rPr>
          <w:szCs w:val="24"/>
        </w:rPr>
        <w:t>Gutin</w:t>
      </w:r>
      <w:proofErr w:type="spellEnd"/>
      <w:r w:rsidR="006C2C8F">
        <w:rPr>
          <w:szCs w:val="24"/>
        </w:rPr>
        <w:t xml:space="preserve"> </w:t>
      </w:r>
      <w:r>
        <w:rPr>
          <w:szCs w:val="24"/>
        </w:rPr>
        <w:t xml:space="preserve">et al (1992) </w:t>
      </w:r>
      <w:r w:rsidR="00BF3456" w:rsidRPr="00B6632D">
        <w:rPr>
          <w:szCs w:val="24"/>
        </w:rPr>
        <w:t>were used to investigate the effectiveness of DXA testing to influence lifestyle changes in the study participants</w:t>
      </w:r>
      <w:r>
        <w:rPr>
          <w:szCs w:val="24"/>
        </w:rPr>
        <w:t xml:space="preserve">. </w:t>
      </w:r>
      <w:r w:rsidR="00BF3456" w:rsidRPr="00561D28">
        <w:rPr>
          <w:szCs w:val="24"/>
        </w:rPr>
        <w:t xml:space="preserve">The main results </w:t>
      </w:r>
      <w:r>
        <w:rPr>
          <w:szCs w:val="24"/>
        </w:rPr>
        <w:t xml:space="preserve">from these studies </w:t>
      </w:r>
      <w:r w:rsidR="00BF3456">
        <w:rPr>
          <w:szCs w:val="24"/>
        </w:rPr>
        <w:t>were</w:t>
      </w:r>
      <w:r w:rsidR="00BF3456" w:rsidRPr="00561D28">
        <w:rPr>
          <w:szCs w:val="24"/>
        </w:rPr>
        <w:t xml:space="preserve"> that:</w:t>
      </w:r>
    </w:p>
    <w:p w:rsidR="00BF3456" w:rsidRPr="00012BF7" w:rsidRDefault="00BF3456" w:rsidP="00BF3456">
      <w:pPr>
        <w:pStyle w:val="ListParagraph"/>
        <w:numPr>
          <w:ilvl w:val="0"/>
          <w:numId w:val="28"/>
        </w:numPr>
        <w:tabs>
          <w:tab w:val="left" w:pos="720"/>
        </w:tabs>
        <w:rPr>
          <w:szCs w:val="24"/>
        </w:rPr>
      </w:pPr>
      <w:r w:rsidRPr="00012BF7">
        <w:rPr>
          <w:szCs w:val="24"/>
        </w:rPr>
        <w:t xml:space="preserve">BMD measurement alone vs FRAX has </w:t>
      </w:r>
      <w:r w:rsidR="00B6632D">
        <w:rPr>
          <w:szCs w:val="24"/>
        </w:rPr>
        <w:t xml:space="preserve">a </w:t>
      </w:r>
      <w:r w:rsidRPr="00012BF7">
        <w:rPr>
          <w:szCs w:val="24"/>
        </w:rPr>
        <w:t xml:space="preserve">very similar </w:t>
      </w:r>
      <w:r w:rsidR="00E02CC0">
        <w:rPr>
          <w:szCs w:val="24"/>
        </w:rPr>
        <w:t xml:space="preserve">predictive accuracy as assessed by the </w:t>
      </w:r>
      <w:r w:rsidR="00B6632D">
        <w:rPr>
          <w:szCs w:val="24"/>
        </w:rPr>
        <w:t xml:space="preserve">area under the </w:t>
      </w:r>
      <w:r w:rsidR="00E02CC0">
        <w:rPr>
          <w:szCs w:val="24"/>
        </w:rPr>
        <w:t xml:space="preserve">ROC </w:t>
      </w:r>
      <w:r w:rsidR="00B6632D">
        <w:rPr>
          <w:szCs w:val="24"/>
        </w:rPr>
        <w:t>curve (</w:t>
      </w:r>
      <w:r w:rsidRPr="00012BF7">
        <w:rPr>
          <w:szCs w:val="24"/>
        </w:rPr>
        <w:t>AUC</w:t>
      </w:r>
      <w:r w:rsidR="00B6632D">
        <w:rPr>
          <w:szCs w:val="24"/>
        </w:rPr>
        <w:t>)</w:t>
      </w:r>
      <w:r w:rsidRPr="00012BF7">
        <w:rPr>
          <w:szCs w:val="24"/>
        </w:rPr>
        <w:t>.  Adding BMD to FRAX does NOT increase the predictive ability of the model.</w:t>
      </w:r>
    </w:p>
    <w:p w:rsidR="00BF3456" w:rsidRPr="00F04444" w:rsidRDefault="00BF3456" w:rsidP="00BF3456">
      <w:pPr>
        <w:pStyle w:val="ListParagraph"/>
        <w:numPr>
          <w:ilvl w:val="0"/>
          <w:numId w:val="28"/>
        </w:numPr>
        <w:tabs>
          <w:tab w:val="left" w:pos="720"/>
        </w:tabs>
        <w:rPr>
          <w:szCs w:val="24"/>
        </w:rPr>
      </w:pPr>
      <w:r>
        <w:rPr>
          <w:szCs w:val="24"/>
        </w:rPr>
        <w:t>Low quality data from 2 studies indicating stability</w:t>
      </w:r>
      <w:r w:rsidRPr="00F04444">
        <w:rPr>
          <w:szCs w:val="24"/>
        </w:rPr>
        <w:t xml:space="preserve"> in BMD at hip or spine</w:t>
      </w:r>
      <w:r>
        <w:rPr>
          <w:szCs w:val="24"/>
        </w:rPr>
        <w:t xml:space="preserve"> with DXA</w:t>
      </w:r>
      <w:r w:rsidRPr="00F04444">
        <w:rPr>
          <w:szCs w:val="24"/>
        </w:rPr>
        <w:t>, compared to expected decline in BMD</w:t>
      </w:r>
      <w:r>
        <w:rPr>
          <w:szCs w:val="24"/>
        </w:rPr>
        <w:t xml:space="preserve"> without DXA, based on historical controls.</w:t>
      </w:r>
    </w:p>
    <w:p w:rsidR="00BF3456" w:rsidRPr="00F04444" w:rsidRDefault="00BF3456" w:rsidP="00BF3456">
      <w:pPr>
        <w:pStyle w:val="ListParagraph"/>
        <w:numPr>
          <w:ilvl w:val="0"/>
          <w:numId w:val="28"/>
        </w:numPr>
        <w:tabs>
          <w:tab w:val="left" w:pos="720"/>
        </w:tabs>
        <w:rPr>
          <w:szCs w:val="24"/>
        </w:rPr>
      </w:pPr>
      <w:r w:rsidRPr="00F04444">
        <w:rPr>
          <w:szCs w:val="24"/>
        </w:rPr>
        <w:t xml:space="preserve">No difference between </w:t>
      </w:r>
      <w:r>
        <w:rPr>
          <w:szCs w:val="24"/>
        </w:rPr>
        <w:t xml:space="preserve">DXA and </w:t>
      </w:r>
      <w:r w:rsidRPr="00F04444">
        <w:rPr>
          <w:szCs w:val="24"/>
        </w:rPr>
        <w:t xml:space="preserve">leaflet </w:t>
      </w:r>
      <w:r>
        <w:rPr>
          <w:szCs w:val="24"/>
        </w:rPr>
        <w:t>vs DXA and</w:t>
      </w:r>
      <w:r w:rsidRPr="00F04444">
        <w:rPr>
          <w:szCs w:val="24"/>
        </w:rPr>
        <w:t xml:space="preserve"> course but increase in BMD of 1.1%/y</w:t>
      </w:r>
      <w:r w:rsidR="00E02CC0">
        <w:rPr>
          <w:szCs w:val="24"/>
        </w:rPr>
        <w:t>ea</w:t>
      </w:r>
      <w:r w:rsidRPr="00F04444">
        <w:rPr>
          <w:szCs w:val="24"/>
        </w:rPr>
        <w:t xml:space="preserve">r at hip </w:t>
      </w:r>
      <w:r>
        <w:rPr>
          <w:szCs w:val="24"/>
        </w:rPr>
        <w:t>(</w:t>
      </w:r>
      <w:r w:rsidRPr="00F04444">
        <w:rPr>
          <w:szCs w:val="24"/>
        </w:rPr>
        <w:t>not spine</w:t>
      </w:r>
      <w:r>
        <w:rPr>
          <w:szCs w:val="24"/>
        </w:rPr>
        <w:t>)</w:t>
      </w:r>
      <w:r w:rsidRPr="00F04444">
        <w:rPr>
          <w:szCs w:val="24"/>
        </w:rPr>
        <w:t xml:space="preserve"> (</w:t>
      </w:r>
      <w:r>
        <w:rPr>
          <w:szCs w:val="24"/>
        </w:rPr>
        <w:t xml:space="preserve">in </w:t>
      </w:r>
      <w:r w:rsidRPr="00F04444">
        <w:rPr>
          <w:szCs w:val="24"/>
        </w:rPr>
        <w:t>combined</w:t>
      </w:r>
      <w:r>
        <w:rPr>
          <w:szCs w:val="24"/>
        </w:rPr>
        <w:t xml:space="preserve"> groups</w:t>
      </w:r>
      <w:r w:rsidRPr="00F04444">
        <w:rPr>
          <w:szCs w:val="24"/>
        </w:rPr>
        <w:t>), compared to expected stability</w:t>
      </w:r>
      <w:r>
        <w:rPr>
          <w:szCs w:val="24"/>
        </w:rPr>
        <w:t xml:space="preserve"> without DXA; again based on historical controls</w:t>
      </w:r>
      <w:r w:rsidRPr="00F04444">
        <w:rPr>
          <w:szCs w:val="24"/>
        </w:rPr>
        <w:t>.</w:t>
      </w:r>
    </w:p>
    <w:p w:rsidR="00BF3456" w:rsidRPr="00F04444" w:rsidRDefault="00BF3456" w:rsidP="00BF3456">
      <w:pPr>
        <w:pStyle w:val="ListParagraph"/>
        <w:numPr>
          <w:ilvl w:val="0"/>
          <w:numId w:val="28"/>
        </w:numPr>
        <w:tabs>
          <w:tab w:val="num" w:pos="709"/>
        </w:tabs>
        <w:rPr>
          <w:szCs w:val="24"/>
        </w:rPr>
      </w:pPr>
      <w:r w:rsidRPr="00F04444">
        <w:rPr>
          <w:szCs w:val="24"/>
        </w:rPr>
        <w:t>Both groups had increased calcium use over time but increase was higher in intervention group (p&lt;0.001)</w:t>
      </w:r>
      <w:r>
        <w:rPr>
          <w:szCs w:val="24"/>
        </w:rPr>
        <w:t>.</w:t>
      </w:r>
    </w:p>
    <w:p w:rsidR="00BF3456" w:rsidRPr="00F04444" w:rsidRDefault="00BF3456" w:rsidP="00BF3456">
      <w:pPr>
        <w:pStyle w:val="ListParagraph"/>
        <w:numPr>
          <w:ilvl w:val="0"/>
          <w:numId w:val="28"/>
        </w:numPr>
        <w:tabs>
          <w:tab w:val="num" w:pos="709"/>
        </w:tabs>
        <w:rPr>
          <w:szCs w:val="24"/>
        </w:rPr>
      </w:pPr>
      <w:r w:rsidRPr="00F04444">
        <w:rPr>
          <w:szCs w:val="24"/>
        </w:rPr>
        <w:t>Greater increase in women taking osteoporosis medications in intervention groups compared to control (19% vs 6%)</w:t>
      </w:r>
      <w:r>
        <w:rPr>
          <w:szCs w:val="24"/>
        </w:rPr>
        <w:t>.</w:t>
      </w:r>
    </w:p>
    <w:p w:rsidR="00BF3456" w:rsidRPr="00F04444" w:rsidRDefault="00BF3456" w:rsidP="00BF3456">
      <w:pPr>
        <w:pStyle w:val="ListParagraph"/>
        <w:numPr>
          <w:ilvl w:val="0"/>
          <w:numId w:val="28"/>
        </w:numPr>
        <w:tabs>
          <w:tab w:val="num" w:pos="709"/>
        </w:tabs>
        <w:rPr>
          <w:szCs w:val="24"/>
        </w:rPr>
      </w:pPr>
      <w:r w:rsidRPr="00F04444">
        <w:rPr>
          <w:szCs w:val="24"/>
        </w:rPr>
        <w:t xml:space="preserve">No </w:t>
      </w:r>
      <w:r w:rsidR="00E02CC0">
        <w:rPr>
          <w:szCs w:val="24"/>
        </w:rPr>
        <w:t xml:space="preserve">between group difference in </w:t>
      </w:r>
      <w:r w:rsidRPr="00F04444">
        <w:rPr>
          <w:szCs w:val="24"/>
        </w:rPr>
        <w:t>change</w:t>
      </w:r>
      <w:r w:rsidR="00E02CC0">
        <w:rPr>
          <w:szCs w:val="24"/>
        </w:rPr>
        <w:t>s</w:t>
      </w:r>
      <w:r w:rsidRPr="00F04444">
        <w:rPr>
          <w:szCs w:val="24"/>
        </w:rPr>
        <w:t xml:space="preserve"> in alcohol or smoking or exercise</w:t>
      </w:r>
      <w:r>
        <w:rPr>
          <w:szCs w:val="24"/>
        </w:rPr>
        <w:t>.</w:t>
      </w:r>
    </w:p>
    <w:p w:rsidR="00BF3456" w:rsidRPr="00F04444" w:rsidRDefault="00BF3456" w:rsidP="00BF3456">
      <w:pPr>
        <w:pStyle w:val="ListParagraph"/>
        <w:numPr>
          <w:ilvl w:val="0"/>
          <w:numId w:val="28"/>
        </w:numPr>
        <w:tabs>
          <w:tab w:val="num" w:pos="709"/>
        </w:tabs>
        <w:rPr>
          <w:szCs w:val="24"/>
        </w:rPr>
      </w:pPr>
      <w:r w:rsidRPr="00F04444">
        <w:rPr>
          <w:szCs w:val="24"/>
        </w:rPr>
        <w:t>Low BMD group increased calcium supplements more than high BMD group</w:t>
      </w:r>
      <w:r>
        <w:rPr>
          <w:szCs w:val="24"/>
        </w:rPr>
        <w:t>.</w:t>
      </w:r>
    </w:p>
    <w:p w:rsidR="00B6632D" w:rsidRPr="004107B7" w:rsidRDefault="00BF3456" w:rsidP="00BF3456">
      <w:pPr>
        <w:pStyle w:val="ListParagraph"/>
        <w:numPr>
          <w:ilvl w:val="0"/>
          <w:numId w:val="28"/>
        </w:numPr>
        <w:tabs>
          <w:tab w:val="num" w:pos="709"/>
        </w:tabs>
        <w:rPr>
          <w:szCs w:val="24"/>
        </w:rPr>
      </w:pPr>
      <w:r>
        <w:rPr>
          <w:szCs w:val="24"/>
        </w:rPr>
        <w:t>These studies were not directly compared to FRAX or another clinical tool and were all biased by large loss to follow-up, which would tend to include those patients interested in their health and overestimate protective effects</w:t>
      </w:r>
      <w:bookmarkStart w:id="0" w:name="_GoBack"/>
      <w:bookmarkEnd w:id="0"/>
    </w:p>
    <w:p w:rsidR="00BC1364" w:rsidRDefault="00BC1364" w:rsidP="00BF3456">
      <w:pPr>
        <w:pStyle w:val="Heading1"/>
        <w:numPr>
          <w:ilvl w:val="0"/>
          <w:numId w:val="23"/>
        </w:numPr>
        <w:ind w:hanging="720"/>
      </w:pPr>
      <w:r w:rsidRPr="008D5885">
        <w:lastRenderedPageBreak/>
        <w:t>Economic evaluation</w:t>
      </w:r>
    </w:p>
    <w:p w:rsidR="00BC1364" w:rsidRDefault="00BC1364" w:rsidP="00BF3456">
      <w:pPr>
        <w:rPr>
          <w:b/>
          <w:szCs w:val="24"/>
        </w:rPr>
      </w:pPr>
    </w:p>
    <w:p w:rsidR="00BF3456" w:rsidRDefault="00BF3456" w:rsidP="00BF3456">
      <w:pPr>
        <w:tabs>
          <w:tab w:val="left" w:pos="720"/>
        </w:tabs>
        <w:rPr>
          <w:szCs w:val="24"/>
        </w:rPr>
      </w:pPr>
      <w:r>
        <w:rPr>
          <w:szCs w:val="24"/>
        </w:rPr>
        <w:t>No economic evaluation was presented as</w:t>
      </w:r>
      <w:r w:rsidRPr="006331F9">
        <w:rPr>
          <w:szCs w:val="24"/>
        </w:rPr>
        <w:t xml:space="preserve"> there is no demonstrated advantage of DXA over other </w:t>
      </w:r>
      <w:r>
        <w:rPr>
          <w:szCs w:val="24"/>
        </w:rPr>
        <w:t>methods of risk assessment.</w:t>
      </w:r>
    </w:p>
    <w:p w:rsidR="00276754" w:rsidRDefault="00276754" w:rsidP="00BF3456">
      <w:pPr>
        <w:tabs>
          <w:tab w:val="left" w:pos="720"/>
        </w:tabs>
        <w:rPr>
          <w:szCs w:val="24"/>
        </w:rPr>
      </w:pPr>
    </w:p>
    <w:p w:rsidR="00BC1364" w:rsidRDefault="00BC1364" w:rsidP="00BF3456">
      <w:pPr>
        <w:pStyle w:val="Heading1"/>
        <w:numPr>
          <w:ilvl w:val="0"/>
          <w:numId w:val="23"/>
        </w:numPr>
        <w:ind w:hanging="720"/>
      </w:pPr>
      <w:r w:rsidRPr="008D5885">
        <w:t>Financial/budgetary impacts</w:t>
      </w:r>
    </w:p>
    <w:p w:rsidR="00BC1364" w:rsidRDefault="00BC1364" w:rsidP="00BF3456">
      <w:pPr>
        <w:pStyle w:val="Default"/>
      </w:pPr>
    </w:p>
    <w:p w:rsidR="00BF3456" w:rsidRPr="00BB418D" w:rsidRDefault="00BF3456" w:rsidP="00BF3456">
      <w:pPr>
        <w:tabs>
          <w:tab w:val="left" w:pos="720"/>
        </w:tabs>
        <w:rPr>
          <w:szCs w:val="24"/>
        </w:rPr>
      </w:pPr>
      <w:r>
        <w:rPr>
          <w:szCs w:val="24"/>
        </w:rPr>
        <w:t>The expected volume of use is 40% of Australian females aged 50 and the expected frequency of use is once per patient over their lifetime.</w:t>
      </w:r>
    </w:p>
    <w:p w:rsidR="00DA342B" w:rsidRDefault="00DA342B" w:rsidP="00BF3456">
      <w:pPr>
        <w:tabs>
          <w:tab w:val="left" w:pos="720"/>
        </w:tabs>
        <w:rPr>
          <w:szCs w:val="24"/>
        </w:rPr>
      </w:pPr>
    </w:p>
    <w:p w:rsidR="00DA342B" w:rsidRDefault="00DA342B" w:rsidP="00DA342B">
      <w:pPr>
        <w:tabs>
          <w:tab w:val="left" w:pos="720"/>
        </w:tabs>
        <w:rPr>
          <w:szCs w:val="24"/>
        </w:rPr>
      </w:pPr>
      <w:r>
        <w:rPr>
          <w:szCs w:val="24"/>
        </w:rPr>
        <w:t>The proposed fee</w:t>
      </w:r>
      <w:r w:rsidR="001B0CA7">
        <w:rPr>
          <w:szCs w:val="24"/>
        </w:rPr>
        <w:t xml:space="preserve"> of $102.40</w:t>
      </w:r>
      <w:r>
        <w:rPr>
          <w:szCs w:val="24"/>
        </w:rPr>
        <w:t xml:space="preserve"> is the same as all other DXA BMD items already on the MBS. However, no justification has been provided for the costs.  Estimated patient out-of-pocket costs are $40 to $50 per service.</w:t>
      </w:r>
    </w:p>
    <w:p w:rsidR="00DA342B" w:rsidRDefault="00DA342B" w:rsidP="00BF3456">
      <w:pPr>
        <w:tabs>
          <w:tab w:val="left" w:pos="720"/>
        </w:tabs>
        <w:rPr>
          <w:szCs w:val="24"/>
        </w:rPr>
      </w:pPr>
    </w:p>
    <w:p w:rsidR="00BF3456" w:rsidRPr="00BB418D" w:rsidRDefault="00BF3456" w:rsidP="00BF3456">
      <w:pPr>
        <w:tabs>
          <w:tab w:val="left" w:pos="720"/>
        </w:tabs>
        <w:rPr>
          <w:szCs w:val="24"/>
        </w:rPr>
      </w:pPr>
      <w:r>
        <w:rPr>
          <w:szCs w:val="24"/>
        </w:rPr>
        <w:t xml:space="preserve">The total cost of the intervention </w:t>
      </w:r>
      <w:r w:rsidR="00B11BAA">
        <w:rPr>
          <w:szCs w:val="24"/>
        </w:rPr>
        <w:t>was</w:t>
      </w:r>
      <w:r>
        <w:rPr>
          <w:szCs w:val="24"/>
        </w:rPr>
        <w:t xml:space="preserve"> esti</w:t>
      </w:r>
      <w:r w:rsidR="00DA342B">
        <w:rPr>
          <w:szCs w:val="24"/>
        </w:rPr>
        <w:t xml:space="preserve">mated to be around $8.6 million </w:t>
      </w:r>
      <w:r>
        <w:rPr>
          <w:szCs w:val="24"/>
        </w:rPr>
        <w:t>over 5 years.</w:t>
      </w:r>
    </w:p>
    <w:p w:rsidR="00BC1364" w:rsidRDefault="00BC1364" w:rsidP="00BF3456">
      <w:pPr>
        <w:rPr>
          <w:b/>
          <w:szCs w:val="24"/>
        </w:rPr>
      </w:pPr>
    </w:p>
    <w:p w:rsidR="006A0D97" w:rsidRDefault="006A0D97" w:rsidP="00BF3456">
      <w:pPr>
        <w:pStyle w:val="Heading1"/>
        <w:numPr>
          <w:ilvl w:val="0"/>
          <w:numId w:val="23"/>
        </w:numPr>
        <w:ind w:hanging="720"/>
      </w:pPr>
      <w:r w:rsidRPr="006A0D97">
        <w:t>Key issues from ESC for MSAC</w:t>
      </w:r>
    </w:p>
    <w:p w:rsidR="00BF3456" w:rsidRDefault="00BF3456" w:rsidP="00BF3456">
      <w:pPr>
        <w:tabs>
          <w:tab w:val="left" w:pos="720"/>
          <w:tab w:val="left" w:pos="1140"/>
        </w:tabs>
        <w:rPr>
          <w:szCs w:val="24"/>
        </w:rPr>
      </w:pPr>
    </w:p>
    <w:p w:rsidR="00BF3456" w:rsidRDefault="00BF3456" w:rsidP="00BF3456">
      <w:pPr>
        <w:tabs>
          <w:tab w:val="left" w:pos="720"/>
          <w:tab w:val="left" w:pos="1140"/>
        </w:tabs>
        <w:rPr>
          <w:szCs w:val="24"/>
        </w:rPr>
      </w:pPr>
      <w:r>
        <w:rPr>
          <w:szCs w:val="24"/>
        </w:rPr>
        <w:t>ESC noted that the proposed population, asymptomatic women in their 50</w:t>
      </w:r>
      <w:r w:rsidRPr="00FC4C59">
        <w:rPr>
          <w:szCs w:val="24"/>
          <w:vertAlign w:val="superscript"/>
        </w:rPr>
        <w:t>th</w:t>
      </w:r>
      <w:r>
        <w:rPr>
          <w:szCs w:val="24"/>
        </w:rPr>
        <w:t xml:space="preserve"> year, meant that the proposal was for a screening service.</w:t>
      </w:r>
      <w:r w:rsidRPr="00D27DE0">
        <w:rPr>
          <w:szCs w:val="24"/>
        </w:rPr>
        <w:t xml:space="preserve"> </w:t>
      </w:r>
      <w:r w:rsidR="00F6298B">
        <w:rPr>
          <w:szCs w:val="24"/>
        </w:rPr>
        <w:t xml:space="preserve"> </w:t>
      </w:r>
      <w:r>
        <w:rPr>
          <w:szCs w:val="24"/>
        </w:rPr>
        <w:t xml:space="preserve">ESC noted that Section 19 (5) of the </w:t>
      </w:r>
      <w:r w:rsidRPr="00FC4C59">
        <w:rPr>
          <w:i/>
          <w:szCs w:val="24"/>
        </w:rPr>
        <w:t>Health Insurance Act</w:t>
      </w:r>
      <w:r>
        <w:rPr>
          <w:szCs w:val="24"/>
        </w:rPr>
        <w:t xml:space="preserve"> 1973 generally prevents payment of Medicare benefits for screening services, stating: </w:t>
      </w:r>
    </w:p>
    <w:p w:rsidR="00BF3456" w:rsidRDefault="00BF3456" w:rsidP="00BF3456">
      <w:pPr>
        <w:pStyle w:val="NoSpacing"/>
        <w:rPr>
          <w:rFonts w:ascii="Times New Roman" w:hAnsi="Times New Roman" w:cs="Times New Roman"/>
          <w:sz w:val="24"/>
          <w:szCs w:val="24"/>
        </w:rPr>
      </w:pPr>
      <w:r>
        <w:rPr>
          <w:rFonts w:ascii="Times New Roman" w:hAnsi="Times New Roman" w:cs="Times New Roman"/>
          <w:sz w:val="24"/>
          <w:szCs w:val="24"/>
        </w:rPr>
        <w:t>"</w:t>
      </w:r>
      <w:r w:rsidRPr="00FC4C59">
        <w:rPr>
          <w:rFonts w:ascii="Times New Roman" w:hAnsi="Times New Roman" w:cs="Times New Roman"/>
          <w:sz w:val="24"/>
          <w:szCs w:val="24"/>
        </w:rPr>
        <w:t xml:space="preserve"> Unless the Minister otherwise directs, a </w:t>
      </w:r>
      <w:r>
        <w:rPr>
          <w:rFonts w:ascii="Times New Roman" w:hAnsi="Times New Roman" w:cs="Times New Roman"/>
          <w:sz w:val="24"/>
          <w:szCs w:val="24"/>
        </w:rPr>
        <w:t>M</w:t>
      </w:r>
      <w:r w:rsidRPr="00FC4C59">
        <w:rPr>
          <w:rFonts w:ascii="Times New Roman" w:hAnsi="Times New Roman" w:cs="Times New Roman"/>
          <w:sz w:val="24"/>
          <w:szCs w:val="24"/>
        </w:rPr>
        <w:t>edicare benefit is not payable in respect of a health screening service, that is to say, a professional service that is a medical examination or test that is not reasonably required for the management of the medical condition of the patient.</w:t>
      </w:r>
      <w:r w:rsidRPr="00FC4C59">
        <w:rPr>
          <w:rFonts w:ascii="Times New Roman" w:hAnsi="Times New Roman" w:cs="Times New Roman" w:hint="eastAsia"/>
          <w:sz w:val="24"/>
          <w:szCs w:val="24"/>
        </w:rPr>
        <w:t>”</w:t>
      </w:r>
    </w:p>
    <w:p w:rsidR="00BF3456" w:rsidRPr="00B312F3" w:rsidRDefault="00BF3456" w:rsidP="00BF3456">
      <w:pPr>
        <w:pStyle w:val="NoSpacing"/>
        <w:rPr>
          <w:rFonts w:ascii="Times New Roman" w:hAnsi="Times New Roman" w:cs="Times New Roman"/>
          <w:sz w:val="24"/>
          <w:szCs w:val="24"/>
        </w:rPr>
      </w:pPr>
    </w:p>
    <w:p w:rsidR="00BF3456" w:rsidRDefault="00BF3456" w:rsidP="00BF3456">
      <w:pPr>
        <w:pStyle w:val="NoSpacing"/>
        <w:rPr>
          <w:rFonts w:ascii="Times New Roman" w:hAnsi="Times New Roman" w:cs="Times New Roman"/>
          <w:sz w:val="24"/>
          <w:szCs w:val="24"/>
        </w:rPr>
      </w:pPr>
      <w:r>
        <w:rPr>
          <w:rFonts w:ascii="Times New Roman" w:hAnsi="Times New Roman" w:cs="Times New Roman"/>
          <w:sz w:val="24"/>
          <w:szCs w:val="24"/>
        </w:rPr>
        <w:t xml:space="preserve">ESC acknowledged that the prevalence of osteoporosis (approximately 4%) was presented but noted that data regarding </w:t>
      </w:r>
      <w:r w:rsidRPr="00F6298B">
        <w:rPr>
          <w:rFonts w:ascii="Times New Roman" w:hAnsi="Times New Roman" w:cs="Times New Roman"/>
          <w:sz w:val="24"/>
          <w:szCs w:val="24"/>
        </w:rPr>
        <w:t>fracture</w:t>
      </w:r>
      <w:r w:rsidRPr="00837016">
        <w:rPr>
          <w:rFonts w:ascii="Times New Roman" w:hAnsi="Times New Roman" w:cs="Times New Roman"/>
          <w:i/>
          <w:sz w:val="24"/>
          <w:szCs w:val="24"/>
        </w:rPr>
        <w:t xml:space="preserve"> </w:t>
      </w:r>
      <w:r>
        <w:rPr>
          <w:rFonts w:ascii="Times New Roman" w:hAnsi="Times New Roman" w:cs="Times New Roman"/>
          <w:sz w:val="24"/>
          <w:szCs w:val="24"/>
        </w:rPr>
        <w:t>prevalence was absent.</w:t>
      </w:r>
      <w:r w:rsidR="00B86F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077">
        <w:rPr>
          <w:rFonts w:ascii="Times New Roman" w:hAnsi="Times New Roman" w:cs="Times New Roman"/>
          <w:sz w:val="24"/>
          <w:szCs w:val="24"/>
        </w:rPr>
        <w:t xml:space="preserve">ESC </w:t>
      </w:r>
      <w:r>
        <w:rPr>
          <w:rFonts w:ascii="Times New Roman" w:hAnsi="Times New Roman" w:cs="Times New Roman"/>
          <w:sz w:val="24"/>
          <w:szCs w:val="24"/>
        </w:rPr>
        <w:t xml:space="preserve">concluded </w:t>
      </w:r>
      <w:r w:rsidRPr="009D2077">
        <w:rPr>
          <w:rFonts w:ascii="Times New Roman" w:hAnsi="Times New Roman" w:cs="Times New Roman"/>
          <w:sz w:val="24"/>
          <w:szCs w:val="24"/>
        </w:rPr>
        <w:t xml:space="preserve">that the absence of </w:t>
      </w:r>
      <w:r>
        <w:rPr>
          <w:rFonts w:ascii="Times New Roman" w:hAnsi="Times New Roman" w:cs="Times New Roman"/>
          <w:sz w:val="24"/>
          <w:szCs w:val="24"/>
        </w:rPr>
        <w:t>data on</w:t>
      </w:r>
      <w:r w:rsidRPr="009D2077">
        <w:rPr>
          <w:rFonts w:ascii="Times New Roman" w:hAnsi="Times New Roman" w:cs="Times New Roman"/>
          <w:sz w:val="24"/>
          <w:szCs w:val="24"/>
        </w:rPr>
        <w:t xml:space="preserve"> </w:t>
      </w:r>
      <w:r>
        <w:rPr>
          <w:rFonts w:ascii="Times New Roman" w:hAnsi="Times New Roman" w:cs="Times New Roman"/>
          <w:sz w:val="24"/>
          <w:szCs w:val="24"/>
        </w:rPr>
        <w:t>prevalence</w:t>
      </w:r>
      <w:r w:rsidRPr="009D2077">
        <w:rPr>
          <w:rFonts w:ascii="Times New Roman" w:hAnsi="Times New Roman" w:cs="Times New Roman"/>
          <w:sz w:val="24"/>
          <w:szCs w:val="24"/>
        </w:rPr>
        <w:t xml:space="preserve"> cast</w:t>
      </w:r>
      <w:r>
        <w:rPr>
          <w:rFonts w:ascii="Times New Roman" w:hAnsi="Times New Roman" w:cs="Times New Roman"/>
          <w:sz w:val="24"/>
          <w:szCs w:val="24"/>
        </w:rPr>
        <w:t xml:space="preserve"> considerable</w:t>
      </w:r>
      <w:r w:rsidRPr="009D2077">
        <w:rPr>
          <w:rFonts w:ascii="Times New Roman" w:hAnsi="Times New Roman" w:cs="Times New Roman"/>
          <w:sz w:val="24"/>
          <w:szCs w:val="24"/>
        </w:rPr>
        <w:t xml:space="preserve"> doubt on</w:t>
      </w:r>
      <w:r>
        <w:rPr>
          <w:rFonts w:ascii="Times New Roman" w:hAnsi="Times New Roman" w:cs="Times New Roman"/>
          <w:sz w:val="24"/>
          <w:szCs w:val="24"/>
        </w:rPr>
        <w:t xml:space="preserve"> the effectiveness of the test’s ability to prevent fractures in later life. </w:t>
      </w:r>
    </w:p>
    <w:p w:rsidR="00BF3456" w:rsidRDefault="00BF3456" w:rsidP="00BF3456">
      <w:pPr>
        <w:pStyle w:val="NoSpacing"/>
        <w:rPr>
          <w:rFonts w:ascii="Times New Roman" w:hAnsi="Times New Roman" w:cs="Times New Roman"/>
          <w:sz w:val="24"/>
          <w:szCs w:val="24"/>
        </w:rPr>
      </w:pPr>
    </w:p>
    <w:p w:rsidR="00F03066" w:rsidRDefault="00BF3456" w:rsidP="00BF3456">
      <w:pPr>
        <w:pStyle w:val="NoSpacing"/>
        <w:rPr>
          <w:rFonts w:ascii="Times New Roman" w:hAnsi="Times New Roman" w:cs="Times New Roman"/>
          <w:sz w:val="24"/>
          <w:szCs w:val="24"/>
        </w:rPr>
      </w:pPr>
      <w:r w:rsidRPr="009D2077">
        <w:rPr>
          <w:rFonts w:ascii="Times New Roman" w:hAnsi="Times New Roman" w:cs="Times New Roman"/>
          <w:sz w:val="24"/>
          <w:szCs w:val="24"/>
        </w:rPr>
        <w:t xml:space="preserve">ESC </w:t>
      </w:r>
      <w:r>
        <w:rPr>
          <w:rFonts w:ascii="Times New Roman" w:hAnsi="Times New Roman" w:cs="Times New Roman"/>
          <w:sz w:val="24"/>
          <w:szCs w:val="24"/>
        </w:rPr>
        <w:t>also noted</w:t>
      </w:r>
      <w:r w:rsidRPr="009D207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9D2077">
        <w:rPr>
          <w:rFonts w:ascii="Times New Roman" w:hAnsi="Times New Roman" w:cs="Times New Roman"/>
          <w:sz w:val="24"/>
          <w:szCs w:val="24"/>
        </w:rPr>
        <w:t xml:space="preserve">DXA </w:t>
      </w:r>
      <w:r>
        <w:rPr>
          <w:rFonts w:ascii="Times New Roman" w:hAnsi="Times New Roman" w:cs="Times New Roman"/>
          <w:sz w:val="24"/>
          <w:szCs w:val="24"/>
        </w:rPr>
        <w:t xml:space="preserve">is the reference standard for </w:t>
      </w:r>
      <w:r w:rsidRPr="00FC4C59">
        <w:rPr>
          <w:rFonts w:ascii="Times New Roman" w:hAnsi="Times New Roman" w:cs="Times New Roman"/>
          <w:sz w:val="24"/>
          <w:szCs w:val="24"/>
        </w:rPr>
        <w:t>diagnosing</w:t>
      </w:r>
      <w:r w:rsidRPr="009D2077">
        <w:rPr>
          <w:rFonts w:ascii="Times New Roman" w:hAnsi="Times New Roman" w:cs="Times New Roman"/>
          <w:sz w:val="24"/>
          <w:szCs w:val="24"/>
        </w:rPr>
        <w:t xml:space="preserve"> osteoporosis</w:t>
      </w:r>
      <w:r>
        <w:rPr>
          <w:rFonts w:ascii="Times New Roman" w:hAnsi="Times New Roman" w:cs="Times New Roman"/>
          <w:sz w:val="24"/>
          <w:szCs w:val="24"/>
        </w:rPr>
        <w:t xml:space="preserve">. </w:t>
      </w:r>
      <w:r w:rsidR="00B86F47">
        <w:rPr>
          <w:rFonts w:ascii="Times New Roman" w:hAnsi="Times New Roman" w:cs="Times New Roman"/>
          <w:sz w:val="24"/>
          <w:szCs w:val="24"/>
        </w:rPr>
        <w:t xml:space="preserve"> </w:t>
      </w:r>
      <w:r>
        <w:rPr>
          <w:rFonts w:ascii="Times New Roman" w:hAnsi="Times New Roman" w:cs="Times New Roman"/>
          <w:sz w:val="24"/>
          <w:szCs w:val="24"/>
        </w:rPr>
        <w:t xml:space="preserve">However, ESC was concerned that none of the studies presented followed through to capture the outcome of fracture later in life. </w:t>
      </w:r>
      <w:r w:rsidR="00B86F47">
        <w:rPr>
          <w:rFonts w:ascii="Times New Roman" w:hAnsi="Times New Roman" w:cs="Times New Roman"/>
          <w:sz w:val="24"/>
          <w:szCs w:val="24"/>
        </w:rPr>
        <w:t xml:space="preserve"> </w:t>
      </w:r>
      <w:r>
        <w:rPr>
          <w:rFonts w:ascii="Times New Roman" w:hAnsi="Times New Roman" w:cs="Times New Roman"/>
          <w:sz w:val="24"/>
          <w:szCs w:val="24"/>
        </w:rPr>
        <w:t>ESC considered that prediction of future fractures for women in their 50</w:t>
      </w:r>
      <w:r w:rsidRPr="00C83D60">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r w:rsidRPr="00835F4D">
        <w:rPr>
          <w:rFonts w:ascii="Times New Roman" w:hAnsi="Times New Roman" w:cs="Times New Roman"/>
          <w:sz w:val="24"/>
          <w:szCs w:val="24"/>
        </w:rPr>
        <w:t xml:space="preserve"> </w:t>
      </w:r>
      <w:r>
        <w:rPr>
          <w:rFonts w:ascii="Times New Roman" w:hAnsi="Times New Roman" w:cs="Times New Roman"/>
          <w:sz w:val="24"/>
          <w:szCs w:val="24"/>
        </w:rPr>
        <w:t xml:space="preserve">would be </w:t>
      </w:r>
      <w:r w:rsidRPr="00835F4D">
        <w:rPr>
          <w:rFonts w:ascii="Times New Roman" w:hAnsi="Times New Roman" w:cs="Times New Roman"/>
          <w:sz w:val="24"/>
          <w:szCs w:val="24"/>
        </w:rPr>
        <w:t>poor</w:t>
      </w:r>
      <w:r>
        <w:rPr>
          <w:rFonts w:ascii="Times New Roman" w:hAnsi="Times New Roman" w:cs="Times New Roman"/>
          <w:sz w:val="24"/>
          <w:szCs w:val="24"/>
        </w:rPr>
        <w:t>, as peak bone loss occurs after this age.</w:t>
      </w:r>
      <w:r w:rsidR="00F03066" w:rsidDel="00F03066">
        <w:rPr>
          <w:rFonts w:ascii="Times New Roman" w:hAnsi="Times New Roman" w:cs="Times New Roman"/>
          <w:sz w:val="24"/>
          <w:szCs w:val="24"/>
        </w:rPr>
        <w:t xml:space="preserve"> </w:t>
      </w:r>
    </w:p>
    <w:p w:rsidR="00F03066" w:rsidRDefault="00F03066" w:rsidP="00BF3456">
      <w:pPr>
        <w:pStyle w:val="NoSpacing"/>
        <w:rPr>
          <w:rFonts w:ascii="Times New Roman" w:hAnsi="Times New Roman" w:cs="Times New Roman"/>
          <w:sz w:val="24"/>
          <w:szCs w:val="24"/>
        </w:rPr>
      </w:pPr>
    </w:p>
    <w:p w:rsidR="00BF3456" w:rsidRDefault="00BF3456" w:rsidP="00BF3456">
      <w:pPr>
        <w:pStyle w:val="NoSpacing"/>
        <w:rPr>
          <w:rFonts w:ascii="Times New Roman" w:hAnsi="Times New Roman" w:cs="Times New Roman"/>
          <w:sz w:val="24"/>
          <w:szCs w:val="24"/>
        </w:rPr>
      </w:pPr>
      <w:r>
        <w:rPr>
          <w:rFonts w:ascii="Times New Roman" w:hAnsi="Times New Roman" w:cs="Times New Roman"/>
          <w:sz w:val="24"/>
          <w:szCs w:val="24"/>
        </w:rPr>
        <w:t>ESC noted that, worldwide, there is no guideline which recommends DXA screening.</w:t>
      </w:r>
    </w:p>
    <w:p w:rsidR="006A0D97" w:rsidRPr="006A0D97" w:rsidRDefault="006A0D97" w:rsidP="00BF3456"/>
    <w:p w:rsidR="00BC1364" w:rsidRDefault="00BC1364" w:rsidP="00BF3456">
      <w:pPr>
        <w:pStyle w:val="Heading1"/>
        <w:numPr>
          <w:ilvl w:val="0"/>
          <w:numId w:val="23"/>
        </w:numPr>
        <w:ind w:hanging="720"/>
      </w:pPr>
      <w:r w:rsidRPr="008D5885">
        <w:t>Other significant factors</w:t>
      </w:r>
    </w:p>
    <w:p w:rsidR="00D90A38" w:rsidRDefault="00D90A38" w:rsidP="00BF3456">
      <w:pPr>
        <w:rPr>
          <w:szCs w:val="24"/>
        </w:rPr>
      </w:pPr>
    </w:p>
    <w:p w:rsidR="00BC1364" w:rsidRPr="00FA120D" w:rsidRDefault="00BC1364" w:rsidP="00BF3456">
      <w:pPr>
        <w:rPr>
          <w:szCs w:val="24"/>
        </w:rPr>
      </w:pPr>
      <w:r w:rsidRPr="00FA120D">
        <w:rPr>
          <w:szCs w:val="24"/>
        </w:rPr>
        <w:t>Nil</w:t>
      </w:r>
    </w:p>
    <w:p w:rsidR="00BC1364" w:rsidRPr="00707064" w:rsidRDefault="00BC1364" w:rsidP="00BF3456">
      <w:pPr>
        <w:tabs>
          <w:tab w:val="left" w:pos="720"/>
        </w:tabs>
        <w:ind w:left="709" w:hanging="709"/>
        <w:rPr>
          <w:szCs w:val="24"/>
        </w:rPr>
      </w:pPr>
    </w:p>
    <w:p w:rsidR="00BC1364" w:rsidRDefault="00BC1364" w:rsidP="00BF3456">
      <w:pPr>
        <w:pStyle w:val="Heading1"/>
        <w:numPr>
          <w:ilvl w:val="0"/>
          <w:numId w:val="23"/>
        </w:numPr>
        <w:ind w:hanging="720"/>
      </w:pPr>
      <w:r w:rsidRPr="008D5885">
        <w:t xml:space="preserve">Applicant’s comments on MSAC’s </w:t>
      </w:r>
      <w:r w:rsidR="00DA56AA">
        <w:t>Public Summary Document</w:t>
      </w:r>
    </w:p>
    <w:p w:rsidR="00BC1364" w:rsidRDefault="00BC1364" w:rsidP="00BF3456">
      <w:pPr>
        <w:tabs>
          <w:tab w:val="left" w:pos="720"/>
        </w:tabs>
        <w:ind w:left="709" w:hanging="709"/>
        <w:rPr>
          <w:b/>
          <w:szCs w:val="24"/>
        </w:rPr>
      </w:pPr>
    </w:p>
    <w:p w:rsidR="000F75DF" w:rsidRPr="004107B7" w:rsidRDefault="00751534" w:rsidP="00BF3456">
      <w:pPr>
        <w:rPr>
          <w:szCs w:val="24"/>
        </w:rPr>
      </w:pPr>
      <w:r w:rsidRPr="004107B7">
        <w:rPr>
          <w:szCs w:val="24"/>
        </w:rPr>
        <w:t>The applicant had no comment.</w:t>
      </w:r>
    </w:p>
    <w:p w:rsidR="00BC1364" w:rsidRDefault="00BC1364" w:rsidP="00BF3456">
      <w:pPr>
        <w:rPr>
          <w:b/>
          <w:szCs w:val="24"/>
        </w:rPr>
      </w:pPr>
    </w:p>
    <w:p w:rsidR="00BC1364" w:rsidRDefault="00271F18" w:rsidP="00BF3456">
      <w:pPr>
        <w:pStyle w:val="Heading1"/>
        <w:numPr>
          <w:ilvl w:val="0"/>
          <w:numId w:val="23"/>
        </w:numPr>
        <w:ind w:hanging="720"/>
      </w:pPr>
      <w:r>
        <w:t>Further information on MSAC</w:t>
      </w:r>
    </w:p>
    <w:p w:rsidR="00BC1364" w:rsidRDefault="00BC1364" w:rsidP="00BF3456">
      <w:pPr>
        <w:tabs>
          <w:tab w:val="left" w:pos="720"/>
        </w:tabs>
        <w:ind w:left="709" w:hanging="709"/>
        <w:rPr>
          <w:b/>
          <w:szCs w:val="24"/>
        </w:rPr>
      </w:pPr>
    </w:p>
    <w:p w:rsidR="00BC1364" w:rsidRPr="00DD2858" w:rsidRDefault="00271F18" w:rsidP="00BF3456">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7"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headerReference w:type="even" r:id="rId18"/>
      <w:headerReference w:type="default" r:id="rId19"/>
      <w:footerReference w:type="default" r:id="rId20"/>
      <w:headerReference w:type="first" r:id="rId21"/>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E94" w:rsidRDefault="00B74E94" w:rsidP="00065623">
      <w:r>
        <w:separator/>
      </w:r>
    </w:p>
  </w:endnote>
  <w:endnote w:type="continuationSeparator" w:id="0">
    <w:p w:rsidR="00B74E94" w:rsidRDefault="00B74E94"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E7" w:rsidRDefault="00954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117280"/>
      <w:docPartObj>
        <w:docPartGallery w:val="Page Numbers (Bottom of Page)"/>
        <w:docPartUnique/>
      </w:docPartObj>
    </w:sdtPr>
    <w:sdtEndPr>
      <w:rPr>
        <w:noProof/>
      </w:rPr>
    </w:sdtEndPr>
    <w:sdtContent>
      <w:p w:rsidR="00BF3456" w:rsidRDefault="00BF3456">
        <w:pPr>
          <w:pStyle w:val="Footer"/>
          <w:jc w:val="right"/>
        </w:pPr>
        <w:r>
          <w:fldChar w:fldCharType="begin"/>
        </w:r>
        <w:r>
          <w:instrText xml:space="preserve"> PAGE   \* MERGEFORMAT </w:instrText>
        </w:r>
        <w:r>
          <w:fldChar w:fldCharType="separate"/>
        </w:r>
        <w:r w:rsidR="004107B7">
          <w:rPr>
            <w:noProof/>
          </w:rPr>
          <w:t>6</w:t>
        </w:r>
        <w:r>
          <w:rPr>
            <w:noProof/>
          </w:rPr>
          <w:fldChar w:fldCharType="end"/>
        </w:r>
      </w:p>
    </w:sdtContent>
  </w:sdt>
  <w:p w:rsidR="00BF3456" w:rsidRDefault="00BF34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E7" w:rsidRDefault="00954F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4107B7">
          <w:rPr>
            <w:noProof/>
          </w:rPr>
          <w:t>8</w:t>
        </w:r>
        <w:r>
          <w:rPr>
            <w:noProof/>
          </w:rPr>
          <w:fldChar w:fldCharType="end"/>
        </w:r>
      </w:p>
    </w:sdtContent>
  </w:sdt>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E94" w:rsidRDefault="00B74E94" w:rsidP="00065623">
      <w:r>
        <w:separator/>
      </w:r>
    </w:p>
  </w:footnote>
  <w:footnote w:type="continuationSeparator" w:id="0">
    <w:p w:rsidR="00B74E94" w:rsidRDefault="00B74E94"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E7" w:rsidRDefault="00954F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456" w:rsidRDefault="00BF34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E7" w:rsidRDefault="00954F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E7" w:rsidRDefault="00954F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E7" w:rsidRDefault="00954F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E7" w:rsidRDefault="00954F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939"/>
    <w:multiLevelType w:val="hybridMultilevel"/>
    <w:tmpl w:val="4D66D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0E66C1C"/>
    <w:multiLevelType w:val="hybridMultilevel"/>
    <w:tmpl w:val="78085F70"/>
    <w:lvl w:ilvl="0" w:tplc="DBFA83DC">
      <w:start w:val="1"/>
      <w:numFmt w:val="bullet"/>
      <w:lvlText w:val=""/>
      <w:lvlJc w:val="left"/>
      <w:pPr>
        <w:tabs>
          <w:tab w:val="num" w:pos="360"/>
        </w:tabs>
        <w:ind w:left="36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36054D8"/>
    <w:multiLevelType w:val="hybridMultilevel"/>
    <w:tmpl w:val="5190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813104"/>
    <w:multiLevelType w:val="hybridMultilevel"/>
    <w:tmpl w:val="506A42B6"/>
    <w:lvl w:ilvl="0" w:tplc="DBFA83DC">
      <w:start w:val="1"/>
      <w:numFmt w:val="bullet"/>
      <w:lvlText w:val=""/>
      <w:lvlJc w:val="left"/>
      <w:pPr>
        <w:tabs>
          <w:tab w:val="num" w:pos="360"/>
        </w:tabs>
        <w:ind w:left="36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E121458"/>
    <w:multiLevelType w:val="hybridMultilevel"/>
    <w:tmpl w:val="58CCF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EB715FF"/>
    <w:multiLevelType w:val="hybridMultilevel"/>
    <w:tmpl w:val="36D0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2"/>
  </w:num>
  <w:num w:numId="4">
    <w:abstractNumId w:val="18"/>
  </w:num>
  <w:num w:numId="5">
    <w:abstractNumId w:val="11"/>
  </w:num>
  <w:num w:numId="6">
    <w:abstractNumId w:val="17"/>
  </w:num>
  <w:num w:numId="7">
    <w:abstractNumId w:val="22"/>
  </w:num>
  <w:num w:numId="8">
    <w:abstractNumId w:val="13"/>
  </w:num>
  <w:num w:numId="9">
    <w:abstractNumId w:val="29"/>
  </w:num>
  <w:num w:numId="10">
    <w:abstractNumId w:val="1"/>
  </w:num>
  <w:num w:numId="11">
    <w:abstractNumId w:val="21"/>
  </w:num>
  <w:num w:numId="12">
    <w:abstractNumId w:val="23"/>
  </w:num>
  <w:num w:numId="13">
    <w:abstractNumId w:val="6"/>
  </w:num>
  <w:num w:numId="14">
    <w:abstractNumId w:val="27"/>
  </w:num>
  <w:num w:numId="15">
    <w:abstractNumId w:val="19"/>
  </w:num>
  <w:num w:numId="16">
    <w:abstractNumId w:val="24"/>
  </w:num>
  <w:num w:numId="17">
    <w:abstractNumId w:val="14"/>
  </w:num>
  <w:num w:numId="18">
    <w:abstractNumId w:val="15"/>
  </w:num>
  <w:num w:numId="19">
    <w:abstractNumId w:val="26"/>
  </w:num>
  <w:num w:numId="20">
    <w:abstractNumId w:val="25"/>
  </w:num>
  <w:num w:numId="21">
    <w:abstractNumId w:val="4"/>
  </w:num>
  <w:num w:numId="22">
    <w:abstractNumId w:val="10"/>
  </w:num>
  <w:num w:numId="23">
    <w:abstractNumId w:val="3"/>
  </w:num>
  <w:num w:numId="24">
    <w:abstractNumId w:val="9"/>
  </w:num>
  <w:num w:numId="25">
    <w:abstractNumId w:val="7"/>
  </w:num>
  <w:num w:numId="26">
    <w:abstractNumId w:val="5"/>
  </w:num>
  <w:num w:numId="27">
    <w:abstractNumId w:val="12"/>
  </w:num>
  <w:num w:numId="28">
    <w:abstractNumId w:val="28"/>
  </w:num>
  <w:num w:numId="29">
    <w:abstractNumId w:val="0"/>
  </w:num>
  <w:num w:numId="3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0222"/>
    <w:rsid w:val="00011A36"/>
    <w:rsid w:val="00047606"/>
    <w:rsid w:val="00065623"/>
    <w:rsid w:val="000756B9"/>
    <w:rsid w:val="00096B67"/>
    <w:rsid w:val="00096DAF"/>
    <w:rsid w:val="000C2F47"/>
    <w:rsid w:val="000D6C00"/>
    <w:rsid w:val="000E2C92"/>
    <w:rsid w:val="000E4E04"/>
    <w:rsid w:val="000F14B4"/>
    <w:rsid w:val="000F75DF"/>
    <w:rsid w:val="001328FA"/>
    <w:rsid w:val="00147AAF"/>
    <w:rsid w:val="001552C0"/>
    <w:rsid w:val="001640B1"/>
    <w:rsid w:val="00167F82"/>
    <w:rsid w:val="0018435E"/>
    <w:rsid w:val="001B0CA7"/>
    <w:rsid w:val="00201217"/>
    <w:rsid w:val="002041A1"/>
    <w:rsid w:val="002054F0"/>
    <w:rsid w:val="00230D6B"/>
    <w:rsid w:val="00232068"/>
    <w:rsid w:val="002330F2"/>
    <w:rsid w:val="00243D9E"/>
    <w:rsid w:val="00253B66"/>
    <w:rsid w:val="00261DF1"/>
    <w:rsid w:val="00271F18"/>
    <w:rsid w:val="00276754"/>
    <w:rsid w:val="00282779"/>
    <w:rsid w:val="0029499F"/>
    <w:rsid w:val="002B7FFA"/>
    <w:rsid w:val="002C2BCF"/>
    <w:rsid w:val="002E30AC"/>
    <w:rsid w:val="002F279D"/>
    <w:rsid w:val="002F43B8"/>
    <w:rsid w:val="0034554D"/>
    <w:rsid w:val="00352224"/>
    <w:rsid w:val="003671E6"/>
    <w:rsid w:val="00384272"/>
    <w:rsid w:val="00384CCD"/>
    <w:rsid w:val="00386D67"/>
    <w:rsid w:val="003945B8"/>
    <w:rsid w:val="003C5C49"/>
    <w:rsid w:val="003D7F29"/>
    <w:rsid w:val="00405A6B"/>
    <w:rsid w:val="00407B1F"/>
    <w:rsid w:val="004107B7"/>
    <w:rsid w:val="00414C57"/>
    <w:rsid w:val="0041758C"/>
    <w:rsid w:val="004539DE"/>
    <w:rsid w:val="00455969"/>
    <w:rsid w:val="004A2CF1"/>
    <w:rsid w:val="004C3035"/>
    <w:rsid w:val="004C307F"/>
    <w:rsid w:val="004E4BA8"/>
    <w:rsid w:val="004F7B7C"/>
    <w:rsid w:val="0052243D"/>
    <w:rsid w:val="00532435"/>
    <w:rsid w:val="00550354"/>
    <w:rsid w:val="00571236"/>
    <w:rsid w:val="005953A1"/>
    <w:rsid w:val="005D0332"/>
    <w:rsid w:val="005D0D8C"/>
    <w:rsid w:val="0067311F"/>
    <w:rsid w:val="006A0D97"/>
    <w:rsid w:val="006C2C8F"/>
    <w:rsid w:val="006E3579"/>
    <w:rsid w:val="006F0BA3"/>
    <w:rsid w:val="007054BB"/>
    <w:rsid w:val="00707064"/>
    <w:rsid w:val="00717968"/>
    <w:rsid w:val="00730683"/>
    <w:rsid w:val="00751534"/>
    <w:rsid w:val="0075261F"/>
    <w:rsid w:val="0075468E"/>
    <w:rsid w:val="007665D8"/>
    <w:rsid w:val="00766E36"/>
    <w:rsid w:val="007765F4"/>
    <w:rsid w:val="00776633"/>
    <w:rsid w:val="00784D53"/>
    <w:rsid w:val="00797797"/>
    <w:rsid w:val="007A33CD"/>
    <w:rsid w:val="007A63C9"/>
    <w:rsid w:val="007B32D1"/>
    <w:rsid w:val="007B7095"/>
    <w:rsid w:val="007D24E1"/>
    <w:rsid w:val="007D5184"/>
    <w:rsid w:val="007D566D"/>
    <w:rsid w:val="007F4CE9"/>
    <w:rsid w:val="007F4E20"/>
    <w:rsid w:val="00822C7E"/>
    <w:rsid w:val="00847060"/>
    <w:rsid w:val="00856A33"/>
    <w:rsid w:val="00871A18"/>
    <w:rsid w:val="00892620"/>
    <w:rsid w:val="008C7D37"/>
    <w:rsid w:val="008D5885"/>
    <w:rsid w:val="00923FA2"/>
    <w:rsid w:val="00932F56"/>
    <w:rsid w:val="00954FE7"/>
    <w:rsid w:val="0096060D"/>
    <w:rsid w:val="00974A50"/>
    <w:rsid w:val="0097585A"/>
    <w:rsid w:val="009942C9"/>
    <w:rsid w:val="009C630A"/>
    <w:rsid w:val="009E0D98"/>
    <w:rsid w:val="00A068A1"/>
    <w:rsid w:val="00A1207D"/>
    <w:rsid w:val="00A12FD8"/>
    <w:rsid w:val="00A27858"/>
    <w:rsid w:val="00A346FC"/>
    <w:rsid w:val="00A84F93"/>
    <w:rsid w:val="00AB1AC5"/>
    <w:rsid w:val="00AB3BFC"/>
    <w:rsid w:val="00AC4F2E"/>
    <w:rsid w:val="00AD0C37"/>
    <w:rsid w:val="00AD54F5"/>
    <w:rsid w:val="00AE6E2A"/>
    <w:rsid w:val="00B01DB2"/>
    <w:rsid w:val="00B11BAA"/>
    <w:rsid w:val="00B31E9C"/>
    <w:rsid w:val="00B51C6D"/>
    <w:rsid w:val="00B6632D"/>
    <w:rsid w:val="00B74E94"/>
    <w:rsid w:val="00B86D64"/>
    <w:rsid w:val="00B86F47"/>
    <w:rsid w:val="00BA4AC5"/>
    <w:rsid w:val="00BC1364"/>
    <w:rsid w:val="00BC7DE9"/>
    <w:rsid w:val="00BF3456"/>
    <w:rsid w:val="00BF479B"/>
    <w:rsid w:val="00C02577"/>
    <w:rsid w:val="00C20BEE"/>
    <w:rsid w:val="00C67DD2"/>
    <w:rsid w:val="00C76F5C"/>
    <w:rsid w:val="00C84E9B"/>
    <w:rsid w:val="00C96BAD"/>
    <w:rsid w:val="00CA6944"/>
    <w:rsid w:val="00CB0F8E"/>
    <w:rsid w:val="00CB7E7D"/>
    <w:rsid w:val="00CC2911"/>
    <w:rsid w:val="00CF0C6D"/>
    <w:rsid w:val="00CF7307"/>
    <w:rsid w:val="00CF7C68"/>
    <w:rsid w:val="00D124FA"/>
    <w:rsid w:val="00D340DE"/>
    <w:rsid w:val="00D43F48"/>
    <w:rsid w:val="00D55723"/>
    <w:rsid w:val="00D62FAD"/>
    <w:rsid w:val="00D70450"/>
    <w:rsid w:val="00D83BFD"/>
    <w:rsid w:val="00D90A38"/>
    <w:rsid w:val="00DA0515"/>
    <w:rsid w:val="00DA171E"/>
    <w:rsid w:val="00DA342B"/>
    <w:rsid w:val="00DA56AA"/>
    <w:rsid w:val="00DC7824"/>
    <w:rsid w:val="00DD2858"/>
    <w:rsid w:val="00E02CC0"/>
    <w:rsid w:val="00E03E33"/>
    <w:rsid w:val="00E3642A"/>
    <w:rsid w:val="00E415C4"/>
    <w:rsid w:val="00E50016"/>
    <w:rsid w:val="00E50EAA"/>
    <w:rsid w:val="00E656D6"/>
    <w:rsid w:val="00E77239"/>
    <w:rsid w:val="00E977EE"/>
    <w:rsid w:val="00EA002F"/>
    <w:rsid w:val="00EA67A2"/>
    <w:rsid w:val="00EC4F98"/>
    <w:rsid w:val="00F03066"/>
    <w:rsid w:val="00F10EB2"/>
    <w:rsid w:val="00F12F02"/>
    <w:rsid w:val="00F35134"/>
    <w:rsid w:val="00F41812"/>
    <w:rsid w:val="00F6298B"/>
    <w:rsid w:val="00F73333"/>
    <w:rsid w:val="00F95D8F"/>
    <w:rsid w:val="00FA120D"/>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Table and Figure Name,Caption Char2 Char,Caption Char Char Char2,Caption Char1 Char Char Char1,Caption Char2 Char Char Char1 Char1,Caption Char Char1 Char Char Char1 Char1,Caption Char1 Char Char Char Char Char Char,Caption Char Char1"/>
    <w:basedOn w:val="Normal"/>
    <w:next w:val="Normal"/>
    <w:uiPriority w:val="99"/>
    <w:qFormat/>
    <w:locked/>
    <w:rsid w:val="00BF3456"/>
    <w:pPr>
      <w:spacing w:after="120"/>
    </w:pPr>
    <w:rPr>
      <w:rFonts w:ascii="Arial Narrow" w:hAnsi="Arial Narrow" w:cs="Tahoma"/>
      <w:b/>
      <w:bCs/>
      <w:sz w:val="20"/>
      <w:szCs w:val="22"/>
    </w:rPr>
  </w:style>
  <w:style w:type="paragraph" w:styleId="NormalWeb">
    <w:name w:val="Normal (Web)"/>
    <w:basedOn w:val="Normal"/>
    <w:uiPriority w:val="99"/>
    <w:rsid w:val="00BF3456"/>
    <w:pPr>
      <w:spacing w:before="100" w:beforeAutospacing="1" w:after="100" w:afterAutospacing="1"/>
    </w:pPr>
    <w:rPr>
      <w:lang w:val="en-US" w:eastAsia="en-US"/>
    </w:rPr>
  </w:style>
  <w:style w:type="paragraph" w:styleId="NoSpacing">
    <w:name w:val="No Spacing"/>
    <w:uiPriority w:val="1"/>
    <w:qFormat/>
    <w:rsid w:val="00BF3456"/>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932F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Caption">
    <w:name w:val="caption"/>
    <w:aliases w:val="Table and Figure Name,Caption Char2 Char,Caption Char Char Char2,Caption Char1 Char Char Char1,Caption Char2 Char Char Char1 Char1,Caption Char Char1 Char Char Char1 Char1,Caption Char1 Char Char Char Char Char Char,Caption Char Char1"/>
    <w:basedOn w:val="Normal"/>
    <w:next w:val="Normal"/>
    <w:uiPriority w:val="99"/>
    <w:qFormat/>
    <w:locked/>
    <w:rsid w:val="00BF3456"/>
    <w:pPr>
      <w:spacing w:after="120"/>
    </w:pPr>
    <w:rPr>
      <w:rFonts w:ascii="Arial Narrow" w:hAnsi="Arial Narrow" w:cs="Tahoma"/>
      <w:b/>
      <w:bCs/>
      <w:sz w:val="20"/>
      <w:szCs w:val="22"/>
    </w:rPr>
  </w:style>
  <w:style w:type="paragraph" w:styleId="NormalWeb">
    <w:name w:val="Normal (Web)"/>
    <w:basedOn w:val="Normal"/>
    <w:uiPriority w:val="99"/>
    <w:rsid w:val="00BF3456"/>
    <w:pPr>
      <w:spacing w:before="100" w:beforeAutospacing="1" w:after="100" w:afterAutospacing="1"/>
    </w:pPr>
    <w:rPr>
      <w:lang w:val="en-US" w:eastAsia="en-US"/>
    </w:rPr>
  </w:style>
  <w:style w:type="paragraph" w:styleId="NoSpacing">
    <w:name w:val="No Spacing"/>
    <w:uiPriority w:val="1"/>
    <w:qFormat/>
    <w:rsid w:val="00BF3456"/>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932F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msac.gov.a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7F0F-E840-4A7D-8B89-BFEBF671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3</cp:revision>
  <cp:lastPrinted>2014-01-23T05:11:00Z</cp:lastPrinted>
  <dcterms:created xsi:type="dcterms:W3CDTF">2015-07-06T04:42:00Z</dcterms:created>
  <dcterms:modified xsi:type="dcterms:W3CDTF">2015-07-06T04:43:00Z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