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6DA6A"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4BD023C0" wp14:editId="0AF85DB6">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8B5F517" w14:textId="77777777" w:rsidR="00BC1364" w:rsidRPr="002A1861" w:rsidRDefault="00F715D1" w:rsidP="00F715D1">
      <w:pPr>
        <w:pStyle w:val="Title"/>
        <w:tabs>
          <w:tab w:val="left" w:pos="1926"/>
          <w:tab w:val="center" w:pos="4513"/>
        </w:tabs>
        <w:jc w:val="left"/>
      </w:pPr>
      <w:r w:rsidRPr="002A1861">
        <w:tab/>
      </w:r>
      <w:r w:rsidRPr="002A1861">
        <w:tab/>
      </w:r>
      <w:r w:rsidR="00BF479B" w:rsidRPr="002A1861">
        <w:t>Public Summary Document</w:t>
      </w:r>
    </w:p>
    <w:p w14:paraId="0788525E" w14:textId="77777777" w:rsidR="00BC1364" w:rsidRPr="002A1861" w:rsidRDefault="00BC1364" w:rsidP="00F715D1">
      <w:pPr>
        <w:pStyle w:val="Subtitle"/>
      </w:pPr>
      <w:r w:rsidRPr="002A1861">
        <w:t xml:space="preserve">Application No. </w:t>
      </w:r>
      <w:r w:rsidR="00B35595" w:rsidRPr="002A1861">
        <w:t>1</w:t>
      </w:r>
      <w:r w:rsidR="00F443A8" w:rsidRPr="002A1861">
        <w:t>40</w:t>
      </w:r>
      <w:r w:rsidR="00DF4E15" w:rsidRPr="002A1861">
        <w:t>5</w:t>
      </w:r>
      <w:r w:rsidRPr="002A1861">
        <w:t xml:space="preserve"> – </w:t>
      </w:r>
      <w:r w:rsidR="00DF4E15" w:rsidRPr="002A1861">
        <w:t>MBS Item Number for Pulmonary Rehabilitation</w:t>
      </w:r>
    </w:p>
    <w:p w14:paraId="13CC9FEA" w14:textId="77777777" w:rsidR="00F443A8" w:rsidRPr="002A1861" w:rsidRDefault="00B35595" w:rsidP="00F443A8">
      <w:pPr>
        <w:spacing w:after="240"/>
        <w:ind w:left="3600" w:hanging="3600"/>
        <w:rPr>
          <w:rFonts w:ascii="Arial" w:hAnsi="Arial" w:cs="Arial"/>
          <w:b/>
          <w:szCs w:val="24"/>
        </w:rPr>
      </w:pPr>
      <w:r w:rsidRPr="002A1861">
        <w:rPr>
          <w:rFonts w:ascii="Arial" w:hAnsi="Arial" w:cs="Arial"/>
          <w:b/>
          <w:szCs w:val="24"/>
        </w:rPr>
        <w:t>Applicant</w:t>
      </w:r>
      <w:r w:rsidR="00BC1364" w:rsidRPr="002A1861">
        <w:rPr>
          <w:rFonts w:ascii="Arial" w:hAnsi="Arial" w:cs="Arial"/>
          <w:b/>
          <w:szCs w:val="24"/>
        </w:rPr>
        <w:t>:</w:t>
      </w:r>
      <w:r w:rsidR="00BC1364" w:rsidRPr="002A1861">
        <w:rPr>
          <w:rFonts w:ascii="Arial" w:hAnsi="Arial" w:cs="Arial"/>
          <w:b/>
          <w:szCs w:val="24"/>
        </w:rPr>
        <w:tab/>
      </w:r>
      <w:r w:rsidR="00DF4E15" w:rsidRPr="002A1861">
        <w:rPr>
          <w:rFonts w:ascii="Arial" w:hAnsi="Arial" w:cs="Arial"/>
          <w:b/>
          <w:szCs w:val="24"/>
        </w:rPr>
        <w:t>Lung Foundation</w:t>
      </w:r>
      <w:r w:rsidR="00F443A8" w:rsidRPr="002A1861">
        <w:rPr>
          <w:rFonts w:ascii="Arial" w:hAnsi="Arial" w:cs="Arial"/>
          <w:b/>
          <w:szCs w:val="24"/>
        </w:rPr>
        <w:t xml:space="preserve"> </w:t>
      </w:r>
    </w:p>
    <w:p w14:paraId="2C1F9D97" w14:textId="77777777" w:rsidR="00BC1364" w:rsidRPr="002A1861" w:rsidRDefault="00BC1364" w:rsidP="00F443A8">
      <w:pPr>
        <w:spacing w:after="240"/>
        <w:ind w:left="3600" w:hanging="3600"/>
        <w:rPr>
          <w:rFonts w:ascii="Arial" w:hAnsi="Arial" w:cs="Arial"/>
          <w:b/>
          <w:szCs w:val="24"/>
        </w:rPr>
      </w:pPr>
      <w:r w:rsidRPr="002A1861">
        <w:rPr>
          <w:rFonts w:ascii="Arial" w:hAnsi="Arial" w:cs="Arial"/>
          <w:b/>
          <w:szCs w:val="24"/>
        </w:rPr>
        <w:t>Date of MSAC consideration:</w:t>
      </w:r>
      <w:r w:rsidRPr="002A1861">
        <w:rPr>
          <w:rFonts w:ascii="Arial" w:hAnsi="Arial" w:cs="Arial"/>
          <w:b/>
          <w:szCs w:val="24"/>
        </w:rPr>
        <w:tab/>
      </w:r>
      <w:r w:rsidR="00C67DD2" w:rsidRPr="002A1861">
        <w:rPr>
          <w:rFonts w:ascii="Arial" w:hAnsi="Arial" w:cs="Arial"/>
          <w:b/>
          <w:szCs w:val="24"/>
        </w:rPr>
        <w:t xml:space="preserve">MSAC </w:t>
      </w:r>
      <w:r w:rsidR="00B35595" w:rsidRPr="002A1861">
        <w:rPr>
          <w:rFonts w:ascii="Arial" w:hAnsi="Arial" w:cs="Arial"/>
          <w:b/>
          <w:szCs w:val="24"/>
        </w:rPr>
        <w:t>6</w:t>
      </w:r>
      <w:r w:rsidR="00A822AF" w:rsidRPr="002A1861">
        <w:rPr>
          <w:rFonts w:ascii="Arial" w:hAnsi="Arial" w:cs="Arial"/>
          <w:b/>
          <w:szCs w:val="24"/>
        </w:rPr>
        <w:t>8</w:t>
      </w:r>
      <w:r w:rsidR="00EB6B6F" w:rsidRPr="002A1861">
        <w:rPr>
          <w:rFonts w:ascii="Arial" w:hAnsi="Arial" w:cs="Arial"/>
          <w:b/>
          <w:szCs w:val="24"/>
          <w:vertAlign w:val="superscript"/>
        </w:rPr>
        <w:t>th</w:t>
      </w:r>
      <w:r w:rsidR="00EB6B6F" w:rsidRPr="002A1861">
        <w:rPr>
          <w:rFonts w:ascii="Arial" w:hAnsi="Arial" w:cs="Arial"/>
          <w:b/>
          <w:szCs w:val="24"/>
        </w:rPr>
        <w:t xml:space="preserve"> </w:t>
      </w:r>
      <w:r w:rsidRPr="002A1861">
        <w:rPr>
          <w:rFonts w:ascii="Arial" w:hAnsi="Arial" w:cs="Arial"/>
          <w:b/>
          <w:szCs w:val="24"/>
        </w:rPr>
        <w:t xml:space="preserve">Meeting, </w:t>
      </w:r>
      <w:r w:rsidR="00A822AF" w:rsidRPr="002A1861">
        <w:rPr>
          <w:rFonts w:ascii="Arial" w:hAnsi="Arial" w:cs="Arial"/>
          <w:b/>
          <w:szCs w:val="24"/>
        </w:rPr>
        <w:t>24</w:t>
      </w:r>
      <w:r w:rsidR="00B35595" w:rsidRPr="002A1861">
        <w:rPr>
          <w:rFonts w:ascii="Arial" w:hAnsi="Arial" w:cs="Arial"/>
          <w:b/>
          <w:szCs w:val="24"/>
        </w:rPr>
        <w:t>-</w:t>
      </w:r>
      <w:r w:rsidR="00A822AF" w:rsidRPr="002A1861">
        <w:rPr>
          <w:rFonts w:ascii="Arial" w:hAnsi="Arial" w:cs="Arial"/>
          <w:b/>
          <w:szCs w:val="24"/>
        </w:rPr>
        <w:t>25 November</w:t>
      </w:r>
      <w:r w:rsidR="00EB6B6F" w:rsidRPr="002A1861">
        <w:rPr>
          <w:rFonts w:ascii="Arial" w:hAnsi="Arial" w:cs="Arial"/>
          <w:b/>
          <w:szCs w:val="24"/>
        </w:rPr>
        <w:t xml:space="preserve"> 2016</w:t>
      </w:r>
    </w:p>
    <w:p w14:paraId="53ED6B91" w14:textId="77777777" w:rsidR="00F715D1" w:rsidRDefault="006A0D97" w:rsidP="00F715D1">
      <w:pPr>
        <w:spacing w:after="240"/>
        <w:rPr>
          <w:rStyle w:val="Hyperlink"/>
          <w:szCs w:val="24"/>
        </w:rPr>
      </w:pPr>
      <w:r w:rsidRPr="00FF5712">
        <w:rPr>
          <w:szCs w:val="24"/>
        </w:rPr>
        <w:t>Context for decision: MSAC makes its advice in accordance wit</w:t>
      </w:r>
      <w:r w:rsidR="00F715D1" w:rsidRPr="00FF5712">
        <w:rPr>
          <w:szCs w:val="24"/>
        </w:rPr>
        <w:t>h its Terms of Reference,</w:t>
      </w:r>
      <w:r w:rsidRPr="00FF5712">
        <w:rPr>
          <w:szCs w:val="24"/>
        </w:rPr>
        <w:t xml:space="preserve"> </w:t>
      </w:r>
      <w:hyperlink r:id="rId10" w:history="1">
        <w:r w:rsidR="00F715D1" w:rsidRPr="00FF5712">
          <w:rPr>
            <w:rStyle w:val="Hyperlink"/>
            <w:szCs w:val="24"/>
          </w:rPr>
          <w:t>visit the MSAC website</w:t>
        </w:r>
      </w:hyperlink>
      <w:r w:rsidR="00A822AF" w:rsidRPr="00FF5712">
        <w:rPr>
          <w:rStyle w:val="Hyperlink"/>
          <w:szCs w:val="24"/>
        </w:rPr>
        <w:t xml:space="preserve"> </w:t>
      </w:r>
    </w:p>
    <w:p w14:paraId="1CC82CD7" w14:textId="77777777" w:rsidR="003D7F29" w:rsidRPr="002A1861" w:rsidRDefault="003D7F29" w:rsidP="002A1861">
      <w:pPr>
        <w:pStyle w:val="Heading1"/>
      </w:pPr>
      <w:bookmarkStart w:id="0" w:name="_GoBack"/>
      <w:bookmarkEnd w:id="0"/>
      <w:r w:rsidRPr="002A1861">
        <w:t>Purpose of application</w:t>
      </w:r>
      <w:r w:rsidR="00822C7E" w:rsidRPr="002A1861">
        <w:t xml:space="preserve"> and links to other applications</w:t>
      </w:r>
    </w:p>
    <w:p w14:paraId="466CFCC9" w14:textId="77777777" w:rsidR="006A62F6" w:rsidRPr="00FF5712" w:rsidRDefault="002A1861" w:rsidP="002F694E">
      <w:pPr>
        <w:spacing w:after="240"/>
        <w:rPr>
          <w:szCs w:val="24"/>
        </w:rPr>
      </w:pPr>
      <w:r>
        <w:t>A</w:t>
      </w:r>
      <w:r w:rsidR="006A62F6" w:rsidRPr="00FF5712">
        <w:t xml:space="preserve">n application requesting </w:t>
      </w:r>
      <w:r>
        <w:t xml:space="preserve">new </w:t>
      </w:r>
      <w:r w:rsidR="006A62F6" w:rsidRPr="00FF5712">
        <w:t>M</w:t>
      </w:r>
      <w:r>
        <w:t xml:space="preserve">edicare </w:t>
      </w:r>
      <w:r w:rsidR="006A62F6" w:rsidRPr="00FF5712">
        <w:t>B</w:t>
      </w:r>
      <w:r>
        <w:t xml:space="preserve">enefits </w:t>
      </w:r>
      <w:r w:rsidR="006A62F6" w:rsidRPr="00FF5712">
        <w:t>S</w:t>
      </w:r>
      <w:r>
        <w:t>chedule (MBS)</w:t>
      </w:r>
      <w:r w:rsidR="006A62F6" w:rsidRPr="00FF5712">
        <w:t xml:space="preserve"> listing</w:t>
      </w:r>
      <w:r>
        <w:t>s</w:t>
      </w:r>
      <w:r w:rsidR="006A62F6" w:rsidRPr="00FF5712">
        <w:t xml:space="preserve"> of a pulmonary rehabilitation (PR) program and pulmonary maintenance exercise (PME) program for patients with chronic lung disease </w:t>
      </w:r>
      <w:r>
        <w:t xml:space="preserve">was </w:t>
      </w:r>
      <w:r w:rsidR="006A62F6" w:rsidRPr="00FF5712">
        <w:t xml:space="preserve">received from Lung Foundation Australia </w:t>
      </w:r>
      <w:r>
        <w:t>by the Department of Health</w:t>
      </w:r>
      <w:r w:rsidR="006A62F6" w:rsidRPr="00FF5712">
        <w:t xml:space="preserve">. </w:t>
      </w:r>
    </w:p>
    <w:p w14:paraId="5E2A8C33" w14:textId="77777777" w:rsidR="00E977EE" w:rsidRPr="00FF5712" w:rsidRDefault="00E977EE" w:rsidP="002A1861">
      <w:pPr>
        <w:pStyle w:val="Heading1"/>
      </w:pPr>
      <w:r w:rsidRPr="00FF5712">
        <w:t>MSAC’s advice to the Minister</w:t>
      </w:r>
    </w:p>
    <w:p w14:paraId="215170EC" w14:textId="77777777" w:rsidR="002A1861" w:rsidRDefault="002F694E" w:rsidP="002F694E">
      <w:pPr>
        <w:pStyle w:val="BodyText"/>
        <w:spacing w:line="240" w:lineRule="auto"/>
        <w:rPr>
          <w:rFonts w:ascii="Times New Roman" w:hAnsi="Times New Roman"/>
          <w:sz w:val="24"/>
        </w:rPr>
      </w:pPr>
      <w:r w:rsidRPr="002F694E">
        <w:rPr>
          <w:rFonts w:ascii="Times New Roman" w:hAnsi="Times New Roman"/>
          <w:sz w:val="24"/>
        </w:rPr>
        <w:t>After considering the available evidence in relation to the comparative safety, clinical effectiveness and cost-effectiveness</w:t>
      </w:r>
      <w:r w:rsidR="002A1861">
        <w:rPr>
          <w:rFonts w:ascii="Times New Roman" w:hAnsi="Times New Roman"/>
          <w:sz w:val="24"/>
        </w:rPr>
        <w:t>, MSAC</w:t>
      </w:r>
      <w:r w:rsidRPr="002F694E">
        <w:rPr>
          <w:rFonts w:ascii="Times New Roman" w:hAnsi="Times New Roman"/>
          <w:sz w:val="24"/>
        </w:rPr>
        <w:t xml:space="preserve"> deferred public funding for </w:t>
      </w:r>
      <w:r w:rsidR="002A1861">
        <w:rPr>
          <w:rFonts w:ascii="Times New Roman" w:hAnsi="Times New Roman"/>
          <w:sz w:val="24"/>
        </w:rPr>
        <w:t>PR</w:t>
      </w:r>
      <w:r w:rsidRPr="002F694E">
        <w:rPr>
          <w:rFonts w:ascii="Times New Roman" w:hAnsi="Times New Roman"/>
          <w:sz w:val="24"/>
        </w:rPr>
        <w:t xml:space="preserve"> in </w:t>
      </w:r>
      <w:r w:rsidR="002A1861" w:rsidRPr="002F694E">
        <w:rPr>
          <w:rFonts w:ascii="Times New Roman" w:hAnsi="Times New Roman"/>
          <w:sz w:val="24"/>
        </w:rPr>
        <w:t>chronic obstructive pulmonary disease (COPD)</w:t>
      </w:r>
      <w:r w:rsidRPr="002F694E">
        <w:rPr>
          <w:rFonts w:ascii="Times New Roman" w:hAnsi="Times New Roman"/>
          <w:sz w:val="24"/>
        </w:rPr>
        <w:t xml:space="preserve">, bronchiectasis and </w:t>
      </w:r>
      <w:r w:rsidR="002A1861" w:rsidRPr="002F694E">
        <w:rPr>
          <w:rFonts w:ascii="Times New Roman" w:hAnsi="Times New Roman"/>
          <w:sz w:val="24"/>
        </w:rPr>
        <w:t>interstitial lung disease (ILD</w:t>
      </w:r>
      <w:r w:rsidR="002A1861">
        <w:rPr>
          <w:rFonts w:ascii="Times New Roman" w:hAnsi="Times New Roman"/>
          <w:sz w:val="24"/>
        </w:rPr>
        <w:t>)</w:t>
      </w:r>
      <w:r w:rsidRPr="002F694E">
        <w:rPr>
          <w:rFonts w:ascii="Times New Roman" w:hAnsi="Times New Roman"/>
          <w:sz w:val="24"/>
        </w:rPr>
        <w:t>.</w:t>
      </w:r>
    </w:p>
    <w:p w14:paraId="4C65D2E5" w14:textId="77777777" w:rsidR="002F694E" w:rsidRPr="002F694E" w:rsidRDefault="002F694E" w:rsidP="002A1861">
      <w:pPr>
        <w:pStyle w:val="BodyText"/>
        <w:spacing w:after="240" w:line="240" w:lineRule="auto"/>
        <w:rPr>
          <w:rFonts w:ascii="Times New Roman" w:hAnsi="Times New Roman"/>
          <w:sz w:val="24"/>
        </w:rPr>
      </w:pPr>
      <w:r w:rsidRPr="002F694E">
        <w:rPr>
          <w:rFonts w:ascii="Times New Roman" w:hAnsi="Times New Roman"/>
          <w:sz w:val="24"/>
        </w:rPr>
        <w:t>MSAC noted that there was low to moderate quality evidence indicating that PR may have clinically relevant benefits for patients with COPD, bronchiectasis and ILD. However, MSAC was concerned that the assessment report only considered the impact of these services in patients with stable disease and excluded those who have had a recent exacerbation. MSAC considered that this population was likely to have the greatest benefit from the proposed services.</w:t>
      </w:r>
    </w:p>
    <w:p w14:paraId="795867C4" w14:textId="77777777" w:rsidR="002F694E" w:rsidRPr="002F694E" w:rsidRDefault="002F694E" w:rsidP="002A1861">
      <w:pPr>
        <w:pStyle w:val="BodyText"/>
        <w:spacing w:before="0" w:line="240" w:lineRule="auto"/>
        <w:rPr>
          <w:rFonts w:ascii="Times New Roman" w:hAnsi="Times New Roman"/>
          <w:sz w:val="24"/>
        </w:rPr>
      </w:pPr>
      <w:r w:rsidRPr="002F694E">
        <w:rPr>
          <w:rFonts w:ascii="Times New Roman" w:hAnsi="Times New Roman"/>
          <w:sz w:val="24"/>
        </w:rPr>
        <w:t>MSAC requested the following information before it could finalise its advice with respect to PR for COPD, bronchiectasis and ILD:</w:t>
      </w:r>
    </w:p>
    <w:p w14:paraId="4F91BC78" w14:textId="77777777" w:rsidR="002F694E" w:rsidRPr="002F694E" w:rsidRDefault="002F694E" w:rsidP="002A1861">
      <w:pPr>
        <w:pStyle w:val="BodyText"/>
        <w:numPr>
          <w:ilvl w:val="0"/>
          <w:numId w:val="34"/>
        </w:numPr>
        <w:spacing w:before="0" w:line="240" w:lineRule="auto"/>
        <w:rPr>
          <w:rFonts w:ascii="Times New Roman" w:hAnsi="Times New Roman"/>
          <w:sz w:val="24"/>
        </w:rPr>
      </w:pPr>
      <w:r w:rsidRPr="002F694E">
        <w:rPr>
          <w:rFonts w:ascii="Times New Roman" w:hAnsi="Times New Roman"/>
          <w:sz w:val="24"/>
        </w:rPr>
        <w:t>evidence of the effectiveness and cost-effectiveness of PR for patients with stable disease with respect to hospitalisation rates (including hospital in the home), length of stay, frequency of exacerbations and mortality;</w:t>
      </w:r>
    </w:p>
    <w:p w14:paraId="24F82196" w14:textId="77777777" w:rsidR="002F694E" w:rsidRPr="002F694E" w:rsidRDefault="002F694E" w:rsidP="002A1861">
      <w:pPr>
        <w:pStyle w:val="BodyText"/>
        <w:numPr>
          <w:ilvl w:val="0"/>
          <w:numId w:val="34"/>
        </w:numPr>
        <w:spacing w:before="0" w:line="240" w:lineRule="auto"/>
        <w:rPr>
          <w:rFonts w:ascii="Times New Roman" w:hAnsi="Times New Roman"/>
          <w:sz w:val="24"/>
        </w:rPr>
      </w:pPr>
      <w:r w:rsidRPr="002F694E">
        <w:rPr>
          <w:rFonts w:ascii="Times New Roman" w:hAnsi="Times New Roman"/>
          <w:sz w:val="24"/>
        </w:rPr>
        <w:t>evidence of the effectiveness and cost-effectiveness of PR for patients who have had a recent exacerbation, also with respect to hospitalisation rates (including hospital in the home), length of stay, frequency of exacerbations and mortality;</w:t>
      </w:r>
    </w:p>
    <w:p w14:paraId="5E2D30BC" w14:textId="77777777" w:rsidR="002F694E" w:rsidRPr="002F694E" w:rsidRDefault="002F694E" w:rsidP="002A1861">
      <w:pPr>
        <w:pStyle w:val="BodyText"/>
        <w:numPr>
          <w:ilvl w:val="0"/>
          <w:numId w:val="34"/>
        </w:numPr>
        <w:spacing w:before="0" w:line="240" w:lineRule="auto"/>
        <w:rPr>
          <w:rFonts w:ascii="Times New Roman" w:hAnsi="Times New Roman"/>
          <w:sz w:val="24"/>
        </w:rPr>
      </w:pPr>
      <w:r w:rsidRPr="002F694E">
        <w:rPr>
          <w:rFonts w:ascii="Times New Roman" w:hAnsi="Times New Roman"/>
          <w:sz w:val="24"/>
        </w:rPr>
        <w:t>information about the durability of the effects of PR over time and whether this differs by the number of sessions or weeks required for service delivery;</w:t>
      </w:r>
    </w:p>
    <w:p w14:paraId="06B393D0" w14:textId="77777777" w:rsidR="002F694E" w:rsidRPr="002F694E" w:rsidRDefault="002F694E" w:rsidP="002A1861">
      <w:pPr>
        <w:pStyle w:val="BodyText"/>
        <w:numPr>
          <w:ilvl w:val="0"/>
          <w:numId w:val="34"/>
        </w:numPr>
        <w:spacing w:before="0" w:line="240" w:lineRule="auto"/>
        <w:rPr>
          <w:rFonts w:ascii="Times New Roman" w:hAnsi="Times New Roman"/>
          <w:sz w:val="24"/>
        </w:rPr>
      </w:pPr>
      <w:r w:rsidRPr="002F694E">
        <w:rPr>
          <w:rFonts w:ascii="Times New Roman" w:hAnsi="Times New Roman"/>
          <w:sz w:val="24"/>
        </w:rPr>
        <w:t>information to support the value and frequency of repeat courses of rehabilitation; and</w:t>
      </w:r>
    </w:p>
    <w:p w14:paraId="323A3B2D" w14:textId="77777777" w:rsidR="002F694E" w:rsidRPr="002F694E" w:rsidRDefault="002F694E" w:rsidP="002A1861">
      <w:pPr>
        <w:pStyle w:val="BodyText"/>
        <w:numPr>
          <w:ilvl w:val="0"/>
          <w:numId w:val="34"/>
        </w:numPr>
        <w:spacing w:before="0" w:line="240" w:lineRule="auto"/>
        <w:rPr>
          <w:rFonts w:ascii="Times New Roman" w:hAnsi="Times New Roman"/>
          <w:sz w:val="24"/>
        </w:rPr>
      </w:pPr>
      <w:proofErr w:type="gramStart"/>
      <w:r w:rsidRPr="002F694E">
        <w:rPr>
          <w:rFonts w:ascii="Times New Roman" w:hAnsi="Times New Roman"/>
          <w:sz w:val="24"/>
        </w:rPr>
        <w:t>investigate</w:t>
      </w:r>
      <w:proofErr w:type="gramEnd"/>
      <w:r w:rsidRPr="002F694E">
        <w:rPr>
          <w:rFonts w:ascii="Times New Roman" w:hAnsi="Times New Roman"/>
          <w:sz w:val="24"/>
        </w:rPr>
        <w:t xml:space="preserve"> the treatment effect modification of PR, for example with information about any variation in patient response to treatment according to the proximity of patients’ most recent exacerbation.</w:t>
      </w:r>
    </w:p>
    <w:p w14:paraId="7EFCF20E" w14:textId="77777777" w:rsidR="002A1861" w:rsidRDefault="002A1861" w:rsidP="002F694E">
      <w:pPr>
        <w:pStyle w:val="BodyText"/>
        <w:spacing w:line="240" w:lineRule="auto"/>
        <w:rPr>
          <w:rFonts w:ascii="Times New Roman" w:hAnsi="Times New Roman"/>
          <w:sz w:val="24"/>
        </w:rPr>
      </w:pPr>
      <w:r>
        <w:rPr>
          <w:rFonts w:ascii="Times New Roman" w:hAnsi="Times New Roman"/>
          <w:sz w:val="24"/>
        </w:rPr>
        <w:lastRenderedPageBreak/>
        <w:t>T</w:t>
      </w:r>
      <w:r w:rsidR="002F694E" w:rsidRPr="002F694E">
        <w:rPr>
          <w:rFonts w:ascii="Times New Roman" w:hAnsi="Times New Roman"/>
          <w:sz w:val="24"/>
        </w:rPr>
        <w:t xml:space="preserve">he response </w:t>
      </w:r>
      <w:r>
        <w:rPr>
          <w:rFonts w:ascii="Times New Roman" w:hAnsi="Times New Roman"/>
          <w:sz w:val="24"/>
        </w:rPr>
        <w:t>should be</w:t>
      </w:r>
      <w:r w:rsidR="002F694E" w:rsidRPr="002F694E">
        <w:rPr>
          <w:rFonts w:ascii="Times New Roman" w:hAnsi="Times New Roman"/>
          <w:sz w:val="24"/>
        </w:rPr>
        <w:t xml:space="preserve"> provided to the next appropriate MSAC meeting via ESC.</w:t>
      </w:r>
      <w:r w:rsidR="002F694E">
        <w:rPr>
          <w:rFonts w:ascii="Times New Roman" w:hAnsi="Times New Roman"/>
          <w:sz w:val="24"/>
        </w:rPr>
        <w:t xml:space="preserve"> </w:t>
      </w:r>
    </w:p>
    <w:p w14:paraId="48DEF294" w14:textId="77777777" w:rsidR="002F694E" w:rsidRPr="002F694E" w:rsidRDefault="002F694E" w:rsidP="002F694E">
      <w:pPr>
        <w:pStyle w:val="BodyText"/>
        <w:spacing w:line="240" w:lineRule="auto"/>
        <w:rPr>
          <w:rFonts w:ascii="Times New Roman" w:hAnsi="Times New Roman"/>
          <w:sz w:val="24"/>
        </w:rPr>
      </w:pPr>
      <w:r w:rsidRPr="002F694E">
        <w:rPr>
          <w:rFonts w:ascii="Times New Roman" w:hAnsi="Times New Roman"/>
          <w:sz w:val="24"/>
        </w:rPr>
        <w:t xml:space="preserve">MSAC did not support public funding for PR for the management of lung cancer nor PME for the management of COPD, bronchiectasis, ILD or lung cancer due to limited evidence to support the clinical effectiveness of the services in these populations and uncertain cost-effectiveness. </w:t>
      </w:r>
    </w:p>
    <w:p w14:paraId="2C0CFC65" w14:textId="77777777" w:rsidR="00550354" w:rsidRPr="00FF5712" w:rsidRDefault="00550354" w:rsidP="002A1861">
      <w:pPr>
        <w:pStyle w:val="Heading1"/>
      </w:pPr>
      <w:r w:rsidRPr="00FF5712">
        <w:t xml:space="preserve">Summary of consideration and rationale for MSAC’s advice </w:t>
      </w:r>
    </w:p>
    <w:p w14:paraId="093B865C" w14:textId="77777777" w:rsidR="002F694E" w:rsidRPr="002F694E" w:rsidRDefault="002F694E" w:rsidP="002F694E">
      <w:pPr>
        <w:pStyle w:val="BodyText"/>
        <w:spacing w:line="240" w:lineRule="auto"/>
        <w:rPr>
          <w:rFonts w:ascii="Times New Roman" w:hAnsi="Times New Roman"/>
          <w:sz w:val="24"/>
        </w:rPr>
      </w:pPr>
      <w:r w:rsidRPr="002F694E">
        <w:rPr>
          <w:rFonts w:ascii="Times New Roman" w:hAnsi="Times New Roman"/>
          <w:sz w:val="24"/>
        </w:rPr>
        <w:t xml:space="preserve">MSAC noted that PR was defined as a “comprehensive intervention based on thorough patient assessment followed by patient tailored therapies which include, but are not limited to, exercise training, education and behaviour change, designed to improve the physical and psychological condition of people with chronic respiratory disease and to promote the long-term adherence to health-enhancing behaviours”. PME relates to exercise therapy delivered following a PR program to maintain benefit. </w:t>
      </w:r>
    </w:p>
    <w:p w14:paraId="4B9E3ED4" w14:textId="74F01035" w:rsidR="002F694E" w:rsidRPr="002F694E" w:rsidRDefault="002F694E" w:rsidP="002F694E">
      <w:pPr>
        <w:pStyle w:val="BodyText"/>
        <w:spacing w:line="240" w:lineRule="auto"/>
        <w:rPr>
          <w:rFonts w:ascii="Times New Roman" w:hAnsi="Times New Roman"/>
          <w:sz w:val="24"/>
        </w:rPr>
      </w:pPr>
      <w:r w:rsidRPr="002F694E">
        <w:rPr>
          <w:rFonts w:ascii="Times New Roman" w:hAnsi="Times New Roman"/>
          <w:sz w:val="24"/>
        </w:rPr>
        <w:t>MSAC noted that there are no MBS item numbers for the delivery of PR or PME services. These services are currently provided by state-based Local Hospital networks, private providers and non-government organisations (NGOs), with approximately 275 centres offering PR and 180 offering PME services at present. An activity-based funding item for PR (Item 40.60), recently introduced by the Independent Hospital Pricing Authority (IHPA) and which allows service provision independent of service setting (i.e. hospital, community or home-based), can be accessed by patients only if referred by a specialist clinician. MSAC highlighted that in the current application, it was proposed that both general practitioners (GPs) and specialists would be eligible to refer patients for these services. It was proposed that the services would be delivered by eligible physiotherapists or exercise physiologists.</w:t>
      </w:r>
    </w:p>
    <w:p w14:paraId="10DD28D4" w14:textId="77777777" w:rsidR="00DA2DF3" w:rsidRDefault="002F694E" w:rsidP="002F694E">
      <w:pPr>
        <w:pStyle w:val="BodyText"/>
        <w:spacing w:line="240" w:lineRule="auto"/>
        <w:rPr>
          <w:rFonts w:ascii="Times New Roman" w:hAnsi="Times New Roman"/>
          <w:sz w:val="24"/>
        </w:rPr>
      </w:pPr>
      <w:r w:rsidRPr="002F694E">
        <w:rPr>
          <w:rFonts w:ascii="Times New Roman" w:hAnsi="Times New Roman"/>
          <w:sz w:val="24"/>
        </w:rPr>
        <w:t xml:space="preserve">MSAC noted that four MBS items were proposed by the applicant which related to: </w:t>
      </w:r>
    </w:p>
    <w:p w14:paraId="0F741061" w14:textId="77777777" w:rsidR="00DA2DF3" w:rsidRDefault="002F694E" w:rsidP="00DA2DF3">
      <w:pPr>
        <w:pStyle w:val="BodyText"/>
        <w:numPr>
          <w:ilvl w:val="0"/>
          <w:numId w:val="35"/>
        </w:numPr>
        <w:spacing w:before="0" w:line="240" w:lineRule="auto"/>
        <w:rPr>
          <w:rFonts w:ascii="Times New Roman" w:hAnsi="Times New Roman"/>
          <w:sz w:val="24"/>
        </w:rPr>
      </w:pPr>
      <w:r w:rsidRPr="002F694E">
        <w:rPr>
          <w:rFonts w:ascii="Times New Roman" w:hAnsi="Times New Roman"/>
          <w:sz w:val="24"/>
        </w:rPr>
        <w:t xml:space="preserve">patient assessment prior to a group PR service; </w:t>
      </w:r>
    </w:p>
    <w:p w14:paraId="72A51807" w14:textId="77777777" w:rsidR="00DA2DF3" w:rsidRDefault="002F694E" w:rsidP="00DA2DF3">
      <w:pPr>
        <w:pStyle w:val="BodyText"/>
        <w:numPr>
          <w:ilvl w:val="0"/>
          <w:numId w:val="35"/>
        </w:numPr>
        <w:spacing w:before="0" w:line="240" w:lineRule="auto"/>
        <w:rPr>
          <w:rFonts w:ascii="Times New Roman" w:hAnsi="Times New Roman"/>
          <w:sz w:val="24"/>
        </w:rPr>
      </w:pPr>
      <w:r w:rsidRPr="002F694E">
        <w:rPr>
          <w:rFonts w:ascii="Times New Roman" w:hAnsi="Times New Roman"/>
          <w:sz w:val="24"/>
        </w:rPr>
        <w:t xml:space="preserve">delivery of the PR group service; </w:t>
      </w:r>
    </w:p>
    <w:p w14:paraId="4297A6A0" w14:textId="77777777" w:rsidR="00DA2DF3" w:rsidRDefault="002F694E" w:rsidP="00DA2DF3">
      <w:pPr>
        <w:pStyle w:val="BodyText"/>
        <w:numPr>
          <w:ilvl w:val="0"/>
          <w:numId w:val="35"/>
        </w:numPr>
        <w:spacing w:before="0" w:line="240" w:lineRule="auto"/>
        <w:rPr>
          <w:rFonts w:ascii="Times New Roman" w:hAnsi="Times New Roman"/>
          <w:sz w:val="24"/>
        </w:rPr>
      </w:pPr>
      <w:r w:rsidRPr="002F694E">
        <w:rPr>
          <w:rFonts w:ascii="Times New Roman" w:hAnsi="Times New Roman"/>
          <w:sz w:val="24"/>
        </w:rPr>
        <w:t>individual patient assessment after completi</w:t>
      </w:r>
      <w:r w:rsidR="00DA2DF3">
        <w:rPr>
          <w:rFonts w:ascii="Times New Roman" w:hAnsi="Times New Roman"/>
          <w:sz w:val="24"/>
        </w:rPr>
        <w:t>on of the group PR service; and</w:t>
      </w:r>
    </w:p>
    <w:p w14:paraId="4EE0191F" w14:textId="77777777" w:rsidR="00DA2DF3" w:rsidRDefault="002F694E" w:rsidP="00DA2DF3">
      <w:pPr>
        <w:pStyle w:val="BodyText"/>
        <w:numPr>
          <w:ilvl w:val="0"/>
          <w:numId w:val="35"/>
        </w:numPr>
        <w:spacing w:before="0" w:line="240" w:lineRule="auto"/>
        <w:rPr>
          <w:rFonts w:ascii="Times New Roman" w:hAnsi="Times New Roman"/>
          <w:sz w:val="24"/>
        </w:rPr>
      </w:pPr>
      <w:proofErr w:type="gramStart"/>
      <w:r w:rsidRPr="002F694E">
        <w:rPr>
          <w:rFonts w:ascii="Times New Roman" w:hAnsi="Times New Roman"/>
          <w:sz w:val="24"/>
        </w:rPr>
        <w:t>delivery</w:t>
      </w:r>
      <w:proofErr w:type="gramEnd"/>
      <w:r w:rsidRPr="002F694E">
        <w:rPr>
          <w:rFonts w:ascii="Times New Roman" w:hAnsi="Times New Roman"/>
          <w:sz w:val="24"/>
        </w:rPr>
        <w:t xml:space="preserve"> of the PME group service. </w:t>
      </w:r>
    </w:p>
    <w:p w14:paraId="0630A1AB" w14:textId="77777777" w:rsidR="002F694E" w:rsidRPr="002F694E" w:rsidRDefault="002F694E" w:rsidP="002F694E">
      <w:pPr>
        <w:pStyle w:val="BodyText"/>
        <w:spacing w:line="240" w:lineRule="auto"/>
        <w:rPr>
          <w:rFonts w:ascii="Times New Roman" w:hAnsi="Times New Roman"/>
          <w:sz w:val="24"/>
        </w:rPr>
      </w:pPr>
      <w:r w:rsidRPr="002F694E">
        <w:rPr>
          <w:rFonts w:ascii="Times New Roman" w:hAnsi="Times New Roman"/>
          <w:sz w:val="24"/>
        </w:rPr>
        <w:t xml:space="preserve">MSAC acknowledged the applicant’s clarification that additional patient assessment prior to participating in a PME group service would not be necessary, given that patients who complete the PR service would be required to complete a post-PR assessment before proceeding to the PME service. </w:t>
      </w:r>
    </w:p>
    <w:p w14:paraId="12B6C3B6" w14:textId="77777777" w:rsidR="002F694E" w:rsidRPr="002F694E" w:rsidRDefault="002F694E" w:rsidP="002F694E">
      <w:pPr>
        <w:pStyle w:val="BodyText"/>
        <w:spacing w:line="240" w:lineRule="auto"/>
        <w:rPr>
          <w:rFonts w:ascii="Times New Roman" w:hAnsi="Times New Roman"/>
          <w:sz w:val="24"/>
        </w:rPr>
      </w:pPr>
      <w:r w:rsidRPr="002F694E">
        <w:rPr>
          <w:rFonts w:ascii="Times New Roman" w:hAnsi="Times New Roman"/>
          <w:sz w:val="24"/>
        </w:rPr>
        <w:t>MSAC noted that the proposed eligible population encompassed patients under the care of a GP or specialist who have been diagnosed with COPD, bronchiectasis, ILD or lung cancer and who have had their pharmacotherapy optimised. MSAC noted that for PR, the comparator was considered to be best care delivered by a GP or specialist without a PR program and for PME, the comparator was PR without PME. MSAC considered these to be appropriate.</w:t>
      </w:r>
    </w:p>
    <w:p w14:paraId="087EE580" w14:textId="77777777" w:rsidR="002F694E" w:rsidRPr="002F694E" w:rsidRDefault="002F694E" w:rsidP="002F694E">
      <w:pPr>
        <w:pStyle w:val="BodyText"/>
        <w:spacing w:line="240" w:lineRule="auto"/>
        <w:rPr>
          <w:rFonts w:ascii="Times New Roman" w:hAnsi="Times New Roman"/>
          <w:sz w:val="24"/>
        </w:rPr>
      </w:pPr>
      <w:r w:rsidRPr="002F694E">
        <w:rPr>
          <w:rFonts w:ascii="Times New Roman" w:hAnsi="Times New Roman"/>
          <w:sz w:val="24"/>
        </w:rPr>
        <w:t xml:space="preserve">MSAC noted that the application proposed that PR would be delivered as a one-hour program, in groups of eight participants, twice a week over eight weeks (i.e. 16 sessions), repeated every two years and for PME, groups of up to 12 participants for one hour per week over 16 weeks (i.e. 16 sessions). MSAC questioned the proposed frequency of these services, noting that a Cochrane review of PR for COPD highlighted that services delivered over the course of four weeks may be sufficient (McCarthy B et al 2015). MSAC noted that as per the agreed clinical management algorithm, PR services may be initiated at any stage of the disease i.e. during periods of clinical instability or directly following an exacerbation. In turn, MSAC was concerned that the assessment report only considered the impact of these services in patients with stable disease and excluded those who have experienced an acute exacerbation, despite these patients being able to currently access PR services via the public </w:t>
      </w:r>
      <w:r w:rsidRPr="002F694E">
        <w:rPr>
          <w:rFonts w:ascii="Times New Roman" w:hAnsi="Times New Roman"/>
          <w:sz w:val="24"/>
        </w:rPr>
        <w:lastRenderedPageBreak/>
        <w:t xml:space="preserve">hospital system, privately, or as offered by an NGO. MSAC also considered that this population was likely to have the greatest benefit from the proposed services. </w:t>
      </w:r>
    </w:p>
    <w:p w14:paraId="073724D0" w14:textId="77777777" w:rsidR="002F694E" w:rsidRPr="002F694E" w:rsidRDefault="002F694E" w:rsidP="002F694E">
      <w:pPr>
        <w:pStyle w:val="BodyText"/>
        <w:spacing w:line="240" w:lineRule="auto"/>
        <w:rPr>
          <w:rFonts w:ascii="Times New Roman" w:hAnsi="Times New Roman"/>
          <w:sz w:val="24"/>
        </w:rPr>
      </w:pPr>
      <w:r w:rsidRPr="002F694E">
        <w:rPr>
          <w:rFonts w:ascii="Times New Roman" w:hAnsi="Times New Roman"/>
          <w:sz w:val="24"/>
        </w:rPr>
        <w:t xml:space="preserve">MSAC acknowledged the need to provide greater PR and PME services for the proposed population, noting that only a small proportion of these patients have accessed these services and that there are extensive waiting lists for currently available services, a large number of which only accept referrals from specialist clinicians. However, MSAC was concerned about existing services’ ability to respond to increased demand, noting that only approximately half of these have the capacity to accept more than 100 participants per year. </w:t>
      </w:r>
    </w:p>
    <w:p w14:paraId="698BF3B6" w14:textId="77777777" w:rsidR="002F694E" w:rsidRPr="002F694E" w:rsidRDefault="002F694E" w:rsidP="002F694E">
      <w:pPr>
        <w:pStyle w:val="BodyText"/>
        <w:spacing w:line="240" w:lineRule="auto"/>
        <w:rPr>
          <w:rFonts w:ascii="Times New Roman" w:hAnsi="Times New Roman"/>
          <w:sz w:val="24"/>
        </w:rPr>
      </w:pPr>
      <w:r w:rsidRPr="002F694E">
        <w:rPr>
          <w:rFonts w:ascii="Times New Roman" w:hAnsi="Times New Roman"/>
          <w:sz w:val="24"/>
        </w:rPr>
        <w:t xml:space="preserve">MSAC noted that there was limited evidence provided to support the comparative safety of the proposed services. MSAC acknowledged however, that the risk of harm is likely to be low given the nature of the interventions and noted that the services should be delivered by accredited and clinically competent physiotherapists or exercise physiologists in order to maintain patient safety. </w:t>
      </w:r>
    </w:p>
    <w:p w14:paraId="39117724" w14:textId="77777777" w:rsidR="002F694E" w:rsidRPr="002F694E" w:rsidRDefault="002F694E" w:rsidP="002F694E">
      <w:pPr>
        <w:pStyle w:val="BodyText"/>
        <w:spacing w:line="240" w:lineRule="auto"/>
        <w:rPr>
          <w:rFonts w:ascii="Times New Roman" w:hAnsi="Times New Roman"/>
          <w:sz w:val="24"/>
        </w:rPr>
      </w:pPr>
      <w:r w:rsidRPr="002F694E">
        <w:rPr>
          <w:rFonts w:ascii="Times New Roman" w:hAnsi="Times New Roman"/>
          <w:sz w:val="24"/>
        </w:rPr>
        <w:t xml:space="preserve">In its consideration of the evidence provided to support the comparative effectiveness of the proposed services, MSAC noted that the majority of trials relevant to PR services related specifically to patients with COPD. MSAC noted that for PME, only three trials relating to COPD were identified and that no evidence to support the use of PME in any of the remaining populations was identified. MSAC highlighted that despite the potential for performance and detection bias associated with the fact that none of these trials blinded participants, some trials were still assigned a ‘low’ risk of bias in the assessment report. MSAC considered that this was likely to overestimate the benefit of the services, particularly for patient-reported outcomes. </w:t>
      </w:r>
    </w:p>
    <w:p w14:paraId="6E147ABD" w14:textId="09763B22" w:rsidR="002F694E" w:rsidRPr="002F694E" w:rsidRDefault="002F694E" w:rsidP="002F694E">
      <w:pPr>
        <w:pStyle w:val="BodyText"/>
        <w:spacing w:line="240" w:lineRule="auto"/>
        <w:rPr>
          <w:rFonts w:ascii="Times New Roman" w:hAnsi="Times New Roman"/>
          <w:sz w:val="24"/>
        </w:rPr>
      </w:pPr>
      <w:r w:rsidRPr="002F694E">
        <w:rPr>
          <w:rFonts w:ascii="Times New Roman" w:hAnsi="Times New Roman"/>
          <w:sz w:val="24"/>
        </w:rPr>
        <w:t>MSAC noted that the primary measures of effectiveness reported in the assessment were: overall quality of life (QOL), measured using the St George’s Respiratory Questionnaire (SGRQ); dyspnoea, fatigue, depression and anxiety-related QOL, measured using the Chronic Respiratory Disease Questionnaire (CRQ); and functional exercise capacity, measured with respect to the 6-minute walk test (6MWT) or the incremental shuttle walk test (ISWT). MSAC noted that no data or outcomes related to the rates of patient hospital admissions or readmissions, bed days, frequency of exacerbations or mortality were provided</w:t>
      </w:r>
      <w:r w:rsidR="00DB5512">
        <w:rPr>
          <w:rFonts w:ascii="Times New Roman" w:hAnsi="Times New Roman"/>
          <w:sz w:val="24"/>
        </w:rPr>
        <w:t xml:space="preserve"> </w:t>
      </w:r>
      <w:r w:rsidR="00DB5512" w:rsidRPr="00DB5512">
        <w:rPr>
          <w:rFonts w:ascii="Times New Roman" w:hAnsi="Times New Roman"/>
          <w:sz w:val="24"/>
        </w:rPr>
        <w:t xml:space="preserve">even though there </w:t>
      </w:r>
      <w:r w:rsidR="00DB5512">
        <w:rPr>
          <w:rFonts w:ascii="Times New Roman" w:hAnsi="Times New Roman"/>
          <w:sz w:val="24"/>
        </w:rPr>
        <w:t>wa</w:t>
      </w:r>
      <w:r w:rsidR="00DB5512" w:rsidRPr="00DB5512">
        <w:rPr>
          <w:rFonts w:ascii="Times New Roman" w:hAnsi="Times New Roman"/>
          <w:sz w:val="24"/>
        </w:rPr>
        <w:t>s some limited data available</w:t>
      </w:r>
      <w:r w:rsidR="008368F4">
        <w:rPr>
          <w:rFonts w:ascii="Times New Roman" w:hAnsi="Times New Roman"/>
          <w:sz w:val="24"/>
        </w:rPr>
        <w:t xml:space="preserve"> in the trials presented</w:t>
      </w:r>
      <w:r w:rsidRPr="002F694E">
        <w:rPr>
          <w:rFonts w:ascii="Times New Roman" w:hAnsi="Times New Roman"/>
          <w:sz w:val="24"/>
        </w:rPr>
        <w:t xml:space="preserve">. </w:t>
      </w:r>
    </w:p>
    <w:p w14:paraId="22B59C9F" w14:textId="77777777" w:rsidR="002F694E" w:rsidRPr="002F694E" w:rsidRDefault="002F694E" w:rsidP="002F694E">
      <w:pPr>
        <w:pStyle w:val="BodyText"/>
        <w:spacing w:line="240" w:lineRule="auto"/>
        <w:rPr>
          <w:rFonts w:ascii="Times New Roman" w:hAnsi="Times New Roman"/>
          <w:sz w:val="24"/>
        </w:rPr>
      </w:pPr>
      <w:r w:rsidRPr="002F694E">
        <w:rPr>
          <w:rFonts w:ascii="Times New Roman" w:hAnsi="Times New Roman"/>
          <w:sz w:val="24"/>
        </w:rPr>
        <w:t xml:space="preserve">With respect to PR services, MSAC noted that pooled data from relevant trials highlighted that there is: </w:t>
      </w:r>
    </w:p>
    <w:p w14:paraId="2C465242" w14:textId="77777777" w:rsidR="002F694E" w:rsidRPr="002F694E" w:rsidRDefault="002F694E" w:rsidP="00DA2DF3">
      <w:pPr>
        <w:pStyle w:val="BodyText"/>
        <w:numPr>
          <w:ilvl w:val="0"/>
          <w:numId w:val="34"/>
        </w:numPr>
        <w:spacing w:before="0" w:line="240" w:lineRule="auto"/>
        <w:ind w:left="714" w:hanging="357"/>
        <w:rPr>
          <w:rFonts w:ascii="Times New Roman" w:hAnsi="Times New Roman"/>
          <w:sz w:val="24"/>
        </w:rPr>
      </w:pPr>
      <w:r w:rsidRPr="002F694E">
        <w:rPr>
          <w:rFonts w:ascii="Times New Roman" w:hAnsi="Times New Roman"/>
          <w:sz w:val="24"/>
        </w:rPr>
        <w:t>low to moderate quality evidence indicating that PR for COPD has clinically relevant benefits for overall QOL, dyspnoea and exercise capacity and may have benefits for fatigue and emotional function;</w:t>
      </w:r>
    </w:p>
    <w:p w14:paraId="20CE874B" w14:textId="77777777" w:rsidR="002F694E" w:rsidRPr="002F694E" w:rsidRDefault="002F694E" w:rsidP="00DA2DF3">
      <w:pPr>
        <w:pStyle w:val="BodyText"/>
        <w:numPr>
          <w:ilvl w:val="0"/>
          <w:numId w:val="34"/>
        </w:numPr>
        <w:spacing w:before="0" w:line="240" w:lineRule="auto"/>
        <w:ind w:left="714" w:hanging="357"/>
        <w:rPr>
          <w:rFonts w:ascii="Times New Roman" w:hAnsi="Times New Roman"/>
          <w:sz w:val="24"/>
        </w:rPr>
      </w:pPr>
      <w:r w:rsidRPr="002F694E">
        <w:rPr>
          <w:rFonts w:ascii="Times New Roman" w:hAnsi="Times New Roman"/>
          <w:sz w:val="24"/>
        </w:rPr>
        <w:t>low quality evidence indicating that PR for ILD has clinically relevant benefits for exercise capacity and possibly overall QOL, but not dyspnoea and that its benefit with respect to fatigue or emotional function is unknown;</w:t>
      </w:r>
    </w:p>
    <w:p w14:paraId="2E290F81" w14:textId="77777777" w:rsidR="002F694E" w:rsidRPr="002F694E" w:rsidRDefault="002F694E" w:rsidP="00DA2DF3">
      <w:pPr>
        <w:pStyle w:val="BodyText"/>
        <w:numPr>
          <w:ilvl w:val="0"/>
          <w:numId w:val="34"/>
        </w:numPr>
        <w:spacing w:before="0" w:line="240" w:lineRule="auto"/>
        <w:ind w:left="714" w:hanging="357"/>
        <w:rPr>
          <w:rFonts w:ascii="Times New Roman" w:hAnsi="Times New Roman"/>
          <w:sz w:val="24"/>
        </w:rPr>
      </w:pPr>
      <w:r w:rsidRPr="002F694E">
        <w:rPr>
          <w:rFonts w:ascii="Times New Roman" w:hAnsi="Times New Roman"/>
          <w:sz w:val="24"/>
        </w:rPr>
        <w:t xml:space="preserve">very low quality evidence derived from a single trial of PR ± inspiratory muscle training (compared to no intervention) did not allow any conclusions to be drawn regarding the impact of PR for bronchiectasis on QOL or exercise capacity; and </w:t>
      </w:r>
    </w:p>
    <w:p w14:paraId="784497BC" w14:textId="77777777" w:rsidR="002F694E" w:rsidRPr="002F694E" w:rsidRDefault="002F694E" w:rsidP="00DA2DF3">
      <w:pPr>
        <w:pStyle w:val="BodyText"/>
        <w:numPr>
          <w:ilvl w:val="0"/>
          <w:numId w:val="34"/>
        </w:numPr>
        <w:spacing w:before="0" w:line="240" w:lineRule="auto"/>
        <w:ind w:left="714" w:hanging="357"/>
        <w:rPr>
          <w:rFonts w:ascii="Times New Roman" w:hAnsi="Times New Roman"/>
          <w:sz w:val="24"/>
        </w:rPr>
      </w:pPr>
      <w:r w:rsidRPr="002F694E">
        <w:rPr>
          <w:rFonts w:ascii="Times New Roman" w:hAnsi="Times New Roman"/>
          <w:sz w:val="24"/>
        </w:rPr>
        <w:t>low quality evidence indicating that PR for lung cancer may improve exercise capacity, but not overall QOL and that its benefit with respect to fatigue, dyspnoea or emotional function is unknown.</w:t>
      </w:r>
    </w:p>
    <w:p w14:paraId="7A7DF942" w14:textId="77777777" w:rsidR="002F694E" w:rsidRPr="002F694E" w:rsidRDefault="002F694E" w:rsidP="002F694E">
      <w:pPr>
        <w:pStyle w:val="BodyText"/>
        <w:spacing w:line="240" w:lineRule="auto"/>
        <w:rPr>
          <w:rFonts w:ascii="Times New Roman" w:hAnsi="Times New Roman"/>
          <w:sz w:val="24"/>
        </w:rPr>
      </w:pPr>
      <w:r w:rsidRPr="002F694E">
        <w:rPr>
          <w:rFonts w:ascii="Times New Roman" w:hAnsi="Times New Roman"/>
          <w:sz w:val="24"/>
        </w:rPr>
        <w:t xml:space="preserve">MSAC also considered the additional evidence subsequently provided by the applicant to support the benefit of PR for patients with stable bronchiectasis in the form of two RCTs (Lee AL et al 2014; </w:t>
      </w:r>
      <w:proofErr w:type="spellStart"/>
      <w:r w:rsidRPr="002F694E">
        <w:rPr>
          <w:rFonts w:ascii="Times New Roman" w:hAnsi="Times New Roman"/>
          <w:sz w:val="24"/>
        </w:rPr>
        <w:t>Mandal</w:t>
      </w:r>
      <w:proofErr w:type="spellEnd"/>
      <w:r w:rsidRPr="002F694E">
        <w:rPr>
          <w:rFonts w:ascii="Times New Roman" w:hAnsi="Times New Roman"/>
          <w:sz w:val="24"/>
        </w:rPr>
        <w:t xml:space="preserve"> P et al 2012) and one systematic review (Lee AL et al 2016). MSAC acknowledged that pooled data from the trials suggested that there is moderate quality evidence to support that PR may lead to clinically significant improvements in exercise capacity and potentially overall QOL in this population. However, MSAC was concerned that </w:t>
      </w:r>
      <w:r w:rsidRPr="002F694E">
        <w:rPr>
          <w:rFonts w:ascii="Times New Roman" w:hAnsi="Times New Roman"/>
          <w:sz w:val="24"/>
        </w:rPr>
        <w:lastRenderedPageBreak/>
        <w:t>the systematic review by Lee AL et al 2016 highlighted that the benefits of PR for patients with bronchiectasis were not sustained at six months and that the service did not reduce exacerbation frequency or mortality when initiated during an exacerbation.</w:t>
      </w:r>
    </w:p>
    <w:p w14:paraId="4DD063D1" w14:textId="77777777" w:rsidR="002F694E" w:rsidRPr="002F694E" w:rsidRDefault="002F694E" w:rsidP="002F694E">
      <w:pPr>
        <w:pStyle w:val="BodyText"/>
        <w:spacing w:line="240" w:lineRule="auto"/>
        <w:rPr>
          <w:rFonts w:ascii="Times New Roman" w:hAnsi="Times New Roman"/>
          <w:sz w:val="24"/>
        </w:rPr>
      </w:pPr>
      <w:r w:rsidRPr="002F694E">
        <w:rPr>
          <w:rFonts w:ascii="Times New Roman" w:hAnsi="Times New Roman"/>
          <w:sz w:val="24"/>
        </w:rPr>
        <w:t xml:space="preserve">MSAC noted that with respect to PME services, pooled data from the three COPD-specific trials highlighted that there is low quality evidence indicating that PME for COPD may not provide clinically relevant benefits for fatigue, emotional function, dyspnoea or exercise capacity and that its benefit with respect to overall QOL is unknown. MSAC noted that this suggested that there is no need for PME services, or that studies of this intervention require improvement.  </w:t>
      </w:r>
    </w:p>
    <w:p w14:paraId="4E923918" w14:textId="77777777" w:rsidR="002F694E" w:rsidRPr="002F694E" w:rsidRDefault="002F694E" w:rsidP="002F694E">
      <w:pPr>
        <w:pStyle w:val="BodyText"/>
        <w:spacing w:line="240" w:lineRule="auto"/>
        <w:rPr>
          <w:rFonts w:ascii="Times New Roman" w:hAnsi="Times New Roman"/>
          <w:sz w:val="24"/>
        </w:rPr>
      </w:pPr>
      <w:r w:rsidRPr="002F694E">
        <w:rPr>
          <w:rFonts w:ascii="Times New Roman" w:hAnsi="Times New Roman"/>
          <w:sz w:val="24"/>
        </w:rPr>
        <w:t>MSAC considered the findings of the economic evaluation presented in the assessment report. MSAC noted that a cost-utility analysis was conducted on the basis of non-inferior safety and superior effectiveness using a 10-year time horizon and a cycle length of two years. MSAC noted that incremental costs and outcomes were calculated for: (</w:t>
      </w:r>
      <w:proofErr w:type="spellStart"/>
      <w:r w:rsidRPr="002F694E">
        <w:rPr>
          <w:rFonts w:ascii="Times New Roman" w:hAnsi="Times New Roman"/>
          <w:sz w:val="24"/>
        </w:rPr>
        <w:t>i</w:t>
      </w:r>
      <w:proofErr w:type="spellEnd"/>
      <w:r w:rsidRPr="002F694E">
        <w:rPr>
          <w:rFonts w:ascii="Times New Roman" w:hAnsi="Times New Roman"/>
          <w:sz w:val="24"/>
        </w:rPr>
        <w:t xml:space="preserve">) PR compared to usual care in COPD and ILD; and (ii) PME + PR compared to PR in COPD and ILD. In the base case, MSAC noted that both services were found to be cost-effective, with ICERs of: $7,451/QALY and $4,095/QALY obtained for PR in COPD and ILD, respectively; and $43,304/QALY and $43,941/QALY for PME +PR COPD and ILD, respectively. </w:t>
      </w:r>
    </w:p>
    <w:p w14:paraId="5AA52456" w14:textId="77777777" w:rsidR="002F694E" w:rsidRPr="002F694E" w:rsidRDefault="002F694E" w:rsidP="002F694E">
      <w:pPr>
        <w:pStyle w:val="BodyText"/>
        <w:spacing w:line="240" w:lineRule="auto"/>
        <w:rPr>
          <w:rFonts w:ascii="Times New Roman" w:hAnsi="Times New Roman"/>
          <w:sz w:val="24"/>
        </w:rPr>
      </w:pPr>
      <w:r w:rsidRPr="002F694E">
        <w:rPr>
          <w:rFonts w:ascii="Times New Roman" w:hAnsi="Times New Roman"/>
          <w:sz w:val="24"/>
        </w:rPr>
        <w:t xml:space="preserve">MSAC considered that the main drivers of uncertainty in the economic analysis related to the uncertainty about the clinical effectiveness of PR for conditions other than COPD and the effectiveness of PME over PR alone. MSAC noted that results were most sensitive to the benefit of decay function over time, estimates of effect size and treatment costs. MSAC noted that a multivariate sensitivity analysis conducted for PME in COPD revealed that if the benefits of PR were assumed to not decay over time, there was no extra benefit provided by PME. </w:t>
      </w:r>
    </w:p>
    <w:p w14:paraId="0C6FD02F" w14:textId="77777777" w:rsidR="002F694E" w:rsidRPr="002F694E" w:rsidRDefault="002F694E" w:rsidP="002F694E">
      <w:pPr>
        <w:pStyle w:val="BodyText"/>
        <w:spacing w:line="240" w:lineRule="auto"/>
        <w:rPr>
          <w:rFonts w:ascii="Times New Roman" w:hAnsi="Times New Roman"/>
          <w:sz w:val="24"/>
        </w:rPr>
      </w:pPr>
      <w:r w:rsidRPr="002F694E">
        <w:rPr>
          <w:rFonts w:ascii="Times New Roman" w:hAnsi="Times New Roman"/>
          <w:sz w:val="24"/>
        </w:rPr>
        <w:t xml:space="preserve">MSAC was concerned that no data was provided to support repeat treatment every two years, noting that it was not clear whether the target populations’ disease severity worsens over time and consequently, whether treatments would need to occur more frequently than this interval. Furthermore, MSAC was concerned about the transformation of SGRQ scores into utility values undertaken via mapping to the EQ-5D multi-utility instrument. MSAC noted that while the assessment report indicated that this transformation was based on the study by Oba Y 2007, little further detail was provided as to how the utility values were derived. Hence, MSAC highlighted that there was uncertainty regarding the cited utility values with the potential to have significant implications for the estimated ICERs. </w:t>
      </w:r>
    </w:p>
    <w:p w14:paraId="389265DA" w14:textId="76ADFA7E" w:rsidR="002F694E" w:rsidRPr="002F694E" w:rsidRDefault="002F694E" w:rsidP="00E11371">
      <w:pPr>
        <w:pStyle w:val="BodyText"/>
        <w:tabs>
          <w:tab w:val="left" w:pos="6521"/>
        </w:tabs>
        <w:spacing w:line="240" w:lineRule="auto"/>
        <w:rPr>
          <w:rFonts w:ascii="Times New Roman" w:hAnsi="Times New Roman"/>
          <w:sz w:val="24"/>
        </w:rPr>
      </w:pPr>
      <w:r w:rsidRPr="002F694E">
        <w:rPr>
          <w:rFonts w:ascii="Times New Roman" w:hAnsi="Times New Roman"/>
          <w:sz w:val="24"/>
        </w:rPr>
        <w:t xml:space="preserve">MSAC reiterated that no data or outcomes related to the rates of patient hospital admissions or readmissions, bed days, frequency of exacerbations or mortality were provided. Hence, the impact of the proposed services on healthcare resource use is unknown. MSAC acknowledged the findings of a Cochrane review by </w:t>
      </w:r>
      <w:proofErr w:type="spellStart"/>
      <w:r w:rsidRPr="002F694E">
        <w:rPr>
          <w:rFonts w:ascii="Times New Roman" w:hAnsi="Times New Roman"/>
          <w:sz w:val="24"/>
        </w:rPr>
        <w:t>Puhan</w:t>
      </w:r>
      <w:proofErr w:type="spellEnd"/>
      <w:r w:rsidRPr="002F694E">
        <w:rPr>
          <w:rFonts w:ascii="Times New Roman" w:hAnsi="Times New Roman"/>
          <w:sz w:val="24"/>
        </w:rPr>
        <w:t xml:space="preserve"> MA et al 2011 as highlighted by the applicant, which indicated that after hospitalisation for an exacerbation of COPD, patients who received PR had 24% fewer hospital readmissions and reduced mortality rates compared to those who received usual care. MSAC also noted that there was further evidence to suggest that PR in patients with chronic lung disease significantly reduced the duration of patients’ hospital days compared to controls (Griffiths T et al 2000). MSAC reiterated that this population was likely to have the greatest benefit from the proposed services and noted that in excluding cost offsets associated with healthcare utilisation, the economic evaluation was likely to be conservative.</w:t>
      </w:r>
    </w:p>
    <w:p w14:paraId="635A40AC" w14:textId="77777777" w:rsidR="002F694E" w:rsidRPr="002F694E" w:rsidRDefault="002F694E" w:rsidP="002F694E">
      <w:pPr>
        <w:pStyle w:val="BodyText"/>
        <w:spacing w:line="240" w:lineRule="auto"/>
        <w:rPr>
          <w:rFonts w:ascii="Times New Roman" w:hAnsi="Times New Roman"/>
          <w:sz w:val="24"/>
        </w:rPr>
      </w:pPr>
      <w:r w:rsidRPr="002F694E">
        <w:rPr>
          <w:rFonts w:ascii="Times New Roman" w:hAnsi="Times New Roman"/>
          <w:sz w:val="24"/>
        </w:rPr>
        <w:t xml:space="preserve">MSAC noted that the net MBS expenditure associated with PR and PME services was projected to be $64.3 million in the first year, increasing to $72.3 million in the fifth year of listing. MSAC noted that there was a high level of uncertainty surrounding utilisation and uptake rates, the size of the eligible population and the ability of providers to respond to increased demand for these services. These uncertainties were reflected in the outcomes of the sensitivity analyses conducted, which highlighted that the average annual cost of these </w:t>
      </w:r>
      <w:r w:rsidRPr="002F694E">
        <w:rPr>
          <w:rFonts w:ascii="Times New Roman" w:hAnsi="Times New Roman"/>
          <w:sz w:val="24"/>
        </w:rPr>
        <w:lastRenderedPageBreak/>
        <w:t>services to the MBS may range between $40.2 million and $160.6 million (base case $80.3 million) and when the number of patients were constrained based on the existing number of providers, the cost ranged between $12.3 million and $22.0 million. MSAC also considered that there was potential for cost shifting from State/Territory governments, given that patients currently attending outpatient services may transition to community services.</w:t>
      </w:r>
    </w:p>
    <w:p w14:paraId="186FF694" w14:textId="77777777" w:rsidR="00BC1364" w:rsidRPr="00FF5712" w:rsidRDefault="00BC1364" w:rsidP="002A1861">
      <w:pPr>
        <w:pStyle w:val="Heading1"/>
      </w:pPr>
      <w:r w:rsidRPr="00FF5712">
        <w:t>Background</w:t>
      </w:r>
    </w:p>
    <w:p w14:paraId="1A535B6B" w14:textId="77777777" w:rsidR="00745BB0" w:rsidRPr="00FF5712" w:rsidRDefault="00745BB0" w:rsidP="002F694E">
      <w:pPr>
        <w:tabs>
          <w:tab w:val="left" w:pos="0"/>
          <w:tab w:val="left" w:pos="1140"/>
        </w:tabs>
        <w:rPr>
          <w:szCs w:val="24"/>
        </w:rPr>
      </w:pPr>
      <w:r w:rsidRPr="00FF5712">
        <w:rPr>
          <w:szCs w:val="24"/>
        </w:rPr>
        <w:t>MSAC has not previously considered an application for delivery of a PR or PME program.</w:t>
      </w:r>
    </w:p>
    <w:p w14:paraId="0AE6CE93" w14:textId="77777777" w:rsidR="00BC1364" w:rsidRPr="00FF5712" w:rsidRDefault="00BC1364" w:rsidP="002A1861">
      <w:pPr>
        <w:pStyle w:val="Heading1"/>
      </w:pPr>
      <w:r w:rsidRPr="00FF5712">
        <w:t>Prerequisites to implementation of any funding advice</w:t>
      </w:r>
    </w:p>
    <w:p w14:paraId="538F8171" w14:textId="77777777" w:rsidR="002901EE" w:rsidRPr="00DA3918" w:rsidRDefault="002901EE" w:rsidP="00DA3918">
      <w:pPr>
        <w:spacing w:after="240"/>
        <w:rPr>
          <w:i/>
          <w:lang w:val="en-US" w:eastAsia="ja-JP"/>
        </w:rPr>
      </w:pPr>
      <w:r w:rsidRPr="00FF5712">
        <w:rPr>
          <w:lang w:val="en-US" w:eastAsia="ja-JP"/>
        </w:rPr>
        <w:t xml:space="preserve">This intervention does not require </w:t>
      </w:r>
      <w:r w:rsidR="00745BB0" w:rsidRPr="00FF5712">
        <w:rPr>
          <w:szCs w:val="24"/>
        </w:rPr>
        <w:t>Therapeutic Goods Administration (TGA)</w:t>
      </w:r>
      <w:r w:rsidRPr="00FF5712">
        <w:rPr>
          <w:lang w:val="en-US" w:eastAsia="ja-JP"/>
        </w:rPr>
        <w:t xml:space="preserve"> approval.</w:t>
      </w:r>
    </w:p>
    <w:p w14:paraId="4365B40D" w14:textId="77777777" w:rsidR="002901EE" w:rsidRDefault="002901EE" w:rsidP="00DA3918">
      <w:pPr>
        <w:pStyle w:val="ListParagraph"/>
        <w:spacing w:after="240"/>
        <w:ind w:left="0"/>
        <w:rPr>
          <w:szCs w:val="24"/>
        </w:rPr>
      </w:pPr>
      <w:r w:rsidRPr="00FF5712">
        <w:rPr>
          <w:szCs w:val="24"/>
        </w:rPr>
        <w:t>There are currently no MBS item numbers for delivery of a pulmonary rehabilitation program.  MBS Item 10960, physiotherapy, provides for individual physiotherapy, is a service provided to a person who has a chronic condition and complex care needs, requires a GP Management Plan (GPMP, MBS Item 721) and Team Care Arrangement (TCA, MBS Item 723), and provides for a maximum of five services per year (if reimbursed under MBS the patient cannot claim privat</w:t>
      </w:r>
      <w:r w:rsidR="00DA3918">
        <w:rPr>
          <w:szCs w:val="24"/>
        </w:rPr>
        <w:t>e reimbursement, if available).</w:t>
      </w:r>
    </w:p>
    <w:p w14:paraId="2FB9350F" w14:textId="77777777" w:rsidR="00DA3918" w:rsidRPr="00FF5712" w:rsidRDefault="00DA3918" w:rsidP="00DA3918">
      <w:pPr>
        <w:pStyle w:val="ListParagraph"/>
        <w:spacing w:after="240"/>
        <w:ind w:left="0"/>
        <w:rPr>
          <w:szCs w:val="24"/>
        </w:rPr>
      </w:pPr>
    </w:p>
    <w:p w14:paraId="6F354E39" w14:textId="77777777" w:rsidR="002901EE" w:rsidRPr="00FF5712" w:rsidRDefault="002901EE" w:rsidP="002F694E">
      <w:pPr>
        <w:pStyle w:val="ListParagraph"/>
        <w:ind w:left="0"/>
      </w:pPr>
      <w:r w:rsidRPr="00FF5712">
        <w:rPr>
          <w:szCs w:val="24"/>
        </w:rPr>
        <w:t>A similar service is MBS item 10953 – Exercise Physiology.  It is possible one-on-one pulmonary rehabilitation could be done under these MBS items (though it is more likely other interventions would be provided), but it does not provide for the delivery of the specified program in the proposal.  MBS item 81315, exercise physiology health service and MBS item 81335, physiotherapist, provides for a person who is of Aboriginal or Torres Strait Islander (ATSI) descent, and has been identified by a medical practitioner a need for follow-up allied health services, provides for one on one service, requires a referral by their GP (referral form for follow-up allied health services under Medicare for ATSI) and provides for a maximum of five services per year per item.  It is possible one-on-one pulmonary rehabilitation could be done under these MBS items (though it is more likely other services would be provided), but it does not provide for the delivery of the specified program.</w:t>
      </w:r>
    </w:p>
    <w:p w14:paraId="6B06CF60" w14:textId="77777777" w:rsidR="00BC1364" w:rsidRPr="00FF5712" w:rsidRDefault="00BC1364" w:rsidP="002A1861">
      <w:pPr>
        <w:pStyle w:val="Heading1"/>
      </w:pPr>
      <w:r w:rsidRPr="00FF5712">
        <w:t>Proposal for public funding</w:t>
      </w:r>
    </w:p>
    <w:p w14:paraId="7F4E7AA6" w14:textId="77777777" w:rsidR="00001A9D" w:rsidRPr="00FF5712" w:rsidRDefault="00001A9D" w:rsidP="00DA2DF3">
      <w:pPr>
        <w:spacing w:after="240"/>
      </w:pPr>
      <w:r w:rsidRPr="00FF5712">
        <w:t>The application proposed that the MBS item for PR or PME be separate to the currently existing MBS items available for other allied health services. Therefore no limits are included in the MBS item descriptor or text that would tie this item to other MBS items for the provision of group services.</w:t>
      </w:r>
    </w:p>
    <w:p w14:paraId="00C43E5A" w14:textId="77777777" w:rsidR="00001A9D" w:rsidRPr="00FF5712" w:rsidRDefault="00001A9D" w:rsidP="00DA2DF3">
      <w:pPr>
        <w:spacing w:after="240"/>
      </w:pPr>
      <w:r w:rsidRPr="00FF5712">
        <w:t>Both accredited eligible physiotherapists and exercise physiologists are able to provide the pre- and post-assessment as well as to deliver the PR programs. The optimum service would be if the same allied health professional (or organisation) delivering the PR programs also undertakes the pre- and post-assessments.</w:t>
      </w:r>
    </w:p>
    <w:p w14:paraId="0398A28B" w14:textId="77777777" w:rsidR="00001A9D" w:rsidRPr="00FF5712" w:rsidRDefault="00001A9D" w:rsidP="00DA2DF3">
      <w:pPr>
        <w:spacing w:after="240"/>
      </w:pPr>
      <w:r w:rsidRPr="002F694E">
        <w:t>The application has not indicated that the provision of PR should be limited according to the severity of the chronic lung disease, although there will be a group of patients who will only be able to do PR at a hospital outpatient centre. Criteria that a patient would need to satisfy to continue with PME therapy has not been provided but it has been stated as a preference in the protocol that all patients who have completed PR continue to PME. It is expected that the post-assessment written letter to the referring medical practitioner would address whether the patient has obtained sufficient benefit from the PR program. If not it is unlikely the medical practitioner would refer the patient on to a PME program.</w:t>
      </w:r>
    </w:p>
    <w:p w14:paraId="11A0698B" w14:textId="318B000D" w:rsidR="00001A9D" w:rsidRPr="00FF5712" w:rsidRDefault="00001A9D" w:rsidP="00DA2DF3">
      <w:r w:rsidRPr="00FF5712">
        <w:t xml:space="preserve">Patients under the care of their GP will be referred using MBS item 721, with the MBS items for PR and PME worded in such a way that this would not result in a reduction in the </w:t>
      </w:r>
      <w:r w:rsidRPr="00FF5712">
        <w:lastRenderedPageBreak/>
        <w:t xml:space="preserve">availability of the other group allied health services. Data capture could be driven by the separate MBS item numbers claimed by the physiotherapist or </w:t>
      </w:r>
      <w:r w:rsidR="00E71442">
        <w:t>a</w:t>
      </w:r>
      <w:r w:rsidR="00E71442" w:rsidRPr="00E71442">
        <w:t xml:space="preserve">ccredited </w:t>
      </w:r>
      <w:r w:rsidR="00E71442">
        <w:t>exercise p</w:t>
      </w:r>
      <w:r w:rsidR="00E71442" w:rsidRPr="00E71442">
        <w:t>hysiologist</w:t>
      </w:r>
      <w:r w:rsidRPr="00FF5712">
        <w:t>.</w:t>
      </w:r>
    </w:p>
    <w:p w14:paraId="51FDBD90" w14:textId="77777777" w:rsidR="00745BB0" w:rsidRPr="00FF5712" w:rsidRDefault="00745BB0" w:rsidP="00001A9D">
      <w:pPr>
        <w:jc w:val="both"/>
      </w:pPr>
    </w:p>
    <w:p w14:paraId="0E5E2380" w14:textId="77777777" w:rsidR="00001A9D" w:rsidRPr="00DA2DF3" w:rsidRDefault="00DA2DF3" w:rsidP="00DA2DF3">
      <w:pPr>
        <w:pStyle w:val="Caption"/>
        <w:rPr>
          <w:rFonts w:ascii="Arial" w:hAnsi="Arial"/>
        </w:rPr>
      </w:pPr>
      <w:bookmarkStart w:id="1" w:name="_Ref469481714"/>
      <w:r w:rsidRPr="00DA2DF3">
        <w:rPr>
          <w:rFonts w:ascii="Arial" w:hAnsi="Arial"/>
        </w:rPr>
        <w:t xml:space="preserve">Table </w:t>
      </w:r>
      <w:r w:rsidRPr="00DA2DF3">
        <w:rPr>
          <w:rFonts w:ascii="Arial" w:hAnsi="Arial"/>
        </w:rPr>
        <w:fldChar w:fldCharType="begin"/>
      </w:r>
      <w:r w:rsidRPr="00DA2DF3">
        <w:rPr>
          <w:rFonts w:ascii="Arial" w:hAnsi="Arial"/>
        </w:rPr>
        <w:instrText xml:space="preserve"> SEQ Table \* ARABIC </w:instrText>
      </w:r>
      <w:r w:rsidRPr="00DA2DF3">
        <w:rPr>
          <w:rFonts w:ascii="Arial" w:hAnsi="Arial"/>
        </w:rPr>
        <w:fldChar w:fldCharType="separate"/>
      </w:r>
      <w:r w:rsidR="004406F9">
        <w:rPr>
          <w:rFonts w:ascii="Arial" w:hAnsi="Arial"/>
          <w:noProof/>
        </w:rPr>
        <w:t>1</w:t>
      </w:r>
      <w:r w:rsidRPr="00DA2DF3">
        <w:rPr>
          <w:rFonts w:ascii="Arial" w:hAnsi="Arial"/>
        </w:rPr>
        <w:fldChar w:fldCharType="end"/>
      </w:r>
      <w:bookmarkEnd w:id="1"/>
      <w:r w:rsidRPr="00DA2DF3">
        <w:rPr>
          <w:rFonts w:ascii="Arial" w:hAnsi="Arial"/>
        </w:rPr>
        <w:tab/>
      </w:r>
      <w:r>
        <w:rPr>
          <w:rFonts w:ascii="Arial" w:hAnsi="Arial"/>
        </w:rPr>
        <w:tab/>
      </w:r>
      <w:r w:rsidRPr="00DA2DF3">
        <w:rPr>
          <w:rFonts w:ascii="Arial" w:hAnsi="Arial"/>
        </w:rPr>
        <w:t>Proposed MBS item descriptor</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table provides a description of the wording of the item to be included in the Medicare Benefits Schedule for this technology."/>
      </w:tblPr>
      <w:tblGrid>
        <w:gridCol w:w="9049"/>
      </w:tblGrid>
      <w:tr w:rsidR="00001A9D" w:rsidRPr="00DA2DF3" w14:paraId="15B6E2F4" w14:textId="77777777" w:rsidTr="0054762F">
        <w:tc>
          <w:tcPr>
            <w:tcW w:w="9049" w:type="dxa"/>
            <w:tcBorders>
              <w:top w:val="single" w:sz="4" w:space="0" w:color="000000"/>
              <w:left w:val="single" w:sz="4" w:space="0" w:color="000000"/>
              <w:bottom w:val="single" w:sz="4" w:space="0" w:color="000000"/>
              <w:right w:val="single" w:sz="4" w:space="0" w:color="000000"/>
            </w:tcBorders>
          </w:tcPr>
          <w:p w14:paraId="4C84978D" w14:textId="77777777" w:rsidR="00001A9D" w:rsidRPr="00DA2DF3" w:rsidRDefault="00001A9D" w:rsidP="0054762F">
            <w:pPr>
              <w:pStyle w:val="Tabletext"/>
              <w:rPr>
                <w:rFonts w:ascii="Arial" w:hAnsi="Arial" w:cs="Arial"/>
                <w:szCs w:val="20"/>
              </w:rPr>
            </w:pPr>
            <w:r w:rsidRPr="00DA2DF3">
              <w:rPr>
                <w:rFonts w:ascii="Arial" w:hAnsi="Arial" w:cs="Arial"/>
                <w:szCs w:val="20"/>
              </w:rPr>
              <w:t>Category 8 – Miscellaneous</w:t>
            </w:r>
          </w:p>
        </w:tc>
      </w:tr>
      <w:tr w:rsidR="00001A9D" w:rsidRPr="00DA2DF3" w14:paraId="42D7C293" w14:textId="77777777" w:rsidTr="0054762F">
        <w:tc>
          <w:tcPr>
            <w:tcW w:w="9049" w:type="dxa"/>
            <w:tcBorders>
              <w:top w:val="single" w:sz="4" w:space="0" w:color="000000"/>
              <w:left w:val="single" w:sz="4" w:space="0" w:color="000000"/>
              <w:bottom w:val="single" w:sz="4" w:space="0" w:color="000000"/>
              <w:right w:val="single" w:sz="4" w:space="0" w:color="000000"/>
            </w:tcBorders>
          </w:tcPr>
          <w:p w14:paraId="242D5F3E" w14:textId="77777777" w:rsidR="00001A9D" w:rsidRPr="00DA2DF3" w:rsidRDefault="00001A9D" w:rsidP="0054762F">
            <w:pPr>
              <w:pStyle w:val="Tabletext"/>
              <w:rPr>
                <w:rFonts w:ascii="Arial" w:hAnsi="Arial" w:cs="Arial"/>
                <w:szCs w:val="20"/>
              </w:rPr>
            </w:pPr>
            <w:r w:rsidRPr="00DA2DF3">
              <w:rPr>
                <w:rFonts w:ascii="Arial" w:hAnsi="Arial" w:cs="Arial"/>
                <w:szCs w:val="20"/>
              </w:rPr>
              <w:t>MBS [item number]</w:t>
            </w:r>
          </w:p>
          <w:p w14:paraId="7BAB94A1" w14:textId="77777777" w:rsidR="00001A9D" w:rsidRPr="00DA2DF3" w:rsidRDefault="00001A9D" w:rsidP="0054762F">
            <w:pPr>
              <w:pStyle w:val="Tabletext"/>
              <w:rPr>
                <w:rFonts w:ascii="Arial" w:hAnsi="Arial" w:cs="Arial"/>
                <w:szCs w:val="20"/>
              </w:rPr>
            </w:pPr>
            <w:r w:rsidRPr="00DA2DF3">
              <w:rPr>
                <w:rFonts w:ascii="Arial" w:hAnsi="Arial" w:cs="Arial"/>
                <w:szCs w:val="20"/>
              </w:rPr>
              <w:t>PULMONARY REHABILITATION SERVICE – INDIVIDUAL ASSESSMENT FOR GROUP SERVICES</w:t>
            </w:r>
          </w:p>
          <w:p w14:paraId="0071CCCB" w14:textId="77777777" w:rsidR="00001A9D" w:rsidRPr="00DA2DF3" w:rsidRDefault="00001A9D" w:rsidP="0054762F">
            <w:pPr>
              <w:pStyle w:val="Tabletext"/>
              <w:rPr>
                <w:rFonts w:ascii="Arial" w:hAnsi="Arial" w:cs="Arial"/>
                <w:szCs w:val="20"/>
              </w:rPr>
            </w:pPr>
            <w:r w:rsidRPr="00DA2DF3">
              <w:rPr>
                <w:rFonts w:ascii="Arial" w:hAnsi="Arial" w:cs="Arial"/>
                <w:szCs w:val="20"/>
              </w:rPr>
              <w:t>Pulmonary rehabilitation health service provided to a person by an eligible physiotherapist or exercise physiologist, for the</w:t>
            </w:r>
          </w:p>
          <w:p w14:paraId="28CA353B" w14:textId="77777777" w:rsidR="00001A9D" w:rsidRPr="00DA2DF3" w:rsidRDefault="00001A9D" w:rsidP="0054762F">
            <w:pPr>
              <w:pStyle w:val="Tabletext"/>
              <w:rPr>
                <w:rFonts w:ascii="Arial" w:hAnsi="Arial" w:cs="Arial"/>
                <w:szCs w:val="20"/>
              </w:rPr>
            </w:pPr>
            <w:r w:rsidRPr="00DA2DF3">
              <w:rPr>
                <w:rFonts w:ascii="Arial" w:hAnsi="Arial" w:cs="Arial"/>
                <w:szCs w:val="20"/>
              </w:rPr>
              <w:t>purposes of ASSESSING a person’s baseline respiratory status, including taking a medical history, testing of functional</w:t>
            </w:r>
          </w:p>
          <w:p w14:paraId="7068D5B9" w14:textId="77777777" w:rsidR="00001A9D" w:rsidRPr="00DA2DF3" w:rsidRDefault="00001A9D" w:rsidP="0054762F">
            <w:pPr>
              <w:pStyle w:val="Tabletext"/>
              <w:rPr>
                <w:rFonts w:ascii="Arial" w:hAnsi="Arial" w:cs="Arial"/>
                <w:szCs w:val="20"/>
              </w:rPr>
            </w:pPr>
            <w:r w:rsidRPr="00DA2DF3">
              <w:rPr>
                <w:rFonts w:ascii="Arial" w:hAnsi="Arial" w:cs="Arial"/>
                <w:szCs w:val="20"/>
              </w:rPr>
              <w:t>exercise capacity (six-minute walk test), assessment of health status (quality of life questionnaires) and a psychosocial</w:t>
            </w:r>
          </w:p>
          <w:p w14:paraId="00DC15E1" w14:textId="77777777" w:rsidR="00001A9D" w:rsidRPr="00DA2DF3" w:rsidRDefault="00001A9D" w:rsidP="0054762F">
            <w:pPr>
              <w:pStyle w:val="Tabletext"/>
              <w:rPr>
                <w:rFonts w:ascii="Arial" w:hAnsi="Arial" w:cs="Arial"/>
                <w:szCs w:val="20"/>
              </w:rPr>
            </w:pPr>
            <w:r w:rsidRPr="00DA2DF3">
              <w:rPr>
                <w:rFonts w:ascii="Arial" w:hAnsi="Arial" w:cs="Arial"/>
                <w:szCs w:val="20"/>
              </w:rPr>
              <w:t>assessment questionnaire, planning an individualised pulmonary rehabilitation program, if:</w:t>
            </w:r>
          </w:p>
          <w:p w14:paraId="164017C1" w14:textId="77777777" w:rsidR="00001A9D" w:rsidRPr="00DA2DF3" w:rsidRDefault="00001A9D" w:rsidP="00001A9D">
            <w:pPr>
              <w:pStyle w:val="TableText0"/>
              <w:keepNext w:val="0"/>
              <w:numPr>
                <w:ilvl w:val="0"/>
                <w:numId w:val="26"/>
              </w:numPr>
              <w:rPr>
                <w:rFonts w:ascii="Arial" w:hAnsi="Arial" w:cs="Arial"/>
                <w:szCs w:val="20"/>
                <w:lang w:eastAsia="en-AU"/>
              </w:rPr>
            </w:pPr>
            <w:r w:rsidRPr="00DA2DF3">
              <w:rPr>
                <w:rFonts w:ascii="Arial" w:hAnsi="Arial" w:cs="Arial"/>
                <w:szCs w:val="20"/>
                <w:lang w:eastAsia="en-AU"/>
              </w:rPr>
              <w:t>The service is provided to a person diagnosed with COPD, chronic irreversible asthma, bronchiectasis, interstitial lung disease or lung cancer</w:t>
            </w:r>
          </w:p>
          <w:p w14:paraId="33DC17BD" w14:textId="77777777" w:rsidR="00001A9D" w:rsidRPr="00DA2DF3" w:rsidRDefault="00001A9D" w:rsidP="00001A9D">
            <w:pPr>
              <w:pStyle w:val="TableText0"/>
              <w:keepNext w:val="0"/>
              <w:numPr>
                <w:ilvl w:val="0"/>
                <w:numId w:val="26"/>
              </w:numPr>
              <w:rPr>
                <w:rFonts w:ascii="Arial" w:hAnsi="Arial" w:cs="Arial"/>
                <w:szCs w:val="20"/>
                <w:lang w:eastAsia="en-AU"/>
              </w:rPr>
            </w:pPr>
            <w:r w:rsidRPr="00DA2DF3">
              <w:rPr>
                <w:rFonts w:ascii="Arial" w:hAnsi="Arial" w:cs="Arial"/>
                <w:szCs w:val="20"/>
                <w:lang w:eastAsia="en-AU"/>
              </w:rPr>
              <w:t>The person is being managed by a general practitioner under a GP Management Plan [i.e. item 721 or 732], or if the person is a resident of an aged care facility, their medical practitioner has contributed to a multidisciplinary care plan [i.e. item 731]; OR, the person is being managed by a specialist (respiratory, rehabilitation, general, consultant physician, surgeon)</w:t>
            </w:r>
          </w:p>
          <w:p w14:paraId="1D877DB9" w14:textId="3BDF77D3" w:rsidR="00001A9D" w:rsidRPr="00DA2DF3" w:rsidRDefault="00001A9D" w:rsidP="00001A9D">
            <w:pPr>
              <w:pStyle w:val="TableText0"/>
              <w:keepNext w:val="0"/>
              <w:numPr>
                <w:ilvl w:val="0"/>
                <w:numId w:val="26"/>
              </w:numPr>
              <w:rPr>
                <w:rFonts w:ascii="Arial" w:hAnsi="Arial" w:cs="Arial"/>
                <w:szCs w:val="20"/>
                <w:lang w:eastAsia="en-AU"/>
              </w:rPr>
            </w:pPr>
            <w:r w:rsidRPr="00DA2DF3">
              <w:rPr>
                <w:rFonts w:ascii="Arial" w:hAnsi="Arial" w:cs="Arial"/>
                <w:szCs w:val="20"/>
                <w:lang w:eastAsia="en-AU"/>
              </w:rPr>
              <w:t>The patient’s pharmacotherapy for</w:t>
            </w:r>
            <w:r w:rsidR="00B42844">
              <w:rPr>
                <w:rFonts w:ascii="Arial" w:hAnsi="Arial" w:cs="Arial"/>
                <w:szCs w:val="20"/>
                <w:lang w:eastAsia="en-AU"/>
              </w:rPr>
              <w:t xml:space="preserve"> chronic lung disease</w:t>
            </w:r>
            <w:r w:rsidRPr="00DA2DF3">
              <w:rPr>
                <w:rFonts w:ascii="Arial" w:hAnsi="Arial" w:cs="Arial"/>
                <w:szCs w:val="20"/>
                <w:lang w:eastAsia="en-AU"/>
              </w:rPr>
              <w:t xml:space="preserve"> </w:t>
            </w:r>
            <w:r w:rsidR="00B42844">
              <w:rPr>
                <w:rFonts w:ascii="Arial" w:hAnsi="Arial" w:cs="Arial"/>
                <w:szCs w:val="20"/>
                <w:lang w:eastAsia="en-AU"/>
              </w:rPr>
              <w:t>(</w:t>
            </w:r>
            <w:r w:rsidRPr="00DA2DF3">
              <w:rPr>
                <w:rFonts w:ascii="Arial" w:hAnsi="Arial" w:cs="Arial"/>
                <w:szCs w:val="20"/>
                <w:lang w:eastAsia="en-AU"/>
              </w:rPr>
              <w:t>CLD</w:t>
            </w:r>
            <w:r w:rsidR="00B42844">
              <w:rPr>
                <w:rFonts w:ascii="Arial" w:hAnsi="Arial" w:cs="Arial"/>
                <w:szCs w:val="20"/>
                <w:lang w:eastAsia="en-AU"/>
              </w:rPr>
              <w:t>)</w:t>
            </w:r>
            <w:r w:rsidRPr="00DA2DF3">
              <w:rPr>
                <w:rFonts w:ascii="Arial" w:hAnsi="Arial" w:cs="Arial"/>
                <w:szCs w:val="20"/>
                <w:lang w:eastAsia="en-AU"/>
              </w:rPr>
              <w:t xml:space="preserve"> has been optimised by their medical practitioner</w:t>
            </w:r>
          </w:p>
          <w:p w14:paraId="71EEEC0C" w14:textId="77777777" w:rsidR="00001A9D" w:rsidRPr="00DA2DF3" w:rsidRDefault="00001A9D" w:rsidP="00001A9D">
            <w:pPr>
              <w:pStyle w:val="TableText0"/>
              <w:keepNext w:val="0"/>
              <w:numPr>
                <w:ilvl w:val="0"/>
                <w:numId w:val="26"/>
              </w:numPr>
              <w:rPr>
                <w:rFonts w:ascii="Arial" w:hAnsi="Arial" w:cs="Arial"/>
                <w:szCs w:val="20"/>
                <w:lang w:eastAsia="en-AU"/>
              </w:rPr>
            </w:pPr>
            <w:r w:rsidRPr="00DA2DF3">
              <w:rPr>
                <w:rFonts w:ascii="Arial" w:hAnsi="Arial" w:cs="Arial"/>
                <w:szCs w:val="20"/>
                <w:lang w:eastAsia="en-AU"/>
              </w:rPr>
              <w:t>The person is referred to an eligible physiotherapist or exercise physiologist by the medical practitioner using a referral form that has been issued by the Department of Health, or a referral form that contains all the components of the form issued by the Department; and</w:t>
            </w:r>
          </w:p>
          <w:p w14:paraId="75E275A4" w14:textId="77777777" w:rsidR="00001A9D" w:rsidRPr="00DA2DF3" w:rsidRDefault="00001A9D" w:rsidP="00001A9D">
            <w:pPr>
              <w:pStyle w:val="TableText0"/>
              <w:keepNext w:val="0"/>
              <w:numPr>
                <w:ilvl w:val="0"/>
                <w:numId w:val="26"/>
              </w:numPr>
              <w:rPr>
                <w:rFonts w:ascii="Arial" w:hAnsi="Arial" w:cs="Arial"/>
                <w:szCs w:val="20"/>
                <w:lang w:eastAsia="en-AU"/>
              </w:rPr>
            </w:pPr>
            <w:r w:rsidRPr="00DA2DF3">
              <w:rPr>
                <w:rFonts w:ascii="Arial" w:hAnsi="Arial" w:cs="Arial"/>
                <w:szCs w:val="20"/>
                <w:lang w:eastAsia="en-AU"/>
              </w:rPr>
              <w:t>The person is not an admitted patient of a hospital, and</w:t>
            </w:r>
          </w:p>
          <w:p w14:paraId="0BC7FEC1" w14:textId="77777777" w:rsidR="00001A9D" w:rsidRPr="00DA2DF3" w:rsidRDefault="00001A9D" w:rsidP="00001A9D">
            <w:pPr>
              <w:pStyle w:val="TableText0"/>
              <w:keepNext w:val="0"/>
              <w:numPr>
                <w:ilvl w:val="0"/>
                <w:numId w:val="26"/>
              </w:numPr>
              <w:rPr>
                <w:rFonts w:ascii="Arial" w:hAnsi="Arial" w:cs="Arial"/>
                <w:szCs w:val="20"/>
                <w:lang w:eastAsia="en-AU"/>
              </w:rPr>
            </w:pPr>
            <w:r w:rsidRPr="00DA2DF3">
              <w:rPr>
                <w:rFonts w:ascii="Arial" w:hAnsi="Arial" w:cs="Arial"/>
                <w:szCs w:val="20"/>
                <w:lang w:eastAsia="en-AU"/>
              </w:rPr>
              <w:t>The service is provided to the person individually and in person; and</w:t>
            </w:r>
          </w:p>
          <w:p w14:paraId="1284F46E" w14:textId="77777777" w:rsidR="00001A9D" w:rsidRPr="00DA2DF3" w:rsidRDefault="00001A9D" w:rsidP="00001A9D">
            <w:pPr>
              <w:pStyle w:val="TableText0"/>
              <w:keepNext w:val="0"/>
              <w:numPr>
                <w:ilvl w:val="0"/>
                <w:numId w:val="26"/>
              </w:numPr>
              <w:rPr>
                <w:rFonts w:ascii="Arial" w:hAnsi="Arial" w:cs="Arial"/>
                <w:szCs w:val="20"/>
                <w:lang w:eastAsia="en-AU"/>
              </w:rPr>
            </w:pPr>
            <w:r w:rsidRPr="00DA2DF3">
              <w:rPr>
                <w:rFonts w:ascii="Arial" w:hAnsi="Arial" w:cs="Arial"/>
                <w:szCs w:val="20"/>
                <w:lang w:eastAsia="en-AU"/>
              </w:rPr>
              <w:t>The service is of at least 45 minutes duration; and</w:t>
            </w:r>
          </w:p>
          <w:p w14:paraId="11A1C9ED" w14:textId="77777777" w:rsidR="00001A9D" w:rsidRPr="00DA2DF3" w:rsidRDefault="00001A9D" w:rsidP="00001A9D">
            <w:pPr>
              <w:pStyle w:val="TableText0"/>
              <w:keepNext w:val="0"/>
              <w:numPr>
                <w:ilvl w:val="0"/>
                <w:numId w:val="26"/>
              </w:numPr>
              <w:rPr>
                <w:rFonts w:ascii="Arial" w:hAnsi="Arial" w:cs="Arial"/>
                <w:szCs w:val="20"/>
                <w:lang w:eastAsia="en-AU"/>
              </w:rPr>
            </w:pPr>
            <w:r w:rsidRPr="00DA2DF3">
              <w:rPr>
                <w:rFonts w:ascii="Arial" w:hAnsi="Arial" w:cs="Arial"/>
                <w:szCs w:val="20"/>
                <w:lang w:eastAsia="en-AU"/>
              </w:rPr>
              <w:t>After the service, the eligible physiotherapist or exercise physiologist gives a written report to the referring medical practitioner mentioned in paragraph (b); and</w:t>
            </w:r>
          </w:p>
          <w:p w14:paraId="06CC31CA" w14:textId="77777777" w:rsidR="00001A9D" w:rsidRPr="00DA2DF3" w:rsidRDefault="00001A9D" w:rsidP="00001A9D">
            <w:pPr>
              <w:pStyle w:val="TableText0"/>
              <w:keepNext w:val="0"/>
              <w:numPr>
                <w:ilvl w:val="0"/>
                <w:numId w:val="26"/>
              </w:numPr>
              <w:rPr>
                <w:rFonts w:ascii="Arial" w:hAnsi="Arial" w:cs="Arial"/>
                <w:szCs w:val="20"/>
                <w:lang w:eastAsia="en-AU"/>
              </w:rPr>
            </w:pPr>
            <w:r w:rsidRPr="00DA2DF3">
              <w:rPr>
                <w:rFonts w:ascii="Arial" w:hAnsi="Arial" w:cs="Arial"/>
                <w:szCs w:val="20"/>
                <w:lang w:eastAsia="en-AU"/>
              </w:rPr>
              <w:t>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629EB7B2" w14:textId="77777777" w:rsidR="00001A9D" w:rsidRPr="00DA2DF3" w:rsidRDefault="00001A9D" w:rsidP="0054762F">
            <w:pPr>
              <w:pStyle w:val="Tabletext"/>
              <w:rPr>
                <w:rFonts w:ascii="Arial" w:hAnsi="Arial" w:cs="Arial"/>
                <w:szCs w:val="20"/>
              </w:rPr>
            </w:pPr>
            <w:r w:rsidRPr="00DA2DF3">
              <w:rPr>
                <w:rFonts w:ascii="Arial" w:hAnsi="Arial" w:cs="Arial"/>
                <w:szCs w:val="20"/>
              </w:rPr>
              <w:t>- To a maximum of one every two years</w:t>
            </w:r>
          </w:p>
          <w:p w14:paraId="7DFA1308" w14:textId="77777777" w:rsidR="00001A9D" w:rsidRPr="00DA2DF3" w:rsidRDefault="00001A9D" w:rsidP="0054762F">
            <w:pPr>
              <w:pStyle w:val="Tabletext"/>
              <w:rPr>
                <w:rFonts w:ascii="Arial" w:hAnsi="Arial" w:cs="Arial"/>
                <w:szCs w:val="20"/>
              </w:rPr>
            </w:pPr>
            <w:r w:rsidRPr="00DA2DF3">
              <w:rPr>
                <w:rFonts w:ascii="Arial" w:hAnsi="Arial" w:cs="Arial"/>
                <w:szCs w:val="20"/>
              </w:rPr>
              <w:t>Fee: $65.00 Benefit: 85% = $55.25</w:t>
            </w:r>
          </w:p>
          <w:p w14:paraId="7DB92545" w14:textId="77777777" w:rsidR="00001A9D" w:rsidRPr="00DA2DF3" w:rsidRDefault="00001A9D" w:rsidP="0054762F">
            <w:pPr>
              <w:pStyle w:val="Tabletext"/>
              <w:rPr>
                <w:rFonts w:ascii="Arial" w:hAnsi="Arial" w:cs="Arial"/>
                <w:szCs w:val="20"/>
              </w:rPr>
            </w:pPr>
            <w:r w:rsidRPr="00DA2DF3">
              <w:rPr>
                <w:rFonts w:ascii="Arial" w:hAnsi="Arial" w:cs="Arial"/>
                <w:szCs w:val="20"/>
              </w:rPr>
              <w:t>[Relevant explanatory notes]</w:t>
            </w:r>
          </w:p>
        </w:tc>
      </w:tr>
      <w:tr w:rsidR="00001A9D" w:rsidRPr="00DA2DF3" w14:paraId="77CB6602" w14:textId="77777777" w:rsidTr="0054762F">
        <w:tc>
          <w:tcPr>
            <w:tcW w:w="9049" w:type="dxa"/>
            <w:tcBorders>
              <w:top w:val="single" w:sz="4" w:space="0" w:color="000000"/>
              <w:left w:val="single" w:sz="4" w:space="0" w:color="000000"/>
              <w:bottom w:val="single" w:sz="4" w:space="0" w:color="000000"/>
              <w:right w:val="single" w:sz="4" w:space="0" w:color="000000"/>
            </w:tcBorders>
          </w:tcPr>
          <w:p w14:paraId="6A505AA4" w14:textId="77777777" w:rsidR="00001A9D" w:rsidRPr="00DA2DF3" w:rsidRDefault="00001A9D" w:rsidP="0054762F">
            <w:pPr>
              <w:pStyle w:val="Tabletext"/>
              <w:rPr>
                <w:rFonts w:ascii="Arial" w:hAnsi="Arial" w:cs="Arial"/>
                <w:szCs w:val="20"/>
              </w:rPr>
            </w:pPr>
            <w:r w:rsidRPr="00DA2DF3">
              <w:rPr>
                <w:rFonts w:ascii="Arial" w:hAnsi="Arial" w:cs="Arial"/>
                <w:szCs w:val="20"/>
              </w:rPr>
              <w:t>MBS [item number]</w:t>
            </w:r>
          </w:p>
          <w:p w14:paraId="27B22C3B" w14:textId="77777777" w:rsidR="00001A9D" w:rsidRPr="00DA2DF3" w:rsidRDefault="00001A9D" w:rsidP="0054762F">
            <w:pPr>
              <w:pStyle w:val="Tabletext"/>
              <w:rPr>
                <w:rFonts w:ascii="Arial" w:hAnsi="Arial" w:cs="Arial"/>
                <w:szCs w:val="20"/>
              </w:rPr>
            </w:pPr>
            <w:r w:rsidRPr="00DA2DF3">
              <w:rPr>
                <w:rFonts w:ascii="Arial" w:hAnsi="Arial" w:cs="Arial"/>
                <w:szCs w:val="20"/>
              </w:rPr>
              <w:t>PULMONARY REHABILITATION SERVICE – GROUP SERVICE</w:t>
            </w:r>
          </w:p>
          <w:p w14:paraId="7957A76D" w14:textId="77777777" w:rsidR="00001A9D" w:rsidRPr="00DA2DF3" w:rsidRDefault="00001A9D" w:rsidP="0054762F">
            <w:pPr>
              <w:pStyle w:val="Tabletext"/>
              <w:rPr>
                <w:rFonts w:ascii="Arial" w:hAnsi="Arial" w:cs="Arial"/>
                <w:szCs w:val="20"/>
              </w:rPr>
            </w:pPr>
            <w:r w:rsidRPr="00DA2DF3">
              <w:rPr>
                <w:rFonts w:ascii="Arial" w:hAnsi="Arial" w:cs="Arial"/>
                <w:szCs w:val="20"/>
              </w:rPr>
              <w:t>Pulmonary rehabilitation program provided to a person by an eligible physiotherapist or exercise physiologist as a GROUP</w:t>
            </w:r>
          </w:p>
          <w:p w14:paraId="32BEF231" w14:textId="77777777" w:rsidR="00001A9D" w:rsidRPr="00DA2DF3" w:rsidRDefault="00001A9D" w:rsidP="0054762F">
            <w:pPr>
              <w:pStyle w:val="Tabletext"/>
              <w:rPr>
                <w:rFonts w:ascii="Arial" w:hAnsi="Arial" w:cs="Arial"/>
                <w:szCs w:val="20"/>
              </w:rPr>
            </w:pPr>
            <w:r w:rsidRPr="00DA2DF3">
              <w:rPr>
                <w:rFonts w:ascii="Arial" w:hAnsi="Arial" w:cs="Arial"/>
                <w:szCs w:val="20"/>
              </w:rPr>
              <w:t>SERVICE for the management of COPD chronic irreversible asthma, bronchiectasis, interstitial lung disease, lung cancer</w:t>
            </w:r>
          </w:p>
          <w:p w14:paraId="625E035C" w14:textId="77777777" w:rsidR="00001A9D" w:rsidRPr="00DA2DF3" w:rsidRDefault="00001A9D" w:rsidP="0054762F">
            <w:pPr>
              <w:pStyle w:val="Tabletext"/>
              <w:rPr>
                <w:rFonts w:ascii="Arial" w:hAnsi="Arial" w:cs="Arial"/>
                <w:szCs w:val="20"/>
              </w:rPr>
            </w:pPr>
            <w:r w:rsidRPr="00DA2DF3">
              <w:rPr>
                <w:rFonts w:ascii="Arial" w:hAnsi="Arial" w:cs="Arial"/>
                <w:szCs w:val="20"/>
              </w:rPr>
              <w:t>if:</w:t>
            </w:r>
          </w:p>
          <w:p w14:paraId="4BB3DE27" w14:textId="77777777" w:rsidR="00001A9D" w:rsidRPr="00DA2DF3" w:rsidRDefault="00001A9D" w:rsidP="00001A9D">
            <w:pPr>
              <w:pStyle w:val="TableText0"/>
              <w:keepNext w:val="0"/>
              <w:numPr>
                <w:ilvl w:val="0"/>
                <w:numId w:val="27"/>
              </w:numPr>
              <w:rPr>
                <w:rFonts w:ascii="Arial" w:hAnsi="Arial" w:cs="Arial"/>
                <w:szCs w:val="20"/>
                <w:lang w:eastAsia="en-AU"/>
              </w:rPr>
            </w:pPr>
            <w:r w:rsidRPr="00DA2DF3">
              <w:rPr>
                <w:rFonts w:ascii="Arial" w:hAnsi="Arial" w:cs="Arial"/>
                <w:szCs w:val="20"/>
                <w:lang w:eastAsia="en-AU"/>
              </w:rPr>
              <w:t>The person has been assessed as suitable for a pulmonary rehabilitation program under assessment</w:t>
            </w:r>
          </w:p>
          <w:p w14:paraId="4E5E5010" w14:textId="77777777" w:rsidR="00001A9D" w:rsidRPr="00DA2DF3" w:rsidRDefault="00001A9D" w:rsidP="00001A9D">
            <w:pPr>
              <w:pStyle w:val="TableText0"/>
              <w:keepNext w:val="0"/>
              <w:numPr>
                <w:ilvl w:val="0"/>
                <w:numId w:val="27"/>
              </w:numPr>
              <w:rPr>
                <w:rFonts w:ascii="Arial" w:hAnsi="Arial" w:cs="Arial"/>
                <w:szCs w:val="20"/>
                <w:lang w:eastAsia="en-AU"/>
              </w:rPr>
            </w:pPr>
            <w:r w:rsidRPr="00DA2DF3">
              <w:rPr>
                <w:rFonts w:ascii="Arial" w:hAnsi="Arial" w:cs="Arial"/>
                <w:szCs w:val="20"/>
                <w:lang w:eastAsia="en-AU"/>
              </w:rPr>
              <w:t>The service is provided to a person who is part of a group of a maximum of 8 patients inclusive; and</w:t>
            </w:r>
          </w:p>
          <w:p w14:paraId="1332641C" w14:textId="77777777" w:rsidR="00001A9D" w:rsidRPr="00DA2DF3" w:rsidRDefault="00001A9D" w:rsidP="00001A9D">
            <w:pPr>
              <w:pStyle w:val="TableText0"/>
              <w:keepNext w:val="0"/>
              <w:numPr>
                <w:ilvl w:val="0"/>
                <w:numId w:val="27"/>
              </w:numPr>
              <w:rPr>
                <w:rFonts w:ascii="Arial" w:hAnsi="Arial" w:cs="Arial"/>
                <w:szCs w:val="20"/>
                <w:lang w:eastAsia="en-AU"/>
              </w:rPr>
            </w:pPr>
            <w:r w:rsidRPr="00DA2DF3">
              <w:rPr>
                <w:rFonts w:ascii="Arial" w:hAnsi="Arial" w:cs="Arial"/>
                <w:szCs w:val="20"/>
                <w:lang w:eastAsia="en-AU"/>
              </w:rPr>
              <w:t>The person is not an admitted patient of a hospital; and</w:t>
            </w:r>
          </w:p>
          <w:p w14:paraId="0F37480A" w14:textId="77777777" w:rsidR="00001A9D" w:rsidRPr="00DA2DF3" w:rsidRDefault="00001A9D" w:rsidP="00001A9D">
            <w:pPr>
              <w:pStyle w:val="TableText0"/>
              <w:keepNext w:val="0"/>
              <w:numPr>
                <w:ilvl w:val="0"/>
                <w:numId w:val="27"/>
              </w:numPr>
              <w:rPr>
                <w:rFonts w:ascii="Arial" w:hAnsi="Arial" w:cs="Arial"/>
                <w:szCs w:val="20"/>
                <w:lang w:eastAsia="en-AU"/>
              </w:rPr>
            </w:pPr>
            <w:r w:rsidRPr="00DA2DF3">
              <w:rPr>
                <w:rFonts w:ascii="Arial" w:hAnsi="Arial" w:cs="Arial"/>
                <w:szCs w:val="20"/>
                <w:lang w:eastAsia="en-AU"/>
              </w:rPr>
              <w:t>The service is provided to a person involving the personal attendance by an eligible physiotherapist or exercise physiologist and</w:t>
            </w:r>
          </w:p>
          <w:p w14:paraId="56D34E25" w14:textId="77777777" w:rsidR="00001A9D" w:rsidRPr="00DA2DF3" w:rsidRDefault="00001A9D" w:rsidP="00001A9D">
            <w:pPr>
              <w:pStyle w:val="TableText0"/>
              <w:keepNext w:val="0"/>
              <w:numPr>
                <w:ilvl w:val="0"/>
                <w:numId w:val="27"/>
              </w:numPr>
              <w:rPr>
                <w:rFonts w:ascii="Arial" w:hAnsi="Arial" w:cs="Arial"/>
                <w:szCs w:val="20"/>
                <w:lang w:eastAsia="en-AU"/>
              </w:rPr>
            </w:pPr>
            <w:r w:rsidRPr="00DA2DF3">
              <w:rPr>
                <w:rFonts w:ascii="Arial" w:hAnsi="Arial" w:cs="Arial"/>
                <w:szCs w:val="20"/>
                <w:lang w:eastAsia="en-AU"/>
              </w:rPr>
              <w:t>The service is of at least 60 minutes duration; and</w:t>
            </w:r>
          </w:p>
          <w:p w14:paraId="0369C939" w14:textId="77777777" w:rsidR="00001A9D" w:rsidRPr="00DA2DF3" w:rsidRDefault="00001A9D" w:rsidP="00001A9D">
            <w:pPr>
              <w:pStyle w:val="TableText0"/>
              <w:keepNext w:val="0"/>
              <w:numPr>
                <w:ilvl w:val="0"/>
                <w:numId w:val="27"/>
              </w:numPr>
              <w:rPr>
                <w:rFonts w:ascii="Arial" w:hAnsi="Arial" w:cs="Arial"/>
                <w:szCs w:val="20"/>
                <w:lang w:eastAsia="en-AU"/>
              </w:rPr>
            </w:pPr>
            <w:r w:rsidRPr="00DA2DF3">
              <w:rPr>
                <w:rFonts w:ascii="Arial" w:hAnsi="Arial" w:cs="Arial"/>
                <w:szCs w:val="20"/>
                <w:lang w:eastAsia="en-AU"/>
              </w:rPr>
              <w:t>After the last service in the group services program provided to the person under item [ ] , the eligible physiotherapist or exercise physiologist, prepares, or contributes to, a written report to be provided to the referring medical practitioner; and</w:t>
            </w:r>
          </w:p>
          <w:p w14:paraId="0C5932C7" w14:textId="77777777" w:rsidR="00001A9D" w:rsidRPr="00DA2DF3" w:rsidRDefault="00001A9D" w:rsidP="00001A9D">
            <w:pPr>
              <w:pStyle w:val="TableText0"/>
              <w:keepNext w:val="0"/>
              <w:numPr>
                <w:ilvl w:val="0"/>
                <w:numId w:val="27"/>
              </w:numPr>
              <w:rPr>
                <w:rFonts w:ascii="Arial" w:hAnsi="Arial" w:cs="Arial"/>
                <w:szCs w:val="20"/>
                <w:lang w:eastAsia="en-AU"/>
              </w:rPr>
            </w:pPr>
            <w:r w:rsidRPr="00DA2DF3">
              <w:rPr>
                <w:rFonts w:ascii="Arial" w:hAnsi="Arial" w:cs="Arial"/>
                <w:szCs w:val="20"/>
                <w:lang w:eastAsia="en-AU"/>
              </w:rPr>
              <w:t>An attendance record for the group is maintained by the eligible physiotherapist or exercise physiologist; and</w:t>
            </w:r>
          </w:p>
          <w:p w14:paraId="54FDB011" w14:textId="77777777" w:rsidR="00001A9D" w:rsidRPr="00DA2DF3" w:rsidRDefault="00001A9D" w:rsidP="00001A9D">
            <w:pPr>
              <w:pStyle w:val="TableText0"/>
              <w:keepNext w:val="0"/>
              <w:numPr>
                <w:ilvl w:val="0"/>
                <w:numId w:val="27"/>
              </w:numPr>
              <w:rPr>
                <w:rFonts w:ascii="Arial" w:hAnsi="Arial" w:cs="Arial"/>
                <w:szCs w:val="20"/>
                <w:lang w:eastAsia="en-AU"/>
              </w:rPr>
            </w:pPr>
            <w:r w:rsidRPr="00DA2DF3">
              <w:rPr>
                <w:rFonts w:ascii="Arial" w:hAnsi="Arial" w:cs="Arial"/>
                <w:szCs w:val="20"/>
                <w:lang w:eastAsia="en-AU"/>
              </w:rPr>
              <w:t xml:space="preserve">In the case of a service in respect of which a private health insurance benefit is payable – </w:t>
            </w:r>
            <w:r w:rsidRPr="00DA2DF3">
              <w:rPr>
                <w:rFonts w:ascii="Arial" w:hAnsi="Arial" w:cs="Arial"/>
                <w:szCs w:val="20"/>
                <w:lang w:eastAsia="en-AU"/>
              </w:rPr>
              <w:lastRenderedPageBreak/>
              <w:t>the person who incurred the medical expenses in respect of the service has elected to claim the Medicare benefit in respect of the service, and not the private health insurance benefit.</w:t>
            </w:r>
          </w:p>
          <w:p w14:paraId="235869B9" w14:textId="77777777" w:rsidR="00001A9D" w:rsidRPr="00DA2DF3" w:rsidRDefault="00001A9D" w:rsidP="0054762F">
            <w:pPr>
              <w:pStyle w:val="Tabletext"/>
              <w:rPr>
                <w:rFonts w:ascii="Arial" w:hAnsi="Arial" w:cs="Arial"/>
                <w:szCs w:val="20"/>
              </w:rPr>
            </w:pPr>
            <w:r w:rsidRPr="00DA2DF3">
              <w:rPr>
                <w:rFonts w:ascii="Arial" w:hAnsi="Arial" w:cs="Arial"/>
                <w:szCs w:val="20"/>
              </w:rPr>
              <w:t>- To a maximum of sixteen GROUP SERVICES to be completed within a 10 week period</w:t>
            </w:r>
          </w:p>
          <w:p w14:paraId="11DCA71E" w14:textId="77777777" w:rsidR="00001A9D" w:rsidRPr="00DA2DF3" w:rsidRDefault="00001A9D" w:rsidP="0054762F">
            <w:pPr>
              <w:pStyle w:val="Tabletext"/>
              <w:rPr>
                <w:rFonts w:ascii="Arial" w:hAnsi="Arial" w:cs="Arial"/>
                <w:szCs w:val="20"/>
              </w:rPr>
            </w:pPr>
            <w:r w:rsidRPr="00DA2DF3">
              <w:rPr>
                <w:rFonts w:ascii="Arial" w:hAnsi="Arial" w:cs="Arial"/>
                <w:szCs w:val="20"/>
              </w:rPr>
              <w:t>[Item descriptor]</w:t>
            </w:r>
          </w:p>
          <w:p w14:paraId="5903D342" w14:textId="77777777" w:rsidR="00001A9D" w:rsidRPr="00DA2DF3" w:rsidRDefault="00001A9D" w:rsidP="0054762F">
            <w:pPr>
              <w:pStyle w:val="Tabletext"/>
              <w:rPr>
                <w:rFonts w:ascii="Arial" w:hAnsi="Arial" w:cs="Arial"/>
                <w:szCs w:val="20"/>
              </w:rPr>
            </w:pPr>
            <w:r w:rsidRPr="00DA2DF3">
              <w:rPr>
                <w:rFonts w:ascii="Arial" w:hAnsi="Arial" w:cs="Arial"/>
                <w:szCs w:val="20"/>
              </w:rPr>
              <w:t>Fee: $25.00: 85%=$21.25</w:t>
            </w:r>
          </w:p>
          <w:p w14:paraId="02CC6F03" w14:textId="77777777" w:rsidR="00001A9D" w:rsidRPr="00DA2DF3" w:rsidRDefault="00001A9D" w:rsidP="0054762F">
            <w:pPr>
              <w:pStyle w:val="Tabletext"/>
              <w:rPr>
                <w:rFonts w:ascii="Arial" w:hAnsi="Arial" w:cs="Arial"/>
                <w:szCs w:val="20"/>
              </w:rPr>
            </w:pPr>
            <w:r w:rsidRPr="00DA2DF3">
              <w:rPr>
                <w:rFonts w:ascii="Arial" w:hAnsi="Arial" w:cs="Arial"/>
                <w:szCs w:val="20"/>
              </w:rPr>
              <w:t>[Relevant explanatory notes]</w:t>
            </w:r>
          </w:p>
        </w:tc>
      </w:tr>
      <w:tr w:rsidR="00001A9D" w:rsidRPr="00DA2DF3" w14:paraId="2C0A7961" w14:textId="77777777" w:rsidTr="0054762F">
        <w:tc>
          <w:tcPr>
            <w:tcW w:w="9049" w:type="dxa"/>
            <w:tcBorders>
              <w:top w:val="single" w:sz="4" w:space="0" w:color="000000"/>
              <w:left w:val="single" w:sz="4" w:space="0" w:color="000000"/>
              <w:bottom w:val="single" w:sz="4" w:space="0" w:color="000000"/>
              <w:right w:val="single" w:sz="4" w:space="0" w:color="000000"/>
            </w:tcBorders>
          </w:tcPr>
          <w:p w14:paraId="5115431A" w14:textId="77777777" w:rsidR="00001A9D" w:rsidRPr="00DA2DF3" w:rsidRDefault="00001A9D" w:rsidP="0054762F">
            <w:pPr>
              <w:pStyle w:val="Tabletext"/>
              <w:rPr>
                <w:rFonts w:ascii="Arial" w:hAnsi="Arial" w:cs="Arial"/>
                <w:szCs w:val="20"/>
              </w:rPr>
            </w:pPr>
            <w:r w:rsidRPr="00DA2DF3">
              <w:rPr>
                <w:rFonts w:ascii="Arial" w:hAnsi="Arial" w:cs="Arial"/>
                <w:szCs w:val="20"/>
              </w:rPr>
              <w:lastRenderedPageBreak/>
              <w:t>MBS [item number]</w:t>
            </w:r>
          </w:p>
          <w:p w14:paraId="37BC2E43" w14:textId="77777777" w:rsidR="00001A9D" w:rsidRPr="00DA2DF3" w:rsidRDefault="00001A9D" w:rsidP="0054762F">
            <w:pPr>
              <w:pStyle w:val="Tabletext"/>
              <w:rPr>
                <w:rFonts w:ascii="Arial" w:hAnsi="Arial" w:cs="Arial"/>
                <w:szCs w:val="20"/>
              </w:rPr>
            </w:pPr>
            <w:r w:rsidRPr="00DA2DF3">
              <w:rPr>
                <w:rFonts w:ascii="Arial" w:hAnsi="Arial" w:cs="Arial"/>
                <w:szCs w:val="20"/>
              </w:rPr>
              <w:t>PULMONARY MAINTENANCE EXERCISE SERVICE – GROUP SERVICE</w:t>
            </w:r>
          </w:p>
          <w:p w14:paraId="494796CF" w14:textId="77777777" w:rsidR="00001A9D" w:rsidRPr="00DA2DF3" w:rsidRDefault="00001A9D" w:rsidP="0054762F">
            <w:pPr>
              <w:pStyle w:val="Tabletext"/>
              <w:rPr>
                <w:rFonts w:ascii="Arial" w:hAnsi="Arial" w:cs="Arial"/>
                <w:szCs w:val="20"/>
              </w:rPr>
            </w:pPr>
            <w:r w:rsidRPr="00DA2DF3">
              <w:rPr>
                <w:rFonts w:ascii="Arial" w:hAnsi="Arial" w:cs="Arial"/>
                <w:szCs w:val="20"/>
              </w:rPr>
              <w:t>Pulmonary maintenance exercise provided to a person by an eligible physiotherapist or exercise physiologist, as a GROUP</w:t>
            </w:r>
          </w:p>
          <w:p w14:paraId="5A714E33" w14:textId="77777777" w:rsidR="00001A9D" w:rsidRPr="00DA2DF3" w:rsidRDefault="00001A9D" w:rsidP="0054762F">
            <w:pPr>
              <w:pStyle w:val="Tabletext"/>
              <w:rPr>
                <w:rFonts w:ascii="Arial" w:hAnsi="Arial" w:cs="Arial"/>
                <w:szCs w:val="20"/>
              </w:rPr>
            </w:pPr>
            <w:r w:rsidRPr="00DA2DF3">
              <w:rPr>
                <w:rFonts w:ascii="Arial" w:hAnsi="Arial" w:cs="Arial"/>
                <w:szCs w:val="20"/>
              </w:rPr>
              <w:t>SERVICE for the management of COPD, chronic irreversible asthma, bronchiectasis, interstitial lung disease, lung cancer</w:t>
            </w:r>
          </w:p>
          <w:p w14:paraId="47D1F3E9" w14:textId="77777777" w:rsidR="00001A9D" w:rsidRPr="00DA2DF3" w:rsidRDefault="00001A9D" w:rsidP="0054762F">
            <w:pPr>
              <w:pStyle w:val="Tabletext"/>
              <w:rPr>
                <w:rFonts w:ascii="Arial" w:hAnsi="Arial" w:cs="Arial"/>
                <w:szCs w:val="20"/>
              </w:rPr>
            </w:pPr>
            <w:r w:rsidRPr="00DA2DF3">
              <w:rPr>
                <w:rFonts w:ascii="Arial" w:hAnsi="Arial" w:cs="Arial"/>
                <w:szCs w:val="20"/>
              </w:rPr>
              <w:t>if:</w:t>
            </w:r>
          </w:p>
          <w:p w14:paraId="5C87155F" w14:textId="77777777" w:rsidR="00001A9D" w:rsidRPr="00DA2DF3" w:rsidRDefault="00001A9D" w:rsidP="00001A9D">
            <w:pPr>
              <w:pStyle w:val="TableText0"/>
              <w:keepNext w:val="0"/>
              <w:numPr>
                <w:ilvl w:val="0"/>
                <w:numId w:val="28"/>
              </w:numPr>
              <w:rPr>
                <w:rFonts w:ascii="Arial" w:hAnsi="Arial" w:cs="Arial"/>
                <w:szCs w:val="20"/>
                <w:lang w:eastAsia="en-AU"/>
              </w:rPr>
            </w:pPr>
            <w:r w:rsidRPr="00DA2DF3">
              <w:rPr>
                <w:rFonts w:ascii="Arial" w:hAnsi="Arial" w:cs="Arial"/>
                <w:szCs w:val="20"/>
                <w:lang w:eastAsia="en-AU"/>
              </w:rPr>
              <w:t>The person has completed a pulmonary rehabilitation program under assessment</w:t>
            </w:r>
          </w:p>
          <w:p w14:paraId="454BD4A6" w14:textId="77777777" w:rsidR="00001A9D" w:rsidRPr="00DA2DF3" w:rsidRDefault="00001A9D" w:rsidP="00001A9D">
            <w:pPr>
              <w:pStyle w:val="TableText0"/>
              <w:keepNext w:val="0"/>
              <w:numPr>
                <w:ilvl w:val="0"/>
                <w:numId w:val="28"/>
              </w:numPr>
              <w:rPr>
                <w:rFonts w:ascii="Arial" w:hAnsi="Arial" w:cs="Arial"/>
                <w:szCs w:val="20"/>
                <w:lang w:eastAsia="en-AU"/>
              </w:rPr>
            </w:pPr>
            <w:r w:rsidRPr="00DA2DF3">
              <w:rPr>
                <w:rFonts w:ascii="Arial" w:hAnsi="Arial" w:cs="Arial"/>
                <w:szCs w:val="20"/>
                <w:lang w:eastAsia="en-AU"/>
              </w:rPr>
              <w:t>The service is provided to a person who is part of a group of a maximum of 12 patients inclusive; and</w:t>
            </w:r>
          </w:p>
          <w:p w14:paraId="0929B6CE" w14:textId="77777777" w:rsidR="00001A9D" w:rsidRPr="00DA2DF3" w:rsidRDefault="00001A9D" w:rsidP="00001A9D">
            <w:pPr>
              <w:pStyle w:val="TableText0"/>
              <w:keepNext w:val="0"/>
              <w:numPr>
                <w:ilvl w:val="0"/>
                <w:numId w:val="28"/>
              </w:numPr>
              <w:rPr>
                <w:rFonts w:ascii="Arial" w:hAnsi="Arial" w:cs="Arial"/>
                <w:szCs w:val="20"/>
                <w:lang w:eastAsia="en-AU"/>
              </w:rPr>
            </w:pPr>
            <w:r w:rsidRPr="00DA2DF3">
              <w:rPr>
                <w:rFonts w:ascii="Arial" w:hAnsi="Arial" w:cs="Arial"/>
                <w:szCs w:val="20"/>
                <w:lang w:eastAsia="en-AU"/>
              </w:rPr>
              <w:t>The person is not an admitted patient of a hospital; and</w:t>
            </w:r>
          </w:p>
          <w:p w14:paraId="2056AFCA" w14:textId="77777777" w:rsidR="00001A9D" w:rsidRPr="00DA2DF3" w:rsidRDefault="00001A9D" w:rsidP="00001A9D">
            <w:pPr>
              <w:pStyle w:val="TableText0"/>
              <w:keepNext w:val="0"/>
              <w:numPr>
                <w:ilvl w:val="0"/>
                <w:numId w:val="28"/>
              </w:numPr>
              <w:rPr>
                <w:rFonts w:ascii="Arial" w:hAnsi="Arial" w:cs="Arial"/>
                <w:szCs w:val="20"/>
                <w:lang w:eastAsia="en-AU"/>
              </w:rPr>
            </w:pPr>
            <w:r w:rsidRPr="00DA2DF3">
              <w:rPr>
                <w:rFonts w:ascii="Arial" w:hAnsi="Arial" w:cs="Arial"/>
                <w:szCs w:val="20"/>
                <w:lang w:eastAsia="en-AU"/>
              </w:rPr>
              <w:t>The service is provided to a person involving the personal attendance by an eligible physiotherapist or exercise physiologist; and</w:t>
            </w:r>
          </w:p>
          <w:p w14:paraId="38A29FA4" w14:textId="77777777" w:rsidR="00001A9D" w:rsidRPr="00DA2DF3" w:rsidRDefault="00001A9D" w:rsidP="00001A9D">
            <w:pPr>
              <w:pStyle w:val="TableText0"/>
              <w:keepNext w:val="0"/>
              <w:numPr>
                <w:ilvl w:val="0"/>
                <w:numId w:val="28"/>
              </w:numPr>
              <w:rPr>
                <w:rFonts w:ascii="Arial" w:hAnsi="Arial" w:cs="Arial"/>
                <w:szCs w:val="20"/>
                <w:lang w:eastAsia="en-AU"/>
              </w:rPr>
            </w:pPr>
            <w:r w:rsidRPr="00DA2DF3">
              <w:rPr>
                <w:rFonts w:ascii="Arial" w:hAnsi="Arial" w:cs="Arial"/>
                <w:szCs w:val="20"/>
                <w:lang w:eastAsia="en-AU"/>
              </w:rPr>
              <w:t>The service is of at least 60 minutes duration; and</w:t>
            </w:r>
          </w:p>
          <w:p w14:paraId="51D32673" w14:textId="77777777" w:rsidR="00001A9D" w:rsidRPr="00DA2DF3" w:rsidRDefault="00001A9D" w:rsidP="00001A9D">
            <w:pPr>
              <w:pStyle w:val="TableText0"/>
              <w:keepNext w:val="0"/>
              <w:numPr>
                <w:ilvl w:val="0"/>
                <w:numId w:val="28"/>
              </w:numPr>
              <w:rPr>
                <w:rFonts w:ascii="Arial" w:hAnsi="Arial" w:cs="Arial"/>
                <w:szCs w:val="20"/>
                <w:lang w:eastAsia="en-AU"/>
              </w:rPr>
            </w:pPr>
            <w:r w:rsidRPr="00DA2DF3">
              <w:rPr>
                <w:rFonts w:ascii="Arial" w:hAnsi="Arial" w:cs="Arial"/>
                <w:szCs w:val="20"/>
                <w:lang w:eastAsia="en-AU"/>
              </w:rPr>
              <w:t>An attendance record for the group is maintained by the eligible physiotherapist or exercise physiologist; and</w:t>
            </w:r>
          </w:p>
          <w:p w14:paraId="2C76FBBF" w14:textId="77777777" w:rsidR="00001A9D" w:rsidRPr="00DA2DF3" w:rsidRDefault="00001A9D" w:rsidP="00001A9D">
            <w:pPr>
              <w:pStyle w:val="TableText0"/>
              <w:keepNext w:val="0"/>
              <w:numPr>
                <w:ilvl w:val="0"/>
                <w:numId w:val="28"/>
              </w:numPr>
              <w:rPr>
                <w:rFonts w:ascii="Arial" w:hAnsi="Arial" w:cs="Arial"/>
                <w:szCs w:val="20"/>
                <w:lang w:eastAsia="en-AU"/>
              </w:rPr>
            </w:pPr>
            <w:r w:rsidRPr="00DA2DF3">
              <w:rPr>
                <w:rFonts w:ascii="Arial" w:hAnsi="Arial" w:cs="Arial"/>
                <w:szCs w:val="20"/>
                <w:lang w:eastAsia="en-AU"/>
              </w:rPr>
              <w:t>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6BA48C6D" w14:textId="77777777" w:rsidR="00001A9D" w:rsidRPr="00DA2DF3" w:rsidRDefault="00001A9D" w:rsidP="0054762F">
            <w:pPr>
              <w:pStyle w:val="Tabletext"/>
              <w:rPr>
                <w:rFonts w:ascii="Arial" w:hAnsi="Arial" w:cs="Arial"/>
                <w:szCs w:val="20"/>
              </w:rPr>
            </w:pPr>
            <w:r w:rsidRPr="00DA2DF3">
              <w:rPr>
                <w:rFonts w:ascii="Arial" w:hAnsi="Arial" w:cs="Arial"/>
                <w:szCs w:val="20"/>
              </w:rPr>
              <w:t>- To a maximum of sixteen GROUP SERVICES (to be completed within 6-months) in a calendar year</w:t>
            </w:r>
          </w:p>
          <w:p w14:paraId="22AC1AB9" w14:textId="77777777" w:rsidR="00001A9D" w:rsidRPr="00DA2DF3" w:rsidRDefault="00001A9D" w:rsidP="0054762F">
            <w:pPr>
              <w:pStyle w:val="Tabletext"/>
              <w:rPr>
                <w:rFonts w:ascii="Arial" w:hAnsi="Arial" w:cs="Arial"/>
                <w:szCs w:val="20"/>
              </w:rPr>
            </w:pPr>
            <w:r w:rsidRPr="00DA2DF3">
              <w:rPr>
                <w:rFonts w:ascii="Arial" w:hAnsi="Arial" w:cs="Arial"/>
                <w:szCs w:val="20"/>
              </w:rPr>
              <w:t>Fee: $12 85%=$10.20</w:t>
            </w:r>
          </w:p>
          <w:p w14:paraId="3F89FF0D" w14:textId="77777777" w:rsidR="00001A9D" w:rsidRPr="00DA2DF3" w:rsidRDefault="00001A9D" w:rsidP="0054762F">
            <w:pPr>
              <w:pStyle w:val="Tabletext"/>
              <w:rPr>
                <w:rFonts w:ascii="Arial" w:hAnsi="Arial" w:cs="Arial"/>
                <w:szCs w:val="20"/>
              </w:rPr>
            </w:pPr>
            <w:r w:rsidRPr="00DA2DF3">
              <w:rPr>
                <w:rFonts w:ascii="Arial" w:hAnsi="Arial" w:cs="Arial"/>
                <w:szCs w:val="20"/>
              </w:rPr>
              <w:t>[Relevant explanatory notes]</w:t>
            </w:r>
          </w:p>
        </w:tc>
      </w:tr>
      <w:tr w:rsidR="00001A9D" w:rsidRPr="00DA2DF3" w14:paraId="1A3555DF" w14:textId="77777777" w:rsidTr="0054762F">
        <w:tc>
          <w:tcPr>
            <w:tcW w:w="9049" w:type="dxa"/>
            <w:tcBorders>
              <w:top w:val="single" w:sz="4" w:space="0" w:color="000000"/>
              <w:left w:val="single" w:sz="4" w:space="0" w:color="000000"/>
              <w:bottom w:val="single" w:sz="4" w:space="0" w:color="000000"/>
              <w:right w:val="single" w:sz="4" w:space="0" w:color="000000"/>
            </w:tcBorders>
          </w:tcPr>
          <w:p w14:paraId="28DF480B" w14:textId="77777777" w:rsidR="00001A9D" w:rsidRPr="00DA2DF3" w:rsidRDefault="00001A9D" w:rsidP="0054762F">
            <w:pPr>
              <w:pStyle w:val="Tabletext"/>
              <w:rPr>
                <w:rFonts w:ascii="Arial" w:hAnsi="Arial" w:cs="Arial"/>
                <w:szCs w:val="20"/>
              </w:rPr>
            </w:pPr>
            <w:r w:rsidRPr="00DA2DF3">
              <w:rPr>
                <w:rFonts w:ascii="Arial" w:hAnsi="Arial" w:cs="Arial"/>
                <w:szCs w:val="20"/>
              </w:rPr>
              <w:t>MBS [item number]</w:t>
            </w:r>
          </w:p>
          <w:p w14:paraId="18DBA49E" w14:textId="77777777" w:rsidR="00001A9D" w:rsidRPr="00DA2DF3" w:rsidRDefault="00001A9D" w:rsidP="0054762F">
            <w:pPr>
              <w:pStyle w:val="Tabletext"/>
              <w:rPr>
                <w:rFonts w:ascii="Arial" w:hAnsi="Arial" w:cs="Arial"/>
                <w:szCs w:val="20"/>
              </w:rPr>
            </w:pPr>
            <w:r w:rsidRPr="00DA2DF3">
              <w:rPr>
                <w:rFonts w:ascii="Arial" w:hAnsi="Arial" w:cs="Arial"/>
                <w:szCs w:val="20"/>
              </w:rPr>
              <w:t>PULMONARY REHABILITATION SERVICE – INDIVIDUAL ASSESSMENT POST GROUP SERVICES</w:t>
            </w:r>
          </w:p>
          <w:p w14:paraId="3D46F3FA" w14:textId="77777777" w:rsidR="00001A9D" w:rsidRPr="00DA2DF3" w:rsidRDefault="00001A9D" w:rsidP="0054762F">
            <w:pPr>
              <w:pStyle w:val="Tabletext"/>
              <w:rPr>
                <w:rFonts w:ascii="Arial" w:hAnsi="Arial" w:cs="Arial"/>
                <w:szCs w:val="20"/>
              </w:rPr>
            </w:pPr>
            <w:r w:rsidRPr="00DA2DF3">
              <w:rPr>
                <w:rFonts w:ascii="Arial" w:hAnsi="Arial" w:cs="Arial"/>
                <w:szCs w:val="20"/>
              </w:rPr>
              <w:t>Pulmonary rehabilitation health service provided to a person by an eligible physiotherapist or exercise physiologist, for the</w:t>
            </w:r>
          </w:p>
          <w:p w14:paraId="660A8899" w14:textId="77777777" w:rsidR="00001A9D" w:rsidRPr="00DA2DF3" w:rsidRDefault="00001A9D" w:rsidP="0054762F">
            <w:pPr>
              <w:pStyle w:val="Tabletext"/>
              <w:rPr>
                <w:rFonts w:ascii="Arial" w:hAnsi="Arial" w:cs="Arial"/>
                <w:szCs w:val="20"/>
              </w:rPr>
            </w:pPr>
            <w:r w:rsidRPr="00DA2DF3">
              <w:rPr>
                <w:rFonts w:ascii="Arial" w:hAnsi="Arial" w:cs="Arial"/>
                <w:szCs w:val="20"/>
              </w:rPr>
              <w:t>purposes of ASSESSING a person’s POST pulmonary rehabilitation group service respiratory status, including taking a</w:t>
            </w:r>
          </w:p>
          <w:p w14:paraId="3D273A10" w14:textId="77777777" w:rsidR="00001A9D" w:rsidRPr="00DA2DF3" w:rsidRDefault="00001A9D" w:rsidP="0054762F">
            <w:pPr>
              <w:pStyle w:val="Tabletext"/>
              <w:rPr>
                <w:rFonts w:ascii="Arial" w:hAnsi="Arial" w:cs="Arial"/>
                <w:szCs w:val="20"/>
              </w:rPr>
            </w:pPr>
            <w:r w:rsidRPr="00DA2DF3">
              <w:rPr>
                <w:rFonts w:ascii="Arial" w:hAnsi="Arial" w:cs="Arial"/>
                <w:szCs w:val="20"/>
              </w:rPr>
              <w:t>medical history, testing of functional exercise capacity (six-minute walk test), assessment of health status (quality of life</w:t>
            </w:r>
          </w:p>
          <w:p w14:paraId="24EB418B" w14:textId="77777777" w:rsidR="00001A9D" w:rsidRPr="00DA2DF3" w:rsidRDefault="00001A9D" w:rsidP="0054762F">
            <w:pPr>
              <w:pStyle w:val="Tabletext"/>
              <w:rPr>
                <w:rFonts w:ascii="Arial" w:hAnsi="Arial" w:cs="Arial"/>
                <w:szCs w:val="20"/>
              </w:rPr>
            </w:pPr>
            <w:r w:rsidRPr="00DA2DF3">
              <w:rPr>
                <w:rFonts w:ascii="Arial" w:hAnsi="Arial" w:cs="Arial"/>
                <w:szCs w:val="20"/>
              </w:rPr>
              <w:t>questionnaires) and a psychosocial assessment questionnaire, if:</w:t>
            </w:r>
          </w:p>
          <w:p w14:paraId="703E4124" w14:textId="77777777" w:rsidR="00001A9D" w:rsidRPr="00DA2DF3" w:rsidRDefault="00001A9D" w:rsidP="00001A9D">
            <w:pPr>
              <w:pStyle w:val="TableText0"/>
              <w:keepNext w:val="0"/>
              <w:numPr>
                <w:ilvl w:val="0"/>
                <w:numId w:val="29"/>
              </w:numPr>
              <w:rPr>
                <w:rFonts w:ascii="Arial" w:hAnsi="Arial" w:cs="Arial"/>
                <w:szCs w:val="20"/>
                <w:lang w:eastAsia="en-AU"/>
              </w:rPr>
            </w:pPr>
            <w:r w:rsidRPr="00DA2DF3">
              <w:rPr>
                <w:rFonts w:ascii="Arial" w:hAnsi="Arial" w:cs="Arial"/>
                <w:szCs w:val="20"/>
                <w:lang w:eastAsia="en-AU"/>
              </w:rPr>
              <w:t>The service is provided to a person diagnosed with COPD, chronic irreversible asthma, bronchiectasis, interstitial lung disease or lung cancer</w:t>
            </w:r>
          </w:p>
          <w:p w14:paraId="1F560581" w14:textId="77777777" w:rsidR="00001A9D" w:rsidRPr="00DA2DF3" w:rsidRDefault="00001A9D" w:rsidP="00001A9D">
            <w:pPr>
              <w:pStyle w:val="TableText0"/>
              <w:keepNext w:val="0"/>
              <w:numPr>
                <w:ilvl w:val="0"/>
                <w:numId w:val="29"/>
              </w:numPr>
              <w:rPr>
                <w:rFonts w:ascii="Arial" w:hAnsi="Arial" w:cs="Arial"/>
                <w:szCs w:val="20"/>
                <w:lang w:eastAsia="en-AU"/>
              </w:rPr>
            </w:pPr>
            <w:r w:rsidRPr="00DA2DF3">
              <w:rPr>
                <w:rFonts w:ascii="Arial" w:hAnsi="Arial" w:cs="Arial"/>
                <w:szCs w:val="20"/>
                <w:lang w:eastAsia="en-AU"/>
              </w:rPr>
              <w:t>The person is being managed by a general practitioner, under a GP Management Plan [i.e. item 721 or 732, or if the person is a resident of an aged care facility, their medical practitioner has contributed to a multidisciplinary care plan [i.e. item 731]; OR, the person is being managed by a specialist (respiratory, rehabilitation, general, consultant physician, surgeon)</w:t>
            </w:r>
          </w:p>
          <w:p w14:paraId="421DF06B" w14:textId="77777777" w:rsidR="00001A9D" w:rsidRPr="00DA2DF3" w:rsidRDefault="00001A9D" w:rsidP="00001A9D">
            <w:pPr>
              <w:pStyle w:val="TableText0"/>
              <w:keepNext w:val="0"/>
              <w:numPr>
                <w:ilvl w:val="0"/>
                <w:numId w:val="29"/>
              </w:numPr>
              <w:rPr>
                <w:rFonts w:ascii="Arial" w:hAnsi="Arial" w:cs="Arial"/>
                <w:szCs w:val="20"/>
                <w:lang w:eastAsia="en-AU"/>
              </w:rPr>
            </w:pPr>
            <w:r w:rsidRPr="00DA2DF3">
              <w:rPr>
                <w:rFonts w:ascii="Arial" w:hAnsi="Arial" w:cs="Arial"/>
                <w:szCs w:val="20"/>
                <w:lang w:eastAsia="en-AU"/>
              </w:rPr>
              <w:t>The person WAS referred to an eligible physiotherapist or exercise physiologist by the medical practitioner using a referral form that has been issued by the Department of Health, or a referral form that contains all the components of the form issued by the Department; and</w:t>
            </w:r>
          </w:p>
          <w:p w14:paraId="119D0873" w14:textId="77777777" w:rsidR="00001A9D" w:rsidRPr="00DA2DF3" w:rsidRDefault="00001A9D" w:rsidP="00001A9D">
            <w:pPr>
              <w:pStyle w:val="TableText0"/>
              <w:keepNext w:val="0"/>
              <w:numPr>
                <w:ilvl w:val="0"/>
                <w:numId w:val="29"/>
              </w:numPr>
              <w:rPr>
                <w:rFonts w:ascii="Arial" w:hAnsi="Arial" w:cs="Arial"/>
                <w:szCs w:val="20"/>
                <w:lang w:eastAsia="en-AU"/>
              </w:rPr>
            </w:pPr>
            <w:r w:rsidRPr="00DA2DF3">
              <w:rPr>
                <w:rFonts w:ascii="Arial" w:hAnsi="Arial" w:cs="Arial"/>
                <w:szCs w:val="20"/>
                <w:lang w:eastAsia="en-AU"/>
              </w:rPr>
              <w:t>The eligible physiotherapist or exercise physiologist provided PULMONARY REHABILITATION group service under item [ item number for PR group service ]; and</w:t>
            </w:r>
          </w:p>
          <w:p w14:paraId="5059D382" w14:textId="77777777" w:rsidR="00001A9D" w:rsidRPr="00DA2DF3" w:rsidRDefault="00001A9D" w:rsidP="00001A9D">
            <w:pPr>
              <w:pStyle w:val="TableText0"/>
              <w:keepNext w:val="0"/>
              <w:numPr>
                <w:ilvl w:val="0"/>
                <w:numId w:val="29"/>
              </w:numPr>
              <w:rPr>
                <w:rFonts w:ascii="Arial" w:hAnsi="Arial" w:cs="Arial"/>
                <w:szCs w:val="20"/>
                <w:lang w:eastAsia="en-AU"/>
              </w:rPr>
            </w:pPr>
            <w:r w:rsidRPr="00DA2DF3">
              <w:rPr>
                <w:rFonts w:ascii="Arial" w:hAnsi="Arial" w:cs="Arial"/>
                <w:szCs w:val="20"/>
                <w:lang w:eastAsia="en-AU"/>
              </w:rPr>
              <w:t>The service is provided to the person individually and in person; and</w:t>
            </w:r>
          </w:p>
          <w:p w14:paraId="2113F0C1" w14:textId="77777777" w:rsidR="00001A9D" w:rsidRPr="00DA2DF3" w:rsidRDefault="00001A9D" w:rsidP="00001A9D">
            <w:pPr>
              <w:pStyle w:val="TableText0"/>
              <w:keepNext w:val="0"/>
              <w:numPr>
                <w:ilvl w:val="0"/>
                <w:numId w:val="29"/>
              </w:numPr>
              <w:rPr>
                <w:rFonts w:ascii="Arial" w:hAnsi="Arial" w:cs="Arial"/>
                <w:szCs w:val="20"/>
                <w:lang w:eastAsia="en-AU"/>
              </w:rPr>
            </w:pPr>
            <w:r w:rsidRPr="00DA2DF3">
              <w:rPr>
                <w:rFonts w:ascii="Arial" w:hAnsi="Arial" w:cs="Arial"/>
                <w:szCs w:val="20"/>
                <w:lang w:eastAsia="en-AU"/>
              </w:rPr>
              <w:t>The service is of at least 45 minutes duration; and</w:t>
            </w:r>
          </w:p>
          <w:p w14:paraId="1507DD61" w14:textId="77777777" w:rsidR="00001A9D" w:rsidRPr="00DA2DF3" w:rsidRDefault="00001A9D" w:rsidP="00001A9D">
            <w:pPr>
              <w:pStyle w:val="TableText0"/>
              <w:keepNext w:val="0"/>
              <w:numPr>
                <w:ilvl w:val="0"/>
                <w:numId w:val="29"/>
              </w:numPr>
              <w:rPr>
                <w:rFonts w:ascii="Arial" w:hAnsi="Arial" w:cs="Arial"/>
                <w:szCs w:val="20"/>
                <w:lang w:eastAsia="en-AU"/>
              </w:rPr>
            </w:pPr>
            <w:r w:rsidRPr="00DA2DF3">
              <w:rPr>
                <w:rFonts w:ascii="Arial" w:hAnsi="Arial" w:cs="Arial"/>
                <w:szCs w:val="20"/>
                <w:lang w:eastAsia="en-AU"/>
              </w:rPr>
              <w:t>After the service, the eligible physiotherapist or exercise physiologist gives a written report to the referring medical practitioner mentioned in paragraph (b); and</w:t>
            </w:r>
          </w:p>
          <w:p w14:paraId="69C48DBB" w14:textId="77777777" w:rsidR="00001A9D" w:rsidRPr="00DA2DF3" w:rsidRDefault="00001A9D" w:rsidP="00001A9D">
            <w:pPr>
              <w:pStyle w:val="TableText0"/>
              <w:keepNext w:val="0"/>
              <w:numPr>
                <w:ilvl w:val="0"/>
                <w:numId w:val="29"/>
              </w:numPr>
              <w:rPr>
                <w:rFonts w:ascii="Arial" w:hAnsi="Arial" w:cs="Arial"/>
                <w:szCs w:val="20"/>
                <w:lang w:eastAsia="en-AU"/>
              </w:rPr>
            </w:pPr>
            <w:r w:rsidRPr="00DA2DF3">
              <w:rPr>
                <w:rFonts w:ascii="Arial" w:hAnsi="Arial" w:cs="Arial"/>
                <w:szCs w:val="20"/>
                <w:lang w:eastAsia="en-AU"/>
              </w:rPr>
              <w:t>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347E2151" w14:textId="77777777" w:rsidR="00001A9D" w:rsidRPr="00DA2DF3" w:rsidRDefault="00001A9D" w:rsidP="0054762F">
            <w:pPr>
              <w:pStyle w:val="Tabletext"/>
              <w:rPr>
                <w:rFonts w:ascii="Arial" w:hAnsi="Arial" w:cs="Arial"/>
                <w:szCs w:val="20"/>
              </w:rPr>
            </w:pPr>
            <w:r w:rsidRPr="00DA2DF3">
              <w:rPr>
                <w:rFonts w:ascii="Arial" w:hAnsi="Arial" w:cs="Arial"/>
                <w:szCs w:val="20"/>
              </w:rPr>
              <w:lastRenderedPageBreak/>
              <w:t>Fee: $65.00 Benefit: 85% = $55.25</w:t>
            </w:r>
          </w:p>
          <w:p w14:paraId="65D0E6DB" w14:textId="77777777" w:rsidR="00001A9D" w:rsidRPr="00DA2DF3" w:rsidRDefault="00001A9D" w:rsidP="0054762F">
            <w:pPr>
              <w:pStyle w:val="Tabletext"/>
              <w:rPr>
                <w:rFonts w:ascii="Arial" w:hAnsi="Arial" w:cs="Arial"/>
                <w:szCs w:val="20"/>
              </w:rPr>
            </w:pPr>
            <w:r w:rsidRPr="00DA2DF3">
              <w:rPr>
                <w:rFonts w:ascii="Arial" w:hAnsi="Arial" w:cs="Arial"/>
                <w:szCs w:val="20"/>
              </w:rPr>
              <w:t>[Relevant explanatory notes]</w:t>
            </w:r>
          </w:p>
        </w:tc>
      </w:tr>
    </w:tbl>
    <w:p w14:paraId="0B2C1E96" w14:textId="77777777" w:rsidR="00BC1364" w:rsidRPr="00FF5712" w:rsidRDefault="00BC1364" w:rsidP="002A1861">
      <w:pPr>
        <w:pStyle w:val="Heading1"/>
      </w:pPr>
      <w:r w:rsidRPr="00FF5712">
        <w:lastRenderedPageBreak/>
        <w:t xml:space="preserve">Summary of </w:t>
      </w:r>
      <w:r w:rsidR="003D7F29" w:rsidRPr="00FF5712">
        <w:t>Public Consultation</w:t>
      </w:r>
      <w:r w:rsidRPr="00FF5712">
        <w:t xml:space="preserve"> Feedback</w:t>
      </w:r>
      <w:r w:rsidR="003D7F29" w:rsidRPr="00FF5712">
        <w:t>/Consumer Issues</w:t>
      </w:r>
    </w:p>
    <w:p w14:paraId="369E1A6A" w14:textId="77777777" w:rsidR="00770E40" w:rsidRPr="00770E40" w:rsidRDefault="00770E40" w:rsidP="00770E40">
      <w:pPr>
        <w:rPr>
          <w:szCs w:val="24"/>
        </w:rPr>
      </w:pPr>
      <w:r w:rsidRPr="0036196D">
        <w:rPr>
          <w:szCs w:val="24"/>
        </w:rPr>
        <w:t>The Protocol Advisory Sub-Committee (PASC) received</w:t>
      </w:r>
      <w:r>
        <w:rPr>
          <w:szCs w:val="24"/>
        </w:rPr>
        <w:t xml:space="preserve"> </w:t>
      </w:r>
      <w:r>
        <w:t>6</w:t>
      </w:r>
      <w:r w:rsidRPr="00474DAB">
        <w:t xml:space="preserve"> responses from peak bodies</w:t>
      </w:r>
      <w:r>
        <w:t>, 20 responses from o</w:t>
      </w:r>
      <w:r w:rsidRPr="00474DAB">
        <w:t>rganisations</w:t>
      </w:r>
      <w:r>
        <w:t xml:space="preserve">, 29 responses from </w:t>
      </w:r>
      <w:r w:rsidRPr="00474DAB">
        <w:t>specialists</w:t>
      </w:r>
      <w:r>
        <w:t>, 5 responses from researchers, 62 responses from consumer/care givers; and 6 responses from others.</w:t>
      </w:r>
      <w:r w:rsidRPr="00474DAB">
        <w:t xml:space="preserve"> </w:t>
      </w:r>
      <w:r w:rsidRPr="00474DAB">
        <w:br/>
      </w:r>
    </w:p>
    <w:p w14:paraId="6A6817A4" w14:textId="77777777" w:rsidR="00770E40" w:rsidRPr="0036196D" w:rsidRDefault="00770E40" w:rsidP="00770E40">
      <w:pPr>
        <w:rPr>
          <w:szCs w:val="24"/>
        </w:rPr>
      </w:pPr>
      <w:r>
        <w:rPr>
          <w:szCs w:val="24"/>
        </w:rPr>
        <w:t xml:space="preserve">Issues raised in the responses </w:t>
      </w:r>
      <w:r w:rsidRPr="0036196D">
        <w:rPr>
          <w:szCs w:val="24"/>
        </w:rPr>
        <w:t>were:</w:t>
      </w:r>
    </w:p>
    <w:p w14:paraId="365FE531" w14:textId="77777777" w:rsidR="00770E40" w:rsidRDefault="00770E40" w:rsidP="00770E40">
      <w:pPr>
        <w:pStyle w:val="ListParagraph"/>
        <w:numPr>
          <w:ilvl w:val="0"/>
          <w:numId w:val="37"/>
        </w:numPr>
      </w:pPr>
      <w:r>
        <w:t>The population should be expanded to include: p</w:t>
      </w:r>
      <w:r w:rsidRPr="0082127C">
        <w:t>ulmonary fibrosis (e.g. following asbestosis)</w:t>
      </w:r>
      <w:r>
        <w:t xml:space="preserve">; </w:t>
      </w:r>
      <w:r w:rsidRPr="0082127C">
        <w:t>Alpha 1 antitrypsin deficiency</w:t>
      </w:r>
      <w:r>
        <w:t xml:space="preserve">; </w:t>
      </w:r>
      <w:proofErr w:type="spellStart"/>
      <w:r>
        <w:t>n</w:t>
      </w:r>
      <w:r w:rsidRPr="0082127C">
        <w:t>ontuberculosis</w:t>
      </w:r>
      <w:proofErr w:type="spellEnd"/>
      <w:r w:rsidRPr="0082127C">
        <w:t xml:space="preserve"> mycobac</w:t>
      </w:r>
      <w:r>
        <w:t>t</w:t>
      </w:r>
      <w:r w:rsidRPr="0082127C">
        <w:t>eria</w:t>
      </w:r>
      <w:r>
        <w:t>; p</w:t>
      </w:r>
      <w:r w:rsidRPr="0082127C">
        <w:t>ulmonary arterial hypertension (contradictory views expressed)</w:t>
      </w:r>
      <w:r>
        <w:t>; and p</w:t>
      </w:r>
      <w:r w:rsidRPr="0082127C">
        <w:t>re-op for patients slated to undergo lung or heart-lung transplant</w:t>
      </w:r>
    </w:p>
    <w:p w14:paraId="17E850E2" w14:textId="77777777" w:rsidR="00770E40" w:rsidRDefault="00770E40" w:rsidP="00770E40">
      <w:pPr>
        <w:pStyle w:val="ListParagraph"/>
        <w:numPr>
          <w:ilvl w:val="0"/>
          <w:numId w:val="37"/>
        </w:numPr>
      </w:pPr>
      <w:r>
        <w:t>R</w:t>
      </w:r>
      <w:r w:rsidRPr="0082127C">
        <w:t>eferrals</w:t>
      </w:r>
      <w:r>
        <w:t xml:space="preserve"> for the medical service</w:t>
      </w:r>
      <w:r w:rsidRPr="0082127C">
        <w:t xml:space="preserve"> </w:t>
      </w:r>
      <w:r>
        <w:t xml:space="preserve">should </w:t>
      </w:r>
      <w:r w:rsidRPr="0082127C">
        <w:t xml:space="preserve">be accepted from </w:t>
      </w:r>
      <w:r>
        <w:t xml:space="preserve">GPs, physicians </w:t>
      </w:r>
      <w:r w:rsidRPr="0082127C">
        <w:t>(respiratory, rehabilitation,</w:t>
      </w:r>
      <w:r>
        <w:t xml:space="preserve"> general) and surgeons</w:t>
      </w:r>
    </w:p>
    <w:p w14:paraId="4673BDE6" w14:textId="77777777" w:rsidR="00770E40" w:rsidRDefault="00770E40" w:rsidP="00770E40">
      <w:pPr>
        <w:pStyle w:val="ListParagraph"/>
        <w:numPr>
          <w:ilvl w:val="0"/>
          <w:numId w:val="37"/>
        </w:numPr>
      </w:pPr>
      <w:r>
        <w:t xml:space="preserve">Suggested removal of the </w:t>
      </w:r>
      <w:r w:rsidRPr="0082127C">
        <w:t>requirement for an additional referral before</w:t>
      </w:r>
      <w:r>
        <w:t xml:space="preserve"> the maintenance program</w:t>
      </w:r>
    </w:p>
    <w:p w14:paraId="61490B8D" w14:textId="77777777" w:rsidR="00770E40" w:rsidRPr="0082127C" w:rsidRDefault="00770E40" w:rsidP="00770E40">
      <w:pPr>
        <w:pStyle w:val="ListParagraph"/>
        <w:numPr>
          <w:ilvl w:val="0"/>
          <w:numId w:val="37"/>
        </w:numPr>
      </w:pPr>
      <w:r>
        <w:t>Training required for practitioners</w:t>
      </w:r>
    </w:p>
    <w:p w14:paraId="4A4D08BF" w14:textId="77777777" w:rsidR="00770E40" w:rsidRDefault="00770E40" w:rsidP="00770E40">
      <w:pPr>
        <w:pStyle w:val="ListParagraph"/>
        <w:numPr>
          <w:ilvl w:val="0"/>
          <w:numId w:val="37"/>
        </w:numPr>
      </w:pPr>
      <w:r>
        <w:t xml:space="preserve">The medical service should </w:t>
      </w:r>
      <w:r w:rsidRPr="0082127C">
        <w:t>be overseen by a respiratory physician</w:t>
      </w:r>
    </w:p>
    <w:p w14:paraId="08557024" w14:textId="77777777" w:rsidR="00770E40" w:rsidRDefault="00770E40" w:rsidP="00770E40">
      <w:pPr>
        <w:pStyle w:val="ListParagraph"/>
        <w:numPr>
          <w:ilvl w:val="0"/>
          <w:numId w:val="37"/>
        </w:numPr>
      </w:pPr>
      <w:r>
        <w:t>The o</w:t>
      </w:r>
      <w:r w:rsidRPr="0082127C">
        <w:t>wnership of business premises or of a business is unnecessary</w:t>
      </w:r>
    </w:p>
    <w:p w14:paraId="50BBC601" w14:textId="77777777" w:rsidR="00770E40" w:rsidRDefault="00770E40" w:rsidP="00770E40">
      <w:pPr>
        <w:pStyle w:val="ListParagraph"/>
        <w:numPr>
          <w:ilvl w:val="0"/>
          <w:numId w:val="37"/>
        </w:numPr>
      </w:pPr>
      <w:r w:rsidRPr="0082127C">
        <w:t>Tele-rehabilitation should be reimbursed</w:t>
      </w:r>
      <w:r>
        <w:t xml:space="preserve"> for rural and remote Australia</w:t>
      </w:r>
    </w:p>
    <w:p w14:paraId="4EA805A7" w14:textId="77777777" w:rsidR="00770E40" w:rsidRPr="0082127C" w:rsidRDefault="00770E40" w:rsidP="00770E40">
      <w:pPr>
        <w:pStyle w:val="ListParagraph"/>
        <w:numPr>
          <w:ilvl w:val="0"/>
          <w:numId w:val="37"/>
        </w:numPr>
      </w:pPr>
      <w:r>
        <w:t>F</w:t>
      </w:r>
      <w:r w:rsidRPr="006433ED">
        <w:t>ollow up consultations by physiotherapist/exerci</w:t>
      </w:r>
      <w:r>
        <w:t>se physiologists should be required</w:t>
      </w:r>
      <w:r w:rsidRPr="006433ED">
        <w:t>.</w:t>
      </w:r>
    </w:p>
    <w:p w14:paraId="1EEDCA16" w14:textId="77777777" w:rsidR="00770E40" w:rsidRDefault="00770E40" w:rsidP="00770E40">
      <w:pPr>
        <w:pStyle w:val="ListParagraph"/>
        <w:numPr>
          <w:ilvl w:val="0"/>
          <w:numId w:val="37"/>
        </w:numPr>
      </w:pPr>
      <w:r w:rsidRPr="0082127C">
        <w:t xml:space="preserve">Suggested removal of limit of one </w:t>
      </w:r>
      <w:r>
        <w:t xml:space="preserve">medical </w:t>
      </w:r>
      <w:r w:rsidRPr="0082127C">
        <w:t>service per patient</w:t>
      </w:r>
      <w:r>
        <w:t xml:space="preserve"> each 2 years</w:t>
      </w:r>
    </w:p>
    <w:p w14:paraId="236E6F7B" w14:textId="77777777" w:rsidR="00770E40" w:rsidRPr="006433ED" w:rsidRDefault="00770E40" w:rsidP="00770E40">
      <w:pPr>
        <w:pStyle w:val="ListParagraph"/>
        <w:numPr>
          <w:ilvl w:val="0"/>
          <w:numId w:val="37"/>
        </w:numPr>
      </w:pPr>
      <w:r>
        <w:t>Difficulty in measuring</w:t>
      </w:r>
      <w:r w:rsidRPr="006433ED">
        <w:t xml:space="preserve"> ‘redu</w:t>
      </w:r>
      <w:r>
        <w:t>ced frequency in exacerbations’</w:t>
      </w:r>
    </w:p>
    <w:p w14:paraId="5EB79215" w14:textId="77777777" w:rsidR="00770E40" w:rsidRDefault="00770E40" w:rsidP="00770E40">
      <w:pPr>
        <w:pStyle w:val="ListParagraph"/>
        <w:numPr>
          <w:ilvl w:val="0"/>
          <w:numId w:val="37"/>
        </w:numPr>
      </w:pPr>
      <w:r>
        <w:t>A</w:t>
      </w:r>
      <w:r w:rsidRPr="0082127C">
        <w:t xml:space="preserve"> broader range of functional exercise tests </w:t>
      </w:r>
      <w:r>
        <w:t xml:space="preserve">should </w:t>
      </w:r>
      <w:r w:rsidRPr="0082127C">
        <w:t>be used to determine change</w:t>
      </w:r>
      <w:r>
        <w:t xml:space="preserve"> in exercise capacity/tolerance</w:t>
      </w:r>
    </w:p>
    <w:p w14:paraId="436C05A6" w14:textId="77777777" w:rsidR="00770E40" w:rsidRDefault="00770E40" w:rsidP="00770E40">
      <w:pPr>
        <w:pStyle w:val="ListParagraph"/>
        <w:numPr>
          <w:ilvl w:val="0"/>
          <w:numId w:val="37"/>
        </w:numPr>
      </w:pPr>
      <w:r>
        <w:t xml:space="preserve">Patient </w:t>
      </w:r>
      <w:r w:rsidRPr="0082127C">
        <w:t xml:space="preserve">participation/adherence should be defined as attendance </w:t>
      </w:r>
      <w:r>
        <w:t xml:space="preserve">of </w:t>
      </w:r>
      <w:r w:rsidRPr="0082127C">
        <w:t xml:space="preserve">at </w:t>
      </w:r>
      <w:r>
        <w:t xml:space="preserve">least </w:t>
      </w:r>
      <w:r w:rsidRPr="0082127C">
        <w:t>70% of pu</w:t>
      </w:r>
      <w:r>
        <w:t>lmonary rehabilitation sessions</w:t>
      </w:r>
    </w:p>
    <w:p w14:paraId="222178DD" w14:textId="77777777" w:rsidR="00546344" w:rsidRPr="00770E40" w:rsidRDefault="00770E40" w:rsidP="00770E40">
      <w:pPr>
        <w:pStyle w:val="ListParagraph"/>
        <w:numPr>
          <w:ilvl w:val="0"/>
          <w:numId w:val="37"/>
        </w:numPr>
      </w:pPr>
      <w:r>
        <w:t>T</w:t>
      </w:r>
      <w:r w:rsidRPr="006433ED">
        <w:t>he proposed MBS item fees are too low and should be aligned with the average rate charged in private practice.</w:t>
      </w:r>
    </w:p>
    <w:p w14:paraId="79267BAA" w14:textId="77777777" w:rsidR="00BC1364" w:rsidRPr="00FF5712" w:rsidRDefault="00BC1364" w:rsidP="002A1861">
      <w:pPr>
        <w:pStyle w:val="Heading1"/>
      </w:pPr>
      <w:r w:rsidRPr="00FF5712">
        <w:t>Proposed intervention’s place in clinical management</w:t>
      </w:r>
    </w:p>
    <w:p w14:paraId="5463309A" w14:textId="77777777" w:rsidR="00DA2DF3" w:rsidRPr="00FF5712" w:rsidRDefault="00DA2DF3" w:rsidP="002D71F3">
      <w:pPr>
        <w:spacing w:after="240"/>
      </w:pPr>
      <w:r w:rsidRPr="00FF5712">
        <w:t xml:space="preserve">The proposed intervention is a PR program provided to eligible patients in a group setting.  The intervention is expected to be provided in addition to other treatment options for their </w:t>
      </w:r>
      <w:r w:rsidR="00D556D4">
        <w:t>chronic lung disease (</w:t>
      </w:r>
      <w:r w:rsidRPr="00FF5712">
        <w:t>CLD</w:t>
      </w:r>
      <w:r w:rsidR="00D556D4">
        <w:t>)</w:t>
      </w:r>
      <w:r w:rsidRPr="00FF5712">
        <w:t>.</w:t>
      </w:r>
    </w:p>
    <w:p w14:paraId="7C4C69EB" w14:textId="77777777" w:rsidR="00DA2DF3" w:rsidRPr="00FF5712" w:rsidRDefault="00DA2DF3" w:rsidP="002D71F3">
      <w:pPr>
        <w:spacing w:after="240"/>
      </w:pPr>
      <w:r w:rsidRPr="00FF5712">
        <w:t>PR is newly defined as a “comprehensive intervention based on a thorough patient assessment followed by patient tailored therapies which include, but are not limited to, exercise training, education, and behaviour change, designed to improve the physical and psychological condition of people with chronic respiratory disease and to promote the long-term adherence to health-enhancing behaviours” (</w:t>
      </w:r>
      <w:proofErr w:type="spellStart"/>
      <w:r w:rsidRPr="00FF5712">
        <w:t>Spruit</w:t>
      </w:r>
      <w:proofErr w:type="spellEnd"/>
      <w:r w:rsidRPr="00FF5712">
        <w:t xml:space="preserve"> 2013).</w:t>
      </w:r>
    </w:p>
    <w:p w14:paraId="1A8864BE" w14:textId="0B6FBAF3" w:rsidR="00DA2DF3" w:rsidRPr="00FF5712" w:rsidRDefault="00DA2DF3" w:rsidP="002D71F3">
      <w:r w:rsidRPr="00FF5712">
        <w:t>PR may be initiated at any stage of the disease, during periods of clinical stability or directly after an exacerbation, and is part of an integrated care model.  It is proposed that the intervention will be individualised to the unique needs of the patients, based on initial and ongoing assessments, including disease severity, complexity and comorbidities.  The intervention is proposed to be provided in community settings, in groups, to address unmet demand for PR and PME, and in locations where some of the barriers to accessing PR and PME can be reduced.  The proposed format of the PR program is a one-hour program, delivered in groups of eight participants, for one hour twice a week over 8 weeks (i.e. 16 sessions), repeated every 2 years; and for PME groups of up to 12 participants, for one hour once per week over 16 weeks (i.e. 16 sessions).</w:t>
      </w:r>
    </w:p>
    <w:p w14:paraId="7D8D96F9" w14:textId="77777777" w:rsidR="00DA2DF3" w:rsidRPr="00FF5712" w:rsidRDefault="00DA2DF3" w:rsidP="00DA2DF3">
      <w:pPr>
        <w:spacing w:before="120"/>
      </w:pPr>
      <w:r w:rsidRPr="00FF5712">
        <w:lastRenderedPageBreak/>
        <w:t>The proposed CLD population for whom pulmonary rehabilitation would be prescribed are patients under the care of their GP who have been diagnosed with COPD, bronchiectasis, ILD</w:t>
      </w:r>
      <w:r w:rsidR="00ED32BC">
        <w:t>, and lung cancer</w:t>
      </w:r>
      <w:r w:rsidRPr="00FF5712">
        <w:t xml:space="preserve"> and have had their pharmacotherapy optimised.  Patients with cystic fibrosis are excluded from the target population on the basis that their susceptibility to infection means they cannot exercise in a group.  Patients for whom, based on the severity of their CLD, only hospital-based pulmonary rehabilitation would be viable are also excluded from the eligible population.</w:t>
      </w:r>
    </w:p>
    <w:p w14:paraId="3BE5D960" w14:textId="77777777" w:rsidR="00001A9D" w:rsidRPr="00ED32BC" w:rsidRDefault="00DA2DF3" w:rsidP="00ED32BC">
      <w:pPr>
        <w:spacing w:before="120" w:after="240"/>
      </w:pPr>
      <w:r w:rsidRPr="00FF5712">
        <w:rPr>
          <w:szCs w:val="24"/>
        </w:rPr>
        <w:t xml:space="preserve">Pulmonary rehabilitation services are provided by an eligible physiotherapist or exercise physiologist.  </w:t>
      </w:r>
      <w:r w:rsidRPr="00FF5712">
        <w:t>The person is being managed by a general practitioner under a GP Management Plan; or, if the person is a resident of an aged care facility, their medical practitioner has contributed to a multidisciplinary care plan; or, the person is being managed by a specialist (respiratory, rehabilitation, general, cons</w:t>
      </w:r>
      <w:r w:rsidR="00ED32BC">
        <w:t>ultant physician, and surgeon).</w:t>
      </w:r>
    </w:p>
    <w:p w14:paraId="7BD108B8" w14:textId="77777777" w:rsidR="00BC1364" w:rsidRPr="00FF5712" w:rsidRDefault="00BC1364" w:rsidP="002A1861">
      <w:pPr>
        <w:pStyle w:val="Heading1"/>
      </w:pPr>
      <w:r w:rsidRPr="00FF5712">
        <w:t xml:space="preserve">Comparator </w:t>
      </w:r>
    </w:p>
    <w:p w14:paraId="1D487AAD" w14:textId="77777777" w:rsidR="0054762F" w:rsidRPr="00FF5712" w:rsidRDefault="0054762F" w:rsidP="00CC6FF9">
      <w:r w:rsidRPr="00FF5712">
        <w:t>The proposed service, best care delivered by a GP/specialist with the addition of accredited physiotherapist or exercise physiologist, delivered PR in the community, is expected to substitute for:</w:t>
      </w:r>
    </w:p>
    <w:p w14:paraId="0096EDD5" w14:textId="77777777" w:rsidR="0054762F" w:rsidRPr="00FF5712" w:rsidRDefault="0054762F" w:rsidP="00CC6FF9">
      <w:pPr>
        <w:pStyle w:val="ListParagraph"/>
        <w:numPr>
          <w:ilvl w:val="0"/>
          <w:numId w:val="31"/>
        </w:numPr>
        <w:contextualSpacing w:val="0"/>
      </w:pPr>
      <w:r w:rsidRPr="00FF5712">
        <w:t>Best care delivered by a GP/specialist, without a PR program available.</w:t>
      </w:r>
    </w:p>
    <w:p w14:paraId="392EB396" w14:textId="77777777" w:rsidR="0054762F" w:rsidRPr="00FF5712" w:rsidRDefault="0054762F" w:rsidP="00CC6FF9">
      <w:r w:rsidRPr="00FF5712">
        <w:tab/>
        <w:t xml:space="preserve">The proposed service, PME delivered by accredited eligible physiotherapists or </w:t>
      </w:r>
      <w:r w:rsidRPr="00FF5712">
        <w:tab/>
        <w:t>exercise physiologists, is expected to substitute for:</w:t>
      </w:r>
    </w:p>
    <w:p w14:paraId="4FAC459A" w14:textId="77777777" w:rsidR="0054762F" w:rsidRPr="00FF5712" w:rsidRDefault="0054762F" w:rsidP="00CC6FF9">
      <w:pPr>
        <w:pStyle w:val="ListParagraph"/>
        <w:numPr>
          <w:ilvl w:val="0"/>
          <w:numId w:val="32"/>
        </w:numPr>
        <w:contextualSpacing w:val="0"/>
      </w:pPr>
      <w:r w:rsidRPr="00FF5712">
        <w:t>Best care delivered by a GP/specialist without a PME program available.</w:t>
      </w:r>
    </w:p>
    <w:p w14:paraId="1EF70E86" w14:textId="77777777" w:rsidR="0054762F" w:rsidRPr="00FF5712" w:rsidRDefault="0054762F" w:rsidP="00CC6FF9">
      <w:r w:rsidRPr="00FF5712">
        <w:tab/>
        <w:t xml:space="preserve">For the purposes of this assessment, the comparator for PME is PR without PME, to </w:t>
      </w:r>
      <w:r w:rsidRPr="00FF5712">
        <w:tab/>
        <w:t>determine the additional benefit of PME following a PR program.</w:t>
      </w:r>
    </w:p>
    <w:p w14:paraId="06F4DB89" w14:textId="77777777" w:rsidR="00BC1364" w:rsidRPr="00FF5712" w:rsidRDefault="00BC1364" w:rsidP="002A1861">
      <w:pPr>
        <w:pStyle w:val="Heading1"/>
      </w:pPr>
      <w:r w:rsidRPr="00FF5712">
        <w:t>Comparative safety</w:t>
      </w:r>
    </w:p>
    <w:p w14:paraId="7A96DABA" w14:textId="77777777" w:rsidR="0054762F" w:rsidRPr="00FF5712" w:rsidRDefault="0054762F" w:rsidP="0054762F">
      <w:r w:rsidRPr="00FF5712">
        <w:t>A total of 57 randomised trials were identified that met inclusion criteria to assess the effectiveness of PR in people with COPD (49 trials), ILD (six trials), bronchiectasis (one trial), and lung cancer (three trials), in outcomes of interest.</w:t>
      </w:r>
    </w:p>
    <w:p w14:paraId="0852081C" w14:textId="77777777" w:rsidR="0054762F" w:rsidRPr="00FF5712" w:rsidRDefault="0054762F" w:rsidP="0054762F"/>
    <w:p w14:paraId="4E0DDB6F" w14:textId="77777777" w:rsidR="0054762F" w:rsidRPr="00FF5712" w:rsidRDefault="0054762F" w:rsidP="0054762F">
      <w:r w:rsidRPr="00FF5712">
        <w:t>A total of three randomised trials were identified that met inclusion criteria to assess the effectiveness of PME in people with COPD in outcomes of interest; no randomised trials were identified that met the inclusion criteria to assess the effectiveness of PME in people with ILD, bronchiectasis or lung cancer.</w:t>
      </w:r>
    </w:p>
    <w:p w14:paraId="04A8132F" w14:textId="77777777" w:rsidR="0054762F" w:rsidRPr="00FF5712" w:rsidRDefault="0054762F" w:rsidP="0054762F">
      <w:pPr>
        <w:tabs>
          <w:tab w:val="left" w:pos="720"/>
          <w:tab w:val="left" w:pos="1140"/>
        </w:tabs>
        <w:rPr>
          <w:szCs w:val="24"/>
        </w:rPr>
      </w:pPr>
    </w:p>
    <w:p w14:paraId="3EF4AE18" w14:textId="77777777" w:rsidR="0054762F" w:rsidRPr="00FF5712" w:rsidRDefault="0054762F" w:rsidP="0054762F">
      <w:r w:rsidRPr="00FF5712">
        <w:t>There was limited evidence available to determine the safety of PR compared with usual care. Given the nature of the intervention, it is expected that risk of harm is low, and it is recognised that delivery of the program should be by accredited and clinically competent practitioners with the required skills and knowledge to maintain patient safety (McCarthy 2015).</w:t>
      </w:r>
    </w:p>
    <w:p w14:paraId="4BC79527" w14:textId="77777777" w:rsidR="0054762F" w:rsidRPr="00FF5712" w:rsidRDefault="0054762F" w:rsidP="0054762F"/>
    <w:p w14:paraId="42B1C91E" w14:textId="77777777" w:rsidR="0054762F" w:rsidRPr="00FF5712" w:rsidRDefault="0054762F" w:rsidP="0054762F">
      <w:r w:rsidRPr="00FF5712">
        <w:t>In the case of the proposed program, to be able to deliver this intervention the eligible health professionals will require credentialing and will need to be registered as either a physiotherapist accredited by the Australian Health Practitioner Regulation Agency (AHPRA) or an Exercise and Sports Science Australia (ESSA) accredited exercise physiologist.  In addition, physiotherapists or exercise physiologists accredited to provide PR or PME programs will require mandatory facility accreditation to provide these programs in a community setting.</w:t>
      </w:r>
    </w:p>
    <w:p w14:paraId="397D5678" w14:textId="77777777" w:rsidR="00BC1364" w:rsidRPr="00FF5712" w:rsidRDefault="00BC1364" w:rsidP="002A1861">
      <w:pPr>
        <w:pStyle w:val="Heading1"/>
      </w:pPr>
      <w:r w:rsidRPr="00FF5712">
        <w:t>Comparative effectiveness</w:t>
      </w:r>
    </w:p>
    <w:p w14:paraId="186B19E1" w14:textId="77777777" w:rsidR="0054762F" w:rsidRPr="00FF5712" w:rsidRDefault="0054762F" w:rsidP="00DA3918">
      <w:pPr>
        <w:spacing w:after="240"/>
      </w:pPr>
      <w:r w:rsidRPr="00FF5712">
        <w:t>Comparative effectiveness was assessed by meta-analysing randomised trials reporting each cri</w:t>
      </w:r>
      <w:r w:rsidR="00DA3918">
        <w:t>tical patient-relevant outcome.</w:t>
      </w:r>
    </w:p>
    <w:p w14:paraId="5FCC8FDF" w14:textId="77777777" w:rsidR="002F694E" w:rsidRDefault="00DA3918" w:rsidP="0054762F">
      <w:r>
        <w:lastRenderedPageBreak/>
        <w:fldChar w:fldCharType="begin"/>
      </w:r>
      <w:r>
        <w:instrText xml:space="preserve"> REF _Ref457825381 \h  \* MERGEFORMAT </w:instrText>
      </w:r>
      <w:r>
        <w:fldChar w:fldCharType="separate"/>
      </w:r>
      <w:r w:rsidRPr="00DA3918">
        <w:t>Table 2</w:t>
      </w:r>
      <w:r>
        <w:fldChar w:fldCharType="end"/>
      </w:r>
      <w:r w:rsidR="0054762F" w:rsidRPr="00FF5712">
        <w:t xml:space="preserve"> outlines the primary tools measuring these patient-relevant outcomes, and the corresponding minimal clinically important differences (MCID).  The tools used to measure these outcomes have all been validated i</w:t>
      </w:r>
      <w:r>
        <w:t>n the relevant patient cohorts.</w:t>
      </w:r>
    </w:p>
    <w:p w14:paraId="45B854A0" w14:textId="77777777" w:rsidR="002F694E" w:rsidRPr="00FF5712" w:rsidRDefault="002F694E" w:rsidP="0054762F"/>
    <w:p w14:paraId="4B934635" w14:textId="77777777" w:rsidR="0054762F" w:rsidRPr="00DA3918" w:rsidRDefault="00DA3918" w:rsidP="00DA3918">
      <w:pPr>
        <w:pStyle w:val="Caption"/>
        <w:ind w:left="1440" w:hanging="1440"/>
        <w:jc w:val="left"/>
        <w:rPr>
          <w:rFonts w:ascii="Arial" w:hAnsi="Arial"/>
        </w:rPr>
      </w:pPr>
      <w:bookmarkStart w:id="2" w:name="_Ref457825381"/>
      <w:bookmarkStart w:id="3" w:name="_Toc457928908"/>
      <w:r w:rsidRPr="00DA3918">
        <w:rPr>
          <w:rFonts w:ascii="Arial" w:hAnsi="Arial"/>
        </w:rPr>
        <w:t xml:space="preserve">Table </w:t>
      </w:r>
      <w:r w:rsidRPr="00DA3918">
        <w:rPr>
          <w:rFonts w:ascii="Arial" w:hAnsi="Arial"/>
        </w:rPr>
        <w:fldChar w:fldCharType="begin"/>
      </w:r>
      <w:r w:rsidRPr="00DA3918">
        <w:rPr>
          <w:rFonts w:ascii="Arial" w:hAnsi="Arial"/>
        </w:rPr>
        <w:instrText xml:space="preserve"> SEQ Table \* ARABIC </w:instrText>
      </w:r>
      <w:r w:rsidRPr="00DA3918">
        <w:rPr>
          <w:rFonts w:ascii="Arial" w:hAnsi="Arial"/>
        </w:rPr>
        <w:fldChar w:fldCharType="separate"/>
      </w:r>
      <w:r w:rsidR="004406F9">
        <w:rPr>
          <w:rFonts w:ascii="Arial" w:hAnsi="Arial"/>
          <w:noProof/>
        </w:rPr>
        <w:t>2</w:t>
      </w:r>
      <w:r w:rsidRPr="00DA3918">
        <w:rPr>
          <w:rFonts w:ascii="Arial" w:hAnsi="Arial"/>
        </w:rPr>
        <w:fldChar w:fldCharType="end"/>
      </w:r>
      <w:bookmarkEnd w:id="2"/>
      <w:r w:rsidR="0054762F" w:rsidRPr="00DA3918">
        <w:rPr>
          <w:rFonts w:ascii="Arial" w:hAnsi="Arial"/>
        </w:rPr>
        <w:tab/>
      </w:r>
      <w:r w:rsidR="0054762F" w:rsidRPr="00DA3918">
        <w:rPr>
          <w:rFonts w:ascii="Arial" w:hAnsi="Arial"/>
          <w:snapToGrid w:val="0"/>
        </w:rPr>
        <w:t>Outcome measurement tools and corresponding minimal clinically important difference (MCID)</w:t>
      </w:r>
      <w:bookmarkEnd w:id="3"/>
    </w:p>
    <w:tbl>
      <w:tblPr>
        <w:tblStyle w:val="TableA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outlines the outcome measurement tools and corresponding minimal clinically important difference. The outcomes considered are: Quality of life (SGRQ), Quality of life - dyspnoea (CRQ - dyspnoea), Quality of life - fatigue (CRQ - fatigue), Quality of life - depression and anxiety (CRQ - emotional function) and Functional exercise capacity (6MWT). "/>
      </w:tblPr>
      <w:tblGrid>
        <w:gridCol w:w="3080"/>
        <w:gridCol w:w="2840"/>
        <w:gridCol w:w="3322"/>
      </w:tblGrid>
      <w:tr w:rsidR="0054762F" w:rsidRPr="00DA3918" w14:paraId="1B7C1DE7" w14:textId="77777777" w:rsidTr="0054762F">
        <w:trPr>
          <w:cnfStyle w:val="100000000000" w:firstRow="1" w:lastRow="0" w:firstColumn="0" w:lastColumn="0" w:oddVBand="0" w:evenVBand="0" w:oddHBand="0" w:evenHBand="0" w:firstRowFirstColumn="0" w:firstRowLastColumn="0" w:lastRowFirstColumn="0" w:lastRowLastColumn="0"/>
          <w:tblHeader/>
        </w:trPr>
        <w:tc>
          <w:tcPr>
            <w:tcW w:w="30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F92F0D" w14:textId="77777777" w:rsidR="0054762F" w:rsidRPr="00DA3918" w:rsidRDefault="0054762F" w:rsidP="0054762F">
            <w:pPr>
              <w:spacing w:after="120"/>
              <w:rPr>
                <w:rFonts w:cs="Arial"/>
                <w:b/>
                <w:color w:val="002060"/>
                <w:sz w:val="20"/>
              </w:rPr>
            </w:pPr>
            <w:r w:rsidRPr="00DA3918">
              <w:rPr>
                <w:rFonts w:cs="Arial"/>
                <w:b/>
                <w:color w:val="002060"/>
                <w:sz w:val="20"/>
              </w:rPr>
              <w:t>Outcome</w:t>
            </w:r>
          </w:p>
        </w:tc>
        <w:tc>
          <w:tcPr>
            <w:tcW w:w="28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8EF0B8" w14:textId="77777777" w:rsidR="0054762F" w:rsidRPr="00DA3918" w:rsidRDefault="0054762F" w:rsidP="0054762F">
            <w:pPr>
              <w:spacing w:after="120"/>
              <w:rPr>
                <w:rFonts w:cs="Arial"/>
                <w:b/>
                <w:color w:val="002060"/>
                <w:sz w:val="20"/>
              </w:rPr>
            </w:pPr>
            <w:r w:rsidRPr="00DA3918">
              <w:rPr>
                <w:rFonts w:cs="Arial"/>
                <w:b/>
                <w:color w:val="002060"/>
                <w:sz w:val="20"/>
              </w:rPr>
              <w:t>Measure</w:t>
            </w:r>
          </w:p>
        </w:tc>
        <w:tc>
          <w:tcPr>
            <w:tcW w:w="3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B5AB5E" w14:textId="77777777" w:rsidR="0054762F" w:rsidRPr="00DA3918" w:rsidRDefault="0054762F" w:rsidP="0054762F">
            <w:pPr>
              <w:spacing w:after="120"/>
              <w:rPr>
                <w:rFonts w:cs="Arial"/>
                <w:b/>
                <w:color w:val="002060"/>
                <w:sz w:val="20"/>
              </w:rPr>
            </w:pPr>
            <w:r w:rsidRPr="00DA3918">
              <w:rPr>
                <w:rFonts w:cs="Arial"/>
                <w:b/>
                <w:color w:val="002060"/>
                <w:sz w:val="20"/>
              </w:rPr>
              <w:t>MCID</w:t>
            </w:r>
          </w:p>
        </w:tc>
      </w:tr>
      <w:tr w:rsidR="0054762F" w:rsidRPr="00DA3918" w14:paraId="3E646116" w14:textId="77777777" w:rsidTr="0054762F">
        <w:tc>
          <w:tcPr>
            <w:tcW w:w="3080" w:type="dxa"/>
          </w:tcPr>
          <w:p w14:paraId="0393D800" w14:textId="77777777" w:rsidR="0054762F" w:rsidRPr="00DA3918" w:rsidRDefault="0054762F" w:rsidP="0054762F">
            <w:pPr>
              <w:spacing w:after="120"/>
              <w:rPr>
                <w:rFonts w:cs="Arial"/>
                <w:sz w:val="20"/>
              </w:rPr>
            </w:pPr>
            <w:r w:rsidRPr="00DA3918">
              <w:rPr>
                <w:rFonts w:cs="Arial"/>
                <w:sz w:val="20"/>
              </w:rPr>
              <w:t>Overall quality of life</w:t>
            </w:r>
          </w:p>
        </w:tc>
        <w:tc>
          <w:tcPr>
            <w:tcW w:w="2840" w:type="dxa"/>
          </w:tcPr>
          <w:p w14:paraId="59D22A80" w14:textId="77777777" w:rsidR="0054762F" w:rsidRPr="00DA3918" w:rsidRDefault="0054762F" w:rsidP="0054762F">
            <w:pPr>
              <w:spacing w:after="120"/>
              <w:rPr>
                <w:rFonts w:cs="Arial"/>
                <w:sz w:val="20"/>
              </w:rPr>
            </w:pPr>
            <w:r w:rsidRPr="00DA3918">
              <w:rPr>
                <w:rFonts w:cs="Arial"/>
                <w:sz w:val="20"/>
              </w:rPr>
              <w:t>SGRQ</w:t>
            </w:r>
          </w:p>
        </w:tc>
        <w:tc>
          <w:tcPr>
            <w:tcW w:w="3322" w:type="dxa"/>
          </w:tcPr>
          <w:p w14:paraId="6EB55AAC" w14:textId="77777777" w:rsidR="0054762F" w:rsidRPr="00DA3918" w:rsidRDefault="0054762F" w:rsidP="0054762F">
            <w:pPr>
              <w:spacing w:after="120"/>
              <w:rPr>
                <w:rFonts w:cs="Arial"/>
                <w:sz w:val="20"/>
                <w:vertAlign w:val="superscript"/>
              </w:rPr>
            </w:pPr>
            <w:r w:rsidRPr="00DA3918">
              <w:rPr>
                <w:rFonts w:cs="Arial"/>
                <w:sz w:val="20"/>
              </w:rPr>
              <w:t>4 points (on the 100-point scale)</w:t>
            </w:r>
            <w:r w:rsidRPr="00DA3918">
              <w:rPr>
                <w:rFonts w:cs="Arial"/>
                <w:sz w:val="20"/>
                <w:vertAlign w:val="superscript"/>
              </w:rPr>
              <w:t>1</w:t>
            </w:r>
          </w:p>
        </w:tc>
      </w:tr>
      <w:tr w:rsidR="0054762F" w:rsidRPr="00DA3918" w14:paraId="4300A527" w14:textId="77777777" w:rsidTr="0054762F">
        <w:tc>
          <w:tcPr>
            <w:tcW w:w="3080" w:type="dxa"/>
          </w:tcPr>
          <w:p w14:paraId="2BED5259" w14:textId="77777777" w:rsidR="0054762F" w:rsidRPr="00DA3918" w:rsidRDefault="0054762F" w:rsidP="0054762F">
            <w:pPr>
              <w:spacing w:after="120"/>
              <w:rPr>
                <w:rFonts w:cs="Arial"/>
                <w:sz w:val="20"/>
              </w:rPr>
            </w:pPr>
            <w:r w:rsidRPr="00DA3918">
              <w:rPr>
                <w:rFonts w:cs="Arial"/>
                <w:sz w:val="20"/>
              </w:rPr>
              <w:t>Quality of life – dyspnoea</w:t>
            </w:r>
          </w:p>
        </w:tc>
        <w:tc>
          <w:tcPr>
            <w:tcW w:w="2840" w:type="dxa"/>
          </w:tcPr>
          <w:p w14:paraId="4A7CF381" w14:textId="77777777" w:rsidR="0054762F" w:rsidRPr="00DA3918" w:rsidRDefault="0054762F" w:rsidP="0054762F">
            <w:pPr>
              <w:spacing w:after="120"/>
              <w:rPr>
                <w:rFonts w:cs="Arial"/>
                <w:sz w:val="20"/>
              </w:rPr>
            </w:pPr>
            <w:r w:rsidRPr="00DA3918">
              <w:rPr>
                <w:rFonts w:cs="Arial"/>
                <w:sz w:val="20"/>
              </w:rPr>
              <w:t>CRQ – dyspnoea</w:t>
            </w:r>
          </w:p>
        </w:tc>
        <w:tc>
          <w:tcPr>
            <w:tcW w:w="3322" w:type="dxa"/>
          </w:tcPr>
          <w:p w14:paraId="3696672B" w14:textId="77777777" w:rsidR="0054762F" w:rsidRPr="00DA3918" w:rsidRDefault="0054762F" w:rsidP="0054762F">
            <w:pPr>
              <w:spacing w:after="120"/>
              <w:rPr>
                <w:rFonts w:cs="Arial"/>
                <w:sz w:val="20"/>
                <w:vertAlign w:val="superscript"/>
              </w:rPr>
            </w:pPr>
            <w:r w:rsidRPr="00DA3918">
              <w:rPr>
                <w:rFonts w:cs="Arial"/>
                <w:sz w:val="20"/>
              </w:rPr>
              <w:t>0.5 points (on the 7-point scale)</w:t>
            </w:r>
            <w:r w:rsidRPr="00DA3918">
              <w:rPr>
                <w:rFonts w:cs="Arial"/>
                <w:sz w:val="20"/>
                <w:vertAlign w:val="superscript"/>
              </w:rPr>
              <w:t>1</w:t>
            </w:r>
          </w:p>
        </w:tc>
      </w:tr>
      <w:tr w:rsidR="0054762F" w:rsidRPr="00DA3918" w14:paraId="3BF068CC" w14:textId="77777777" w:rsidTr="0054762F">
        <w:tc>
          <w:tcPr>
            <w:tcW w:w="3080" w:type="dxa"/>
          </w:tcPr>
          <w:p w14:paraId="0ACC9C6B" w14:textId="77777777" w:rsidR="0054762F" w:rsidRPr="00DA3918" w:rsidRDefault="0054762F" w:rsidP="0054762F">
            <w:pPr>
              <w:spacing w:after="120"/>
              <w:rPr>
                <w:rFonts w:cs="Arial"/>
                <w:sz w:val="20"/>
              </w:rPr>
            </w:pPr>
            <w:r w:rsidRPr="00DA3918">
              <w:rPr>
                <w:rFonts w:cs="Arial"/>
                <w:sz w:val="20"/>
              </w:rPr>
              <w:t>Quality of life – fatigue</w:t>
            </w:r>
          </w:p>
        </w:tc>
        <w:tc>
          <w:tcPr>
            <w:tcW w:w="2840" w:type="dxa"/>
          </w:tcPr>
          <w:p w14:paraId="669960C7" w14:textId="77777777" w:rsidR="0054762F" w:rsidRPr="00DA3918" w:rsidRDefault="0054762F" w:rsidP="0054762F">
            <w:pPr>
              <w:spacing w:after="120"/>
              <w:rPr>
                <w:rFonts w:cs="Arial"/>
                <w:sz w:val="20"/>
              </w:rPr>
            </w:pPr>
            <w:r w:rsidRPr="00DA3918">
              <w:rPr>
                <w:rFonts w:cs="Arial"/>
                <w:sz w:val="20"/>
              </w:rPr>
              <w:t>CRQ – fatigue</w:t>
            </w:r>
          </w:p>
        </w:tc>
        <w:tc>
          <w:tcPr>
            <w:tcW w:w="3322" w:type="dxa"/>
          </w:tcPr>
          <w:p w14:paraId="25229D11" w14:textId="77777777" w:rsidR="0054762F" w:rsidRPr="00DA3918" w:rsidRDefault="0054762F" w:rsidP="0054762F">
            <w:pPr>
              <w:spacing w:after="120"/>
              <w:rPr>
                <w:rFonts w:cs="Arial"/>
                <w:sz w:val="20"/>
                <w:vertAlign w:val="superscript"/>
              </w:rPr>
            </w:pPr>
            <w:r w:rsidRPr="00DA3918">
              <w:rPr>
                <w:rFonts w:cs="Arial"/>
                <w:sz w:val="20"/>
              </w:rPr>
              <w:t>0.5 points (on the 7-point scale)</w:t>
            </w:r>
            <w:r w:rsidRPr="00DA3918">
              <w:rPr>
                <w:rFonts w:cs="Arial"/>
                <w:sz w:val="20"/>
                <w:vertAlign w:val="superscript"/>
              </w:rPr>
              <w:t>1</w:t>
            </w:r>
          </w:p>
        </w:tc>
      </w:tr>
      <w:tr w:rsidR="0054762F" w:rsidRPr="00DA3918" w14:paraId="68A3B956" w14:textId="77777777" w:rsidTr="0054762F">
        <w:tc>
          <w:tcPr>
            <w:tcW w:w="3080" w:type="dxa"/>
          </w:tcPr>
          <w:p w14:paraId="10F128DD" w14:textId="77777777" w:rsidR="0054762F" w:rsidRPr="00DA3918" w:rsidRDefault="0054762F" w:rsidP="0054762F">
            <w:pPr>
              <w:spacing w:after="120"/>
              <w:rPr>
                <w:rFonts w:cs="Arial"/>
                <w:sz w:val="20"/>
              </w:rPr>
            </w:pPr>
            <w:r w:rsidRPr="00DA3918">
              <w:rPr>
                <w:rFonts w:cs="Arial"/>
                <w:sz w:val="20"/>
              </w:rPr>
              <w:t>Quality of life – depression and anxiety</w:t>
            </w:r>
          </w:p>
        </w:tc>
        <w:tc>
          <w:tcPr>
            <w:tcW w:w="2840" w:type="dxa"/>
          </w:tcPr>
          <w:p w14:paraId="0EB95618" w14:textId="77777777" w:rsidR="0054762F" w:rsidRPr="00DA3918" w:rsidRDefault="0054762F" w:rsidP="0054762F">
            <w:pPr>
              <w:spacing w:after="120"/>
              <w:rPr>
                <w:rFonts w:cs="Arial"/>
                <w:sz w:val="20"/>
              </w:rPr>
            </w:pPr>
            <w:r w:rsidRPr="00DA3918">
              <w:rPr>
                <w:rFonts w:cs="Arial"/>
                <w:sz w:val="20"/>
              </w:rPr>
              <w:t>CRQ – emotional function</w:t>
            </w:r>
          </w:p>
        </w:tc>
        <w:tc>
          <w:tcPr>
            <w:tcW w:w="3322" w:type="dxa"/>
          </w:tcPr>
          <w:p w14:paraId="772885D8" w14:textId="77777777" w:rsidR="0054762F" w:rsidRPr="00DA3918" w:rsidRDefault="0054762F" w:rsidP="0054762F">
            <w:pPr>
              <w:spacing w:after="120"/>
              <w:rPr>
                <w:rFonts w:cs="Arial"/>
                <w:sz w:val="20"/>
                <w:vertAlign w:val="superscript"/>
              </w:rPr>
            </w:pPr>
            <w:r w:rsidRPr="00DA3918">
              <w:rPr>
                <w:rFonts w:cs="Arial"/>
                <w:sz w:val="20"/>
              </w:rPr>
              <w:t>0.5 points (on the 7-point scale)</w:t>
            </w:r>
            <w:r w:rsidRPr="00DA3918">
              <w:rPr>
                <w:rFonts w:cs="Arial"/>
                <w:sz w:val="20"/>
                <w:vertAlign w:val="superscript"/>
              </w:rPr>
              <w:t>1</w:t>
            </w:r>
          </w:p>
        </w:tc>
      </w:tr>
      <w:tr w:rsidR="0054762F" w:rsidRPr="00DA3918" w14:paraId="2C373477" w14:textId="77777777" w:rsidTr="0054762F">
        <w:tc>
          <w:tcPr>
            <w:tcW w:w="3080" w:type="dxa"/>
          </w:tcPr>
          <w:p w14:paraId="6C09FA79" w14:textId="77777777" w:rsidR="0054762F" w:rsidRPr="00DA3918" w:rsidRDefault="0054762F" w:rsidP="0054762F">
            <w:pPr>
              <w:spacing w:after="120"/>
              <w:rPr>
                <w:rFonts w:cs="Arial"/>
                <w:sz w:val="20"/>
              </w:rPr>
            </w:pPr>
            <w:r w:rsidRPr="00DA3918">
              <w:rPr>
                <w:rFonts w:cs="Arial"/>
                <w:sz w:val="20"/>
              </w:rPr>
              <w:t>Functional exercise capacity</w:t>
            </w:r>
          </w:p>
        </w:tc>
        <w:tc>
          <w:tcPr>
            <w:tcW w:w="2840" w:type="dxa"/>
          </w:tcPr>
          <w:p w14:paraId="55DAD2D1" w14:textId="77777777" w:rsidR="0054762F" w:rsidRPr="00DA3918" w:rsidRDefault="0054762F" w:rsidP="0054762F">
            <w:pPr>
              <w:spacing w:after="120"/>
              <w:rPr>
                <w:rFonts w:cs="Arial"/>
                <w:sz w:val="20"/>
              </w:rPr>
            </w:pPr>
            <w:r w:rsidRPr="00DA3918">
              <w:rPr>
                <w:rFonts w:cs="Arial"/>
                <w:sz w:val="20"/>
              </w:rPr>
              <w:t>6MWT</w:t>
            </w:r>
          </w:p>
        </w:tc>
        <w:tc>
          <w:tcPr>
            <w:tcW w:w="3322" w:type="dxa"/>
          </w:tcPr>
          <w:p w14:paraId="46D67444" w14:textId="77777777" w:rsidR="0054762F" w:rsidRPr="00DA3918" w:rsidRDefault="0054762F" w:rsidP="0054762F">
            <w:pPr>
              <w:spacing w:after="120"/>
              <w:rPr>
                <w:rFonts w:cs="Arial"/>
                <w:sz w:val="20"/>
                <w:vertAlign w:val="superscript"/>
              </w:rPr>
            </w:pPr>
            <w:r w:rsidRPr="00DA3918">
              <w:rPr>
                <w:rFonts w:cs="Arial"/>
                <w:sz w:val="20"/>
              </w:rPr>
              <w:t>30 metres</w:t>
            </w:r>
            <w:r w:rsidRPr="00DA3918">
              <w:rPr>
                <w:rFonts w:cs="Arial"/>
                <w:sz w:val="20"/>
                <w:vertAlign w:val="superscript"/>
              </w:rPr>
              <w:t>2</w:t>
            </w:r>
          </w:p>
        </w:tc>
      </w:tr>
    </w:tbl>
    <w:p w14:paraId="5CE471F3" w14:textId="77777777" w:rsidR="0054762F" w:rsidRPr="009612AB" w:rsidRDefault="0054762F" w:rsidP="0054762F">
      <w:pPr>
        <w:widowControl w:val="0"/>
        <w:rPr>
          <w:rFonts w:ascii="Arial" w:hAnsi="Arial" w:cs="Arial"/>
          <w:snapToGrid w:val="0"/>
          <w:sz w:val="16"/>
          <w:szCs w:val="16"/>
        </w:rPr>
      </w:pPr>
      <w:r w:rsidRPr="009612AB">
        <w:rPr>
          <w:rFonts w:ascii="Arial" w:hAnsi="Arial" w:cs="Arial"/>
          <w:sz w:val="16"/>
          <w:szCs w:val="16"/>
          <w:vertAlign w:val="superscript"/>
        </w:rPr>
        <w:t>1</w:t>
      </w:r>
      <w:r w:rsidRPr="009612AB">
        <w:rPr>
          <w:rFonts w:ascii="Arial" w:hAnsi="Arial" w:cs="Arial"/>
          <w:sz w:val="16"/>
          <w:szCs w:val="16"/>
        </w:rPr>
        <w:t xml:space="preserve"> Make et al, 2005.</w:t>
      </w:r>
      <w:r w:rsidRPr="009612AB">
        <w:rPr>
          <w:rFonts w:ascii="Arial" w:hAnsi="Arial" w:cs="Arial"/>
          <w:sz w:val="16"/>
          <w:szCs w:val="16"/>
          <w:vertAlign w:val="superscript"/>
        </w:rPr>
        <w:t xml:space="preserve">2 </w:t>
      </w:r>
      <w:r w:rsidRPr="009612AB">
        <w:rPr>
          <w:rFonts w:ascii="Arial" w:hAnsi="Arial" w:cs="Arial"/>
          <w:sz w:val="16"/>
          <w:szCs w:val="16"/>
        </w:rPr>
        <w:t xml:space="preserve">Holland et al, 2014. </w:t>
      </w:r>
      <w:r w:rsidRPr="009612AB">
        <w:rPr>
          <w:rFonts w:ascii="Arial" w:hAnsi="Arial" w:cs="Arial"/>
          <w:snapToGrid w:val="0"/>
          <w:sz w:val="16"/>
          <w:szCs w:val="16"/>
        </w:rPr>
        <w:t>6MWT = 6-minute walk test; CRQ = Chronic Respiratory Disease Questionnaire; SGRQ = St George’s Respiratory Questionnaire</w:t>
      </w:r>
    </w:p>
    <w:p w14:paraId="42F46460" w14:textId="77777777" w:rsidR="00FF5712" w:rsidRPr="00FF5712" w:rsidRDefault="00FF5712" w:rsidP="0054762F">
      <w:pPr>
        <w:rPr>
          <w:u w:val="single"/>
        </w:rPr>
      </w:pPr>
    </w:p>
    <w:p w14:paraId="34BB7C56" w14:textId="77777777" w:rsidR="0054762F" w:rsidRPr="00FF5712" w:rsidRDefault="0054762F" w:rsidP="002F694E">
      <w:pPr>
        <w:rPr>
          <w:i/>
        </w:rPr>
      </w:pPr>
      <w:r w:rsidRPr="00FF5712">
        <w:rPr>
          <w:i/>
        </w:rPr>
        <w:t>Pulmonary rehabilitation (PR)</w:t>
      </w:r>
    </w:p>
    <w:p w14:paraId="179DB155" w14:textId="77777777" w:rsidR="0054762F" w:rsidRPr="00FF5712" w:rsidRDefault="0054762F" w:rsidP="002F694E">
      <w:r w:rsidRPr="00FF5712">
        <w:t xml:space="preserve">On the basis of the evidence profile (summarised in </w:t>
      </w:r>
      <w:r w:rsidR="009612AB">
        <w:fldChar w:fldCharType="begin"/>
      </w:r>
      <w:r w:rsidR="009612AB">
        <w:instrText xml:space="preserve"> REF _Ref457824790 \h  \* MERGEFORMAT </w:instrText>
      </w:r>
      <w:r w:rsidR="009612AB">
        <w:fldChar w:fldCharType="separate"/>
      </w:r>
      <w:r w:rsidR="009612AB" w:rsidRPr="009612AB">
        <w:t>Table 3</w:t>
      </w:r>
      <w:r w:rsidR="009612AB">
        <w:fldChar w:fldCharType="end"/>
      </w:r>
      <w:r w:rsidRPr="00FF5712">
        <w:t>), it is suggested that for patients with COPD, relative to usual care, PR has superior effectiveness in terms of patient relevant outcomes of quality of life, dyspnoea, fatigue, emotional function and functional exercise capacity.</w:t>
      </w:r>
    </w:p>
    <w:p w14:paraId="17A8C54D" w14:textId="77777777" w:rsidR="0054762F" w:rsidRPr="00FF5712" w:rsidRDefault="0054762F" w:rsidP="0054762F"/>
    <w:p w14:paraId="40A5D006" w14:textId="77777777" w:rsidR="0054762F" w:rsidRPr="00DA3918" w:rsidRDefault="00DA3918" w:rsidP="0054762F">
      <w:pPr>
        <w:pStyle w:val="Caption"/>
        <w:jc w:val="left"/>
        <w:rPr>
          <w:rFonts w:ascii="Arial" w:hAnsi="Arial"/>
        </w:rPr>
      </w:pPr>
      <w:bookmarkStart w:id="4" w:name="_Ref457824790"/>
      <w:bookmarkStart w:id="5" w:name="_Toc457928909"/>
      <w:r w:rsidRPr="00DA3918">
        <w:rPr>
          <w:rFonts w:ascii="Arial" w:hAnsi="Arial"/>
        </w:rPr>
        <w:t xml:space="preserve">Table </w:t>
      </w:r>
      <w:r w:rsidRPr="00DA3918">
        <w:rPr>
          <w:rFonts w:ascii="Arial" w:hAnsi="Arial"/>
        </w:rPr>
        <w:fldChar w:fldCharType="begin"/>
      </w:r>
      <w:r w:rsidRPr="00DA3918">
        <w:rPr>
          <w:rFonts w:ascii="Arial" w:hAnsi="Arial"/>
        </w:rPr>
        <w:instrText xml:space="preserve"> SEQ Table \* ARABIC </w:instrText>
      </w:r>
      <w:r w:rsidRPr="00DA3918">
        <w:rPr>
          <w:rFonts w:ascii="Arial" w:hAnsi="Arial"/>
        </w:rPr>
        <w:fldChar w:fldCharType="separate"/>
      </w:r>
      <w:r w:rsidR="004406F9">
        <w:rPr>
          <w:rFonts w:ascii="Arial" w:hAnsi="Arial"/>
          <w:noProof/>
        </w:rPr>
        <w:t>3</w:t>
      </w:r>
      <w:r w:rsidRPr="00DA3918">
        <w:rPr>
          <w:rFonts w:ascii="Arial" w:hAnsi="Arial"/>
        </w:rPr>
        <w:fldChar w:fldCharType="end"/>
      </w:r>
      <w:bookmarkEnd w:id="4"/>
      <w:r w:rsidR="0054762F" w:rsidRPr="00DA3918">
        <w:rPr>
          <w:rFonts w:ascii="Arial" w:hAnsi="Arial"/>
        </w:rPr>
        <w:tab/>
      </w:r>
      <w:r w:rsidR="009612AB">
        <w:rPr>
          <w:rFonts w:ascii="Arial" w:hAnsi="Arial"/>
        </w:rPr>
        <w:tab/>
      </w:r>
      <w:r w:rsidR="0054762F" w:rsidRPr="00DA3918">
        <w:rPr>
          <w:rFonts w:ascii="Arial" w:hAnsi="Arial"/>
          <w:snapToGrid w:val="0"/>
        </w:rPr>
        <w:t xml:space="preserve">Balance of clinical benefits and harms of pulmonary rehabilitation, relative to usual care, and as measured by the </w:t>
      </w:r>
      <w:r w:rsidR="0054762F" w:rsidRPr="00DA3918">
        <w:rPr>
          <w:rFonts w:ascii="Arial" w:hAnsi="Arial"/>
          <w:snapToGrid w:val="0"/>
          <w:u w:val="single"/>
        </w:rPr>
        <w:t>critical</w:t>
      </w:r>
      <w:r w:rsidR="0054762F" w:rsidRPr="00DA3918">
        <w:rPr>
          <w:rFonts w:ascii="Arial" w:hAnsi="Arial"/>
          <w:snapToGrid w:val="0"/>
        </w:rPr>
        <w:t xml:space="preserve"> patient-relevant outcomes in the key trials in COPD</w:t>
      </w:r>
      <w:bookmarkEnd w:id="5"/>
    </w:p>
    <w:tbl>
      <w:tblPr>
        <w:tblW w:w="0" w:type="auto"/>
        <w:tblLook w:val="04A0" w:firstRow="1" w:lastRow="0" w:firstColumn="1" w:lastColumn="0" w:noHBand="0" w:noVBand="1"/>
        <w:tblDescription w:val="This table outlines the balance of clinical benefits and harms of pulmonary rehabilitation, relative to usual care, and as measured by the critical patient-relevant outcomes in the key studies in chronic obstructive pulmonary disease. "/>
      </w:tblPr>
      <w:tblGrid>
        <w:gridCol w:w="1765"/>
        <w:gridCol w:w="1800"/>
        <w:gridCol w:w="1761"/>
        <w:gridCol w:w="1745"/>
        <w:gridCol w:w="2109"/>
      </w:tblGrid>
      <w:tr w:rsidR="0054762F" w:rsidRPr="00DA3918" w14:paraId="4E0795B4" w14:textId="77777777" w:rsidTr="009612AB">
        <w:trPr>
          <w:trHeight w:val="960"/>
        </w:trPr>
        <w:tc>
          <w:tcPr>
            <w:tcW w:w="1765" w:type="dxa"/>
            <w:tcBorders>
              <w:top w:val="single" w:sz="4" w:space="0" w:color="auto"/>
              <w:left w:val="single" w:sz="4" w:space="0" w:color="auto"/>
              <w:bottom w:val="single" w:sz="4" w:space="0" w:color="auto"/>
              <w:right w:val="single" w:sz="4" w:space="0" w:color="auto"/>
            </w:tcBorders>
          </w:tcPr>
          <w:p w14:paraId="342A40BC" w14:textId="77777777" w:rsidR="0054762F" w:rsidRPr="00DA3918" w:rsidRDefault="0054762F" w:rsidP="00FF5712">
            <w:pPr>
              <w:pStyle w:val="TableHeading"/>
              <w:ind w:left="0" w:firstLine="0"/>
              <w:jc w:val="left"/>
              <w:rPr>
                <w:rFonts w:ascii="Arial" w:hAnsi="Arial" w:cs="Arial"/>
              </w:rPr>
            </w:pPr>
            <w:r w:rsidRPr="00DA3918">
              <w:rPr>
                <w:rFonts w:ascii="Arial" w:hAnsi="Arial" w:cs="Arial"/>
              </w:rPr>
              <w:t>Outcomes (units)</w:t>
            </w:r>
          </w:p>
          <w:p w14:paraId="54023BDF" w14:textId="77777777" w:rsidR="0054762F" w:rsidRPr="00DA3918" w:rsidRDefault="0054762F" w:rsidP="0054762F">
            <w:pPr>
              <w:pStyle w:val="TableHeading"/>
              <w:jc w:val="left"/>
              <w:rPr>
                <w:rFonts w:ascii="Arial" w:hAnsi="Arial" w:cs="Arial"/>
              </w:rPr>
            </w:pPr>
            <w:r w:rsidRPr="00DA3918">
              <w:rPr>
                <w:rFonts w:ascii="Arial" w:hAnsi="Arial" w:cs="Arial"/>
              </w:rPr>
              <w:t>Follow-up</w:t>
            </w:r>
          </w:p>
        </w:tc>
        <w:tc>
          <w:tcPr>
            <w:tcW w:w="1800" w:type="dxa"/>
            <w:tcBorders>
              <w:top w:val="single" w:sz="4" w:space="0" w:color="auto"/>
              <w:left w:val="single" w:sz="4" w:space="0" w:color="auto"/>
              <w:bottom w:val="single" w:sz="4" w:space="0" w:color="auto"/>
              <w:right w:val="single" w:sz="4" w:space="0" w:color="auto"/>
            </w:tcBorders>
          </w:tcPr>
          <w:p w14:paraId="74BFB01A" w14:textId="77777777" w:rsidR="0054762F" w:rsidRPr="00DA3918" w:rsidRDefault="0054762F" w:rsidP="0054762F">
            <w:pPr>
              <w:pStyle w:val="TableHeading"/>
              <w:ind w:left="13" w:hanging="13"/>
              <w:jc w:val="left"/>
              <w:rPr>
                <w:rFonts w:ascii="Arial" w:hAnsi="Arial" w:cs="Arial"/>
              </w:rPr>
            </w:pPr>
            <w:r w:rsidRPr="00DA3918">
              <w:rPr>
                <w:rFonts w:ascii="Arial" w:hAnsi="Arial" w:cs="Arial"/>
              </w:rPr>
              <w:t>Pooled participants</w:t>
            </w:r>
          </w:p>
          <w:p w14:paraId="78D3CA55" w14:textId="77777777" w:rsidR="0054762F" w:rsidRPr="00DA3918" w:rsidRDefault="0054762F" w:rsidP="0054762F">
            <w:pPr>
              <w:pStyle w:val="TableHeading"/>
              <w:jc w:val="left"/>
              <w:rPr>
                <w:rFonts w:ascii="Arial" w:hAnsi="Arial" w:cs="Arial"/>
              </w:rPr>
            </w:pPr>
            <w:r w:rsidRPr="00DA3918">
              <w:rPr>
                <w:rFonts w:ascii="Arial" w:hAnsi="Arial" w:cs="Arial"/>
              </w:rPr>
              <w:t>(number of trials)</w:t>
            </w:r>
          </w:p>
        </w:tc>
        <w:tc>
          <w:tcPr>
            <w:tcW w:w="1761" w:type="dxa"/>
            <w:tcBorders>
              <w:top w:val="single" w:sz="4" w:space="0" w:color="auto"/>
              <w:left w:val="single" w:sz="4" w:space="0" w:color="auto"/>
              <w:bottom w:val="single" w:sz="4" w:space="0" w:color="auto"/>
              <w:right w:val="single" w:sz="4" w:space="0" w:color="auto"/>
            </w:tcBorders>
          </w:tcPr>
          <w:p w14:paraId="70060681" w14:textId="77777777" w:rsidR="0054762F" w:rsidRPr="00DA3918" w:rsidRDefault="0054762F" w:rsidP="0054762F">
            <w:pPr>
              <w:pStyle w:val="TableHeading"/>
              <w:ind w:left="-11" w:firstLine="11"/>
              <w:jc w:val="left"/>
              <w:rPr>
                <w:rFonts w:ascii="Arial" w:hAnsi="Arial" w:cs="Arial"/>
              </w:rPr>
            </w:pPr>
            <w:r w:rsidRPr="00DA3918">
              <w:rPr>
                <w:rFonts w:ascii="Arial" w:hAnsi="Arial" w:cs="Arial"/>
              </w:rPr>
              <w:t>Quality of evidence</w:t>
            </w:r>
          </w:p>
          <w:p w14:paraId="323464CC" w14:textId="77777777" w:rsidR="0054762F" w:rsidRPr="00DA3918" w:rsidRDefault="0054762F" w:rsidP="0054762F">
            <w:pPr>
              <w:pStyle w:val="TableHeading"/>
              <w:ind w:left="-11" w:firstLine="11"/>
              <w:jc w:val="left"/>
              <w:rPr>
                <w:rFonts w:ascii="Arial" w:hAnsi="Arial" w:cs="Arial"/>
              </w:rPr>
            </w:pPr>
            <w:r w:rsidRPr="00DA3918">
              <w:rPr>
                <w:rFonts w:ascii="Arial" w:hAnsi="Arial" w:cs="Arial"/>
              </w:rPr>
              <w:t>(GRADE</w:t>
            </w:r>
            <w:r w:rsidRPr="00DA3918">
              <w:rPr>
                <w:rFonts w:ascii="Arial" w:hAnsi="Arial" w:cs="Arial"/>
                <w:vertAlign w:val="superscript"/>
              </w:rPr>
              <w:t xml:space="preserve"> a</w:t>
            </w:r>
            <w:r w:rsidRPr="00DA3918">
              <w:rPr>
                <w:rFonts w:ascii="Arial" w:hAnsi="Arial" w:cs="Arial"/>
              </w:rPr>
              <w:t>)</w:t>
            </w:r>
          </w:p>
        </w:tc>
        <w:tc>
          <w:tcPr>
            <w:tcW w:w="1745" w:type="dxa"/>
            <w:tcBorders>
              <w:top w:val="single" w:sz="4" w:space="0" w:color="auto"/>
              <w:left w:val="single" w:sz="4" w:space="0" w:color="auto"/>
              <w:bottom w:val="single" w:sz="4" w:space="0" w:color="auto"/>
              <w:right w:val="single" w:sz="4" w:space="0" w:color="auto"/>
            </w:tcBorders>
          </w:tcPr>
          <w:p w14:paraId="1F0BA92C" w14:textId="77777777" w:rsidR="0054762F" w:rsidRPr="00DA3918" w:rsidRDefault="0054762F" w:rsidP="0054762F">
            <w:pPr>
              <w:pStyle w:val="TableHeading"/>
              <w:jc w:val="left"/>
              <w:rPr>
                <w:rFonts w:ascii="Arial" w:hAnsi="Arial" w:cs="Arial"/>
              </w:rPr>
            </w:pPr>
            <w:r w:rsidRPr="00DA3918">
              <w:rPr>
                <w:rFonts w:ascii="Arial" w:hAnsi="Arial" w:cs="Arial"/>
              </w:rPr>
              <w:t>Relative effect</w:t>
            </w:r>
          </w:p>
          <w:p w14:paraId="1D65C644" w14:textId="77777777" w:rsidR="0054762F" w:rsidRPr="00DA3918" w:rsidRDefault="0054762F" w:rsidP="0054762F">
            <w:pPr>
              <w:pStyle w:val="TableHeading"/>
              <w:ind w:left="0" w:firstLine="0"/>
              <w:jc w:val="left"/>
              <w:rPr>
                <w:rFonts w:ascii="Arial" w:hAnsi="Arial" w:cs="Arial"/>
              </w:rPr>
            </w:pPr>
            <w:r w:rsidRPr="00DA3918">
              <w:rPr>
                <w:rFonts w:ascii="Arial" w:hAnsi="Arial" w:cs="Arial"/>
              </w:rPr>
              <w:t>(95%CI)</w:t>
            </w:r>
          </w:p>
        </w:tc>
        <w:tc>
          <w:tcPr>
            <w:tcW w:w="2109" w:type="dxa"/>
            <w:tcBorders>
              <w:top w:val="single" w:sz="4" w:space="0" w:color="auto"/>
              <w:left w:val="single" w:sz="4" w:space="0" w:color="auto"/>
              <w:bottom w:val="single" w:sz="4" w:space="0" w:color="auto"/>
              <w:right w:val="single" w:sz="4" w:space="0" w:color="auto"/>
            </w:tcBorders>
          </w:tcPr>
          <w:p w14:paraId="6473EAE7" w14:textId="77777777" w:rsidR="0054762F" w:rsidRPr="00DA3918" w:rsidRDefault="0054762F" w:rsidP="0054762F">
            <w:pPr>
              <w:pStyle w:val="TableHeading"/>
              <w:ind w:left="0" w:firstLine="0"/>
              <w:jc w:val="left"/>
              <w:rPr>
                <w:rFonts w:ascii="Arial" w:hAnsi="Arial" w:cs="Arial"/>
              </w:rPr>
            </w:pPr>
            <w:r w:rsidRPr="00DA3918">
              <w:rPr>
                <w:rFonts w:ascii="Arial" w:hAnsi="Arial" w:cs="Arial"/>
              </w:rPr>
              <w:t>Comments</w:t>
            </w:r>
          </w:p>
        </w:tc>
      </w:tr>
      <w:tr w:rsidR="0054762F" w:rsidRPr="00DA3918" w14:paraId="2B3401AC" w14:textId="77777777" w:rsidTr="009612AB">
        <w:trPr>
          <w:trHeight w:val="648"/>
        </w:trPr>
        <w:tc>
          <w:tcPr>
            <w:tcW w:w="1765" w:type="dxa"/>
            <w:tcBorders>
              <w:top w:val="single" w:sz="4" w:space="0" w:color="auto"/>
              <w:left w:val="single" w:sz="4" w:space="0" w:color="auto"/>
              <w:bottom w:val="single" w:sz="4" w:space="0" w:color="auto"/>
              <w:right w:val="single" w:sz="4" w:space="0" w:color="auto"/>
            </w:tcBorders>
          </w:tcPr>
          <w:p w14:paraId="140708EA" w14:textId="77777777" w:rsidR="0054762F" w:rsidRPr="00DA3918" w:rsidRDefault="0054762F" w:rsidP="0054762F">
            <w:pPr>
              <w:spacing w:before="40" w:after="40"/>
              <w:rPr>
                <w:rFonts w:ascii="Arial" w:hAnsi="Arial" w:cs="Arial"/>
                <w:sz w:val="20"/>
              </w:rPr>
            </w:pPr>
            <w:r w:rsidRPr="00DA3918">
              <w:rPr>
                <w:rFonts w:ascii="Arial" w:hAnsi="Arial" w:cs="Arial"/>
                <w:sz w:val="20"/>
              </w:rPr>
              <w:t xml:space="preserve">CRQ – Fatigue </w:t>
            </w:r>
          </w:p>
        </w:tc>
        <w:tc>
          <w:tcPr>
            <w:tcW w:w="1800" w:type="dxa"/>
            <w:tcBorders>
              <w:top w:val="single" w:sz="4" w:space="0" w:color="auto"/>
              <w:left w:val="single" w:sz="4" w:space="0" w:color="auto"/>
              <w:bottom w:val="single" w:sz="4" w:space="0" w:color="auto"/>
              <w:right w:val="single" w:sz="4" w:space="0" w:color="auto"/>
            </w:tcBorders>
          </w:tcPr>
          <w:p w14:paraId="6CEDA969" w14:textId="77777777" w:rsidR="0054762F" w:rsidRPr="00DA3918" w:rsidRDefault="0054762F" w:rsidP="0054762F">
            <w:pPr>
              <w:spacing w:before="40" w:after="40"/>
              <w:rPr>
                <w:rFonts w:ascii="Arial" w:hAnsi="Arial" w:cs="Arial"/>
                <w:sz w:val="20"/>
              </w:rPr>
            </w:pPr>
            <w:r w:rsidRPr="00DA3918">
              <w:rPr>
                <w:rFonts w:ascii="Arial" w:hAnsi="Arial" w:cs="Arial"/>
                <w:sz w:val="20"/>
              </w:rPr>
              <w:t>702 PR / 607 control</w:t>
            </w:r>
          </w:p>
          <w:p w14:paraId="74890805" w14:textId="77777777" w:rsidR="0054762F" w:rsidRPr="00DA3918" w:rsidRDefault="0054762F" w:rsidP="0054762F">
            <w:pPr>
              <w:spacing w:before="40" w:after="40"/>
              <w:rPr>
                <w:rFonts w:ascii="Arial" w:hAnsi="Arial" w:cs="Arial"/>
                <w:sz w:val="20"/>
              </w:rPr>
            </w:pPr>
            <w:r w:rsidRPr="00DA3918">
              <w:rPr>
                <w:rFonts w:ascii="Arial" w:hAnsi="Arial" w:cs="Arial"/>
                <w:sz w:val="20"/>
              </w:rPr>
              <w:t>(19)</w:t>
            </w:r>
          </w:p>
        </w:tc>
        <w:tc>
          <w:tcPr>
            <w:tcW w:w="1761" w:type="dxa"/>
            <w:tcBorders>
              <w:top w:val="single" w:sz="4" w:space="0" w:color="auto"/>
              <w:left w:val="single" w:sz="4" w:space="0" w:color="auto"/>
              <w:bottom w:val="single" w:sz="4" w:space="0" w:color="auto"/>
              <w:right w:val="single" w:sz="4" w:space="0" w:color="auto"/>
            </w:tcBorders>
          </w:tcPr>
          <w:p w14:paraId="480590CA" w14:textId="77777777" w:rsidR="0054762F" w:rsidRPr="00DA3918" w:rsidRDefault="0054762F" w:rsidP="0054762F">
            <w:pPr>
              <w:pStyle w:val="Tabletext"/>
              <w:rPr>
                <w:rFonts w:ascii="Arial" w:hAnsi="Arial" w:cs="Arial"/>
                <w:color w:val="C00000"/>
                <w:szCs w:val="20"/>
              </w:rPr>
            </w:pPr>
            <w:r w:rsidRPr="00DA3918">
              <w:rPr>
                <w:rFonts w:ascii="Cambria Math" w:hAnsi="Cambria Math" w:cs="Cambria Math"/>
                <w:color w:val="00B050"/>
                <w:szCs w:val="20"/>
              </w:rPr>
              <w:t>⨁⨁⨁</w:t>
            </w:r>
            <w:r w:rsidRPr="00DA3918">
              <w:rPr>
                <w:rFonts w:ascii="Cambria Math" w:hAnsi="Cambria Math" w:cs="Cambria Math"/>
                <w:color w:val="C00000"/>
                <w:szCs w:val="20"/>
              </w:rPr>
              <w:t>⨀</w:t>
            </w:r>
          </w:p>
          <w:p w14:paraId="189081A8" w14:textId="77777777" w:rsidR="0054762F" w:rsidRPr="00DA3918" w:rsidRDefault="0054762F" w:rsidP="0054762F">
            <w:pPr>
              <w:pStyle w:val="Tabletext"/>
              <w:rPr>
                <w:rFonts w:ascii="Arial" w:hAnsi="Arial" w:cs="Arial"/>
                <w:b/>
                <w:szCs w:val="20"/>
              </w:rPr>
            </w:pPr>
            <w:r w:rsidRPr="00DA3918">
              <w:rPr>
                <w:rFonts w:ascii="Arial" w:hAnsi="Arial" w:cs="Arial"/>
                <w:b/>
                <w:szCs w:val="20"/>
              </w:rPr>
              <w:t>Moderate</w:t>
            </w:r>
          </w:p>
        </w:tc>
        <w:tc>
          <w:tcPr>
            <w:tcW w:w="1745" w:type="dxa"/>
            <w:tcBorders>
              <w:top w:val="single" w:sz="4" w:space="0" w:color="auto"/>
              <w:left w:val="single" w:sz="4" w:space="0" w:color="auto"/>
              <w:bottom w:val="single" w:sz="4" w:space="0" w:color="auto"/>
              <w:right w:val="single" w:sz="4" w:space="0" w:color="auto"/>
            </w:tcBorders>
          </w:tcPr>
          <w:p w14:paraId="7ACACF90" w14:textId="77777777" w:rsidR="0054762F" w:rsidRPr="00DA3918" w:rsidRDefault="0054762F" w:rsidP="0054762F">
            <w:pPr>
              <w:spacing w:before="40" w:after="40"/>
              <w:rPr>
                <w:rFonts w:ascii="Arial" w:hAnsi="Arial" w:cs="Arial"/>
                <w:sz w:val="20"/>
              </w:rPr>
            </w:pPr>
            <w:r w:rsidRPr="00DA3918">
              <w:rPr>
                <w:rFonts w:ascii="Arial" w:hAnsi="Arial" w:cs="Arial"/>
                <w:sz w:val="20"/>
              </w:rPr>
              <w:t>0.64 (0.32, 0.95)</w:t>
            </w:r>
          </w:p>
        </w:tc>
        <w:tc>
          <w:tcPr>
            <w:tcW w:w="2109" w:type="dxa"/>
            <w:tcBorders>
              <w:top w:val="single" w:sz="4" w:space="0" w:color="auto"/>
              <w:left w:val="single" w:sz="4" w:space="0" w:color="auto"/>
              <w:bottom w:val="single" w:sz="4" w:space="0" w:color="auto"/>
              <w:right w:val="single" w:sz="4" w:space="0" w:color="auto"/>
            </w:tcBorders>
          </w:tcPr>
          <w:p w14:paraId="5189B6BB" w14:textId="77777777" w:rsidR="0054762F" w:rsidRPr="00DA3918" w:rsidRDefault="0054762F" w:rsidP="0054762F">
            <w:pPr>
              <w:spacing w:before="40" w:after="40"/>
              <w:rPr>
                <w:rFonts w:ascii="Arial" w:hAnsi="Arial" w:cs="Arial"/>
                <w:sz w:val="20"/>
                <w:vertAlign w:val="superscript"/>
              </w:rPr>
            </w:pPr>
            <w:r w:rsidRPr="00DA3918">
              <w:rPr>
                <w:rFonts w:ascii="Arial" w:hAnsi="Arial" w:cs="Arial"/>
                <w:sz w:val="20"/>
                <w:vertAlign w:val="superscript"/>
              </w:rPr>
              <w:t>Mean difference exceeded MCID (statistical significance)</w:t>
            </w:r>
          </w:p>
        </w:tc>
      </w:tr>
      <w:tr w:rsidR="0054762F" w:rsidRPr="00DA3918" w14:paraId="1E913271" w14:textId="77777777" w:rsidTr="009612AB">
        <w:trPr>
          <w:trHeight w:val="533"/>
        </w:trPr>
        <w:tc>
          <w:tcPr>
            <w:tcW w:w="1765" w:type="dxa"/>
            <w:tcBorders>
              <w:top w:val="single" w:sz="4" w:space="0" w:color="auto"/>
              <w:left w:val="single" w:sz="4" w:space="0" w:color="auto"/>
              <w:bottom w:val="single" w:sz="4" w:space="0" w:color="auto"/>
              <w:right w:val="single" w:sz="4" w:space="0" w:color="auto"/>
            </w:tcBorders>
          </w:tcPr>
          <w:p w14:paraId="0530DFE1" w14:textId="77777777" w:rsidR="0054762F" w:rsidRPr="00DA3918" w:rsidRDefault="0054762F" w:rsidP="0054762F">
            <w:pPr>
              <w:spacing w:before="40" w:after="40"/>
              <w:rPr>
                <w:rFonts w:ascii="Arial" w:hAnsi="Arial" w:cs="Arial"/>
                <w:sz w:val="20"/>
              </w:rPr>
            </w:pPr>
            <w:r w:rsidRPr="00DA3918">
              <w:rPr>
                <w:rFonts w:ascii="Arial" w:hAnsi="Arial" w:cs="Arial"/>
                <w:sz w:val="20"/>
              </w:rPr>
              <w:t>CRQ – Emotional function</w:t>
            </w:r>
          </w:p>
        </w:tc>
        <w:tc>
          <w:tcPr>
            <w:tcW w:w="1800" w:type="dxa"/>
            <w:tcBorders>
              <w:top w:val="single" w:sz="4" w:space="0" w:color="auto"/>
              <w:left w:val="single" w:sz="4" w:space="0" w:color="auto"/>
              <w:bottom w:val="single" w:sz="4" w:space="0" w:color="auto"/>
              <w:right w:val="single" w:sz="4" w:space="0" w:color="auto"/>
            </w:tcBorders>
          </w:tcPr>
          <w:p w14:paraId="3F097DA6" w14:textId="77777777" w:rsidR="0054762F" w:rsidRPr="00DA3918" w:rsidRDefault="0054762F" w:rsidP="0054762F">
            <w:pPr>
              <w:spacing w:before="40" w:after="40"/>
              <w:rPr>
                <w:rFonts w:ascii="Arial" w:hAnsi="Arial" w:cs="Arial"/>
                <w:sz w:val="20"/>
              </w:rPr>
            </w:pPr>
            <w:r w:rsidRPr="00DA3918">
              <w:rPr>
                <w:rFonts w:ascii="Arial" w:hAnsi="Arial" w:cs="Arial"/>
                <w:sz w:val="20"/>
              </w:rPr>
              <w:t>702 PR / 607 control</w:t>
            </w:r>
          </w:p>
          <w:p w14:paraId="6A262B02" w14:textId="77777777" w:rsidR="0054762F" w:rsidRPr="00DA3918" w:rsidRDefault="0054762F" w:rsidP="0054762F">
            <w:pPr>
              <w:spacing w:before="40" w:after="40"/>
              <w:rPr>
                <w:rFonts w:ascii="Arial" w:hAnsi="Arial" w:cs="Arial"/>
                <w:sz w:val="20"/>
              </w:rPr>
            </w:pPr>
            <w:r w:rsidRPr="00DA3918">
              <w:rPr>
                <w:rFonts w:ascii="Arial" w:hAnsi="Arial" w:cs="Arial"/>
                <w:sz w:val="20"/>
              </w:rPr>
              <w:t>(19)</w:t>
            </w:r>
          </w:p>
        </w:tc>
        <w:tc>
          <w:tcPr>
            <w:tcW w:w="1761" w:type="dxa"/>
            <w:tcBorders>
              <w:top w:val="single" w:sz="4" w:space="0" w:color="auto"/>
              <w:left w:val="single" w:sz="4" w:space="0" w:color="auto"/>
              <w:bottom w:val="single" w:sz="4" w:space="0" w:color="auto"/>
              <w:right w:val="single" w:sz="4" w:space="0" w:color="auto"/>
            </w:tcBorders>
          </w:tcPr>
          <w:p w14:paraId="554CE688" w14:textId="77777777" w:rsidR="0054762F" w:rsidRPr="00DA3918" w:rsidRDefault="0054762F" w:rsidP="0054762F">
            <w:pPr>
              <w:pStyle w:val="Tabletext"/>
              <w:rPr>
                <w:rFonts w:ascii="Arial" w:hAnsi="Arial" w:cs="Arial"/>
                <w:color w:val="C00000"/>
                <w:szCs w:val="20"/>
              </w:rPr>
            </w:pPr>
            <w:r w:rsidRPr="00DA3918">
              <w:rPr>
                <w:rFonts w:ascii="Cambria Math" w:hAnsi="Cambria Math" w:cs="Cambria Math"/>
                <w:color w:val="00B050"/>
                <w:szCs w:val="20"/>
              </w:rPr>
              <w:t>⨁⨁⨁</w:t>
            </w:r>
            <w:r w:rsidRPr="00DA3918">
              <w:rPr>
                <w:rFonts w:ascii="Cambria Math" w:hAnsi="Cambria Math" w:cs="Cambria Math"/>
                <w:color w:val="C00000"/>
                <w:szCs w:val="20"/>
              </w:rPr>
              <w:t>⨀</w:t>
            </w:r>
          </w:p>
          <w:p w14:paraId="0234E473" w14:textId="77777777" w:rsidR="0054762F" w:rsidRPr="00DA3918" w:rsidRDefault="0054762F" w:rsidP="0054762F">
            <w:pPr>
              <w:pStyle w:val="Tabletext"/>
              <w:rPr>
                <w:rFonts w:ascii="Arial" w:hAnsi="Arial" w:cs="Arial"/>
                <w:szCs w:val="20"/>
              </w:rPr>
            </w:pPr>
            <w:r w:rsidRPr="00DA3918">
              <w:rPr>
                <w:rFonts w:ascii="Arial" w:hAnsi="Arial" w:cs="Arial"/>
                <w:b/>
                <w:szCs w:val="20"/>
              </w:rPr>
              <w:t>Moderate</w:t>
            </w:r>
          </w:p>
        </w:tc>
        <w:tc>
          <w:tcPr>
            <w:tcW w:w="1745" w:type="dxa"/>
            <w:tcBorders>
              <w:top w:val="single" w:sz="4" w:space="0" w:color="auto"/>
              <w:left w:val="single" w:sz="4" w:space="0" w:color="auto"/>
              <w:bottom w:val="single" w:sz="4" w:space="0" w:color="auto"/>
              <w:right w:val="single" w:sz="4" w:space="0" w:color="auto"/>
            </w:tcBorders>
          </w:tcPr>
          <w:p w14:paraId="422CB89D" w14:textId="77777777" w:rsidR="0054762F" w:rsidRPr="00DA3918" w:rsidRDefault="0054762F" w:rsidP="0054762F">
            <w:pPr>
              <w:spacing w:before="40" w:after="40"/>
              <w:rPr>
                <w:rFonts w:ascii="Arial" w:hAnsi="Arial" w:cs="Arial"/>
                <w:sz w:val="20"/>
              </w:rPr>
            </w:pPr>
            <w:r w:rsidRPr="00DA3918">
              <w:rPr>
                <w:rFonts w:ascii="Arial" w:hAnsi="Arial" w:cs="Arial"/>
                <w:sz w:val="20"/>
              </w:rPr>
              <w:t>0.72 (0.25, 1.20)</w:t>
            </w:r>
          </w:p>
        </w:tc>
        <w:tc>
          <w:tcPr>
            <w:tcW w:w="2109" w:type="dxa"/>
            <w:tcBorders>
              <w:top w:val="single" w:sz="4" w:space="0" w:color="auto"/>
              <w:left w:val="single" w:sz="4" w:space="0" w:color="auto"/>
              <w:bottom w:val="single" w:sz="4" w:space="0" w:color="auto"/>
              <w:right w:val="single" w:sz="4" w:space="0" w:color="auto"/>
            </w:tcBorders>
          </w:tcPr>
          <w:p w14:paraId="48B338A7" w14:textId="77777777" w:rsidR="0054762F" w:rsidRPr="00DA3918" w:rsidRDefault="0054762F" w:rsidP="0054762F">
            <w:pPr>
              <w:spacing w:before="40" w:after="40"/>
              <w:rPr>
                <w:rFonts w:ascii="Arial" w:hAnsi="Arial" w:cs="Arial"/>
                <w:sz w:val="20"/>
                <w:vertAlign w:val="superscript"/>
              </w:rPr>
            </w:pPr>
            <w:r w:rsidRPr="00DA3918">
              <w:rPr>
                <w:rFonts w:ascii="Arial" w:hAnsi="Arial" w:cs="Arial"/>
                <w:sz w:val="20"/>
                <w:vertAlign w:val="superscript"/>
              </w:rPr>
              <w:t>Mean difference exceeded MCID (statistical significance)</w:t>
            </w:r>
          </w:p>
        </w:tc>
      </w:tr>
      <w:tr w:rsidR="0054762F" w:rsidRPr="00DA3918" w14:paraId="1B4B44FE" w14:textId="77777777" w:rsidTr="009612AB">
        <w:trPr>
          <w:trHeight w:val="856"/>
        </w:trPr>
        <w:tc>
          <w:tcPr>
            <w:tcW w:w="1765" w:type="dxa"/>
            <w:tcBorders>
              <w:top w:val="single" w:sz="4" w:space="0" w:color="auto"/>
              <w:left w:val="single" w:sz="4" w:space="0" w:color="auto"/>
              <w:bottom w:val="single" w:sz="4" w:space="0" w:color="auto"/>
              <w:right w:val="single" w:sz="4" w:space="0" w:color="auto"/>
            </w:tcBorders>
          </w:tcPr>
          <w:p w14:paraId="4348CF60" w14:textId="77777777" w:rsidR="0054762F" w:rsidRPr="00DA3918" w:rsidRDefault="0054762F" w:rsidP="0054762F">
            <w:pPr>
              <w:spacing w:before="40" w:after="40"/>
              <w:rPr>
                <w:rFonts w:ascii="Arial" w:hAnsi="Arial" w:cs="Arial"/>
                <w:sz w:val="20"/>
              </w:rPr>
            </w:pPr>
            <w:r w:rsidRPr="00DA3918">
              <w:rPr>
                <w:rFonts w:ascii="Arial" w:hAnsi="Arial" w:cs="Arial"/>
                <w:sz w:val="20"/>
              </w:rPr>
              <w:t>CRQ – Dyspnoea</w:t>
            </w:r>
          </w:p>
        </w:tc>
        <w:tc>
          <w:tcPr>
            <w:tcW w:w="1800" w:type="dxa"/>
            <w:tcBorders>
              <w:top w:val="single" w:sz="4" w:space="0" w:color="auto"/>
              <w:left w:val="single" w:sz="4" w:space="0" w:color="auto"/>
              <w:bottom w:val="single" w:sz="4" w:space="0" w:color="auto"/>
              <w:right w:val="single" w:sz="4" w:space="0" w:color="auto"/>
            </w:tcBorders>
          </w:tcPr>
          <w:p w14:paraId="5B4863CD" w14:textId="77777777" w:rsidR="0054762F" w:rsidRPr="00DA3918" w:rsidRDefault="0054762F" w:rsidP="0054762F">
            <w:pPr>
              <w:spacing w:before="40" w:after="40"/>
              <w:rPr>
                <w:rFonts w:ascii="Arial" w:hAnsi="Arial" w:cs="Arial"/>
                <w:sz w:val="20"/>
              </w:rPr>
            </w:pPr>
            <w:r w:rsidRPr="00DA3918">
              <w:rPr>
                <w:rFonts w:ascii="Arial" w:hAnsi="Arial" w:cs="Arial"/>
                <w:sz w:val="20"/>
              </w:rPr>
              <w:t>702 PR / 607 control</w:t>
            </w:r>
          </w:p>
          <w:p w14:paraId="032985B8" w14:textId="77777777" w:rsidR="0054762F" w:rsidRPr="00DA3918" w:rsidRDefault="0054762F" w:rsidP="0054762F">
            <w:pPr>
              <w:spacing w:before="40" w:after="40"/>
              <w:rPr>
                <w:rFonts w:ascii="Arial" w:hAnsi="Arial" w:cs="Arial"/>
                <w:sz w:val="20"/>
              </w:rPr>
            </w:pPr>
            <w:r w:rsidRPr="00DA3918">
              <w:rPr>
                <w:rFonts w:ascii="Arial" w:hAnsi="Arial" w:cs="Arial"/>
                <w:sz w:val="20"/>
              </w:rPr>
              <w:t>(19)</w:t>
            </w:r>
          </w:p>
        </w:tc>
        <w:tc>
          <w:tcPr>
            <w:tcW w:w="1761" w:type="dxa"/>
            <w:tcBorders>
              <w:top w:val="single" w:sz="4" w:space="0" w:color="auto"/>
              <w:left w:val="single" w:sz="4" w:space="0" w:color="auto"/>
              <w:bottom w:val="single" w:sz="4" w:space="0" w:color="auto"/>
              <w:right w:val="single" w:sz="4" w:space="0" w:color="auto"/>
            </w:tcBorders>
          </w:tcPr>
          <w:p w14:paraId="6AFB99F1" w14:textId="77777777" w:rsidR="0054762F" w:rsidRPr="00DA3918" w:rsidRDefault="0054762F" w:rsidP="0054762F">
            <w:pPr>
              <w:pStyle w:val="Tabletext"/>
              <w:rPr>
                <w:rFonts w:ascii="Arial" w:hAnsi="Arial" w:cs="Arial"/>
                <w:color w:val="C00000"/>
                <w:szCs w:val="20"/>
              </w:rPr>
            </w:pPr>
            <w:r w:rsidRPr="00DA3918">
              <w:rPr>
                <w:rFonts w:ascii="Cambria Math" w:hAnsi="Cambria Math" w:cs="Cambria Math"/>
                <w:color w:val="00B050"/>
                <w:szCs w:val="20"/>
              </w:rPr>
              <w:t>⨁⨁⨁</w:t>
            </w:r>
            <w:r w:rsidRPr="00DA3918">
              <w:rPr>
                <w:rFonts w:ascii="Cambria Math" w:hAnsi="Cambria Math" w:cs="Cambria Math"/>
                <w:color w:val="C00000"/>
                <w:szCs w:val="20"/>
              </w:rPr>
              <w:t>⨀</w:t>
            </w:r>
          </w:p>
          <w:p w14:paraId="514D91F0" w14:textId="77777777" w:rsidR="0054762F" w:rsidRPr="00DA3918" w:rsidRDefault="0054762F" w:rsidP="0054762F">
            <w:pPr>
              <w:pStyle w:val="Tabletext"/>
              <w:rPr>
                <w:rFonts w:ascii="Arial" w:hAnsi="Arial" w:cs="Arial"/>
                <w:szCs w:val="20"/>
              </w:rPr>
            </w:pPr>
            <w:r w:rsidRPr="00DA3918">
              <w:rPr>
                <w:rFonts w:ascii="Arial" w:hAnsi="Arial" w:cs="Arial"/>
                <w:b/>
                <w:szCs w:val="20"/>
              </w:rPr>
              <w:t>Moderate</w:t>
            </w:r>
          </w:p>
        </w:tc>
        <w:tc>
          <w:tcPr>
            <w:tcW w:w="1745" w:type="dxa"/>
            <w:tcBorders>
              <w:top w:val="single" w:sz="4" w:space="0" w:color="auto"/>
              <w:left w:val="single" w:sz="4" w:space="0" w:color="auto"/>
              <w:bottom w:val="single" w:sz="4" w:space="0" w:color="auto"/>
              <w:right w:val="single" w:sz="4" w:space="0" w:color="auto"/>
            </w:tcBorders>
          </w:tcPr>
          <w:p w14:paraId="27E4776F" w14:textId="77777777" w:rsidR="0054762F" w:rsidRPr="00DA3918" w:rsidRDefault="0054762F" w:rsidP="0054762F">
            <w:pPr>
              <w:spacing w:before="40" w:after="40"/>
              <w:rPr>
                <w:rFonts w:ascii="Arial" w:hAnsi="Arial" w:cs="Arial"/>
                <w:sz w:val="20"/>
              </w:rPr>
            </w:pPr>
            <w:r w:rsidRPr="00DA3918">
              <w:rPr>
                <w:rFonts w:ascii="Arial" w:hAnsi="Arial" w:cs="Arial"/>
                <w:sz w:val="20"/>
              </w:rPr>
              <w:t>0.82 (0.63, 1.02)</w:t>
            </w:r>
          </w:p>
        </w:tc>
        <w:tc>
          <w:tcPr>
            <w:tcW w:w="2109" w:type="dxa"/>
            <w:tcBorders>
              <w:top w:val="single" w:sz="4" w:space="0" w:color="auto"/>
              <w:left w:val="single" w:sz="4" w:space="0" w:color="auto"/>
              <w:bottom w:val="single" w:sz="4" w:space="0" w:color="auto"/>
              <w:right w:val="single" w:sz="4" w:space="0" w:color="auto"/>
            </w:tcBorders>
          </w:tcPr>
          <w:p w14:paraId="02C6AF99" w14:textId="77777777" w:rsidR="0054762F" w:rsidRPr="00DA3918" w:rsidRDefault="0054762F" w:rsidP="0054762F">
            <w:pPr>
              <w:spacing w:before="40" w:after="40"/>
              <w:rPr>
                <w:rFonts w:ascii="Arial" w:hAnsi="Arial" w:cs="Arial"/>
                <w:sz w:val="20"/>
                <w:vertAlign w:val="superscript"/>
              </w:rPr>
            </w:pPr>
            <w:r w:rsidRPr="00DA3918">
              <w:rPr>
                <w:rFonts w:ascii="Arial" w:hAnsi="Arial" w:cs="Arial"/>
                <w:sz w:val="20"/>
                <w:vertAlign w:val="superscript"/>
              </w:rPr>
              <w:t>Mean difference and lower limit of CI exceeded MCID (statistical and clinical significance)</w:t>
            </w:r>
          </w:p>
        </w:tc>
      </w:tr>
      <w:tr w:rsidR="0054762F" w:rsidRPr="00DA3918" w14:paraId="12653754" w14:textId="77777777" w:rsidTr="009612AB">
        <w:trPr>
          <w:trHeight w:val="828"/>
        </w:trPr>
        <w:tc>
          <w:tcPr>
            <w:tcW w:w="1765" w:type="dxa"/>
            <w:tcBorders>
              <w:top w:val="single" w:sz="4" w:space="0" w:color="auto"/>
              <w:left w:val="single" w:sz="4" w:space="0" w:color="auto"/>
              <w:bottom w:val="single" w:sz="4" w:space="0" w:color="auto"/>
              <w:right w:val="single" w:sz="4" w:space="0" w:color="auto"/>
            </w:tcBorders>
          </w:tcPr>
          <w:p w14:paraId="31A297E6" w14:textId="77777777" w:rsidR="0054762F" w:rsidRPr="00DA3918" w:rsidRDefault="0054762F" w:rsidP="0054762F">
            <w:pPr>
              <w:spacing w:before="40" w:after="40"/>
              <w:rPr>
                <w:rFonts w:ascii="Arial" w:hAnsi="Arial" w:cs="Arial"/>
                <w:sz w:val="20"/>
              </w:rPr>
            </w:pPr>
            <w:r w:rsidRPr="00DA3918">
              <w:rPr>
                <w:rFonts w:ascii="Arial" w:hAnsi="Arial" w:cs="Arial"/>
                <w:sz w:val="20"/>
              </w:rPr>
              <w:t xml:space="preserve">SGRQ – Total </w:t>
            </w:r>
          </w:p>
        </w:tc>
        <w:tc>
          <w:tcPr>
            <w:tcW w:w="1800" w:type="dxa"/>
            <w:tcBorders>
              <w:top w:val="single" w:sz="4" w:space="0" w:color="auto"/>
              <w:left w:val="single" w:sz="4" w:space="0" w:color="auto"/>
              <w:bottom w:val="single" w:sz="4" w:space="0" w:color="auto"/>
              <w:right w:val="single" w:sz="4" w:space="0" w:color="auto"/>
            </w:tcBorders>
          </w:tcPr>
          <w:p w14:paraId="45AA11F2" w14:textId="77777777" w:rsidR="0054762F" w:rsidRPr="00DA3918" w:rsidRDefault="0054762F" w:rsidP="0054762F">
            <w:pPr>
              <w:spacing w:before="40" w:after="40"/>
              <w:rPr>
                <w:rFonts w:ascii="Arial" w:hAnsi="Arial" w:cs="Arial"/>
                <w:sz w:val="20"/>
              </w:rPr>
            </w:pPr>
            <w:r w:rsidRPr="00DA3918">
              <w:rPr>
                <w:rFonts w:ascii="Arial" w:hAnsi="Arial" w:cs="Arial"/>
                <w:sz w:val="20"/>
              </w:rPr>
              <w:t>683 PR / 616 control</w:t>
            </w:r>
          </w:p>
          <w:p w14:paraId="287F3E04" w14:textId="77777777" w:rsidR="0054762F" w:rsidRPr="00DA3918" w:rsidRDefault="0054762F" w:rsidP="0054762F">
            <w:pPr>
              <w:spacing w:before="40" w:after="40"/>
              <w:rPr>
                <w:rFonts w:ascii="Arial" w:hAnsi="Arial" w:cs="Arial"/>
                <w:sz w:val="20"/>
              </w:rPr>
            </w:pPr>
            <w:r w:rsidRPr="00DA3918">
              <w:rPr>
                <w:rFonts w:ascii="Arial" w:hAnsi="Arial" w:cs="Arial"/>
                <w:sz w:val="20"/>
              </w:rPr>
              <w:t>(18)</w:t>
            </w:r>
          </w:p>
        </w:tc>
        <w:tc>
          <w:tcPr>
            <w:tcW w:w="1761" w:type="dxa"/>
            <w:tcBorders>
              <w:top w:val="single" w:sz="4" w:space="0" w:color="auto"/>
              <w:left w:val="single" w:sz="4" w:space="0" w:color="auto"/>
              <w:bottom w:val="single" w:sz="4" w:space="0" w:color="auto"/>
              <w:right w:val="single" w:sz="4" w:space="0" w:color="auto"/>
            </w:tcBorders>
          </w:tcPr>
          <w:p w14:paraId="347AF5C6" w14:textId="77777777" w:rsidR="0054762F" w:rsidRPr="00DA3918" w:rsidRDefault="0054762F" w:rsidP="0054762F">
            <w:pPr>
              <w:pStyle w:val="Tabletext"/>
              <w:rPr>
                <w:rFonts w:ascii="Arial" w:hAnsi="Arial" w:cs="Arial"/>
                <w:color w:val="C00000"/>
                <w:szCs w:val="20"/>
              </w:rPr>
            </w:pPr>
            <w:r w:rsidRPr="00DA3918">
              <w:rPr>
                <w:rFonts w:ascii="Cambria Math" w:hAnsi="Cambria Math" w:cs="Cambria Math"/>
                <w:color w:val="00B050"/>
                <w:szCs w:val="20"/>
              </w:rPr>
              <w:t>⨁⨁⨁</w:t>
            </w:r>
            <w:r w:rsidRPr="00DA3918">
              <w:rPr>
                <w:rFonts w:ascii="Cambria Math" w:hAnsi="Cambria Math" w:cs="Cambria Math"/>
                <w:color w:val="C00000"/>
                <w:szCs w:val="20"/>
              </w:rPr>
              <w:t>⨀</w:t>
            </w:r>
          </w:p>
          <w:p w14:paraId="6C3369FE" w14:textId="77777777" w:rsidR="0054762F" w:rsidRPr="00DA3918" w:rsidRDefault="0054762F" w:rsidP="0054762F">
            <w:pPr>
              <w:pStyle w:val="Tabletext"/>
              <w:rPr>
                <w:rFonts w:ascii="Arial" w:hAnsi="Arial" w:cs="Arial"/>
                <w:szCs w:val="20"/>
              </w:rPr>
            </w:pPr>
            <w:r w:rsidRPr="00DA3918">
              <w:rPr>
                <w:rFonts w:ascii="Arial" w:hAnsi="Arial" w:cs="Arial"/>
                <w:b/>
                <w:szCs w:val="20"/>
              </w:rPr>
              <w:t>Moderate</w:t>
            </w:r>
          </w:p>
        </w:tc>
        <w:tc>
          <w:tcPr>
            <w:tcW w:w="1745" w:type="dxa"/>
            <w:tcBorders>
              <w:top w:val="single" w:sz="4" w:space="0" w:color="auto"/>
              <w:left w:val="single" w:sz="4" w:space="0" w:color="auto"/>
              <w:bottom w:val="single" w:sz="4" w:space="0" w:color="auto"/>
              <w:right w:val="single" w:sz="4" w:space="0" w:color="auto"/>
            </w:tcBorders>
          </w:tcPr>
          <w:p w14:paraId="0B7636E7" w14:textId="77777777" w:rsidR="0054762F" w:rsidRPr="00DA3918" w:rsidRDefault="0054762F" w:rsidP="0054762F">
            <w:pPr>
              <w:spacing w:before="40" w:after="40"/>
              <w:rPr>
                <w:rFonts w:ascii="Arial" w:hAnsi="Arial" w:cs="Arial"/>
                <w:sz w:val="20"/>
              </w:rPr>
            </w:pPr>
            <w:r w:rsidRPr="00DA3918">
              <w:rPr>
                <w:rFonts w:ascii="Arial" w:hAnsi="Arial" w:cs="Arial"/>
                <w:sz w:val="20"/>
              </w:rPr>
              <w:t>-6.83 (-8.75, -4.91)</w:t>
            </w:r>
          </w:p>
        </w:tc>
        <w:tc>
          <w:tcPr>
            <w:tcW w:w="2109" w:type="dxa"/>
            <w:tcBorders>
              <w:top w:val="single" w:sz="4" w:space="0" w:color="auto"/>
              <w:left w:val="single" w:sz="4" w:space="0" w:color="auto"/>
              <w:bottom w:val="single" w:sz="4" w:space="0" w:color="auto"/>
              <w:right w:val="single" w:sz="4" w:space="0" w:color="auto"/>
            </w:tcBorders>
          </w:tcPr>
          <w:p w14:paraId="5124F8AF" w14:textId="77777777" w:rsidR="0054762F" w:rsidRPr="00DA3918" w:rsidRDefault="0054762F" w:rsidP="0054762F">
            <w:pPr>
              <w:spacing w:before="40" w:after="40"/>
              <w:rPr>
                <w:rFonts w:ascii="Arial" w:hAnsi="Arial" w:cs="Arial"/>
                <w:sz w:val="20"/>
                <w:vertAlign w:val="superscript"/>
              </w:rPr>
            </w:pPr>
            <w:r w:rsidRPr="00DA3918">
              <w:rPr>
                <w:rFonts w:ascii="Arial" w:hAnsi="Arial" w:cs="Arial"/>
                <w:sz w:val="20"/>
                <w:vertAlign w:val="superscript"/>
              </w:rPr>
              <w:t>Mean difference and lower limit of CI exceeded MCID (statistical and clinical significance)</w:t>
            </w:r>
          </w:p>
        </w:tc>
      </w:tr>
      <w:tr w:rsidR="0054762F" w:rsidRPr="00DA3918" w14:paraId="727A134F" w14:textId="77777777" w:rsidTr="009612AB">
        <w:trPr>
          <w:trHeight w:val="960"/>
        </w:trPr>
        <w:tc>
          <w:tcPr>
            <w:tcW w:w="1765" w:type="dxa"/>
            <w:tcBorders>
              <w:top w:val="single" w:sz="4" w:space="0" w:color="auto"/>
              <w:left w:val="single" w:sz="4" w:space="0" w:color="auto"/>
              <w:bottom w:val="single" w:sz="4" w:space="0" w:color="auto"/>
              <w:right w:val="single" w:sz="4" w:space="0" w:color="auto"/>
            </w:tcBorders>
          </w:tcPr>
          <w:p w14:paraId="50085E9E" w14:textId="77777777" w:rsidR="0054762F" w:rsidRPr="00DA3918" w:rsidRDefault="0054762F" w:rsidP="0054762F">
            <w:pPr>
              <w:spacing w:before="40" w:after="40"/>
              <w:rPr>
                <w:rFonts w:ascii="Arial" w:hAnsi="Arial" w:cs="Arial"/>
                <w:sz w:val="20"/>
              </w:rPr>
            </w:pPr>
            <w:r w:rsidRPr="00DA3918">
              <w:rPr>
                <w:rFonts w:ascii="Arial" w:hAnsi="Arial" w:cs="Arial"/>
                <w:sz w:val="20"/>
              </w:rPr>
              <w:t xml:space="preserve">6MWT </w:t>
            </w:r>
          </w:p>
        </w:tc>
        <w:tc>
          <w:tcPr>
            <w:tcW w:w="1800" w:type="dxa"/>
            <w:tcBorders>
              <w:top w:val="single" w:sz="4" w:space="0" w:color="auto"/>
              <w:left w:val="single" w:sz="4" w:space="0" w:color="auto"/>
              <w:bottom w:val="single" w:sz="4" w:space="0" w:color="auto"/>
              <w:right w:val="single" w:sz="4" w:space="0" w:color="auto"/>
            </w:tcBorders>
          </w:tcPr>
          <w:p w14:paraId="6C22A9B7" w14:textId="77777777" w:rsidR="0054762F" w:rsidRPr="00DA3918" w:rsidRDefault="0054762F" w:rsidP="0054762F">
            <w:pPr>
              <w:spacing w:before="40" w:after="40"/>
              <w:rPr>
                <w:rFonts w:ascii="Arial" w:hAnsi="Arial" w:cs="Arial"/>
                <w:sz w:val="20"/>
              </w:rPr>
            </w:pPr>
            <w:r w:rsidRPr="00DA3918">
              <w:rPr>
                <w:rFonts w:ascii="Arial" w:hAnsi="Arial" w:cs="Arial"/>
                <w:sz w:val="20"/>
              </w:rPr>
              <w:t>1682 PR / 865 control</w:t>
            </w:r>
          </w:p>
          <w:p w14:paraId="08D5B4EA" w14:textId="77777777" w:rsidR="0054762F" w:rsidRPr="00DA3918" w:rsidRDefault="0054762F" w:rsidP="0054762F">
            <w:pPr>
              <w:spacing w:before="40" w:after="40"/>
              <w:rPr>
                <w:rFonts w:ascii="Arial" w:hAnsi="Arial" w:cs="Arial"/>
                <w:sz w:val="20"/>
              </w:rPr>
            </w:pPr>
            <w:r w:rsidRPr="00DA3918">
              <w:rPr>
                <w:rFonts w:ascii="Arial" w:hAnsi="Arial" w:cs="Arial"/>
                <w:sz w:val="20"/>
              </w:rPr>
              <w:t>(35)</w:t>
            </w:r>
          </w:p>
        </w:tc>
        <w:tc>
          <w:tcPr>
            <w:tcW w:w="1761" w:type="dxa"/>
            <w:tcBorders>
              <w:top w:val="single" w:sz="4" w:space="0" w:color="auto"/>
              <w:left w:val="single" w:sz="4" w:space="0" w:color="auto"/>
              <w:bottom w:val="single" w:sz="4" w:space="0" w:color="auto"/>
              <w:right w:val="single" w:sz="4" w:space="0" w:color="auto"/>
            </w:tcBorders>
          </w:tcPr>
          <w:p w14:paraId="098A29FC" w14:textId="77777777" w:rsidR="0054762F" w:rsidRPr="00DA3918" w:rsidRDefault="0054762F" w:rsidP="0054762F">
            <w:pPr>
              <w:pStyle w:val="Tabletext"/>
              <w:rPr>
                <w:rFonts w:ascii="Arial" w:hAnsi="Arial" w:cs="Arial"/>
                <w:color w:val="C00000"/>
                <w:szCs w:val="20"/>
              </w:rPr>
            </w:pPr>
            <w:r w:rsidRPr="00DA3918">
              <w:rPr>
                <w:rFonts w:ascii="Cambria Math" w:hAnsi="Cambria Math" w:cs="Cambria Math"/>
                <w:color w:val="00B050"/>
                <w:szCs w:val="20"/>
              </w:rPr>
              <w:t>⨁⨁</w:t>
            </w:r>
            <w:r w:rsidRPr="00DA3918">
              <w:rPr>
                <w:rFonts w:ascii="Cambria Math" w:hAnsi="Cambria Math" w:cs="Cambria Math"/>
                <w:color w:val="C00000"/>
                <w:szCs w:val="20"/>
              </w:rPr>
              <w:t>⨀⨀</w:t>
            </w:r>
          </w:p>
          <w:p w14:paraId="14796C23" w14:textId="77777777" w:rsidR="0054762F" w:rsidRPr="00DA3918" w:rsidRDefault="0054762F" w:rsidP="0054762F">
            <w:pPr>
              <w:pStyle w:val="Tabletext"/>
              <w:rPr>
                <w:rFonts w:ascii="Arial" w:hAnsi="Arial" w:cs="Arial"/>
                <w:szCs w:val="20"/>
              </w:rPr>
            </w:pPr>
            <w:r w:rsidRPr="00DA3918">
              <w:rPr>
                <w:rFonts w:ascii="Arial" w:hAnsi="Arial" w:cs="Arial"/>
                <w:b/>
                <w:szCs w:val="20"/>
              </w:rPr>
              <w:t>Low</w:t>
            </w:r>
          </w:p>
        </w:tc>
        <w:tc>
          <w:tcPr>
            <w:tcW w:w="1745" w:type="dxa"/>
            <w:tcBorders>
              <w:top w:val="single" w:sz="4" w:space="0" w:color="auto"/>
              <w:left w:val="single" w:sz="4" w:space="0" w:color="auto"/>
              <w:bottom w:val="single" w:sz="4" w:space="0" w:color="auto"/>
              <w:right w:val="single" w:sz="4" w:space="0" w:color="auto"/>
            </w:tcBorders>
          </w:tcPr>
          <w:p w14:paraId="1136280D" w14:textId="77777777" w:rsidR="0054762F" w:rsidRPr="00DA3918" w:rsidRDefault="0054762F" w:rsidP="0054762F">
            <w:pPr>
              <w:spacing w:before="40" w:after="40"/>
              <w:rPr>
                <w:rFonts w:ascii="Arial" w:hAnsi="Arial" w:cs="Arial"/>
                <w:sz w:val="20"/>
              </w:rPr>
            </w:pPr>
            <w:r w:rsidRPr="00DA3918">
              <w:rPr>
                <w:rFonts w:ascii="Arial" w:hAnsi="Arial" w:cs="Arial"/>
                <w:sz w:val="20"/>
              </w:rPr>
              <w:t>43.95 (31.37, 56.54)</w:t>
            </w:r>
          </w:p>
        </w:tc>
        <w:tc>
          <w:tcPr>
            <w:tcW w:w="2109" w:type="dxa"/>
            <w:tcBorders>
              <w:top w:val="single" w:sz="4" w:space="0" w:color="auto"/>
              <w:left w:val="single" w:sz="4" w:space="0" w:color="auto"/>
              <w:bottom w:val="single" w:sz="4" w:space="0" w:color="auto"/>
              <w:right w:val="single" w:sz="4" w:space="0" w:color="auto"/>
            </w:tcBorders>
          </w:tcPr>
          <w:p w14:paraId="65AB2A13" w14:textId="77777777" w:rsidR="0054762F" w:rsidRPr="00DA3918" w:rsidRDefault="0054762F" w:rsidP="0054762F">
            <w:pPr>
              <w:spacing w:before="40" w:after="40"/>
              <w:rPr>
                <w:rFonts w:ascii="Arial" w:hAnsi="Arial" w:cs="Arial"/>
                <w:sz w:val="20"/>
                <w:vertAlign w:val="superscript"/>
              </w:rPr>
            </w:pPr>
            <w:r w:rsidRPr="00DA3918">
              <w:rPr>
                <w:rFonts w:ascii="Arial" w:hAnsi="Arial" w:cs="Arial"/>
                <w:sz w:val="20"/>
                <w:vertAlign w:val="superscript"/>
              </w:rPr>
              <w:t>Mean difference and lower limit of CI exceeded MCID (statistical and clinical significance)</w:t>
            </w:r>
          </w:p>
        </w:tc>
      </w:tr>
    </w:tbl>
    <w:p w14:paraId="5043B9EE" w14:textId="77777777" w:rsidR="0054762F" w:rsidRPr="00E63369" w:rsidRDefault="0054762F" w:rsidP="0054762F">
      <w:pPr>
        <w:rPr>
          <w:rFonts w:ascii="Arial" w:hAnsi="Arial" w:cs="Arial"/>
          <w:sz w:val="16"/>
          <w:szCs w:val="16"/>
        </w:rPr>
      </w:pPr>
      <w:r w:rsidRPr="009612AB">
        <w:rPr>
          <w:rFonts w:ascii="Arial" w:hAnsi="Arial" w:cs="Arial"/>
          <w:sz w:val="16"/>
          <w:szCs w:val="16"/>
          <w:vertAlign w:val="superscript"/>
        </w:rPr>
        <w:t xml:space="preserve">a </w:t>
      </w:r>
      <w:r w:rsidRPr="009612AB">
        <w:rPr>
          <w:rFonts w:ascii="Arial" w:hAnsi="Arial" w:cs="Arial"/>
          <w:sz w:val="16"/>
          <w:szCs w:val="16"/>
        </w:rPr>
        <w:t>GRADE Working Group grades of evidence (Guyatt et al., 2013)</w:t>
      </w:r>
      <w:r w:rsidRPr="009612AB">
        <w:rPr>
          <w:rFonts w:ascii="Arial" w:hAnsi="Arial" w:cs="Arial"/>
          <w:sz w:val="16"/>
          <w:szCs w:val="16"/>
        </w:rPr>
        <w:br/>
      </w:r>
      <w:r w:rsidRPr="009612AB">
        <w:rPr>
          <w:rFonts w:ascii="Cambria Math" w:hAnsi="Cambria Math" w:cs="Cambria Math"/>
          <w:color w:val="00B050"/>
          <w:sz w:val="16"/>
          <w:szCs w:val="16"/>
        </w:rPr>
        <w:t>⨁⨁⨁⨁</w:t>
      </w:r>
      <w:r w:rsidRPr="009612AB">
        <w:rPr>
          <w:rFonts w:ascii="Arial" w:hAnsi="Arial" w:cs="Arial"/>
          <w:color w:val="00B050"/>
          <w:sz w:val="16"/>
          <w:szCs w:val="16"/>
        </w:rPr>
        <w:t xml:space="preserve"> </w:t>
      </w:r>
      <w:r w:rsidRPr="009612AB">
        <w:rPr>
          <w:rFonts w:ascii="Arial" w:hAnsi="Arial" w:cs="Arial"/>
          <w:b/>
          <w:bCs/>
          <w:sz w:val="16"/>
          <w:szCs w:val="16"/>
        </w:rPr>
        <w:t>High quality:</w:t>
      </w:r>
      <w:r w:rsidRPr="009612AB">
        <w:rPr>
          <w:rFonts w:ascii="Arial" w:hAnsi="Arial" w:cs="Arial"/>
          <w:sz w:val="16"/>
          <w:szCs w:val="16"/>
        </w:rPr>
        <w:t xml:space="preserve"> We are very confident that the true effect lies close to that of the estimated effect. </w:t>
      </w:r>
      <w:r w:rsidRPr="009612AB">
        <w:rPr>
          <w:rFonts w:ascii="Arial" w:hAnsi="Arial" w:cs="Arial"/>
          <w:sz w:val="16"/>
          <w:szCs w:val="16"/>
        </w:rPr>
        <w:br/>
      </w:r>
      <w:r w:rsidRPr="009612AB">
        <w:rPr>
          <w:rFonts w:ascii="Cambria Math" w:hAnsi="Cambria Math" w:cs="Cambria Math"/>
          <w:color w:val="00B050"/>
          <w:sz w:val="16"/>
          <w:szCs w:val="16"/>
        </w:rPr>
        <w:t>⨁⨁⨁</w:t>
      </w:r>
      <w:r w:rsidRPr="009612AB">
        <w:rPr>
          <w:rFonts w:ascii="Cambria Math" w:hAnsi="Cambria Math" w:cs="Cambria Math"/>
          <w:color w:val="C00000"/>
          <w:sz w:val="16"/>
          <w:szCs w:val="16"/>
        </w:rPr>
        <w:t>⨀</w:t>
      </w:r>
      <w:r w:rsidRPr="009612AB">
        <w:rPr>
          <w:rFonts w:ascii="Arial" w:hAnsi="Arial" w:cs="Arial"/>
          <w:color w:val="C00000"/>
          <w:sz w:val="16"/>
          <w:szCs w:val="16"/>
        </w:rPr>
        <w:t xml:space="preserve"> </w:t>
      </w:r>
      <w:r w:rsidRPr="009612AB">
        <w:rPr>
          <w:rFonts w:ascii="Arial" w:hAnsi="Arial" w:cs="Arial"/>
          <w:b/>
          <w:bCs/>
          <w:sz w:val="16"/>
          <w:szCs w:val="16"/>
        </w:rPr>
        <w:t>Moderate quality:</w:t>
      </w:r>
      <w:r w:rsidRPr="009612AB">
        <w:rPr>
          <w:rFonts w:ascii="Arial" w:hAnsi="Arial" w:cs="Arial"/>
          <w:sz w:val="16"/>
          <w:szCs w:val="16"/>
        </w:rPr>
        <w:t xml:space="preserve"> We are moderately confident in the effect estimate: The true effect is likely to be close to the estimated effect, but there is a possibility that it is substantially different. </w:t>
      </w:r>
      <w:r w:rsidRPr="009612AB">
        <w:rPr>
          <w:rFonts w:ascii="Arial" w:hAnsi="Arial" w:cs="Arial"/>
          <w:sz w:val="16"/>
          <w:szCs w:val="16"/>
        </w:rPr>
        <w:br/>
      </w:r>
      <w:r w:rsidRPr="009612AB">
        <w:rPr>
          <w:rFonts w:ascii="Cambria Math" w:hAnsi="Cambria Math" w:cs="Cambria Math"/>
          <w:color w:val="00B050"/>
          <w:sz w:val="16"/>
          <w:szCs w:val="16"/>
        </w:rPr>
        <w:t>⨁⨁</w:t>
      </w:r>
      <w:r w:rsidRPr="009612AB">
        <w:rPr>
          <w:rFonts w:ascii="Cambria Math" w:hAnsi="Cambria Math" w:cs="Cambria Math"/>
          <w:color w:val="C00000"/>
          <w:sz w:val="16"/>
          <w:szCs w:val="16"/>
        </w:rPr>
        <w:t>⨀⨀</w:t>
      </w:r>
      <w:r w:rsidRPr="009612AB">
        <w:rPr>
          <w:rFonts w:ascii="Arial" w:hAnsi="Arial" w:cs="Arial"/>
          <w:color w:val="C00000"/>
          <w:sz w:val="16"/>
          <w:szCs w:val="16"/>
        </w:rPr>
        <w:t xml:space="preserve"> </w:t>
      </w:r>
      <w:r w:rsidRPr="009612AB">
        <w:rPr>
          <w:rFonts w:ascii="Arial" w:hAnsi="Arial" w:cs="Arial"/>
          <w:b/>
          <w:bCs/>
          <w:sz w:val="16"/>
          <w:szCs w:val="16"/>
        </w:rPr>
        <w:t>Low quality:</w:t>
      </w:r>
      <w:r w:rsidRPr="009612AB">
        <w:rPr>
          <w:rFonts w:ascii="Arial" w:hAnsi="Arial" w:cs="Arial"/>
          <w:sz w:val="16"/>
          <w:szCs w:val="16"/>
        </w:rPr>
        <w:t xml:space="preserve"> Our confidence in the effect estimate is limited: The true effect may be substantially different from the estimated effect.</w:t>
      </w:r>
      <w:r w:rsidRPr="009612AB">
        <w:rPr>
          <w:rFonts w:ascii="Arial" w:hAnsi="Arial" w:cs="Arial"/>
          <w:sz w:val="16"/>
          <w:szCs w:val="16"/>
        </w:rPr>
        <w:br/>
      </w:r>
      <w:r w:rsidRPr="009612AB">
        <w:rPr>
          <w:rFonts w:ascii="Cambria Math" w:hAnsi="Cambria Math" w:cs="Cambria Math"/>
          <w:color w:val="00B050"/>
          <w:sz w:val="16"/>
          <w:szCs w:val="16"/>
        </w:rPr>
        <w:t>⨁</w:t>
      </w:r>
      <w:r w:rsidRPr="009612AB">
        <w:rPr>
          <w:rFonts w:ascii="Cambria Math" w:hAnsi="Cambria Math" w:cs="Cambria Math"/>
          <w:color w:val="C00000"/>
          <w:sz w:val="16"/>
          <w:szCs w:val="16"/>
        </w:rPr>
        <w:t>⨀⨀⨀</w:t>
      </w:r>
      <w:r w:rsidRPr="009612AB">
        <w:rPr>
          <w:rFonts w:ascii="Arial" w:hAnsi="Arial" w:cs="Arial"/>
          <w:color w:val="C00000"/>
          <w:sz w:val="16"/>
          <w:szCs w:val="16"/>
        </w:rPr>
        <w:t xml:space="preserve"> </w:t>
      </w:r>
      <w:r w:rsidRPr="009612AB">
        <w:rPr>
          <w:rFonts w:ascii="Arial" w:hAnsi="Arial" w:cs="Arial"/>
          <w:b/>
          <w:bCs/>
          <w:sz w:val="16"/>
          <w:szCs w:val="16"/>
        </w:rPr>
        <w:t>Very low quality:</w:t>
      </w:r>
      <w:r w:rsidRPr="009612AB">
        <w:rPr>
          <w:rFonts w:ascii="Arial" w:hAnsi="Arial" w:cs="Arial"/>
          <w:sz w:val="16"/>
          <w:szCs w:val="16"/>
        </w:rPr>
        <w:t xml:space="preserve"> We have very little confidence in the effect estimate: The true effect is likely to be substantially different from the estimate of effect.</w:t>
      </w:r>
    </w:p>
    <w:p w14:paraId="3C0305C8" w14:textId="0BF0FCC3" w:rsidR="0054762F" w:rsidRPr="00E11371" w:rsidRDefault="0054762F" w:rsidP="00E11371">
      <w:pPr>
        <w:spacing w:before="240"/>
        <w:rPr>
          <w:szCs w:val="24"/>
        </w:rPr>
      </w:pPr>
      <w:r w:rsidRPr="00FF5712">
        <w:rPr>
          <w:szCs w:val="24"/>
        </w:rPr>
        <w:t>On the basis of the evidence profile (summarised in</w:t>
      </w:r>
      <w:r w:rsidR="002F694E">
        <w:rPr>
          <w:szCs w:val="24"/>
        </w:rPr>
        <w:t xml:space="preserve"> </w:t>
      </w:r>
      <w:r w:rsidR="00C867F5">
        <w:rPr>
          <w:szCs w:val="24"/>
        </w:rPr>
        <w:fldChar w:fldCharType="begin"/>
      </w:r>
      <w:r w:rsidR="00C867F5">
        <w:rPr>
          <w:szCs w:val="24"/>
        </w:rPr>
        <w:instrText xml:space="preserve"> REF _Ref469481723 \h  \* MERGEFORMAT </w:instrText>
      </w:r>
      <w:r w:rsidR="00C867F5">
        <w:rPr>
          <w:szCs w:val="24"/>
        </w:rPr>
      </w:r>
      <w:r w:rsidR="00C867F5">
        <w:rPr>
          <w:szCs w:val="24"/>
        </w:rPr>
        <w:fldChar w:fldCharType="separate"/>
      </w:r>
      <w:r w:rsidR="00C867F5" w:rsidRPr="00C867F5">
        <w:rPr>
          <w:szCs w:val="24"/>
        </w:rPr>
        <w:t>Table 4</w:t>
      </w:r>
      <w:r w:rsidR="00C867F5">
        <w:rPr>
          <w:szCs w:val="24"/>
        </w:rPr>
        <w:fldChar w:fldCharType="end"/>
      </w:r>
      <w:r w:rsidR="002F694E">
        <w:rPr>
          <w:szCs w:val="24"/>
        </w:rPr>
        <w:t>)</w:t>
      </w:r>
      <w:r w:rsidRPr="00FF5712">
        <w:rPr>
          <w:szCs w:val="24"/>
        </w:rPr>
        <w:t>, it is suggested that for patients with interstitial lung disease, relative to usual care, PR has non-inferior effectiveness in terms of quality of life and dyspnoea, and superior effectiveness in terms of functional exercise capacity.</w:t>
      </w:r>
      <w:bookmarkStart w:id="6" w:name="_Ref457824798"/>
      <w:bookmarkStart w:id="7" w:name="_Toc457928910"/>
    </w:p>
    <w:p w14:paraId="5B01A225" w14:textId="77777777" w:rsidR="0054762F" w:rsidRPr="00E63369" w:rsidRDefault="00E63369" w:rsidP="0054762F">
      <w:pPr>
        <w:pStyle w:val="Caption"/>
        <w:jc w:val="left"/>
        <w:rPr>
          <w:rFonts w:ascii="Arial" w:hAnsi="Arial"/>
        </w:rPr>
      </w:pPr>
      <w:bookmarkStart w:id="8" w:name="_Ref469481723"/>
      <w:r w:rsidRPr="00E63369">
        <w:rPr>
          <w:rFonts w:ascii="Arial" w:hAnsi="Arial"/>
        </w:rPr>
        <w:lastRenderedPageBreak/>
        <w:t xml:space="preserve">Table </w:t>
      </w:r>
      <w:r w:rsidRPr="00E63369">
        <w:rPr>
          <w:rFonts w:ascii="Arial" w:hAnsi="Arial"/>
        </w:rPr>
        <w:fldChar w:fldCharType="begin"/>
      </w:r>
      <w:r w:rsidRPr="00E63369">
        <w:rPr>
          <w:rFonts w:ascii="Arial" w:hAnsi="Arial"/>
        </w:rPr>
        <w:instrText xml:space="preserve"> SEQ Table \* ARABIC </w:instrText>
      </w:r>
      <w:r w:rsidRPr="00E63369">
        <w:rPr>
          <w:rFonts w:ascii="Arial" w:hAnsi="Arial"/>
        </w:rPr>
        <w:fldChar w:fldCharType="separate"/>
      </w:r>
      <w:r w:rsidR="004406F9">
        <w:rPr>
          <w:rFonts w:ascii="Arial" w:hAnsi="Arial"/>
          <w:noProof/>
        </w:rPr>
        <w:t>4</w:t>
      </w:r>
      <w:r w:rsidRPr="00E63369">
        <w:rPr>
          <w:rFonts w:ascii="Arial" w:hAnsi="Arial"/>
        </w:rPr>
        <w:fldChar w:fldCharType="end"/>
      </w:r>
      <w:bookmarkEnd w:id="6"/>
      <w:bookmarkEnd w:id="8"/>
      <w:r w:rsidR="0054762F" w:rsidRPr="00E63369">
        <w:rPr>
          <w:rFonts w:ascii="Arial" w:hAnsi="Arial"/>
          <w:noProof/>
        </w:rPr>
        <w:tab/>
      </w:r>
      <w:r>
        <w:rPr>
          <w:rFonts w:ascii="Arial" w:hAnsi="Arial"/>
          <w:noProof/>
        </w:rPr>
        <w:tab/>
      </w:r>
      <w:r w:rsidR="0054762F" w:rsidRPr="00E63369">
        <w:rPr>
          <w:rFonts w:ascii="Arial" w:hAnsi="Arial"/>
          <w:snapToGrid w:val="0"/>
        </w:rPr>
        <w:t xml:space="preserve">Balance of clinical benefits and harms of pulmonary rehabilitation, relative to usual care, and as measured by the </w:t>
      </w:r>
      <w:r w:rsidR="0054762F" w:rsidRPr="00E63369">
        <w:rPr>
          <w:rFonts w:ascii="Arial" w:hAnsi="Arial"/>
          <w:snapToGrid w:val="0"/>
          <w:u w:val="single"/>
        </w:rPr>
        <w:t>critical</w:t>
      </w:r>
      <w:r w:rsidR="0054762F" w:rsidRPr="00E63369">
        <w:rPr>
          <w:rFonts w:ascii="Arial" w:hAnsi="Arial"/>
          <w:snapToGrid w:val="0"/>
        </w:rPr>
        <w:t xml:space="preserve"> patient-relevant outcomes in the key trials in interstitial lung disease</w:t>
      </w:r>
      <w:bookmarkEnd w:id="7"/>
    </w:p>
    <w:tbl>
      <w:tblPr>
        <w:tblW w:w="9464" w:type="dxa"/>
        <w:tblLook w:val="04A0" w:firstRow="1" w:lastRow="0" w:firstColumn="1" w:lastColumn="0" w:noHBand="0" w:noVBand="1"/>
        <w:tblDescription w:val="This table outlines the balance of clinical benefits and harms of pulmonary rehabilitation, relative to usual care, and as measured by the critical patient-relevant outcomes in the key studies in interstitial lung disease."/>
      </w:tblPr>
      <w:tblGrid>
        <w:gridCol w:w="3085"/>
        <w:gridCol w:w="1417"/>
        <w:gridCol w:w="1276"/>
        <w:gridCol w:w="1560"/>
        <w:gridCol w:w="2126"/>
      </w:tblGrid>
      <w:tr w:rsidR="0054762F" w:rsidRPr="00E63369" w14:paraId="21EC9F36" w14:textId="77777777" w:rsidTr="002F694E">
        <w:trPr>
          <w:trHeight w:val="848"/>
        </w:trPr>
        <w:tc>
          <w:tcPr>
            <w:tcW w:w="3085" w:type="dxa"/>
            <w:tcBorders>
              <w:top w:val="single" w:sz="4" w:space="0" w:color="auto"/>
              <w:left w:val="single" w:sz="4" w:space="0" w:color="auto"/>
              <w:bottom w:val="single" w:sz="4" w:space="0" w:color="auto"/>
              <w:right w:val="single" w:sz="4" w:space="0" w:color="auto"/>
            </w:tcBorders>
          </w:tcPr>
          <w:p w14:paraId="68B65322" w14:textId="77777777" w:rsidR="0054762F" w:rsidRPr="00E63369" w:rsidRDefault="0054762F" w:rsidP="00FF5712">
            <w:pPr>
              <w:pStyle w:val="TableHeading"/>
              <w:ind w:left="0"/>
              <w:jc w:val="left"/>
              <w:rPr>
                <w:rFonts w:ascii="Arial" w:hAnsi="Arial" w:cs="Arial"/>
              </w:rPr>
            </w:pPr>
            <w:r w:rsidRPr="00E63369">
              <w:rPr>
                <w:rFonts w:ascii="Arial" w:hAnsi="Arial" w:cs="Arial"/>
              </w:rPr>
              <w:t>Outcomes (units)</w:t>
            </w:r>
            <w:r w:rsidR="00FF5712" w:rsidRPr="00E63369">
              <w:rPr>
                <w:rFonts w:ascii="Arial" w:hAnsi="Arial" w:cs="Arial"/>
              </w:rPr>
              <w:t xml:space="preserve"> </w:t>
            </w:r>
            <w:r w:rsidRPr="00E63369">
              <w:rPr>
                <w:rFonts w:ascii="Arial" w:hAnsi="Arial" w:cs="Arial"/>
              </w:rPr>
              <w:t>Follow-up</w:t>
            </w:r>
          </w:p>
        </w:tc>
        <w:tc>
          <w:tcPr>
            <w:tcW w:w="1417" w:type="dxa"/>
            <w:tcBorders>
              <w:top w:val="single" w:sz="4" w:space="0" w:color="auto"/>
              <w:left w:val="single" w:sz="4" w:space="0" w:color="auto"/>
              <w:bottom w:val="single" w:sz="4" w:space="0" w:color="auto"/>
              <w:right w:val="single" w:sz="4" w:space="0" w:color="auto"/>
            </w:tcBorders>
          </w:tcPr>
          <w:p w14:paraId="35A03C8F" w14:textId="77777777" w:rsidR="0054762F" w:rsidRPr="00E63369" w:rsidRDefault="0054762F" w:rsidP="0054762F">
            <w:pPr>
              <w:pStyle w:val="TableHeading"/>
              <w:ind w:left="0" w:firstLine="0"/>
              <w:jc w:val="left"/>
              <w:rPr>
                <w:rFonts w:ascii="Arial" w:hAnsi="Arial" w:cs="Arial"/>
              </w:rPr>
            </w:pPr>
            <w:r w:rsidRPr="00E63369">
              <w:rPr>
                <w:rFonts w:ascii="Arial" w:hAnsi="Arial" w:cs="Arial"/>
              </w:rPr>
              <w:t>Pooled participants</w:t>
            </w:r>
          </w:p>
          <w:p w14:paraId="5F40016E" w14:textId="77777777" w:rsidR="0054762F" w:rsidRPr="00E63369" w:rsidRDefault="0054762F" w:rsidP="0054762F">
            <w:pPr>
              <w:pStyle w:val="TableHeading"/>
              <w:ind w:left="-2" w:firstLine="0"/>
              <w:jc w:val="left"/>
              <w:rPr>
                <w:rFonts w:ascii="Arial" w:hAnsi="Arial" w:cs="Arial"/>
              </w:rPr>
            </w:pPr>
            <w:r w:rsidRPr="00E63369">
              <w:rPr>
                <w:rFonts w:ascii="Arial" w:hAnsi="Arial" w:cs="Arial"/>
              </w:rPr>
              <w:t>(number of trials)</w:t>
            </w:r>
          </w:p>
        </w:tc>
        <w:tc>
          <w:tcPr>
            <w:tcW w:w="1276" w:type="dxa"/>
            <w:tcBorders>
              <w:top w:val="single" w:sz="4" w:space="0" w:color="auto"/>
              <w:left w:val="single" w:sz="4" w:space="0" w:color="auto"/>
              <w:bottom w:val="single" w:sz="4" w:space="0" w:color="auto"/>
              <w:right w:val="single" w:sz="4" w:space="0" w:color="auto"/>
            </w:tcBorders>
          </w:tcPr>
          <w:p w14:paraId="3583BDBE" w14:textId="77777777" w:rsidR="0054762F" w:rsidRPr="00E63369" w:rsidRDefault="0054762F" w:rsidP="0054762F">
            <w:pPr>
              <w:pStyle w:val="TableHeading"/>
              <w:ind w:left="0" w:firstLine="0"/>
              <w:jc w:val="left"/>
              <w:rPr>
                <w:rFonts w:ascii="Arial" w:hAnsi="Arial" w:cs="Arial"/>
              </w:rPr>
            </w:pPr>
            <w:r w:rsidRPr="00E63369">
              <w:rPr>
                <w:rFonts w:ascii="Arial" w:hAnsi="Arial" w:cs="Arial"/>
              </w:rPr>
              <w:t>Quality of evidence (GRADE</w:t>
            </w:r>
            <w:r w:rsidRPr="00E63369">
              <w:rPr>
                <w:rFonts w:ascii="Arial" w:hAnsi="Arial" w:cs="Arial"/>
                <w:vertAlign w:val="superscript"/>
              </w:rPr>
              <w:t xml:space="preserve"> a</w:t>
            </w:r>
            <w:r w:rsidRPr="00E63369">
              <w:rPr>
                <w:rFonts w:ascii="Arial" w:hAnsi="Arial" w:cs="Arial"/>
              </w:rPr>
              <w:t>)</w:t>
            </w:r>
          </w:p>
        </w:tc>
        <w:tc>
          <w:tcPr>
            <w:tcW w:w="1560" w:type="dxa"/>
            <w:tcBorders>
              <w:top w:val="single" w:sz="4" w:space="0" w:color="auto"/>
              <w:left w:val="single" w:sz="4" w:space="0" w:color="auto"/>
              <w:bottom w:val="single" w:sz="4" w:space="0" w:color="auto"/>
              <w:right w:val="single" w:sz="4" w:space="0" w:color="auto"/>
            </w:tcBorders>
          </w:tcPr>
          <w:p w14:paraId="1A12E144" w14:textId="77777777" w:rsidR="0054762F" w:rsidRPr="00E63369" w:rsidRDefault="0054762F" w:rsidP="0054762F">
            <w:pPr>
              <w:pStyle w:val="TableHeading"/>
              <w:ind w:left="49" w:hanging="49"/>
              <w:jc w:val="left"/>
              <w:rPr>
                <w:rFonts w:ascii="Arial" w:hAnsi="Arial" w:cs="Arial"/>
              </w:rPr>
            </w:pPr>
            <w:r w:rsidRPr="00E63369">
              <w:rPr>
                <w:rFonts w:ascii="Arial" w:hAnsi="Arial" w:cs="Arial"/>
              </w:rPr>
              <w:t>Relative</w:t>
            </w:r>
            <w:r w:rsidR="002F694E" w:rsidRPr="00E63369">
              <w:rPr>
                <w:rFonts w:ascii="Arial" w:hAnsi="Arial" w:cs="Arial"/>
              </w:rPr>
              <w:t xml:space="preserve"> </w:t>
            </w:r>
            <w:r w:rsidRPr="00E63369">
              <w:rPr>
                <w:rFonts w:ascii="Arial" w:hAnsi="Arial" w:cs="Arial"/>
              </w:rPr>
              <w:t>effect (95%CI)</w:t>
            </w:r>
          </w:p>
        </w:tc>
        <w:tc>
          <w:tcPr>
            <w:tcW w:w="2126" w:type="dxa"/>
            <w:tcBorders>
              <w:top w:val="single" w:sz="4" w:space="0" w:color="auto"/>
              <w:left w:val="single" w:sz="4" w:space="0" w:color="auto"/>
              <w:bottom w:val="single" w:sz="4" w:space="0" w:color="auto"/>
              <w:right w:val="single" w:sz="4" w:space="0" w:color="auto"/>
            </w:tcBorders>
          </w:tcPr>
          <w:p w14:paraId="6158ACDE" w14:textId="77777777" w:rsidR="0054762F" w:rsidRPr="00E63369" w:rsidRDefault="0054762F" w:rsidP="0054762F">
            <w:pPr>
              <w:pStyle w:val="TableHeading"/>
              <w:ind w:left="0" w:firstLine="0"/>
              <w:jc w:val="left"/>
              <w:rPr>
                <w:rFonts w:ascii="Arial" w:hAnsi="Arial" w:cs="Arial"/>
              </w:rPr>
            </w:pPr>
            <w:r w:rsidRPr="00E63369">
              <w:rPr>
                <w:rFonts w:ascii="Arial" w:hAnsi="Arial" w:cs="Arial"/>
              </w:rPr>
              <w:t>Comments</w:t>
            </w:r>
          </w:p>
        </w:tc>
      </w:tr>
      <w:tr w:rsidR="0054762F" w:rsidRPr="00E63369" w14:paraId="20B09D74" w14:textId="77777777" w:rsidTr="00C867F5">
        <w:trPr>
          <w:trHeight w:val="983"/>
        </w:trPr>
        <w:tc>
          <w:tcPr>
            <w:tcW w:w="3085" w:type="dxa"/>
            <w:tcBorders>
              <w:top w:val="single" w:sz="4" w:space="0" w:color="auto"/>
              <w:left w:val="single" w:sz="4" w:space="0" w:color="auto"/>
              <w:bottom w:val="single" w:sz="4" w:space="0" w:color="auto"/>
              <w:right w:val="single" w:sz="4" w:space="0" w:color="auto"/>
            </w:tcBorders>
          </w:tcPr>
          <w:p w14:paraId="0DA496F0" w14:textId="77777777" w:rsidR="0054762F" w:rsidRPr="00E63369" w:rsidRDefault="0054762F" w:rsidP="0054762F">
            <w:pPr>
              <w:spacing w:before="40" w:after="40"/>
              <w:rPr>
                <w:rFonts w:ascii="Arial" w:hAnsi="Arial" w:cs="Arial"/>
                <w:sz w:val="20"/>
              </w:rPr>
            </w:pPr>
            <w:r w:rsidRPr="00E63369">
              <w:rPr>
                <w:rFonts w:ascii="Arial" w:hAnsi="Arial" w:cs="Arial"/>
                <w:sz w:val="20"/>
              </w:rPr>
              <w:t>Dyspnoea (measured by Medical Research Council Dyspnoea Scale; a reduction in the MRC is considered an improvement)</w:t>
            </w:r>
          </w:p>
        </w:tc>
        <w:tc>
          <w:tcPr>
            <w:tcW w:w="1417" w:type="dxa"/>
            <w:tcBorders>
              <w:top w:val="single" w:sz="4" w:space="0" w:color="auto"/>
              <w:left w:val="single" w:sz="4" w:space="0" w:color="auto"/>
              <w:bottom w:val="single" w:sz="4" w:space="0" w:color="auto"/>
              <w:right w:val="single" w:sz="4" w:space="0" w:color="auto"/>
            </w:tcBorders>
          </w:tcPr>
          <w:p w14:paraId="7E3F3120" w14:textId="77777777" w:rsidR="0054762F" w:rsidRPr="00E63369" w:rsidRDefault="0054762F" w:rsidP="0054762F">
            <w:pPr>
              <w:spacing w:before="40" w:after="40"/>
              <w:rPr>
                <w:rFonts w:ascii="Arial" w:hAnsi="Arial" w:cs="Arial"/>
                <w:sz w:val="20"/>
              </w:rPr>
            </w:pPr>
            <w:r w:rsidRPr="00E63369">
              <w:rPr>
                <w:rFonts w:ascii="Arial" w:hAnsi="Arial" w:cs="Arial"/>
                <w:sz w:val="20"/>
              </w:rPr>
              <w:t>41 PR / 40 control</w:t>
            </w:r>
          </w:p>
          <w:p w14:paraId="594CA4D1" w14:textId="77777777" w:rsidR="0054762F" w:rsidRPr="00E63369" w:rsidRDefault="0054762F" w:rsidP="0054762F">
            <w:pPr>
              <w:spacing w:before="40" w:after="40"/>
              <w:rPr>
                <w:rFonts w:ascii="Arial" w:hAnsi="Arial" w:cs="Arial"/>
                <w:sz w:val="20"/>
              </w:rPr>
            </w:pPr>
            <w:r w:rsidRPr="00E63369">
              <w:rPr>
                <w:rFonts w:ascii="Arial" w:hAnsi="Arial" w:cs="Arial"/>
                <w:sz w:val="20"/>
              </w:rPr>
              <w:t>(2)</w:t>
            </w:r>
          </w:p>
        </w:tc>
        <w:tc>
          <w:tcPr>
            <w:tcW w:w="1276" w:type="dxa"/>
            <w:tcBorders>
              <w:top w:val="single" w:sz="4" w:space="0" w:color="auto"/>
              <w:left w:val="single" w:sz="4" w:space="0" w:color="auto"/>
              <w:bottom w:val="single" w:sz="4" w:space="0" w:color="auto"/>
              <w:right w:val="single" w:sz="4" w:space="0" w:color="auto"/>
            </w:tcBorders>
          </w:tcPr>
          <w:p w14:paraId="6C5BBA11" w14:textId="77777777" w:rsidR="0054762F" w:rsidRPr="00E63369" w:rsidRDefault="0054762F" w:rsidP="0054762F">
            <w:pPr>
              <w:pStyle w:val="Tabletext"/>
              <w:rPr>
                <w:rFonts w:ascii="Arial" w:hAnsi="Arial" w:cs="Arial"/>
                <w:color w:val="C00000"/>
                <w:szCs w:val="20"/>
              </w:rPr>
            </w:pPr>
            <w:r w:rsidRPr="00E63369">
              <w:rPr>
                <w:rFonts w:ascii="Cambria Math" w:hAnsi="Cambria Math" w:cs="Cambria Math"/>
                <w:color w:val="00B050"/>
                <w:szCs w:val="20"/>
              </w:rPr>
              <w:t>⨁⨁</w:t>
            </w:r>
            <w:r w:rsidRPr="00E63369">
              <w:rPr>
                <w:rFonts w:ascii="Cambria Math" w:hAnsi="Cambria Math" w:cs="Cambria Math"/>
                <w:color w:val="C00000"/>
                <w:szCs w:val="20"/>
              </w:rPr>
              <w:t>⨀⨀</w:t>
            </w:r>
          </w:p>
          <w:p w14:paraId="15FE1DB5" w14:textId="77777777" w:rsidR="0054762F" w:rsidRPr="00E63369" w:rsidRDefault="0054762F" w:rsidP="0054762F">
            <w:pPr>
              <w:pStyle w:val="Tabletext"/>
              <w:rPr>
                <w:rFonts w:ascii="Arial" w:hAnsi="Arial" w:cs="Arial"/>
                <w:szCs w:val="20"/>
              </w:rPr>
            </w:pPr>
            <w:r w:rsidRPr="00E63369">
              <w:rPr>
                <w:rFonts w:ascii="Arial" w:hAnsi="Arial" w:cs="Arial"/>
                <w:b/>
                <w:szCs w:val="20"/>
              </w:rPr>
              <w:t>Low</w:t>
            </w:r>
          </w:p>
        </w:tc>
        <w:tc>
          <w:tcPr>
            <w:tcW w:w="1560" w:type="dxa"/>
            <w:tcBorders>
              <w:top w:val="single" w:sz="4" w:space="0" w:color="auto"/>
              <w:left w:val="single" w:sz="4" w:space="0" w:color="auto"/>
              <w:bottom w:val="single" w:sz="4" w:space="0" w:color="auto"/>
              <w:right w:val="single" w:sz="4" w:space="0" w:color="auto"/>
            </w:tcBorders>
          </w:tcPr>
          <w:p w14:paraId="50C66239" w14:textId="77777777" w:rsidR="0054762F" w:rsidRPr="00E63369" w:rsidRDefault="0054762F" w:rsidP="0054762F">
            <w:pPr>
              <w:spacing w:before="40" w:after="40"/>
              <w:rPr>
                <w:rFonts w:ascii="Arial" w:hAnsi="Arial" w:cs="Arial"/>
                <w:sz w:val="20"/>
              </w:rPr>
            </w:pPr>
            <w:r w:rsidRPr="00E63369">
              <w:rPr>
                <w:rFonts w:ascii="Arial" w:hAnsi="Arial" w:cs="Arial"/>
                <w:sz w:val="20"/>
              </w:rPr>
              <w:t>-0.61 (-1.14, -0.08)</w:t>
            </w:r>
          </w:p>
        </w:tc>
        <w:tc>
          <w:tcPr>
            <w:tcW w:w="2126" w:type="dxa"/>
            <w:tcBorders>
              <w:top w:val="single" w:sz="4" w:space="0" w:color="auto"/>
              <w:left w:val="single" w:sz="4" w:space="0" w:color="auto"/>
              <w:bottom w:val="single" w:sz="4" w:space="0" w:color="auto"/>
              <w:right w:val="single" w:sz="4" w:space="0" w:color="auto"/>
            </w:tcBorders>
          </w:tcPr>
          <w:p w14:paraId="65B30AC2" w14:textId="77777777" w:rsidR="0054762F" w:rsidRPr="00E63369" w:rsidRDefault="0054762F" w:rsidP="0054762F">
            <w:pPr>
              <w:spacing w:before="40" w:after="40"/>
              <w:rPr>
                <w:rFonts w:ascii="Arial" w:hAnsi="Arial" w:cs="Arial"/>
                <w:sz w:val="20"/>
                <w:vertAlign w:val="superscript"/>
              </w:rPr>
            </w:pPr>
            <w:r w:rsidRPr="00E63369">
              <w:rPr>
                <w:rFonts w:ascii="Arial" w:hAnsi="Arial" w:cs="Arial"/>
                <w:sz w:val="20"/>
                <w:vertAlign w:val="superscript"/>
              </w:rPr>
              <w:t>The dyspnoea mean difference in effect did not exceeded the MCID of 1 point on the 5-point MRC scale</w:t>
            </w:r>
          </w:p>
        </w:tc>
      </w:tr>
      <w:tr w:rsidR="0054762F" w:rsidRPr="00E63369" w14:paraId="779EF0AD" w14:textId="77777777" w:rsidTr="00C867F5">
        <w:trPr>
          <w:trHeight w:val="732"/>
        </w:trPr>
        <w:tc>
          <w:tcPr>
            <w:tcW w:w="3085" w:type="dxa"/>
            <w:tcBorders>
              <w:top w:val="single" w:sz="4" w:space="0" w:color="auto"/>
              <w:left w:val="single" w:sz="4" w:space="0" w:color="auto"/>
              <w:bottom w:val="single" w:sz="4" w:space="0" w:color="auto"/>
              <w:right w:val="single" w:sz="4" w:space="0" w:color="auto"/>
            </w:tcBorders>
          </w:tcPr>
          <w:p w14:paraId="329530FA" w14:textId="77777777" w:rsidR="0054762F" w:rsidRPr="00E63369" w:rsidRDefault="0054762F" w:rsidP="0054762F">
            <w:pPr>
              <w:spacing w:before="40" w:after="40"/>
              <w:rPr>
                <w:rFonts w:ascii="Arial" w:hAnsi="Arial" w:cs="Arial"/>
                <w:sz w:val="20"/>
              </w:rPr>
            </w:pPr>
            <w:r w:rsidRPr="00E63369">
              <w:rPr>
                <w:rFonts w:ascii="Arial" w:hAnsi="Arial" w:cs="Arial"/>
                <w:sz w:val="20"/>
              </w:rPr>
              <w:t>SGRQ - Total</w:t>
            </w:r>
          </w:p>
        </w:tc>
        <w:tc>
          <w:tcPr>
            <w:tcW w:w="1417" w:type="dxa"/>
            <w:tcBorders>
              <w:top w:val="single" w:sz="4" w:space="0" w:color="auto"/>
              <w:left w:val="single" w:sz="4" w:space="0" w:color="auto"/>
              <w:bottom w:val="single" w:sz="4" w:space="0" w:color="auto"/>
              <w:right w:val="single" w:sz="4" w:space="0" w:color="auto"/>
            </w:tcBorders>
          </w:tcPr>
          <w:p w14:paraId="2084A563" w14:textId="77777777" w:rsidR="0054762F" w:rsidRPr="00E63369" w:rsidRDefault="0054762F" w:rsidP="0054762F">
            <w:pPr>
              <w:spacing w:before="40" w:after="40"/>
              <w:rPr>
                <w:rFonts w:ascii="Arial" w:hAnsi="Arial" w:cs="Arial"/>
                <w:sz w:val="20"/>
              </w:rPr>
            </w:pPr>
            <w:r w:rsidRPr="00E63369">
              <w:rPr>
                <w:rFonts w:ascii="Arial" w:hAnsi="Arial" w:cs="Arial"/>
                <w:sz w:val="20"/>
              </w:rPr>
              <w:t>52 PR / 50 control</w:t>
            </w:r>
          </w:p>
          <w:p w14:paraId="1BC99425" w14:textId="77777777" w:rsidR="0054762F" w:rsidRPr="00E63369" w:rsidRDefault="0054762F" w:rsidP="0054762F">
            <w:pPr>
              <w:spacing w:before="40" w:after="40"/>
              <w:rPr>
                <w:rFonts w:ascii="Arial" w:hAnsi="Arial" w:cs="Arial"/>
                <w:sz w:val="20"/>
              </w:rPr>
            </w:pPr>
            <w:r w:rsidRPr="00E63369">
              <w:rPr>
                <w:rFonts w:ascii="Arial" w:hAnsi="Arial" w:cs="Arial"/>
                <w:sz w:val="20"/>
              </w:rPr>
              <w:t>(3)</w:t>
            </w:r>
          </w:p>
        </w:tc>
        <w:tc>
          <w:tcPr>
            <w:tcW w:w="1276" w:type="dxa"/>
            <w:tcBorders>
              <w:top w:val="single" w:sz="4" w:space="0" w:color="auto"/>
              <w:left w:val="single" w:sz="4" w:space="0" w:color="auto"/>
              <w:bottom w:val="single" w:sz="4" w:space="0" w:color="auto"/>
              <w:right w:val="single" w:sz="4" w:space="0" w:color="auto"/>
            </w:tcBorders>
          </w:tcPr>
          <w:p w14:paraId="1F45065E" w14:textId="77777777" w:rsidR="0054762F" w:rsidRPr="00E63369" w:rsidRDefault="0054762F" w:rsidP="0054762F">
            <w:pPr>
              <w:pStyle w:val="Tabletext"/>
              <w:rPr>
                <w:rFonts w:ascii="Arial" w:hAnsi="Arial" w:cs="Arial"/>
                <w:color w:val="C00000"/>
                <w:szCs w:val="20"/>
              </w:rPr>
            </w:pPr>
            <w:r w:rsidRPr="00E63369">
              <w:rPr>
                <w:rFonts w:ascii="Cambria Math" w:hAnsi="Cambria Math" w:cs="Cambria Math"/>
                <w:color w:val="00B050"/>
                <w:szCs w:val="20"/>
              </w:rPr>
              <w:t>⨁⨁</w:t>
            </w:r>
            <w:r w:rsidRPr="00E63369">
              <w:rPr>
                <w:rFonts w:ascii="Cambria Math" w:hAnsi="Cambria Math" w:cs="Cambria Math"/>
                <w:color w:val="C00000"/>
                <w:szCs w:val="20"/>
              </w:rPr>
              <w:t>⨀⨀</w:t>
            </w:r>
          </w:p>
          <w:p w14:paraId="3611FD18" w14:textId="77777777" w:rsidR="0054762F" w:rsidRPr="00E63369" w:rsidRDefault="0054762F" w:rsidP="0054762F">
            <w:pPr>
              <w:pStyle w:val="Tabletext"/>
              <w:rPr>
                <w:rFonts w:ascii="Arial" w:hAnsi="Arial" w:cs="Arial"/>
                <w:szCs w:val="20"/>
                <w:highlight w:val="yellow"/>
              </w:rPr>
            </w:pPr>
            <w:r w:rsidRPr="00E63369">
              <w:rPr>
                <w:rFonts w:ascii="Arial" w:hAnsi="Arial" w:cs="Arial"/>
                <w:b/>
                <w:szCs w:val="20"/>
              </w:rPr>
              <w:t>Low</w:t>
            </w:r>
          </w:p>
        </w:tc>
        <w:tc>
          <w:tcPr>
            <w:tcW w:w="1560" w:type="dxa"/>
            <w:tcBorders>
              <w:top w:val="single" w:sz="4" w:space="0" w:color="auto"/>
              <w:left w:val="single" w:sz="4" w:space="0" w:color="auto"/>
              <w:bottom w:val="single" w:sz="4" w:space="0" w:color="auto"/>
              <w:right w:val="single" w:sz="4" w:space="0" w:color="auto"/>
            </w:tcBorders>
          </w:tcPr>
          <w:p w14:paraId="6B275D5B" w14:textId="77777777" w:rsidR="0054762F" w:rsidRPr="00E63369" w:rsidRDefault="0054762F" w:rsidP="0054762F">
            <w:pPr>
              <w:spacing w:before="40" w:after="40"/>
              <w:rPr>
                <w:rFonts w:ascii="Arial" w:hAnsi="Arial" w:cs="Arial"/>
                <w:sz w:val="20"/>
              </w:rPr>
            </w:pPr>
            <w:r w:rsidRPr="00E63369">
              <w:rPr>
                <w:rFonts w:ascii="Arial" w:hAnsi="Arial" w:cs="Arial"/>
                <w:sz w:val="20"/>
              </w:rPr>
              <w:t>-9.33 (-3.38, -15.28)</w:t>
            </w:r>
          </w:p>
        </w:tc>
        <w:tc>
          <w:tcPr>
            <w:tcW w:w="2126" w:type="dxa"/>
            <w:tcBorders>
              <w:top w:val="single" w:sz="4" w:space="0" w:color="auto"/>
              <w:left w:val="single" w:sz="4" w:space="0" w:color="auto"/>
              <w:bottom w:val="single" w:sz="4" w:space="0" w:color="auto"/>
              <w:right w:val="single" w:sz="4" w:space="0" w:color="auto"/>
            </w:tcBorders>
          </w:tcPr>
          <w:p w14:paraId="60354B84" w14:textId="77777777" w:rsidR="0054762F" w:rsidRPr="00E63369" w:rsidRDefault="0054762F" w:rsidP="0054762F">
            <w:pPr>
              <w:spacing w:before="40" w:after="40"/>
              <w:rPr>
                <w:rFonts w:ascii="Arial" w:hAnsi="Arial" w:cs="Arial"/>
                <w:sz w:val="20"/>
                <w:vertAlign w:val="superscript"/>
              </w:rPr>
            </w:pPr>
            <w:r w:rsidRPr="00E63369">
              <w:rPr>
                <w:rFonts w:ascii="Arial" w:hAnsi="Arial" w:cs="Arial"/>
                <w:sz w:val="20"/>
                <w:vertAlign w:val="superscript"/>
              </w:rPr>
              <w:t>Mean difference exceeded MCID; however lower limit did not exceed MCID; statistical significance only</w:t>
            </w:r>
          </w:p>
        </w:tc>
      </w:tr>
      <w:tr w:rsidR="0054762F" w:rsidRPr="00E63369" w14:paraId="154C39B2" w14:textId="77777777" w:rsidTr="00C867F5">
        <w:trPr>
          <w:trHeight w:val="860"/>
        </w:trPr>
        <w:tc>
          <w:tcPr>
            <w:tcW w:w="3085" w:type="dxa"/>
            <w:tcBorders>
              <w:top w:val="single" w:sz="4" w:space="0" w:color="auto"/>
              <w:left w:val="single" w:sz="4" w:space="0" w:color="auto"/>
              <w:bottom w:val="single" w:sz="4" w:space="0" w:color="auto"/>
              <w:right w:val="single" w:sz="4" w:space="0" w:color="auto"/>
            </w:tcBorders>
          </w:tcPr>
          <w:p w14:paraId="27840201" w14:textId="77777777" w:rsidR="0054762F" w:rsidRPr="00E63369" w:rsidRDefault="0054762F" w:rsidP="0054762F">
            <w:pPr>
              <w:spacing w:before="40" w:after="40"/>
              <w:rPr>
                <w:rFonts w:ascii="Arial" w:hAnsi="Arial" w:cs="Arial"/>
                <w:sz w:val="20"/>
              </w:rPr>
            </w:pPr>
            <w:r w:rsidRPr="00E63369">
              <w:rPr>
                <w:rFonts w:ascii="Arial" w:hAnsi="Arial" w:cs="Arial"/>
                <w:sz w:val="20"/>
              </w:rPr>
              <w:t>6MWT</w:t>
            </w:r>
          </w:p>
        </w:tc>
        <w:tc>
          <w:tcPr>
            <w:tcW w:w="1417" w:type="dxa"/>
            <w:tcBorders>
              <w:top w:val="single" w:sz="4" w:space="0" w:color="auto"/>
              <w:left w:val="single" w:sz="4" w:space="0" w:color="auto"/>
              <w:bottom w:val="single" w:sz="4" w:space="0" w:color="auto"/>
              <w:right w:val="single" w:sz="4" w:space="0" w:color="auto"/>
            </w:tcBorders>
          </w:tcPr>
          <w:p w14:paraId="0E4D9C3C" w14:textId="77777777" w:rsidR="0054762F" w:rsidRPr="00E63369" w:rsidRDefault="0054762F" w:rsidP="0054762F">
            <w:pPr>
              <w:spacing w:before="40" w:after="40"/>
              <w:rPr>
                <w:rFonts w:ascii="Arial" w:hAnsi="Arial" w:cs="Arial"/>
                <w:sz w:val="20"/>
              </w:rPr>
            </w:pPr>
            <w:r w:rsidRPr="00E63369">
              <w:rPr>
                <w:rFonts w:ascii="Arial" w:hAnsi="Arial" w:cs="Arial"/>
                <w:sz w:val="20"/>
              </w:rPr>
              <w:t>100 PR / 101 control</w:t>
            </w:r>
          </w:p>
          <w:p w14:paraId="526F624B" w14:textId="77777777" w:rsidR="0054762F" w:rsidRPr="00E63369" w:rsidRDefault="0054762F" w:rsidP="0054762F">
            <w:pPr>
              <w:spacing w:before="40" w:after="40"/>
              <w:rPr>
                <w:rFonts w:ascii="Arial" w:hAnsi="Arial" w:cs="Arial"/>
                <w:sz w:val="20"/>
              </w:rPr>
            </w:pPr>
            <w:r w:rsidRPr="00E63369">
              <w:rPr>
                <w:rFonts w:ascii="Arial" w:hAnsi="Arial" w:cs="Arial"/>
                <w:sz w:val="20"/>
              </w:rPr>
              <w:t>(6)</w:t>
            </w:r>
          </w:p>
        </w:tc>
        <w:tc>
          <w:tcPr>
            <w:tcW w:w="1276" w:type="dxa"/>
            <w:tcBorders>
              <w:top w:val="single" w:sz="4" w:space="0" w:color="auto"/>
              <w:left w:val="single" w:sz="4" w:space="0" w:color="auto"/>
              <w:bottom w:val="single" w:sz="4" w:space="0" w:color="auto"/>
              <w:right w:val="single" w:sz="4" w:space="0" w:color="auto"/>
            </w:tcBorders>
          </w:tcPr>
          <w:p w14:paraId="161AAF71" w14:textId="77777777" w:rsidR="0054762F" w:rsidRPr="00E63369" w:rsidRDefault="0054762F" w:rsidP="0054762F">
            <w:pPr>
              <w:pStyle w:val="Tabletext"/>
              <w:rPr>
                <w:rFonts w:ascii="Arial" w:hAnsi="Arial" w:cs="Arial"/>
                <w:color w:val="C00000"/>
                <w:szCs w:val="20"/>
              </w:rPr>
            </w:pPr>
            <w:r w:rsidRPr="00E63369">
              <w:rPr>
                <w:rFonts w:ascii="Cambria Math" w:hAnsi="Cambria Math" w:cs="Cambria Math"/>
                <w:color w:val="00B050"/>
                <w:szCs w:val="20"/>
              </w:rPr>
              <w:t>⨁⨁</w:t>
            </w:r>
            <w:r w:rsidRPr="00E63369">
              <w:rPr>
                <w:rFonts w:ascii="Cambria Math" w:hAnsi="Cambria Math" w:cs="Cambria Math"/>
                <w:color w:val="C00000"/>
                <w:szCs w:val="20"/>
              </w:rPr>
              <w:t>⨀⨀</w:t>
            </w:r>
          </w:p>
          <w:p w14:paraId="18C92D83" w14:textId="77777777" w:rsidR="0054762F" w:rsidRPr="00E63369" w:rsidRDefault="0054762F" w:rsidP="0054762F">
            <w:pPr>
              <w:pStyle w:val="Tabletext"/>
              <w:rPr>
                <w:rFonts w:ascii="Arial" w:hAnsi="Arial" w:cs="Arial"/>
                <w:szCs w:val="20"/>
                <w:highlight w:val="yellow"/>
              </w:rPr>
            </w:pPr>
            <w:r w:rsidRPr="00E63369">
              <w:rPr>
                <w:rFonts w:ascii="Arial" w:hAnsi="Arial" w:cs="Arial"/>
                <w:b/>
                <w:szCs w:val="20"/>
              </w:rPr>
              <w:t>Low</w:t>
            </w:r>
          </w:p>
        </w:tc>
        <w:tc>
          <w:tcPr>
            <w:tcW w:w="1560" w:type="dxa"/>
            <w:tcBorders>
              <w:top w:val="single" w:sz="4" w:space="0" w:color="auto"/>
              <w:left w:val="single" w:sz="4" w:space="0" w:color="auto"/>
              <w:bottom w:val="single" w:sz="4" w:space="0" w:color="auto"/>
              <w:right w:val="single" w:sz="4" w:space="0" w:color="auto"/>
            </w:tcBorders>
          </w:tcPr>
          <w:p w14:paraId="78E3BB8D" w14:textId="77777777" w:rsidR="0054762F" w:rsidRPr="00E63369" w:rsidRDefault="0054762F" w:rsidP="0054762F">
            <w:pPr>
              <w:spacing w:before="40" w:after="40"/>
              <w:rPr>
                <w:rFonts w:ascii="Arial" w:hAnsi="Arial" w:cs="Arial"/>
                <w:sz w:val="20"/>
              </w:rPr>
            </w:pPr>
            <w:r w:rsidRPr="00E63369">
              <w:rPr>
                <w:rFonts w:ascii="Arial" w:hAnsi="Arial" w:cs="Arial"/>
                <w:sz w:val="20"/>
              </w:rPr>
              <w:t>48.47 (34.53, 62.41)</w:t>
            </w:r>
          </w:p>
        </w:tc>
        <w:tc>
          <w:tcPr>
            <w:tcW w:w="2126" w:type="dxa"/>
            <w:tcBorders>
              <w:top w:val="single" w:sz="4" w:space="0" w:color="auto"/>
              <w:left w:val="single" w:sz="4" w:space="0" w:color="auto"/>
              <w:bottom w:val="single" w:sz="4" w:space="0" w:color="auto"/>
              <w:right w:val="single" w:sz="4" w:space="0" w:color="auto"/>
            </w:tcBorders>
          </w:tcPr>
          <w:p w14:paraId="539EFC91" w14:textId="77777777" w:rsidR="0054762F" w:rsidRPr="00E63369" w:rsidRDefault="0054762F" w:rsidP="0054762F">
            <w:pPr>
              <w:spacing w:before="40" w:after="40"/>
              <w:rPr>
                <w:rFonts w:ascii="Arial" w:hAnsi="Arial" w:cs="Arial"/>
                <w:sz w:val="20"/>
                <w:vertAlign w:val="superscript"/>
              </w:rPr>
            </w:pPr>
            <w:r w:rsidRPr="00E63369">
              <w:rPr>
                <w:rFonts w:ascii="Arial" w:hAnsi="Arial" w:cs="Arial"/>
                <w:sz w:val="20"/>
                <w:vertAlign w:val="superscript"/>
              </w:rPr>
              <w:t>Mean difference and lower limit of CI exceeded 30 metres; statistical and clinical significance</w:t>
            </w:r>
          </w:p>
        </w:tc>
      </w:tr>
    </w:tbl>
    <w:p w14:paraId="284E0E2C" w14:textId="77777777" w:rsidR="0054762F" w:rsidRPr="00C867F5" w:rsidRDefault="0054762F" w:rsidP="00C867F5">
      <w:pPr>
        <w:spacing w:after="240"/>
        <w:rPr>
          <w:rFonts w:ascii="Arial" w:hAnsi="Arial" w:cs="Arial"/>
          <w:sz w:val="16"/>
          <w:szCs w:val="18"/>
        </w:rPr>
      </w:pPr>
      <w:r w:rsidRPr="00C867F5">
        <w:rPr>
          <w:rFonts w:ascii="Arial" w:hAnsi="Arial" w:cs="Arial"/>
          <w:sz w:val="16"/>
          <w:szCs w:val="18"/>
          <w:vertAlign w:val="superscript"/>
        </w:rPr>
        <w:t xml:space="preserve">a </w:t>
      </w:r>
      <w:r w:rsidRPr="00C867F5">
        <w:rPr>
          <w:rFonts w:ascii="Arial" w:hAnsi="Arial" w:cs="Arial"/>
          <w:sz w:val="16"/>
          <w:szCs w:val="18"/>
        </w:rPr>
        <w:t>GRADE Working Group grades of evidence (Guyatt et al., 2013)</w:t>
      </w:r>
      <w:r w:rsidRPr="00C867F5">
        <w:rPr>
          <w:rFonts w:ascii="Arial" w:hAnsi="Arial" w:cs="Arial"/>
          <w:sz w:val="16"/>
          <w:szCs w:val="18"/>
        </w:rPr>
        <w:br/>
      </w:r>
      <w:r w:rsidRPr="00C867F5">
        <w:rPr>
          <w:rFonts w:ascii="Cambria Math" w:hAnsi="Cambria Math" w:cs="Cambria Math"/>
          <w:color w:val="00B050"/>
          <w:sz w:val="16"/>
          <w:szCs w:val="18"/>
        </w:rPr>
        <w:t>⨁⨁⨁⨁</w:t>
      </w:r>
      <w:r w:rsidRPr="00C867F5">
        <w:rPr>
          <w:rFonts w:ascii="Arial" w:hAnsi="Arial" w:cs="Arial"/>
          <w:color w:val="00B050"/>
          <w:sz w:val="16"/>
          <w:szCs w:val="18"/>
        </w:rPr>
        <w:t xml:space="preserve"> </w:t>
      </w:r>
      <w:r w:rsidRPr="00C867F5">
        <w:rPr>
          <w:rFonts w:ascii="Arial" w:hAnsi="Arial" w:cs="Arial"/>
          <w:b/>
          <w:bCs/>
          <w:sz w:val="16"/>
          <w:szCs w:val="18"/>
        </w:rPr>
        <w:t>High quality:</w:t>
      </w:r>
      <w:r w:rsidRPr="00C867F5">
        <w:rPr>
          <w:rFonts w:ascii="Arial" w:hAnsi="Arial" w:cs="Arial"/>
          <w:sz w:val="16"/>
          <w:szCs w:val="18"/>
        </w:rPr>
        <w:t xml:space="preserve"> We are very confident that the true effect lies close to that of the estimated effect. </w:t>
      </w:r>
      <w:r w:rsidRPr="00C867F5">
        <w:rPr>
          <w:rFonts w:ascii="Arial" w:hAnsi="Arial" w:cs="Arial"/>
          <w:sz w:val="16"/>
          <w:szCs w:val="18"/>
        </w:rPr>
        <w:br/>
      </w:r>
      <w:r w:rsidRPr="00C867F5">
        <w:rPr>
          <w:rFonts w:ascii="Cambria Math" w:hAnsi="Cambria Math" w:cs="Cambria Math"/>
          <w:color w:val="00B050"/>
          <w:sz w:val="16"/>
          <w:szCs w:val="18"/>
        </w:rPr>
        <w:t>⨁⨁⨁</w:t>
      </w:r>
      <w:r w:rsidRPr="00C867F5">
        <w:rPr>
          <w:rFonts w:ascii="Cambria Math" w:hAnsi="Cambria Math" w:cs="Cambria Math"/>
          <w:color w:val="C00000"/>
          <w:sz w:val="16"/>
          <w:szCs w:val="18"/>
        </w:rPr>
        <w:t>⨀</w:t>
      </w:r>
      <w:r w:rsidRPr="00C867F5">
        <w:rPr>
          <w:rFonts w:ascii="Arial" w:hAnsi="Arial" w:cs="Arial"/>
          <w:color w:val="C00000"/>
          <w:sz w:val="16"/>
          <w:szCs w:val="18"/>
        </w:rPr>
        <w:t xml:space="preserve"> </w:t>
      </w:r>
      <w:r w:rsidRPr="00C867F5">
        <w:rPr>
          <w:rFonts w:ascii="Arial" w:hAnsi="Arial" w:cs="Arial"/>
          <w:b/>
          <w:bCs/>
          <w:sz w:val="16"/>
          <w:szCs w:val="18"/>
        </w:rPr>
        <w:t>Moderate quality:</w:t>
      </w:r>
      <w:r w:rsidRPr="00C867F5">
        <w:rPr>
          <w:rFonts w:ascii="Arial" w:hAnsi="Arial" w:cs="Arial"/>
          <w:sz w:val="16"/>
          <w:szCs w:val="18"/>
        </w:rPr>
        <w:t xml:space="preserve"> We are moderately confident in the effect estimate: The true effect is likely to be close to the estimated effect, but there is a possibility that it is substantially different. </w:t>
      </w:r>
      <w:r w:rsidRPr="00C867F5">
        <w:rPr>
          <w:rFonts w:ascii="Arial" w:hAnsi="Arial" w:cs="Arial"/>
          <w:sz w:val="16"/>
          <w:szCs w:val="18"/>
        </w:rPr>
        <w:br/>
      </w:r>
      <w:r w:rsidRPr="00C867F5">
        <w:rPr>
          <w:rFonts w:ascii="Cambria Math" w:hAnsi="Cambria Math" w:cs="Cambria Math"/>
          <w:color w:val="00B050"/>
          <w:sz w:val="16"/>
          <w:szCs w:val="18"/>
        </w:rPr>
        <w:t>⨁⨁</w:t>
      </w:r>
      <w:r w:rsidRPr="00C867F5">
        <w:rPr>
          <w:rFonts w:ascii="Cambria Math" w:hAnsi="Cambria Math" w:cs="Cambria Math"/>
          <w:color w:val="C00000"/>
          <w:sz w:val="16"/>
          <w:szCs w:val="18"/>
        </w:rPr>
        <w:t>⨀⨀</w:t>
      </w:r>
      <w:r w:rsidRPr="00C867F5">
        <w:rPr>
          <w:rFonts w:ascii="Arial" w:hAnsi="Arial" w:cs="Arial"/>
          <w:color w:val="C00000"/>
          <w:sz w:val="16"/>
          <w:szCs w:val="18"/>
        </w:rPr>
        <w:t xml:space="preserve"> </w:t>
      </w:r>
      <w:r w:rsidRPr="00C867F5">
        <w:rPr>
          <w:rFonts w:ascii="Arial" w:hAnsi="Arial" w:cs="Arial"/>
          <w:b/>
          <w:bCs/>
          <w:sz w:val="16"/>
          <w:szCs w:val="18"/>
        </w:rPr>
        <w:t>Low quality:</w:t>
      </w:r>
      <w:r w:rsidRPr="00C867F5">
        <w:rPr>
          <w:rFonts w:ascii="Arial" w:hAnsi="Arial" w:cs="Arial"/>
          <w:sz w:val="16"/>
          <w:szCs w:val="18"/>
        </w:rPr>
        <w:t xml:space="preserve"> Our confidence in the effect estimate is limited: The true effect may be substantially different from the estimated effect.</w:t>
      </w:r>
      <w:r w:rsidRPr="00C867F5">
        <w:rPr>
          <w:rFonts w:ascii="Arial" w:hAnsi="Arial" w:cs="Arial"/>
          <w:sz w:val="16"/>
          <w:szCs w:val="18"/>
        </w:rPr>
        <w:br/>
      </w:r>
      <w:r w:rsidRPr="00C867F5">
        <w:rPr>
          <w:rFonts w:ascii="Cambria Math" w:hAnsi="Cambria Math" w:cs="Cambria Math"/>
          <w:color w:val="00B050"/>
          <w:sz w:val="16"/>
          <w:szCs w:val="18"/>
        </w:rPr>
        <w:t>⨁</w:t>
      </w:r>
      <w:r w:rsidRPr="00C867F5">
        <w:rPr>
          <w:rFonts w:ascii="Cambria Math" w:hAnsi="Cambria Math" w:cs="Cambria Math"/>
          <w:color w:val="C00000"/>
          <w:sz w:val="16"/>
          <w:szCs w:val="18"/>
        </w:rPr>
        <w:t>⨀⨀⨀</w:t>
      </w:r>
      <w:r w:rsidRPr="00C867F5">
        <w:rPr>
          <w:rFonts w:ascii="Arial" w:hAnsi="Arial" w:cs="Arial"/>
          <w:color w:val="C00000"/>
          <w:sz w:val="16"/>
          <w:szCs w:val="18"/>
        </w:rPr>
        <w:t xml:space="preserve"> </w:t>
      </w:r>
      <w:r w:rsidRPr="00C867F5">
        <w:rPr>
          <w:rFonts w:ascii="Arial" w:hAnsi="Arial" w:cs="Arial"/>
          <w:b/>
          <w:bCs/>
          <w:sz w:val="16"/>
          <w:szCs w:val="18"/>
        </w:rPr>
        <w:t>Very low quality:</w:t>
      </w:r>
      <w:r w:rsidRPr="00C867F5">
        <w:rPr>
          <w:rFonts w:ascii="Arial" w:hAnsi="Arial" w:cs="Arial"/>
          <w:sz w:val="16"/>
          <w:szCs w:val="18"/>
        </w:rPr>
        <w:t xml:space="preserve"> We have very little confidence in the effect estimate: The true effect is likely to be substantially different from the estimate of effect.</w:t>
      </w:r>
    </w:p>
    <w:p w14:paraId="558283C7" w14:textId="77777777" w:rsidR="0054762F" w:rsidRPr="00FF5712" w:rsidRDefault="0054762F" w:rsidP="0054762F">
      <w:r w:rsidRPr="00FF5712">
        <w:t xml:space="preserve">On the basis of the evidence profile (summarised in </w:t>
      </w:r>
      <w:r w:rsidR="00C867F5">
        <w:fldChar w:fldCharType="begin"/>
      </w:r>
      <w:r w:rsidR="00C867F5">
        <w:instrText xml:space="preserve"> REF _Ref457824812 \h  \* MERGEFORMAT </w:instrText>
      </w:r>
      <w:r w:rsidR="00C867F5">
        <w:fldChar w:fldCharType="separate"/>
      </w:r>
      <w:r w:rsidR="00C867F5" w:rsidRPr="00C867F5">
        <w:t>Table 5</w:t>
      </w:r>
      <w:r w:rsidR="00C867F5">
        <w:fldChar w:fldCharType="end"/>
      </w:r>
      <w:r w:rsidR="002F694E">
        <w:t>)</w:t>
      </w:r>
      <w:r w:rsidRPr="00FF5712">
        <w:t>, it is suggested that for patients with bronchiectasis, relative to usual care, PR has non-inferior effectiveness in terms of quality of life, and superior effectiveness in terms of functional exercise capacity.</w:t>
      </w:r>
    </w:p>
    <w:p w14:paraId="0B064250" w14:textId="77777777" w:rsidR="0054762F" w:rsidRPr="002F694E" w:rsidRDefault="0054762F" w:rsidP="0054762F">
      <w:pPr>
        <w:rPr>
          <w:sz w:val="28"/>
        </w:rPr>
      </w:pPr>
    </w:p>
    <w:p w14:paraId="0A2AA273" w14:textId="77777777" w:rsidR="0054762F" w:rsidRPr="00C867F5" w:rsidRDefault="00C867F5" w:rsidP="00E46D6D">
      <w:pPr>
        <w:pStyle w:val="Caption"/>
        <w:jc w:val="left"/>
        <w:rPr>
          <w:rFonts w:ascii="Arial" w:hAnsi="Arial"/>
        </w:rPr>
      </w:pPr>
      <w:bookmarkStart w:id="9" w:name="_Ref457824812"/>
      <w:bookmarkStart w:id="10" w:name="_Toc457928911"/>
      <w:r w:rsidRPr="00C867F5">
        <w:rPr>
          <w:rFonts w:ascii="Arial" w:hAnsi="Arial"/>
        </w:rPr>
        <w:t xml:space="preserve">Table </w:t>
      </w:r>
      <w:r w:rsidRPr="00C867F5">
        <w:rPr>
          <w:rFonts w:ascii="Arial" w:hAnsi="Arial"/>
        </w:rPr>
        <w:fldChar w:fldCharType="begin"/>
      </w:r>
      <w:r w:rsidRPr="00C867F5">
        <w:rPr>
          <w:rFonts w:ascii="Arial" w:hAnsi="Arial"/>
        </w:rPr>
        <w:instrText xml:space="preserve"> SEQ Table \* ARABIC </w:instrText>
      </w:r>
      <w:r w:rsidRPr="00C867F5">
        <w:rPr>
          <w:rFonts w:ascii="Arial" w:hAnsi="Arial"/>
        </w:rPr>
        <w:fldChar w:fldCharType="separate"/>
      </w:r>
      <w:r w:rsidR="004406F9">
        <w:rPr>
          <w:rFonts w:ascii="Arial" w:hAnsi="Arial"/>
          <w:noProof/>
        </w:rPr>
        <w:t>5</w:t>
      </w:r>
      <w:r w:rsidRPr="00C867F5">
        <w:rPr>
          <w:rFonts w:ascii="Arial" w:hAnsi="Arial"/>
        </w:rPr>
        <w:fldChar w:fldCharType="end"/>
      </w:r>
      <w:bookmarkEnd w:id="9"/>
      <w:r>
        <w:rPr>
          <w:rFonts w:ascii="Arial" w:hAnsi="Arial"/>
        </w:rPr>
        <w:tab/>
      </w:r>
      <w:r w:rsidR="0054762F" w:rsidRPr="00C867F5">
        <w:rPr>
          <w:rFonts w:ascii="Arial" w:hAnsi="Arial"/>
        </w:rPr>
        <w:tab/>
      </w:r>
      <w:r w:rsidR="0054762F" w:rsidRPr="00C867F5">
        <w:rPr>
          <w:rFonts w:ascii="Arial" w:hAnsi="Arial"/>
          <w:snapToGrid w:val="0"/>
        </w:rPr>
        <w:t xml:space="preserve">Balance of clinical benefits and harms of pulmonary rehabilitation, relative to usual care, and as measured by the </w:t>
      </w:r>
      <w:r w:rsidR="0054762F" w:rsidRPr="00C867F5">
        <w:rPr>
          <w:rFonts w:ascii="Arial" w:hAnsi="Arial"/>
          <w:snapToGrid w:val="0"/>
          <w:u w:val="single"/>
        </w:rPr>
        <w:t>critical</w:t>
      </w:r>
      <w:r w:rsidR="0054762F" w:rsidRPr="00C867F5">
        <w:rPr>
          <w:rFonts w:ascii="Arial" w:hAnsi="Arial"/>
          <w:snapToGrid w:val="0"/>
        </w:rPr>
        <w:t xml:space="preserve"> patient-relevant outcomes in the key trial in bronchiectasis</w:t>
      </w:r>
      <w:bookmarkEnd w:id="10"/>
    </w:p>
    <w:tbl>
      <w:tblPr>
        <w:tblW w:w="9322" w:type="dxa"/>
        <w:tblLook w:val="04A0" w:firstRow="1" w:lastRow="0" w:firstColumn="1" w:lastColumn="0" w:noHBand="0" w:noVBand="1"/>
        <w:tblDescription w:val="This table outlines the balance of clinical benefits and harms of pulmonary rehabilitation, relative to usual care, and as measured by the critical patient-relevant outcomes in the key studies in bronchiectasis."/>
      </w:tblPr>
      <w:tblGrid>
        <w:gridCol w:w="1442"/>
        <w:gridCol w:w="1927"/>
        <w:gridCol w:w="1417"/>
        <w:gridCol w:w="2835"/>
        <w:gridCol w:w="1701"/>
      </w:tblGrid>
      <w:tr w:rsidR="0054762F" w:rsidRPr="00C867F5" w14:paraId="49FE7F8E" w14:textId="77777777" w:rsidTr="00C867F5">
        <w:trPr>
          <w:trHeight w:val="395"/>
        </w:trPr>
        <w:tc>
          <w:tcPr>
            <w:tcW w:w="1442" w:type="dxa"/>
            <w:tcBorders>
              <w:top w:val="single" w:sz="4" w:space="0" w:color="auto"/>
              <w:left w:val="single" w:sz="4" w:space="0" w:color="auto"/>
              <w:bottom w:val="single" w:sz="4" w:space="0" w:color="auto"/>
              <w:right w:val="single" w:sz="4" w:space="0" w:color="auto"/>
            </w:tcBorders>
          </w:tcPr>
          <w:p w14:paraId="20A6CFC6" w14:textId="77777777" w:rsidR="0054762F" w:rsidRPr="00C867F5" w:rsidRDefault="0054762F" w:rsidP="002F694E">
            <w:pPr>
              <w:pStyle w:val="TableHeading"/>
              <w:ind w:left="0" w:firstLine="0"/>
              <w:jc w:val="left"/>
              <w:rPr>
                <w:rFonts w:ascii="Arial" w:hAnsi="Arial" w:cs="Arial"/>
              </w:rPr>
            </w:pPr>
            <w:r w:rsidRPr="00C867F5">
              <w:rPr>
                <w:rFonts w:ascii="Arial" w:hAnsi="Arial" w:cs="Arial"/>
              </w:rPr>
              <w:t>Outcomes (units)</w:t>
            </w:r>
          </w:p>
          <w:p w14:paraId="3A7DA909" w14:textId="77777777" w:rsidR="0054762F" w:rsidRPr="00C867F5" w:rsidRDefault="0054762F" w:rsidP="0054762F">
            <w:pPr>
              <w:pStyle w:val="TableHeading"/>
              <w:jc w:val="left"/>
              <w:rPr>
                <w:rFonts w:ascii="Arial" w:hAnsi="Arial" w:cs="Arial"/>
              </w:rPr>
            </w:pPr>
            <w:r w:rsidRPr="00C867F5">
              <w:rPr>
                <w:rFonts w:ascii="Arial" w:hAnsi="Arial" w:cs="Arial"/>
              </w:rPr>
              <w:t>Follow-up</w:t>
            </w:r>
          </w:p>
        </w:tc>
        <w:tc>
          <w:tcPr>
            <w:tcW w:w="1927" w:type="dxa"/>
            <w:tcBorders>
              <w:top w:val="single" w:sz="4" w:space="0" w:color="auto"/>
              <w:left w:val="single" w:sz="4" w:space="0" w:color="auto"/>
              <w:bottom w:val="single" w:sz="4" w:space="0" w:color="auto"/>
              <w:right w:val="single" w:sz="4" w:space="0" w:color="auto"/>
            </w:tcBorders>
          </w:tcPr>
          <w:p w14:paraId="01CA8A67" w14:textId="77777777" w:rsidR="0054762F" w:rsidRPr="00C867F5" w:rsidRDefault="0054762F" w:rsidP="0054762F">
            <w:pPr>
              <w:pStyle w:val="TableHeading"/>
              <w:ind w:left="0" w:firstLine="0"/>
              <w:jc w:val="left"/>
              <w:rPr>
                <w:rFonts w:ascii="Arial" w:hAnsi="Arial" w:cs="Arial"/>
              </w:rPr>
            </w:pPr>
            <w:r w:rsidRPr="00C867F5">
              <w:rPr>
                <w:rFonts w:ascii="Arial" w:hAnsi="Arial" w:cs="Arial"/>
              </w:rPr>
              <w:t>Pooled participants</w:t>
            </w:r>
          </w:p>
          <w:p w14:paraId="522C3382" w14:textId="77777777" w:rsidR="0054762F" w:rsidRPr="00C867F5" w:rsidRDefault="0054762F" w:rsidP="0054762F">
            <w:pPr>
              <w:pStyle w:val="TableHeading"/>
              <w:ind w:left="-8" w:firstLine="8"/>
              <w:jc w:val="left"/>
              <w:rPr>
                <w:rFonts w:ascii="Arial" w:hAnsi="Arial" w:cs="Arial"/>
              </w:rPr>
            </w:pPr>
            <w:r w:rsidRPr="00C867F5">
              <w:rPr>
                <w:rFonts w:ascii="Arial" w:hAnsi="Arial" w:cs="Arial"/>
              </w:rPr>
              <w:t>(number of trials)</w:t>
            </w:r>
          </w:p>
        </w:tc>
        <w:tc>
          <w:tcPr>
            <w:tcW w:w="1417" w:type="dxa"/>
            <w:tcBorders>
              <w:top w:val="single" w:sz="4" w:space="0" w:color="auto"/>
              <w:left w:val="single" w:sz="4" w:space="0" w:color="auto"/>
              <w:bottom w:val="single" w:sz="4" w:space="0" w:color="auto"/>
              <w:right w:val="single" w:sz="4" w:space="0" w:color="auto"/>
            </w:tcBorders>
          </w:tcPr>
          <w:p w14:paraId="04C0F4E0" w14:textId="77777777" w:rsidR="0054762F" w:rsidRPr="00C867F5" w:rsidRDefault="0054762F" w:rsidP="0054762F">
            <w:pPr>
              <w:pStyle w:val="TableHeading"/>
              <w:ind w:left="0" w:firstLine="0"/>
              <w:jc w:val="left"/>
              <w:rPr>
                <w:rFonts w:ascii="Arial" w:hAnsi="Arial" w:cs="Arial"/>
              </w:rPr>
            </w:pPr>
            <w:r w:rsidRPr="00C867F5">
              <w:rPr>
                <w:rFonts w:ascii="Arial" w:hAnsi="Arial" w:cs="Arial"/>
              </w:rPr>
              <w:t>Qualityof evidence (GRADE</w:t>
            </w:r>
            <w:r w:rsidRPr="00C867F5">
              <w:rPr>
                <w:rFonts w:ascii="Arial" w:hAnsi="Arial" w:cs="Arial"/>
                <w:vertAlign w:val="superscript"/>
              </w:rPr>
              <w:t xml:space="preserve"> a</w:t>
            </w:r>
            <w:r w:rsidRPr="00C867F5">
              <w:rPr>
                <w:rFonts w:ascii="Arial" w:hAnsi="Arial" w:cs="Arial"/>
              </w:rPr>
              <w:t>)</w:t>
            </w:r>
          </w:p>
        </w:tc>
        <w:tc>
          <w:tcPr>
            <w:tcW w:w="2835" w:type="dxa"/>
            <w:tcBorders>
              <w:top w:val="single" w:sz="4" w:space="0" w:color="auto"/>
              <w:left w:val="single" w:sz="4" w:space="0" w:color="auto"/>
              <w:bottom w:val="single" w:sz="4" w:space="0" w:color="auto"/>
              <w:right w:val="single" w:sz="4" w:space="0" w:color="auto"/>
            </w:tcBorders>
          </w:tcPr>
          <w:p w14:paraId="797ED60A" w14:textId="77777777" w:rsidR="0054762F" w:rsidRPr="00C867F5" w:rsidRDefault="0054762F" w:rsidP="0054762F">
            <w:pPr>
              <w:pStyle w:val="TableHeading"/>
              <w:ind w:left="0" w:firstLine="0"/>
              <w:jc w:val="left"/>
              <w:rPr>
                <w:rFonts w:ascii="Arial" w:hAnsi="Arial" w:cs="Arial"/>
              </w:rPr>
            </w:pPr>
            <w:r w:rsidRPr="00C867F5">
              <w:rPr>
                <w:rFonts w:ascii="Arial" w:hAnsi="Arial" w:cs="Arial"/>
              </w:rPr>
              <w:t>Absolute effect (95%CI)</w:t>
            </w:r>
          </w:p>
        </w:tc>
        <w:tc>
          <w:tcPr>
            <w:tcW w:w="1701" w:type="dxa"/>
            <w:tcBorders>
              <w:top w:val="single" w:sz="4" w:space="0" w:color="auto"/>
              <w:left w:val="single" w:sz="4" w:space="0" w:color="auto"/>
              <w:bottom w:val="single" w:sz="4" w:space="0" w:color="auto"/>
              <w:right w:val="single" w:sz="4" w:space="0" w:color="auto"/>
            </w:tcBorders>
          </w:tcPr>
          <w:p w14:paraId="11E64555" w14:textId="77777777" w:rsidR="0054762F" w:rsidRPr="00C867F5" w:rsidRDefault="0054762F" w:rsidP="0054762F">
            <w:pPr>
              <w:pStyle w:val="TableHeading"/>
              <w:ind w:left="0" w:firstLine="0"/>
              <w:jc w:val="left"/>
              <w:rPr>
                <w:rFonts w:ascii="Arial" w:hAnsi="Arial" w:cs="Arial"/>
              </w:rPr>
            </w:pPr>
            <w:r w:rsidRPr="00C867F5">
              <w:rPr>
                <w:rFonts w:ascii="Arial" w:hAnsi="Arial" w:cs="Arial"/>
              </w:rPr>
              <w:t>Comments</w:t>
            </w:r>
          </w:p>
        </w:tc>
      </w:tr>
      <w:tr w:rsidR="0054762F" w:rsidRPr="00C867F5" w14:paraId="37785E73" w14:textId="77777777" w:rsidTr="00C867F5">
        <w:trPr>
          <w:trHeight w:val="980"/>
        </w:trPr>
        <w:tc>
          <w:tcPr>
            <w:tcW w:w="1442" w:type="dxa"/>
            <w:tcBorders>
              <w:top w:val="single" w:sz="4" w:space="0" w:color="auto"/>
              <w:left w:val="single" w:sz="4" w:space="0" w:color="auto"/>
              <w:bottom w:val="single" w:sz="4" w:space="0" w:color="auto"/>
              <w:right w:val="single" w:sz="4" w:space="0" w:color="auto"/>
            </w:tcBorders>
          </w:tcPr>
          <w:p w14:paraId="437054D6" w14:textId="77777777" w:rsidR="0054762F" w:rsidRPr="00C867F5" w:rsidRDefault="0054762F" w:rsidP="0054762F">
            <w:pPr>
              <w:spacing w:before="40" w:after="40"/>
              <w:rPr>
                <w:rFonts w:ascii="Arial" w:hAnsi="Arial" w:cs="Arial"/>
                <w:sz w:val="20"/>
              </w:rPr>
            </w:pPr>
            <w:r w:rsidRPr="00C867F5">
              <w:rPr>
                <w:rFonts w:ascii="Arial" w:hAnsi="Arial" w:cs="Arial"/>
                <w:sz w:val="20"/>
              </w:rPr>
              <w:t xml:space="preserve">SGRQ </w:t>
            </w:r>
          </w:p>
        </w:tc>
        <w:tc>
          <w:tcPr>
            <w:tcW w:w="1927" w:type="dxa"/>
            <w:tcBorders>
              <w:top w:val="single" w:sz="4" w:space="0" w:color="auto"/>
              <w:left w:val="single" w:sz="4" w:space="0" w:color="auto"/>
              <w:bottom w:val="single" w:sz="4" w:space="0" w:color="auto"/>
              <w:right w:val="single" w:sz="4" w:space="0" w:color="auto"/>
            </w:tcBorders>
          </w:tcPr>
          <w:p w14:paraId="47735EF2" w14:textId="77777777" w:rsidR="00C867F5" w:rsidRDefault="0054762F" w:rsidP="0054762F">
            <w:pPr>
              <w:spacing w:before="40" w:after="40"/>
              <w:rPr>
                <w:rFonts w:ascii="Arial" w:hAnsi="Arial" w:cs="Arial"/>
                <w:sz w:val="20"/>
              </w:rPr>
            </w:pPr>
            <w:r w:rsidRPr="00C867F5">
              <w:rPr>
                <w:rFonts w:ascii="Arial" w:hAnsi="Arial" w:cs="Arial"/>
                <w:sz w:val="20"/>
              </w:rPr>
              <w:t>PR-SHAM, n=</w:t>
            </w:r>
            <w:r w:rsidR="00C867F5">
              <w:rPr>
                <w:rFonts w:ascii="Arial" w:hAnsi="Arial" w:cs="Arial"/>
                <w:sz w:val="20"/>
              </w:rPr>
              <w:t>11 / PR-IMT, n=12 / control n=9</w:t>
            </w:r>
          </w:p>
          <w:p w14:paraId="300E5583" w14:textId="77777777" w:rsidR="0054762F" w:rsidRPr="00C867F5" w:rsidRDefault="0054762F" w:rsidP="0054762F">
            <w:pPr>
              <w:spacing w:before="40" w:after="40"/>
              <w:rPr>
                <w:rFonts w:ascii="Arial" w:hAnsi="Arial" w:cs="Arial"/>
                <w:sz w:val="20"/>
              </w:rPr>
            </w:pPr>
            <w:r w:rsidRPr="00C867F5">
              <w:rPr>
                <w:rFonts w:ascii="Arial" w:hAnsi="Arial" w:cs="Arial"/>
                <w:sz w:val="20"/>
              </w:rPr>
              <w:t>(1)</w:t>
            </w:r>
          </w:p>
        </w:tc>
        <w:tc>
          <w:tcPr>
            <w:tcW w:w="1417" w:type="dxa"/>
            <w:tcBorders>
              <w:top w:val="single" w:sz="4" w:space="0" w:color="auto"/>
              <w:left w:val="single" w:sz="4" w:space="0" w:color="auto"/>
              <w:bottom w:val="single" w:sz="4" w:space="0" w:color="auto"/>
              <w:right w:val="single" w:sz="4" w:space="0" w:color="auto"/>
            </w:tcBorders>
          </w:tcPr>
          <w:p w14:paraId="30F35623" w14:textId="77777777" w:rsidR="0054762F" w:rsidRPr="00C867F5" w:rsidRDefault="0054762F" w:rsidP="0054762F">
            <w:pPr>
              <w:pStyle w:val="Tabletext"/>
              <w:rPr>
                <w:rFonts w:ascii="Arial" w:hAnsi="Arial" w:cs="Arial"/>
                <w:color w:val="C00000"/>
                <w:szCs w:val="20"/>
              </w:rPr>
            </w:pPr>
            <w:r w:rsidRPr="00C867F5">
              <w:rPr>
                <w:rFonts w:ascii="Cambria Math" w:hAnsi="Cambria Math" w:cs="Cambria Math"/>
                <w:color w:val="00B050"/>
                <w:szCs w:val="20"/>
              </w:rPr>
              <w:t>⨁</w:t>
            </w:r>
            <w:r w:rsidRPr="00C867F5">
              <w:rPr>
                <w:rFonts w:ascii="Cambria Math" w:hAnsi="Cambria Math" w:cs="Cambria Math"/>
                <w:color w:val="C00000"/>
                <w:szCs w:val="20"/>
              </w:rPr>
              <w:t>⨀⨀⨀</w:t>
            </w:r>
          </w:p>
          <w:p w14:paraId="023C4480" w14:textId="77777777" w:rsidR="0054762F" w:rsidRPr="00C867F5" w:rsidRDefault="0054762F" w:rsidP="0054762F">
            <w:pPr>
              <w:pStyle w:val="Tabletext"/>
              <w:rPr>
                <w:rFonts w:ascii="Arial" w:hAnsi="Arial" w:cs="Arial"/>
                <w:szCs w:val="20"/>
              </w:rPr>
            </w:pPr>
            <w:r w:rsidRPr="00C867F5">
              <w:rPr>
                <w:rFonts w:ascii="Arial" w:hAnsi="Arial" w:cs="Arial"/>
                <w:b/>
                <w:szCs w:val="20"/>
              </w:rPr>
              <w:t>Very Low</w:t>
            </w:r>
          </w:p>
        </w:tc>
        <w:tc>
          <w:tcPr>
            <w:tcW w:w="2835" w:type="dxa"/>
            <w:tcBorders>
              <w:top w:val="single" w:sz="4" w:space="0" w:color="auto"/>
              <w:left w:val="single" w:sz="4" w:space="0" w:color="auto"/>
              <w:bottom w:val="single" w:sz="4" w:space="0" w:color="auto"/>
              <w:right w:val="single" w:sz="4" w:space="0" w:color="auto"/>
            </w:tcBorders>
          </w:tcPr>
          <w:p w14:paraId="5D1C966D" w14:textId="77777777" w:rsidR="0054762F" w:rsidRPr="00C867F5" w:rsidRDefault="0054762F" w:rsidP="0054762F">
            <w:pPr>
              <w:spacing w:before="40" w:after="40"/>
              <w:rPr>
                <w:rFonts w:ascii="Arial" w:hAnsi="Arial" w:cs="Arial"/>
                <w:sz w:val="20"/>
              </w:rPr>
            </w:pPr>
            <w:r w:rsidRPr="00C867F5">
              <w:rPr>
                <w:rFonts w:ascii="Arial" w:hAnsi="Arial" w:cs="Arial"/>
                <w:sz w:val="20"/>
              </w:rPr>
              <w:t>PR-SHAM = 2.3 (-2.9, 7.4)</w:t>
            </w:r>
          </w:p>
          <w:p w14:paraId="2CC3A8B8" w14:textId="77777777" w:rsidR="0054762F" w:rsidRPr="00C867F5" w:rsidRDefault="0054762F" w:rsidP="0054762F">
            <w:pPr>
              <w:spacing w:before="40" w:after="40"/>
              <w:rPr>
                <w:rFonts w:ascii="Arial" w:hAnsi="Arial" w:cs="Arial"/>
                <w:sz w:val="20"/>
              </w:rPr>
            </w:pPr>
            <w:r w:rsidRPr="00C867F5">
              <w:rPr>
                <w:rFonts w:ascii="Arial" w:hAnsi="Arial" w:cs="Arial"/>
                <w:sz w:val="20"/>
              </w:rPr>
              <w:t>PR-IMT = -7.7 (-16.6, 1.1)</w:t>
            </w:r>
          </w:p>
          <w:p w14:paraId="692C7282" w14:textId="77777777" w:rsidR="0054762F" w:rsidRPr="00C867F5" w:rsidRDefault="0054762F" w:rsidP="002F694E">
            <w:pPr>
              <w:spacing w:before="40" w:after="40"/>
              <w:rPr>
                <w:rFonts w:ascii="Arial" w:hAnsi="Arial" w:cs="Arial"/>
                <w:sz w:val="20"/>
              </w:rPr>
            </w:pPr>
            <w:r w:rsidRPr="00C867F5">
              <w:rPr>
                <w:rFonts w:ascii="Arial" w:hAnsi="Arial" w:cs="Arial"/>
                <w:sz w:val="20"/>
              </w:rPr>
              <w:t>Control = -10.0 (-21.3, 1.3)</w:t>
            </w:r>
          </w:p>
        </w:tc>
        <w:tc>
          <w:tcPr>
            <w:tcW w:w="1701" w:type="dxa"/>
            <w:tcBorders>
              <w:top w:val="single" w:sz="4" w:space="0" w:color="auto"/>
              <w:left w:val="single" w:sz="4" w:space="0" w:color="auto"/>
              <w:bottom w:val="single" w:sz="4" w:space="0" w:color="auto"/>
              <w:right w:val="single" w:sz="4" w:space="0" w:color="auto"/>
            </w:tcBorders>
          </w:tcPr>
          <w:p w14:paraId="6931D2FF" w14:textId="77777777" w:rsidR="0054762F" w:rsidRPr="00C867F5" w:rsidRDefault="0054762F" w:rsidP="0054762F">
            <w:pPr>
              <w:spacing w:before="40" w:after="40"/>
              <w:rPr>
                <w:rFonts w:ascii="Arial" w:hAnsi="Arial" w:cs="Arial"/>
                <w:sz w:val="20"/>
                <w:vertAlign w:val="superscript"/>
              </w:rPr>
            </w:pPr>
            <w:r w:rsidRPr="00C867F5">
              <w:rPr>
                <w:rFonts w:ascii="Arial" w:hAnsi="Arial" w:cs="Arial"/>
                <w:sz w:val="20"/>
                <w:vertAlign w:val="superscript"/>
              </w:rPr>
              <w:t>PR-SHAM, PR-IMT and control not statistically significant; PR-IMT and control clinically significant</w:t>
            </w:r>
          </w:p>
        </w:tc>
      </w:tr>
      <w:tr w:rsidR="0054762F" w:rsidRPr="00C867F5" w14:paraId="2DE11D8F" w14:textId="77777777" w:rsidTr="00C867F5">
        <w:trPr>
          <w:trHeight w:val="12"/>
        </w:trPr>
        <w:tc>
          <w:tcPr>
            <w:tcW w:w="1442" w:type="dxa"/>
            <w:tcBorders>
              <w:top w:val="single" w:sz="4" w:space="0" w:color="auto"/>
              <w:left w:val="single" w:sz="4" w:space="0" w:color="auto"/>
              <w:bottom w:val="single" w:sz="4" w:space="0" w:color="auto"/>
              <w:right w:val="single" w:sz="4" w:space="0" w:color="auto"/>
            </w:tcBorders>
          </w:tcPr>
          <w:p w14:paraId="1FCC2524" w14:textId="77777777" w:rsidR="0054762F" w:rsidRPr="00C867F5" w:rsidRDefault="0054762F" w:rsidP="0054762F">
            <w:pPr>
              <w:spacing w:before="40" w:after="40"/>
              <w:rPr>
                <w:rFonts w:ascii="Arial" w:hAnsi="Arial" w:cs="Arial"/>
                <w:sz w:val="20"/>
              </w:rPr>
            </w:pPr>
            <w:r w:rsidRPr="00C867F5">
              <w:rPr>
                <w:rFonts w:ascii="Arial" w:hAnsi="Arial" w:cs="Arial"/>
                <w:sz w:val="20"/>
              </w:rPr>
              <w:t>ISWT (Incremental shuttle walk test)</w:t>
            </w:r>
          </w:p>
        </w:tc>
        <w:tc>
          <w:tcPr>
            <w:tcW w:w="1927" w:type="dxa"/>
            <w:tcBorders>
              <w:top w:val="single" w:sz="4" w:space="0" w:color="auto"/>
              <w:left w:val="single" w:sz="4" w:space="0" w:color="auto"/>
              <w:bottom w:val="single" w:sz="4" w:space="0" w:color="auto"/>
              <w:right w:val="single" w:sz="4" w:space="0" w:color="auto"/>
            </w:tcBorders>
          </w:tcPr>
          <w:p w14:paraId="75B994DD" w14:textId="77777777" w:rsidR="0054762F" w:rsidRPr="00C867F5" w:rsidRDefault="0054762F" w:rsidP="0054762F">
            <w:pPr>
              <w:spacing w:before="40" w:after="40"/>
              <w:rPr>
                <w:rFonts w:ascii="Arial" w:hAnsi="Arial" w:cs="Arial"/>
                <w:sz w:val="20"/>
              </w:rPr>
            </w:pPr>
            <w:r w:rsidRPr="00C867F5">
              <w:rPr>
                <w:rFonts w:ascii="Arial" w:hAnsi="Arial" w:cs="Arial"/>
                <w:sz w:val="20"/>
              </w:rPr>
              <w:t>PR-SHAM, n=11 / PR-IMT, n=12 / control n=9</w:t>
            </w:r>
          </w:p>
          <w:p w14:paraId="6B90EABA" w14:textId="77777777" w:rsidR="0054762F" w:rsidRPr="00C867F5" w:rsidRDefault="0054762F" w:rsidP="0054762F">
            <w:pPr>
              <w:spacing w:before="40" w:after="40"/>
              <w:rPr>
                <w:rFonts w:ascii="Arial" w:hAnsi="Arial" w:cs="Arial"/>
                <w:sz w:val="20"/>
              </w:rPr>
            </w:pPr>
            <w:r w:rsidRPr="00C867F5">
              <w:rPr>
                <w:rFonts w:ascii="Arial" w:hAnsi="Arial" w:cs="Arial"/>
                <w:sz w:val="20"/>
              </w:rPr>
              <w:t>(1)</w:t>
            </w:r>
          </w:p>
        </w:tc>
        <w:tc>
          <w:tcPr>
            <w:tcW w:w="1417" w:type="dxa"/>
            <w:tcBorders>
              <w:top w:val="single" w:sz="4" w:space="0" w:color="auto"/>
              <w:left w:val="single" w:sz="4" w:space="0" w:color="auto"/>
              <w:bottom w:val="single" w:sz="4" w:space="0" w:color="auto"/>
              <w:right w:val="single" w:sz="4" w:space="0" w:color="auto"/>
            </w:tcBorders>
          </w:tcPr>
          <w:p w14:paraId="3189D8EF" w14:textId="77777777" w:rsidR="0054762F" w:rsidRPr="00C867F5" w:rsidRDefault="0054762F" w:rsidP="0054762F">
            <w:pPr>
              <w:pStyle w:val="Tabletext"/>
              <w:rPr>
                <w:rFonts w:ascii="Arial" w:hAnsi="Arial" w:cs="Arial"/>
                <w:color w:val="C00000"/>
                <w:szCs w:val="20"/>
              </w:rPr>
            </w:pPr>
            <w:r w:rsidRPr="00C867F5">
              <w:rPr>
                <w:rFonts w:ascii="Cambria Math" w:hAnsi="Cambria Math" w:cs="Cambria Math"/>
                <w:color w:val="00B050"/>
                <w:szCs w:val="20"/>
              </w:rPr>
              <w:t>⨁</w:t>
            </w:r>
            <w:r w:rsidRPr="00C867F5">
              <w:rPr>
                <w:rFonts w:ascii="Cambria Math" w:hAnsi="Cambria Math" w:cs="Cambria Math"/>
                <w:color w:val="C00000"/>
                <w:szCs w:val="20"/>
              </w:rPr>
              <w:t>⨀⨀⨀</w:t>
            </w:r>
          </w:p>
          <w:p w14:paraId="105409F1" w14:textId="77777777" w:rsidR="0054762F" w:rsidRPr="00C867F5" w:rsidRDefault="0054762F" w:rsidP="0054762F">
            <w:pPr>
              <w:pStyle w:val="Tabletext"/>
              <w:rPr>
                <w:rFonts w:ascii="Arial" w:hAnsi="Arial" w:cs="Arial"/>
                <w:szCs w:val="20"/>
              </w:rPr>
            </w:pPr>
            <w:r w:rsidRPr="00C867F5">
              <w:rPr>
                <w:rFonts w:ascii="Arial" w:hAnsi="Arial" w:cs="Arial"/>
                <w:b/>
                <w:szCs w:val="20"/>
              </w:rPr>
              <w:t>Very Low</w:t>
            </w:r>
          </w:p>
        </w:tc>
        <w:tc>
          <w:tcPr>
            <w:tcW w:w="2835" w:type="dxa"/>
            <w:tcBorders>
              <w:top w:val="single" w:sz="4" w:space="0" w:color="auto"/>
              <w:left w:val="single" w:sz="4" w:space="0" w:color="auto"/>
              <w:bottom w:val="single" w:sz="4" w:space="0" w:color="auto"/>
              <w:right w:val="single" w:sz="4" w:space="0" w:color="auto"/>
            </w:tcBorders>
          </w:tcPr>
          <w:p w14:paraId="030E101C" w14:textId="77777777" w:rsidR="0054762F" w:rsidRPr="00C867F5" w:rsidRDefault="0054762F" w:rsidP="0054762F">
            <w:pPr>
              <w:spacing w:before="40" w:after="40"/>
              <w:rPr>
                <w:rFonts w:ascii="Arial" w:hAnsi="Arial" w:cs="Arial"/>
                <w:sz w:val="20"/>
              </w:rPr>
            </w:pPr>
            <w:r w:rsidRPr="00C867F5">
              <w:rPr>
                <w:rFonts w:ascii="Arial" w:hAnsi="Arial" w:cs="Arial"/>
                <w:sz w:val="20"/>
              </w:rPr>
              <w:t xml:space="preserve">PR-SHAM = 96.7 </w:t>
            </w:r>
            <w:r w:rsidRPr="00C867F5">
              <w:rPr>
                <w:rFonts w:ascii="Arial" w:hAnsi="Arial" w:cs="Arial"/>
                <w:sz w:val="20"/>
              </w:rPr>
              <w:br/>
              <w:t>(59.6, 133.7)</w:t>
            </w:r>
          </w:p>
          <w:p w14:paraId="4D8CC66E" w14:textId="77777777" w:rsidR="0054762F" w:rsidRPr="00C867F5" w:rsidRDefault="0054762F" w:rsidP="0054762F">
            <w:pPr>
              <w:spacing w:before="40" w:after="40"/>
              <w:rPr>
                <w:rFonts w:ascii="Arial" w:hAnsi="Arial" w:cs="Arial"/>
                <w:sz w:val="20"/>
              </w:rPr>
            </w:pPr>
            <w:r w:rsidRPr="00C867F5">
              <w:rPr>
                <w:rFonts w:ascii="Arial" w:hAnsi="Arial" w:cs="Arial"/>
                <w:sz w:val="20"/>
              </w:rPr>
              <w:t xml:space="preserve">PR-IMT = 124.5 </w:t>
            </w:r>
            <w:r w:rsidRPr="00C867F5">
              <w:rPr>
                <w:rFonts w:ascii="Arial" w:hAnsi="Arial" w:cs="Arial"/>
                <w:sz w:val="20"/>
              </w:rPr>
              <w:br/>
              <w:t>(63.2, 185.9)</w:t>
            </w:r>
          </w:p>
          <w:p w14:paraId="2CA55603" w14:textId="77777777" w:rsidR="0054762F" w:rsidRPr="00C867F5" w:rsidRDefault="0054762F" w:rsidP="0054762F">
            <w:pPr>
              <w:spacing w:before="40" w:after="40"/>
              <w:rPr>
                <w:rFonts w:ascii="Arial" w:hAnsi="Arial" w:cs="Arial"/>
                <w:sz w:val="20"/>
              </w:rPr>
            </w:pPr>
            <w:r w:rsidRPr="00C867F5">
              <w:rPr>
                <w:rFonts w:ascii="Arial" w:hAnsi="Arial" w:cs="Arial"/>
                <w:sz w:val="20"/>
              </w:rPr>
              <w:t xml:space="preserve">Control = 11.0 </w:t>
            </w:r>
            <w:r w:rsidRPr="00C867F5">
              <w:rPr>
                <w:rFonts w:ascii="Arial" w:hAnsi="Arial" w:cs="Arial"/>
                <w:sz w:val="20"/>
              </w:rPr>
              <w:br/>
              <w:t>(-16.9, 38.9)</w:t>
            </w:r>
          </w:p>
        </w:tc>
        <w:tc>
          <w:tcPr>
            <w:tcW w:w="1701" w:type="dxa"/>
            <w:tcBorders>
              <w:top w:val="single" w:sz="4" w:space="0" w:color="auto"/>
              <w:left w:val="single" w:sz="4" w:space="0" w:color="auto"/>
              <w:bottom w:val="single" w:sz="4" w:space="0" w:color="auto"/>
              <w:right w:val="single" w:sz="4" w:space="0" w:color="auto"/>
            </w:tcBorders>
          </w:tcPr>
          <w:p w14:paraId="5DE178B8" w14:textId="77777777" w:rsidR="0054762F" w:rsidRPr="00C867F5" w:rsidRDefault="0054762F" w:rsidP="0054762F">
            <w:pPr>
              <w:spacing w:before="40" w:after="40"/>
              <w:rPr>
                <w:rFonts w:ascii="Arial" w:hAnsi="Arial" w:cs="Arial"/>
                <w:sz w:val="20"/>
                <w:vertAlign w:val="superscript"/>
              </w:rPr>
            </w:pPr>
            <w:r w:rsidRPr="00C867F5">
              <w:rPr>
                <w:rFonts w:ascii="Arial" w:hAnsi="Arial" w:cs="Arial"/>
                <w:sz w:val="20"/>
                <w:vertAlign w:val="superscript"/>
              </w:rPr>
              <w:t>PR-SHAM and PR-IMT clinically and statistically significant, control not statistically or clinically significant</w:t>
            </w:r>
          </w:p>
        </w:tc>
      </w:tr>
    </w:tbl>
    <w:p w14:paraId="3037D450" w14:textId="77777777" w:rsidR="0054762F" w:rsidRPr="00C867F5" w:rsidRDefault="0054762F" w:rsidP="0054762F">
      <w:pPr>
        <w:rPr>
          <w:rFonts w:ascii="Arial" w:hAnsi="Arial" w:cs="Arial"/>
          <w:sz w:val="16"/>
          <w:szCs w:val="16"/>
        </w:rPr>
      </w:pPr>
      <w:r w:rsidRPr="00C867F5">
        <w:rPr>
          <w:rFonts w:ascii="Arial" w:hAnsi="Arial" w:cs="Arial"/>
          <w:sz w:val="16"/>
          <w:szCs w:val="16"/>
          <w:vertAlign w:val="superscript"/>
        </w:rPr>
        <w:t xml:space="preserve">a </w:t>
      </w:r>
      <w:r w:rsidRPr="00C867F5">
        <w:rPr>
          <w:rFonts w:ascii="Arial" w:hAnsi="Arial" w:cs="Arial"/>
          <w:sz w:val="16"/>
          <w:szCs w:val="16"/>
        </w:rPr>
        <w:t>GRADE Working Group grades of evidence (Guyatt et al., 2013)</w:t>
      </w:r>
      <w:r w:rsidRPr="00C867F5">
        <w:rPr>
          <w:rFonts w:ascii="Arial" w:hAnsi="Arial" w:cs="Arial"/>
          <w:sz w:val="16"/>
          <w:szCs w:val="16"/>
        </w:rPr>
        <w:br/>
      </w:r>
      <w:r w:rsidRPr="00C867F5">
        <w:rPr>
          <w:rFonts w:ascii="Cambria Math" w:hAnsi="Cambria Math" w:cs="Cambria Math"/>
          <w:color w:val="00B050"/>
          <w:sz w:val="16"/>
          <w:szCs w:val="16"/>
        </w:rPr>
        <w:t>⨁⨁⨁⨁</w:t>
      </w:r>
      <w:r w:rsidRPr="00C867F5">
        <w:rPr>
          <w:rFonts w:ascii="Arial" w:hAnsi="Arial" w:cs="Arial"/>
          <w:color w:val="00B050"/>
          <w:sz w:val="16"/>
          <w:szCs w:val="16"/>
        </w:rPr>
        <w:t xml:space="preserve"> </w:t>
      </w:r>
      <w:r w:rsidRPr="00C867F5">
        <w:rPr>
          <w:rFonts w:ascii="Arial" w:hAnsi="Arial" w:cs="Arial"/>
          <w:b/>
          <w:bCs/>
          <w:sz w:val="16"/>
          <w:szCs w:val="16"/>
        </w:rPr>
        <w:t>High quality:</w:t>
      </w:r>
      <w:r w:rsidRPr="00C867F5">
        <w:rPr>
          <w:rFonts w:ascii="Arial" w:hAnsi="Arial" w:cs="Arial"/>
          <w:sz w:val="16"/>
          <w:szCs w:val="16"/>
        </w:rPr>
        <w:t xml:space="preserve"> We are very confident that the true effect lies close to that of the estimated effect. </w:t>
      </w:r>
      <w:r w:rsidRPr="00C867F5">
        <w:rPr>
          <w:rFonts w:ascii="Arial" w:hAnsi="Arial" w:cs="Arial"/>
          <w:sz w:val="16"/>
          <w:szCs w:val="16"/>
        </w:rPr>
        <w:br/>
      </w:r>
      <w:r w:rsidRPr="00C867F5">
        <w:rPr>
          <w:rFonts w:ascii="Cambria Math" w:hAnsi="Cambria Math" w:cs="Cambria Math"/>
          <w:color w:val="00B050"/>
          <w:sz w:val="16"/>
          <w:szCs w:val="16"/>
        </w:rPr>
        <w:t>⨁⨁⨁</w:t>
      </w:r>
      <w:r w:rsidRPr="00C867F5">
        <w:rPr>
          <w:rFonts w:ascii="Cambria Math" w:hAnsi="Cambria Math" w:cs="Cambria Math"/>
          <w:color w:val="C00000"/>
          <w:sz w:val="16"/>
          <w:szCs w:val="16"/>
        </w:rPr>
        <w:t>⨀</w:t>
      </w:r>
      <w:r w:rsidRPr="00C867F5">
        <w:rPr>
          <w:rFonts w:ascii="Arial" w:hAnsi="Arial" w:cs="Arial"/>
          <w:color w:val="C00000"/>
          <w:sz w:val="16"/>
          <w:szCs w:val="16"/>
        </w:rPr>
        <w:t xml:space="preserve"> </w:t>
      </w:r>
      <w:r w:rsidRPr="00C867F5">
        <w:rPr>
          <w:rFonts w:ascii="Arial" w:hAnsi="Arial" w:cs="Arial"/>
          <w:b/>
          <w:bCs/>
          <w:sz w:val="16"/>
          <w:szCs w:val="16"/>
        </w:rPr>
        <w:t>Moderate quality:</w:t>
      </w:r>
      <w:r w:rsidRPr="00C867F5">
        <w:rPr>
          <w:rFonts w:ascii="Arial" w:hAnsi="Arial" w:cs="Arial"/>
          <w:sz w:val="16"/>
          <w:szCs w:val="16"/>
        </w:rPr>
        <w:t xml:space="preserve"> We are moderately confident in the effect estimate: The true effect is likely to be close to the estimated effect, but there is a possibility that it is substantially different. </w:t>
      </w:r>
      <w:r w:rsidRPr="00C867F5">
        <w:rPr>
          <w:rFonts w:ascii="Arial" w:hAnsi="Arial" w:cs="Arial"/>
          <w:sz w:val="16"/>
          <w:szCs w:val="16"/>
        </w:rPr>
        <w:br/>
      </w:r>
      <w:r w:rsidRPr="00C867F5">
        <w:rPr>
          <w:rFonts w:ascii="Cambria Math" w:hAnsi="Cambria Math" w:cs="Cambria Math"/>
          <w:color w:val="00B050"/>
          <w:sz w:val="16"/>
          <w:szCs w:val="16"/>
        </w:rPr>
        <w:t>⨁⨁</w:t>
      </w:r>
      <w:r w:rsidRPr="00C867F5">
        <w:rPr>
          <w:rFonts w:ascii="Cambria Math" w:hAnsi="Cambria Math" w:cs="Cambria Math"/>
          <w:color w:val="C00000"/>
          <w:sz w:val="16"/>
          <w:szCs w:val="16"/>
        </w:rPr>
        <w:t>⨀⨀</w:t>
      </w:r>
      <w:r w:rsidRPr="00C867F5">
        <w:rPr>
          <w:rFonts w:ascii="Arial" w:hAnsi="Arial" w:cs="Arial"/>
          <w:color w:val="C00000"/>
          <w:sz w:val="16"/>
          <w:szCs w:val="16"/>
        </w:rPr>
        <w:t xml:space="preserve"> </w:t>
      </w:r>
      <w:r w:rsidRPr="00C867F5">
        <w:rPr>
          <w:rFonts w:ascii="Arial" w:hAnsi="Arial" w:cs="Arial"/>
          <w:b/>
          <w:bCs/>
          <w:sz w:val="16"/>
          <w:szCs w:val="16"/>
        </w:rPr>
        <w:t>Low quality:</w:t>
      </w:r>
      <w:r w:rsidRPr="00C867F5">
        <w:rPr>
          <w:rFonts w:ascii="Arial" w:hAnsi="Arial" w:cs="Arial"/>
          <w:sz w:val="16"/>
          <w:szCs w:val="16"/>
        </w:rPr>
        <w:t xml:space="preserve"> Our confidence in the effect estimate is limited: The true effect may be substantially different from the estimated effect.</w:t>
      </w:r>
      <w:r w:rsidRPr="00C867F5">
        <w:rPr>
          <w:rFonts w:ascii="Arial" w:hAnsi="Arial" w:cs="Arial"/>
          <w:sz w:val="16"/>
          <w:szCs w:val="16"/>
        </w:rPr>
        <w:br/>
      </w:r>
      <w:r w:rsidRPr="00C867F5">
        <w:rPr>
          <w:rFonts w:ascii="Cambria Math" w:hAnsi="Cambria Math" w:cs="Cambria Math"/>
          <w:color w:val="00B050"/>
          <w:sz w:val="16"/>
          <w:szCs w:val="16"/>
        </w:rPr>
        <w:t>⨁</w:t>
      </w:r>
      <w:r w:rsidRPr="00C867F5">
        <w:rPr>
          <w:rFonts w:ascii="Cambria Math" w:hAnsi="Cambria Math" w:cs="Cambria Math"/>
          <w:color w:val="C00000"/>
          <w:sz w:val="16"/>
          <w:szCs w:val="16"/>
        </w:rPr>
        <w:t>⨀⨀⨀</w:t>
      </w:r>
      <w:r w:rsidRPr="00C867F5">
        <w:rPr>
          <w:rFonts w:ascii="Arial" w:hAnsi="Arial" w:cs="Arial"/>
          <w:color w:val="C00000"/>
          <w:sz w:val="16"/>
          <w:szCs w:val="16"/>
        </w:rPr>
        <w:t xml:space="preserve"> </w:t>
      </w:r>
      <w:r w:rsidRPr="00C867F5">
        <w:rPr>
          <w:rFonts w:ascii="Arial" w:hAnsi="Arial" w:cs="Arial"/>
          <w:b/>
          <w:bCs/>
          <w:sz w:val="16"/>
          <w:szCs w:val="16"/>
        </w:rPr>
        <w:t>Very low quality:</w:t>
      </w:r>
      <w:r w:rsidRPr="00C867F5">
        <w:rPr>
          <w:rFonts w:ascii="Arial" w:hAnsi="Arial" w:cs="Arial"/>
          <w:sz w:val="16"/>
          <w:szCs w:val="16"/>
        </w:rPr>
        <w:t xml:space="preserve"> We have very little confidence in the effect estimate: The true effect is likely to be substantially different from the estimated effect.</w:t>
      </w:r>
    </w:p>
    <w:p w14:paraId="68D8C0F9" w14:textId="77777777" w:rsidR="0054762F" w:rsidRPr="00FF5712" w:rsidRDefault="0054762F" w:rsidP="00E11371">
      <w:pPr>
        <w:spacing w:before="240"/>
      </w:pPr>
      <w:r w:rsidRPr="00FF5712">
        <w:t xml:space="preserve">On the basis of the evidence profile (summarised in </w:t>
      </w:r>
      <w:r w:rsidR="00C867F5">
        <w:fldChar w:fldCharType="begin"/>
      </w:r>
      <w:r w:rsidR="00C867F5">
        <w:instrText xml:space="preserve"> REF _Ref457824824 \h  \* MERGEFORMAT </w:instrText>
      </w:r>
      <w:r w:rsidR="00C867F5">
        <w:fldChar w:fldCharType="separate"/>
      </w:r>
      <w:r w:rsidR="00C867F5" w:rsidRPr="00C867F5">
        <w:t>Table 6</w:t>
      </w:r>
      <w:r w:rsidR="00C867F5">
        <w:fldChar w:fldCharType="end"/>
      </w:r>
      <w:r w:rsidRPr="00FF5712">
        <w:t xml:space="preserve">), it is suggested that for patients with lung cancer, relative to usual care, PR has non-inferior effectiveness in terms of quality of life and functional exercise capacity. </w:t>
      </w:r>
    </w:p>
    <w:p w14:paraId="5E700E56" w14:textId="77777777" w:rsidR="0054762F" w:rsidRPr="00FF5712" w:rsidRDefault="0054762F" w:rsidP="0054762F"/>
    <w:p w14:paraId="0BE2D914" w14:textId="77777777" w:rsidR="0054762F" w:rsidRPr="00C867F5" w:rsidRDefault="00C867F5" w:rsidP="0054762F">
      <w:pPr>
        <w:pStyle w:val="Caption"/>
        <w:jc w:val="left"/>
        <w:rPr>
          <w:rFonts w:ascii="Arial" w:hAnsi="Arial"/>
        </w:rPr>
      </w:pPr>
      <w:bookmarkStart w:id="11" w:name="_Ref457824824"/>
      <w:bookmarkStart w:id="12" w:name="_Toc457928912"/>
      <w:r w:rsidRPr="00C867F5">
        <w:rPr>
          <w:rFonts w:ascii="Arial" w:hAnsi="Arial"/>
        </w:rPr>
        <w:lastRenderedPageBreak/>
        <w:t xml:space="preserve">Table </w:t>
      </w:r>
      <w:r w:rsidRPr="00C867F5">
        <w:rPr>
          <w:rFonts w:ascii="Arial" w:hAnsi="Arial"/>
        </w:rPr>
        <w:fldChar w:fldCharType="begin"/>
      </w:r>
      <w:r w:rsidRPr="00C867F5">
        <w:rPr>
          <w:rFonts w:ascii="Arial" w:hAnsi="Arial"/>
        </w:rPr>
        <w:instrText xml:space="preserve"> SEQ Table \* ARABIC </w:instrText>
      </w:r>
      <w:r w:rsidRPr="00C867F5">
        <w:rPr>
          <w:rFonts w:ascii="Arial" w:hAnsi="Arial"/>
        </w:rPr>
        <w:fldChar w:fldCharType="separate"/>
      </w:r>
      <w:r w:rsidR="004406F9">
        <w:rPr>
          <w:rFonts w:ascii="Arial" w:hAnsi="Arial"/>
          <w:noProof/>
        </w:rPr>
        <w:t>6</w:t>
      </w:r>
      <w:r w:rsidRPr="00C867F5">
        <w:rPr>
          <w:rFonts w:ascii="Arial" w:hAnsi="Arial"/>
        </w:rPr>
        <w:fldChar w:fldCharType="end"/>
      </w:r>
      <w:bookmarkEnd w:id="11"/>
      <w:r w:rsidR="00FF5712" w:rsidRPr="00C867F5">
        <w:rPr>
          <w:rFonts w:ascii="Arial" w:hAnsi="Arial"/>
        </w:rPr>
        <w:tab/>
      </w:r>
      <w:r>
        <w:rPr>
          <w:rFonts w:ascii="Arial" w:hAnsi="Arial"/>
        </w:rPr>
        <w:tab/>
      </w:r>
      <w:r w:rsidR="0054762F" w:rsidRPr="00C867F5">
        <w:rPr>
          <w:rFonts w:ascii="Arial" w:hAnsi="Arial"/>
          <w:snapToGrid w:val="0"/>
        </w:rPr>
        <w:t xml:space="preserve">Balance of clinical benefits and harms of pulmonary rehabilitation, relative to usual care, and as measured by the </w:t>
      </w:r>
      <w:r w:rsidR="0054762F" w:rsidRPr="00C867F5">
        <w:rPr>
          <w:rFonts w:ascii="Arial" w:hAnsi="Arial"/>
          <w:snapToGrid w:val="0"/>
          <w:u w:val="single"/>
        </w:rPr>
        <w:t>critical</w:t>
      </w:r>
      <w:r w:rsidR="0054762F" w:rsidRPr="00C867F5">
        <w:rPr>
          <w:rFonts w:ascii="Arial" w:hAnsi="Arial"/>
          <w:snapToGrid w:val="0"/>
        </w:rPr>
        <w:t xml:space="preserve"> patient-relevant outcomes in the key trials in lung cancer</w:t>
      </w:r>
      <w:bookmarkEnd w:id="12"/>
    </w:p>
    <w:tbl>
      <w:tblPr>
        <w:tblW w:w="0" w:type="auto"/>
        <w:tblLook w:val="04A0" w:firstRow="1" w:lastRow="0" w:firstColumn="1" w:lastColumn="0" w:noHBand="0" w:noVBand="1"/>
        <w:tblDescription w:val="This table outlines the balance of clinical benefits and harms of pulmonary rehabilitation, relative to usual care, and as measured by the critical patient-relevant outcomes in the key studies in lung cancer."/>
      </w:tblPr>
      <w:tblGrid>
        <w:gridCol w:w="1845"/>
        <w:gridCol w:w="1807"/>
        <w:gridCol w:w="1843"/>
        <w:gridCol w:w="1843"/>
        <w:gridCol w:w="1842"/>
      </w:tblGrid>
      <w:tr w:rsidR="0054762F" w:rsidRPr="00C867F5" w14:paraId="54200C75" w14:textId="77777777" w:rsidTr="0054762F">
        <w:tc>
          <w:tcPr>
            <w:tcW w:w="1845" w:type="dxa"/>
            <w:tcBorders>
              <w:top w:val="single" w:sz="4" w:space="0" w:color="auto"/>
              <w:left w:val="single" w:sz="4" w:space="0" w:color="auto"/>
              <w:bottom w:val="single" w:sz="4" w:space="0" w:color="auto"/>
              <w:right w:val="single" w:sz="4" w:space="0" w:color="auto"/>
            </w:tcBorders>
          </w:tcPr>
          <w:p w14:paraId="18AE93F5" w14:textId="77777777" w:rsidR="0054762F" w:rsidRPr="00C867F5" w:rsidRDefault="0054762F" w:rsidP="002F694E">
            <w:pPr>
              <w:pStyle w:val="TableHeading"/>
              <w:ind w:left="0" w:firstLine="0"/>
              <w:jc w:val="left"/>
              <w:rPr>
                <w:rFonts w:ascii="Arial" w:hAnsi="Arial" w:cs="Arial"/>
              </w:rPr>
            </w:pPr>
            <w:r w:rsidRPr="00C867F5">
              <w:rPr>
                <w:rFonts w:ascii="Arial" w:hAnsi="Arial" w:cs="Arial"/>
              </w:rPr>
              <w:t>Outcomes (units)</w:t>
            </w:r>
          </w:p>
          <w:p w14:paraId="7C6EE09D" w14:textId="77777777" w:rsidR="0054762F" w:rsidRPr="00C867F5" w:rsidRDefault="0054762F" w:rsidP="0054762F">
            <w:pPr>
              <w:pStyle w:val="TableHeading"/>
              <w:jc w:val="left"/>
              <w:rPr>
                <w:rFonts w:ascii="Arial" w:hAnsi="Arial" w:cs="Arial"/>
              </w:rPr>
            </w:pPr>
            <w:r w:rsidRPr="00C867F5">
              <w:rPr>
                <w:rFonts w:ascii="Arial" w:hAnsi="Arial" w:cs="Arial"/>
              </w:rPr>
              <w:t>Follow-up</w:t>
            </w:r>
          </w:p>
        </w:tc>
        <w:tc>
          <w:tcPr>
            <w:tcW w:w="1807" w:type="dxa"/>
            <w:tcBorders>
              <w:top w:val="single" w:sz="4" w:space="0" w:color="auto"/>
              <w:left w:val="single" w:sz="4" w:space="0" w:color="auto"/>
              <w:bottom w:val="single" w:sz="4" w:space="0" w:color="auto"/>
              <w:right w:val="single" w:sz="4" w:space="0" w:color="auto"/>
            </w:tcBorders>
          </w:tcPr>
          <w:p w14:paraId="44ABD33B" w14:textId="77777777" w:rsidR="0054762F" w:rsidRPr="00C867F5" w:rsidRDefault="0054762F" w:rsidP="0054762F">
            <w:pPr>
              <w:pStyle w:val="TableHeading"/>
              <w:ind w:left="0" w:firstLine="0"/>
              <w:jc w:val="left"/>
              <w:rPr>
                <w:rFonts w:ascii="Arial" w:hAnsi="Arial" w:cs="Arial"/>
              </w:rPr>
            </w:pPr>
            <w:r w:rsidRPr="00C867F5">
              <w:rPr>
                <w:rFonts w:ascii="Arial" w:hAnsi="Arial" w:cs="Arial"/>
              </w:rPr>
              <w:t>Pooled participants</w:t>
            </w:r>
          </w:p>
          <w:p w14:paraId="0ED3635E" w14:textId="77777777" w:rsidR="0054762F" w:rsidRPr="00C867F5" w:rsidRDefault="0054762F" w:rsidP="0054762F">
            <w:pPr>
              <w:pStyle w:val="TableHeading"/>
              <w:ind w:left="-2" w:firstLine="2"/>
              <w:jc w:val="left"/>
              <w:rPr>
                <w:rFonts w:ascii="Arial" w:hAnsi="Arial" w:cs="Arial"/>
              </w:rPr>
            </w:pPr>
            <w:r w:rsidRPr="00C867F5">
              <w:rPr>
                <w:rFonts w:ascii="Arial" w:hAnsi="Arial" w:cs="Arial"/>
              </w:rPr>
              <w:t>(number of trials)</w:t>
            </w:r>
          </w:p>
        </w:tc>
        <w:tc>
          <w:tcPr>
            <w:tcW w:w="1843" w:type="dxa"/>
            <w:tcBorders>
              <w:top w:val="single" w:sz="4" w:space="0" w:color="auto"/>
              <w:left w:val="single" w:sz="4" w:space="0" w:color="auto"/>
              <w:bottom w:val="single" w:sz="4" w:space="0" w:color="auto"/>
              <w:right w:val="single" w:sz="4" w:space="0" w:color="auto"/>
            </w:tcBorders>
          </w:tcPr>
          <w:p w14:paraId="5E97B3F6" w14:textId="77777777" w:rsidR="0054762F" w:rsidRPr="00C867F5" w:rsidRDefault="0054762F" w:rsidP="0054762F">
            <w:pPr>
              <w:pStyle w:val="TableHeading"/>
              <w:ind w:left="0" w:firstLine="0"/>
              <w:jc w:val="left"/>
              <w:rPr>
                <w:rFonts w:ascii="Arial" w:hAnsi="Arial" w:cs="Arial"/>
              </w:rPr>
            </w:pPr>
            <w:r w:rsidRPr="00C867F5">
              <w:rPr>
                <w:rFonts w:ascii="Arial" w:hAnsi="Arial" w:cs="Arial"/>
              </w:rPr>
              <w:t>Quality of evidence (GRADE</w:t>
            </w:r>
            <w:r w:rsidRPr="00C867F5">
              <w:rPr>
                <w:rFonts w:ascii="Arial" w:hAnsi="Arial" w:cs="Arial"/>
                <w:vertAlign w:val="superscript"/>
              </w:rPr>
              <w:t xml:space="preserve"> a</w:t>
            </w:r>
            <w:r w:rsidRPr="00C867F5">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14:paraId="7CDFC1A6" w14:textId="77777777" w:rsidR="0054762F" w:rsidRPr="00C867F5" w:rsidRDefault="0054762F" w:rsidP="0054762F">
            <w:pPr>
              <w:pStyle w:val="TableHeading"/>
              <w:ind w:left="-12" w:firstLine="12"/>
              <w:jc w:val="left"/>
              <w:rPr>
                <w:rFonts w:ascii="Arial" w:hAnsi="Arial" w:cs="Arial"/>
              </w:rPr>
            </w:pPr>
            <w:r w:rsidRPr="00C867F5">
              <w:rPr>
                <w:rFonts w:ascii="Arial" w:hAnsi="Arial" w:cs="Arial"/>
              </w:rPr>
              <w:t>Relative effect (95%CI)</w:t>
            </w:r>
          </w:p>
        </w:tc>
        <w:tc>
          <w:tcPr>
            <w:tcW w:w="1842" w:type="dxa"/>
            <w:tcBorders>
              <w:top w:val="single" w:sz="4" w:space="0" w:color="auto"/>
              <w:left w:val="single" w:sz="4" w:space="0" w:color="auto"/>
              <w:bottom w:val="single" w:sz="4" w:space="0" w:color="auto"/>
              <w:right w:val="single" w:sz="4" w:space="0" w:color="auto"/>
            </w:tcBorders>
          </w:tcPr>
          <w:p w14:paraId="2F1502FA" w14:textId="77777777" w:rsidR="0054762F" w:rsidRPr="00C867F5" w:rsidRDefault="0054762F" w:rsidP="002F694E">
            <w:pPr>
              <w:pStyle w:val="TableHeading"/>
              <w:ind w:left="33" w:hanging="33"/>
              <w:jc w:val="left"/>
              <w:rPr>
                <w:rFonts w:ascii="Arial" w:hAnsi="Arial" w:cs="Arial"/>
              </w:rPr>
            </w:pPr>
            <w:r w:rsidRPr="00C867F5">
              <w:rPr>
                <w:rFonts w:ascii="Arial" w:hAnsi="Arial" w:cs="Arial"/>
              </w:rPr>
              <w:t>Comments</w:t>
            </w:r>
          </w:p>
        </w:tc>
      </w:tr>
      <w:tr w:rsidR="0054762F" w:rsidRPr="00C867F5" w14:paraId="1C0CDEC4" w14:textId="77777777" w:rsidTr="0054762F">
        <w:trPr>
          <w:trHeight w:val="263"/>
        </w:trPr>
        <w:tc>
          <w:tcPr>
            <w:tcW w:w="1845" w:type="dxa"/>
            <w:tcBorders>
              <w:top w:val="single" w:sz="4" w:space="0" w:color="auto"/>
              <w:left w:val="single" w:sz="4" w:space="0" w:color="auto"/>
              <w:bottom w:val="single" w:sz="4" w:space="0" w:color="auto"/>
              <w:right w:val="single" w:sz="4" w:space="0" w:color="auto"/>
            </w:tcBorders>
          </w:tcPr>
          <w:p w14:paraId="6C8AC3F6" w14:textId="77777777" w:rsidR="0054762F" w:rsidRPr="00C867F5" w:rsidRDefault="0054762F" w:rsidP="0054762F">
            <w:pPr>
              <w:spacing w:before="40" w:after="40"/>
              <w:rPr>
                <w:rFonts w:ascii="Arial" w:hAnsi="Arial" w:cs="Arial"/>
                <w:sz w:val="20"/>
              </w:rPr>
            </w:pPr>
            <w:r w:rsidRPr="00C867F5">
              <w:rPr>
                <w:rFonts w:ascii="Arial" w:hAnsi="Arial" w:cs="Arial"/>
                <w:sz w:val="20"/>
              </w:rPr>
              <w:t>SGRQ</w:t>
            </w:r>
          </w:p>
        </w:tc>
        <w:tc>
          <w:tcPr>
            <w:tcW w:w="1807" w:type="dxa"/>
            <w:tcBorders>
              <w:top w:val="single" w:sz="4" w:space="0" w:color="auto"/>
              <w:left w:val="single" w:sz="4" w:space="0" w:color="auto"/>
              <w:bottom w:val="single" w:sz="4" w:space="0" w:color="auto"/>
              <w:right w:val="single" w:sz="4" w:space="0" w:color="auto"/>
            </w:tcBorders>
          </w:tcPr>
          <w:p w14:paraId="228C9DF1" w14:textId="77777777" w:rsidR="0054762F" w:rsidRPr="00C867F5" w:rsidRDefault="0054762F" w:rsidP="0054762F">
            <w:pPr>
              <w:spacing w:before="40" w:after="40"/>
              <w:rPr>
                <w:rFonts w:ascii="Arial" w:hAnsi="Arial" w:cs="Arial"/>
                <w:sz w:val="20"/>
              </w:rPr>
            </w:pPr>
            <w:r w:rsidRPr="00C867F5">
              <w:rPr>
                <w:rFonts w:ascii="Arial" w:hAnsi="Arial" w:cs="Arial"/>
                <w:sz w:val="20"/>
              </w:rPr>
              <w:t>40 PR / 39 control</w:t>
            </w:r>
          </w:p>
          <w:p w14:paraId="0793FDD9" w14:textId="77777777" w:rsidR="0054762F" w:rsidRPr="00C867F5" w:rsidRDefault="0054762F" w:rsidP="0054762F">
            <w:pPr>
              <w:spacing w:before="40" w:after="40"/>
              <w:rPr>
                <w:rFonts w:ascii="Arial" w:hAnsi="Arial" w:cs="Arial"/>
                <w:sz w:val="20"/>
              </w:rPr>
            </w:pPr>
            <w:r w:rsidRPr="00C867F5">
              <w:rPr>
                <w:rFonts w:ascii="Arial" w:hAnsi="Arial" w:cs="Arial"/>
                <w:sz w:val="20"/>
              </w:rPr>
              <w:t>(2)</w:t>
            </w:r>
          </w:p>
        </w:tc>
        <w:tc>
          <w:tcPr>
            <w:tcW w:w="1843" w:type="dxa"/>
            <w:tcBorders>
              <w:top w:val="single" w:sz="4" w:space="0" w:color="auto"/>
              <w:left w:val="single" w:sz="4" w:space="0" w:color="auto"/>
              <w:bottom w:val="single" w:sz="4" w:space="0" w:color="auto"/>
              <w:right w:val="single" w:sz="4" w:space="0" w:color="auto"/>
            </w:tcBorders>
          </w:tcPr>
          <w:p w14:paraId="537E1265" w14:textId="77777777" w:rsidR="0054762F" w:rsidRPr="00C867F5" w:rsidRDefault="0054762F" w:rsidP="0054762F">
            <w:pPr>
              <w:pStyle w:val="Tabletext"/>
              <w:rPr>
                <w:rFonts w:ascii="Arial" w:hAnsi="Arial" w:cs="Arial"/>
                <w:color w:val="C00000"/>
                <w:szCs w:val="20"/>
              </w:rPr>
            </w:pPr>
            <w:r w:rsidRPr="00C867F5">
              <w:rPr>
                <w:rFonts w:ascii="Cambria Math" w:hAnsi="Cambria Math" w:cs="Cambria Math"/>
                <w:color w:val="00B050"/>
                <w:szCs w:val="20"/>
              </w:rPr>
              <w:t>⨁⨁</w:t>
            </w:r>
            <w:r w:rsidRPr="00C867F5">
              <w:rPr>
                <w:rFonts w:ascii="Cambria Math" w:hAnsi="Cambria Math" w:cs="Cambria Math"/>
                <w:color w:val="C00000"/>
                <w:szCs w:val="20"/>
              </w:rPr>
              <w:t>⨀⨀</w:t>
            </w:r>
          </w:p>
          <w:p w14:paraId="26949F1C" w14:textId="77777777" w:rsidR="0054762F" w:rsidRPr="00C867F5" w:rsidRDefault="0054762F" w:rsidP="0054762F">
            <w:pPr>
              <w:pStyle w:val="Tabletext"/>
              <w:rPr>
                <w:rFonts w:ascii="Arial" w:hAnsi="Arial" w:cs="Arial"/>
                <w:szCs w:val="20"/>
                <w:highlight w:val="yellow"/>
              </w:rPr>
            </w:pPr>
            <w:r w:rsidRPr="00C867F5">
              <w:rPr>
                <w:rFonts w:ascii="Arial" w:hAnsi="Arial" w:cs="Arial"/>
                <w:b/>
                <w:szCs w:val="20"/>
              </w:rPr>
              <w:t>Low</w:t>
            </w:r>
          </w:p>
        </w:tc>
        <w:tc>
          <w:tcPr>
            <w:tcW w:w="1843" w:type="dxa"/>
            <w:tcBorders>
              <w:top w:val="single" w:sz="4" w:space="0" w:color="auto"/>
              <w:left w:val="single" w:sz="4" w:space="0" w:color="auto"/>
              <w:bottom w:val="single" w:sz="4" w:space="0" w:color="auto"/>
              <w:right w:val="single" w:sz="4" w:space="0" w:color="auto"/>
            </w:tcBorders>
          </w:tcPr>
          <w:p w14:paraId="2EA8B6A9" w14:textId="77777777" w:rsidR="0054762F" w:rsidRPr="00C867F5" w:rsidRDefault="0054762F" w:rsidP="0054762F">
            <w:pPr>
              <w:spacing w:before="40" w:after="40"/>
              <w:rPr>
                <w:rFonts w:ascii="Arial" w:hAnsi="Arial" w:cs="Arial"/>
                <w:sz w:val="20"/>
              </w:rPr>
            </w:pPr>
            <w:r w:rsidRPr="00C867F5">
              <w:rPr>
                <w:rFonts w:ascii="Arial" w:hAnsi="Arial" w:cs="Arial"/>
                <w:sz w:val="20"/>
              </w:rPr>
              <w:t>-1.51 (-9.97, 6.95)</w:t>
            </w:r>
          </w:p>
        </w:tc>
        <w:tc>
          <w:tcPr>
            <w:tcW w:w="1842" w:type="dxa"/>
            <w:tcBorders>
              <w:top w:val="single" w:sz="4" w:space="0" w:color="auto"/>
              <w:left w:val="single" w:sz="4" w:space="0" w:color="auto"/>
              <w:bottom w:val="single" w:sz="4" w:space="0" w:color="auto"/>
              <w:right w:val="single" w:sz="4" w:space="0" w:color="auto"/>
            </w:tcBorders>
          </w:tcPr>
          <w:p w14:paraId="197441CC" w14:textId="77777777" w:rsidR="0054762F" w:rsidRPr="00C867F5" w:rsidRDefault="0054762F" w:rsidP="0054762F">
            <w:pPr>
              <w:spacing w:before="40" w:after="40"/>
              <w:rPr>
                <w:rFonts w:ascii="Arial" w:hAnsi="Arial" w:cs="Arial"/>
                <w:sz w:val="20"/>
                <w:vertAlign w:val="superscript"/>
              </w:rPr>
            </w:pPr>
            <w:r w:rsidRPr="00C867F5">
              <w:rPr>
                <w:rFonts w:ascii="Arial" w:hAnsi="Arial" w:cs="Arial"/>
                <w:sz w:val="20"/>
                <w:vertAlign w:val="superscript"/>
              </w:rPr>
              <w:t>Not statistically or clinically significant</w:t>
            </w:r>
          </w:p>
        </w:tc>
      </w:tr>
      <w:tr w:rsidR="0054762F" w:rsidRPr="00C867F5" w14:paraId="06FDCCD1" w14:textId="77777777" w:rsidTr="0054762F">
        <w:trPr>
          <w:trHeight w:val="784"/>
        </w:trPr>
        <w:tc>
          <w:tcPr>
            <w:tcW w:w="1845" w:type="dxa"/>
            <w:tcBorders>
              <w:top w:val="single" w:sz="4" w:space="0" w:color="auto"/>
              <w:left w:val="single" w:sz="4" w:space="0" w:color="auto"/>
              <w:bottom w:val="single" w:sz="4" w:space="0" w:color="auto"/>
              <w:right w:val="single" w:sz="4" w:space="0" w:color="auto"/>
            </w:tcBorders>
          </w:tcPr>
          <w:p w14:paraId="34CACCC3" w14:textId="77777777" w:rsidR="0054762F" w:rsidRPr="00C867F5" w:rsidRDefault="0054762F" w:rsidP="0054762F">
            <w:pPr>
              <w:spacing w:before="40" w:after="40"/>
              <w:rPr>
                <w:rFonts w:ascii="Arial" w:hAnsi="Arial" w:cs="Arial"/>
                <w:sz w:val="20"/>
              </w:rPr>
            </w:pPr>
            <w:r w:rsidRPr="00C867F5">
              <w:rPr>
                <w:rFonts w:ascii="Arial" w:hAnsi="Arial" w:cs="Arial"/>
                <w:sz w:val="20"/>
              </w:rPr>
              <w:t>6MWT</w:t>
            </w:r>
          </w:p>
        </w:tc>
        <w:tc>
          <w:tcPr>
            <w:tcW w:w="1807" w:type="dxa"/>
            <w:tcBorders>
              <w:top w:val="single" w:sz="4" w:space="0" w:color="auto"/>
              <w:left w:val="single" w:sz="4" w:space="0" w:color="auto"/>
              <w:bottom w:val="single" w:sz="4" w:space="0" w:color="auto"/>
              <w:right w:val="single" w:sz="4" w:space="0" w:color="auto"/>
            </w:tcBorders>
          </w:tcPr>
          <w:p w14:paraId="631E1A39" w14:textId="77777777" w:rsidR="0054762F" w:rsidRPr="00C867F5" w:rsidRDefault="0054762F" w:rsidP="0054762F">
            <w:pPr>
              <w:spacing w:before="40" w:after="40"/>
              <w:rPr>
                <w:rFonts w:ascii="Arial" w:hAnsi="Arial" w:cs="Arial"/>
                <w:sz w:val="20"/>
              </w:rPr>
            </w:pPr>
            <w:r w:rsidRPr="00C867F5">
              <w:rPr>
                <w:rFonts w:ascii="Arial" w:hAnsi="Arial" w:cs="Arial"/>
                <w:sz w:val="20"/>
              </w:rPr>
              <w:t>52 PR / 47 control</w:t>
            </w:r>
          </w:p>
          <w:p w14:paraId="14E0DE31" w14:textId="77777777" w:rsidR="0054762F" w:rsidRPr="00C867F5" w:rsidRDefault="0054762F" w:rsidP="0054762F">
            <w:pPr>
              <w:spacing w:before="40" w:after="40"/>
              <w:rPr>
                <w:rFonts w:ascii="Arial" w:hAnsi="Arial" w:cs="Arial"/>
                <w:sz w:val="20"/>
              </w:rPr>
            </w:pPr>
            <w:r w:rsidRPr="00C867F5">
              <w:rPr>
                <w:rFonts w:ascii="Arial" w:hAnsi="Arial" w:cs="Arial"/>
                <w:sz w:val="20"/>
              </w:rPr>
              <w:t>(3)</w:t>
            </w:r>
          </w:p>
        </w:tc>
        <w:tc>
          <w:tcPr>
            <w:tcW w:w="1843" w:type="dxa"/>
            <w:tcBorders>
              <w:top w:val="single" w:sz="4" w:space="0" w:color="auto"/>
              <w:left w:val="single" w:sz="4" w:space="0" w:color="auto"/>
              <w:bottom w:val="single" w:sz="4" w:space="0" w:color="auto"/>
              <w:right w:val="single" w:sz="4" w:space="0" w:color="auto"/>
            </w:tcBorders>
          </w:tcPr>
          <w:p w14:paraId="11B8BD58" w14:textId="77777777" w:rsidR="0054762F" w:rsidRPr="00C867F5" w:rsidRDefault="0054762F" w:rsidP="0054762F">
            <w:pPr>
              <w:pStyle w:val="Tabletext"/>
              <w:rPr>
                <w:rFonts w:ascii="Arial" w:hAnsi="Arial" w:cs="Arial"/>
                <w:color w:val="C00000"/>
                <w:szCs w:val="20"/>
              </w:rPr>
            </w:pPr>
            <w:r w:rsidRPr="00C867F5">
              <w:rPr>
                <w:rFonts w:ascii="Cambria Math" w:hAnsi="Cambria Math" w:cs="Cambria Math"/>
                <w:color w:val="00B050"/>
                <w:szCs w:val="20"/>
              </w:rPr>
              <w:t>⨁⨁</w:t>
            </w:r>
            <w:r w:rsidRPr="00C867F5">
              <w:rPr>
                <w:rFonts w:ascii="Cambria Math" w:hAnsi="Cambria Math" w:cs="Cambria Math"/>
                <w:color w:val="C00000"/>
                <w:szCs w:val="20"/>
              </w:rPr>
              <w:t>⨀⨀</w:t>
            </w:r>
          </w:p>
          <w:p w14:paraId="77448DA4" w14:textId="77777777" w:rsidR="0054762F" w:rsidRPr="00C867F5" w:rsidRDefault="0054762F" w:rsidP="0054762F">
            <w:pPr>
              <w:pStyle w:val="Tabletext"/>
              <w:rPr>
                <w:rFonts w:ascii="Arial" w:hAnsi="Arial" w:cs="Arial"/>
                <w:szCs w:val="20"/>
                <w:highlight w:val="yellow"/>
              </w:rPr>
            </w:pPr>
            <w:r w:rsidRPr="00C867F5">
              <w:rPr>
                <w:rFonts w:ascii="Arial" w:hAnsi="Arial" w:cs="Arial"/>
                <w:b/>
                <w:szCs w:val="20"/>
              </w:rPr>
              <w:t>Low</w:t>
            </w:r>
          </w:p>
        </w:tc>
        <w:tc>
          <w:tcPr>
            <w:tcW w:w="1843" w:type="dxa"/>
            <w:tcBorders>
              <w:top w:val="single" w:sz="4" w:space="0" w:color="auto"/>
              <w:left w:val="single" w:sz="4" w:space="0" w:color="auto"/>
              <w:bottom w:val="single" w:sz="4" w:space="0" w:color="auto"/>
              <w:right w:val="single" w:sz="4" w:space="0" w:color="auto"/>
            </w:tcBorders>
          </w:tcPr>
          <w:p w14:paraId="1BFAC105" w14:textId="77777777" w:rsidR="0054762F" w:rsidRPr="00C867F5" w:rsidRDefault="0054762F" w:rsidP="0054762F">
            <w:pPr>
              <w:spacing w:before="40" w:after="40"/>
              <w:rPr>
                <w:rFonts w:ascii="Arial" w:hAnsi="Arial" w:cs="Arial"/>
                <w:sz w:val="20"/>
              </w:rPr>
            </w:pPr>
            <w:r w:rsidRPr="00C867F5">
              <w:rPr>
                <w:rFonts w:ascii="Arial" w:hAnsi="Arial" w:cs="Arial"/>
                <w:sz w:val="20"/>
              </w:rPr>
              <w:t>50.11 (9.16, 91.06)</w:t>
            </w:r>
          </w:p>
        </w:tc>
        <w:tc>
          <w:tcPr>
            <w:tcW w:w="1842" w:type="dxa"/>
            <w:tcBorders>
              <w:top w:val="single" w:sz="4" w:space="0" w:color="auto"/>
              <w:left w:val="single" w:sz="4" w:space="0" w:color="auto"/>
              <w:bottom w:val="single" w:sz="4" w:space="0" w:color="auto"/>
              <w:right w:val="single" w:sz="4" w:space="0" w:color="auto"/>
            </w:tcBorders>
          </w:tcPr>
          <w:p w14:paraId="7DCB9AC7" w14:textId="77777777" w:rsidR="0054762F" w:rsidRPr="00C867F5" w:rsidRDefault="0054762F" w:rsidP="0054762F">
            <w:pPr>
              <w:spacing w:before="40" w:after="40"/>
              <w:rPr>
                <w:rFonts w:ascii="Arial" w:hAnsi="Arial" w:cs="Arial"/>
                <w:sz w:val="20"/>
                <w:vertAlign w:val="superscript"/>
              </w:rPr>
            </w:pPr>
            <w:r w:rsidRPr="00C867F5">
              <w:rPr>
                <w:rFonts w:ascii="Arial" w:hAnsi="Arial" w:cs="Arial"/>
                <w:sz w:val="20"/>
                <w:vertAlign w:val="superscript"/>
              </w:rPr>
              <w:t>Mean difference exceeded MCID; however lower limit of CI below MCID (statistical significance)</w:t>
            </w:r>
          </w:p>
        </w:tc>
      </w:tr>
    </w:tbl>
    <w:p w14:paraId="51A71F9A" w14:textId="77777777" w:rsidR="0054762F" w:rsidRPr="00C867F5" w:rsidRDefault="0054762F" w:rsidP="0054762F">
      <w:pPr>
        <w:rPr>
          <w:rFonts w:ascii="Arial" w:hAnsi="Arial" w:cs="Arial"/>
          <w:sz w:val="18"/>
          <w:szCs w:val="18"/>
        </w:rPr>
      </w:pPr>
      <w:r w:rsidRPr="00C867F5">
        <w:rPr>
          <w:rFonts w:ascii="Arial" w:hAnsi="Arial" w:cs="Arial"/>
          <w:sz w:val="16"/>
          <w:szCs w:val="18"/>
          <w:vertAlign w:val="superscript"/>
        </w:rPr>
        <w:t xml:space="preserve">a </w:t>
      </w:r>
      <w:r w:rsidRPr="00C867F5">
        <w:rPr>
          <w:rFonts w:ascii="Arial" w:hAnsi="Arial" w:cs="Arial"/>
          <w:sz w:val="16"/>
          <w:szCs w:val="18"/>
        </w:rPr>
        <w:t>GRADE Working Group grades of evidence (Guyatt et al., 2013)</w:t>
      </w:r>
      <w:r w:rsidRPr="00C867F5">
        <w:rPr>
          <w:rFonts w:ascii="Arial" w:hAnsi="Arial" w:cs="Arial"/>
          <w:sz w:val="16"/>
          <w:szCs w:val="18"/>
        </w:rPr>
        <w:br/>
      </w:r>
      <w:r w:rsidRPr="00C867F5">
        <w:rPr>
          <w:rFonts w:ascii="Cambria Math" w:hAnsi="Cambria Math" w:cs="Cambria Math"/>
          <w:color w:val="00B050"/>
          <w:sz w:val="16"/>
          <w:szCs w:val="18"/>
        </w:rPr>
        <w:t>⨁⨁⨁⨁</w:t>
      </w:r>
      <w:r w:rsidRPr="00C867F5">
        <w:rPr>
          <w:rFonts w:ascii="Arial" w:hAnsi="Arial" w:cs="Arial"/>
          <w:color w:val="00B050"/>
          <w:sz w:val="16"/>
          <w:szCs w:val="18"/>
        </w:rPr>
        <w:t xml:space="preserve"> </w:t>
      </w:r>
      <w:r w:rsidRPr="00C867F5">
        <w:rPr>
          <w:rFonts w:ascii="Arial" w:hAnsi="Arial" w:cs="Arial"/>
          <w:b/>
          <w:bCs/>
          <w:sz w:val="16"/>
          <w:szCs w:val="18"/>
        </w:rPr>
        <w:t>High quality:</w:t>
      </w:r>
      <w:r w:rsidRPr="00C867F5">
        <w:rPr>
          <w:rFonts w:ascii="Arial" w:hAnsi="Arial" w:cs="Arial"/>
          <w:sz w:val="16"/>
          <w:szCs w:val="18"/>
        </w:rPr>
        <w:t xml:space="preserve"> We are very confident that the true effect lies close to that of the estimated effect. </w:t>
      </w:r>
      <w:r w:rsidRPr="00C867F5">
        <w:rPr>
          <w:rFonts w:ascii="Arial" w:hAnsi="Arial" w:cs="Arial"/>
          <w:sz w:val="16"/>
          <w:szCs w:val="18"/>
        </w:rPr>
        <w:br/>
      </w:r>
      <w:r w:rsidRPr="00C867F5">
        <w:rPr>
          <w:rFonts w:ascii="Cambria Math" w:hAnsi="Cambria Math" w:cs="Cambria Math"/>
          <w:color w:val="00B050"/>
          <w:sz w:val="16"/>
          <w:szCs w:val="18"/>
        </w:rPr>
        <w:t>⨁⨁⨁</w:t>
      </w:r>
      <w:r w:rsidRPr="00C867F5">
        <w:rPr>
          <w:rFonts w:ascii="Cambria Math" w:hAnsi="Cambria Math" w:cs="Cambria Math"/>
          <w:color w:val="C00000"/>
          <w:sz w:val="16"/>
          <w:szCs w:val="18"/>
        </w:rPr>
        <w:t>⨀</w:t>
      </w:r>
      <w:r w:rsidRPr="00C867F5">
        <w:rPr>
          <w:rFonts w:ascii="Arial" w:hAnsi="Arial" w:cs="Arial"/>
          <w:color w:val="C00000"/>
          <w:sz w:val="16"/>
          <w:szCs w:val="18"/>
        </w:rPr>
        <w:t xml:space="preserve"> </w:t>
      </w:r>
      <w:r w:rsidRPr="00C867F5">
        <w:rPr>
          <w:rFonts w:ascii="Arial" w:hAnsi="Arial" w:cs="Arial"/>
          <w:b/>
          <w:bCs/>
          <w:sz w:val="16"/>
          <w:szCs w:val="18"/>
        </w:rPr>
        <w:t>Moderate quality:</w:t>
      </w:r>
      <w:r w:rsidRPr="00C867F5">
        <w:rPr>
          <w:rFonts w:ascii="Arial" w:hAnsi="Arial" w:cs="Arial"/>
          <w:sz w:val="16"/>
          <w:szCs w:val="18"/>
        </w:rPr>
        <w:t xml:space="preserve"> We are moderately confident in the effect estimate: The true effect is likely to be close to the estimate of the effect, but there is a possibility that it is substantially different. </w:t>
      </w:r>
      <w:r w:rsidRPr="00C867F5">
        <w:rPr>
          <w:rFonts w:ascii="Arial" w:hAnsi="Arial" w:cs="Arial"/>
          <w:sz w:val="16"/>
          <w:szCs w:val="18"/>
        </w:rPr>
        <w:br/>
      </w:r>
      <w:r w:rsidRPr="00C867F5">
        <w:rPr>
          <w:rFonts w:ascii="Cambria Math" w:hAnsi="Cambria Math" w:cs="Cambria Math"/>
          <w:color w:val="00B050"/>
          <w:sz w:val="16"/>
          <w:szCs w:val="18"/>
        </w:rPr>
        <w:t>⨁⨁</w:t>
      </w:r>
      <w:r w:rsidRPr="00C867F5">
        <w:rPr>
          <w:rFonts w:ascii="Cambria Math" w:hAnsi="Cambria Math" w:cs="Cambria Math"/>
          <w:color w:val="C00000"/>
          <w:sz w:val="16"/>
          <w:szCs w:val="18"/>
        </w:rPr>
        <w:t>⨀⨀</w:t>
      </w:r>
      <w:r w:rsidRPr="00C867F5">
        <w:rPr>
          <w:rFonts w:ascii="Arial" w:hAnsi="Arial" w:cs="Arial"/>
          <w:color w:val="C00000"/>
          <w:sz w:val="16"/>
          <w:szCs w:val="18"/>
        </w:rPr>
        <w:t xml:space="preserve"> </w:t>
      </w:r>
      <w:r w:rsidRPr="00C867F5">
        <w:rPr>
          <w:rFonts w:ascii="Arial" w:hAnsi="Arial" w:cs="Arial"/>
          <w:b/>
          <w:bCs/>
          <w:sz w:val="16"/>
          <w:szCs w:val="18"/>
        </w:rPr>
        <w:t>Low quality:</w:t>
      </w:r>
      <w:r w:rsidRPr="00C867F5">
        <w:rPr>
          <w:rFonts w:ascii="Arial" w:hAnsi="Arial" w:cs="Arial"/>
          <w:sz w:val="16"/>
          <w:szCs w:val="18"/>
        </w:rPr>
        <w:t xml:space="preserve"> Our confidence in the effect estimate is limited: The true effect may be substantially different from the estimated effect.</w:t>
      </w:r>
      <w:r w:rsidRPr="00C867F5">
        <w:rPr>
          <w:rFonts w:ascii="Arial" w:hAnsi="Arial" w:cs="Arial"/>
          <w:sz w:val="16"/>
          <w:szCs w:val="18"/>
        </w:rPr>
        <w:br/>
      </w:r>
      <w:r w:rsidRPr="00C867F5">
        <w:rPr>
          <w:rFonts w:ascii="Cambria Math" w:hAnsi="Cambria Math" w:cs="Cambria Math"/>
          <w:color w:val="00B050"/>
          <w:sz w:val="16"/>
          <w:szCs w:val="18"/>
        </w:rPr>
        <w:t>⨁</w:t>
      </w:r>
      <w:r w:rsidRPr="00C867F5">
        <w:rPr>
          <w:rFonts w:ascii="Cambria Math" w:hAnsi="Cambria Math" w:cs="Cambria Math"/>
          <w:color w:val="C00000"/>
          <w:sz w:val="16"/>
          <w:szCs w:val="18"/>
        </w:rPr>
        <w:t>⨀⨀⨀</w:t>
      </w:r>
      <w:r w:rsidRPr="00C867F5">
        <w:rPr>
          <w:rFonts w:ascii="Arial" w:hAnsi="Arial" w:cs="Arial"/>
          <w:color w:val="C00000"/>
          <w:sz w:val="16"/>
          <w:szCs w:val="18"/>
        </w:rPr>
        <w:t xml:space="preserve"> </w:t>
      </w:r>
      <w:r w:rsidRPr="00C867F5">
        <w:rPr>
          <w:rFonts w:ascii="Arial" w:hAnsi="Arial" w:cs="Arial"/>
          <w:b/>
          <w:bCs/>
          <w:sz w:val="16"/>
          <w:szCs w:val="18"/>
        </w:rPr>
        <w:t>Very low quality:</w:t>
      </w:r>
      <w:r w:rsidRPr="00C867F5">
        <w:rPr>
          <w:rFonts w:ascii="Arial" w:hAnsi="Arial" w:cs="Arial"/>
          <w:sz w:val="16"/>
          <w:szCs w:val="18"/>
        </w:rPr>
        <w:t xml:space="preserve"> We have very little confidence in the effect estimate: The true effect is likely to be substantially different from the estimate of effect.</w:t>
      </w:r>
    </w:p>
    <w:p w14:paraId="13744132" w14:textId="77777777" w:rsidR="0054762F" w:rsidRDefault="0054762F" w:rsidP="0054762F"/>
    <w:p w14:paraId="6DF5E45E" w14:textId="77777777" w:rsidR="0054762F" w:rsidRPr="00FF5712" w:rsidRDefault="0054762F" w:rsidP="0054762F">
      <w:pPr>
        <w:rPr>
          <w:u w:val="single"/>
        </w:rPr>
      </w:pPr>
      <w:r w:rsidRPr="00FF5712">
        <w:rPr>
          <w:u w:val="single"/>
        </w:rPr>
        <w:t>Pulmonary maintenance exercise (PME)</w:t>
      </w:r>
    </w:p>
    <w:p w14:paraId="0D46D5C0" w14:textId="77777777" w:rsidR="0054762F" w:rsidRPr="00FF5712" w:rsidRDefault="0054762F" w:rsidP="0054762F">
      <w:pPr>
        <w:jc w:val="both"/>
      </w:pPr>
      <w:r w:rsidRPr="00FF5712">
        <w:t xml:space="preserve">On the basis of the evidence profile (summarised in </w:t>
      </w:r>
      <w:r w:rsidR="00C867F5">
        <w:fldChar w:fldCharType="begin"/>
      </w:r>
      <w:r w:rsidR="00C867F5">
        <w:instrText xml:space="preserve"> REF _Ref457824834 \h  \* MERGEFORMAT </w:instrText>
      </w:r>
      <w:r w:rsidR="00C867F5">
        <w:fldChar w:fldCharType="separate"/>
      </w:r>
      <w:r w:rsidR="00C867F5" w:rsidRPr="00C867F5">
        <w:t>Table 7</w:t>
      </w:r>
      <w:r w:rsidR="00C867F5">
        <w:fldChar w:fldCharType="end"/>
      </w:r>
      <w:r w:rsidRPr="00FF5712">
        <w:t>), it is suggested that for patients with COPD, relative to PR alone, PME has non-inferior effectiveness in terms of patient relevant outcomes of dyspnoea, fatigue, emotional function and functional exercise capacity.</w:t>
      </w:r>
    </w:p>
    <w:p w14:paraId="7182D3EE" w14:textId="77777777" w:rsidR="0054762F" w:rsidRPr="00FF5712" w:rsidRDefault="0054762F" w:rsidP="0054762F">
      <w:pPr>
        <w:jc w:val="both"/>
      </w:pPr>
    </w:p>
    <w:p w14:paraId="43093F9B" w14:textId="77777777" w:rsidR="0054762F" w:rsidRPr="00C867F5" w:rsidRDefault="00C867F5" w:rsidP="0054762F">
      <w:pPr>
        <w:pStyle w:val="Caption"/>
        <w:rPr>
          <w:rFonts w:ascii="Arial" w:hAnsi="Arial"/>
        </w:rPr>
      </w:pPr>
      <w:bookmarkStart w:id="13" w:name="_Ref457824834"/>
      <w:bookmarkStart w:id="14" w:name="_Toc457928913"/>
      <w:r w:rsidRPr="00C867F5">
        <w:rPr>
          <w:rFonts w:ascii="Arial" w:hAnsi="Arial"/>
        </w:rPr>
        <w:t xml:space="preserve">Table </w:t>
      </w:r>
      <w:r w:rsidRPr="00C867F5">
        <w:rPr>
          <w:rFonts w:ascii="Arial" w:hAnsi="Arial"/>
        </w:rPr>
        <w:fldChar w:fldCharType="begin"/>
      </w:r>
      <w:r w:rsidRPr="00C867F5">
        <w:rPr>
          <w:rFonts w:ascii="Arial" w:hAnsi="Arial"/>
        </w:rPr>
        <w:instrText xml:space="preserve"> SEQ Table \* ARABIC </w:instrText>
      </w:r>
      <w:r w:rsidRPr="00C867F5">
        <w:rPr>
          <w:rFonts w:ascii="Arial" w:hAnsi="Arial"/>
        </w:rPr>
        <w:fldChar w:fldCharType="separate"/>
      </w:r>
      <w:r w:rsidR="004406F9">
        <w:rPr>
          <w:rFonts w:ascii="Arial" w:hAnsi="Arial"/>
          <w:noProof/>
        </w:rPr>
        <w:t>7</w:t>
      </w:r>
      <w:r w:rsidRPr="00C867F5">
        <w:rPr>
          <w:rFonts w:ascii="Arial" w:hAnsi="Arial"/>
        </w:rPr>
        <w:fldChar w:fldCharType="end"/>
      </w:r>
      <w:bookmarkEnd w:id="13"/>
      <w:r w:rsidR="0054762F" w:rsidRPr="00C867F5">
        <w:rPr>
          <w:rFonts w:ascii="Arial" w:hAnsi="Arial"/>
        </w:rPr>
        <w:tab/>
      </w:r>
      <w:r>
        <w:rPr>
          <w:rFonts w:ascii="Arial" w:hAnsi="Arial"/>
        </w:rPr>
        <w:tab/>
      </w:r>
      <w:r w:rsidR="0054762F" w:rsidRPr="00C867F5">
        <w:rPr>
          <w:rFonts w:ascii="Arial" w:hAnsi="Arial"/>
          <w:snapToGrid w:val="0"/>
        </w:rPr>
        <w:t xml:space="preserve">Balance of clinical benefits and harms of </w:t>
      </w:r>
      <w:r w:rsidR="0054762F" w:rsidRPr="00C867F5">
        <w:rPr>
          <w:rFonts w:ascii="Arial" w:hAnsi="Arial"/>
        </w:rPr>
        <w:t>PME</w:t>
      </w:r>
      <w:r w:rsidR="0054762F" w:rsidRPr="00C867F5">
        <w:rPr>
          <w:rFonts w:ascii="Arial" w:hAnsi="Arial"/>
          <w:snapToGrid w:val="0"/>
        </w:rPr>
        <w:t xml:space="preserve">, relative to usual care, and as measured by the </w:t>
      </w:r>
      <w:r w:rsidR="0054762F" w:rsidRPr="00C867F5">
        <w:rPr>
          <w:rFonts w:ascii="Arial" w:hAnsi="Arial"/>
          <w:snapToGrid w:val="0"/>
          <w:u w:val="single"/>
        </w:rPr>
        <w:t>critical</w:t>
      </w:r>
      <w:r w:rsidR="0054762F" w:rsidRPr="00C867F5">
        <w:rPr>
          <w:rFonts w:ascii="Arial" w:hAnsi="Arial"/>
          <w:snapToGrid w:val="0"/>
        </w:rPr>
        <w:t xml:space="preserve"> patient-relevant outcomes in the key trials in COPD</w:t>
      </w:r>
      <w:bookmarkEnd w:id="14"/>
    </w:p>
    <w:tbl>
      <w:tblPr>
        <w:tblW w:w="0" w:type="auto"/>
        <w:tblLook w:val="04A0" w:firstRow="1" w:lastRow="0" w:firstColumn="1" w:lastColumn="0" w:noHBand="0" w:noVBand="1"/>
        <w:tblDescription w:val="This table outlines the balance of clinical benefits and harms of pulmonary maintenance exercise, relative to usual care, and as measured by the critical patient-relevant outcomes in the key studies in chronic obstructive pulmonary disease. "/>
      </w:tblPr>
      <w:tblGrid>
        <w:gridCol w:w="2518"/>
        <w:gridCol w:w="1701"/>
        <w:gridCol w:w="1560"/>
        <w:gridCol w:w="1843"/>
        <w:gridCol w:w="1559"/>
      </w:tblGrid>
      <w:tr w:rsidR="0054762F" w:rsidRPr="00C867F5" w14:paraId="174AF609" w14:textId="77777777" w:rsidTr="002F694E">
        <w:tc>
          <w:tcPr>
            <w:tcW w:w="2518" w:type="dxa"/>
            <w:tcBorders>
              <w:top w:val="single" w:sz="4" w:space="0" w:color="auto"/>
              <w:left w:val="single" w:sz="4" w:space="0" w:color="auto"/>
              <w:bottom w:val="single" w:sz="4" w:space="0" w:color="auto"/>
              <w:right w:val="single" w:sz="4" w:space="0" w:color="auto"/>
            </w:tcBorders>
          </w:tcPr>
          <w:p w14:paraId="54D9F7BF" w14:textId="77777777" w:rsidR="0054762F" w:rsidRPr="00C867F5" w:rsidRDefault="0054762F" w:rsidP="002F694E">
            <w:pPr>
              <w:pStyle w:val="TableHeading"/>
              <w:ind w:left="0" w:firstLine="0"/>
              <w:jc w:val="left"/>
              <w:rPr>
                <w:rFonts w:ascii="Arial" w:hAnsi="Arial" w:cs="Arial"/>
              </w:rPr>
            </w:pPr>
            <w:r w:rsidRPr="00C867F5">
              <w:rPr>
                <w:rFonts w:ascii="Arial" w:hAnsi="Arial" w:cs="Arial"/>
              </w:rPr>
              <w:t>Outcomes (units)</w:t>
            </w:r>
          </w:p>
          <w:p w14:paraId="49023D71" w14:textId="77777777" w:rsidR="0054762F" w:rsidRPr="00C867F5" w:rsidRDefault="0054762F" w:rsidP="002F694E">
            <w:pPr>
              <w:pStyle w:val="TableHeading"/>
              <w:ind w:left="0" w:firstLine="0"/>
              <w:jc w:val="left"/>
              <w:rPr>
                <w:rFonts w:ascii="Arial" w:hAnsi="Arial" w:cs="Arial"/>
              </w:rPr>
            </w:pPr>
            <w:r w:rsidRPr="00C867F5">
              <w:rPr>
                <w:rFonts w:ascii="Arial" w:hAnsi="Arial" w:cs="Arial"/>
              </w:rPr>
              <w:t>Follow-up</w:t>
            </w:r>
          </w:p>
        </w:tc>
        <w:tc>
          <w:tcPr>
            <w:tcW w:w="1701" w:type="dxa"/>
            <w:tcBorders>
              <w:top w:val="single" w:sz="4" w:space="0" w:color="auto"/>
              <w:left w:val="single" w:sz="4" w:space="0" w:color="auto"/>
              <w:bottom w:val="single" w:sz="4" w:space="0" w:color="auto"/>
              <w:right w:val="single" w:sz="4" w:space="0" w:color="auto"/>
            </w:tcBorders>
          </w:tcPr>
          <w:p w14:paraId="75FBF6D5" w14:textId="77777777" w:rsidR="0054762F" w:rsidRPr="00C867F5" w:rsidRDefault="0054762F" w:rsidP="002F694E">
            <w:pPr>
              <w:pStyle w:val="TableHeading"/>
              <w:jc w:val="left"/>
              <w:rPr>
                <w:rFonts w:ascii="Arial" w:hAnsi="Arial" w:cs="Arial"/>
              </w:rPr>
            </w:pPr>
            <w:r w:rsidRPr="00C867F5">
              <w:rPr>
                <w:rFonts w:ascii="Arial" w:hAnsi="Arial" w:cs="Arial"/>
              </w:rPr>
              <w:t>Participants</w:t>
            </w:r>
          </w:p>
          <w:p w14:paraId="5E3940F7" w14:textId="77777777" w:rsidR="0054762F" w:rsidRPr="00C867F5" w:rsidRDefault="0054762F" w:rsidP="002F694E">
            <w:pPr>
              <w:pStyle w:val="TableHeading"/>
              <w:ind w:left="34" w:hanging="34"/>
              <w:jc w:val="left"/>
              <w:rPr>
                <w:rFonts w:ascii="Arial" w:hAnsi="Arial" w:cs="Arial"/>
              </w:rPr>
            </w:pPr>
            <w:r w:rsidRPr="00C867F5">
              <w:rPr>
                <w:rFonts w:ascii="Arial" w:hAnsi="Arial" w:cs="Arial"/>
              </w:rPr>
              <w:t>(number</w:t>
            </w:r>
            <w:r w:rsidR="002F694E" w:rsidRPr="00C867F5">
              <w:rPr>
                <w:rFonts w:ascii="Arial" w:hAnsi="Arial" w:cs="Arial"/>
              </w:rPr>
              <w:t xml:space="preserve"> </w:t>
            </w:r>
            <w:r w:rsidRPr="00C867F5">
              <w:rPr>
                <w:rFonts w:ascii="Arial" w:hAnsi="Arial" w:cs="Arial"/>
              </w:rPr>
              <w:t>of trials)</w:t>
            </w:r>
          </w:p>
        </w:tc>
        <w:tc>
          <w:tcPr>
            <w:tcW w:w="1560" w:type="dxa"/>
            <w:tcBorders>
              <w:top w:val="single" w:sz="4" w:space="0" w:color="auto"/>
              <w:left w:val="single" w:sz="4" w:space="0" w:color="auto"/>
              <w:bottom w:val="single" w:sz="4" w:space="0" w:color="auto"/>
              <w:right w:val="single" w:sz="4" w:space="0" w:color="auto"/>
            </w:tcBorders>
          </w:tcPr>
          <w:p w14:paraId="557E19AC" w14:textId="77777777" w:rsidR="0054762F" w:rsidRPr="00C867F5" w:rsidRDefault="0054762F" w:rsidP="002F694E">
            <w:pPr>
              <w:pStyle w:val="TableHeading"/>
              <w:ind w:left="0" w:firstLine="0"/>
              <w:jc w:val="left"/>
              <w:rPr>
                <w:rFonts w:ascii="Arial" w:hAnsi="Arial" w:cs="Arial"/>
              </w:rPr>
            </w:pPr>
            <w:r w:rsidRPr="00C867F5">
              <w:rPr>
                <w:rFonts w:ascii="Arial" w:hAnsi="Arial" w:cs="Arial"/>
              </w:rPr>
              <w:t>Quality of evidence</w:t>
            </w:r>
          </w:p>
          <w:p w14:paraId="61ABC26F" w14:textId="77777777" w:rsidR="0054762F" w:rsidRPr="00C867F5" w:rsidRDefault="0054762F" w:rsidP="002F694E">
            <w:pPr>
              <w:pStyle w:val="TableHeading"/>
              <w:jc w:val="left"/>
              <w:rPr>
                <w:rFonts w:ascii="Arial" w:hAnsi="Arial" w:cs="Arial"/>
              </w:rPr>
            </w:pPr>
            <w:r w:rsidRPr="00C867F5">
              <w:rPr>
                <w:rFonts w:ascii="Arial" w:hAnsi="Arial" w:cs="Arial"/>
              </w:rPr>
              <w:t>(GRADE</w:t>
            </w:r>
            <w:r w:rsidRPr="00C867F5">
              <w:rPr>
                <w:rFonts w:ascii="Arial" w:hAnsi="Arial" w:cs="Arial"/>
                <w:vertAlign w:val="superscript"/>
              </w:rPr>
              <w:t xml:space="preserve"> a</w:t>
            </w:r>
            <w:r w:rsidRPr="00C867F5">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14:paraId="154F0C32" w14:textId="77777777" w:rsidR="0054762F" w:rsidRPr="00C867F5" w:rsidRDefault="0054762F" w:rsidP="002F694E">
            <w:pPr>
              <w:pStyle w:val="TableHeading"/>
              <w:jc w:val="left"/>
              <w:rPr>
                <w:rFonts w:ascii="Arial" w:hAnsi="Arial" w:cs="Arial"/>
              </w:rPr>
            </w:pPr>
            <w:r w:rsidRPr="00C867F5">
              <w:rPr>
                <w:rFonts w:ascii="Arial" w:hAnsi="Arial" w:cs="Arial"/>
              </w:rPr>
              <w:t>Relative effect</w:t>
            </w:r>
          </w:p>
          <w:p w14:paraId="149394E9" w14:textId="77777777" w:rsidR="0054762F" w:rsidRPr="00C867F5" w:rsidRDefault="0054762F" w:rsidP="002F694E">
            <w:pPr>
              <w:pStyle w:val="TableHeading"/>
              <w:ind w:left="34" w:hanging="34"/>
              <w:jc w:val="left"/>
              <w:rPr>
                <w:rFonts w:ascii="Arial" w:hAnsi="Arial" w:cs="Arial"/>
              </w:rPr>
            </w:pPr>
            <w:r w:rsidRPr="00C867F5">
              <w:rPr>
                <w:rFonts w:ascii="Arial" w:hAnsi="Arial" w:cs="Arial"/>
              </w:rPr>
              <w:t>(95%CI)</w:t>
            </w:r>
          </w:p>
        </w:tc>
        <w:tc>
          <w:tcPr>
            <w:tcW w:w="1559" w:type="dxa"/>
            <w:tcBorders>
              <w:top w:val="single" w:sz="4" w:space="0" w:color="auto"/>
              <w:left w:val="single" w:sz="4" w:space="0" w:color="auto"/>
              <w:bottom w:val="single" w:sz="4" w:space="0" w:color="auto"/>
              <w:right w:val="single" w:sz="4" w:space="0" w:color="auto"/>
            </w:tcBorders>
          </w:tcPr>
          <w:p w14:paraId="7CC471B4" w14:textId="77777777" w:rsidR="0054762F" w:rsidRPr="00C867F5" w:rsidRDefault="0054762F" w:rsidP="002F694E">
            <w:pPr>
              <w:pStyle w:val="TableHeading"/>
              <w:ind w:left="33" w:hanging="33"/>
              <w:jc w:val="left"/>
              <w:rPr>
                <w:rFonts w:ascii="Arial" w:hAnsi="Arial" w:cs="Arial"/>
              </w:rPr>
            </w:pPr>
            <w:r w:rsidRPr="00C867F5">
              <w:rPr>
                <w:rFonts w:ascii="Arial" w:hAnsi="Arial" w:cs="Arial"/>
              </w:rPr>
              <w:t>Comments</w:t>
            </w:r>
          </w:p>
        </w:tc>
      </w:tr>
      <w:tr w:rsidR="0054762F" w:rsidRPr="00C867F5" w14:paraId="07670195" w14:textId="77777777" w:rsidTr="002F694E">
        <w:trPr>
          <w:trHeight w:val="263"/>
        </w:trPr>
        <w:tc>
          <w:tcPr>
            <w:tcW w:w="2518" w:type="dxa"/>
            <w:tcBorders>
              <w:top w:val="single" w:sz="4" w:space="0" w:color="auto"/>
              <w:left w:val="single" w:sz="4" w:space="0" w:color="auto"/>
              <w:bottom w:val="single" w:sz="4" w:space="0" w:color="auto"/>
              <w:right w:val="single" w:sz="4" w:space="0" w:color="auto"/>
            </w:tcBorders>
          </w:tcPr>
          <w:p w14:paraId="31CD839F" w14:textId="77777777" w:rsidR="0054762F" w:rsidRPr="00C867F5" w:rsidRDefault="0054762F" w:rsidP="0054762F">
            <w:pPr>
              <w:pStyle w:val="Tabletext"/>
              <w:rPr>
                <w:rFonts w:ascii="Arial" w:hAnsi="Arial" w:cs="Arial"/>
                <w:szCs w:val="20"/>
              </w:rPr>
            </w:pPr>
            <w:r w:rsidRPr="00C867F5">
              <w:rPr>
                <w:rFonts w:ascii="Arial" w:hAnsi="Arial" w:cs="Arial"/>
                <w:szCs w:val="20"/>
              </w:rPr>
              <w:t>CRQ – Fatigue</w:t>
            </w:r>
          </w:p>
          <w:p w14:paraId="343F4820" w14:textId="77777777" w:rsidR="0054762F" w:rsidRPr="00C867F5" w:rsidRDefault="0054762F" w:rsidP="0054762F">
            <w:pPr>
              <w:pStyle w:val="Tabletext"/>
              <w:rPr>
                <w:rFonts w:ascii="Arial" w:hAnsi="Arial" w:cs="Arial"/>
                <w:szCs w:val="20"/>
              </w:rPr>
            </w:pPr>
            <w:r w:rsidRPr="00C867F5">
              <w:rPr>
                <w:rFonts w:ascii="Arial" w:hAnsi="Arial" w:cs="Arial"/>
                <w:szCs w:val="20"/>
              </w:rPr>
              <w:t>Follow-up: median 9 months</w:t>
            </w:r>
          </w:p>
        </w:tc>
        <w:tc>
          <w:tcPr>
            <w:tcW w:w="1701" w:type="dxa"/>
            <w:tcBorders>
              <w:top w:val="single" w:sz="4" w:space="0" w:color="auto"/>
              <w:left w:val="single" w:sz="4" w:space="0" w:color="auto"/>
              <w:bottom w:val="single" w:sz="4" w:space="0" w:color="auto"/>
              <w:right w:val="single" w:sz="4" w:space="0" w:color="auto"/>
            </w:tcBorders>
          </w:tcPr>
          <w:p w14:paraId="7ABEB389" w14:textId="77777777" w:rsidR="0054762F" w:rsidRPr="00C867F5" w:rsidRDefault="0054762F" w:rsidP="0054762F">
            <w:pPr>
              <w:pStyle w:val="Tabletext"/>
              <w:rPr>
                <w:rFonts w:ascii="Arial" w:hAnsi="Arial" w:cs="Arial"/>
                <w:szCs w:val="20"/>
              </w:rPr>
            </w:pPr>
            <w:r w:rsidRPr="00C867F5">
              <w:rPr>
                <w:rFonts w:ascii="Arial" w:hAnsi="Arial" w:cs="Arial"/>
                <w:szCs w:val="20"/>
              </w:rPr>
              <w:t>30 PME/ 26 control</w:t>
            </w:r>
          </w:p>
          <w:p w14:paraId="00FA8CA7" w14:textId="77777777" w:rsidR="0054762F" w:rsidRPr="00C867F5" w:rsidRDefault="0054762F" w:rsidP="0054762F">
            <w:pPr>
              <w:pStyle w:val="Tabletext"/>
              <w:rPr>
                <w:rFonts w:ascii="Arial" w:hAnsi="Arial" w:cs="Arial"/>
                <w:szCs w:val="20"/>
              </w:rPr>
            </w:pPr>
            <w:r w:rsidRPr="00C867F5">
              <w:rPr>
                <w:rFonts w:ascii="Arial" w:hAnsi="Arial" w:cs="Arial"/>
                <w:szCs w:val="20"/>
              </w:rPr>
              <w:t>(2)</w:t>
            </w:r>
          </w:p>
        </w:tc>
        <w:tc>
          <w:tcPr>
            <w:tcW w:w="1560" w:type="dxa"/>
            <w:tcBorders>
              <w:top w:val="single" w:sz="4" w:space="0" w:color="auto"/>
              <w:left w:val="single" w:sz="4" w:space="0" w:color="auto"/>
              <w:bottom w:val="single" w:sz="4" w:space="0" w:color="auto"/>
              <w:right w:val="single" w:sz="4" w:space="0" w:color="auto"/>
            </w:tcBorders>
          </w:tcPr>
          <w:p w14:paraId="26F29C24" w14:textId="77777777" w:rsidR="0054762F" w:rsidRPr="00C867F5" w:rsidRDefault="0054762F" w:rsidP="0054762F">
            <w:pPr>
              <w:pStyle w:val="Tabletext"/>
              <w:rPr>
                <w:rFonts w:ascii="Arial" w:hAnsi="Arial" w:cs="Arial"/>
                <w:color w:val="C00000"/>
                <w:szCs w:val="20"/>
              </w:rPr>
            </w:pPr>
            <w:r w:rsidRPr="00C867F5">
              <w:rPr>
                <w:rFonts w:ascii="Cambria Math" w:hAnsi="Cambria Math" w:cs="Cambria Math"/>
                <w:color w:val="00B050"/>
                <w:szCs w:val="20"/>
              </w:rPr>
              <w:t>⨁⨁</w:t>
            </w:r>
            <w:r w:rsidRPr="00C867F5">
              <w:rPr>
                <w:rFonts w:ascii="Cambria Math" w:hAnsi="Cambria Math" w:cs="Cambria Math"/>
                <w:color w:val="C00000"/>
                <w:szCs w:val="20"/>
              </w:rPr>
              <w:t>⨀⨀</w:t>
            </w:r>
          </w:p>
          <w:p w14:paraId="445CD0C5" w14:textId="77777777" w:rsidR="0054762F" w:rsidRPr="00C867F5" w:rsidRDefault="0054762F" w:rsidP="0054762F">
            <w:pPr>
              <w:pStyle w:val="Tabletext"/>
              <w:rPr>
                <w:rFonts w:ascii="Arial" w:hAnsi="Arial" w:cs="Arial"/>
                <w:szCs w:val="20"/>
                <w:highlight w:val="yellow"/>
              </w:rPr>
            </w:pPr>
            <w:r w:rsidRPr="00C867F5">
              <w:rPr>
                <w:rFonts w:ascii="Arial" w:hAnsi="Arial" w:cs="Arial"/>
                <w:b/>
                <w:szCs w:val="20"/>
              </w:rPr>
              <w:t>Low</w:t>
            </w:r>
          </w:p>
        </w:tc>
        <w:tc>
          <w:tcPr>
            <w:tcW w:w="1843" w:type="dxa"/>
            <w:tcBorders>
              <w:top w:val="single" w:sz="4" w:space="0" w:color="auto"/>
              <w:left w:val="single" w:sz="4" w:space="0" w:color="auto"/>
              <w:bottom w:val="single" w:sz="4" w:space="0" w:color="auto"/>
              <w:right w:val="single" w:sz="4" w:space="0" w:color="auto"/>
            </w:tcBorders>
          </w:tcPr>
          <w:p w14:paraId="37C1E3AE" w14:textId="77777777" w:rsidR="0054762F" w:rsidRPr="00C867F5" w:rsidRDefault="0054762F" w:rsidP="0054762F">
            <w:pPr>
              <w:pStyle w:val="Tabletext"/>
              <w:rPr>
                <w:rFonts w:ascii="Arial" w:hAnsi="Arial" w:cs="Arial"/>
                <w:szCs w:val="20"/>
              </w:rPr>
            </w:pPr>
            <w:r w:rsidRPr="00C867F5">
              <w:rPr>
                <w:rFonts w:ascii="Arial" w:hAnsi="Arial" w:cs="Arial"/>
                <w:szCs w:val="20"/>
              </w:rPr>
              <w:t>0.56 (-0.07, 1.18)</w:t>
            </w:r>
          </w:p>
        </w:tc>
        <w:tc>
          <w:tcPr>
            <w:tcW w:w="1559" w:type="dxa"/>
            <w:tcBorders>
              <w:top w:val="single" w:sz="4" w:space="0" w:color="auto"/>
              <w:left w:val="single" w:sz="4" w:space="0" w:color="auto"/>
              <w:bottom w:val="single" w:sz="4" w:space="0" w:color="auto"/>
              <w:right w:val="single" w:sz="4" w:space="0" w:color="auto"/>
            </w:tcBorders>
          </w:tcPr>
          <w:p w14:paraId="24485EBB" w14:textId="77777777" w:rsidR="0054762F" w:rsidRPr="00C867F5" w:rsidRDefault="0054762F" w:rsidP="0054762F">
            <w:pPr>
              <w:pStyle w:val="Tabletext"/>
              <w:rPr>
                <w:rFonts w:ascii="Arial" w:hAnsi="Arial" w:cs="Arial"/>
                <w:szCs w:val="20"/>
                <w:vertAlign w:val="superscript"/>
              </w:rPr>
            </w:pPr>
            <w:r w:rsidRPr="00C867F5">
              <w:rPr>
                <w:rFonts w:ascii="Arial" w:hAnsi="Arial" w:cs="Arial"/>
                <w:szCs w:val="20"/>
                <w:vertAlign w:val="superscript"/>
              </w:rPr>
              <w:t xml:space="preserve">Not statistically or clinically significant </w:t>
            </w:r>
          </w:p>
        </w:tc>
      </w:tr>
      <w:tr w:rsidR="0054762F" w:rsidRPr="00C867F5" w14:paraId="48C6FBCF" w14:textId="77777777" w:rsidTr="002F694E">
        <w:trPr>
          <w:trHeight w:val="25"/>
        </w:trPr>
        <w:tc>
          <w:tcPr>
            <w:tcW w:w="2518" w:type="dxa"/>
            <w:tcBorders>
              <w:top w:val="single" w:sz="4" w:space="0" w:color="auto"/>
              <w:left w:val="single" w:sz="4" w:space="0" w:color="auto"/>
              <w:bottom w:val="single" w:sz="4" w:space="0" w:color="auto"/>
              <w:right w:val="single" w:sz="4" w:space="0" w:color="auto"/>
            </w:tcBorders>
          </w:tcPr>
          <w:p w14:paraId="15B455D9" w14:textId="77777777" w:rsidR="0054762F" w:rsidRPr="00C867F5" w:rsidRDefault="0054762F" w:rsidP="0054762F">
            <w:pPr>
              <w:pStyle w:val="Tabletext"/>
              <w:rPr>
                <w:rFonts w:ascii="Arial" w:hAnsi="Arial" w:cs="Arial"/>
                <w:szCs w:val="20"/>
              </w:rPr>
            </w:pPr>
            <w:r w:rsidRPr="00C867F5">
              <w:rPr>
                <w:rFonts w:ascii="Arial" w:hAnsi="Arial" w:cs="Arial"/>
                <w:szCs w:val="20"/>
              </w:rPr>
              <w:t>CRQ – Emotional function</w:t>
            </w:r>
          </w:p>
          <w:p w14:paraId="424E1975" w14:textId="77777777" w:rsidR="0054762F" w:rsidRPr="00C867F5" w:rsidRDefault="0054762F" w:rsidP="0054762F">
            <w:pPr>
              <w:pStyle w:val="Tabletext"/>
              <w:rPr>
                <w:rFonts w:ascii="Arial" w:hAnsi="Arial" w:cs="Arial"/>
                <w:szCs w:val="20"/>
              </w:rPr>
            </w:pPr>
            <w:r w:rsidRPr="00C867F5">
              <w:rPr>
                <w:rFonts w:ascii="Arial" w:hAnsi="Arial" w:cs="Arial"/>
                <w:szCs w:val="20"/>
              </w:rPr>
              <w:t>Follow-up: median 9 months</w:t>
            </w:r>
          </w:p>
        </w:tc>
        <w:tc>
          <w:tcPr>
            <w:tcW w:w="1701" w:type="dxa"/>
            <w:tcBorders>
              <w:top w:val="single" w:sz="4" w:space="0" w:color="auto"/>
              <w:left w:val="single" w:sz="4" w:space="0" w:color="auto"/>
              <w:bottom w:val="single" w:sz="4" w:space="0" w:color="auto"/>
              <w:right w:val="single" w:sz="4" w:space="0" w:color="auto"/>
            </w:tcBorders>
          </w:tcPr>
          <w:p w14:paraId="49337D1D" w14:textId="77777777" w:rsidR="0054762F" w:rsidRPr="00C867F5" w:rsidRDefault="0054762F" w:rsidP="0054762F">
            <w:pPr>
              <w:pStyle w:val="Tabletext"/>
              <w:rPr>
                <w:rFonts w:ascii="Arial" w:hAnsi="Arial" w:cs="Arial"/>
                <w:szCs w:val="20"/>
              </w:rPr>
            </w:pPr>
            <w:r w:rsidRPr="00C867F5">
              <w:rPr>
                <w:rFonts w:ascii="Arial" w:hAnsi="Arial" w:cs="Arial"/>
                <w:szCs w:val="20"/>
              </w:rPr>
              <w:t>30 PME/ 26 control</w:t>
            </w:r>
          </w:p>
          <w:p w14:paraId="575392AE" w14:textId="77777777" w:rsidR="0054762F" w:rsidRPr="00C867F5" w:rsidRDefault="0054762F" w:rsidP="0054762F">
            <w:pPr>
              <w:pStyle w:val="Tabletext"/>
              <w:rPr>
                <w:rFonts w:ascii="Arial" w:hAnsi="Arial" w:cs="Arial"/>
                <w:szCs w:val="20"/>
              </w:rPr>
            </w:pPr>
            <w:r w:rsidRPr="00C867F5">
              <w:rPr>
                <w:rFonts w:ascii="Arial" w:hAnsi="Arial" w:cs="Arial"/>
                <w:szCs w:val="20"/>
              </w:rPr>
              <w:t>(2)</w:t>
            </w:r>
          </w:p>
        </w:tc>
        <w:tc>
          <w:tcPr>
            <w:tcW w:w="1560" w:type="dxa"/>
            <w:tcBorders>
              <w:top w:val="single" w:sz="4" w:space="0" w:color="auto"/>
              <w:left w:val="single" w:sz="4" w:space="0" w:color="auto"/>
              <w:bottom w:val="single" w:sz="4" w:space="0" w:color="auto"/>
              <w:right w:val="single" w:sz="4" w:space="0" w:color="auto"/>
            </w:tcBorders>
          </w:tcPr>
          <w:p w14:paraId="3C2F128D" w14:textId="77777777" w:rsidR="0054762F" w:rsidRPr="00C867F5" w:rsidRDefault="0054762F" w:rsidP="0054762F">
            <w:pPr>
              <w:pStyle w:val="Tabletext"/>
              <w:rPr>
                <w:rFonts w:ascii="Arial" w:hAnsi="Arial" w:cs="Arial"/>
                <w:color w:val="C00000"/>
                <w:szCs w:val="20"/>
              </w:rPr>
            </w:pPr>
            <w:r w:rsidRPr="00C867F5">
              <w:rPr>
                <w:rFonts w:ascii="Cambria Math" w:hAnsi="Cambria Math" w:cs="Cambria Math"/>
                <w:color w:val="00B050"/>
                <w:szCs w:val="20"/>
              </w:rPr>
              <w:t>⨁⨁</w:t>
            </w:r>
            <w:r w:rsidRPr="00C867F5">
              <w:rPr>
                <w:rFonts w:ascii="Cambria Math" w:hAnsi="Cambria Math" w:cs="Cambria Math"/>
                <w:color w:val="C00000"/>
                <w:szCs w:val="20"/>
              </w:rPr>
              <w:t>⨀⨀</w:t>
            </w:r>
          </w:p>
          <w:p w14:paraId="74E76FEE" w14:textId="77777777" w:rsidR="0054762F" w:rsidRPr="00C867F5" w:rsidRDefault="0054762F" w:rsidP="0054762F">
            <w:pPr>
              <w:pStyle w:val="Tabletext"/>
              <w:rPr>
                <w:rFonts w:ascii="Arial" w:hAnsi="Arial" w:cs="Arial"/>
                <w:szCs w:val="20"/>
                <w:highlight w:val="yellow"/>
              </w:rPr>
            </w:pPr>
            <w:r w:rsidRPr="00C867F5">
              <w:rPr>
                <w:rFonts w:ascii="Arial" w:hAnsi="Arial" w:cs="Arial"/>
                <w:b/>
                <w:szCs w:val="20"/>
              </w:rPr>
              <w:t>Low</w:t>
            </w:r>
          </w:p>
        </w:tc>
        <w:tc>
          <w:tcPr>
            <w:tcW w:w="1843" w:type="dxa"/>
            <w:tcBorders>
              <w:top w:val="single" w:sz="4" w:space="0" w:color="auto"/>
              <w:left w:val="single" w:sz="4" w:space="0" w:color="auto"/>
              <w:bottom w:val="single" w:sz="4" w:space="0" w:color="auto"/>
              <w:right w:val="single" w:sz="4" w:space="0" w:color="auto"/>
            </w:tcBorders>
          </w:tcPr>
          <w:p w14:paraId="6DBDECF4" w14:textId="77777777" w:rsidR="0054762F" w:rsidRPr="00C867F5" w:rsidRDefault="0054762F" w:rsidP="0054762F">
            <w:pPr>
              <w:pStyle w:val="Tabletext"/>
              <w:rPr>
                <w:rFonts w:ascii="Arial" w:hAnsi="Arial" w:cs="Arial"/>
                <w:szCs w:val="20"/>
              </w:rPr>
            </w:pPr>
            <w:r w:rsidRPr="00C867F5">
              <w:rPr>
                <w:rFonts w:ascii="Arial" w:hAnsi="Arial" w:cs="Arial"/>
                <w:szCs w:val="20"/>
              </w:rPr>
              <w:t>0.37 (-0.02, 0.76)</w:t>
            </w:r>
          </w:p>
        </w:tc>
        <w:tc>
          <w:tcPr>
            <w:tcW w:w="1559" w:type="dxa"/>
            <w:tcBorders>
              <w:top w:val="single" w:sz="4" w:space="0" w:color="auto"/>
              <w:left w:val="single" w:sz="4" w:space="0" w:color="auto"/>
              <w:bottom w:val="single" w:sz="4" w:space="0" w:color="auto"/>
              <w:right w:val="single" w:sz="4" w:space="0" w:color="auto"/>
            </w:tcBorders>
          </w:tcPr>
          <w:p w14:paraId="2A383145" w14:textId="77777777" w:rsidR="0054762F" w:rsidRPr="00C867F5" w:rsidRDefault="0054762F" w:rsidP="0054762F">
            <w:pPr>
              <w:pStyle w:val="Tabletext"/>
              <w:rPr>
                <w:rFonts w:ascii="Arial" w:hAnsi="Arial" w:cs="Arial"/>
                <w:szCs w:val="20"/>
                <w:highlight w:val="yellow"/>
                <w:vertAlign w:val="superscript"/>
              </w:rPr>
            </w:pPr>
            <w:r w:rsidRPr="00C867F5">
              <w:rPr>
                <w:rFonts w:ascii="Arial" w:hAnsi="Arial" w:cs="Arial"/>
                <w:szCs w:val="20"/>
                <w:vertAlign w:val="superscript"/>
              </w:rPr>
              <w:t>Not statistically or clinically significant</w:t>
            </w:r>
          </w:p>
        </w:tc>
      </w:tr>
      <w:tr w:rsidR="0054762F" w:rsidRPr="00C867F5" w14:paraId="657BDFE5" w14:textId="77777777" w:rsidTr="002F694E">
        <w:tc>
          <w:tcPr>
            <w:tcW w:w="2518" w:type="dxa"/>
            <w:tcBorders>
              <w:top w:val="single" w:sz="4" w:space="0" w:color="auto"/>
              <w:left w:val="single" w:sz="4" w:space="0" w:color="auto"/>
              <w:bottom w:val="single" w:sz="4" w:space="0" w:color="auto"/>
              <w:right w:val="single" w:sz="4" w:space="0" w:color="auto"/>
            </w:tcBorders>
          </w:tcPr>
          <w:p w14:paraId="14B70294" w14:textId="77777777" w:rsidR="0054762F" w:rsidRPr="00C867F5" w:rsidRDefault="0054762F" w:rsidP="0054762F">
            <w:pPr>
              <w:pStyle w:val="Tabletext"/>
              <w:rPr>
                <w:rFonts w:ascii="Arial" w:hAnsi="Arial" w:cs="Arial"/>
                <w:szCs w:val="20"/>
              </w:rPr>
            </w:pPr>
            <w:r w:rsidRPr="00C867F5">
              <w:rPr>
                <w:rFonts w:ascii="Arial" w:hAnsi="Arial" w:cs="Arial"/>
                <w:szCs w:val="20"/>
              </w:rPr>
              <w:t>CRQ – Dyspnoea</w:t>
            </w:r>
          </w:p>
          <w:p w14:paraId="4BEA9B17" w14:textId="77777777" w:rsidR="0054762F" w:rsidRPr="00C867F5" w:rsidRDefault="0054762F" w:rsidP="0054762F">
            <w:pPr>
              <w:pStyle w:val="Tabletext"/>
              <w:rPr>
                <w:rFonts w:ascii="Arial" w:hAnsi="Arial" w:cs="Arial"/>
                <w:szCs w:val="20"/>
              </w:rPr>
            </w:pPr>
            <w:r w:rsidRPr="00C867F5">
              <w:rPr>
                <w:rFonts w:ascii="Arial" w:hAnsi="Arial" w:cs="Arial"/>
                <w:szCs w:val="20"/>
              </w:rPr>
              <w:t>Follow-up: median 9 months</w:t>
            </w:r>
          </w:p>
        </w:tc>
        <w:tc>
          <w:tcPr>
            <w:tcW w:w="1701" w:type="dxa"/>
            <w:tcBorders>
              <w:top w:val="single" w:sz="4" w:space="0" w:color="auto"/>
              <w:left w:val="single" w:sz="4" w:space="0" w:color="auto"/>
              <w:bottom w:val="single" w:sz="4" w:space="0" w:color="auto"/>
              <w:right w:val="single" w:sz="4" w:space="0" w:color="auto"/>
            </w:tcBorders>
          </w:tcPr>
          <w:p w14:paraId="024CAB75" w14:textId="77777777" w:rsidR="0054762F" w:rsidRPr="00C867F5" w:rsidRDefault="0054762F" w:rsidP="0054762F">
            <w:pPr>
              <w:pStyle w:val="Tabletext"/>
              <w:rPr>
                <w:rFonts w:ascii="Arial" w:hAnsi="Arial" w:cs="Arial"/>
                <w:szCs w:val="20"/>
              </w:rPr>
            </w:pPr>
            <w:r w:rsidRPr="00C867F5">
              <w:rPr>
                <w:rFonts w:ascii="Arial" w:hAnsi="Arial" w:cs="Arial"/>
                <w:szCs w:val="20"/>
              </w:rPr>
              <w:t>30 PME/ 26 control</w:t>
            </w:r>
          </w:p>
          <w:p w14:paraId="525A62C5" w14:textId="77777777" w:rsidR="0054762F" w:rsidRPr="00C867F5" w:rsidRDefault="0054762F" w:rsidP="0054762F">
            <w:pPr>
              <w:pStyle w:val="Tabletext"/>
              <w:rPr>
                <w:rFonts w:ascii="Arial" w:hAnsi="Arial" w:cs="Arial"/>
                <w:szCs w:val="20"/>
              </w:rPr>
            </w:pPr>
            <w:r w:rsidRPr="00C867F5">
              <w:rPr>
                <w:rFonts w:ascii="Arial" w:hAnsi="Arial" w:cs="Arial"/>
                <w:szCs w:val="20"/>
              </w:rPr>
              <w:t>(2)</w:t>
            </w:r>
          </w:p>
        </w:tc>
        <w:tc>
          <w:tcPr>
            <w:tcW w:w="1560" w:type="dxa"/>
            <w:tcBorders>
              <w:top w:val="single" w:sz="4" w:space="0" w:color="auto"/>
              <w:left w:val="single" w:sz="4" w:space="0" w:color="auto"/>
              <w:bottom w:val="single" w:sz="4" w:space="0" w:color="auto"/>
              <w:right w:val="single" w:sz="4" w:space="0" w:color="auto"/>
            </w:tcBorders>
          </w:tcPr>
          <w:p w14:paraId="708C1368" w14:textId="77777777" w:rsidR="0054762F" w:rsidRPr="00C867F5" w:rsidRDefault="0054762F" w:rsidP="0054762F">
            <w:pPr>
              <w:pStyle w:val="Tabletext"/>
              <w:rPr>
                <w:rFonts w:ascii="Arial" w:hAnsi="Arial" w:cs="Arial"/>
                <w:color w:val="C00000"/>
                <w:szCs w:val="20"/>
              </w:rPr>
            </w:pPr>
            <w:r w:rsidRPr="00C867F5">
              <w:rPr>
                <w:rFonts w:ascii="Cambria Math" w:hAnsi="Cambria Math" w:cs="Cambria Math"/>
                <w:color w:val="00B050"/>
                <w:szCs w:val="20"/>
              </w:rPr>
              <w:t>⨁⨁</w:t>
            </w:r>
            <w:r w:rsidRPr="00C867F5">
              <w:rPr>
                <w:rFonts w:ascii="Cambria Math" w:hAnsi="Cambria Math" w:cs="Cambria Math"/>
                <w:color w:val="C00000"/>
                <w:szCs w:val="20"/>
              </w:rPr>
              <w:t>⨀⨀</w:t>
            </w:r>
          </w:p>
          <w:p w14:paraId="48D16694" w14:textId="77777777" w:rsidR="0054762F" w:rsidRPr="00C867F5" w:rsidRDefault="0054762F" w:rsidP="0054762F">
            <w:pPr>
              <w:pStyle w:val="Tabletext"/>
              <w:rPr>
                <w:rFonts w:ascii="Arial" w:hAnsi="Arial" w:cs="Arial"/>
                <w:szCs w:val="20"/>
                <w:highlight w:val="yellow"/>
              </w:rPr>
            </w:pPr>
            <w:r w:rsidRPr="00C867F5">
              <w:rPr>
                <w:rFonts w:ascii="Arial" w:hAnsi="Arial" w:cs="Arial"/>
                <w:b/>
                <w:szCs w:val="20"/>
              </w:rPr>
              <w:t>Low</w:t>
            </w:r>
          </w:p>
        </w:tc>
        <w:tc>
          <w:tcPr>
            <w:tcW w:w="1843" w:type="dxa"/>
            <w:tcBorders>
              <w:top w:val="single" w:sz="4" w:space="0" w:color="auto"/>
              <w:left w:val="single" w:sz="4" w:space="0" w:color="auto"/>
              <w:bottom w:val="single" w:sz="4" w:space="0" w:color="auto"/>
              <w:right w:val="single" w:sz="4" w:space="0" w:color="auto"/>
            </w:tcBorders>
          </w:tcPr>
          <w:p w14:paraId="245927E4" w14:textId="77777777" w:rsidR="0054762F" w:rsidRPr="00C867F5" w:rsidRDefault="0054762F" w:rsidP="0054762F">
            <w:pPr>
              <w:pStyle w:val="Tabletext"/>
              <w:rPr>
                <w:rFonts w:ascii="Arial" w:hAnsi="Arial" w:cs="Arial"/>
                <w:szCs w:val="20"/>
              </w:rPr>
            </w:pPr>
            <w:r w:rsidRPr="00C867F5">
              <w:rPr>
                <w:rFonts w:ascii="Arial" w:hAnsi="Arial" w:cs="Arial"/>
                <w:szCs w:val="20"/>
              </w:rPr>
              <w:t>0.41 (-0.5, 1.32)</w:t>
            </w:r>
          </w:p>
        </w:tc>
        <w:tc>
          <w:tcPr>
            <w:tcW w:w="1559" w:type="dxa"/>
            <w:tcBorders>
              <w:top w:val="single" w:sz="4" w:space="0" w:color="auto"/>
              <w:left w:val="single" w:sz="4" w:space="0" w:color="auto"/>
              <w:bottom w:val="single" w:sz="4" w:space="0" w:color="auto"/>
              <w:right w:val="single" w:sz="4" w:space="0" w:color="auto"/>
            </w:tcBorders>
          </w:tcPr>
          <w:p w14:paraId="0B5C0D6E" w14:textId="77777777" w:rsidR="0054762F" w:rsidRPr="00C867F5" w:rsidRDefault="0054762F" w:rsidP="0054762F">
            <w:pPr>
              <w:pStyle w:val="Tabletext"/>
              <w:rPr>
                <w:rFonts w:ascii="Arial" w:hAnsi="Arial" w:cs="Arial"/>
                <w:szCs w:val="20"/>
                <w:highlight w:val="yellow"/>
                <w:vertAlign w:val="superscript"/>
              </w:rPr>
            </w:pPr>
            <w:r w:rsidRPr="00C867F5">
              <w:rPr>
                <w:rFonts w:ascii="Arial" w:hAnsi="Arial" w:cs="Arial"/>
                <w:szCs w:val="20"/>
                <w:vertAlign w:val="superscript"/>
              </w:rPr>
              <w:t>Not statistically or clinically significant;</w:t>
            </w:r>
          </w:p>
        </w:tc>
      </w:tr>
      <w:tr w:rsidR="0054762F" w:rsidRPr="00C867F5" w14:paraId="0A8A7622" w14:textId="77777777" w:rsidTr="002F694E">
        <w:tc>
          <w:tcPr>
            <w:tcW w:w="2518" w:type="dxa"/>
            <w:tcBorders>
              <w:top w:val="single" w:sz="4" w:space="0" w:color="auto"/>
              <w:left w:val="single" w:sz="4" w:space="0" w:color="auto"/>
              <w:bottom w:val="single" w:sz="4" w:space="0" w:color="auto"/>
              <w:right w:val="single" w:sz="4" w:space="0" w:color="auto"/>
            </w:tcBorders>
          </w:tcPr>
          <w:p w14:paraId="5C49311A" w14:textId="77777777" w:rsidR="0054762F" w:rsidRPr="00C867F5" w:rsidRDefault="0054762F" w:rsidP="0054762F">
            <w:pPr>
              <w:pStyle w:val="Tabletext"/>
              <w:rPr>
                <w:rFonts w:ascii="Arial" w:hAnsi="Arial" w:cs="Arial"/>
                <w:szCs w:val="20"/>
              </w:rPr>
            </w:pPr>
            <w:r w:rsidRPr="00C867F5">
              <w:rPr>
                <w:rFonts w:ascii="Arial" w:hAnsi="Arial" w:cs="Arial"/>
                <w:szCs w:val="20"/>
              </w:rPr>
              <w:t>Change in functional exercise capacity (6MWT))</w:t>
            </w:r>
          </w:p>
          <w:p w14:paraId="7EED9546" w14:textId="77777777" w:rsidR="0054762F" w:rsidRPr="00C867F5" w:rsidRDefault="0054762F" w:rsidP="0054762F">
            <w:pPr>
              <w:pStyle w:val="Tabletext"/>
              <w:rPr>
                <w:rFonts w:ascii="Arial" w:hAnsi="Arial" w:cs="Arial"/>
                <w:szCs w:val="20"/>
              </w:rPr>
            </w:pPr>
            <w:r w:rsidRPr="00C867F5">
              <w:rPr>
                <w:rFonts w:ascii="Arial" w:hAnsi="Arial" w:cs="Arial"/>
                <w:szCs w:val="20"/>
              </w:rPr>
              <w:t>Follow-up: median 12 months</w:t>
            </w:r>
          </w:p>
        </w:tc>
        <w:tc>
          <w:tcPr>
            <w:tcW w:w="1701" w:type="dxa"/>
            <w:tcBorders>
              <w:top w:val="single" w:sz="4" w:space="0" w:color="auto"/>
              <w:left w:val="single" w:sz="4" w:space="0" w:color="auto"/>
              <w:bottom w:val="single" w:sz="4" w:space="0" w:color="auto"/>
              <w:right w:val="single" w:sz="4" w:space="0" w:color="auto"/>
            </w:tcBorders>
          </w:tcPr>
          <w:p w14:paraId="7B848EAB" w14:textId="77777777" w:rsidR="0054762F" w:rsidRPr="00C867F5" w:rsidRDefault="0054762F" w:rsidP="0054762F">
            <w:pPr>
              <w:pStyle w:val="Tabletext"/>
              <w:rPr>
                <w:rFonts w:ascii="Arial" w:hAnsi="Arial" w:cs="Arial"/>
                <w:szCs w:val="20"/>
              </w:rPr>
            </w:pPr>
            <w:r w:rsidRPr="00C867F5">
              <w:rPr>
                <w:rFonts w:ascii="Arial" w:hAnsi="Arial" w:cs="Arial"/>
                <w:szCs w:val="20"/>
              </w:rPr>
              <w:t>112 PME/ 105 control</w:t>
            </w:r>
          </w:p>
          <w:p w14:paraId="27623A39" w14:textId="77777777" w:rsidR="0054762F" w:rsidRPr="00C867F5" w:rsidRDefault="0054762F" w:rsidP="0054762F">
            <w:pPr>
              <w:pStyle w:val="Tabletext"/>
              <w:rPr>
                <w:rFonts w:ascii="Arial" w:hAnsi="Arial" w:cs="Arial"/>
                <w:szCs w:val="20"/>
              </w:rPr>
            </w:pPr>
            <w:r w:rsidRPr="00C867F5">
              <w:rPr>
                <w:rFonts w:ascii="Arial" w:hAnsi="Arial" w:cs="Arial"/>
                <w:szCs w:val="20"/>
              </w:rPr>
              <w:t>(3)</w:t>
            </w:r>
          </w:p>
        </w:tc>
        <w:tc>
          <w:tcPr>
            <w:tcW w:w="1560" w:type="dxa"/>
            <w:tcBorders>
              <w:top w:val="single" w:sz="4" w:space="0" w:color="auto"/>
              <w:left w:val="single" w:sz="4" w:space="0" w:color="auto"/>
              <w:bottom w:val="single" w:sz="4" w:space="0" w:color="auto"/>
              <w:right w:val="single" w:sz="4" w:space="0" w:color="auto"/>
            </w:tcBorders>
          </w:tcPr>
          <w:p w14:paraId="7E60592C" w14:textId="77777777" w:rsidR="0054762F" w:rsidRPr="00C867F5" w:rsidRDefault="0054762F" w:rsidP="0054762F">
            <w:pPr>
              <w:pStyle w:val="Tabletext"/>
              <w:rPr>
                <w:rFonts w:ascii="Arial" w:hAnsi="Arial" w:cs="Arial"/>
                <w:color w:val="C00000"/>
                <w:szCs w:val="20"/>
              </w:rPr>
            </w:pPr>
            <w:r w:rsidRPr="00C867F5">
              <w:rPr>
                <w:rFonts w:ascii="Cambria Math" w:hAnsi="Cambria Math" w:cs="Cambria Math"/>
                <w:color w:val="00B050"/>
                <w:szCs w:val="20"/>
              </w:rPr>
              <w:t>⨁⨁</w:t>
            </w:r>
            <w:r w:rsidRPr="00C867F5">
              <w:rPr>
                <w:rFonts w:ascii="Cambria Math" w:hAnsi="Cambria Math" w:cs="Cambria Math"/>
                <w:color w:val="C00000"/>
                <w:szCs w:val="20"/>
              </w:rPr>
              <w:t>⨀⨀</w:t>
            </w:r>
          </w:p>
          <w:p w14:paraId="5149DD3A" w14:textId="77777777" w:rsidR="0054762F" w:rsidRPr="00C867F5" w:rsidRDefault="0054762F" w:rsidP="0054762F">
            <w:pPr>
              <w:pStyle w:val="Tabletext"/>
              <w:rPr>
                <w:rFonts w:ascii="Arial" w:hAnsi="Arial" w:cs="Arial"/>
                <w:szCs w:val="20"/>
                <w:highlight w:val="yellow"/>
              </w:rPr>
            </w:pPr>
            <w:r w:rsidRPr="00C867F5">
              <w:rPr>
                <w:rFonts w:ascii="Arial" w:hAnsi="Arial" w:cs="Arial"/>
                <w:b/>
                <w:szCs w:val="20"/>
              </w:rPr>
              <w:t>Low</w:t>
            </w:r>
          </w:p>
        </w:tc>
        <w:tc>
          <w:tcPr>
            <w:tcW w:w="1843" w:type="dxa"/>
            <w:tcBorders>
              <w:top w:val="single" w:sz="4" w:space="0" w:color="auto"/>
              <w:left w:val="single" w:sz="4" w:space="0" w:color="auto"/>
              <w:bottom w:val="single" w:sz="4" w:space="0" w:color="auto"/>
              <w:right w:val="single" w:sz="4" w:space="0" w:color="auto"/>
            </w:tcBorders>
          </w:tcPr>
          <w:p w14:paraId="19B8D7CF" w14:textId="77777777" w:rsidR="0054762F" w:rsidRPr="00C867F5" w:rsidRDefault="0054762F" w:rsidP="0054762F">
            <w:pPr>
              <w:pStyle w:val="Tabletext"/>
              <w:rPr>
                <w:rFonts w:ascii="Arial" w:hAnsi="Arial" w:cs="Arial"/>
                <w:szCs w:val="20"/>
              </w:rPr>
            </w:pPr>
            <w:r w:rsidRPr="00C867F5">
              <w:rPr>
                <w:rFonts w:ascii="Arial" w:hAnsi="Arial" w:cs="Arial"/>
                <w:szCs w:val="20"/>
              </w:rPr>
              <w:t>19.62 (-12.76, 52.00)</w:t>
            </w:r>
          </w:p>
        </w:tc>
        <w:tc>
          <w:tcPr>
            <w:tcW w:w="1559" w:type="dxa"/>
            <w:tcBorders>
              <w:top w:val="single" w:sz="4" w:space="0" w:color="auto"/>
              <w:left w:val="single" w:sz="4" w:space="0" w:color="auto"/>
              <w:bottom w:val="single" w:sz="4" w:space="0" w:color="auto"/>
              <w:right w:val="single" w:sz="4" w:space="0" w:color="auto"/>
            </w:tcBorders>
          </w:tcPr>
          <w:p w14:paraId="633BDC97" w14:textId="77777777" w:rsidR="0054762F" w:rsidRPr="00C867F5" w:rsidRDefault="0054762F" w:rsidP="0054762F">
            <w:pPr>
              <w:pStyle w:val="Tabletext"/>
              <w:rPr>
                <w:rFonts w:ascii="Arial" w:hAnsi="Arial" w:cs="Arial"/>
                <w:szCs w:val="20"/>
                <w:highlight w:val="yellow"/>
                <w:vertAlign w:val="superscript"/>
              </w:rPr>
            </w:pPr>
            <w:r w:rsidRPr="00C867F5">
              <w:rPr>
                <w:rFonts w:ascii="Arial" w:hAnsi="Arial" w:cs="Arial"/>
                <w:szCs w:val="20"/>
                <w:vertAlign w:val="superscript"/>
              </w:rPr>
              <w:t>Not statistically or clinically significant;</w:t>
            </w:r>
          </w:p>
        </w:tc>
      </w:tr>
    </w:tbl>
    <w:p w14:paraId="7CE2B1B1" w14:textId="77777777" w:rsidR="0054762F" w:rsidRPr="00C867F5" w:rsidRDefault="0054762F" w:rsidP="0054762F">
      <w:pPr>
        <w:rPr>
          <w:rFonts w:ascii="Arial" w:hAnsi="Arial" w:cs="Arial"/>
          <w:sz w:val="16"/>
          <w:szCs w:val="18"/>
        </w:rPr>
      </w:pPr>
      <w:r w:rsidRPr="00C867F5">
        <w:rPr>
          <w:rFonts w:ascii="Arial" w:hAnsi="Arial" w:cs="Arial"/>
          <w:sz w:val="16"/>
          <w:szCs w:val="18"/>
          <w:vertAlign w:val="superscript"/>
        </w:rPr>
        <w:t xml:space="preserve">a </w:t>
      </w:r>
      <w:r w:rsidRPr="00C867F5">
        <w:rPr>
          <w:rFonts w:ascii="Arial" w:hAnsi="Arial" w:cs="Arial"/>
          <w:sz w:val="16"/>
          <w:szCs w:val="18"/>
        </w:rPr>
        <w:t>GRADE Working Group grades of evidence (Guyatt et al., 2013)</w:t>
      </w:r>
      <w:r w:rsidRPr="00C867F5">
        <w:rPr>
          <w:rFonts w:ascii="Arial" w:hAnsi="Arial" w:cs="Arial"/>
          <w:sz w:val="16"/>
          <w:szCs w:val="18"/>
        </w:rPr>
        <w:br/>
      </w:r>
      <w:r w:rsidRPr="00C867F5">
        <w:rPr>
          <w:rFonts w:ascii="Cambria Math" w:hAnsi="Cambria Math" w:cs="Cambria Math"/>
          <w:color w:val="00B050"/>
          <w:sz w:val="16"/>
          <w:szCs w:val="18"/>
        </w:rPr>
        <w:t>⨁⨁⨁⨁</w:t>
      </w:r>
      <w:r w:rsidRPr="00C867F5">
        <w:rPr>
          <w:rFonts w:ascii="Arial" w:hAnsi="Arial" w:cs="Arial"/>
          <w:color w:val="00B050"/>
          <w:sz w:val="16"/>
          <w:szCs w:val="18"/>
        </w:rPr>
        <w:t xml:space="preserve"> </w:t>
      </w:r>
      <w:r w:rsidRPr="00C867F5">
        <w:rPr>
          <w:rFonts w:ascii="Arial" w:hAnsi="Arial" w:cs="Arial"/>
          <w:b/>
          <w:bCs/>
          <w:sz w:val="16"/>
          <w:szCs w:val="18"/>
        </w:rPr>
        <w:t>High quality:</w:t>
      </w:r>
      <w:r w:rsidRPr="00C867F5">
        <w:rPr>
          <w:rFonts w:ascii="Arial" w:hAnsi="Arial" w:cs="Arial"/>
          <w:sz w:val="16"/>
          <w:szCs w:val="18"/>
        </w:rPr>
        <w:t xml:space="preserve"> We are very confident that the true effect lies close to that of the estimated effect. </w:t>
      </w:r>
      <w:r w:rsidRPr="00C867F5">
        <w:rPr>
          <w:rFonts w:ascii="Arial" w:hAnsi="Arial" w:cs="Arial"/>
          <w:sz w:val="16"/>
          <w:szCs w:val="18"/>
        </w:rPr>
        <w:br/>
      </w:r>
      <w:r w:rsidRPr="00C867F5">
        <w:rPr>
          <w:rFonts w:ascii="Cambria Math" w:hAnsi="Cambria Math" w:cs="Cambria Math"/>
          <w:color w:val="00B050"/>
          <w:sz w:val="16"/>
          <w:szCs w:val="18"/>
        </w:rPr>
        <w:t>⨁⨁⨁</w:t>
      </w:r>
      <w:r w:rsidRPr="00C867F5">
        <w:rPr>
          <w:rFonts w:ascii="Cambria Math" w:hAnsi="Cambria Math" w:cs="Cambria Math"/>
          <w:color w:val="C00000"/>
          <w:sz w:val="16"/>
          <w:szCs w:val="18"/>
        </w:rPr>
        <w:t>⨀</w:t>
      </w:r>
      <w:r w:rsidRPr="00C867F5">
        <w:rPr>
          <w:rFonts w:ascii="Arial" w:hAnsi="Arial" w:cs="Arial"/>
          <w:color w:val="C00000"/>
          <w:sz w:val="16"/>
          <w:szCs w:val="18"/>
        </w:rPr>
        <w:t xml:space="preserve"> </w:t>
      </w:r>
      <w:r w:rsidRPr="00C867F5">
        <w:rPr>
          <w:rFonts w:ascii="Arial" w:hAnsi="Arial" w:cs="Arial"/>
          <w:b/>
          <w:bCs/>
          <w:sz w:val="16"/>
          <w:szCs w:val="18"/>
        </w:rPr>
        <w:t>Moderate quality:</w:t>
      </w:r>
      <w:r w:rsidRPr="00C867F5">
        <w:rPr>
          <w:rFonts w:ascii="Arial" w:hAnsi="Arial" w:cs="Arial"/>
          <w:sz w:val="16"/>
          <w:szCs w:val="18"/>
        </w:rPr>
        <w:t xml:space="preserve"> We are moderately confident in the effect estimate: The true effect is likely to be close to the estimated effect, but there is a possibility that it is substantially different. </w:t>
      </w:r>
      <w:r w:rsidRPr="00C867F5">
        <w:rPr>
          <w:rFonts w:ascii="Arial" w:hAnsi="Arial" w:cs="Arial"/>
          <w:sz w:val="16"/>
          <w:szCs w:val="18"/>
        </w:rPr>
        <w:br/>
      </w:r>
      <w:r w:rsidRPr="00C867F5">
        <w:rPr>
          <w:rFonts w:ascii="Cambria Math" w:hAnsi="Cambria Math" w:cs="Cambria Math"/>
          <w:color w:val="00B050"/>
          <w:sz w:val="16"/>
          <w:szCs w:val="18"/>
        </w:rPr>
        <w:t>⨁⨁</w:t>
      </w:r>
      <w:r w:rsidRPr="00C867F5">
        <w:rPr>
          <w:rFonts w:ascii="Cambria Math" w:hAnsi="Cambria Math" w:cs="Cambria Math"/>
          <w:color w:val="C00000"/>
          <w:sz w:val="16"/>
          <w:szCs w:val="18"/>
        </w:rPr>
        <w:t>⨀⨀</w:t>
      </w:r>
      <w:r w:rsidRPr="00C867F5">
        <w:rPr>
          <w:rFonts w:ascii="Arial" w:hAnsi="Arial" w:cs="Arial"/>
          <w:color w:val="C00000"/>
          <w:sz w:val="16"/>
          <w:szCs w:val="18"/>
        </w:rPr>
        <w:t xml:space="preserve"> </w:t>
      </w:r>
      <w:r w:rsidRPr="00C867F5">
        <w:rPr>
          <w:rFonts w:ascii="Arial" w:hAnsi="Arial" w:cs="Arial"/>
          <w:b/>
          <w:bCs/>
          <w:sz w:val="16"/>
          <w:szCs w:val="18"/>
        </w:rPr>
        <w:t>Low quality:</w:t>
      </w:r>
      <w:r w:rsidRPr="00C867F5">
        <w:rPr>
          <w:rFonts w:ascii="Arial" w:hAnsi="Arial" w:cs="Arial"/>
          <w:sz w:val="16"/>
          <w:szCs w:val="18"/>
        </w:rPr>
        <w:t xml:space="preserve"> Our confidence in the effect estimate is limited: The true effect may be substantially different from the estimated effect.</w:t>
      </w:r>
      <w:r w:rsidRPr="00C867F5">
        <w:rPr>
          <w:rFonts w:ascii="Arial" w:hAnsi="Arial" w:cs="Arial"/>
          <w:sz w:val="16"/>
          <w:szCs w:val="18"/>
        </w:rPr>
        <w:br/>
      </w:r>
      <w:r w:rsidRPr="00C867F5">
        <w:rPr>
          <w:rFonts w:ascii="Cambria Math" w:hAnsi="Cambria Math" w:cs="Cambria Math"/>
          <w:color w:val="00B050"/>
          <w:sz w:val="16"/>
          <w:szCs w:val="18"/>
        </w:rPr>
        <w:t>⨁</w:t>
      </w:r>
      <w:r w:rsidRPr="00C867F5">
        <w:rPr>
          <w:rFonts w:ascii="Cambria Math" w:hAnsi="Cambria Math" w:cs="Cambria Math"/>
          <w:color w:val="C00000"/>
          <w:sz w:val="16"/>
          <w:szCs w:val="18"/>
        </w:rPr>
        <w:t>⨀⨀⨀</w:t>
      </w:r>
      <w:r w:rsidRPr="00C867F5">
        <w:rPr>
          <w:rFonts w:ascii="Arial" w:hAnsi="Arial" w:cs="Arial"/>
          <w:color w:val="C00000"/>
          <w:sz w:val="16"/>
          <w:szCs w:val="18"/>
        </w:rPr>
        <w:t xml:space="preserve"> </w:t>
      </w:r>
      <w:r w:rsidRPr="00C867F5">
        <w:rPr>
          <w:rFonts w:ascii="Arial" w:hAnsi="Arial" w:cs="Arial"/>
          <w:b/>
          <w:bCs/>
          <w:sz w:val="16"/>
          <w:szCs w:val="18"/>
        </w:rPr>
        <w:t>Very low quality:</w:t>
      </w:r>
      <w:r w:rsidRPr="00C867F5">
        <w:rPr>
          <w:rFonts w:ascii="Arial" w:hAnsi="Arial" w:cs="Arial"/>
          <w:sz w:val="16"/>
          <w:szCs w:val="18"/>
        </w:rPr>
        <w:t xml:space="preserve"> We have very little confidence in the effect estimate: The true effect is likely to be substantially different from the estimate of effect.</w:t>
      </w:r>
    </w:p>
    <w:p w14:paraId="1FC7CE1C" w14:textId="77777777" w:rsidR="0054762F" w:rsidRPr="00FF5712" w:rsidRDefault="0054762F" w:rsidP="0054762F"/>
    <w:p w14:paraId="4F3AD6EC" w14:textId="77777777" w:rsidR="0054762F" w:rsidRPr="00FF5712" w:rsidRDefault="00C867F5" w:rsidP="0054762F">
      <w:r>
        <w:t>The</w:t>
      </w:r>
      <w:r w:rsidR="0054762F" w:rsidRPr="00FF5712">
        <w:t xml:space="preserve"> </w:t>
      </w:r>
      <w:r>
        <w:t xml:space="preserve">assessment report stated there </w:t>
      </w:r>
      <w:r w:rsidR="0054762F" w:rsidRPr="00FF5712">
        <w:t>was insufficient evidence to determine whether the addition of PME provides additional benefit beyond PR for patients with interstitial lung disease, bronchiectasis or lung cancer.</w:t>
      </w:r>
    </w:p>
    <w:p w14:paraId="1F53F1E7" w14:textId="77777777" w:rsidR="00BC1364" w:rsidRPr="00FF5712" w:rsidRDefault="00BC1364" w:rsidP="002A1861">
      <w:pPr>
        <w:pStyle w:val="Heading1"/>
      </w:pPr>
      <w:r w:rsidRPr="00FF5712">
        <w:lastRenderedPageBreak/>
        <w:t>Economic evaluation</w:t>
      </w:r>
    </w:p>
    <w:p w14:paraId="72740069" w14:textId="77777777" w:rsidR="00FF5712" w:rsidRDefault="0054762F" w:rsidP="004406F9">
      <w:pPr>
        <w:tabs>
          <w:tab w:val="left" w:pos="1140"/>
        </w:tabs>
        <w:spacing w:after="240"/>
      </w:pPr>
      <w:r w:rsidRPr="00FF5712">
        <w:t>The clinical evaluation suggested that, relative to standard care, the intervention has non-inferior safety and superior effectiveness.  Since outcomes were assessed as having non-inferior safety compared with usual care, and likely superior effectiveness for both interventions, a cost utility analysis was undertaken for the economic evaluation.  The base case of the economic evaluation was generated using a stepped pro</w:t>
      </w:r>
      <w:r w:rsidR="004406F9">
        <w:t>cess derived from the evidence</w:t>
      </w:r>
      <w:r w:rsidR="004406F9" w:rsidRPr="004406F9">
        <w:rPr>
          <w:b/>
        </w:rPr>
        <w:t xml:space="preserve">. </w:t>
      </w:r>
      <w:r w:rsidR="004406F9" w:rsidRPr="004406F9">
        <w:fldChar w:fldCharType="begin"/>
      </w:r>
      <w:r w:rsidR="004406F9" w:rsidRPr="004406F9">
        <w:instrText xml:space="preserve"> REF _Ref457895372 \h  \* MERGEFORMAT </w:instrText>
      </w:r>
      <w:r w:rsidR="004406F9" w:rsidRPr="004406F9">
        <w:fldChar w:fldCharType="separate"/>
      </w:r>
      <w:r w:rsidR="004406F9" w:rsidRPr="004406F9">
        <w:t>Table 8</w:t>
      </w:r>
      <w:r w:rsidR="004406F9" w:rsidRPr="004406F9">
        <w:fldChar w:fldCharType="end"/>
      </w:r>
      <w:r w:rsidR="004406F9" w:rsidRPr="004406F9">
        <w:t xml:space="preserve"> </w:t>
      </w:r>
      <w:r w:rsidRPr="004406F9">
        <w:t>provides</w:t>
      </w:r>
      <w:r w:rsidRPr="00FF5712">
        <w:t xml:space="preserve"> an overview of the economic evaluation.</w:t>
      </w:r>
    </w:p>
    <w:p w14:paraId="4C8F7702" w14:textId="77777777" w:rsidR="003C3C64" w:rsidRPr="003C3C64" w:rsidRDefault="003C3C64" w:rsidP="003C3C64">
      <w:pPr>
        <w:rPr>
          <w:b/>
          <w:bCs/>
          <w:iCs/>
          <w:noProof/>
        </w:rPr>
      </w:pPr>
      <w:bookmarkStart w:id="15" w:name="_Ref457895372"/>
      <w:bookmarkStart w:id="16" w:name="_Toc457928914"/>
      <w:r w:rsidRPr="003C3C64">
        <w:rPr>
          <w:b/>
          <w:bCs/>
          <w:iCs/>
          <w:noProof/>
        </w:rPr>
        <w:t xml:space="preserve">Table </w:t>
      </w:r>
      <w:r w:rsidRPr="003C3C64">
        <w:rPr>
          <w:b/>
          <w:bCs/>
          <w:iCs/>
          <w:noProof/>
        </w:rPr>
        <w:fldChar w:fldCharType="begin"/>
      </w:r>
      <w:r w:rsidRPr="003C3C64">
        <w:rPr>
          <w:b/>
          <w:bCs/>
          <w:iCs/>
          <w:noProof/>
        </w:rPr>
        <w:instrText xml:space="preserve"> SEQ Table \* ARABIC </w:instrText>
      </w:r>
      <w:r w:rsidRPr="003C3C64">
        <w:rPr>
          <w:b/>
          <w:bCs/>
          <w:iCs/>
          <w:noProof/>
        </w:rPr>
        <w:fldChar w:fldCharType="separate"/>
      </w:r>
      <w:r w:rsidRPr="003C3C64">
        <w:rPr>
          <w:b/>
          <w:bCs/>
          <w:iCs/>
          <w:noProof/>
        </w:rPr>
        <w:t>8</w:t>
      </w:r>
      <w:r w:rsidRPr="003C3C64">
        <w:rPr>
          <w:noProof/>
        </w:rPr>
        <w:fldChar w:fldCharType="end"/>
      </w:r>
      <w:bookmarkEnd w:id="15"/>
      <w:r w:rsidRPr="003C3C64">
        <w:rPr>
          <w:b/>
          <w:bCs/>
          <w:iCs/>
          <w:noProof/>
        </w:rPr>
        <w:tab/>
      </w:r>
      <w:r w:rsidRPr="003C3C64">
        <w:rPr>
          <w:b/>
          <w:bCs/>
          <w:iCs/>
          <w:noProof/>
        </w:rPr>
        <w:tab/>
        <w:t>Summary of the economic evaluation</w:t>
      </w:r>
      <w:bookmarkEnd w:id="16"/>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key constructs of the economic evaluation that is provided in the assessment report."/>
      </w:tblPr>
      <w:tblGrid>
        <w:gridCol w:w="3576"/>
        <w:gridCol w:w="5561"/>
      </w:tblGrid>
      <w:tr w:rsidR="003C3C64" w:rsidRPr="003C3C64" w14:paraId="550519E7" w14:textId="77777777" w:rsidTr="00E4457D">
        <w:trPr>
          <w:trHeight w:val="20"/>
        </w:trPr>
        <w:tc>
          <w:tcPr>
            <w:tcW w:w="0" w:type="auto"/>
            <w:tcBorders>
              <w:top w:val="single" w:sz="4" w:space="0" w:color="auto"/>
              <w:left w:val="single" w:sz="4" w:space="0" w:color="auto"/>
              <w:bottom w:val="single" w:sz="4" w:space="0" w:color="auto"/>
              <w:right w:val="single" w:sz="4" w:space="0" w:color="auto"/>
            </w:tcBorders>
          </w:tcPr>
          <w:p w14:paraId="36D57293" w14:textId="77777777" w:rsidR="003C3C64" w:rsidRPr="003C3C64" w:rsidRDefault="003C3C64" w:rsidP="003C3C64">
            <w:pPr>
              <w:rPr>
                <w:b/>
                <w:noProof/>
              </w:rPr>
            </w:pPr>
            <w:r w:rsidRPr="003C3C64">
              <w:rPr>
                <w:b/>
                <w:noProof/>
              </w:rPr>
              <w:t>Perspective</w:t>
            </w:r>
          </w:p>
        </w:tc>
        <w:tc>
          <w:tcPr>
            <w:tcW w:w="0" w:type="auto"/>
            <w:tcBorders>
              <w:top w:val="single" w:sz="4" w:space="0" w:color="auto"/>
              <w:left w:val="single" w:sz="4" w:space="0" w:color="auto"/>
              <w:bottom w:val="single" w:sz="4" w:space="0" w:color="auto"/>
              <w:right w:val="single" w:sz="4" w:space="0" w:color="auto"/>
            </w:tcBorders>
          </w:tcPr>
          <w:p w14:paraId="35994BFE" w14:textId="77777777" w:rsidR="003C3C64" w:rsidRPr="003C3C64" w:rsidRDefault="003C3C64" w:rsidP="003C3C64">
            <w:pPr>
              <w:rPr>
                <w:noProof/>
              </w:rPr>
            </w:pPr>
            <w:r w:rsidRPr="003C3C64">
              <w:rPr>
                <w:noProof/>
              </w:rPr>
              <w:t>Healthcare payer</w:t>
            </w:r>
          </w:p>
        </w:tc>
      </w:tr>
      <w:tr w:rsidR="003C3C64" w:rsidRPr="003C3C64" w14:paraId="28C91802" w14:textId="77777777" w:rsidTr="00E4457D">
        <w:trPr>
          <w:trHeight w:val="20"/>
        </w:trPr>
        <w:tc>
          <w:tcPr>
            <w:tcW w:w="0" w:type="auto"/>
            <w:tcBorders>
              <w:top w:val="single" w:sz="4" w:space="0" w:color="auto"/>
              <w:left w:val="single" w:sz="4" w:space="0" w:color="auto"/>
              <w:bottom w:val="single" w:sz="4" w:space="0" w:color="auto"/>
              <w:right w:val="single" w:sz="4" w:space="0" w:color="auto"/>
            </w:tcBorders>
          </w:tcPr>
          <w:p w14:paraId="3FBF8976" w14:textId="77777777" w:rsidR="003C3C64" w:rsidRPr="003C3C64" w:rsidRDefault="003C3C64" w:rsidP="003C3C64">
            <w:pPr>
              <w:rPr>
                <w:b/>
                <w:noProof/>
              </w:rPr>
            </w:pPr>
            <w:r w:rsidRPr="003C3C64">
              <w:rPr>
                <w:b/>
                <w:noProof/>
              </w:rPr>
              <w:t>Comparator</w:t>
            </w:r>
          </w:p>
        </w:tc>
        <w:tc>
          <w:tcPr>
            <w:tcW w:w="0" w:type="auto"/>
            <w:tcBorders>
              <w:top w:val="single" w:sz="4" w:space="0" w:color="auto"/>
              <w:left w:val="single" w:sz="4" w:space="0" w:color="auto"/>
              <w:bottom w:val="single" w:sz="4" w:space="0" w:color="auto"/>
              <w:right w:val="single" w:sz="4" w:space="0" w:color="auto"/>
            </w:tcBorders>
          </w:tcPr>
          <w:p w14:paraId="320945D7" w14:textId="77777777" w:rsidR="003C3C64" w:rsidRPr="003C3C64" w:rsidRDefault="003C3C64" w:rsidP="003C3C64">
            <w:pPr>
              <w:rPr>
                <w:noProof/>
              </w:rPr>
            </w:pPr>
            <w:r w:rsidRPr="003C3C64">
              <w:rPr>
                <w:noProof/>
              </w:rPr>
              <w:t>PR versus usual care, and PM and PR versus PR</w:t>
            </w:r>
          </w:p>
        </w:tc>
      </w:tr>
      <w:tr w:rsidR="003C3C64" w:rsidRPr="003C3C64" w14:paraId="09583CBA" w14:textId="77777777" w:rsidTr="00E4457D">
        <w:trPr>
          <w:trHeight w:val="20"/>
        </w:trPr>
        <w:tc>
          <w:tcPr>
            <w:tcW w:w="0" w:type="auto"/>
            <w:tcBorders>
              <w:top w:val="single" w:sz="4" w:space="0" w:color="auto"/>
              <w:left w:val="single" w:sz="4" w:space="0" w:color="auto"/>
              <w:bottom w:val="single" w:sz="4" w:space="0" w:color="auto"/>
              <w:right w:val="single" w:sz="4" w:space="0" w:color="auto"/>
            </w:tcBorders>
          </w:tcPr>
          <w:p w14:paraId="45AAC278" w14:textId="77777777" w:rsidR="003C3C64" w:rsidRPr="003C3C64" w:rsidRDefault="003C3C64" w:rsidP="003C3C64">
            <w:pPr>
              <w:rPr>
                <w:b/>
                <w:noProof/>
              </w:rPr>
            </w:pPr>
            <w:r w:rsidRPr="003C3C64">
              <w:rPr>
                <w:b/>
                <w:noProof/>
              </w:rPr>
              <w:t>Type of economic evaluation</w:t>
            </w:r>
          </w:p>
        </w:tc>
        <w:tc>
          <w:tcPr>
            <w:tcW w:w="0" w:type="auto"/>
            <w:tcBorders>
              <w:top w:val="single" w:sz="4" w:space="0" w:color="auto"/>
              <w:left w:val="single" w:sz="4" w:space="0" w:color="auto"/>
              <w:bottom w:val="single" w:sz="4" w:space="0" w:color="auto"/>
              <w:right w:val="single" w:sz="4" w:space="0" w:color="auto"/>
            </w:tcBorders>
          </w:tcPr>
          <w:p w14:paraId="42F342D8" w14:textId="77777777" w:rsidR="003C3C64" w:rsidRPr="003C3C64" w:rsidRDefault="003C3C64" w:rsidP="003C3C64">
            <w:pPr>
              <w:rPr>
                <w:noProof/>
              </w:rPr>
            </w:pPr>
            <w:r w:rsidRPr="003C3C64">
              <w:rPr>
                <w:noProof/>
              </w:rPr>
              <w:t>Cost utility</w:t>
            </w:r>
          </w:p>
        </w:tc>
      </w:tr>
      <w:tr w:rsidR="003C3C64" w:rsidRPr="003C3C64" w14:paraId="61C07B53" w14:textId="77777777" w:rsidTr="00E4457D">
        <w:trPr>
          <w:trHeight w:val="20"/>
        </w:trPr>
        <w:tc>
          <w:tcPr>
            <w:tcW w:w="0" w:type="auto"/>
            <w:tcBorders>
              <w:top w:val="single" w:sz="4" w:space="0" w:color="auto"/>
              <w:left w:val="single" w:sz="4" w:space="0" w:color="auto"/>
              <w:bottom w:val="single" w:sz="4" w:space="0" w:color="auto"/>
              <w:right w:val="single" w:sz="4" w:space="0" w:color="auto"/>
            </w:tcBorders>
          </w:tcPr>
          <w:p w14:paraId="191E6066" w14:textId="77777777" w:rsidR="003C3C64" w:rsidRPr="003C3C64" w:rsidRDefault="003C3C64" w:rsidP="003C3C64">
            <w:pPr>
              <w:rPr>
                <w:b/>
                <w:noProof/>
              </w:rPr>
            </w:pPr>
            <w:r w:rsidRPr="003C3C64">
              <w:rPr>
                <w:b/>
                <w:noProof/>
              </w:rPr>
              <w:t>Sources of evidence</w:t>
            </w:r>
          </w:p>
        </w:tc>
        <w:tc>
          <w:tcPr>
            <w:tcW w:w="0" w:type="auto"/>
            <w:tcBorders>
              <w:top w:val="single" w:sz="4" w:space="0" w:color="auto"/>
              <w:left w:val="single" w:sz="4" w:space="0" w:color="auto"/>
              <w:bottom w:val="single" w:sz="4" w:space="0" w:color="auto"/>
              <w:right w:val="single" w:sz="4" w:space="0" w:color="auto"/>
            </w:tcBorders>
          </w:tcPr>
          <w:p w14:paraId="3D64DEB4" w14:textId="77777777" w:rsidR="003C3C64" w:rsidRPr="003C3C64" w:rsidRDefault="003C3C64" w:rsidP="003C3C64">
            <w:pPr>
              <w:rPr>
                <w:noProof/>
              </w:rPr>
            </w:pPr>
            <w:r w:rsidRPr="003C3C64">
              <w:rPr>
                <w:noProof/>
              </w:rPr>
              <w:t xml:space="preserve">Selective review of literature and evidence in Section B </w:t>
            </w:r>
            <w:r w:rsidRPr="003C3C64">
              <w:rPr>
                <w:noProof/>
              </w:rPr>
              <w:br/>
              <w:t>(systematic review)</w:t>
            </w:r>
          </w:p>
        </w:tc>
      </w:tr>
      <w:tr w:rsidR="003C3C64" w:rsidRPr="003C3C64" w14:paraId="299F776E" w14:textId="77777777" w:rsidTr="00E4457D">
        <w:trPr>
          <w:trHeight w:val="20"/>
        </w:trPr>
        <w:tc>
          <w:tcPr>
            <w:tcW w:w="0" w:type="auto"/>
            <w:tcBorders>
              <w:top w:val="single" w:sz="4" w:space="0" w:color="auto"/>
              <w:left w:val="single" w:sz="4" w:space="0" w:color="auto"/>
              <w:bottom w:val="single" w:sz="4" w:space="0" w:color="auto"/>
              <w:right w:val="single" w:sz="4" w:space="0" w:color="auto"/>
            </w:tcBorders>
            <w:hideMark/>
          </w:tcPr>
          <w:p w14:paraId="30481A7C" w14:textId="77777777" w:rsidR="003C3C64" w:rsidRPr="003C3C64" w:rsidRDefault="003C3C64" w:rsidP="003C3C64">
            <w:pPr>
              <w:rPr>
                <w:b/>
                <w:noProof/>
              </w:rPr>
            </w:pPr>
            <w:r w:rsidRPr="003C3C64">
              <w:rPr>
                <w:b/>
                <w:noProof/>
              </w:rPr>
              <w:t>Time horizon</w:t>
            </w:r>
          </w:p>
        </w:tc>
        <w:tc>
          <w:tcPr>
            <w:tcW w:w="0" w:type="auto"/>
            <w:tcBorders>
              <w:top w:val="single" w:sz="4" w:space="0" w:color="auto"/>
              <w:left w:val="single" w:sz="4" w:space="0" w:color="auto"/>
              <w:bottom w:val="single" w:sz="4" w:space="0" w:color="auto"/>
              <w:right w:val="single" w:sz="4" w:space="0" w:color="auto"/>
            </w:tcBorders>
            <w:hideMark/>
          </w:tcPr>
          <w:p w14:paraId="592CE023" w14:textId="77777777" w:rsidR="003C3C64" w:rsidRPr="003C3C64" w:rsidRDefault="003C3C64" w:rsidP="003C3C64">
            <w:pPr>
              <w:rPr>
                <w:noProof/>
              </w:rPr>
            </w:pPr>
            <w:r w:rsidRPr="003C3C64">
              <w:rPr>
                <w:noProof/>
              </w:rPr>
              <w:t>10 years, including 2 years and 5 years</w:t>
            </w:r>
          </w:p>
        </w:tc>
      </w:tr>
      <w:tr w:rsidR="003C3C64" w:rsidRPr="003C3C64" w14:paraId="100AD356" w14:textId="77777777" w:rsidTr="00E4457D">
        <w:trPr>
          <w:trHeight w:val="20"/>
        </w:trPr>
        <w:tc>
          <w:tcPr>
            <w:tcW w:w="0" w:type="auto"/>
            <w:tcBorders>
              <w:top w:val="single" w:sz="4" w:space="0" w:color="auto"/>
              <w:left w:val="single" w:sz="4" w:space="0" w:color="auto"/>
              <w:bottom w:val="single" w:sz="4" w:space="0" w:color="auto"/>
              <w:right w:val="single" w:sz="4" w:space="0" w:color="auto"/>
            </w:tcBorders>
            <w:hideMark/>
          </w:tcPr>
          <w:p w14:paraId="65B59332" w14:textId="77777777" w:rsidR="003C3C64" w:rsidRPr="003C3C64" w:rsidRDefault="003C3C64" w:rsidP="003C3C64">
            <w:pPr>
              <w:rPr>
                <w:b/>
                <w:noProof/>
              </w:rPr>
            </w:pPr>
            <w:r w:rsidRPr="003C3C64">
              <w:rPr>
                <w:b/>
                <w:noProof/>
              </w:rPr>
              <w:t>Outcomes</w:t>
            </w:r>
          </w:p>
        </w:tc>
        <w:tc>
          <w:tcPr>
            <w:tcW w:w="0" w:type="auto"/>
            <w:tcBorders>
              <w:top w:val="single" w:sz="4" w:space="0" w:color="auto"/>
              <w:left w:val="single" w:sz="4" w:space="0" w:color="auto"/>
              <w:bottom w:val="single" w:sz="4" w:space="0" w:color="auto"/>
              <w:right w:val="single" w:sz="4" w:space="0" w:color="auto"/>
            </w:tcBorders>
          </w:tcPr>
          <w:p w14:paraId="01DCD603" w14:textId="77777777" w:rsidR="003C3C64" w:rsidRPr="003C3C64" w:rsidRDefault="003C3C64" w:rsidP="003C3C64">
            <w:pPr>
              <w:rPr>
                <w:noProof/>
              </w:rPr>
            </w:pPr>
            <w:r w:rsidRPr="003C3C64">
              <w:rPr>
                <w:noProof/>
              </w:rPr>
              <w:t>Life years gained (QALYs)</w:t>
            </w:r>
          </w:p>
        </w:tc>
      </w:tr>
      <w:tr w:rsidR="003C3C64" w:rsidRPr="003C3C64" w14:paraId="655A6417" w14:textId="77777777" w:rsidTr="00E4457D">
        <w:trPr>
          <w:trHeight w:val="20"/>
        </w:trPr>
        <w:tc>
          <w:tcPr>
            <w:tcW w:w="0" w:type="auto"/>
            <w:tcBorders>
              <w:top w:val="single" w:sz="4" w:space="0" w:color="auto"/>
              <w:left w:val="single" w:sz="4" w:space="0" w:color="auto"/>
              <w:bottom w:val="single" w:sz="4" w:space="0" w:color="auto"/>
              <w:right w:val="single" w:sz="4" w:space="0" w:color="auto"/>
            </w:tcBorders>
            <w:hideMark/>
          </w:tcPr>
          <w:p w14:paraId="0A5A3E19" w14:textId="77777777" w:rsidR="003C3C64" w:rsidRPr="003C3C64" w:rsidRDefault="003C3C64" w:rsidP="003C3C64">
            <w:pPr>
              <w:rPr>
                <w:b/>
                <w:noProof/>
              </w:rPr>
            </w:pPr>
            <w:r w:rsidRPr="003C3C64">
              <w:rPr>
                <w:b/>
                <w:noProof/>
              </w:rPr>
              <w:t>Methods used to generate results</w:t>
            </w:r>
          </w:p>
        </w:tc>
        <w:tc>
          <w:tcPr>
            <w:tcW w:w="0" w:type="auto"/>
            <w:tcBorders>
              <w:top w:val="single" w:sz="4" w:space="0" w:color="auto"/>
              <w:left w:val="single" w:sz="4" w:space="0" w:color="auto"/>
              <w:bottom w:val="single" w:sz="4" w:space="0" w:color="auto"/>
              <w:right w:val="single" w:sz="4" w:space="0" w:color="auto"/>
            </w:tcBorders>
          </w:tcPr>
          <w:p w14:paraId="430D03DF" w14:textId="77777777" w:rsidR="003C3C64" w:rsidRPr="003C3C64" w:rsidRDefault="003C3C64" w:rsidP="003C3C64">
            <w:pPr>
              <w:rPr>
                <w:noProof/>
              </w:rPr>
            </w:pPr>
            <w:r w:rsidRPr="003C3C64">
              <w:rPr>
                <w:noProof/>
              </w:rPr>
              <w:t>Decision analytic model</w:t>
            </w:r>
          </w:p>
        </w:tc>
      </w:tr>
      <w:tr w:rsidR="003C3C64" w:rsidRPr="003C3C64" w14:paraId="402BCD2A" w14:textId="77777777" w:rsidTr="00E4457D">
        <w:trPr>
          <w:trHeight w:val="20"/>
        </w:trPr>
        <w:tc>
          <w:tcPr>
            <w:tcW w:w="0" w:type="auto"/>
            <w:tcBorders>
              <w:top w:val="single" w:sz="4" w:space="0" w:color="auto"/>
              <w:left w:val="single" w:sz="4" w:space="0" w:color="auto"/>
              <w:bottom w:val="single" w:sz="4" w:space="0" w:color="auto"/>
              <w:right w:val="single" w:sz="4" w:space="0" w:color="auto"/>
            </w:tcBorders>
          </w:tcPr>
          <w:p w14:paraId="57BEBDA4" w14:textId="77777777" w:rsidR="003C3C64" w:rsidRPr="003C3C64" w:rsidRDefault="003C3C64" w:rsidP="003C3C64">
            <w:pPr>
              <w:rPr>
                <w:b/>
                <w:noProof/>
              </w:rPr>
            </w:pPr>
            <w:r w:rsidRPr="003C3C64">
              <w:rPr>
                <w:b/>
                <w:noProof/>
              </w:rPr>
              <w:t>Cycle length</w:t>
            </w:r>
          </w:p>
        </w:tc>
        <w:tc>
          <w:tcPr>
            <w:tcW w:w="0" w:type="auto"/>
            <w:tcBorders>
              <w:top w:val="single" w:sz="4" w:space="0" w:color="auto"/>
              <w:left w:val="single" w:sz="4" w:space="0" w:color="auto"/>
              <w:bottom w:val="single" w:sz="4" w:space="0" w:color="auto"/>
              <w:right w:val="single" w:sz="4" w:space="0" w:color="auto"/>
            </w:tcBorders>
          </w:tcPr>
          <w:p w14:paraId="4B7E1D03" w14:textId="77777777" w:rsidR="003C3C64" w:rsidRPr="003C3C64" w:rsidRDefault="003C3C64" w:rsidP="003C3C64">
            <w:pPr>
              <w:rPr>
                <w:noProof/>
              </w:rPr>
            </w:pPr>
            <w:r w:rsidRPr="003C3C64">
              <w:rPr>
                <w:noProof/>
              </w:rPr>
              <w:t>2 years</w:t>
            </w:r>
          </w:p>
        </w:tc>
      </w:tr>
      <w:tr w:rsidR="003C3C64" w:rsidRPr="003C3C64" w14:paraId="4F73B186" w14:textId="77777777" w:rsidTr="00E4457D">
        <w:trPr>
          <w:trHeight w:val="20"/>
        </w:trPr>
        <w:tc>
          <w:tcPr>
            <w:tcW w:w="0" w:type="auto"/>
            <w:tcBorders>
              <w:top w:val="single" w:sz="4" w:space="0" w:color="auto"/>
              <w:left w:val="single" w:sz="4" w:space="0" w:color="auto"/>
              <w:bottom w:val="single" w:sz="4" w:space="0" w:color="auto"/>
              <w:right w:val="single" w:sz="4" w:space="0" w:color="auto"/>
            </w:tcBorders>
            <w:hideMark/>
          </w:tcPr>
          <w:p w14:paraId="6B6A8C43" w14:textId="77777777" w:rsidR="003C3C64" w:rsidRPr="003C3C64" w:rsidRDefault="003C3C64" w:rsidP="003C3C64">
            <w:pPr>
              <w:rPr>
                <w:b/>
                <w:noProof/>
              </w:rPr>
            </w:pPr>
            <w:r w:rsidRPr="003C3C64">
              <w:rPr>
                <w:b/>
                <w:noProof/>
              </w:rPr>
              <w:t>Discount rate</w:t>
            </w:r>
          </w:p>
        </w:tc>
        <w:tc>
          <w:tcPr>
            <w:tcW w:w="0" w:type="auto"/>
            <w:tcBorders>
              <w:top w:val="single" w:sz="4" w:space="0" w:color="auto"/>
              <w:left w:val="single" w:sz="4" w:space="0" w:color="auto"/>
              <w:bottom w:val="single" w:sz="4" w:space="0" w:color="auto"/>
              <w:right w:val="single" w:sz="4" w:space="0" w:color="auto"/>
            </w:tcBorders>
          </w:tcPr>
          <w:p w14:paraId="7193D588" w14:textId="77777777" w:rsidR="003C3C64" w:rsidRPr="003C3C64" w:rsidRDefault="003C3C64" w:rsidP="003C3C64">
            <w:pPr>
              <w:rPr>
                <w:noProof/>
              </w:rPr>
            </w:pPr>
            <w:r w:rsidRPr="003C3C64">
              <w:rPr>
                <w:noProof/>
              </w:rPr>
              <w:t>5% default, sensitivity at 0% and 10%</w:t>
            </w:r>
          </w:p>
        </w:tc>
      </w:tr>
      <w:tr w:rsidR="003C3C64" w:rsidRPr="003C3C64" w14:paraId="085CE450" w14:textId="77777777" w:rsidTr="00E4457D">
        <w:trPr>
          <w:trHeight w:val="20"/>
        </w:trPr>
        <w:tc>
          <w:tcPr>
            <w:tcW w:w="0" w:type="auto"/>
            <w:tcBorders>
              <w:top w:val="single" w:sz="4" w:space="0" w:color="auto"/>
              <w:left w:val="single" w:sz="4" w:space="0" w:color="auto"/>
              <w:bottom w:val="single" w:sz="4" w:space="0" w:color="auto"/>
              <w:right w:val="single" w:sz="4" w:space="0" w:color="auto"/>
            </w:tcBorders>
            <w:hideMark/>
          </w:tcPr>
          <w:p w14:paraId="246E49E8" w14:textId="77777777" w:rsidR="003C3C64" w:rsidRPr="003C3C64" w:rsidRDefault="003C3C64" w:rsidP="003C3C64">
            <w:pPr>
              <w:rPr>
                <w:b/>
                <w:noProof/>
              </w:rPr>
            </w:pPr>
            <w:r w:rsidRPr="003C3C64">
              <w:rPr>
                <w:b/>
                <w:noProof/>
              </w:rPr>
              <w:t>Software packages used</w:t>
            </w:r>
          </w:p>
        </w:tc>
        <w:tc>
          <w:tcPr>
            <w:tcW w:w="0" w:type="auto"/>
            <w:tcBorders>
              <w:top w:val="single" w:sz="4" w:space="0" w:color="auto"/>
              <w:left w:val="single" w:sz="4" w:space="0" w:color="auto"/>
              <w:bottom w:val="single" w:sz="4" w:space="0" w:color="auto"/>
              <w:right w:val="single" w:sz="4" w:space="0" w:color="auto"/>
            </w:tcBorders>
          </w:tcPr>
          <w:p w14:paraId="36161629" w14:textId="77777777" w:rsidR="003C3C64" w:rsidRPr="003C3C64" w:rsidRDefault="003C3C64" w:rsidP="003C3C64">
            <w:pPr>
              <w:rPr>
                <w:noProof/>
              </w:rPr>
            </w:pPr>
            <w:r w:rsidRPr="003C3C64">
              <w:rPr>
                <w:noProof/>
              </w:rPr>
              <w:t>Microsoft Excel 2010</w:t>
            </w:r>
          </w:p>
        </w:tc>
      </w:tr>
    </w:tbl>
    <w:p w14:paraId="2C195C26" w14:textId="77777777" w:rsidR="004406F9" w:rsidRDefault="004406F9" w:rsidP="0054762F">
      <w:pPr>
        <w:rPr>
          <w:noProof/>
        </w:rPr>
      </w:pPr>
    </w:p>
    <w:p w14:paraId="2BAA4586" w14:textId="0E005894" w:rsidR="0054762F" w:rsidRPr="00FF5712" w:rsidRDefault="0054762F" w:rsidP="00E11371">
      <w:pPr>
        <w:spacing w:after="240"/>
      </w:pPr>
      <w:r w:rsidRPr="00FF5712">
        <w:rPr>
          <w:noProof/>
        </w:rPr>
        <w:t>The model is a simple decision analytic model utilising a decision tree approach and a microsimulation where a hypothetical cohort of invidiual patients in the intervention and comparator arms are randomly assigned costs and a benefit which declines until the next treatment occurs.</w:t>
      </w:r>
    </w:p>
    <w:p w14:paraId="3E39F28E" w14:textId="459361B0" w:rsidR="0054762F" w:rsidRPr="00FF5712" w:rsidRDefault="0054762F" w:rsidP="0054762F">
      <w:pPr>
        <w:rPr>
          <w:szCs w:val="24"/>
        </w:rPr>
      </w:pPr>
      <w:r w:rsidRPr="00FF5712">
        <w:t xml:space="preserve">An epidemiological approach </w:t>
      </w:r>
      <w:r w:rsidR="004406F9">
        <w:t>was</w:t>
      </w:r>
      <w:r w:rsidRPr="00FF5712">
        <w:t xml:space="preserve"> used to estimate the financial implications of the introduction of PR, or PME and PR.  Prevalence, incidence and mortality were used to estimate the number of newly eligible patients and ongoing patients in each year for the proposed MBS listing.  Prevalence, incidence and mortality were sourced from Australian data w</w:t>
      </w:r>
      <w:r w:rsidR="00015053">
        <w:t>h</w:t>
      </w:r>
      <w:r w:rsidRPr="00FF5712">
        <w:t>ere available, or from international sources considered to have similar characteristics to Australia such as the United Kingdom.</w:t>
      </w:r>
    </w:p>
    <w:p w14:paraId="501B195C" w14:textId="77777777" w:rsidR="0054762F" w:rsidRPr="00FF5712" w:rsidRDefault="0054762F" w:rsidP="0054762F">
      <w:pPr>
        <w:rPr>
          <w:szCs w:val="24"/>
        </w:rPr>
      </w:pPr>
    </w:p>
    <w:p w14:paraId="3AA8CE37" w14:textId="77777777" w:rsidR="0054762F" w:rsidRPr="00FF5712" w:rsidRDefault="0054762F" w:rsidP="0054762F">
      <w:pPr>
        <w:jc w:val="both"/>
      </w:pPr>
      <w:r w:rsidRPr="00FF5712">
        <w:t xml:space="preserve">The incremental costs and outcomes under the base case assumptions are outlined in </w:t>
      </w:r>
      <w:r w:rsidR="004406F9">
        <w:fldChar w:fldCharType="begin"/>
      </w:r>
      <w:r w:rsidR="004406F9">
        <w:instrText xml:space="preserve"> REF _Ref457896005 \h  \* MERGEFORMAT </w:instrText>
      </w:r>
      <w:r w:rsidR="004406F9">
        <w:fldChar w:fldCharType="separate"/>
      </w:r>
      <w:r w:rsidR="004406F9" w:rsidRPr="004406F9">
        <w:t>Table 9</w:t>
      </w:r>
      <w:r w:rsidR="004406F9">
        <w:fldChar w:fldCharType="end"/>
      </w:r>
      <w:r w:rsidRPr="00FF5712">
        <w:t>.  Costs and benefits were assessed over a period of 10 years.</w:t>
      </w:r>
    </w:p>
    <w:p w14:paraId="78FBEE1E" w14:textId="77777777" w:rsidR="0054762F" w:rsidRPr="00FF5712" w:rsidRDefault="0054762F" w:rsidP="0054762F">
      <w:pPr>
        <w:jc w:val="both"/>
      </w:pPr>
    </w:p>
    <w:p w14:paraId="73EAE271" w14:textId="77777777" w:rsidR="0054762F" w:rsidRPr="004406F9" w:rsidRDefault="004406F9" w:rsidP="0054762F">
      <w:pPr>
        <w:pStyle w:val="Caption"/>
        <w:rPr>
          <w:rFonts w:ascii="Arial" w:hAnsi="Arial"/>
        </w:rPr>
      </w:pPr>
      <w:bookmarkStart w:id="17" w:name="_Ref457896005"/>
      <w:bookmarkStart w:id="18" w:name="_Toc457928915"/>
      <w:r w:rsidRPr="004406F9">
        <w:rPr>
          <w:rFonts w:ascii="Arial" w:hAnsi="Arial"/>
        </w:rPr>
        <w:t xml:space="preserve">Table </w:t>
      </w:r>
      <w:r w:rsidRPr="004406F9">
        <w:rPr>
          <w:rFonts w:ascii="Arial" w:hAnsi="Arial"/>
        </w:rPr>
        <w:fldChar w:fldCharType="begin"/>
      </w:r>
      <w:r w:rsidRPr="004406F9">
        <w:rPr>
          <w:rFonts w:ascii="Arial" w:hAnsi="Arial"/>
        </w:rPr>
        <w:instrText xml:space="preserve"> SEQ Table \* ARABIC </w:instrText>
      </w:r>
      <w:r w:rsidRPr="004406F9">
        <w:rPr>
          <w:rFonts w:ascii="Arial" w:hAnsi="Arial"/>
        </w:rPr>
        <w:fldChar w:fldCharType="separate"/>
      </w:r>
      <w:r>
        <w:rPr>
          <w:rFonts w:ascii="Arial" w:hAnsi="Arial"/>
          <w:noProof/>
        </w:rPr>
        <w:t>9</w:t>
      </w:r>
      <w:r w:rsidRPr="004406F9">
        <w:rPr>
          <w:rFonts w:ascii="Arial" w:hAnsi="Arial"/>
        </w:rPr>
        <w:fldChar w:fldCharType="end"/>
      </w:r>
      <w:bookmarkEnd w:id="17"/>
      <w:r w:rsidRPr="004406F9">
        <w:rPr>
          <w:rFonts w:ascii="Arial" w:hAnsi="Arial"/>
        </w:rPr>
        <w:tab/>
      </w:r>
      <w:r>
        <w:rPr>
          <w:rFonts w:ascii="Arial" w:hAnsi="Arial"/>
        </w:rPr>
        <w:tab/>
      </w:r>
      <w:r w:rsidR="0054762F" w:rsidRPr="004406F9">
        <w:rPr>
          <w:rFonts w:ascii="Arial" w:hAnsi="Arial"/>
        </w:rPr>
        <w:t>Incremental costs and effectiveness for treatment of COPD, horizon 10 years</w:t>
      </w:r>
      <w:bookmarkEnd w:id="18"/>
    </w:p>
    <w:tbl>
      <w:tblPr>
        <w:tblStyle w:val="TableGrid"/>
        <w:tblW w:w="8642" w:type="dxa"/>
        <w:tblLook w:val="04A0" w:firstRow="1" w:lastRow="0" w:firstColumn="1" w:lastColumn="0" w:noHBand="0" w:noVBand="1"/>
        <w:tblDescription w:val="This table shows the incremental cost, incremental effectiveness and incremental cost effectiveness ratio for chronic obstructive pulmonary disease and interstitial Lung Disease for pulmonary rehabilitation and pulmonary rehabilitation with pulmonary maintenance exercise."/>
      </w:tblPr>
      <w:tblGrid>
        <w:gridCol w:w="1809"/>
        <w:gridCol w:w="1857"/>
        <w:gridCol w:w="2749"/>
        <w:gridCol w:w="2227"/>
      </w:tblGrid>
      <w:tr w:rsidR="0054762F" w:rsidRPr="004406F9" w14:paraId="10A8A10E" w14:textId="77777777" w:rsidTr="002F694E">
        <w:trPr>
          <w:tblHeader/>
        </w:trPr>
        <w:tc>
          <w:tcPr>
            <w:tcW w:w="1809" w:type="dxa"/>
          </w:tcPr>
          <w:p w14:paraId="14FDF879" w14:textId="77777777" w:rsidR="0054762F" w:rsidRPr="004406F9" w:rsidRDefault="0054762F" w:rsidP="0054762F">
            <w:pPr>
              <w:keepNext/>
              <w:rPr>
                <w:rFonts w:ascii="Arial" w:hAnsi="Arial" w:cs="Arial"/>
                <w:sz w:val="20"/>
              </w:rPr>
            </w:pPr>
          </w:p>
        </w:tc>
        <w:tc>
          <w:tcPr>
            <w:tcW w:w="0" w:type="auto"/>
          </w:tcPr>
          <w:p w14:paraId="6E31F154" w14:textId="77777777" w:rsidR="0054762F" w:rsidRPr="004406F9" w:rsidRDefault="0054762F" w:rsidP="0054762F">
            <w:pPr>
              <w:keepNext/>
              <w:rPr>
                <w:rFonts w:ascii="Arial" w:hAnsi="Arial" w:cs="Arial"/>
                <w:b/>
                <w:sz w:val="20"/>
              </w:rPr>
            </w:pPr>
            <w:r w:rsidRPr="004406F9">
              <w:rPr>
                <w:rFonts w:ascii="Arial" w:hAnsi="Arial" w:cs="Arial"/>
                <w:b/>
                <w:sz w:val="20"/>
              </w:rPr>
              <w:t xml:space="preserve">Incremental </w:t>
            </w:r>
            <w:r w:rsidR="002F694E" w:rsidRPr="004406F9">
              <w:rPr>
                <w:rFonts w:ascii="Arial" w:hAnsi="Arial" w:cs="Arial"/>
                <w:b/>
                <w:sz w:val="20"/>
              </w:rPr>
              <w:br/>
            </w:r>
            <w:r w:rsidRPr="004406F9">
              <w:rPr>
                <w:rFonts w:ascii="Arial" w:hAnsi="Arial" w:cs="Arial"/>
                <w:b/>
                <w:sz w:val="20"/>
              </w:rPr>
              <w:t>cost ($)</w:t>
            </w:r>
          </w:p>
        </w:tc>
        <w:tc>
          <w:tcPr>
            <w:tcW w:w="2749" w:type="dxa"/>
          </w:tcPr>
          <w:p w14:paraId="0D040646" w14:textId="77777777" w:rsidR="0054762F" w:rsidRPr="004406F9" w:rsidRDefault="0054762F" w:rsidP="0054762F">
            <w:pPr>
              <w:keepNext/>
              <w:rPr>
                <w:rFonts w:ascii="Arial" w:hAnsi="Arial" w:cs="Arial"/>
                <w:b/>
                <w:sz w:val="20"/>
              </w:rPr>
            </w:pPr>
            <w:r w:rsidRPr="004406F9">
              <w:rPr>
                <w:rFonts w:ascii="Arial" w:hAnsi="Arial" w:cs="Arial"/>
                <w:b/>
                <w:sz w:val="20"/>
              </w:rPr>
              <w:t>Incremental effectiveness (QALYs)</w:t>
            </w:r>
          </w:p>
        </w:tc>
        <w:tc>
          <w:tcPr>
            <w:tcW w:w="0" w:type="auto"/>
          </w:tcPr>
          <w:p w14:paraId="6E716E7D" w14:textId="77777777" w:rsidR="0054762F" w:rsidRPr="004406F9" w:rsidRDefault="0054762F" w:rsidP="0054762F">
            <w:pPr>
              <w:keepNext/>
              <w:rPr>
                <w:rFonts w:ascii="Arial" w:hAnsi="Arial" w:cs="Arial"/>
                <w:b/>
                <w:sz w:val="20"/>
              </w:rPr>
            </w:pPr>
            <w:r w:rsidRPr="004406F9">
              <w:rPr>
                <w:rFonts w:ascii="Arial" w:hAnsi="Arial" w:cs="Arial"/>
                <w:b/>
                <w:sz w:val="20"/>
              </w:rPr>
              <w:t>ICER ($/QALY)</w:t>
            </w:r>
          </w:p>
        </w:tc>
      </w:tr>
      <w:tr w:rsidR="0054762F" w:rsidRPr="004406F9" w14:paraId="4EA79BC4" w14:textId="77777777" w:rsidTr="002F694E">
        <w:tc>
          <w:tcPr>
            <w:tcW w:w="1809" w:type="dxa"/>
          </w:tcPr>
          <w:p w14:paraId="30376270" w14:textId="77777777" w:rsidR="0054762F" w:rsidRPr="004406F9" w:rsidRDefault="0054762F" w:rsidP="0054762F">
            <w:pPr>
              <w:keepNext/>
              <w:rPr>
                <w:rFonts w:ascii="Arial" w:hAnsi="Arial" w:cs="Arial"/>
                <w:b/>
                <w:sz w:val="20"/>
              </w:rPr>
            </w:pPr>
            <w:r w:rsidRPr="004406F9">
              <w:rPr>
                <w:rFonts w:ascii="Arial" w:hAnsi="Arial" w:cs="Arial"/>
                <w:b/>
                <w:sz w:val="20"/>
              </w:rPr>
              <w:t>COPD</w:t>
            </w:r>
          </w:p>
        </w:tc>
        <w:tc>
          <w:tcPr>
            <w:tcW w:w="0" w:type="auto"/>
          </w:tcPr>
          <w:p w14:paraId="57C8400C" w14:textId="77777777" w:rsidR="0054762F" w:rsidRPr="004406F9" w:rsidRDefault="0054762F" w:rsidP="0054762F">
            <w:pPr>
              <w:keepNext/>
              <w:rPr>
                <w:rFonts w:ascii="Arial" w:hAnsi="Arial" w:cs="Arial"/>
                <w:b/>
                <w:color w:val="000000"/>
                <w:sz w:val="20"/>
              </w:rPr>
            </w:pPr>
          </w:p>
        </w:tc>
        <w:tc>
          <w:tcPr>
            <w:tcW w:w="2749" w:type="dxa"/>
          </w:tcPr>
          <w:p w14:paraId="384DF2A3" w14:textId="77777777" w:rsidR="0054762F" w:rsidRPr="004406F9" w:rsidRDefault="0054762F" w:rsidP="0054762F">
            <w:pPr>
              <w:keepNext/>
              <w:rPr>
                <w:rFonts w:ascii="Arial" w:hAnsi="Arial" w:cs="Arial"/>
                <w:b/>
                <w:color w:val="000000"/>
                <w:sz w:val="20"/>
              </w:rPr>
            </w:pPr>
          </w:p>
        </w:tc>
        <w:tc>
          <w:tcPr>
            <w:tcW w:w="0" w:type="auto"/>
          </w:tcPr>
          <w:p w14:paraId="21622EBC" w14:textId="77777777" w:rsidR="0054762F" w:rsidRPr="004406F9" w:rsidRDefault="0054762F" w:rsidP="0054762F">
            <w:pPr>
              <w:keepNext/>
              <w:rPr>
                <w:rFonts w:ascii="Arial" w:hAnsi="Arial" w:cs="Arial"/>
                <w:b/>
                <w:sz w:val="20"/>
              </w:rPr>
            </w:pPr>
          </w:p>
        </w:tc>
      </w:tr>
      <w:tr w:rsidR="0054762F" w:rsidRPr="004406F9" w14:paraId="7307EDD2" w14:textId="77777777" w:rsidTr="002F694E">
        <w:tc>
          <w:tcPr>
            <w:tcW w:w="1809" w:type="dxa"/>
          </w:tcPr>
          <w:p w14:paraId="0F0F9442" w14:textId="77777777" w:rsidR="0054762F" w:rsidRPr="004406F9" w:rsidRDefault="0054762F" w:rsidP="0054762F">
            <w:pPr>
              <w:pStyle w:val="Tabletext"/>
              <w:keepNext/>
              <w:rPr>
                <w:rFonts w:ascii="Arial" w:hAnsi="Arial" w:cs="Arial"/>
                <w:szCs w:val="20"/>
              </w:rPr>
            </w:pPr>
            <w:r w:rsidRPr="004406F9">
              <w:rPr>
                <w:rFonts w:ascii="Arial" w:hAnsi="Arial" w:cs="Arial"/>
                <w:szCs w:val="20"/>
              </w:rPr>
              <w:t>PR</w:t>
            </w:r>
          </w:p>
        </w:tc>
        <w:tc>
          <w:tcPr>
            <w:tcW w:w="0" w:type="auto"/>
          </w:tcPr>
          <w:p w14:paraId="63B76A96" w14:textId="77777777" w:rsidR="0054762F" w:rsidRPr="004406F9" w:rsidRDefault="0054762F" w:rsidP="0054762F">
            <w:pPr>
              <w:pStyle w:val="Tabletext"/>
              <w:keepNext/>
              <w:jc w:val="center"/>
              <w:rPr>
                <w:rFonts w:ascii="Arial" w:hAnsi="Arial" w:cs="Arial"/>
                <w:szCs w:val="20"/>
              </w:rPr>
            </w:pPr>
            <w:r w:rsidRPr="004406F9">
              <w:rPr>
                <w:rFonts w:ascii="Arial" w:hAnsi="Arial" w:cs="Arial"/>
                <w:szCs w:val="20"/>
              </w:rPr>
              <w:t>2,361</w:t>
            </w:r>
          </w:p>
        </w:tc>
        <w:tc>
          <w:tcPr>
            <w:tcW w:w="2749" w:type="dxa"/>
          </w:tcPr>
          <w:p w14:paraId="0E80E8B1" w14:textId="77777777" w:rsidR="0054762F" w:rsidRPr="004406F9" w:rsidRDefault="0054762F" w:rsidP="0054762F">
            <w:pPr>
              <w:pStyle w:val="Tabletext"/>
              <w:keepNext/>
              <w:jc w:val="center"/>
              <w:rPr>
                <w:rFonts w:ascii="Arial" w:hAnsi="Arial" w:cs="Arial"/>
                <w:szCs w:val="20"/>
              </w:rPr>
            </w:pPr>
            <w:r w:rsidRPr="004406F9">
              <w:rPr>
                <w:rFonts w:ascii="Arial" w:hAnsi="Arial" w:cs="Arial"/>
                <w:szCs w:val="20"/>
              </w:rPr>
              <w:t>0.317</w:t>
            </w:r>
          </w:p>
        </w:tc>
        <w:tc>
          <w:tcPr>
            <w:tcW w:w="0" w:type="auto"/>
          </w:tcPr>
          <w:p w14:paraId="026B8CDF" w14:textId="77777777" w:rsidR="0054762F" w:rsidRPr="004406F9" w:rsidRDefault="0054762F" w:rsidP="0054762F">
            <w:pPr>
              <w:pStyle w:val="Tabletext"/>
              <w:keepNext/>
              <w:jc w:val="center"/>
              <w:rPr>
                <w:rFonts w:ascii="Arial" w:hAnsi="Arial" w:cs="Arial"/>
                <w:szCs w:val="20"/>
              </w:rPr>
            </w:pPr>
            <w:r w:rsidRPr="004406F9">
              <w:rPr>
                <w:rFonts w:ascii="Arial" w:hAnsi="Arial" w:cs="Arial"/>
                <w:szCs w:val="20"/>
              </w:rPr>
              <w:t>7,451</w:t>
            </w:r>
          </w:p>
        </w:tc>
      </w:tr>
      <w:tr w:rsidR="0054762F" w:rsidRPr="004406F9" w14:paraId="5EAAA9DD" w14:textId="77777777" w:rsidTr="002F694E">
        <w:tc>
          <w:tcPr>
            <w:tcW w:w="1809" w:type="dxa"/>
          </w:tcPr>
          <w:p w14:paraId="123B94F2" w14:textId="77777777" w:rsidR="0054762F" w:rsidRPr="004406F9" w:rsidRDefault="0054762F" w:rsidP="0054762F">
            <w:pPr>
              <w:pStyle w:val="Tabletext"/>
              <w:keepNext/>
              <w:rPr>
                <w:rFonts w:ascii="Arial" w:hAnsi="Arial" w:cs="Arial"/>
                <w:szCs w:val="20"/>
              </w:rPr>
            </w:pPr>
            <w:r w:rsidRPr="004406F9">
              <w:rPr>
                <w:rFonts w:ascii="Arial" w:hAnsi="Arial" w:cs="Arial"/>
                <w:szCs w:val="20"/>
              </w:rPr>
              <w:t>PR with PME</w:t>
            </w:r>
          </w:p>
        </w:tc>
        <w:tc>
          <w:tcPr>
            <w:tcW w:w="0" w:type="auto"/>
          </w:tcPr>
          <w:p w14:paraId="12CDB181" w14:textId="77777777" w:rsidR="0054762F" w:rsidRPr="004406F9" w:rsidRDefault="0054762F" w:rsidP="0054762F">
            <w:pPr>
              <w:pStyle w:val="Tabletext"/>
              <w:keepNext/>
              <w:jc w:val="center"/>
              <w:rPr>
                <w:rFonts w:ascii="Arial" w:hAnsi="Arial" w:cs="Arial"/>
                <w:color w:val="000000"/>
                <w:szCs w:val="20"/>
              </w:rPr>
            </w:pPr>
            <w:r w:rsidRPr="004406F9">
              <w:rPr>
                <w:rFonts w:ascii="Arial" w:hAnsi="Arial" w:cs="Arial"/>
                <w:szCs w:val="20"/>
              </w:rPr>
              <w:t>2,244</w:t>
            </w:r>
          </w:p>
        </w:tc>
        <w:tc>
          <w:tcPr>
            <w:tcW w:w="2749" w:type="dxa"/>
          </w:tcPr>
          <w:p w14:paraId="781F4E11" w14:textId="77777777" w:rsidR="0054762F" w:rsidRPr="004406F9" w:rsidRDefault="0054762F" w:rsidP="0054762F">
            <w:pPr>
              <w:pStyle w:val="Tabletext"/>
              <w:keepNext/>
              <w:jc w:val="center"/>
              <w:rPr>
                <w:rFonts w:ascii="Arial" w:hAnsi="Arial" w:cs="Arial"/>
                <w:szCs w:val="20"/>
              </w:rPr>
            </w:pPr>
            <w:r w:rsidRPr="004406F9">
              <w:rPr>
                <w:rFonts w:ascii="Arial" w:hAnsi="Arial" w:cs="Arial"/>
                <w:szCs w:val="20"/>
              </w:rPr>
              <w:t>0.052</w:t>
            </w:r>
          </w:p>
        </w:tc>
        <w:tc>
          <w:tcPr>
            <w:tcW w:w="0" w:type="auto"/>
          </w:tcPr>
          <w:p w14:paraId="6402E8D2" w14:textId="77777777" w:rsidR="0054762F" w:rsidRPr="004406F9" w:rsidRDefault="0054762F" w:rsidP="0054762F">
            <w:pPr>
              <w:pStyle w:val="Tabletext"/>
              <w:keepNext/>
              <w:jc w:val="center"/>
              <w:rPr>
                <w:rFonts w:ascii="Arial" w:hAnsi="Arial" w:cs="Arial"/>
                <w:szCs w:val="20"/>
              </w:rPr>
            </w:pPr>
            <w:r w:rsidRPr="004406F9">
              <w:rPr>
                <w:rFonts w:ascii="Arial" w:hAnsi="Arial" w:cs="Arial"/>
                <w:szCs w:val="20"/>
              </w:rPr>
              <w:t>43,304</w:t>
            </w:r>
          </w:p>
        </w:tc>
      </w:tr>
      <w:tr w:rsidR="0054762F" w:rsidRPr="004406F9" w14:paraId="51CDC3E8" w14:textId="77777777" w:rsidTr="002F694E">
        <w:tc>
          <w:tcPr>
            <w:tcW w:w="1809" w:type="dxa"/>
          </w:tcPr>
          <w:p w14:paraId="54435A80" w14:textId="77777777" w:rsidR="0054762F" w:rsidRPr="004406F9" w:rsidRDefault="0054762F" w:rsidP="0054762F">
            <w:pPr>
              <w:keepNext/>
              <w:rPr>
                <w:rFonts w:ascii="Arial" w:hAnsi="Arial" w:cs="Arial"/>
                <w:b/>
                <w:sz w:val="20"/>
              </w:rPr>
            </w:pPr>
            <w:r w:rsidRPr="004406F9">
              <w:rPr>
                <w:rFonts w:ascii="Arial" w:hAnsi="Arial" w:cs="Arial"/>
                <w:b/>
                <w:sz w:val="20"/>
              </w:rPr>
              <w:t>ILD</w:t>
            </w:r>
          </w:p>
        </w:tc>
        <w:tc>
          <w:tcPr>
            <w:tcW w:w="0" w:type="auto"/>
          </w:tcPr>
          <w:p w14:paraId="36F3CAD3" w14:textId="77777777" w:rsidR="0054762F" w:rsidRPr="004406F9" w:rsidRDefault="0054762F" w:rsidP="0054762F">
            <w:pPr>
              <w:keepNext/>
              <w:jc w:val="center"/>
              <w:rPr>
                <w:rFonts w:ascii="Arial" w:hAnsi="Arial" w:cs="Arial"/>
                <w:b/>
                <w:color w:val="000000"/>
                <w:sz w:val="20"/>
              </w:rPr>
            </w:pPr>
          </w:p>
        </w:tc>
        <w:tc>
          <w:tcPr>
            <w:tcW w:w="2749" w:type="dxa"/>
          </w:tcPr>
          <w:p w14:paraId="41B8D0D3" w14:textId="77777777" w:rsidR="0054762F" w:rsidRPr="004406F9" w:rsidRDefault="0054762F" w:rsidP="0054762F">
            <w:pPr>
              <w:keepNext/>
              <w:jc w:val="center"/>
              <w:rPr>
                <w:rFonts w:ascii="Arial" w:hAnsi="Arial" w:cs="Arial"/>
                <w:b/>
                <w:sz w:val="20"/>
              </w:rPr>
            </w:pPr>
          </w:p>
        </w:tc>
        <w:tc>
          <w:tcPr>
            <w:tcW w:w="0" w:type="auto"/>
          </w:tcPr>
          <w:p w14:paraId="6A301620" w14:textId="77777777" w:rsidR="0054762F" w:rsidRPr="004406F9" w:rsidRDefault="0054762F" w:rsidP="0054762F">
            <w:pPr>
              <w:keepNext/>
              <w:jc w:val="center"/>
              <w:rPr>
                <w:rFonts w:ascii="Arial" w:hAnsi="Arial" w:cs="Arial"/>
                <w:b/>
                <w:sz w:val="20"/>
              </w:rPr>
            </w:pPr>
          </w:p>
        </w:tc>
      </w:tr>
      <w:tr w:rsidR="0054762F" w:rsidRPr="004406F9" w14:paraId="63A0D8A9" w14:textId="77777777" w:rsidTr="002F694E">
        <w:tc>
          <w:tcPr>
            <w:tcW w:w="1809" w:type="dxa"/>
          </w:tcPr>
          <w:p w14:paraId="5DE185E7" w14:textId="77777777" w:rsidR="0054762F" w:rsidRPr="004406F9" w:rsidRDefault="0054762F" w:rsidP="0054762F">
            <w:pPr>
              <w:pStyle w:val="Tabletext"/>
              <w:keepNext/>
              <w:rPr>
                <w:rFonts w:ascii="Arial" w:hAnsi="Arial" w:cs="Arial"/>
                <w:szCs w:val="20"/>
              </w:rPr>
            </w:pPr>
            <w:r w:rsidRPr="004406F9">
              <w:rPr>
                <w:rFonts w:ascii="Arial" w:hAnsi="Arial" w:cs="Arial"/>
                <w:szCs w:val="20"/>
              </w:rPr>
              <w:t>PR</w:t>
            </w:r>
          </w:p>
        </w:tc>
        <w:tc>
          <w:tcPr>
            <w:tcW w:w="0" w:type="auto"/>
          </w:tcPr>
          <w:p w14:paraId="2FDADAF7" w14:textId="77777777" w:rsidR="0054762F" w:rsidRPr="004406F9" w:rsidRDefault="0054762F" w:rsidP="0054762F">
            <w:pPr>
              <w:pStyle w:val="Tabletext"/>
              <w:keepNext/>
              <w:jc w:val="center"/>
              <w:rPr>
                <w:rFonts w:ascii="Arial" w:hAnsi="Arial" w:cs="Arial"/>
                <w:szCs w:val="20"/>
              </w:rPr>
            </w:pPr>
            <w:r w:rsidRPr="004406F9">
              <w:rPr>
                <w:rFonts w:ascii="Arial" w:hAnsi="Arial" w:cs="Arial"/>
                <w:szCs w:val="20"/>
              </w:rPr>
              <w:t>1,823</w:t>
            </w:r>
          </w:p>
        </w:tc>
        <w:tc>
          <w:tcPr>
            <w:tcW w:w="2749" w:type="dxa"/>
          </w:tcPr>
          <w:p w14:paraId="7A0F0CB8" w14:textId="77777777" w:rsidR="0054762F" w:rsidRPr="004406F9" w:rsidRDefault="0054762F" w:rsidP="0054762F">
            <w:pPr>
              <w:pStyle w:val="Tabletext"/>
              <w:keepNext/>
              <w:jc w:val="center"/>
              <w:rPr>
                <w:rFonts w:ascii="Arial" w:hAnsi="Arial" w:cs="Arial"/>
                <w:szCs w:val="20"/>
              </w:rPr>
            </w:pPr>
            <w:r w:rsidRPr="004406F9">
              <w:rPr>
                <w:rFonts w:ascii="Arial" w:hAnsi="Arial" w:cs="Arial"/>
                <w:szCs w:val="20"/>
              </w:rPr>
              <w:t>0.445</w:t>
            </w:r>
          </w:p>
        </w:tc>
        <w:tc>
          <w:tcPr>
            <w:tcW w:w="0" w:type="auto"/>
          </w:tcPr>
          <w:p w14:paraId="2E67EAA0" w14:textId="77777777" w:rsidR="0054762F" w:rsidRPr="004406F9" w:rsidRDefault="0054762F" w:rsidP="0054762F">
            <w:pPr>
              <w:pStyle w:val="Tabletext"/>
              <w:keepNext/>
              <w:jc w:val="center"/>
              <w:rPr>
                <w:rFonts w:ascii="Arial" w:hAnsi="Arial" w:cs="Arial"/>
                <w:szCs w:val="20"/>
              </w:rPr>
            </w:pPr>
            <w:r w:rsidRPr="004406F9">
              <w:rPr>
                <w:rFonts w:ascii="Arial" w:hAnsi="Arial" w:cs="Arial"/>
                <w:szCs w:val="20"/>
              </w:rPr>
              <w:t>4,095</w:t>
            </w:r>
          </w:p>
        </w:tc>
      </w:tr>
      <w:tr w:rsidR="0054762F" w:rsidRPr="004406F9" w14:paraId="09A6D74F" w14:textId="77777777" w:rsidTr="002F694E">
        <w:tc>
          <w:tcPr>
            <w:tcW w:w="1809" w:type="dxa"/>
          </w:tcPr>
          <w:p w14:paraId="2CA4B1C0" w14:textId="77777777" w:rsidR="0054762F" w:rsidRPr="004406F9" w:rsidRDefault="0054762F" w:rsidP="0054762F">
            <w:pPr>
              <w:pStyle w:val="Tabletext"/>
              <w:keepNext/>
              <w:rPr>
                <w:rFonts w:ascii="Arial" w:hAnsi="Arial" w:cs="Arial"/>
                <w:szCs w:val="20"/>
              </w:rPr>
            </w:pPr>
            <w:r w:rsidRPr="004406F9">
              <w:rPr>
                <w:rFonts w:ascii="Arial" w:hAnsi="Arial" w:cs="Arial"/>
                <w:szCs w:val="20"/>
              </w:rPr>
              <w:t>PR with PME</w:t>
            </w:r>
          </w:p>
        </w:tc>
        <w:tc>
          <w:tcPr>
            <w:tcW w:w="0" w:type="auto"/>
          </w:tcPr>
          <w:p w14:paraId="4543CADF" w14:textId="77777777" w:rsidR="0054762F" w:rsidRPr="004406F9" w:rsidRDefault="0054762F" w:rsidP="0054762F">
            <w:pPr>
              <w:pStyle w:val="Tabletext"/>
              <w:keepNext/>
              <w:jc w:val="center"/>
              <w:rPr>
                <w:rFonts w:ascii="Arial" w:hAnsi="Arial" w:cs="Arial"/>
                <w:szCs w:val="20"/>
              </w:rPr>
            </w:pPr>
            <w:r w:rsidRPr="004406F9">
              <w:rPr>
                <w:rFonts w:ascii="Arial" w:hAnsi="Arial" w:cs="Arial"/>
                <w:szCs w:val="20"/>
              </w:rPr>
              <w:t>1,753</w:t>
            </w:r>
          </w:p>
        </w:tc>
        <w:tc>
          <w:tcPr>
            <w:tcW w:w="2749" w:type="dxa"/>
          </w:tcPr>
          <w:p w14:paraId="54CAA8B9" w14:textId="77777777" w:rsidR="0054762F" w:rsidRPr="004406F9" w:rsidRDefault="0054762F" w:rsidP="0054762F">
            <w:pPr>
              <w:pStyle w:val="Tabletext"/>
              <w:keepNext/>
              <w:jc w:val="center"/>
              <w:rPr>
                <w:rFonts w:ascii="Arial" w:hAnsi="Arial" w:cs="Arial"/>
                <w:szCs w:val="20"/>
              </w:rPr>
            </w:pPr>
            <w:r w:rsidRPr="004406F9">
              <w:rPr>
                <w:rFonts w:ascii="Arial" w:hAnsi="Arial" w:cs="Arial"/>
                <w:szCs w:val="20"/>
              </w:rPr>
              <w:t>0.040</w:t>
            </w:r>
          </w:p>
        </w:tc>
        <w:tc>
          <w:tcPr>
            <w:tcW w:w="0" w:type="auto"/>
          </w:tcPr>
          <w:p w14:paraId="7DB7A7A1" w14:textId="77777777" w:rsidR="0054762F" w:rsidRPr="004406F9" w:rsidRDefault="0054762F" w:rsidP="0054762F">
            <w:pPr>
              <w:pStyle w:val="Tabletext"/>
              <w:keepNext/>
              <w:jc w:val="center"/>
              <w:rPr>
                <w:rFonts w:ascii="Arial" w:hAnsi="Arial" w:cs="Arial"/>
                <w:szCs w:val="20"/>
              </w:rPr>
            </w:pPr>
            <w:r w:rsidRPr="004406F9">
              <w:rPr>
                <w:rFonts w:ascii="Arial" w:hAnsi="Arial" w:cs="Arial"/>
                <w:szCs w:val="20"/>
              </w:rPr>
              <w:t>43,941</w:t>
            </w:r>
          </w:p>
        </w:tc>
      </w:tr>
    </w:tbl>
    <w:p w14:paraId="609EA313" w14:textId="77777777" w:rsidR="0054762F" w:rsidRPr="004406F9" w:rsidRDefault="0054762F" w:rsidP="0054762F">
      <w:pPr>
        <w:rPr>
          <w:rFonts w:ascii="Arial" w:hAnsi="Arial" w:cs="Arial"/>
          <w:sz w:val="20"/>
        </w:rPr>
      </w:pPr>
      <w:r w:rsidRPr="004406F9">
        <w:rPr>
          <w:rFonts w:ascii="Arial" w:hAnsi="Arial" w:cs="Arial"/>
          <w:sz w:val="20"/>
        </w:rPr>
        <w:t>ICER = Incremental cost effectiveness ratio</w:t>
      </w:r>
    </w:p>
    <w:p w14:paraId="40E304A4" w14:textId="77777777" w:rsidR="00E46D6D" w:rsidRPr="00FF5712" w:rsidRDefault="00E46D6D" w:rsidP="0054762F"/>
    <w:p w14:paraId="6035E144" w14:textId="5863A377" w:rsidR="0054762F" w:rsidRPr="00FF5712" w:rsidRDefault="00E46D6D" w:rsidP="0054762F">
      <w:pPr>
        <w:rPr>
          <w:szCs w:val="24"/>
        </w:rPr>
      </w:pPr>
      <w:r w:rsidRPr="002F694E">
        <w:t xml:space="preserve">The base case of the economic evaluation was generated using a stepped economic evaluation derived from the randomised controlled trials.  Bronchiectasis and </w:t>
      </w:r>
      <w:r w:rsidR="00E96D7B">
        <w:t>lung cancer</w:t>
      </w:r>
      <w:r w:rsidR="00E96D7B" w:rsidRPr="002F694E">
        <w:t xml:space="preserve"> </w:t>
      </w:r>
      <w:r w:rsidRPr="002F694E">
        <w:t>were excluded from the economic evaluation as there was limited evidence to assess the effectiveness of PR and PME programs for these groups.  It is possible that the results for these groups would be similar to the economic evaluations for COPD and ILD included here; however, additional evidence is required before cost effectiveness analysis can be undertaken for these two indications.</w:t>
      </w:r>
    </w:p>
    <w:p w14:paraId="0E0FD7CE" w14:textId="77777777" w:rsidR="00BC1364" w:rsidRPr="00FF5712" w:rsidRDefault="00BC1364" w:rsidP="002A1861">
      <w:pPr>
        <w:pStyle w:val="Heading1"/>
      </w:pPr>
      <w:r w:rsidRPr="00FF5712">
        <w:lastRenderedPageBreak/>
        <w:t>Financial/budgetary impacts</w:t>
      </w:r>
    </w:p>
    <w:p w14:paraId="10D6B51C" w14:textId="0182E600" w:rsidR="0054762F" w:rsidRPr="00FF5712" w:rsidRDefault="0054762F" w:rsidP="0054762F">
      <w:pPr>
        <w:tabs>
          <w:tab w:val="left" w:pos="720"/>
          <w:tab w:val="left" w:pos="1140"/>
        </w:tabs>
      </w:pPr>
      <w:r w:rsidRPr="00FF5712">
        <w:t>The financial implications to the MBS resulting from the proposed listing of PR and PME services were estimated based on the proposed listing.  The total cost of PR services was estimated to be $530.00 per patient.  The MBS cost is 85% of the total fee, or $450.50.  For PME, people are eligible to receive 16 sessions at a fee of $12 per session.  The assessment fees are the same as for PR.  The overall cost of PME, based on the proposed listing, is $322.00.  The MBS cost is 85% of the total fee, or $273.70.</w:t>
      </w:r>
    </w:p>
    <w:p w14:paraId="17EE9A4A" w14:textId="77777777" w:rsidR="0054762F" w:rsidRPr="00FF5712" w:rsidRDefault="0054762F" w:rsidP="0054762F"/>
    <w:p w14:paraId="37A1B551" w14:textId="77777777" w:rsidR="0054762F" w:rsidRPr="00FF5712" w:rsidRDefault="0054762F" w:rsidP="0054762F">
      <w:r w:rsidRPr="00FF5712">
        <w:t>The financial implications to the MBS resulting from the proposed listing of PR and PME services are summarised in</w:t>
      </w:r>
      <w:r w:rsidR="002F694E">
        <w:t xml:space="preserve"> </w:t>
      </w:r>
      <w:r w:rsidR="004406F9">
        <w:fldChar w:fldCharType="begin"/>
      </w:r>
      <w:r w:rsidR="004406F9">
        <w:instrText xml:space="preserve"> REF _Ref395200110 \h  \* MERGEFORMAT </w:instrText>
      </w:r>
      <w:r w:rsidR="004406F9">
        <w:fldChar w:fldCharType="separate"/>
      </w:r>
      <w:r w:rsidR="004406F9" w:rsidRPr="004406F9">
        <w:t>Table 10</w:t>
      </w:r>
      <w:r w:rsidR="004406F9">
        <w:fldChar w:fldCharType="end"/>
      </w:r>
      <w:r w:rsidRPr="00FF5712">
        <w:t>.</w:t>
      </w:r>
    </w:p>
    <w:p w14:paraId="51B5B340" w14:textId="77777777" w:rsidR="0054762F" w:rsidRPr="00FF5712" w:rsidRDefault="0054762F" w:rsidP="0054762F"/>
    <w:p w14:paraId="42AA7B63" w14:textId="77777777" w:rsidR="0054762F" w:rsidRPr="004406F9" w:rsidRDefault="004406F9" w:rsidP="0054762F">
      <w:pPr>
        <w:pStyle w:val="Caption"/>
        <w:jc w:val="left"/>
        <w:rPr>
          <w:rFonts w:ascii="Arial" w:hAnsi="Arial"/>
        </w:rPr>
      </w:pPr>
      <w:bookmarkStart w:id="19" w:name="_Ref395200110"/>
      <w:bookmarkStart w:id="20" w:name="_Toc393197779"/>
      <w:bookmarkStart w:id="21" w:name="_Toc393378192"/>
      <w:bookmarkStart w:id="22" w:name="_Toc457928918"/>
      <w:r w:rsidRPr="004406F9">
        <w:rPr>
          <w:rFonts w:ascii="Arial" w:hAnsi="Arial"/>
        </w:rPr>
        <w:t xml:space="preserve">Table </w:t>
      </w:r>
      <w:r w:rsidRPr="004406F9">
        <w:rPr>
          <w:rFonts w:ascii="Arial" w:hAnsi="Arial"/>
        </w:rPr>
        <w:fldChar w:fldCharType="begin"/>
      </w:r>
      <w:r w:rsidRPr="004406F9">
        <w:rPr>
          <w:rFonts w:ascii="Arial" w:hAnsi="Arial"/>
        </w:rPr>
        <w:instrText xml:space="preserve"> SEQ Table \* ARABIC </w:instrText>
      </w:r>
      <w:r w:rsidRPr="004406F9">
        <w:rPr>
          <w:rFonts w:ascii="Arial" w:hAnsi="Arial"/>
        </w:rPr>
        <w:fldChar w:fldCharType="separate"/>
      </w:r>
      <w:r w:rsidRPr="004406F9">
        <w:rPr>
          <w:rFonts w:ascii="Arial" w:hAnsi="Arial"/>
          <w:noProof/>
        </w:rPr>
        <w:t>10</w:t>
      </w:r>
      <w:r w:rsidRPr="004406F9">
        <w:rPr>
          <w:rFonts w:ascii="Arial" w:hAnsi="Arial"/>
        </w:rPr>
        <w:fldChar w:fldCharType="end"/>
      </w:r>
      <w:bookmarkEnd w:id="19"/>
      <w:r w:rsidRPr="004406F9">
        <w:rPr>
          <w:rFonts w:ascii="Arial" w:hAnsi="Arial"/>
        </w:rPr>
        <w:tab/>
      </w:r>
      <w:r w:rsidRPr="004406F9">
        <w:rPr>
          <w:rFonts w:ascii="Arial" w:hAnsi="Arial"/>
        </w:rPr>
        <w:tab/>
      </w:r>
      <w:r w:rsidR="0054762F" w:rsidRPr="004406F9">
        <w:rPr>
          <w:rFonts w:ascii="Arial" w:hAnsi="Arial"/>
        </w:rPr>
        <w:t xml:space="preserve">Total costs to the MBS associated with </w:t>
      </w:r>
      <w:bookmarkEnd w:id="20"/>
      <w:bookmarkEnd w:id="21"/>
      <w:r w:rsidR="0054762F" w:rsidRPr="004406F9">
        <w:rPr>
          <w:rFonts w:ascii="Arial" w:hAnsi="Arial"/>
        </w:rPr>
        <w:t>PR and PME services, base case</w:t>
      </w:r>
      <w:bookmarkEnd w:id="22"/>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provides a summary of the financial impact of the proposed new medical service over the next five years."/>
      </w:tblPr>
      <w:tblGrid>
        <w:gridCol w:w="2660"/>
        <w:gridCol w:w="1275"/>
        <w:gridCol w:w="1275"/>
        <w:gridCol w:w="1277"/>
        <w:gridCol w:w="1277"/>
        <w:gridCol w:w="1251"/>
      </w:tblGrid>
      <w:tr w:rsidR="0054762F" w:rsidRPr="004406F9" w14:paraId="7C7622AB" w14:textId="77777777" w:rsidTr="0054762F">
        <w:trPr>
          <w:trHeight w:val="149"/>
          <w:tblHeader/>
        </w:trPr>
        <w:tc>
          <w:tcPr>
            <w:tcW w:w="1475" w:type="pct"/>
            <w:tcBorders>
              <w:bottom w:val="single" w:sz="4" w:space="0" w:color="auto"/>
            </w:tcBorders>
            <w:shd w:val="clear" w:color="auto" w:fill="auto"/>
            <w:vAlign w:val="center"/>
          </w:tcPr>
          <w:p w14:paraId="214C5657" w14:textId="77777777" w:rsidR="0054762F" w:rsidRPr="004406F9" w:rsidRDefault="0054762F" w:rsidP="0054762F">
            <w:pPr>
              <w:rPr>
                <w:rFonts w:ascii="Arial" w:hAnsi="Arial" w:cs="Arial"/>
                <w:b/>
                <w:sz w:val="20"/>
              </w:rPr>
            </w:pPr>
            <w:r w:rsidRPr="004406F9">
              <w:rPr>
                <w:rFonts w:ascii="Arial" w:hAnsi="Arial" w:cs="Arial"/>
                <w:b/>
                <w:color w:val="FFFFFF" w:themeColor="background1"/>
                <w:sz w:val="20"/>
              </w:rPr>
              <w:t>-</w:t>
            </w:r>
          </w:p>
        </w:tc>
        <w:tc>
          <w:tcPr>
            <w:tcW w:w="707" w:type="pct"/>
            <w:tcBorders>
              <w:bottom w:val="single" w:sz="4" w:space="0" w:color="auto"/>
            </w:tcBorders>
            <w:vAlign w:val="center"/>
          </w:tcPr>
          <w:p w14:paraId="08990520" w14:textId="77777777" w:rsidR="0054762F" w:rsidRPr="004406F9" w:rsidRDefault="0054762F" w:rsidP="0054762F">
            <w:pPr>
              <w:jc w:val="center"/>
              <w:rPr>
                <w:rFonts w:ascii="Arial" w:hAnsi="Arial" w:cs="Arial"/>
                <w:b/>
                <w:sz w:val="20"/>
              </w:rPr>
            </w:pPr>
            <w:r w:rsidRPr="004406F9">
              <w:rPr>
                <w:rFonts w:ascii="Arial" w:hAnsi="Arial" w:cs="Arial"/>
                <w:b/>
                <w:sz w:val="20"/>
              </w:rPr>
              <w:t>2015-16</w:t>
            </w:r>
          </w:p>
        </w:tc>
        <w:tc>
          <w:tcPr>
            <w:tcW w:w="707" w:type="pct"/>
            <w:tcBorders>
              <w:bottom w:val="single" w:sz="4" w:space="0" w:color="auto"/>
            </w:tcBorders>
            <w:shd w:val="clear" w:color="auto" w:fill="auto"/>
            <w:vAlign w:val="center"/>
          </w:tcPr>
          <w:p w14:paraId="716654F8" w14:textId="77777777" w:rsidR="0054762F" w:rsidRPr="004406F9" w:rsidRDefault="0054762F" w:rsidP="0054762F">
            <w:pPr>
              <w:jc w:val="center"/>
              <w:rPr>
                <w:rFonts w:ascii="Arial" w:hAnsi="Arial" w:cs="Arial"/>
                <w:b/>
                <w:sz w:val="20"/>
              </w:rPr>
            </w:pPr>
            <w:r w:rsidRPr="004406F9">
              <w:rPr>
                <w:rFonts w:ascii="Arial" w:hAnsi="Arial" w:cs="Arial"/>
                <w:b/>
                <w:sz w:val="20"/>
              </w:rPr>
              <w:t>2016-17</w:t>
            </w:r>
          </w:p>
        </w:tc>
        <w:tc>
          <w:tcPr>
            <w:tcW w:w="708" w:type="pct"/>
            <w:tcBorders>
              <w:bottom w:val="single" w:sz="4" w:space="0" w:color="auto"/>
            </w:tcBorders>
            <w:shd w:val="clear" w:color="auto" w:fill="auto"/>
            <w:vAlign w:val="center"/>
          </w:tcPr>
          <w:p w14:paraId="7DD69EB5" w14:textId="77777777" w:rsidR="0054762F" w:rsidRPr="004406F9" w:rsidRDefault="0054762F" w:rsidP="0054762F">
            <w:pPr>
              <w:jc w:val="center"/>
              <w:rPr>
                <w:rFonts w:ascii="Arial" w:hAnsi="Arial" w:cs="Arial"/>
                <w:b/>
                <w:sz w:val="20"/>
              </w:rPr>
            </w:pPr>
            <w:r w:rsidRPr="004406F9">
              <w:rPr>
                <w:rFonts w:ascii="Arial" w:hAnsi="Arial" w:cs="Arial"/>
                <w:b/>
                <w:sz w:val="20"/>
              </w:rPr>
              <w:t>2017-18</w:t>
            </w:r>
          </w:p>
        </w:tc>
        <w:tc>
          <w:tcPr>
            <w:tcW w:w="708" w:type="pct"/>
            <w:tcBorders>
              <w:bottom w:val="single" w:sz="4" w:space="0" w:color="auto"/>
            </w:tcBorders>
            <w:shd w:val="clear" w:color="auto" w:fill="auto"/>
            <w:vAlign w:val="center"/>
          </w:tcPr>
          <w:p w14:paraId="2D938642" w14:textId="77777777" w:rsidR="0054762F" w:rsidRPr="004406F9" w:rsidRDefault="0054762F" w:rsidP="0054762F">
            <w:pPr>
              <w:jc w:val="center"/>
              <w:rPr>
                <w:rFonts w:ascii="Arial" w:hAnsi="Arial" w:cs="Arial"/>
                <w:b/>
                <w:sz w:val="20"/>
              </w:rPr>
            </w:pPr>
            <w:r w:rsidRPr="004406F9">
              <w:rPr>
                <w:rFonts w:ascii="Arial" w:hAnsi="Arial" w:cs="Arial"/>
                <w:b/>
                <w:sz w:val="20"/>
              </w:rPr>
              <w:t>2018-19</w:t>
            </w:r>
          </w:p>
        </w:tc>
        <w:tc>
          <w:tcPr>
            <w:tcW w:w="694" w:type="pct"/>
            <w:tcBorders>
              <w:bottom w:val="single" w:sz="4" w:space="0" w:color="auto"/>
            </w:tcBorders>
            <w:shd w:val="clear" w:color="auto" w:fill="auto"/>
            <w:vAlign w:val="center"/>
          </w:tcPr>
          <w:p w14:paraId="0F92593D" w14:textId="77777777" w:rsidR="0054762F" w:rsidRPr="004406F9" w:rsidRDefault="0054762F" w:rsidP="0054762F">
            <w:pPr>
              <w:jc w:val="center"/>
              <w:rPr>
                <w:rFonts w:ascii="Arial" w:hAnsi="Arial" w:cs="Arial"/>
                <w:b/>
                <w:sz w:val="20"/>
              </w:rPr>
            </w:pPr>
            <w:r w:rsidRPr="004406F9">
              <w:rPr>
                <w:rFonts w:ascii="Arial" w:hAnsi="Arial" w:cs="Arial"/>
                <w:b/>
                <w:sz w:val="20"/>
              </w:rPr>
              <w:t>2019-20</w:t>
            </w:r>
          </w:p>
        </w:tc>
      </w:tr>
      <w:tr w:rsidR="0054762F" w:rsidRPr="004406F9" w14:paraId="3D2F4FBA" w14:textId="77777777" w:rsidTr="0054762F">
        <w:trPr>
          <w:trHeight w:val="67"/>
        </w:trPr>
        <w:tc>
          <w:tcPr>
            <w:tcW w:w="1475" w:type="pct"/>
            <w:tcBorders>
              <w:right w:val="nil"/>
            </w:tcBorders>
            <w:shd w:val="clear" w:color="auto" w:fill="auto"/>
          </w:tcPr>
          <w:p w14:paraId="5B1CEC16" w14:textId="77777777" w:rsidR="0054762F" w:rsidRPr="004406F9" w:rsidRDefault="0054762F" w:rsidP="0054762F">
            <w:pPr>
              <w:rPr>
                <w:rFonts w:ascii="Arial" w:hAnsi="Arial" w:cs="Arial"/>
                <w:b/>
                <w:sz w:val="20"/>
              </w:rPr>
            </w:pPr>
            <w:r w:rsidRPr="004406F9">
              <w:rPr>
                <w:rFonts w:ascii="Arial" w:hAnsi="Arial" w:cs="Arial"/>
                <w:b/>
                <w:sz w:val="20"/>
              </w:rPr>
              <w:t>PR</w:t>
            </w:r>
          </w:p>
        </w:tc>
        <w:tc>
          <w:tcPr>
            <w:tcW w:w="707" w:type="pct"/>
            <w:tcBorders>
              <w:left w:val="nil"/>
              <w:right w:val="nil"/>
            </w:tcBorders>
            <w:vAlign w:val="center"/>
          </w:tcPr>
          <w:p w14:paraId="7F99EC78" w14:textId="77777777" w:rsidR="0054762F" w:rsidRPr="004406F9" w:rsidRDefault="0054762F" w:rsidP="0054762F">
            <w:pPr>
              <w:rPr>
                <w:rFonts w:ascii="Arial" w:hAnsi="Arial" w:cs="Arial"/>
                <w:b/>
                <w:color w:val="FFFFFF" w:themeColor="background1"/>
                <w:sz w:val="20"/>
              </w:rPr>
            </w:pPr>
            <w:r w:rsidRPr="004406F9">
              <w:rPr>
                <w:rFonts w:ascii="Arial" w:hAnsi="Arial" w:cs="Arial"/>
                <w:b/>
                <w:color w:val="FFFFFF" w:themeColor="background1"/>
                <w:sz w:val="20"/>
              </w:rPr>
              <w:t>-</w:t>
            </w:r>
          </w:p>
        </w:tc>
        <w:tc>
          <w:tcPr>
            <w:tcW w:w="707" w:type="pct"/>
            <w:tcBorders>
              <w:left w:val="nil"/>
              <w:right w:val="nil"/>
            </w:tcBorders>
            <w:shd w:val="clear" w:color="auto" w:fill="auto"/>
            <w:vAlign w:val="center"/>
          </w:tcPr>
          <w:p w14:paraId="4F11A7B0" w14:textId="77777777" w:rsidR="0054762F" w:rsidRPr="004406F9" w:rsidRDefault="0054762F" w:rsidP="0054762F">
            <w:pPr>
              <w:rPr>
                <w:rFonts w:ascii="Arial" w:hAnsi="Arial" w:cs="Arial"/>
                <w:b/>
                <w:color w:val="FFFFFF" w:themeColor="background1"/>
                <w:sz w:val="20"/>
              </w:rPr>
            </w:pPr>
            <w:r w:rsidRPr="004406F9">
              <w:rPr>
                <w:rFonts w:ascii="Arial" w:hAnsi="Arial" w:cs="Arial"/>
                <w:b/>
                <w:color w:val="FFFFFF" w:themeColor="background1"/>
                <w:sz w:val="20"/>
              </w:rPr>
              <w:t>-</w:t>
            </w:r>
          </w:p>
        </w:tc>
        <w:tc>
          <w:tcPr>
            <w:tcW w:w="708" w:type="pct"/>
            <w:tcBorders>
              <w:left w:val="nil"/>
              <w:right w:val="nil"/>
            </w:tcBorders>
            <w:shd w:val="clear" w:color="auto" w:fill="auto"/>
            <w:vAlign w:val="center"/>
          </w:tcPr>
          <w:p w14:paraId="735ADA95" w14:textId="77777777" w:rsidR="0054762F" w:rsidRPr="004406F9" w:rsidRDefault="0054762F" w:rsidP="0054762F">
            <w:pPr>
              <w:rPr>
                <w:rFonts w:ascii="Arial" w:hAnsi="Arial" w:cs="Arial"/>
                <w:b/>
                <w:color w:val="FFFFFF" w:themeColor="background1"/>
                <w:sz w:val="20"/>
              </w:rPr>
            </w:pPr>
            <w:r w:rsidRPr="004406F9">
              <w:rPr>
                <w:rFonts w:ascii="Arial" w:hAnsi="Arial" w:cs="Arial"/>
                <w:b/>
                <w:color w:val="FFFFFF" w:themeColor="background1"/>
                <w:sz w:val="20"/>
              </w:rPr>
              <w:t>-</w:t>
            </w:r>
          </w:p>
        </w:tc>
        <w:tc>
          <w:tcPr>
            <w:tcW w:w="708" w:type="pct"/>
            <w:tcBorders>
              <w:left w:val="nil"/>
              <w:right w:val="nil"/>
            </w:tcBorders>
            <w:shd w:val="clear" w:color="auto" w:fill="auto"/>
            <w:vAlign w:val="center"/>
          </w:tcPr>
          <w:p w14:paraId="7F80898D" w14:textId="77777777" w:rsidR="0054762F" w:rsidRPr="004406F9" w:rsidRDefault="0054762F" w:rsidP="0054762F">
            <w:pPr>
              <w:rPr>
                <w:rFonts w:ascii="Arial" w:hAnsi="Arial" w:cs="Arial"/>
                <w:b/>
                <w:color w:val="FFFFFF" w:themeColor="background1"/>
                <w:sz w:val="20"/>
              </w:rPr>
            </w:pPr>
            <w:r w:rsidRPr="004406F9">
              <w:rPr>
                <w:rFonts w:ascii="Arial" w:hAnsi="Arial" w:cs="Arial"/>
                <w:b/>
                <w:color w:val="FFFFFF" w:themeColor="background1"/>
                <w:sz w:val="20"/>
              </w:rPr>
              <w:t>-</w:t>
            </w:r>
          </w:p>
        </w:tc>
        <w:tc>
          <w:tcPr>
            <w:tcW w:w="694" w:type="pct"/>
            <w:tcBorders>
              <w:left w:val="nil"/>
              <w:right w:val="single" w:sz="4" w:space="0" w:color="auto"/>
            </w:tcBorders>
            <w:shd w:val="clear" w:color="auto" w:fill="auto"/>
            <w:vAlign w:val="center"/>
          </w:tcPr>
          <w:p w14:paraId="0129D725" w14:textId="77777777" w:rsidR="0054762F" w:rsidRPr="004406F9" w:rsidRDefault="0054762F" w:rsidP="0054762F">
            <w:pPr>
              <w:rPr>
                <w:rFonts w:ascii="Arial" w:hAnsi="Arial" w:cs="Arial"/>
                <w:b/>
                <w:color w:val="FFFFFF" w:themeColor="background1"/>
                <w:sz w:val="20"/>
              </w:rPr>
            </w:pPr>
            <w:r w:rsidRPr="004406F9">
              <w:rPr>
                <w:rFonts w:ascii="Arial" w:hAnsi="Arial" w:cs="Arial"/>
                <w:b/>
                <w:color w:val="FFFFFF" w:themeColor="background1"/>
                <w:sz w:val="20"/>
              </w:rPr>
              <w:t>-</w:t>
            </w:r>
          </w:p>
        </w:tc>
      </w:tr>
      <w:tr w:rsidR="0054762F" w:rsidRPr="004406F9" w14:paraId="7C288207" w14:textId="77777777" w:rsidTr="0054762F">
        <w:trPr>
          <w:trHeight w:val="99"/>
        </w:trPr>
        <w:tc>
          <w:tcPr>
            <w:tcW w:w="1475" w:type="pct"/>
            <w:shd w:val="clear" w:color="auto" w:fill="auto"/>
          </w:tcPr>
          <w:p w14:paraId="5B126FA2" w14:textId="77777777" w:rsidR="0054762F" w:rsidRPr="004406F9" w:rsidRDefault="0054762F" w:rsidP="0054762F">
            <w:pPr>
              <w:rPr>
                <w:rFonts w:ascii="Arial" w:hAnsi="Arial" w:cs="Arial"/>
                <w:sz w:val="20"/>
              </w:rPr>
            </w:pPr>
            <w:r w:rsidRPr="004406F9">
              <w:rPr>
                <w:rFonts w:ascii="Arial" w:hAnsi="Arial" w:cs="Arial"/>
                <w:sz w:val="20"/>
              </w:rPr>
              <w:t>Number of services</w:t>
            </w:r>
          </w:p>
        </w:tc>
        <w:tc>
          <w:tcPr>
            <w:tcW w:w="707" w:type="pct"/>
            <w:vAlign w:val="center"/>
          </w:tcPr>
          <w:p w14:paraId="6D516FB8" w14:textId="77777777" w:rsidR="0054762F" w:rsidRPr="004406F9" w:rsidRDefault="0054762F" w:rsidP="0054762F">
            <w:pPr>
              <w:jc w:val="center"/>
              <w:rPr>
                <w:rFonts w:ascii="Arial" w:hAnsi="Arial" w:cs="Arial"/>
                <w:sz w:val="20"/>
              </w:rPr>
            </w:pPr>
            <w:r w:rsidRPr="004406F9">
              <w:rPr>
                <w:rFonts w:ascii="Arial" w:hAnsi="Arial" w:cs="Arial"/>
                <w:color w:val="000000"/>
                <w:sz w:val="20"/>
              </w:rPr>
              <w:t>101,642</w:t>
            </w:r>
          </w:p>
        </w:tc>
        <w:tc>
          <w:tcPr>
            <w:tcW w:w="707" w:type="pct"/>
            <w:shd w:val="clear" w:color="auto" w:fill="auto"/>
            <w:vAlign w:val="center"/>
          </w:tcPr>
          <w:p w14:paraId="6837C5D3" w14:textId="77777777" w:rsidR="0054762F" w:rsidRPr="004406F9" w:rsidRDefault="0054762F" w:rsidP="0054762F">
            <w:pPr>
              <w:jc w:val="center"/>
              <w:rPr>
                <w:rFonts w:ascii="Arial" w:hAnsi="Arial" w:cs="Arial"/>
                <w:sz w:val="20"/>
              </w:rPr>
            </w:pPr>
            <w:r w:rsidRPr="004406F9">
              <w:rPr>
                <w:rFonts w:ascii="Arial" w:hAnsi="Arial" w:cs="Arial"/>
                <w:color w:val="000000"/>
                <w:sz w:val="20"/>
              </w:rPr>
              <w:t>104,724</w:t>
            </w:r>
          </w:p>
        </w:tc>
        <w:tc>
          <w:tcPr>
            <w:tcW w:w="708" w:type="pct"/>
            <w:shd w:val="clear" w:color="auto" w:fill="auto"/>
            <w:vAlign w:val="center"/>
          </w:tcPr>
          <w:p w14:paraId="3EAD23B7" w14:textId="77777777" w:rsidR="0054762F" w:rsidRPr="004406F9" w:rsidRDefault="0054762F" w:rsidP="0054762F">
            <w:pPr>
              <w:jc w:val="center"/>
              <w:rPr>
                <w:rFonts w:ascii="Arial" w:hAnsi="Arial" w:cs="Arial"/>
                <w:sz w:val="20"/>
              </w:rPr>
            </w:pPr>
            <w:r w:rsidRPr="004406F9">
              <w:rPr>
                <w:rFonts w:ascii="Arial" w:hAnsi="Arial" w:cs="Arial"/>
                <w:color w:val="000000"/>
                <w:sz w:val="20"/>
              </w:rPr>
              <w:t>107,853</w:t>
            </w:r>
          </w:p>
        </w:tc>
        <w:tc>
          <w:tcPr>
            <w:tcW w:w="708" w:type="pct"/>
            <w:shd w:val="clear" w:color="auto" w:fill="auto"/>
            <w:vAlign w:val="center"/>
          </w:tcPr>
          <w:p w14:paraId="13400B2F" w14:textId="77777777" w:rsidR="0054762F" w:rsidRPr="004406F9" w:rsidRDefault="0054762F" w:rsidP="0054762F">
            <w:pPr>
              <w:jc w:val="center"/>
              <w:rPr>
                <w:rFonts w:ascii="Arial" w:hAnsi="Arial" w:cs="Arial"/>
                <w:sz w:val="20"/>
              </w:rPr>
            </w:pPr>
            <w:r w:rsidRPr="004406F9">
              <w:rPr>
                <w:rFonts w:ascii="Arial" w:hAnsi="Arial" w:cs="Arial"/>
                <w:color w:val="000000"/>
                <w:sz w:val="20"/>
              </w:rPr>
              <w:t>111,030</w:t>
            </w:r>
          </w:p>
        </w:tc>
        <w:tc>
          <w:tcPr>
            <w:tcW w:w="694" w:type="pct"/>
            <w:shd w:val="clear" w:color="auto" w:fill="auto"/>
            <w:vAlign w:val="center"/>
          </w:tcPr>
          <w:p w14:paraId="1AF9CC8A" w14:textId="77777777" w:rsidR="0054762F" w:rsidRPr="004406F9" w:rsidRDefault="0054762F" w:rsidP="0054762F">
            <w:pPr>
              <w:jc w:val="center"/>
              <w:rPr>
                <w:rFonts w:ascii="Arial" w:hAnsi="Arial" w:cs="Arial"/>
                <w:sz w:val="20"/>
              </w:rPr>
            </w:pPr>
            <w:r w:rsidRPr="004406F9">
              <w:rPr>
                <w:rFonts w:ascii="Arial" w:hAnsi="Arial" w:cs="Arial"/>
                <w:color w:val="000000"/>
                <w:sz w:val="20"/>
              </w:rPr>
              <w:t>114,257</w:t>
            </w:r>
          </w:p>
        </w:tc>
      </w:tr>
      <w:tr w:rsidR="0054762F" w:rsidRPr="004406F9" w14:paraId="554F2676" w14:textId="77777777" w:rsidTr="0054762F">
        <w:trPr>
          <w:trHeight w:val="145"/>
        </w:trPr>
        <w:tc>
          <w:tcPr>
            <w:tcW w:w="1475" w:type="pct"/>
            <w:tcBorders>
              <w:bottom w:val="single" w:sz="4" w:space="0" w:color="auto"/>
            </w:tcBorders>
            <w:shd w:val="clear" w:color="auto" w:fill="auto"/>
          </w:tcPr>
          <w:p w14:paraId="391133B7" w14:textId="77777777" w:rsidR="0054762F" w:rsidRPr="004406F9" w:rsidRDefault="0054762F" w:rsidP="0054762F">
            <w:pPr>
              <w:rPr>
                <w:rFonts w:ascii="Arial" w:hAnsi="Arial" w:cs="Arial"/>
                <w:sz w:val="20"/>
              </w:rPr>
            </w:pPr>
            <w:r w:rsidRPr="004406F9">
              <w:rPr>
                <w:rFonts w:ascii="Arial" w:hAnsi="Arial" w:cs="Arial"/>
                <w:sz w:val="20"/>
              </w:rPr>
              <w:t>Sub-total cost ($m)</w:t>
            </w:r>
          </w:p>
        </w:tc>
        <w:tc>
          <w:tcPr>
            <w:tcW w:w="707" w:type="pct"/>
            <w:tcBorders>
              <w:bottom w:val="single" w:sz="4" w:space="0" w:color="auto"/>
            </w:tcBorders>
            <w:vAlign w:val="center"/>
          </w:tcPr>
          <w:p w14:paraId="63F9BFFB" w14:textId="77777777" w:rsidR="0054762F" w:rsidRPr="004406F9" w:rsidRDefault="0054762F" w:rsidP="0054762F">
            <w:pPr>
              <w:jc w:val="center"/>
              <w:rPr>
                <w:rFonts w:ascii="Arial" w:hAnsi="Arial" w:cs="Arial"/>
                <w:sz w:val="20"/>
              </w:rPr>
            </w:pPr>
            <w:r w:rsidRPr="004406F9">
              <w:rPr>
                <w:rFonts w:ascii="Arial" w:hAnsi="Arial" w:cs="Arial"/>
                <w:color w:val="000000"/>
                <w:sz w:val="20"/>
              </w:rPr>
              <w:t>45.8</w:t>
            </w:r>
          </w:p>
        </w:tc>
        <w:tc>
          <w:tcPr>
            <w:tcW w:w="707" w:type="pct"/>
            <w:tcBorders>
              <w:bottom w:val="single" w:sz="4" w:space="0" w:color="auto"/>
            </w:tcBorders>
            <w:shd w:val="clear" w:color="auto" w:fill="auto"/>
            <w:vAlign w:val="center"/>
          </w:tcPr>
          <w:p w14:paraId="7F46EB7A" w14:textId="77777777" w:rsidR="0054762F" w:rsidRPr="004406F9" w:rsidRDefault="0054762F" w:rsidP="0054762F">
            <w:pPr>
              <w:jc w:val="center"/>
              <w:rPr>
                <w:rFonts w:ascii="Arial" w:hAnsi="Arial" w:cs="Arial"/>
                <w:sz w:val="20"/>
              </w:rPr>
            </w:pPr>
            <w:r w:rsidRPr="004406F9">
              <w:rPr>
                <w:rFonts w:ascii="Arial" w:hAnsi="Arial" w:cs="Arial"/>
                <w:color w:val="000000"/>
                <w:sz w:val="20"/>
              </w:rPr>
              <w:t>47.2</w:t>
            </w:r>
          </w:p>
        </w:tc>
        <w:tc>
          <w:tcPr>
            <w:tcW w:w="708" w:type="pct"/>
            <w:tcBorders>
              <w:bottom w:val="single" w:sz="4" w:space="0" w:color="auto"/>
            </w:tcBorders>
            <w:shd w:val="clear" w:color="auto" w:fill="auto"/>
            <w:vAlign w:val="center"/>
          </w:tcPr>
          <w:p w14:paraId="5EC4ABB8" w14:textId="77777777" w:rsidR="0054762F" w:rsidRPr="004406F9" w:rsidRDefault="0054762F" w:rsidP="0054762F">
            <w:pPr>
              <w:jc w:val="center"/>
              <w:rPr>
                <w:rFonts w:ascii="Arial" w:hAnsi="Arial" w:cs="Arial"/>
                <w:sz w:val="20"/>
              </w:rPr>
            </w:pPr>
            <w:r w:rsidRPr="004406F9">
              <w:rPr>
                <w:rFonts w:ascii="Arial" w:hAnsi="Arial" w:cs="Arial"/>
                <w:color w:val="000000"/>
                <w:sz w:val="20"/>
              </w:rPr>
              <w:t>48.6</w:t>
            </w:r>
          </w:p>
        </w:tc>
        <w:tc>
          <w:tcPr>
            <w:tcW w:w="708" w:type="pct"/>
            <w:tcBorders>
              <w:bottom w:val="single" w:sz="4" w:space="0" w:color="auto"/>
            </w:tcBorders>
            <w:shd w:val="clear" w:color="auto" w:fill="auto"/>
            <w:vAlign w:val="center"/>
          </w:tcPr>
          <w:p w14:paraId="39FC8A2F" w14:textId="77777777" w:rsidR="0054762F" w:rsidRPr="004406F9" w:rsidRDefault="0054762F" w:rsidP="0054762F">
            <w:pPr>
              <w:jc w:val="center"/>
              <w:rPr>
                <w:rFonts w:ascii="Arial" w:hAnsi="Arial" w:cs="Arial"/>
                <w:sz w:val="20"/>
              </w:rPr>
            </w:pPr>
            <w:r w:rsidRPr="004406F9">
              <w:rPr>
                <w:rFonts w:ascii="Arial" w:hAnsi="Arial" w:cs="Arial"/>
                <w:color w:val="000000"/>
                <w:sz w:val="20"/>
              </w:rPr>
              <w:t>50.0</w:t>
            </w:r>
          </w:p>
        </w:tc>
        <w:tc>
          <w:tcPr>
            <w:tcW w:w="694" w:type="pct"/>
            <w:tcBorders>
              <w:bottom w:val="single" w:sz="4" w:space="0" w:color="auto"/>
            </w:tcBorders>
            <w:shd w:val="clear" w:color="auto" w:fill="auto"/>
            <w:vAlign w:val="center"/>
          </w:tcPr>
          <w:p w14:paraId="284E0CD6" w14:textId="77777777" w:rsidR="0054762F" w:rsidRPr="004406F9" w:rsidRDefault="0054762F" w:rsidP="0054762F">
            <w:pPr>
              <w:jc w:val="center"/>
              <w:rPr>
                <w:rFonts w:ascii="Arial" w:hAnsi="Arial" w:cs="Arial"/>
                <w:sz w:val="20"/>
              </w:rPr>
            </w:pPr>
            <w:r w:rsidRPr="004406F9">
              <w:rPr>
                <w:rFonts w:ascii="Arial" w:hAnsi="Arial" w:cs="Arial"/>
                <w:color w:val="000000"/>
                <w:sz w:val="20"/>
              </w:rPr>
              <w:t>51.5</w:t>
            </w:r>
          </w:p>
        </w:tc>
      </w:tr>
      <w:tr w:rsidR="0054762F" w:rsidRPr="004406F9" w14:paraId="5EF7779E" w14:textId="77777777" w:rsidTr="0054762F">
        <w:trPr>
          <w:trHeight w:val="191"/>
        </w:trPr>
        <w:tc>
          <w:tcPr>
            <w:tcW w:w="1475" w:type="pct"/>
            <w:tcBorders>
              <w:right w:val="nil"/>
            </w:tcBorders>
            <w:shd w:val="clear" w:color="auto" w:fill="auto"/>
          </w:tcPr>
          <w:p w14:paraId="588369F6" w14:textId="77777777" w:rsidR="0054762F" w:rsidRPr="004406F9" w:rsidRDefault="0054762F" w:rsidP="0054762F">
            <w:pPr>
              <w:rPr>
                <w:rFonts w:ascii="Arial" w:hAnsi="Arial" w:cs="Arial"/>
                <w:b/>
                <w:sz w:val="20"/>
              </w:rPr>
            </w:pPr>
            <w:r w:rsidRPr="004406F9">
              <w:rPr>
                <w:rFonts w:ascii="Arial" w:hAnsi="Arial" w:cs="Arial"/>
                <w:b/>
                <w:sz w:val="20"/>
              </w:rPr>
              <w:t>PME</w:t>
            </w:r>
          </w:p>
        </w:tc>
        <w:tc>
          <w:tcPr>
            <w:tcW w:w="707" w:type="pct"/>
            <w:tcBorders>
              <w:left w:val="nil"/>
              <w:right w:val="nil"/>
            </w:tcBorders>
            <w:vAlign w:val="center"/>
          </w:tcPr>
          <w:p w14:paraId="4484EE30" w14:textId="77777777" w:rsidR="0054762F" w:rsidRPr="004406F9" w:rsidRDefault="0054762F" w:rsidP="0054762F">
            <w:pPr>
              <w:rPr>
                <w:rFonts w:ascii="Arial" w:hAnsi="Arial" w:cs="Arial"/>
                <w:b/>
                <w:color w:val="FFFFFF" w:themeColor="background1"/>
                <w:sz w:val="20"/>
              </w:rPr>
            </w:pPr>
          </w:p>
        </w:tc>
        <w:tc>
          <w:tcPr>
            <w:tcW w:w="707" w:type="pct"/>
            <w:tcBorders>
              <w:left w:val="nil"/>
              <w:right w:val="nil"/>
            </w:tcBorders>
            <w:shd w:val="clear" w:color="auto" w:fill="auto"/>
            <w:vAlign w:val="center"/>
          </w:tcPr>
          <w:p w14:paraId="3AB28FE3" w14:textId="77777777" w:rsidR="0054762F" w:rsidRPr="004406F9" w:rsidRDefault="0054762F" w:rsidP="0054762F">
            <w:pPr>
              <w:rPr>
                <w:rFonts w:ascii="Arial" w:hAnsi="Arial" w:cs="Arial"/>
                <w:b/>
                <w:color w:val="FFFFFF" w:themeColor="background1"/>
                <w:sz w:val="20"/>
              </w:rPr>
            </w:pPr>
          </w:p>
        </w:tc>
        <w:tc>
          <w:tcPr>
            <w:tcW w:w="708" w:type="pct"/>
            <w:tcBorders>
              <w:left w:val="nil"/>
              <w:right w:val="nil"/>
            </w:tcBorders>
            <w:shd w:val="clear" w:color="auto" w:fill="auto"/>
            <w:vAlign w:val="center"/>
          </w:tcPr>
          <w:p w14:paraId="6F46D93E" w14:textId="77777777" w:rsidR="0054762F" w:rsidRPr="004406F9" w:rsidRDefault="0054762F" w:rsidP="0054762F">
            <w:pPr>
              <w:rPr>
                <w:rFonts w:ascii="Arial" w:hAnsi="Arial" w:cs="Arial"/>
                <w:b/>
                <w:color w:val="FFFFFF" w:themeColor="background1"/>
                <w:sz w:val="20"/>
              </w:rPr>
            </w:pPr>
          </w:p>
        </w:tc>
        <w:tc>
          <w:tcPr>
            <w:tcW w:w="708" w:type="pct"/>
            <w:tcBorders>
              <w:left w:val="nil"/>
              <w:right w:val="nil"/>
            </w:tcBorders>
            <w:shd w:val="clear" w:color="auto" w:fill="auto"/>
            <w:vAlign w:val="center"/>
          </w:tcPr>
          <w:p w14:paraId="0C09214D" w14:textId="77777777" w:rsidR="0054762F" w:rsidRPr="004406F9" w:rsidRDefault="0054762F" w:rsidP="0054762F">
            <w:pPr>
              <w:rPr>
                <w:rFonts w:ascii="Arial" w:hAnsi="Arial" w:cs="Arial"/>
                <w:b/>
                <w:color w:val="FFFFFF" w:themeColor="background1"/>
                <w:sz w:val="20"/>
              </w:rPr>
            </w:pPr>
          </w:p>
        </w:tc>
        <w:tc>
          <w:tcPr>
            <w:tcW w:w="694" w:type="pct"/>
            <w:tcBorders>
              <w:left w:val="nil"/>
              <w:right w:val="single" w:sz="4" w:space="0" w:color="auto"/>
            </w:tcBorders>
            <w:shd w:val="clear" w:color="auto" w:fill="auto"/>
            <w:vAlign w:val="center"/>
          </w:tcPr>
          <w:p w14:paraId="554F5186" w14:textId="77777777" w:rsidR="0054762F" w:rsidRPr="004406F9" w:rsidRDefault="0054762F" w:rsidP="0054762F">
            <w:pPr>
              <w:rPr>
                <w:rFonts w:ascii="Arial" w:hAnsi="Arial" w:cs="Arial"/>
                <w:b/>
                <w:color w:val="FFFFFF" w:themeColor="background1"/>
                <w:sz w:val="20"/>
              </w:rPr>
            </w:pPr>
          </w:p>
        </w:tc>
      </w:tr>
      <w:tr w:rsidR="0054762F" w:rsidRPr="004406F9" w14:paraId="6E81C2B8" w14:textId="77777777" w:rsidTr="0054762F">
        <w:trPr>
          <w:trHeight w:val="95"/>
        </w:trPr>
        <w:tc>
          <w:tcPr>
            <w:tcW w:w="1475" w:type="pct"/>
            <w:shd w:val="clear" w:color="auto" w:fill="auto"/>
          </w:tcPr>
          <w:p w14:paraId="56B4BE7D" w14:textId="77777777" w:rsidR="0054762F" w:rsidRPr="004406F9" w:rsidRDefault="0054762F" w:rsidP="0054762F">
            <w:pPr>
              <w:rPr>
                <w:rFonts w:ascii="Arial" w:hAnsi="Arial" w:cs="Arial"/>
                <w:sz w:val="20"/>
              </w:rPr>
            </w:pPr>
            <w:r w:rsidRPr="004406F9">
              <w:rPr>
                <w:rFonts w:ascii="Arial" w:hAnsi="Arial" w:cs="Arial"/>
                <w:sz w:val="20"/>
              </w:rPr>
              <w:t>Number of services</w:t>
            </w:r>
          </w:p>
        </w:tc>
        <w:tc>
          <w:tcPr>
            <w:tcW w:w="707" w:type="pct"/>
            <w:vAlign w:val="center"/>
          </w:tcPr>
          <w:p w14:paraId="6EFCB64C" w14:textId="77777777" w:rsidR="0054762F" w:rsidRPr="004406F9" w:rsidRDefault="0054762F" w:rsidP="0054762F">
            <w:pPr>
              <w:jc w:val="center"/>
              <w:rPr>
                <w:rFonts w:ascii="Arial" w:hAnsi="Arial" w:cs="Arial"/>
                <w:sz w:val="20"/>
              </w:rPr>
            </w:pPr>
            <w:r w:rsidRPr="004406F9">
              <w:rPr>
                <w:rFonts w:ascii="Arial" w:hAnsi="Arial" w:cs="Arial"/>
                <w:color w:val="000000"/>
                <w:sz w:val="20"/>
              </w:rPr>
              <w:t>67,638</w:t>
            </w:r>
          </w:p>
        </w:tc>
        <w:tc>
          <w:tcPr>
            <w:tcW w:w="707" w:type="pct"/>
            <w:shd w:val="clear" w:color="auto" w:fill="auto"/>
            <w:vAlign w:val="center"/>
          </w:tcPr>
          <w:p w14:paraId="6FEA693C" w14:textId="77777777" w:rsidR="0054762F" w:rsidRPr="004406F9" w:rsidRDefault="0054762F" w:rsidP="0054762F">
            <w:pPr>
              <w:jc w:val="center"/>
              <w:rPr>
                <w:rFonts w:ascii="Arial" w:hAnsi="Arial" w:cs="Arial"/>
                <w:sz w:val="20"/>
              </w:rPr>
            </w:pPr>
            <w:r w:rsidRPr="004406F9">
              <w:rPr>
                <w:rFonts w:ascii="Arial" w:hAnsi="Arial" w:cs="Arial"/>
                <w:color w:val="000000"/>
                <w:sz w:val="20"/>
              </w:rPr>
              <w:t>69,689</w:t>
            </w:r>
          </w:p>
        </w:tc>
        <w:tc>
          <w:tcPr>
            <w:tcW w:w="708" w:type="pct"/>
            <w:shd w:val="clear" w:color="auto" w:fill="auto"/>
            <w:vAlign w:val="center"/>
          </w:tcPr>
          <w:p w14:paraId="0ED404BB" w14:textId="77777777" w:rsidR="0054762F" w:rsidRPr="004406F9" w:rsidRDefault="0054762F" w:rsidP="0054762F">
            <w:pPr>
              <w:jc w:val="center"/>
              <w:rPr>
                <w:rFonts w:ascii="Arial" w:hAnsi="Arial" w:cs="Arial"/>
                <w:sz w:val="20"/>
              </w:rPr>
            </w:pPr>
            <w:r w:rsidRPr="004406F9">
              <w:rPr>
                <w:rFonts w:ascii="Arial" w:hAnsi="Arial" w:cs="Arial"/>
                <w:color w:val="000000"/>
                <w:sz w:val="20"/>
              </w:rPr>
              <w:t>71,771</w:t>
            </w:r>
          </w:p>
        </w:tc>
        <w:tc>
          <w:tcPr>
            <w:tcW w:w="708" w:type="pct"/>
            <w:shd w:val="clear" w:color="auto" w:fill="auto"/>
            <w:vAlign w:val="center"/>
          </w:tcPr>
          <w:p w14:paraId="76C63CFE" w14:textId="77777777" w:rsidR="0054762F" w:rsidRPr="004406F9" w:rsidRDefault="0054762F" w:rsidP="0054762F">
            <w:pPr>
              <w:jc w:val="center"/>
              <w:rPr>
                <w:rFonts w:ascii="Arial" w:hAnsi="Arial" w:cs="Arial"/>
                <w:sz w:val="20"/>
              </w:rPr>
            </w:pPr>
            <w:r w:rsidRPr="004406F9">
              <w:rPr>
                <w:rFonts w:ascii="Arial" w:hAnsi="Arial" w:cs="Arial"/>
                <w:color w:val="000000"/>
                <w:sz w:val="20"/>
              </w:rPr>
              <w:t>73,885</w:t>
            </w:r>
          </w:p>
        </w:tc>
        <w:tc>
          <w:tcPr>
            <w:tcW w:w="694" w:type="pct"/>
            <w:shd w:val="clear" w:color="auto" w:fill="auto"/>
            <w:vAlign w:val="center"/>
          </w:tcPr>
          <w:p w14:paraId="2E1ECBEB" w14:textId="77777777" w:rsidR="0054762F" w:rsidRPr="004406F9" w:rsidRDefault="0054762F" w:rsidP="0054762F">
            <w:pPr>
              <w:jc w:val="center"/>
              <w:rPr>
                <w:rFonts w:ascii="Arial" w:hAnsi="Arial" w:cs="Arial"/>
                <w:sz w:val="20"/>
              </w:rPr>
            </w:pPr>
            <w:r w:rsidRPr="004406F9">
              <w:rPr>
                <w:rFonts w:ascii="Arial" w:hAnsi="Arial" w:cs="Arial"/>
                <w:color w:val="000000"/>
                <w:sz w:val="20"/>
              </w:rPr>
              <w:t>76,033</w:t>
            </w:r>
          </w:p>
        </w:tc>
      </w:tr>
      <w:tr w:rsidR="0054762F" w:rsidRPr="004406F9" w14:paraId="7924E99B" w14:textId="77777777" w:rsidTr="0054762F">
        <w:trPr>
          <w:trHeight w:val="128"/>
        </w:trPr>
        <w:tc>
          <w:tcPr>
            <w:tcW w:w="1475" w:type="pct"/>
            <w:tcBorders>
              <w:bottom w:val="single" w:sz="4" w:space="0" w:color="auto"/>
            </w:tcBorders>
            <w:shd w:val="clear" w:color="auto" w:fill="auto"/>
          </w:tcPr>
          <w:p w14:paraId="03181092" w14:textId="77777777" w:rsidR="0054762F" w:rsidRPr="004406F9" w:rsidRDefault="0054762F" w:rsidP="0054762F">
            <w:pPr>
              <w:rPr>
                <w:rFonts w:ascii="Arial" w:hAnsi="Arial" w:cs="Arial"/>
                <w:sz w:val="20"/>
              </w:rPr>
            </w:pPr>
            <w:r w:rsidRPr="004406F9">
              <w:rPr>
                <w:rFonts w:ascii="Arial" w:hAnsi="Arial" w:cs="Arial"/>
                <w:sz w:val="20"/>
              </w:rPr>
              <w:t>Sub-total cost ($m)</w:t>
            </w:r>
          </w:p>
        </w:tc>
        <w:tc>
          <w:tcPr>
            <w:tcW w:w="707" w:type="pct"/>
            <w:tcBorders>
              <w:bottom w:val="single" w:sz="4" w:space="0" w:color="auto"/>
            </w:tcBorders>
            <w:vAlign w:val="center"/>
          </w:tcPr>
          <w:p w14:paraId="4D40711A" w14:textId="77777777" w:rsidR="0054762F" w:rsidRPr="004406F9" w:rsidRDefault="0054762F" w:rsidP="0054762F">
            <w:pPr>
              <w:jc w:val="center"/>
              <w:rPr>
                <w:rFonts w:ascii="Arial" w:hAnsi="Arial" w:cs="Arial"/>
                <w:sz w:val="20"/>
              </w:rPr>
            </w:pPr>
            <w:r w:rsidRPr="004406F9">
              <w:rPr>
                <w:rFonts w:ascii="Arial" w:hAnsi="Arial" w:cs="Arial"/>
                <w:color w:val="000000"/>
                <w:sz w:val="20"/>
              </w:rPr>
              <w:t>18.5</w:t>
            </w:r>
          </w:p>
        </w:tc>
        <w:tc>
          <w:tcPr>
            <w:tcW w:w="707" w:type="pct"/>
            <w:tcBorders>
              <w:bottom w:val="single" w:sz="4" w:space="0" w:color="auto"/>
            </w:tcBorders>
            <w:shd w:val="clear" w:color="auto" w:fill="auto"/>
            <w:vAlign w:val="center"/>
          </w:tcPr>
          <w:p w14:paraId="3C3FD7E7" w14:textId="77777777" w:rsidR="0054762F" w:rsidRPr="004406F9" w:rsidRDefault="0054762F" w:rsidP="0054762F">
            <w:pPr>
              <w:jc w:val="center"/>
              <w:rPr>
                <w:rFonts w:ascii="Arial" w:hAnsi="Arial" w:cs="Arial"/>
                <w:sz w:val="20"/>
              </w:rPr>
            </w:pPr>
            <w:r w:rsidRPr="004406F9">
              <w:rPr>
                <w:rFonts w:ascii="Arial" w:hAnsi="Arial" w:cs="Arial"/>
                <w:color w:val="000000"/>
                <w:sz w:val="20"/>
              </w:rPr>
              <w:t>19.1</w:t>
            </w:r>
          </w:p>
        </w:tc>
        <w:tc>
          <w:tcPr>
            <w:tcW w:w="708" w:type="pct"/>
            <w:tcBorders>
              <w:bottom w:val="single" w:sz="4" w:space="0" w:color="auto"/>
            </w:tcBorders>
            <w:shd w:val="clear" w:color="auto" w:fill="auto"/>
            <w:vAlign w:val="center"/>
          </w:tcPr>
          <w:p w14:paraId="784A8125" w14:textId="77777777" w:rsidR="0054762F" w:rsidRPr="004406F9" w:rsidRDefault="0054762F" w:rsidP="0054762F">
            <w:pPr>
              <w:jc w:val="center"/>
              <w:rPr>
                <w:rFonts w:ascii="Arial" w:hAnsi="Arial" w:cs="Arial"/>
                <w:sz w:val="20"/>
              </w:rPr>
            </w:pPr>
            <w:r w:rsidRPr="004406F9">
              <w:rPr>
                <w:rFonts w:ascii="Arial" w:hAnsi="Arial" w:cs="Arial"/>
                <w:color w:val="000000"/>
                <w:sz w:val="20"/>
              </w:rPr>
              <w:t>19.6</w:t>
            </w:r>
          </w:p>
        </w:tc>
        <w:tc>
          <w:tcPr>
            <w:tcW w:w="708" w:type="pct"/>
            <w:tcBorders>
              <w:bottom w:val="single" w:sz="4" w:space="0" w:color="auto"/>
            </w:tcBorders>
            <w:shd w:val="clear" w:color="auto" w:fill="auto"/>
            <w:vAlign w:val="center"/>
          </w:tcPr>
          <w:p w14:paraId="5D496C8A" w14:textId="77777777" w:rsidR="0054762F" w:rsidRPr="004406F9" w:rsidRDefault="0054762F" w:rsidP="0054762F">
            <w:pPr>
              <w:jc w:val="center"/>
              <w:rPr>
                <w:rFonts w:ascii="Arial" w:hAnsi="Arial" w:cs="Arial"/>
                <w:sz w:val="20"/>
              </w:rPr>
            </w:pPr>
            <w:r w:rsidRPr="004406F9">
              <w:rPr>
                <w:rFonts w:ascii="Arial" w:hAnsi="Arial" w:cs="Arial"/>
                <w:color w:val="000000"/>
                <w:sz w:val="20"/>
              </w:rPr>
              <w:t>20.2</w:t>
            </w:r>
          </w:p>
        </w:tc>
        <w:tc>
          <w:tcPr>
            <w:tcW w:w="694" w:type="pct"/>
            <w:tcBorders>
              <w:bottom w:val="single" w:sz="4" w:space="0" w:color="auto"/>
            </w:tcBorders>
            <w:shd w:val="clear" w:color="auto" w:fill="auto"/>
            <w:vAlign w:val="center"/>
          </w:tcPr>
          <w:p w14:paraId="64D5CCF6" w14:textId="77777777" w:rsidR="0054762F" w:rsidRPr="004406F9" w:rsidRDefault="0054762F" w:rsidP="0054762F">
            <w:pPr>
              <w:jc w:val="center"/>
              <w:rPr>
                <w:rFonts w:ascii="Arial" w:hAnsi="Arial" w:cs="Arial"/>
                <w:sz w:val="20"/>
              </w:rPr>
            </w:pPr>
            <w:r w:rsidRPr="004406F9">
              <w:rPr>
                <w:rFonts w:ascii="Arial" w:hAnsi="Arial" w:cs="Arial"/>
                <w:color w:val="000000"/>
                <w:sz w:val="20"/>
              </w:rPr>
              <w:t>20.8</w:t>
            </w:r>
          </w:p>
        </w:tc>
      </w:tr>
      <w:tr w:rsidR="0054762F" w:rsidRPr="004406F9" w14:paraId="325DD669" w14:textId="77777777" w:rsidTr="0054762F">
        <w:trPr>
          <w:trHeight w:val="64"/>
        </w:trPr>
        <w:tc>
          <w:tcPr>
            <w:tcW w:w="1475" w:type="pct"/>
            <w:shd w:val="clear" w:color="auto" w:fill="auto"/>
            <w:vAlign w:val="center"/>
          </w:tcPr>
          <w:p w14:paraId="1822E343" w14:textId="77777777" w:rsidR="0054762F" w:rsidRPr="004406F9" w:rsidRDefault="0054762F" w:rsidP="0054762F">
            <w:pPr>
              <w:rPr>
                <w:rFonts w:ascii="Arial" w:hAnsi="Arial" w:cs="Arial"/>
                <w:b/>
                <w:sz w:val="20"/>
              </w:rPr>
            </w:pPr>
            <w:r w:rsidRPr="004406F9">
              <w:rPr>
                <w:rFonts w:ascii="Arial" w:hAnsi="Arial" w:cs="Arial"/>
                <w:b/>
                <w:sz w:val="20"/>
              </w:rPr>
              <w:t>Total cost of services ($m)</w:t>
            </w:r>
          </w:p>
        </w:tc>
        <w:tc>
          <w:tcPr>
            <w:tcW w:w="707" w:type="pct"/>
            <w:vAlign w:val="center"/>
          </w:tcPr>
          <w:p w14:paraId="0D752FE0" w14:textId="77777777" w:rsidR="0054762F" w:rsidRPr="004406F9" w:rsidRDefault="0054762F" w:rsidP="0054762F">
            <w:pPr>
              <w:jc w:val="center"/>
              <w:rPr>
                <w:rFonts w:ascii="Arial" w:hAnsi="Arial" w:cs="Arial"/>
                <w:b/>
                <w:sz w:val="20"/>
              </w:rPr>
            </w:pPr>
            <w:r w:rsidRPr="004406F9">
              <w:rPr>
                <w:rFonts w:ascii="Arial" w:hAnsi="Arial" w:cs="Arial"/>
                <w:b/>
                <w:color w:val="000000"/>
                <w:sz w:val="20"/>
              </w:rPr>
              <w:t>64.3</w:t>
            </w:r>
          </w:p>
        </w:tc>
        <w:tc>
          <w:tcPr>
            <w:tcW w:w="707" w:type="pct"/>
            <w:shd w:val="clear" w:color="auto" w:fill="auto"/>
            <w:vAlign w:val="center"/>
          </w:tcPr>
          <w:p w14:paraId="63BA5022" w14:textId="77777777" w:rsidR="0054762F" w:rsidRPr="004406F9" w:rsidRDefault="0054762F" w:rsidP="0054762F">
            <w:pPr>
              <w:jc w:val="center"/>
              <w:rPr>
                <w:rFonts w:ascii="Arial" w:hAnsi="Arial" w:cs="Arial"/>
                <w:b/>
                <w:sz w:val="20"/>
              </w:rPr>
            </w:pPr>
            <w:r w:rsidRPr="004406F9">
              <w:rPr>
                <w:rFonts w:ascii="Arial" w:hAnsi="Arial" w:cs="Arial"/>
                <w:b/>
                <w:color w:val="000000"/>
                <w:sz w:val="20"/>
              </w:rPr>
              <w:t>66.3</w:t>
            </w:r>
          </w:p>
        </w:tc>
        <w:tc>
          <w:tcPr>
            <w:tcW w:w="708" w:type="pct"/>
            <w:shd w:val="clear" w:color="auto" w:fill="auto"/>
            <w:vAlign w:val="center"/>
          </w:tcPr>
          <w:p w14:paraId="7DA1052F" w14:textId="77777777" w:rsidR="0054762F" w:rsidRPr="004406F9" w:rsidRDefault="0054762F" w:rsidP="0054762F">
            <w:pPr>
              <w:jc w:val="center"/>
              <w:rPr>
                <w:rFonts w:ascii="Arial" w:hAnsi="Arial" w:cs="Arial"/>
                <w:b/>
                <w:sz w:val="20"/>
              </w:rPr>
            </w:pPr>
            <w:r w:rsidRPr="004406F9">
              <w:rPr>
                <w:rFonts w:ascii="Arial" w:hAnsi="Arial" w:cs="Arial"/>
                <w:b/>
                <w:color w:val="000000"/>
                <w:sz w:val="20"/>
              </w:rPr>
              <w:t>68.2</w:t>
            </w:r>
          </w:p>
        </w:tc>
        <w:tc>
          <w:tcPr>
            <w:tcW w:w="708" w:type="pct"/>
            <w:shd w:val="clear" w:color="auto" w:fill="auto"/>
            <w:vAlign w:val="center"/>
          </w:tcPr>
          <w:p w14:paraId="2550DE4D" w14:textId="77777777" w:rsidR="0054762F" w:rsidRPr="004406F9" w:rsidRDefault="0054762F" w:rsidP="0054762F">
            <w:pPr>
              <w:jc w:val="center"/>
              <w:rPr>
                <w:rFonts w:ascii="Arial" w:hAnsi="Arial" w:cs="Arial"/>
                <w:b/>
                <w:sz w:val="20"/>
              </w:rPr>
            </w:pPr>
            <w:r w:rsidRPr="004406F9">
              <w:rPr>
                <w:rFonts w:ascii="Arial" w:hAnsi="Arial" w:cs="Arial"/>
                <w:b/>
                <w:color w:val="000000"/>
                <w:sz w:val="20"/>
              </w:rPr>
              <w:t>70.2</w:t>
            </w:r>
          </w:p>
        </w:tc>
        <w:tc>
          <w:tcPr>
            <w:tcW w:w="694" w:type="pct"/>
            <w:shd w:val="clear" w:color="auto" w:fill="auto"/>
            <w:vAlign w:val="center"/>
          </w:tcPr>
          <w:p w14:paraId="2A6CFE20" w14:textId="77777777" w:rsidR="0054762F" w:rsidRPr="004406F9" w:rsidRDefault="0054762F" w:rsidP="0054762F">
            <w:pPr>
              <w:jc w:val="center"/>
              <w:rPr>
                <w:rFonts w:ascii="Arial" w:hAnsi="Arial" w:cs="Arial"/>
                <w:b/>
                <w:sz w:val="20"/>
              </w:rPr>
            </w:pPr>
            <w:r w:rsidRPr="004406F9">
              <w:rPr>
                <w:rFonts w:ascii="Arial" w:hAnsi="Arial" w:cs="Arial"/>
                <w:b/>
                <w:color w:val="000000"/>
                <w:sz w:val="20"/>
              </w:rPr>
              <w:t>72.3</w:t>
            </w:r>
          </w:p>
        </w:tc>
      </w:tr>
    </w:tbl>
    <w:p w14:paraId="54F74A3E" w14:textId="77777777" w:rsidR="0054762F" w:rsidRPr="00FF5712" w:rsidRDefault="0054762F" w:rsidP="0054762F">
      <w:pPr>
        <w:widowControl w:val="0"/>
        <w:spacing w:before="40"/>
        <w:rPr>
          <w:szCs w:val="24"/>
          <w:lang w:eastAsia="en-US"/>
        </w:rPr>
      </w:pPr>
    </w:p>
    <w:p w14:paraId="2DE80D08" w14:textId="77777777" w:rsidR="004406F9" w:rsidRDefault="004406F9" w:rsidP="004406F9">
      <w:pPr>
        <w:spacing w:after="240"/>
      </w:pPr>
      <w:r>
        <w:t>The assessment report stated there</w:t>
      </w:r>
      <w:r w:rsidR="0054762F" w:rsidRPr="00FF5712">
        <w:t xml:space="preserve"> is a high degree of uncertainty surrounding the utilisation and uptake of PR and PME services, which is characterised by uncertainty surrounding the size of the eligible population given likely patient comorbidities, the uptake of PR and PME services, and the ability of PR providers to respond to the anticipated volume of the new services.  </w:t>
      </w:r>
    </w:p>
    <w:p w14:paraId="3A48C3F3" w14:textId="3C9E111E" w:rsidR="0054762F" w:rsidRPr="004406F9" w:rsidRDefault="0054762F" w:rsidP="004406F9">
      <w:pPr>
        <w:rPr>
          <w:szCs w:val="24"/>
          <w:lang w:eastAsia="en-US"/>
        </w:rPr>
      </w:pPr>
      <w:r w:rsidRPr="00FF5712">
        <w:t>Sensitivity analyses showed that the average annual cost to the MBS and to patients of PR and PME services may range between $40.2 million and $160.6 million (base case $80.3</w:t>
      </w:r>
      <w:r w:rsidR="004406F9">
        <w:t> </w:t>
      </w:r>
      <w:r w:rsidRPr="00FF5712">
        <w:t>million).  Capacity-constrained scenarios, in which the number of patients accessing the services was limited by the existing number of PR providers, projected to the MBS alone for PR and PME services in FY 2017-18 range from $12.3 million to $22.0 million.</w:t>
      </w:r>
    </w:p>
    <w:p w14:paraId="1492052A" w14:textId="77777777" w:rsidR="006A0D97" w:rsidRPr="00FF5712" w:rsidRDefault="006A0D97" w:rsidP="002A1861">
      <w:pPr>
        <w:pStyle w:val="Heading1"/>
      </w:pPr>
      <w:r w:rsidRPr="00FF5712">
        <w:t>Key issues from ESC for MSAC</w:t>
      </w:r>
    </w:p>
    <w:p w14:paraId="40DCE577" w14:textId="77777777" w:rsidR="0054762F" w:rsidRPr="00FF5712" w:rsidRDefault="0054762F" w:rsidP="0054762F">
      <w:pPr>
        <w:spacing w:line="276" w:lineRule="auto"/>
        <w:rPr>
          <w:szCs w:val="24"/>
          <w:lang w:eastAsia="en-US"/>
        </w:rPr>
      </w:pPr>
      <w:r w:rsidRPr="00FF5712">
        <w:rPr>
          <w:szCs w:val="24"/>
          <w:lang w:eastAsia="en-US"/>
        </w:rPr>
        <w:t xml:space="preserve">ESC </w:t>
      </w:r>
      <w:r w:rsidR="002F694E">
        <w:rPr>
          <w:szCs w:val="24"/>
          <w:lang w:eastAsia="en-US"/>
        </w:rPr>
        <w:t xml:space="preserve">has </w:t>
      </w:r>
      <w:r w:rsidRPr="00FF5712">
        <w:rPr>
          <w:szCs w:val="24"/>
          <w:lang w:eastAsia="en-US"/>
        </w:rPr>
        <w:t xml:space="preserve">advised that there </w:t>
      </w:r>
      <w:r w:rsidR="002F694E" w:rsidRPr="00FF5712">
        <w:rPr>
          <w:szCs w:val="24"/>
          <w:lang w:eastAsia="en-US"/>
        </w:rPr>
        <w:t>were clinical uncertainties</w:t>
      </w:r>
      <w:r w:rsidRPr="00FF5712">
        <w:rPr>
          <w:szCs w:val="24"/>
          <w:lang w:eastAsia="en-US"/>
        </w:rPr>
        <w:t xml:space="preserve"> including:</w:t>
      </w:r>
    </w:p>
    <w:p w14:paraId="755BCB76" w14:textId="77777777" w:rsidR="0054762F" w:rsidRPr="00FF5712" w:rsidRDefault="0054762F" w:rsidP="0054762F">
      <w:pPr>
        <w:pStyle w:val="ListParagraph"/>
        <w:numPr>
          <w:ilvl w:val="0"/>
          <w:numId w:val="33"/>
        </w:numPr>
        <w:tabs>
          <w:tab w:val="num" w:pos="426"/>
        </w:tabs>
        <w:ind w:hanging="357"/>
        <w:rPr>
          <w:szCs w:val="24"/>
          <w:lang w:eastAsia="en-US"/>
        </w:rPr>
      </w:pPr>
      <w:r w:rsidRPr="00FF5712">
        <w:rPr>
          <w:szCs w:val="24"/>
          <w:lang w:eastAsia="en-US"/>
        </w:rPr>
        <w:t>The majority of the evidence for pulmonary rehabilitation (PR) was found for the chronic obstructive pulm</w:t>
      </w:r>
      <w:r w:rsidR="002F694E">
        <w:rPr>
          <w:szCs w:val="24"/>
          <w:lang w:eastAsia="en-US"/>
        </w:rPr>
        <w:t>onary disease (COPD) population;</w:t>
      </w:r>
    </w:p>
    <w:p w14:paraId="5D9967C6" w14:textId="77777777" w:rsidR="0054762F" w:rsidRPr="00FF5712" w:rsidRDefault="0054762F" w:rsidP="0054762F">
      <w:pPr>
        <w:pStyle w:val="ListParagraph"/>
        <w:numPr>
          <w:ilvl w:val="0"/>
          <w:numId w:val="32"/>
        </w:numPr>
        <w:ind w:hanging="357"/>
        <w:contextualSpacing w:val="0"/>
        <w:rPr>
          <w:szCs w:val="24"/>
          <w:lang w:eastAsia="en-US"/>
        </w:rPr>
      </w:pPr>
      <w:r w:rsidRPr="00FF5712">
        <w:rPr>
          <w:szCs w:val="24"/>
          <w:lang w:eastAsia="en-US"/>
        </w:rPr>
        <w:t>Limited evidence was available regarding the effectiveness of PR in the interstitial lung disease (ILD), bronchiectasis or lung cancer (LC) populations. This resulted in s</w:t>
      </w:r>
      <w:r w:rsidRPr="00FF5712">
        <w:t>mall sample sizes, even when pooled, and a number of findings that did not</w:t>
      </w:r>
      <w:r w:rsidR="002F694E">
        <w:t xml:space="preserve"> reach statistical significance;</w:t>
      </w:r>
    </w:p>
    <w:p w14:paraId="612F0526" w14:textId="77777777" w:rsidR="0054762F" w:rsidRPr="00FF5712" w:rsidRDefault="0054762F" w:rsidP="0054762F">
      <w:pPr>
        <w:pStyle w:val="ListParagraph"/>
        <w:numPr>
          <w:ilvl w:val="0"/>
          <w:numId w:val="32"/>
        </w:numPr>
        <w:ind w:hanging="357"/>
        <w:contextualSpacing w:val="0"/>
        <w:rPr>
          <w:szCs w:val="24"/>
          <w:lang w:eastAsia="en-US"/>
        </w:rPr>
      </w:pPr>
      <w:r w:rsidRPr="00FF5712">
        <w:rPr>
          <w:szCs w:val="24"/>
          <w:lang w:eastAsia="en-US"/>
        </w:rPr>
        <w:t>Relatively limited evidence was available regarding the effectiveness of pulmonary maintenance exerci</w:t>
      </w:r>
      <w:r w:rsidR="002F694E">
        <w:rPr>
          <w:szCs w:val="24"/>
          <w:lang w:eastAsia="en-US"/>
        </w:rPr>
        <w:t>se (PME) in the COPD population; and</w:t>
      </w:r>
    </w:p>
    <w:p w14:paraId="63E5640F" w14:textId="77777777" w:rsidR="0054762F" w:rsidRPr="00FF5712" w:rsidRDefault="002F694E" w:rsidP="0054762F">
      <w:pPr>
        <w:pStyle w:val="ListParagraph"/>
        <w:numPr>
          <w:ilvl w:val="0"/>
          <w:numId w:val="32"/>
        </w:numPr>
        <w:ind w:hanging="357"/>
        <w:rPr>
          <w:szCs w:val="24"/>
          <w:lang w:eastAsia="en-US"/>
        </w:rPr>
      </w:pPr>
      <w:r>
        <w:rPr>
          <w:szCs w:val="24"/>
          <w:lang w:eastAsia="en-US"/>
        </w:rPr>
        <w:t>There were n</w:t>
      </w:r>
      <w:r w:rsidR="0054762F" w:rsidRPr="00FF5712">
        <w:rPr>
          <w:szCs w:val="24"/>
          <w:lang w:eastAsia="en-US"/>
        </w:rPr>
        <w:t xml:space="preserve">o studies that met the inclusion criteria </w:t>
      </w:r>
      <w:r>
        <w:rPr>
          <w:szCs w:val="24"/>
          <w:lang w:eastAsia="en-US"/>
        </w:rPr>
        <w:t xml:space="preserve">that </w:t>
      </w:r>
      <w:r w:rsidR="0054762F" w:rsidRPr="00FF5712">
        <w:rPr>
          <w:szCs w:val="24"/>
          <w:lang w:eastAsia="en-US"/>
        </w:rPr>
        <w:t>assessed the effectiveness of PME in the interstitial lung disease, bronchiectasis or lung cancer populations.</w:t>
      </w:r>
    </w:p>
    <w:p w14:paraId="723C8ACF" w14:textId="77777777" w:rsidR="0054762F" w:rsidRPr="00FF5712" w:rsidRDefault="0054762F" w:rsidP="0054762F">
      <w:pPr>
        <w:rPr>
          <w:szCs w:val="24"/>
          <w:lang w:eastAsia="en-US"/>
        </w:rPr>
      </w:pPr>
    </w:p>
    <w:p w14:paraId="17A60E9A" w14:textId="77777777" w:rsidR="0054762F" w:rsidRPr="00FF5712" w:rsidRDefault="0054762F" w:rsidP="0054762F">
      <w:pPr>
        <w:pStyle w:val="ListParagraph"/>
        <w:ind w:left="0"/>
        <w:rPr>
          <w:szCs w:val="24"/>
          <w:lang w:eastAsia="en-US"/>
        </w:rPr>
      </w:pPr>
      <w:r w:rsidRPr="00FF5712">
        <w:rPr>
          <w:szCs w:val="24"/>
          <w:lang w:eastAsia="en-US"/>
        </w:rPr>
        <w:t xml:space="preserve">ESC advised </w:t>
      </w:r>
      <w:r w:rsidR="002F694E">
        <w:rPr>
          <w:szCs w:val="24"/>
          <w:lang w:eastAsia="en-US"/>
        </w:rPr>
        <w:t xml:space="preserve">MSAC </w:t>
      </w:r>
      <w:r w:rsidRPr="00FF5712">
        <w:rPr>
          <w:szCs w:val="24"/>
          <w:lang w:eastAsia="en-US"/>
        </w:rPr>
        <w:t>that consideration should be given to limiting any MBS item listing to pulmonary rehabilitation for the COPD population.</w:t>
      </w:r>
    </w:p>
    <w:p w14:paraId="588AF6E5" w14:textId="77777777" w:rsidR="0054762F" w:rsidRPr="00FF5712" w:rsidRDefault="0054762F" w:rsidP="0054762F">
      <w:pPr>
        <w:rPr>
          <w:szCs w:val="24"/>
          <w:lang w:eastAsia="en-US"/>
        </w:rPr>
      </w:pPr>
    </w:p>
    <w:p w14:paraId="662E9DEF" w14:textId="77777777" w:rsidR="0054762F" w:rsidRPr="00FF5712" w:rsidRDefault="0054762F" w:rsidP="0054762F">
      <w:pPr>
        <w:rPr>
          <w:szCs w:val="24"/>
          <w:lang w:eastAsia="en-US"/>
        </w:rPr>
      </w:pPr>
      <w:r w:rsidRPr="00FF5712">
        <w:rPr>
          <w:szCs w:val="24"/>
          <w:lang w:eastAsia="en-US"/>
        </w:rPr>
        <w:t xml:space="preserve">ESC considered alternative means of searching the literature for relevant studies, and advised that the exclusion criteria used for the literature review resulted in the exclusion of observational studies with hospital admissions as outcomes.  Although a stronger source of </w:t>
      </w:r>
      <w:r w:rsidRPr="00FF5712">
        <w:rPr>
          <w:szCs w:val="24"/>
          <w:lang w:eastAsia="en-US"/>
        </w:rPr>
        <w:lastRenderedPageBreak/>
        <w:t xml:space="preserve">evidence, the included randomised trials gave less attention to gauging whether there is an impact of PR on the use of healthcare resources. </w:t>
      </w:r>
    </w:p>
    <w:p w14:paraId="256DC580" w14:textId="77777777" w:rsidR="0054762F" w:rsidRPr="00FF5712" w:rsidRDefault="0054762F" w:rsidP="0054762F">
      <w:pPr>
        <w:rPr>
          <w:szCs w:val="24"/>
          <w:lang w:eastAsia="en-US"/>
        </w:rPr>
      </w:pPr>
    </w:p>
    <w:p w14:paraId="7F3E73A6" w14:textId="77777777" w:rsidR="0054762F" w:rsidRPr="00FF5712" w:rsidRDefault="0054762F" w:rsidP="0054762F">
      <w:pPr>
        <w:rPr>
          <w:szCs w:val="24"/>
          <w:lang w:eastAsia="en-US"/>
        </w:rPr>
      </w:pPr>
      <w:r w:rsidRPr="00FF5712">
        <w:rPr>
          <w:szCs w:val="24"/>
          <w:lang w:eastAsia="en-US"/>
        </w:rPr>
        <w:t>ESC advised that the request to limit the proposed MBS items to a population with chronic stable disease rather than in the context of an acute exacerbation reduced the potential for substantial health gains and healthcare resource cost offsets.  Accordingly, the evidence submitted in the pre-ESC response relating to these outcomes with PR following an acute exacerbation of COPD was not directly relevant to the application.</w:t>
      </w:r>
    </w:p>
    <w:p w14:paraId="19E79155" w14:textId="77777777" w:rsidR="0054762F" w:rsidRPr="00FF5712" w:rsidRDefault="0054762F" w:rsidP="0054762F">
      <w:pPr>
        <w:rPr>
          <w:szCs w:val="24"/>
          <w:lang w:eastAsia="en-US"/>
        </w:rPr>
      </w:pPr>
    </w:p>
    <w:p w14:paraId="63BF1E40" w14:textId="77777777" w:rsidR="0054762F" w:rsidRPr="00FF5712" w:rsidRDefault="0054762F" w:rsidP="0054762F">
      <w:pPr>
        <w:pStyle w:val="ListParagraph"/>
        <w:ind w:left="0"/>
        <w:rPr>
          <w:szCs w:val="24"/>
          <w:lang w:eastAsia="en-US"/>
        </w:rPr>
      </w:pPr>
      <w:r w:rsidRPr="00FF5712">
        <w:rPr>
          <w:szCs w:val="24"/>
          <w:lang w:eastAsia="en-US"/>
        </w:rPr>
        <w:t>ESC noted that, in the absence of clear evidence of an offsetting impact of PR and PME on healthcare resource utilisation (such as avoidance of hospitalisation); the economic evaluation did not include cost offsets and was therefore conservative.</w:t>
      </w:r>
    </w:p>
    <w:p w14:paraId="35F87C2E" w14:textId="77777777" w:rsidR="0054762F" w:rsidRPr="00FF5712" w:rsidRDefault="0054762F" w:rsidP="0054762F">
      <w:pPr>
        <w:pStyle w:val="ListParagraph"/>
        <w:ind w:left="0"/>
        <w:rPr>
          <w:szCs w:val="24"/>
          <w:lang w:eastAsia="en-US"/>
        </w:rPr>
      </w:pPr>
    </w:p>
    <w:p w14:paraId="18C0BF04" w14:textId="77777777" w:rsidR="0054762F" w:rsidRPr="00FF5712" w:rsidRDefault="0054762F" w:rsidP="0054762F">
      <w:pPr>
        <w:pStyle w:val="ListParagraph"/>
        <w:ind w:left="0"/>
        <w:rPr>
          <w:szCs w:val="24"/>
          <w:lang w:eastAsia="en-US"/>
        </w:rPr>
      </w:pPr>
      <w:r w:rsidRPr="00FF5712">
        <w:rPr>
          <w:szCs w:val="24"/>
          <w:lang w:eastAsia="en-US"/>
        </w:rPr>
        <w:t>ESC noted that the main translation issues from the clinical to the economic evaluation related to the extrapolation assumptions regarding the durability of effect over time; whether the target population would change over time with respect to likely effect-modifying characteristics, such as disease severity; and whether repeated treatments would occur at different rates depending on these characteristics.  ESC also noted the importance of the transformation of quality of life measured by the St George’s Respiratory Questionnaire (SGRQ) to quality-adjusted life-years gain via mapping the SGRQ to the EQ-5D multi-utility instrument:</w:t>
      </w:r>
    </w:p>
    <w:p w14:paraId="356CA8D0" w14:textId="77777777" w:rsidR="0054762F" w:rsidRPr="00FF5712" w:rsidRDefault="0054762F" w:rsidP="0054762F">
      <w:pPr>
        <w:pStyle w:val="ListParagraph"/>
        <w:ind w:left="0" w:firstLine="720"/>
        <w:rPr>
          <w:szCs w:val="24"/>
          <w:lang w:eastAsia="en-US"/>
        </w:rPr>
      </w:pPr>
      <w:r w:rsidRPr="00FF5712">
        <w:rPr>
          <w:i/>
          <w:szCs w:val="24"/>
          <w:lang w:eastAsia="en-US"/>
        </w:rPr>
        <w:t>(EQ-5D = 1.102 – (0.01083 x SGRQ score)</w:t>
      </w:r>
      <w:r w:rsidRPr="00FF5712">
        <w:rPr>
          <w:szCs w:val="24"/>
          <w:lang w:eastAsia="en-US"/>
        </w:rPr>
        <w:t>.</w:t>
      </w:r>
    </w:p>
    <w:p w14:paraId="2494FB6C" w14:textId="77777777" w:rsidR="0054762F" w:rsidRPr="00FF5712" w:rsidRDefault="0054762F" w:rsidP="0054762F">
      <w:pPr>
        <w:pStyle w:val="ListParagraph"/>
        <w:ind w:left="0"/>
        <w:rPr>
          <w:szCs w:val="24"/>
          <w:lang w:eastAsia="en-US"/>
        </w:rPr>
      </w:pPr>
    </w:p>
    <w:p w14:paraId="027E1922" w14:textId="77777777" w:rsidR="0054762F" w:rsidRPr="00FF5712" w:rsidRDefault="0054762F" w:rsidP="0054762F">
      <w:pPr>
        <w:pStyle w:val="ListParagraph"/>
        <w:ind w:left="0"/>
        <w:rPr>
          <w:szCs w:val="24"/>
          <w:lang w:eastAsia="en-US"/>
        </w:rPr>
      </w:pPr>
      <w:r w:rsidRPr="00FF5712">
        <w:rPr>
          <w:szCs w:val="24"/>
          <w:lang w:eastAsia="en-US"/>
        </w:rPr>
        <w:t>ESC considered that the main driver of uncertainty with the cost-utility analyses arose from the clinical uncertainty regarding clinical effectiveness, especially for PME over PR alone (driven by an assumption in reduced retreatment rates over time), and for PR in CLD conditions other than COPD.</w:t>
      </w:r>
    </w:p>
    <w:p w14:paraId="3A96D7FD" w14:textId="77777777" w:rsidR="0054762F" w:rsidRPr="00FF5712" w:rsidRDefault="0054762F" w:rsidP="0054762F">
      <w:pPr>
        <w:pStyle w:val="ListParagraph"/>
        <w:ind w:left="0"/>
        <w:rPr>
          <w:szCs w:val="24"/>
          <w:lang w:eastAsia="en-US"/>
        </w:rPr>
      </w:pPr>
    </w:p>
    <w:p w14:paraId="47E8C5F3" w14:textId="77777777" w:rsidR="0054762F" w:rsidRPr="00FF5712" w:rsidRDefault="0054762F" w:rsidP="0054762F">
      <w:pPr>
        <w:pStyle w:val="ListParagraph"/>
        <w:ind w:left="0"/>
        <w:rPr>
          <w:szCs w:val="24"/>
          <w:lang w:eastAsia="en-US"/>
        </w:rPr>
      </w:pPr>
      <w:r w:rsidRPr="00FF5712">
        <w:rPr>
          <w:szCs w:val="24"/>
          <w:lang w:eastAsia="en-US"/>
        </w:rPr>
        <w:t>ESC noted that there was an apparently counter-intuitive result in the sensitivity analyses examining the decay function in the sensitivity analysis, and that no evidence was provided for the assertion that patients would need re-treatment every two years.</w:t>
      </w:r>
    </w:p>
    <w:p w14:paraId="47FEDF3B" w14:textId="77777777" w:rsidR="0054762F" w:rsidRPr="00FF5712" w:rsidRDefault="0054762F" w:rsidP="0054762F">
      <w:pPr>
        <w:pStyle w:val="ListParagraph"/>
        <w:ind w:left="0"/>
        <w:rPr>
          <w:szCs w:val="24"/>
          <w:lang w:eastAsia="en-US"/>
        </w:rPr>
      </w:pPr>
    </w:p>
    <w:p w14:paraId="17C6C01D" w14:textId="77777777" w:rsidR="0054762F" w:rsidRPr="00FF5712" w:rsidRDefault="0054762F" w:rsidP="0054762F">
      <w:pPr>
        <w:pStyle w:val="ListParagraph"/>
        <w:ind w:left="0"/>
        <w:rPr>
          <w:szCs w:val="24"/>
          <w:lang w:eastAsia="en-US"/>
        </w:rPr>
      </w:pPr>
      <w:r w:rsidRPr="00FF5712">
        <w:rPr>
          <w:szCs w:val="24"/>
          <w:lang w:eastAsia="en-US"/>
        </w:rPr>
        <w:t>ESC advised that the potential unmet need for PR and PME services could have a significant financial impact on the MBS.</w:t>
      </w:r>
    </w:p>
    <w:p w14:paraId="3EC4DEAB" w14:textId="77777777" w:rsidR="0054762F" w:rsidRPr="00FF5712" w:rsidRDefault="0054762F" w:rsidP="0054762F">
      <w:pPr>
        <w:pStyle w:val="ListParagraph"/>
        <w:ind w:left="0"/>
        <w:rPr>
          <w:szCs w:val="24"/>
          <w:lang w:eastAsia="en-US"/>
        </w:rPr>
      </w:pPr>
    </w:p>
    <w:p w14:paraId="219F2090" w14:textId="77777777" w:rsidR="0054762F" w:rsidRPr="00FF5712" w:rsidRDefault="0054762F" w:rsidP="0054762F">
      <w:pPr>
        <w:pStyle w:val="ListParagraph"/>
        <w:ind w:left="0"/>
        <w:rPr>
          <w:szCs w:val="24"/>
          <w:lang w:eastAsia="en-US"/>
        </w:rPr>
      </w:pPr>
      <w:r w:rsidRPr="00FF5712">
        <w:rPr>
          <w:szCs w:val="24"/>
          <w:lang w:eastAsia="en-US"/>
        </w:rPr>
        <w:t>ESC advised that the main drivers of uncertainty with the large financial implications for the MBS budget related to the size of the eligible population given their likely comorbidities; the uptake of PR and PME services by this eligible population; and the ability of PR and PME providers to respond to the predicted rate of uptake.  ESC also noted the potential for cost shifting by the State and Territory Governments.  Such a cost shift would also involve potential out-of-pocket costs to patients for PR and PME services shifted to the private sector.</w:t>
      </w:r>
    </w:p>
    <w:p w14:paraId="70B0F100" w14:textId="77777777" w:rsidR="0054762F" w:rsidRPr="00FF5712" w:rsidRDefault="0054762F" w:rsidP="0054762F">
      <w:pPr>
        <w:pStyle w:val="ListParagraph"/>
        <w:ind w:left="0"/>
        <w:rPr>
          <w:szCs w:val="24"/>
          <w:lang w:eastAsia="en-US"/>
        </w:rPr>
      </w:pPr>
    </w:p>
    <w:p w14:paraId="4F1A9226" w14:textId="77777777" w:rsidR="0054762F" w:rsidRPr="00FF5712" w:rsidRDefault="0054762F" w:rsidP="0054762F">
      <w:pPr>
        <w:rPr>
          <w:szCs w:val="24"/>
          <w:lang w:eastAsia="en-US"/>
        </w:rPr>
      </w:pPr>
      <w:r w:rsidRPr="00FF5712">
        <w:rPr>
          <w:szCs w:val="24"/>
          <w:lang w:eastAsia="en-US"/>
        </w:rPr>
        <w:t xml:space="preserve">ESC noted the pre-ESC response from the applicant which foreshadowed new guidelines for Australia and New Zealand relevant to the application. ESC advised that the minor issues raised in relation to the clinical evidence base were not likely to affect the overall clinical conclusions.  ESC acknowledged that an additional assessment may not be needed between the completion of PR and the commencement of PME, which would decrease the cost of rendering PME by $78.90, make the cost-effectiveness more favourable, and reduce the financial implications to the MBS. </w:t>
      </w:r>
    </w:p>
    <w:p w14:paraId="49658D1A" w14:textId="77777777" w:rsidR="00D90A38" w:rsidRPr="00FF5712" w:rsidRDefault="00BC1364" w:rsidP="002A1861">
      <w:pPr>
        <w:pStyle w:val="Heading1"/>
      </w:pPr>
      <w:r w:rsidRPr="00FF5712">
        <w:t>Other significant factors</w:t>
      </w:r>
    </w:p>
    <w:p w14:paraId="57E2FB5B" w14:textId="77777777" w:rsidR="00BC1364" w:rsidRPr="00FF5712" w:rsidRDefault="0054762F" w:rsidP="00F715D1">
      <w:pPr>
        <w:spacing w:after="240"/>
        <w:rPr>
          <w:szCs w:val="24"/>
        </w:rPr>
      </w:pPr>
      <w:r w:rsidRPr="00FF5712">
        <w:rPr>
          <w:szCs w:val="24"/>
        </w:rPr>
        <w:t>Nil</w:t>
      </w:r>
    </w:p>
    <w:p w14:paraId="39D1B4E4" w14:textId="77777777" w:rsidR="00BC1364" w:rsidRDefault="00BC1364" w:rsidP="002A1861">
      <w:pPr>
        <w:pStyle w:val="Heading1"/>
      </w:pPr>
      <w:r w:rsidRPr="00FF5712">
        <w:lastRenderedPageBreak/>
        <w:t xml:space="preserve">Applicant’s comments on MSAC’s </w:t>
      </w:r>
      <w:r w:rsidR="00DA56AA" w:rsidRPr="00FF5712">
        <w:t>Public Summary Document</w:t>
      </w:r>
    </w:p>
    <w:p w14:paraId="0969B149" w14:textId="0737159B" w:rsidR="001D6AC2" w:rsidRPr="001D6AC2" w:rsidRDefault="001D6AC2" w:rsidP="001D6AC2">
      <w:pPr>
        <w:pStyle w:val="NormalWeb"/>
        <w:rPr>
          <w:lang w:val="en-US"/>
        </w:rPr>
      </w:pPr>
      <w:r w:rsidRPr="001D6AC2">
        <w:rPr>
          <w:lang w:val="en-US"/>
        </w:rPr>
        <w:t>We accept that there is limited evidence PR in lung cancer and for PME in stable chronic respiratory disease.   As MSAC has pointed out, the evidence is strong for PR in COPD and we wish to stress that the evidence demonstrates similar benefits for patients in a stable condition</w:t>
      </w:r>
      <w:r w:rsidRPr="001D6AC2">
        <w:rPr>
          <w:rStyle w:val="FootnoteReference"/>
          <w:lang w:val="en-US"/>
        </w:rPr>
        <w:footnoteReference w:id="1"/>
      </w:r>
      <w:r w:rsidRPr="001D6AC2">
        <w:rPr>
          <w:lang w:val="en-US"/>
        </w:rPr>
        <w:t xml:space="preserve"> as well as immediately post-exacerbation</w:t>
      </w:r>
      <w:r w:rsidRPr="001D6AC2">
        <w:rPr>
          <w:rStyle w:val="FootnoteReference"/>
          <w:lang w:val="en-US"/>
        </w:rPr>
        <w:footnoteReference w:id="2"/>
      </w:r>
      <w:r w:rsidRPr="001D6AC2">
        <w:rPr>
          <w:vertAlign w:val="superscript"/>
          <w:lang w:val="en-US"/>
        </w:rPr>
        <w:t>,</w:t>
      </w:r>
      <w:r w:rsidRPr="001D6AC2">
        <w:rPr>
          <w:rStyle w:val="FootnoteReference"/>
          <w:lang w:val="en-US"/>
        </w:rPr>
        <w:footnoteReference w:id="3"/>
      </w:r>
      <w:r w:rsidRPr="001D6AC2">
        <w:rPr>
          <w:vertAlign w:val="superscript"/>
          <w:lang w:val="en-US"/>
        </w:rPr>
        <w:t>,</w:t>
      </w:r>
      <w:r w:rsidRPr="001D6AC2">
        <w:rPr>
          <w:rStyle w:val="FootnoteReference"/>
          <w:lang w:val="en-US"/>
        </w:rPr>
        <w:footnoteReference w:id="4"/>
      </w:r>
      <w:r w:rsidRPr="001D6AC2">
        <w:rPr>
          <w:lang w:val="en-US"/>
        </w:rPr>
        <w:t>. The most recent Cochrane review</w:t>
      </w:r>
      <w:r w:rsidRPr="001D6AC2">
        <w:rPr>
          <w:vertAlign w:val="superscript"/>
          <w:lang w:val="en-US"/>
        </w:rPr>
        <w:t>3</w:t>
      </w:r>
      <w:r w:rsidRPr="001D6AC2">
        <w:rPr>
          <w:lang w:val="en-US"/>
        </w:rPr>
        <w:t xml:space="preserve"> emphasizes the fact that trials that implemented an extensive PR program showed “mostly large and consistent effects on readmissions, health-related quality of life and exercise capacity while also suggesting an effect on mortality”. The evidence also supports programs of 8 weeks or longer in duration as nearly all programs reported in the Cochrane review</w:t>
      </w:r>
      <w:r w:rsidRPr="001D6AC2">
        <w:rPr>
          <w:rStyle w:val="FootnoteReference"/>
          <w:lang w:val="en-US"/>
        </w:rPr>
        <w:footnoteReference w:id="5"/>
      </w:r>
      <w:r w:rsidRPr="001D6AC2">
        <w:rPr>
          <w:lang w:val="en-US"/>
        </w:rPr>
        <w:t xml:space="preserve">, which showed PR significantly improved exercise capacity and quality of life compared to usual care, were at least 8 weeks. As already acknowledged by MSAC, </w:t>
      </w:r>
      <w:r w:rsidRPr="001D6AC2">
        <w:t>the provision of PR for people with COPD reduces length of hospital stay</w:t>
      </w:r>
      <w:r w:rsidRPr="001D6AC2">
        <w:rPr>
          <w:rStyle w:val="FootnoteReference"/>
        </w:rPr>
        <w:footnoteReference w:id="6"/>
      </w:r>
      <w:r w:rsidRPr="001D6AC2">
        <w:t xml:space="preserve"> and is cost-effective</w:t>
      </w:r>
      <w:r w:rsidRPr="001D6AC2">
        <w:rPr>
          <w:rStyle w:val="FootnoteReference"/>
        </w:rPr>
        <w:footnoteReference w:id="7"/>
      </w:r>
      <w:r w:rsidRPr="001D6AC2">
        <w:t>. The Cochrane review</w:t>
      </w:r>
      <w:r w:rsidRPr="001D6AC2">
        <w:rPr>
          <w:vertAlign w:val="superscript"/>
        </w:rPr>
        <w:t>3</w:t>
      </w:r>
      <w:r w:rsidRPr="001D6AC2">
        <w:t xml:space="preserve"> provides evidence that after hospitalisation for an exacerbation of COPD, patients who were randomised to PR had an OR 0.44 (0.21 to 0.91) for hospital readmissions compared to those</w:t>
      </w:r>
      <w:r w:rsidRPr="001D6AC2">
        <w:rPr>
          <w:rStyle w:val="CommentReference"/>
          <w:sz w:val="24"/>
          <w:szCs w:val="24"/>
        </w:rPr>
        <w:t xml:space="preserve"> r</w:t>
      </w:r>
      <w:r w:rsidRPr="001D6AC2">
        <w:t>andomised to usual care. Thus overall cost saving would be predicted, since the costs of an MBS item number for PR would be offset by reduced healthcare costs and hospital admissions for COPD. In addition, COPD is the second leading cause of avoidable hospital admissions in Australia</w:t>
      </w:r>
      <w:r w:rsidRPr="001D6AC2">
        <w:rPr>
          <w:rStyle w:val="FootnoteReference"/>
        </w:rPr>
        <w:footnoteReference w:id="8"/>
      </w:r>
      <w:r w:rsidRPr="001D6AC2">
        <w:t>. If COPD was optimally managed in primary care, a proportion of costly hospital admissions could be avoided. PR is a key component of this optimal management as cited in the Australian Guidelines for the Management of COPD</w:t>
      </w:r>
      <w:r w:rsidRPr="001D6AC2">
        <w:rPr>
          <w:rStyle w:val="FootnoteReference"/>
        </w:rPr>
        <w:footnoteReference w:id="9"/>
      </w:r>
      <w:r w:rsidRPr="001D6AC2">
        <w:t xml:space="preserve">. </w:t>
      </w:r>
      <w:r w:rsidRPr="001D6AC2">
        <w:rPr>
          <w:lang w:val="en-US"/>
        </w:rPr>
        <w:t>We support an early, 2 year review of the impact and outcomes of this new item number should it be introduced. We look forward to providing a detailed response to the request for further information. </w:t>
      </w:r>
    </w:p>
    <w:p w14:paraId="76F8F556" w14:textId="77777777" w:rsidR="00BC1364" w:rsidRPr="00FF5712" w:rsidRDefault="00271F18" w:rsidP="002A1861">
      <w:pPr>
        <w:pStyle w:val="Heading1"/>
      </w:pPr>
      <w:r w:rsidRPr="00FF5712">
        <w:lastRenderedPageBreak/>
        <w:t>Further information on MSAC</w:t>
      </w:r>
    </w:p>
    <w:p w14:paraId="47E8DF6D" w14:textId="77777777" w:rsidR="00BC1364" w:rsidRPr="00FF5712" w:rsidRDefault="00271F18" w:rsidP="00F715D1">
      <w:pPr>
        <w:spacing w:after="240"/>
        <w:rPr>
          <w:szCs w:val="24"/>
        </w:rPr>
      </w:pPr>
      <w:r w:rsidRPr="00FF5712">
        <w:rPr>
          <w:szCs w:val="24"/>
        </w:rPr>
        <w:t xml:space="preserve">MSAC Terms of Reference and other </w:t>
      </w:r>
      <w:r w:rsidR="00BC1364" w:rsidRPr="00FF5712">
        <w:rPr>
          <w:szCs w:val="24"/>
        </w:rPr>
        <w:t xml:space="preserve">information </w:t>
      </w:r>
      <w:r w:rsidRPr="00FF5712">
        <w:rPr>
          <w:szCs w:val="24"/>
        </w:rPr>
        <w:t>are</w:t>
      </w:r>
      <w:r w:rsidR="00BC1364" w:rsidRPr="00FF5712">
        <w:rPr>
          <w:szCs w:val="24"/>
        </w:rPr>
        <w:t xml:space="preserve"> available on the MSAC Website: </w:t>
      </w:r>
      <w:r w:rsidR="00BC2667" w:rsidRPr="00FF5712">
        <w:rPr>
          <w:szCs w:val="24"/>
        </w:rPr>
        <w:br/>
      </w:r>
      <w:hyperlink r:id="rId11" w:history="1">
        <w:r w:rsidR="00BC2667" w:rsidRPr="00FF5712">
          <w:rPr>
            <w:rStyle w:val="Hyperlink"/>
            <w:color w:val="auto"/>
            <w:szCs w:val="24"/>
          </w:rPr>
          <w:t>visit the MSAC website</w:t>
        </w:r>
      </w:hyperlink>
    </w:p>
    <w:sectPr w:rsidR="00BC1364" w:rsidRPr="00FF5712" w:rsidSect="002F694E">
      <w:footerReference w:type="default" r:id="rId12"/>
      <w:pgSz w:w="11906" w:h="16838"/>
      <w:pgMar w:top="993" w:right="1440" w:bottom="426" w:left="1440" w:header="708"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0138D" w14:textId="77777777" w:rsidR="00037EFD" w:rsidRDefault="00037EFD" w:rsidP="00065623">
      <w:r>
        <w:separator/>
      </w:r>
    </w:p>
  </w:endnote>
  <w:endnote w:type="continuationSeparator" w:id="0">
    <w:p w14:paraId="66237AFB" w14:textId="77777777" w:rsidR="00037EFD" w:rsidRDefault="00037EFD"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50002752" w14:textId="77777777" w:rsidR="00E96D7B" w:rsidRDefault="00E96D7B">
        <w:pPr>
          <w:pStyle w:val="Footer"/>
          <w:jc w:val="right"/>
        </w:pPr>
        <w:r>
          <w:fldChar w:fldCharType="begin"/>
        </w:r>
        <w:r>
          <w:instrText xml:space="preserve"> PAGE   \* MERGEFORMAT </w:instrText>
        </w:r>
        <w:r>
          <w:fldChar w:fldCharType="separate"/>
        </w:r>
        <w:r w:rsidR="00210638">
          <w:rPr>
            <w:noProof/>
          </w:rPr>
          <w:t>2</w:t>
        </w:r>
        <w:r>
          <w:rPr>
            <w:noProof/>
          </w:rPr>
          <w:fldChar w:fldCharType="end"/>
        </w:r>
      </w:p>
    </w:sdtContent>
  </w:sdt>
  <w:p w14:paraId="30F16508" w14:textId="77777777" w:rsidR="00E96D7B" w:rsidRDefault="00E96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D7B29" w14:textId="77777777" w:rsidR="00037EFD" w:rsidRDefault="00037EFD" w:rsidP="00065623">
      <w:r>
        <w:separator/>
      </w:r>
    </w:p>
  </w:footnote>
  <w:footnote w:type="continuationSeparator" w:id="0">
    <w:p w14:paraId="0BACF0B9" w14:textId="77777777" w:rsidR="00037EFD" w:rsidRDefault="00037EFD" w:rsidP="00065623">
      <w:r>
        <w:continuationSeparator/>
      </w:r>
    </w:p>
  </w:footnote>
  <w:footnote w:id="1">
    <w:p w14:paraId="36C2FBDC" w14:textId="77777777" w:rsidR="001D6AC2" w:rsidRDefault="001D6AC2" w:rsidP="001D6AC2">
      <w:pPr>
        <w:pStyle w:val="FootnoteText"/>
        <w:rPr>
          <w:rFonts w:ascii="Calibri" w:hAnsi="Calibri"/>
          <w:color w:val="000000"/>
        </w:rPr>
      </w:pPr>
      <w:r>
        <w:t xml:space="preserve">1 </w:t>
      </w:r>
      <w:r w:rsidRPr="00922E0C">
        <w:rPr>
          <w:rFonts w:ascii="Calibri" w:hAnsi="Calibri"/>
          <w:color w:val="000000"/>
        </w:rPr>
        <w:t xml:space="preserve">Griffiths T, Burr M, Campbell I, Lewis-Jenkins V, Mullins J, </w:t>
      </w:r>
      <w:proofErr w:type="spellStart"/>
      <w:r w:rsidRPr="00922E0C">
        <w:rPr>
          <w:rFonts w:ascii="Calibri" w:hAnsi="Calibri"/>
          <w:color w:val="000000"/>
        </w:rPr>
        <w:t>Shiels</w:t>
      </w:r>
      <w:proofErr w:type="spellEnd"/>
      <w:r w:rsidRPr="00922E0C">
        <w:rPr>
          <w:rFonts w:ascii="Calibri" w:hAnsi="Calibri"/>
          <w:color w:val="000000"/>
        </w:rPr>
        <w:t xml:space="preserve"> K, et al. Results at 1 year of outpatient multidisciplinary pulmonary rehabilitation: a randomised controlled trial. </w:t>
      </w:r>
      <w:proofErr w:type="gramStart"/>
      <w:r w:rsidRPr="00F906F7">
        <w:rPr>
          <w:rFonts w:ascii="Calibri" w:hAnsi="Calibri"/>
          <w:i/>
          <w:color w:val="000000"/>
        </w:rPr>
        <w:t>The Lancet.</w:t>
      </w:r>
      <w:proofErr w:type="gramEnd"/>
      <w:r w:rsidRPr="00922E0C">
        <w:rPr>
          <w:rFonts w:ascii="Calibri" w:hAnsi="Calibri"/>
          <w:color w:val="000000"/>
        </w:rPr>
        <w:t xml:space="preserve"> </w:t>
      </w:r>
      <w:r>
        <w:rPr>
          <w:rFonts w:ascii="Calibri" w:hAnsi="Calibri"/>
          <w:color w:val="000000"/>
        </w:rPr>
        <w:t>2000;355(9201):362-8</w:t>
      </w:r>
    </w:p>
    <w:p w14:paraId="7145058E" w14:textId="77777777" w:rsidR="001D6AC2" w:rsidRDefault="001D6AC2" w:rsidP="001D6AC2">
      <w:pPr>
        <w:pStyle w:val="FootnoteText"/>
      </w:pPr>
    </w:p>
  </w:footnote>
  <w:footnote w:id="2">
    <w:p w14:paraId="7FF3023B" w14:textId="77777777" w:rsidR="001D6AC2" w:rsidRDefault="001D6AC2" w:rsidP="001D6AC2">
      <w:pPr>
        <w:pStyle w:val="FootnoteText"/>
        <w:rPr>
          <w:rFonts w:ascii="Calibri" w:hAnsi="Calibri"/>
          <w:color w:val="000000"/>
        </w:rPr>
      </w:pPr>
      <w:r w:rsidRPr="00636704">
        <w:rPr>
          <w:rFonts w:ascii="Calibri" w:hAnsi="Calibri"/>
          <w:color w:val="000000"/>
        </w:rPr>
        <w:footnoteRef/>
      </w:r>
      <w:r w:rsidRPr="00636704">
        <w:rPr>
          <w:rFonts w:ascii="Calibri" w:hAnsi="Calibri"/>
          <w:color w:val="000000"/>
        </w:rPr>
        <w:t xml:space="preserve"> </w:t>
      </w:r>
      <w:proofErr w:type="spellStart"/>
      <w:r w:rsidRPr="00636704">
        <w:rPr>
          <w:rFonts w:ascii="Calibri" w:hAnsi="Calibri"/>
          <w:color w:val="000000"/>
        </w:rPr>
        <w:t>Puhan</w:t>
      </w:r>
      <w:proofErr w:type="spellEnd"/>
      <w:r w:rsidRPr="00636704">
        <w:rPr>
          <w:rFonts w:ascii="Calibri" w:hAnsi="Calibri"/>
          <w:color w:val="000000"/>
        </w:rPr>
        <w:t xml:space="preserve"> MA, </w:t>
      </w:r>
      <w:proofErr w:type="spellStart"/>
      <w:r w:rsidRPr="00636704">
        <w:rPr>
          <w:rFonts w:ascii="Calibri" w:hAnsi="Calibri"/>
          <w:color w:val="000000"/>
        </w:rPr>
        <w:t>Spaar</w:t>
      </w:r>
      <w:proofErr w:type="spellEnd"/>
      <w:r w:rsidRPr="00636704">
        <w:rPr>
          <w:rFonts w:ascii="Calibri" w:hAnsi="Calibri"/>
          <w:color w:val="000000"/>
        </w:rPr>
        <w:t xml:space="preserve"> A, Frey M et al. Early versus late pulmonary rehabilitation in chronic obstructive disease patients with acute exacerbations: </w:t>
      </w:r>
      <w:r>
        <w:rPr>
          <w:rFonts w:ascii="Calibri" w:hAnsi="Calibri"/>
          <w:color w:val="000000"/>
        </w:rPr>
        <w:t xml:space="preserve">a randomised trial. </w:t>
      </w:r>
      <w:proofErr w:type="gramStart"/>
      <w:r w:rsidRPr="00F906F7">
        <w:rPr>
          <w:rFonts w:ascii="Calibri" w:hAnsi="Calibri"/>
          <w:i/>
          <w:color w:val="000000"/>
        </w:rPr>
        <w:t>Respiration</w:t>
      </w:r>
      <w:r w:rsidRPr="00F906F7">
        <w:rPr>
          <w:rFonts w:ascii="Calibri" w:hAnsi="Calibri"/>
          <w:color w:val="000000"/>
        </w:rPr>
        <w:t>.</w:t>
      </w:r>
      <w:proofErr w:type="gramEnd"/>
      <w:r>
        <w:rPr>
          <w:rFonts w:ascii="Calibri" w:hAnsi="Calibri"/>
          <w:color w:val="000000"/>
        </w:rPr>
        <w:t xml:space="preserve"> 2012;83:499–506</w:t>
      </w:r>
    </w:p>
    <w:p w14:paraId="28A995FC" w14:textId="77777777" w:rsidR="001D6AC2" w:rsidRPr="00636704" w:rsidRDefault="001D6AC2" w:rsidP="001D6AC2">
      <w:pPr>
        <w:pStyle w:val="FootnoteText"/>
        <w:rPr>
          <w:rFonts w:ascii="Calibri" w:hAnsi="Calibri"/>
          <w:color w:val="000000"/>
        </w:rPr>
      </w:pPr>
    </w:p>
  </w:footnote>
  <w:footnote w:id="3">
    <w:p w14:paraId="0CEBA477" w14:textId="77777777" w:rsidR="001D6AC2" w:rsidRDefault="001D6AC2" w:rsidP="001D6AC2">
      <w:pPr>
        <w:pStyle w:val="FootnoteText"/>
        <w:rPr>
          <w:rFonts w:ascii="Calibri" w:hAnsi="Calibri"/>
          <w:color w:val="000000"/>
        </w:rPr>
      </w:pPr>
      <w:r w:rsidRPr="00F906F7">
        <w:rPr>
          <w:rFonts w:ascii="Calibri" w:hAnsi="Calibri"/>
          <w:color w:val="000000"/>
        </w:rPr>
        <w:footnoteRef/>
      </w:r>
      <w:r w:rsidRPr="00F906F7">
        <w:rPr>
          <w:rFonts w:ascii="Calibri" w:hAnsi="Calibri"/>
          <w:color w:val="000000"/>
        </w:rPr>
        <w:t xml:space="preserve"> </w:t>
      </w:r>
      <w:proofErr w:type="spellStart"/>
      <w:r w:rsidRPr="00F906F7">
        <w:rPr>
          <w:rFonts w:ascii="Calibri" w:hAnsi="Calibri"/>
          <w:color w:val="000000"/>
        </w:rPr>
        <w:t>Puhan</w:t>
      </w:r>
      <w:proofErr w:type="spellEnd"/>
      <w:r w:rsidRPr="00F906F7">
        <w:rPr>
          <w:rFonts w:ascii="Calibri" w:hAnsi="Calibri"/>
          <w:color w:val="000000"/>
        </w:rPr>
        <w:t xml:space="preserve"> MA, </w:t>
      </w:r>
      <w:proofErr w:type="spellStart"/>
      <w:r w:rsidRPr="00F906F7">
        <w:rPr>
          <w:rFonts w:ascii="Calibri" w:hAnsi="Calibri"/>
          <w:color w:val="000000"/>
        </w:rPr>
        <w:t>Gimeno</w:t>
      </w:r>
      <w:proofErr w:type="spellEnd"/>
      <w:r w:rsidRPr="00F906F7">
        <w:rPr>
          <w:rFonts w:ascii="Calibri" w:hAnsi="Calibri"/>
          <w:color w:val="000000"/>
        </w:rPr>
        <w:t xml:space="preserve">-Santos E, Cates CJ, </w:t>
      </w:r>
      <w:proofErr w:type="spellStart"/>
      <w:r w:rsidRPr="00F906F7">
        <w:rPr>
          <w:rFonts w:ascii="Calibri" w:hAnsi="Calibri"/>
          <w:color w:val="000000"/>
        </w:rPr>
        <w:t>Troosters</w:t>
      </w:r>
      <w:proofErr w:type="spellEnd"/>
      <w:r w:rsidRPr="00F906F7">
        <w:rPr>
          <w:rFonts w:ascii="Calibri" w:hAnsi="Calibri"/>
          <w:color w:val="000000"/>
        </w:rPr>
        <w:t xml:space="preserve"> T. Pulmonary rehabilitation following exacerbations of chronic obstructive pulmonary disease. </w:t>
      </w:r>
      <w:proofErr w:type="gramStart"/>
      <w:r w:rsidRPr="00F906F7">
        <w:rPr>
          <w:rFonts w:ascii="Calibri" w:hAnsi="Calibri"/>
          <w:i/>
          <w:color w:val="000000"/>
        </w:rPr>
        <w:t>Cochrane</w:t>
      </w:r>
      <w:r>
        <w:rPr>
          <w:rFonts w:ascii="Calibri" w:hAnsi="Calibri"/>
          <w:i/>
          <w:color w:val="000000"/>
        </w:rPr>
        <w:t xml:space="preserve"> Database of Systematic </w:t>
      </w:r>
      <w:r w:rsidRPr="00F906F7">
        <w:rPr>
          <w:rFonts w:ascii="Calibri" w:hAnsi="Calibri"/>
          <w:i/>
          <w:color w:val="000000"/>
        </w:rPr>
        <w:t>Reviews.</w:t>
      </w:r>
      <w:proofErr w:type="gramEnd"/>
      <w:r w:rsidRPr="00F906F7">
        <w:rPr>
          <w:rFonts w:ascii="Calibri" w:hAnsi="Calibri"/>
          <w:color w:val="000000"/>
        </w:rPr>
        <w:t xml:space="preserve"> </w:t>
      </w:r>
      <w:r>
        <w:rPr>
          <w:rFonts w:ascii="Calibri" w:hAnsi="Calibri"/>
          <w:color w:val="000000"/>
        </w:rPr>
        <w:t>2016</w:t>
      </w:r>
      <w:proofErr w:type="gramStart"/>
      <w:r>
        <w:rPr>
          <w:rFonts w:ascii="Calibri" w:hAnsi="Calibri"/>
          <w:color w:val="000000"/>
        </w:rPr>
        <w:t>;</w:t>
      </w:r>
      <w:r w:rsidRPr="00F906F7">
        <w:rPr>
          <w:rFonts w:ascii="Calibri" w:hAnsi="Calibri"/>
          <w:color w:val="000000"/>
        </w:rPr>
        <w:t>12</w:t>
      </w:r>
      <w:proofErr w:type="gramEnd"/>
      <w:r>
        <w:rPr>
          <w:rFonts w:ascii="Calibri" w:hAnsi="Calibri"/>
          <w:color w:val="000000"/>
        </w:rPr>
        <w:t xml:space="preserve">: CD005305. </w:t>
      </w:r>
      <w:proofErr w:type="spellStart"/>
      <w:r>
        <w:rPr>
          <w:rFonts w:ascii="Calibri" w:hAnsi="Calibri"/>
          <w:color w:val="000000"/>
        </w:rPr>
        <w:t>doi</w:t>
      </w:r>
      <w:proofErr w:type="spellEnd"/>
      <w:r w:rsidRPr="00F906F7">
        <w:rPr>
          <w:rFonts w:ascii="Calibri" w:hAnsi="Calibri"/>
          <w:color w:val="000000"/>
        </w:rPr>
        <w:t>: 10.1002/14651858.CD005305.pub4</w:t>
      </w:r>
    </w:p>
    <w:p w14:paraId="47111A62" w14:textId="77777777" w:rsidR="001D6AC2" w:rsidRPr="00F906F7" w:rsidRDefault="001D6AC2" w:rsidP="001D6AC2">
      <w:pPr>
        <w:pStyle w:val="FootnoteText"/>
        <w:rPr>
          <w:rFonts w:ascii="Calibri" w:hAnsi="Calibri"/>
          <w:color w:val="000000"/>
        </w:rPr>
      </w:pPr>
    </w:p>
  </w:footnote>
  <w:footnote w:id="4">
    <w:p w14:paraId="762E016F" w14:textId="77777777" w:rsidR="001D6AC2" w:rsidRDefault="001D6AC2" w:rsidP="001D6AC2">
      <w:pPr>
        <w:pStyle w:val="FootnoteText"/>
        <w:rPr>
          <w:rFonts w:ascii="Calibri" w:hAnsi="Calibri"/>
          <w:color w:val="000000"/>
        </w:rPr>
      </w:pPr>
      <w:r w:rsidRPr="00F906F7">
        <w:rPr>
          <w:rFonts w:ascii="Calibri" w:hAnsi="Calibri"/>
          <w:color w:val="000000"/>
        </w:rPr>
        <w:footnoteRef/>
      </w:r>
      <w:r w:rsidRPr="00F906F7">
        <w:rPr>
          <w:rFonts w:ascii="Calibri" w:hAnsi="Calibri"/>
          <w:color w:val="000000"/>
        </w:rPr>
        <w:t xml:space="preserve"> </w:t>
      </w:r>
      <w:proofErr w:type="spellStart"/>
      <w:r w:rsidRPr="00F906F7">
        <w:rPr>
          <w:rFonts w:ascii="Calibri" w:hAnsi="Calibri"/>
          <w:color w:val="000000"/>
        </w:rPr>
        <w:t>Revitt</w:t>
      </w:r>
      <w:proofErr w:type="spellEnd"/>
      <w:r w:rsidRPr="00F906F7">
        <w:rPr>
          <w:rFonts w:ascii="Calibri" w:hAnsi="Calibri"/>
          <w:color w:val="000000"/>
        </w:rPr>
        <w:t xml:space="preserve"> O, Sewell L, Morgan MDL et al. Short outpatient pulmonary rehabilitation programme reduces readmission following a hospitalization for an exacerbation of chronic obstructive pulmonary disease. </w:t>
      </w:r>
      <w:proofErr w:type="spellStart"/>
      <w:proofErr w:type="gramStart"/>
      <w:r w:rsidRPr="00F906F7">
        <w:rPr>
          <w:rFonts w:ascii="Calibri" w:hAnsi="Calibri"/>
          <w:i/>
          <w:color w:val="000000"/>
        </w:rPr>
        <w:t>Respirology</w:t>
      </w:r>
      <w:proofErr w:type="spellEnd"/>
      <w:r w:rsidRPr="00F906F7">
        <w:rPr>
          <w:rFonts w:ascii="Calibri" w:hAnsi="Calibri"/>
          <w:i/>
          <w:color w:val="000000"/>
        </w:rPr>
        <w:t>.</w:t>
      </w:r>
      <w:proofErr w:type="gramEnd"/>
      <w:r>
        <w:rPr>
          <w:rFonts w:ascii="Calibri" w:hAnsi="Calibri"/>
          <w:color w:val="000000"/>
        </w:rPr>
        <w:t xml:space="preserve"> </w:t>
      </w:r>
      <w:proofErr w:type="gramStart"/>
      <w:r w:rsidRPr="00F906F7">
        <w:rPr>
          <w:rFonts w:ascii="Calibri" w:hAnsi="Calibri"/>
          <w:color w:val="000000"/>
        </w:rPr>
        <w:t>2013</w:t>
      </w:r>
      <w:r>
        <w:rPr>
          <w:rFonts w:ascii="Calibri" w:hAnsi="Calibri"/>
          <w:color w:val="000000"/>
        </w:rPr>
        <w:t>; 18.7.</w:t>
      </w:r>
      <w:proofErr w:type="gramEnd"/>
      <w:r>
        <w:rPr>
          <w:rFonts w:ascii="Calibri" w:hAnsi="Calibri"/>
          <w:color w:val="000000"/>
        </w:rPr>
        <w:t xml:space="preserve"> </w:t>
      </w:r>
      <w:proofErr w:type="spellStart"/>
      <w:r>
        <w:rPr>
          <w:rFonts w:ascii="Calibri" w:hAnsi="Calibri"/>
          <w:color w:val="000000"/>
        </w:rPr>
        <w:t>doi</w:t>
      </w:r>
      <w:proofErr w:type="spellEnd"/>
      <w:r>
        <w:rPr>
          <w:rFonts w:ascii="Calibri" w:hAnsi="Calibri"/>
          <w:color w:val="000000"/>
        </w:rPr>
        <w:t>: 10.1111/resp.12141</w:t>
      </w:r>
    </w:p>
    <w:p w14:paraId="5DF9E560" w14:textId="77777777" w:rsidR="001D6AC2" w:rsidRPr="00F906F7" w:rsidRDefault="001D6AC2" w:rsidP="001D6AC2">
      <w:pPr>
        <w:pStyle w:val="FootnoteText"/>
        <w:rPr>
          <w:rFonts w:ascii="Calibri" w:hAnsi="Calibri"/>
          <w:color w:val="000000"/>
        </w:rPr>
      </w:pPr>
    </w:p>
  </w:footnote>
  <w:footnote w:id="5">
    <w:p w14:paraId="56E17CD9" w14:textId="77777777" w:rsidR="001D6AC2" w:rsidRDefault="001D6AC2" w:rsidP="001D6AC2">
      <w:pPr>
        <w:pStyle w:val="FootnoteText"/>
        <w:rPr>
          <w:rFonts w:ascii="Calibri" w:hAnsi="Calibri"/>
          <w:color w:val="000000"/>
        </w:rPr>
      </w:pPr>
      <w:r w:rsidRPr="00F906F7">
        <w:rPr>
          <w:rFonts w:ascii="Calibri" w:hAnsi="Calibri"/>
          <w:color w:val="000000"/>
        </w:rPr>
        <w:footnoteRef/>
      </w:r>
      <w:r w:rsidRPr="00F906F7">
        <w:rPr>
          <w:rFonts w:ascii="Calibri" w:hAnsi="Calibri"/>
          <w:color w:val="000000"/>
        </w:rPr>
        <w:t xml:space="preserve"> McCarthy B, Casey D, </w:t>
      </w:r>
      <w:proofErr w:type="spellStart"/>
      <w:r w:rsidRPr="00F906F7">
        <w:rPr>
          <w:rFonts w:ascii="Calibri" w:hAnsi="Calibri"/>
          <w:color w:val="000000"/>
        </w:rPr>
        <w:t>Devane</w:t>
      </w:r>
      <w:proofErr w:type="spellEnd"/>
      <w:r w:rsidRPr="00F906F7">
        <w:rPr>
          <w:rFonts w:ascii="Calibri" w:hAnsi="Calibri"/>
          <w:color w:val="000000"/>
        </w:rPr>
        <w:t xml:space="preserve"> D, Murphy K, Murphy E, </w:t>
      </w:r>
      <w:proofErr w:type="spellStart"/>
      <w:r w:rsidRPr="00F906F7">
        <w:rPr>
          <w:rFonts w:ascii="Calibri" w:hAnsi="Calibri"/>
          <w:color w:val="000000"/>
        </w:rPr>
        <w:t>Lacasse</w:t>
      </w:r>
      <w:proofErr w:type="spellEnd"/>
      <w:r w:rsidRPr="00F906F7">
        <w:rPr>
          <w:rFonts w:ascii="Calibri" w:hAnsi="Calibri"/>
          <w:color w:val="000000"/>
        </w:rPr>
        <w:t xml:space="preserve"> Y. Pulmonary rehabilitation for chronic obstructive pulmonary disease. </w:t>
      </w:r>
      <w:r w:rsidRPr="00F906F7">
        <w:rPr>
          <w:rFonts w:ascii="Calibri" w:hAnsi="Calibri"/>
          <w:i/>
          <w:color w:val="000000"/>
        </w:rPr>
        <w:t xml:space="preserve">Cochrane Database </w:t>
      </w:r>
      <w:proofErr w:type="spellStart"/>
      <w:r w:rsidRPr="00F906F7">
        <w:rPr>
          <w:rFonts w:ascii="Calibri" w:hAnsi="Calibri"/>
          <w:i/>
          <w:color w:val="000000"/>
        </w:rPr>
        <w:t>Syst</w:t>
      </w:r>
      <w:proofErr w:type="spellEnd"/>
      <w:r w:rsidRPr="00F906F7">
        <w:rPr>
          <w:rFonts w:ascii="Calibri" w:hAnsi="Calibri"/>
          <w:i/>
          <w:color w:val="000000"/>
        </w:rPr>
        <w:t xml:space="preserve"> Rev.</w:t>
      </w:r>
      <w:r>
        <w:rPr>
          <w:rFonts w:ascii="Calibri" w:hAnsi="Calibri"/>
          <w:i/>
          <w:color w:val="000000"/>
        </w:rPr>
        <w:t xml:space="preserve"> </w:t>
      </w:r>
      <w:r>
        <w:rPr>
          <w:rFonts w:ascii="Calibri" w:hAnsi="Calibri"/>
          <w:color w:val="000000"/>
        </w:rPr>
        <w:t>2015:CD003793</w:t>
      </w:r>
    </w:p>
    <w:p w14:paraId="237F7D08" w14:textId="77777777" w:rsidR="001D6AC2" w:rsidRPr="00F906F7" w:rsidRDefault="001D6AC2" w:rsidP="001D6AC2">
      <w:pPr>
        <w:pStyle w:val="FootnoteText"/>
        <w:rPr>
          <w:rFonts w:ascii="Calibri" w:hAnsi="Calibri"/>
          <w:color w:val="000000"/>
        </w:rPr>
      </w:pPr>
    </w:p>
  </w:footnote>
  <w:footnote w:id="6">
    <w:p w14:paraId="6CEC5A78" w14:textId="77777777" w:rsidR="001D6AC2" w:rsidRDefault="001D6AC2" w:rsidP="001D6AC2">
      <w:pPr>
        <w:pStyle w:val="FootnoteText"/>
        <w:rPr>
          <w:rFonts w:ascii="Calibri" w:hAnsi="Calibri"/>
          <w:color w:val="000000"/>
        </w:rPr>
      </w:pPr>
      <w:r w:rsidRPr="00F906F7">
        <w:rPr>
          <w:rFonts w:ascii="Calibri" w:hAnsi="Calibri"/>
          <w:color w:val="000000"/>
        </w:rPr>
        <w:footnoteRef/>
      </w:r>
      <w:r w:rsidRPr="00F906F7">
        <w:rPr>
          <w:rFonts w:ascii="Calibri" w:hAnsi="Calibri"/>
          <w:color w:val="000000"/>
        </w:rPr>
        <w:t xml:space="preserve"> </w:t>
      </w:r>
      <w:r w:rsidRPr="00922E0C">
        <w:rPr>
          <w:rFonts w:ascii="Calibri" w:hAnsi="Calibri"/>
          <w:color w:val="000000"/>
        </w:rPr>
        <w:t xml:space="preserve">Griffiths T, Burr M, Campbell I, Lewis-Jenkins V, Mullins J, </w:t>
      </w:r>
      <w:proofErr w:type="spellStart"/>
      <w:r w:rsidRPr="00922E0C">
        <w:rPr>
          <w:rFonts w:ascii="Calibri" w:hAnsi="Calibri"/>
          <w:color w:val="000000"/>
        </w:rPr>
        <w:t>Shiels</w:t>
      </w:r>
      <w:proofErr w:type="spellEnd"/>
      <w:r w:rsidRPr="00922E0C">
        <w:rPr>
          <w:rFonts w:ascii="Calibri" w:hAnsi="Calibri"/>
          <w:color w:val="000000"/>
        </w:rPr>
        <w:t xml:space="preserve"> K, et al. Results at 1 year of outpatient multidisciplinary pulmonary rehabilitation: a randomised controlled trial. </w:t>
      </w:r>
      <w:proofErr w:type="gramStart"/>
      <w:r w:rsidRPr="00F906F7">
        <w:rPr>
          <w:rFonts w:ascii="Calibri" w:hAnsi="Calibri"/>
          <w:i/>
          <w:color w:val="000000"/>
        </w:rPr>
        <w:t>The Lancet.</w:t>
      </w:r>
      <w:proofErr w:type="gramEnd"/>
      <w:r>
        <w:rPr>
          <w:rFonts w:ascii="Calibri" w:hAnsi="Calibri"/>
          <w:color w:val="000000"/>
        </w:rPr>
        <w:t xml:space="preserve"> 2000;355(9201):362-8</w:t>
      </w:r>
    </w:p>
    <w:p w14:paraId="4257A122" w14:textId="77777777" w:rsidR="001D6AC2" w:rsidRPr="00F906F7" w:rsidRDefault="001D6AC2" w:rsidP="001D6AC2">
      <w:pPr>
        <w:pStyle w:val="FootnoteText"/>
        <w:rPr>
          <w:rFonts w:ascii="Calibri" w:hAnsi="Calibri"/>
          <w:color w:val="000000"/>
        </w:rPr>
      </w:pPr>
    </w:p>
  </w:footnote>
  <w:footnote w:id="7">
    <w:p w14:paraId="36CD72A3" w14:textId="77777777" w:rsidR="001D6AC2" w:rsidRDefault="001D6AC2" w:rsidP="001D6AC2">
      <w:pPr>
        <w:pStyle w:val="FootnoteText"/>
        <w:rPr>
          <w:rFonts w:ascii="Calibri" w:hAnsi="Calibri"/>
          <w:color w:val="000000"/>
        </w:rPr>
      </w:pPr>
      <w:r w:rsidRPr="00F906F7">
        <w:rPr>
          <w:rFonts w:ascii="Calibri" w:hAnsi="Calibri"/>
          <w:color w:val="000000"/>
        </w:rPr>
        <w:footnoteRef/>
      </w:r>
      <w:r w:rsidRPr="00F906F7">
        <w:rPr>
          <w:rFonts w:ascii="Calibri" w:hAnsi="Calibri"/>
          <w:color w:val="000000"/>
        </w:rPr>
        <w:t xml:space="preserve"> </w:t>
      </w:r>
      <w:proofErr w:type="gramStart"/>
      <w:r w:rsidRPr="00922E0C">
        <w:rPr>
          <w:rFonts w:ascii="Calibri" w:hAnsi="Calibri"/>
          <w:color w:val="000000"/>
        </w:rPr>
        <w:t>Griffiths T, Phillips C, Davies S, Burr M, Campbell I. Cost effectiveness of an outpatient multidisciplinary pulmonary rehabilitation programme.</w:t>
      </w:r>
      <w:proofErr w:type="gramEnd"/>
      <w:r w:rsidRPr="00922E0C">
        <w:rPr>
          <w:rFonts w:ascii="Calibri" w:hAnsi="Calibri"/>
          <w:color w:val="000000"/>
        </w:rPr>
        <w:t xml:space="preserve"> </w:t>
      </w:r>
      <w:proofErr w:type="gramStart"/>
      <w:r w:rsidRPr="00F906F7">
        <w:rPr>
          <w:rFonts w:ascii="Calibri" w:hAnsi="Calibri"/>
          <w:i/>
          <w:color w:val="000000"/>
        </w:rPr>
        <w:t>Thorax.</w:t>
      </w:r>
      <w:proofErr w:type="gramEnd"/>
      <w:r>
        <w:rPr>
          <w:rFonts w:ascii="Calibri" w:hAnsi="Calibri"/>
          <w:color w:val="000000"/>
        </w:rPr>
        <w:t xml:space="preserve"> 2001;56(10):779-84</w:t>
      </w:r>
    </w:p>
    <w:p w14:paraId="02B3B687" w14:textId="77777777" w:rsidR="001D6AC2" w:rsidRPr="00F906F7" w:rsidRDefault="001D6AC2" w:rsidP="001D6AC2">
      <w:pPr>
        <w:pStyle w:val="FootnoteText"/>
        <w:rPr>
          <w:rFonts w:ascii="Calibri" w:hAnsi="Calibri"/>
          <w:color w:val="000000"/>
        </w:rPr>
      </w:pPr>
    </w:p>
  </w:footnote>
  <w:footnote w:id="8">
    <w:p w14:paraId="436E0E51" w14:textId="77777777" w:rsidR="001D6AC2" w:rsidRDefault="001D6AC2" w:rsidP="001D6AC2">
      <w:pPr>
        <w:pStyle w:val="FootnoteText"/>
        <w:rPr>
          <w:rFonts w:ascii="Calibri" w:hAnsi="Calibri"/>
          <w:color w:val="000000"/>
        </w:rPr>
      </w:pPr>
      <w:r w:rsidRPr="00F906F7">
        <w:rPr>
          <w:rFonts w:ascii="Calibri" w:hAnsi="Calibri"/>
          <w:color w:val="000000"/>
        </w:rPr>
        <w:footnoteRef/>
      </w:r>
      <w:r w:rsidRPr="00F906F7">
        <w:rPr>
          <w:rFonts w:ascii="Calibri" w:hAnsi="Calibri"/>
          <w:color w:val="000000"/>
        </w:rPr>
        <w:t xml:space="preserve"> Page A, Ambrose S, Glover J et al. Atlas of Avoidable Hospitalisations in Australia: ambulatory care-sensitive conditions. </w:t>
      </w:r>
      <w:r w:rsidRPr="000469D1">
        <w:rPr>
          <w:rFonts w:ascii="Calibri" w:hAnsi="Calibri"/>
          <w:color w:val="000000"/>
        </w:rPr>
        <w:t>Adelaide</w:t>
      </w:r>
      <w:r>
        <w:rPr>
          <w:rFonts w:ascii="Calibri" w:hAnsi="Calibri"/>
          <w:color w:val="000000"/>
        </w:rPr>
        <w:t xml:space="preserve">: PHIDU, </w:t>
      </w:r>
      <w:r w:rsidRPr="000469D1">
        <w:rPr>
          <w:rFonts w:ascii="Calibri" w:hAnsi="Calibri"/>
          <w:color w:val="000000"/>
        </w:rPr>
        <w:t>University of Adelaide;</w:t>
      </w:r>
      <w:r>
        <w:rPr>
          <w:rFonts w:ascii="Calibri" w:hAnsi="Calibri"/>
          <w:color w:val="000000"/>
        </w:rPr>
        <w:t xml:space="preserve"> 2007</w:t>
      </w:r>
    </w:p>
    <w:p w14:paraId="702818E2" w14:textId="77777777" w:rsidR="001D6AC2" w:rsidRPr="00F906F7" w:rsidRDefault="001D6AC2" w:rsidP="001D6AC2">
      <w:pPr>
        <w:pStyle w:val="FootnoteText"/>
        <w:rPr>
          <w:rFonts w:ascii="Calibri" w:hAnsi="Calibri"/>
          <w:color w:val="000000"/>
        </w:rPr>
      </w:pPr>
    </w:p>
  </w:footnote>
  <w:footnote w:id="9">
    <w:p w14:paraId="4D4F96AE" w14:textId="77777777" w:rsidR="001D6AC2" w:rsidRPr="003A3C39" w:rsidRDefault="001D6AC2" w:rsidP="001D6AC2">
      <w:pPr>
        <w:pStyle w:val="FootnoteText"/>
        <w:rPr>
          <w:rFonts w:ascii="Calibri" w:hAnsi="Calibri"/>
          <w:color w:val="000000"/>
        </w:rPr>
      </w:pPr>
      <w:r w:rsidRPr="00F906F7">
        <w:rPr>
          <w:rFonts w:ascii="Calibri" w:hAnsi="Calibri"/>
          <w:color w:val="000000"/>
        </w:rPr>
        <w:footnoteRef/>
      </w:r>
      <w:r w:rsidRPr="00F906F7">
        <w:rPr>
          <w:rFonts w:ascii="Calibri" w:hAnsi="Calibri"/>
          <w:color w:val="000000"/>
        </w:rPr>
        <w:t xml:space="preserve"> </w:t>
      </w:r>
      <w:r w:rsidRPr="003A3C39">
        <w:rPr>
          <w:rFonts w:ascii="Calibri" w:hAnsi="Calibri"/>
          <w:color w:val="000000"/>
        </w:rPr>
        <w:t xml:space="preserve">Yang IA, </w:t>
      </w:r>
      <w:proofErr w:type="spellStart"/>
      <w:r w:rsidRPr="003A3C39">
        <w:rPr>
          <w:rFonts w:ascii="Calibri" w:hAnsi="Calibri"/>
          <w:color w:val="000000"/>
        </w:rPr>
        <w:t>Dabscheck</w:t>
      </w:r>
      <w:proofErr w:type="spellEnd"/>
      <w:r w:rsidRPr="003A3C39">
        <w:rPr>
          <w:rFonts w:ascii="Calibri" w:hAnsi="Calibri"/>
          <w:color w:val="000000"/>
        </w:rPr>
        <w:t xml:space="preserve"> EJ, George J, Jenkins S, McDon</w:t>
      </w:r>
      <w:r>
        <w:rPr>
          <w:rFonts w:ascii="Calibri" w:hAnsi="Calibri"/>
          <w:color w:val="000000"/>
        </w:rPr>
        <w:t xml:space="preserve">ald CF, McDonald VM, et al. The </w:t>
      </w:r>
      <w:r w:rsidRPr="003A3C39">
        <w:rPr>
          <w:rFonts w:ascii="Calibri" w:hAnsi="Calibri"/>
          <w:color w:val="000000"/>
        </w:rPr>
        <w:t>COPD-X Plan: Australian and New Zealand Guideline</w:t>
      </w:r>
      <w:r>
        <w:rPr>
          <w:rFonts w:ascii="Calibri" w:hAnsi="Calibri"/>
          <w:color w:val="000000"/>
        </w:rPr>
        <w:t xml:space="preserve">s for the Management of Chronic </w:t>
      </w:r>
      <w:r w:rsidRPr="003A3C39">
        <w:rPr>
          <w:rFonts w:ascii="Calibri" w:hAnsi="Calibri"/>
          <w:color w:val="000000"/>
        </w:rPr>
        <w:t xml:space="preserve">Obstructive Pulmonary Disease. </w:t>
      </w:r>
      <w:r>
        <w:rPr>
          <w:rFonts w:ascii="Calibri" w:hAnsi="Calibri"/>
          <w:color w:val="000000"/>
        </w:rPr>
        <w:t>Lung Foundation Australia;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44C"/>
    <w:multiLevelType w:val="hybridMultilevel"/>
    <w:tmpl w:val="79F67894"/>
    <w:lvl w:ilvl="0" w:tplc="B6848D6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981AE5"/>
    <w:multiLevelType w:val="hybridMultilevel"/>
    <w:tmpl w:val="003A0E0A"/>
    <w:lvl w:ilvl="0" w:tplc="D1A403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C65D09"/>
    <w:multiLevelType w:val="hybridMultilevel"/>
    <w:tmpl w:val="A3C0ADF6"/>
    <w:lvl w:ilvl="0" w:tplc="23EC5E7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0CA591C"/>
    <w:multiLevelType w:val="hybridMultilevel"/>
    <w:tmpl w:val="5840E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9059D2"/>
    <w:multiLevelType w:val="hybridMultilevel"/>
    <w:tmpl w:val="7CB6BD04"/>
    <w:lvl w:ilvl="0" w:tplc="739C92D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AB20FE"/>
    <w:multiLevelType w:val="hybridMultilevel"/>
    <w:tmpl w:val="B8DEC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940AA4"/>
    <w:multiLevelType w:val="hybridMultilevel"/>
    <w:tmpl w:val="AA760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6217DA"/>
    <w:multiLevelType w:val="hybridMultilevel"/>
    <w:tmpl w:val="5CEC3FAC"/>
    <w:lvl w:ilvl="0" w:tplc="D1A403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EA3061"/>
    <w:multiLevelType w:val="hybridMultilevel"/>
    <w:tmpl w:val="45E6F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7F6467"/>
    <w:multiLevelType w:val="hybridMultilevel"/>
    <w:tmpl w:val="28D266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251611"/>
    <w:multiLevelType w:val="hybridMultilevel"/>
    <w:tmpl w:val="5CE2DB66"/>
    <w:lvl w:ilvl="0" w:tplc="D1A403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3B6D99"/>
    <w:multiLevelType w:val="hybridMultilevel"/>
    <w:tmpl w:val="9E465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3292996"/>
    <w:multiLevelType w:val="hybridMultilevel"/>
    <w:tmpl w:val="2AD6CF0E"/>
    <w:lvl w:ilvl="0" w:tplc="D1A403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C8708CA"/>
    <w:multiLevelType w:val="hybridMultilevel"/>
    <w:tmpl w:val="BBE60070"/>
    <w:lvl w:ilvl="0" w:tplc="6EE4C3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3"/>
  </w:num>
  <w:num w:numId="4">
    <w:abstractNumId w:val="25"/>
  </w:num>
  <w:num w:numId="5">
    <w:abstractNumId w:val="16"/>
  </w:num>
  <w:num w:numId="6">
    <w:abstractNumId w:val="24"/>
  </w:num>
  <w:num w:numId="7">
    <w:abstractNumId w:val="28"/>
  </w:num>
  <w:num w:numId="8">
    <w:abstractNumId w:val="18"/>
  </w:num>
  <w:num w:numId="9">
    <w:abstractNumId w:val="37"/>
  </w:num>
  <w:num w:numId="10">
    <w:abstractNumId w:val="2"/>
  </w:num>
  <w:num w:numId="11">
    <w:abstractNumId w:val="27"/>
  </w:num>
  <w:num w:numId="12">
    <w:abstractNumId w:val="29"/>
  </w:num>
  <w:num w:numId="13">
    <w:abstractNumId w:val="8"/>
  </w:num>
  <w:num w:numId="14">
    <w:abstractNumId w:val="34"/>
  </w:num>
  <w:num w:numId="15">
    <w:abstractNumId w:val="26"/>
  </w:num>
  <w:num w:numId="16">
    <w:abstractNumId w:val="30"/>
  </w:num>
  <w:num w:numId="17">
    <w:abstractNumId w:val="19"/>
  </w:num>
  <w:num w:numId="18">
    <w:abstractNumId w:val="22"/>
  </w:num>
  <w:num w:numId="19">
    <w:abstractNumId w:val="32"/>
  </w:num>
  <w:num w:numId="20">
    <w:abstractNumId w:val="31"/>
  </w:num>
  <w:num w:numId="21">
    <w:abstractNumId w:val="5"/>
  </w:num>
  <w:num w:numId="22">
    <w:abstractNumId w:val="15"/>
  </w:num>
  <w:num w:numId="23">
    <w:abstractNumId w:val="4"/>
  </w:num>
  <w:num w:numId="24">
    <w:abstractNumId w:val="14"/>
  </w:num>
  <w:num w:numId="25">
    <w:abstractNumId w:val="9"/>
  </w:num>
  <w:num w:numId="26">
    <w:abstractNumId w:val="35"/>
  </w:num>
  <w:num w:numId="27">
    <w:abstractNumId w:val="21"/>
  </w:num>
  <w:num w:numId="28">
    <w:abstractNumId w:val="13"/>
  </w:num>
  <w:num w:numId="29">
    <w:abstractNumId w:val="1"/>
  </w:num>
  <w:num w:numId="30">
    <w:abstractNumId w:val="10"/>
  </w:num>
  <w:num w:numId="31">
    <w:abstractNumId w:val="20"/>
  </w:num>
  <w:num w:numId="32">
    <w:abstractNumId w:val="6"/>
  </w:num>
  <w:num w:numId="33">
    <w:abstractNumId w:val="11"/>
  </w:num>
  <w:num w:numId="34">
    <w:abstractNumId w:val="7"/>
  </w:num>
  <w:num w:numId="35">
    <w:abstractNumId w:val="0"/>
  </w:num>
  <w:num w:numId="36">
    <w:abstractNumId w:val="36"/>
  </w:num>
  <w:num w:numId="37">
    <w:abstractNumId w:val="1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1A9D"/>
    <w:rsid w:val="00011A36"/>
    <w:rsid w:val="00015053"/>
    <w:rsid w:val="00037EFD"/>
    <w:rsid w:val="00047606"/>
    <w:rsid w:val="000500AF"/>
    <w:rsid w:val="00065623"/>
    <w:rsid w:val="000756B9"/>
    <w:rsid w:val="00096B67"/>
    <w:rsid w:val="00096DAF"/>
    <w:rsid w:val="000C2F47"/>
    <w:rsid w:val="000C61DC"/>
    <w:rsid w:val="000D6C00"/>
    <w:rsid w:val="000E4E04"/>
    <w:rsid w:val="000F14B4"/>
    <w:rsid w:val="000F75DF"/>
    <w:rsid w:val="001119D8"/>
    <w:rsid w:val="001328FA"/>
    <w:rsid w:val="00141812"/>
    <w:rsid w:val="00147AAF"/>
    <w:rsid w:val="001552C0"/>
    <w:rsid w:val="001640B1"/>
    <w:rsid w:val="0018435E"/>
    <w:rsid w:val="001A0D7D"/>
    <w:rsid w:val="001B76E8"/>
    <w:rsid w:val="001C19A2"/>
    <w:rsid w:val="001D6AC2"/>
    <w:rsid w:val="002041A1"/>
    <w:rsid w:val="002054F0"/>
    <w:rsid w:val="00210638"/>
    <w:rsid w:val="00230D6B"/>
    <w:rsid w:val="00232068"/>
    <w:rsid w:val="002330F2"/>
    <w:rsid w:val="00243D9E"/>
    <w:rsid w:val="00253B66"/>
    <w:rsid w:val="00261DF1"/>
    <w:rsid w:val="00271F18"/>
    <w:rsid w:val="00282779"/>
    <w:rsid w:val="0028334D"/>
    <w:rsid w:val="002901EE"/>
    <w:rsid w:val="002A1861"/>
    <w:rsid w:val="002B7FFA"/>
    <w:rsid w:val="002C2BCF"/>
    <w:rsid w:val="002C464B"/>
    <w:rsid w:val="002D71F3"/>
    <w:rsid w:val="002E7D31"/>
    <w:rsid w:val="002F279D"/>
    <w:rsid w:val="002F43B8"/>
    <w:rsid w:val="002F694E"/>
    <w:rsid w:val="00336856"/>
    <w:rsid w:val="0034554D"/>
    <w:rsid w:val="00352224"/>
    <w:rsid w:val="003671E6"/>
    <w:rsid w:val="00384272"/>
    <w:rsid w:val="00386D67"/>
    <w:rsid w:val="003945B8"/>
    <w:rsid w:val="003C3C64"/>
    <w:rsid w:val="003D7F29"/>
    <w:rsid w:val="00405A6B"/>
    <w:rsid w:val="00407B1F"/>
    <w:rsid w:val="00414C57"/>
    <w:rsid w:val="0041758C"/>
    <w:rsid w:val="004406F9"/>
    <w:rsid w:val="00440FA8"/>
    <w:rsid w:val="004539DE"/>
    <w:rsid w:val="004A2CF1"/>
    <w:rsid w:val="004C3035"/>
    <w:rsid w:val="004C307F"/>
    <w:rsid w:val="004E4BA8"/>
    <w:rsid w:val="004F340F"/>
    <w:rsid w:val="004F7B7C"/>
    <w:rsid w:val="0052243D"/>
    <w:rsid w:val="00532435"/>
    <w:rsid w:val="00536151"/>
    <w:rsid w:val="00546344"/>
    <w:rsid w:val="0054762F"/>
    <w:rsid w:val="00550354"/>
    <w:rsid w:val="00571236"/>
    <w:rsid w:val="005953A1"/>
    <w:rsid w:val="005D0332"/>
    <w:rsid w:val="005D0D8C"/>
    <w:rsid w:val="0061321A"/>
    <w:rsid w:val="006134F5"/>
    <w:rsid w:val="00676793"/>
    <w:rsid w:val="006776AE"/>
    <w:rsid w:val="006A0D97"/>
    <w:rsid w:val="006A62F6"/>
    <w:rsid w:val="006B1F86"/>
    <w:rsid w:val="006B3F11"/>
    <w:rsid w:val="006C0A91"/>
    <w:rsid w:val="007054BB"/>
    <w:rsid w:val="00707064"/>
    <w:rsid w:val="00730683"/>
    <w:rsid w:val="00745BB0"/>
    <w:rsid w:val="0075261F"/>
    <w:rsid w:val="0075468E"/>
    <w:rsid w:val="007665D8"/>
    <w:rsid w:val="00766E36"/>
    <w:rsid w:val="00770E40"/>
    <w:rsid w:val="007765F4"/>
    <w:rsid w:val="00776633"/>
    <w:rsid w:val="00784D53"/>
    <w:rsid w:val="00797797"/>
    <w:rsid w:val="007A63C9"/>
    <w:rsid w:val="007B32D1"/>
    <w:rsid w:val="007B7095"/>
    <w:rsid w:val="007D24E1"/>
    <w:rsid w:val="007D6288"/>
    <w:rsid w:val="007F4CE9"/>
    <w:rsid w:val="007F4E20"/>
    <w:rsid w:val="00822C7E"/>
    <w:rsid w:val="008368F4"/>
    <w:rsid w:val="00847060"/>
    <w:rsid w:val="00855E3F"/>
    <w:rsid w:val="00856A33"/>
    <w:rsid w:val="00892620"/>
    <w:rsid w:val="008C4660"/>
    <w:rsid w:val="008C7D37"/>
    <w:rsid w:val="008D5885"/>
    <w:rsid w:val="008F13F6"/>
    <w:rsid w:val="00916590"/>
    <w:rsid w:val="00923FA2"/>
    <w:rsid w:val="0094012A"/>
    <w:rsid w:val="00951310"/>
    <w:rsid w:val="0096060D"/>
    <w:rsid w:val="009612AB"/>
    <w:rsid w:val="00974A50"/>
    <w:rsid w:val="0097585A"/>
    <w:rsid w:val="009921AA"/>
    <w:rsid w:val="009924B0"/>
    <w:rsid w:val="009942C9"/>
    <w:rsid w:val="00996089"/>
    <w:rsid w:val="009B35C4"/>
    <w:rsid w:val="009C0E28"/>
    <w:rsid w:val="009C630A"/>
    <w:rsid w:val="009E0D98"/>
    <w:rsid w:val="00A068A1"/>
    <w:rsid w:val="00A1207D"/>
    <w:rsid w:val="00A12FD8"/>
    <w:rsid w:val="00A346FC"/>
    <w:rsid w:val="00A52068"/>
    <w:rsid w:val="00A822AF"/>
    <w:rsid w:val="00A84F93"/>
    <w:rsid w:val="00AB1AC5"/>
    <w:rsid w:val="00AB3BFC"/>
    <w:rsid w:val="00AC4F2E"/>
    <w:rsid w:val="00AD0C37"/>
    <w:rsid w:val="00AD385F"/>
    <w:rsid w:val="00AE6E2A"/>
    <w:rsid w:val="00B31E9C"/>
    <w:rsid w:val="00B35595"/>
    <w:rsid w:val="00B42844"/>
    <w:rsid w:val="00B51C6D"/>
    <w:rsid w:val="00B86D64"/>
    <w:rsid w:val="00BA4AC5"/>
    <w:rsid w:val="00BC1364"/>
    <w:rsid w:val="00BC2667"/>
    <w:rsid w:val="00BC7DE9"/>
    <w:rsid w:val="00BF479B"/>
    <w:rsid w:val="00C02577"/>
    <w:rsid w:val="00C204FB"/>
    <w:rsid w:val="00C20BEE"/>
    <w:rsid w:val="00C2158D"/>
    <w:rsid w:val="00C67DD2"/>
    <w:rsid w:val="00C725CB"/>
    <w:rsid w:val="00C76F5C"/>
    <w:rsid w:val="00C82ACE"/>
    <w:rsid w:val="00C867F5"/>
    <w:rsid w:val="00C96BAD"/>
    <w:rsid w:val="00CA6944"/>
    <w:rsid w:val="00CB0F8E"/>
    <w:rsid w:val="00CB7E7D"/>
    <w:rsid w:val="00CC2911"/>
    <w:rsid w:val="00CC6FF9"/>
    <w:rsid w:val="00CD6DBC"/>
    <w:rsid w:val="00CE199E"/>
    <w:rsid w:val="00CE58FD"/>
    <w:rsid w:val="00CF0C6D"/>
    <w:rsid w:val="00CF7307"/>
    <w:rsid w:val="00CF7C68"/>
    <w:rsid w:val="00D02F01"/>
    <w:rsid w:val="00D040AB"/>
    <w:rsid w:val="00D124FA"/>
    <w:rsid w:val="00D340DE"/>
    <w:rsid w:val="00D556D4"/>
    <w:rsid w:val="00D55723"/>
    <w:rsid w:val="00D62FAD"/>
    <w:rsid w:val="00D70450"/>
    <w:rsid w:val="00D71CFE"/>
    <w:rsid w:val="00D83BFD"/>
    <w:rsid w:val="00D90A38"/>
    <w:rsid w:val="00DA0515"/>
    <w:rsid w:val="00DA171E"/>
    <w:rsid w:val="00DA2DF3"/>
    <w:rsid w:val="00DA3918"/>
    <w:rsid w:val="00DA56AA"/>
    <w:rsid w:val="00DB5512"/>
    <w:rsid w:val="00DB5833"/>
    <w:rsid w:val="00DB7B97"/>
    <w:rsid w:val="00DD2858"/>
    <w:rsid w:val="00DE21D0"/>
    <w:rsid w:val="00DE5ADA"/>
    <w:rsid w:val="00DF4E15"/>
    <w:rsid w:val="00E03E33"/>
    <w:rsid w:val="00E059E0"/>
    <w:rsid w:val="00E11371"/>
    <w:rsid w:val="00E12B21"/>
    <w:rsid w:val="00E22ACB"/>
    <w:rsid w:val="00E3642A"/>
    <w:rsid w:val="00E415C4"/>
    <w:rsid w:val="00E46D6D"/>
    <w:rsid w:val="00E50016"/>
    <w:rsid w:val="00E50EAA"/>
    <w:rsid w:val="00E63369"/>
    <w:rsid w:val="00E656D6"/>
    <w:rsid w:val="00E71442"/>
    <w:rsid w:val="00E96D7B"/>
    <w:rsid w:val="00E977EE"/>
    <w:rsid w:val="00EA2F24"/>
    <w:rsid w:val="00EA67A2"/>
    <w:rsid w:val="00EB6B6F"/>
    <w:rsid w:val="00EC4F98"/>
    <w:rsid w:val="00ED32BC"/>
    <w:rsid w:val="00F12F02"/>
    <w:rsid w:val="00F169E1"/>
    <w:rsid w:val="00F26531"/>
    <w:rsid w:val="00F32E0D"/>
    <w:rsid w:val="00F35134"/>
    <w:rsid w:val="00F41812"/>
    <w:rsid w:val="00F4200D"/>
    <w:rsid w:val="00F443A8"/>
    <w:rsid w:val="00F715D1"/>
    <w:rsid w:val="00F73333"/>
    <w:rsid w:val="00F95D8F"/>
    <w:rsid w:val="00FB350A"/>
    <w:rsid w:val="00FB4C5D"/>
    <w:rsid w:val="00FB6AAA"/>
    <w:rsid w:val="00FE731D"/>
    <w:rsid w:val="00FF57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673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2A1861"/>
    <w:pPr>
      <w:keepNext/>
      <w:keepLines/>
      <w:numPr>
        <w:numId w:val="23"/>
      </w:numPr>
      <w:spacing w:before="240" w:after="240"/>
      <w:ind w:hanging="720"/>
      <w:outlineLvl w:val="0"/>
    </w:pPr>
    <w:rPr>
      <w:rFonts w:ascii="Arial" w:hAnsi="Arial" w:cs="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1861"/>
    <w:rPr>
      <w:rFonts w:ascii="Arial" w:eastAsia="Times New Roman" w:hAnsi="Arial" w:cs="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text">
    <w:name w:val="Table text"/>
    <w:basedOn w:val="Normal"/>
    <w:link w:val="TabletextChar"/>
    <w:qFormat/>
    <w:rsid w:val="00001A9D"/>
    <w:rPr>
      <w:rFonts w:ascii="Arial Narrow" w:hAnsi="Arial Narrow"/>
      <w:sz w:val="20"/>
      <w:szCs w:val="24"/>
      <w:lang w:eastAsia="en-US"/>
    </w:rPr>
  </w:style>
  <w:style w:type="character" w:customStyle="1" w:styleId="TabletextChar">
    <w:name w:val="Table text Char"/>
    <w:basedOn w:val="DefaultParagraphFont"/>
    <w:link w:val="Tabletext"/>
    <w:rsid w:val="00001A9D"/>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001A9D"/>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001A9D"/>
    <w:rPr>
      <w:rFonts w:ascii="Arial Narrow" w:eastAsia="Times New Roman" w:hAnsi="Arial Narrow" w:cs="Arial"/>
      <w:b/>
      <w:bCs/>
      <w:iCs/>
      <w:sz w:val="20"/>
      <w:szCs w:val="20"/>
      <w:lang w:eastAsia="en-US"/>
    </w:rPr>
  </w:style>
  <w:style w:type="paragraph" w:customStyle="1" w:styleId="TableText0">
    <w:name w:val="Table Text"/>
    <w:basedOn w:val="Normal"/>
    <w:link w:val="TableTextChar0"/>
    <w:rsid w:val="00001A9D"/>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001A9D"/>
    <w:rPr>
      <w:rFonts w:ascii="Arial Narrow" w:eastAsia="Times New Roman" w:hAnsi="Arial Narrow" w:cs="Tahoma"/>
      <w:sz w:val="20"/>
      <w:lang w:eastAsia="en-US"/>
    </w:rPr>
  </w:style>
  <w:style w:type="paragraph" w:customStyle="1" w:styleId="TableHeading">
    <w:name w:val="TableHeading"/>
    <w:basedOn w:val="Normal"/>
    <w:link w:val="TableHeadingChar"/>
    <w:qFormat/>
    <w:rsid w:val="0054762F"/>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54762F"/>
    <w:rPr>
      <w:rFonts w:ascii="Arial Narrow" w:eastAsia="Times New Roman" w:hAnsi="Arial Narrow" w:cs="Tahoma"/>
      <w:b/>
      <w:noProof/>
      <w:sz w:val="20"/>
      <w:szCs w:val="20"/>
    </w:rPr>
  </w:style>
  <w:style w:type="table" w:customStyle="1" w:styleId="TableAE">
    <w:name w:val="Table AE"/>
    <w:basedOn w:val="TableNormal"/>
    <w:uiPriority w:val="99"/>
    <w:rsid w:val="0054762F"/>
    <w:rPr>
      <w:rFonts w:ascii="Arial" w:eastAsia="Times New Roman" w:hAnsi="Arial"/>
      <w:sz w:val="20"/>
      <w:szCs w:val="20"/>
    </w:rPr>
    <w:tblPr>
      <w:jc w:val="center"/>
      <w:tblInd w:w="0" w:type="dxa"/>
      <w:tblBorders>
        <w:bottom w:val="single" w:sz="12" w:space="0" w:color="002776"/>
      </w:tblBorders>
      <w:tblCellMar>
        <w:top w:w="0" w:type="dxa"/>
        <w:left w:w="108" w:type="dxa"/>
        <w:bottom w:w="0" w:type="dxa"/>
        <w:right w:w="108" w:type="dxa"/>
      </w:tblCellMar>
    </w:tblPr>
    <w:trPr>
      <w:cantSplit/>
      <w:jc w:val="center"/>
    </w:trPr>
    <w:tblStylePr w:type="firstRow">
      <w:tblPr/>
      <w:tcPr>
        <w:tcBorders>
          <w:top w:val="single" w:sz="12" w:space="0" w:color="002776"/>
          <w:left w:val="nil"/>
          <w:bottom w:val="single" w:sz="8" w:space="0" w:color="002776"/>
          <w:right w:val="nil"/>
          <w:insideH w:val="nil"/>
          <w:insideV w:val="nil"/>
          <w:tl2br w:val="nil"/>
          <w:tr2bl w:val="nil"/>
        </w:tcBorders>
      </w:tcPr>
    </w:tblStylePr>
  </w:style>
  <w:style w:type="table" w:styleId="TableGrid">
    <w:name w:val="Table Grid"/>
    <w:basedOn w:val="TableNormal"/>
    <w:uiPriority w:val="59"/>
    <w:locked/>
    <w:rsid w:val="0054762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F694E"/>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2F694E"/>
    <w:rPr>
      <w:rFonts w:asciiTheme="minorHAnsi" w:eastAsia="Times New Roman" w:hAnsiTheme="minorHAnsi"/>
      <w:sz w:val="20"/>
      <w:szCs w:val="24"/>
    </w:rPr>
  </w:style>
  <w:style w:type="paragraph" w:styleId="BlockText">
    <w:name w:val="Block Text"/>
    <w:basedOn w:val="BodyText"/>
    <w:next w:val="BodyText"/>
    <w:uiPriority w:val="99"/>
    <w:semiHidden/>
    <w:rsid w:val="002F694E"/>
    <w:pPr>
      <w:ind w:left="1440" w:right="1440"/>
    </w:pPr>
  </w:style>
  <w:style w:type="paragraph" w:styleId="NormalWeb">
    <w:name w:val="Normal (Web)"/>
    <w:basedOn w:val="Normal"/>
    <w:link w:val="NormalWebChar"/>
    <w:uiPriority w:val="99"/>
    <w:unhideWhenUsed/>
    <w:rsid w:val="001D6AC2"/>
    <w:rPr>
      <w:rFonts w:eastAsiaTheme="minorHAnsi"/>
      <w:szCs w:val="24"/>
    </w:rPr>
  </w:style>
  <w:style w:type="character" w:customStyle="1" w:styleId="NormalWebChar">
    <w:name w:val="Normal (Web) Char"/>
    <w:basedOn w:val="DefaultParagraphFont"/>
    <w:link w:val="NormalWeb"/>
    <w:uiPriority w:val="99"/>
    <w:rsid w:val="001D6AC2"/>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2A1861"/>
    <w:pPr>
      <w:keepNext/>
      <w:keepLines/>
      <w:numPr>
        <w:numId w:val="23"/>
      </w:numPr>
      <w:spacing w:before="240" w:after="240"/>
      <w:ind w:hanging="720"/>
      <w:outlineLvl w:val="0"/>
    </w:pPr>
    <w:rPr>
      <w:rFonts w:ascii="Arial" w:hAnsi="Arial" w:cs="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1861"/>
    <w:rPr>
      <w:rFonts w:ascii="Arial" w:eastAsia="Times New Roman" w:hAnsi="Arial" w:cs="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text">
    <w:name w:val="Table text"/>
    <w:basedOn w:val="Normal"/>
    <w:link w:val="TabletextChar"/>
    <w:qFormat/>
    <w:rsid w:val="00001A9D"/>
    <w:rPr>
      <w:rFonts w:ascii="Arial Narrow" w:hAnsi="Arial Narrow"/>
      <w:sz w:val="20"/>
      <w:szCs w:val="24"/>
      <w:lang w:eastAsia="en-US"/>
    </w:rPr>
  </w:style>
  <w:style w:type="character" w:customStyle="1" w:styleId="TabletextChar">
    <w:name w:val="Table text Char"/>
    <w:basedOn w:val="DefaultParagraphFont"/>
    <w:link w:val="Tabletext"/>
    <w:rsid w:val="00001A9D"/>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001A9D"/>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001A9D"/>
    <w:rPr>
      <w:rFonts w:ascii="Arial Narrow" w:eastAsia="Times New Roman" w:hAnsi="Arial Narrow" w:cs="Arial"/>
      <w:b/>
      <w:bCs/>
      <w:iCs/>
      <w:sz w:val="20"/>
      <w:szCs w:val="20"/>
      <w:lang w:eastAsia="en-US"/>
    </w:rPr>
  </w:style>
  <w:style w:type="paragraph" w:customStyle="1" w:styleId="TableText0">
    <w:name w:val="Table Text"/>
    <w:basedOn w:val="Normal"/>
    <w:link w:val="TableTextChar0"/>
    <w:rsid w:val="00001A9D"/>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001A9D"/>
    <w:rPr>
      <w:rFonts w:ascii="Arial Narrow" w:eastAsia="Times New Roman" w:hAnsi="Arial Narrow" w:cs="Tahoma"/>
      <w:sz w:val="20"/>
      <w:lang w:eastAsia="en-US"/>
    </w:rPr>
  </w:style>
  <w:style w:type="paragraph" w:customStyle="1" w:styleId="TableHeading">
    <w:name w:val="TableHeading"/>
    <w:basedOn w:val="Normal"/>
    <w:link w:val="TableHeadingChar"/>
    <w:qFormat/>
    <w:rsid w:val="0054762F"/>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54762F"/>
    <w:rPr>
      <w:rFonts w:ascii="Arial Narrow" w:eastAsia="Times New Roman" w:hAnsi="Arial Narrow" w:cs="Tahoma"/>
      <w:b/>
      <w:noProof/>
      <w:sz w:val="20"/>
      <w:szCs w:val="20"/>
    </w:rPr>
  </w:style>
  <w:style w:type="table" w:customStyle="1" w:styleId="TableAE">
    <w:name w:val="Table AE"/>
    <w:basedOn w:val="TableNormal"/>
    <w:uiPriority w:val="99"/>
    <w:rsid w:val="0054762F"/>
    <w:rPr>
      <w:rFonts w:ascii="Arial" w:eastAsia="Times New Roman" w:hAnsi="Arial"/>
      <w:sz w:val="20"/>
      <w:szCs w:val="20"/>
    </w:rPr>
    <w:tblPr>
      <w:jc w:val="center"/>
      <w:tblInd w:w="0" w:type="dxa"/>
      <w:tblBorders>
        <w:bottom w:val="single" w:sz="12" w:space="0" w:color="002776"/>
      </w:tblBorders>
      <w:tblCellMar>
        <w:top w:w="0" w:type="dxa"/>
        <w:left w:w="108" w:type="dxa"/>
        <w:bottom w:w="0" w:type="dxa"/>
        <w:right w:w="108" w:type="dxa"/>
      </w:tblCellMar>
    </w:tblPr>
    <w:trPr>
      <w:cantSplit/>
      <w:jc w:val="center"/>
    </w:trPr>
    <w:tblStylePr w:type="firstRow">
      <w:tblPr/>
      <w:tcPr>
        <w:tcBorders>
          <w:top w:val="single" w:sz="12" w:space="0" w:color="002776"/>
          <w:left w:val="nil"/>
          <w:bottom w:val="single" w:sz="8" w:space="0" w:color="002776"/>
          <w:right w:val="nil"/>
          <w:insideH w:val="nil"/>
          <w:insideV w:val="nil"/>
          <w:tl2br w:val="nil"/>
          <w:tr2bl w:val="nil"/>
        </w:tcBorders>
      </w:tcPr>
    </w:tblStylePr>
  </w:style>
  <w:style w:type="table" w:styleId="TableGrid">
    <w:name w:val="Table Grid"/>
    <w:basedOn w:val="TableNormal"/>
    <w:uiPriority w:val="59"/>
    <w:locked/>
    <w:rsid w:val="0054762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F694E"/>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2F694E"/>
    <w:rPr>
      <w:rFonts w:asciiTheme="minorHAnsi" w:eastAsia="Times New Roman" w:hAnsiTheme="minorHAnsi"/>
      <w:sz w:val="20"/>
      <w:szCs w:val="24"/>
    </w:rPr>
  </w:style>
  <w:style w:type="paragraph" w:styleId="BlockText">
    <w:name w:val="Block Text"/>
    <w:basedOn w:val="BodyText"/>
    <w:next w:val="BodyText"/>
    <w:uiPriority w:val="99"/>
    <w:semiHidden/>
    <w:rsid w:val="002F694E"/>
    <w:pPr>
      <w:ind w:left="1440" w:right="1440"/>
    </w:pPr>
  </w:style>
  <w:style w:type="paragraph" w:styleId="NormalWeb">
    <w:name w:val="Normal (Web)"/>
    <w:basedOn w:val="Normal"/>
    <w:link w:val="NormalWebChar"/>
    <w:uiPriority w:val="99"/>
    <w:unhideWhenUsed/>
    <w:rsid w:val="001D6AC2"/>
    <w:rPr>
      <w:rFonts w:eastAsiaTheme="minorHAnsi"/>
      <w:szCs w:val="24"/>
    </w:rPr>
  </w:style>
  <w:style w:type="character" w:customStyle="1" w:styleId="NormalWebChar">
    <w:name w:val="Normal (Web) Char"/>
    <w:basedOn w:val="DefaultParagraphFont"/>
    <w:link w:val="NormalWeb"/>
    <w:uiPriority w:val="99"/>
    <w:rsid w:val="001D6AC2"/>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0308">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B8B8C-1CFA-4985-BBBD-B54A12FE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8350</Words>
  <Characters>46176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1405 - Public Summary Document</dc:title>
  <dc:creator/>
  <cp:lastModifiedBy/>
  <cp:revision>1</cp:revision>
  <dcterms:created xsi:type="dcterms:W3CDTF">2017-03-06T04:19:00Z</dcterms:created>
  <dcterms:modified xsi:type="dcterms:W3CDTF">2017-03-06T04:20:00Z</dcterms:modified>
</cp:coreProperties>
</file>